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A8B89F">
      <w:pPr>
        <w:wordWrap w:val="0"/>
        <w:spacing w:line="360" w:lineRule="auto"/>
        <w:jc w:val="center"/>
        <w:rPr>
          <w:rFonts w:ascii="宋体" w:hAnsi="宋体" w:eastAsia="宋体" w:cs="宋体"/>
          <w:b/>
          <w:color w:val="auto"/>
          <w:sz w:val="48"/>
          <w:szCs w:val="48"/>
          <w:highlight w:val="none"/>
          <w:lang w:bidi="ar"/>
        </w:rPr>
      </w:pPr>
    </w:p>
    <w:p w14:paraId="23BF865A">
      <w:pPr>
        <w:wordWrap w:val="0"/>
        <w:spacing w:line="360" w:lineRule="auto"/>
        <w:jc w:val="center"/>
        <w:rPr>
          <w:rFonts w:hint="eastAsia" w:ascii="宋体" w:hAnsi="宋体" w:eastAsia="宋体" w:cs="宋体"/>
          <w:color w:val="auto"/>
          <w:sz w:val="48"/>
          <w:szCs w:val="48"/>
          <w:highlight w:val="none"/>
          <w:lang w:eastAsia="zh-CN"/>
        </w:rPr>
      </w:pPr>
      <w:r>
        <w:rPr>
          <w:rFonts w:hint="eastAsia" w:ascii="宋体" w:hAnsi="宋体" w:eastAsia="宋体" w:cs="宋体"/>
          <w:b/>
          <w:color w:val="auto"/>
          <w:sz w:val="48"/>
          <w:szCs w:val="48"/>
          <w:highlight w:val="none"/>
          <w:lang w:eastAsia="zh-CN" w:bidi="ar"/>
        </w:rPr>
        <w:t>知识城活力创新轴市政道路及配套工程勘察设计</w:t>
      </w:r>
    </w:p>
    <w:p w14:paraId="0591F554">
      <w:pPr>
        <w:wordWrap w:val="0"/>
        <w:spacing w:line="360" w:lineRule="auto"/>
        <w:rPr>
          <w:rFonts w:ascii="宋体" w:hAnsi="宋体" w:eastAsia="宋体" w:cs="宋体"/>
          <w:b/>
          <w:color w:val="auto"/>
          <w:spacing w:val="40"/>
          <w:sz w:val="44"/>
          <w:szCs w:val="44"/>
          <w:highlight w:val="none"/>
        </w:rPr>
      </w:pPr>
    </w:p>
    <w:p w14:paraId="4B7D47B2">
      <w:pPr>
        <w:wordWrap w:val="0"/>
        <w:spacing w:line="360" w:lineRule="auto"/>
        <w:jc w:val="left"/>
        <w:rPr>
          <w:rFonts w:ascii="宋体" w:hAnsi="宋体" w:eastAsia="宋体" w:cs="宋体"/>
          <w:color w:val="auto"/>
          <w:sz w:val="36"/>
          <w:szCs w:val="36"/>
          <w:highlight w:val="none"/>
          <w:u w:val="single"/>
          <w:lang w:bidi="ar"/>
        </w:rPr>
      </w:pPr>
    </w:p>
    <w:p w14:paraId="203449A3">
      <w:pPr>
        <w:wordWrap w:val="0"/>
        <w:spacing w:line="360" w:lineRule="auto"/>
        <w:jc w:val="left"/>
        <w:rPr>
          <w:rFonts w:ascii="宋体" w:hAnsi="宋体" w:eastAsia="宋体" w:cs="宋体"/>
          <w:color w:val="auto"/>
          <w:sz w:val="36"/>
          <w:szCs w:val="36"/>
          <w:highlight w:val="none"/>
          <w:u w:val="single"/>
          <w:lang w:bidi="ar"/>
        </w:rPr>
      </w:pPr>
    </w:p>
    <w:p w14:paraId="10F9C11E">
      <w:pPr>
        <w:wordWrap w:val="0"/>
        <w:spacing w:line="360" w:lineRule="auto"/>
        <w:jc w:val="left"/>
        <w:rPr>
          <w:rFonts w:ascii="宋体" w:hAnsi="宋体" w:eastAsia="宋体" w:cs="宋体"/>
          <w:color w:val="auto"/>
          <w:sz w:val="36"/>
          <w:szCs w:val="36"/>
          <w:highlight w:val="none"/>
          <w:u w:val="single"/>
          <w:lang w:bidi="ar"/>
        </w:rPr>
      </w:pPr>
    </w:p>
    <w:p w14:paraId="587259A3">
      <w:pPr>
        <w:wordWrap w:val="0"/>
        <w:spacing w:line="360" w:lineRule="auto"/>
        <w:jc w:val="left"/>
        <w:rPr>
          <w:rFonts w:ascii="宋体" w:hAnsi="宋体" w:eastAsia="宋体" w:cs="宋体"/>
          <w:color w:val="auto"/>
          <w:sz w:val="36"/>
          <w:szCs w:val="36"/>
          <w:highlight w:val="none"/>
          <w:u w:val="single"/>
        </w:rPr>
      </w:pPr>
    </w:p>
    <w:p w14:paraId="35E5B5D5">
      <w:pPr>
        <w:wordWrap w:val="0"/>
        <w:spacing w:line="360" w:lineRule="auto"/>
        <w:jc w:val="center"/>
        <w:rPr>
          <w:rFonts w:ascii="宋体" w:hAnsi="宋体" w:eastAsia="宋体" w:cs="宋体"/>
          <w:b/>
          <w:color w:val="auto"/>
          <w:spacing w:val="26"/>
          <w:sz w:val="110"/>
          <w:szCs w:val="110"/>
          <w:highlight w:val="none"/>
        </w:rPr>
      </w:pPr>
      <w:r>
        <w:rPr>
          <w:rFonts w:hint="eastAsia" w:ascii="宋体" w:hAnsi="宋体" w:eastAsia="宋体" w:cs="宋体"/>
          <w:b/>
          <w:color w:val="auto"/>
          <w:spacing w:val="26"/>
          <w:sz w:val="96"/>
          <w:szCs w:val="96"/>
          <w:highlight w:val="none"/>
          <w:lang w:bidi="ar"/>
        </w:rPr>
        <w:t>招标文件</w:t>
      </w:r>
    </w:p>
    <w:p w14:paraId="487D6A45">
      <w:pPr>
        <w:wordWrap w:val="0"/>
        <w:spacing w:line="360" w:lineRule="auto"/>
        <w:rPr>
          <w:rFonts w:ascii="宋体" w:hAnsi="宋体" w:eastAsia="宋体" w:cs="宋体"/>
          <w:color w:val="auto"/>
          <w:sz w:val="32"/>
          <w:szCs w:val="32"/>
          <w:highlight w:val="none"/>
        </w:rPr>
      </w:pPr>
    </w:p>
    <w:p w14:paraId="0E62B442">
      <w:pPr>
        <w:wordWrap w:val="0"/>
        <w:spacing w:line="360" w:lineRule="auto"/>
        <w:rPr>
          <w:rFonts w:ascii="宋体" w:hAnsi="宋体" w:eastAsia="宋体" w:cs="宋体"/>
          <w:color w:val="auto"/>
          <w:sz w:val="52"/>
          <w:szCs w:val="52"/>
          <w:highlight w:val="none"/>
        </w:rPr>
      </w:pPr>
    </w:p>
    <w:p w14:paraId="7BA9FD9F">
      <w:pPr>
        <w:wordWrap w:val="0"/>
        <w:spacing w:line="360" w:lineRule="auto"/>
        <w:rPr>
          <w:rFonts w:ascii="宋体" w:hAnsi="宋体" w:eastAsia="宋体" w:cs="宋体"/>
          <w:color w:val="auto"/>
          <w:sz w:val="52"/>
          <w:szCs w:val="52"/>
          <w:highlight w:val="none"/>
          <w:lang w:bidi="ar"/>
        </w:rPr>
      </w:pPr>
    </w:p>
    <w:p w14:paraId="4373BF10">
      <w:pPr>
        <w:wordWrap w:val="0"/>
        <w:spacing w:line="360" w:lineRule="auto"/>
        <w:rPr>
          <w:rFonts w:ascii="宋体" w:hAnsi="宋体" w:eastAsia="宋体" w:cs="宋体"/>
          <w:color w:val="auto"/>
          <w:sz w:val="52"/>
          <w:szCs w:val="52"/>
          <w:highlight w:val="none"/>
          <w:lang w:bidi="ar"/>
        </w:rPr>
      </w:pPr>
    </w:p>
    <w:p w14:paraId="4A759DDB">
      <w:pPr>
        <w:wordWrap w:val="0"/>
        <w:spacing w:line="360" w:lineRule="auto"/>
        <w:rPr>
          <w:rFonts w:ascii="宋体" w:hAnsi="宋体" w:eastAsia="宋体" w:cs="宋体"/>
          <w:color w:val="auto"/>
          <w:sz w:val="52"/>
          <w:szCs w:val="52"/>
          <w:highlight w:val="none"/>
          <w:lang w:bidi="ar"/>
        </w:rPr>
      </w:pPr>
    </w:p>
    <w:p w14:paraId="1D35BA9E">
      <w:pPr>
        <w:wordWrap w:val="0"/>
        <w:spacing w:line="360" w:lineRule="auto"/>
        <w:ind w:left="567" w:leftChars="270"/>
        <w:jc w:val="left"/>
        <w:rPr>
          <w:rFonts w:ascii="宋体" w:hAnsi="宋体" w:eastAsia="宋体" w:cs="宋体"/>
          <w:color w:val="auto"/>
          <w:sz w:val="32"/>
          <w:szCs w:val="32"/>
          <w:highlight w:val="none"/>
        </w:rPr>
      </w:pPr>
      <w:r>
        <w:rPr>
          <w:rFonts w:hint="eastAsia" w:ascii="宋体" w:hAnsi="宋体" w:eastAsia="宋体" w:cs="宋体"/>
          <w:color w:val="auto"/>
          <w:sz w:val="32"/>
          <w:szCs w:val="32"/>
          <w:highlight w:val="none"/>
          <w:lang w:bidi="ar"/>
        </w:rPr>
        <w:t>招标人：</w:t>
      </w:r>
      <w:r>
        <w:rPr>
          <w:rFonts w:hint="eastAsia" w:ascii="宋体" w:hAnsi="宋体" w:eastAsia="宋体" w:cs="宋体"/>
          <w:color w:val="auto"/>
          <w:sz w:val="32"/>
          <w:szCs w:val="32"/>
          <w:highlight w:val="none"/>
          <w:u w:val="single"/>
          <w:lang w:bidi="ar"/>
        </w:rPr>
        <w:t>中新广州知识城财政投资建设项目管理中心</w:t>
      </w:r>
    </w:p>
    <w:p w14:paraId="314513FE">
      <w:pPr>
        <w:wordWrap w:val="0"/>
        <w:spacing w:line="360" w:lineRule="auto"/>
        <w:ind w:left="567" w:leftChars="270"/>
        <w:jc w:val="left"/>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bidi="ar"/>
        </w:rPr>
        <w:t>招标代理机构：</w:t>
      </w:r>
      <w:r>
        <w:rPr>
          <w:rFonts w:hint="eastAsia" w:ascii="宋体" w:hAnsi="宋体" w:eastAsia="宋体" w:cs="宋体"/>
          <w:color w:val="auto"/>
          <w:sz w:val="32"/>
          <w:szCs w:val="32"/>
          <w:highlight w:val="none"/>
          <w:u w:val="single"/>
          <w:lang w:eastAsia="zh-CN" w:bidi="ar"/>
        </w:rPr>
        <w:t>广州市市政工程监理有限公司</w:t>
      </w:r>
    </w:p>
    <w:p w14:paraId="421CD3E3">
      <w:pPr>
        <w:wordWrap w:val="0"/>
        <w:spacing w:line="360" w:lineRule="auto"/>
        <w:ind w:left="567" w:leftChars="270"/>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lang w:bidi="ar"/>
        </w:rPr>
        <w:t>日期：2025年</w:t>
      </w:r>
      <w:r>
        <w:rPr>
          <w:rFonts w:hint="eastAsia" w:ascii="宋体" w:hAnsi="宋体" w:eastAsia="宋体" w:cs="宋体"/>
          <w:color w:val="auto"/>
          <w:sz w:val="32"/>
          <w:szCs w:val="32"/>
          <w:highlight w:val="none"/>
          <w:u w:val="single"/>
          <w:lang w:val="en-US" w:eastAsia="zh-CN" w:bidi="ar"/>
        </w:rPr>
        <w:t>7</w:t>
      </w:r>
      <w:r>
        <w:rPr>
          <w:rFonts w:hint="eastAsia" w:ascii="宋体" w:hAnsi="宋体" w:eastAsia="宋体" w:cs="宋体"/>
          <w:color w:val="auto"/>
          <w:sz w:val="32"/>
          <w:szCs w:val="32"/>
          <w:highlight w:val="none"/>
          <w:lang w:bidi="ar"/>
        </w:rPr>
        <w:t>月</w:t>
      </w:r>
    </w:p>
    <w:p w14:paraId="6DC5C39A">
      <w:pPr>
        <w:wordWrap w:val="0"/>
        <w:spacing w:line="360" w:lineRule="auto"/>
        <w:rPr>
          <w:rFonts w:ascii="宋体" w:hAnsi="宋体" w:eastAsia="宋体" w:cs="Times New Roman"/>
          <w:b/>
          <w:color w:val="auto"/>
          <w:sz w:val="36"/>
          <w:szCs w:val="36"/>
          <w:highlight w:val="none"/>
        </w:rPr>
        <w:sectPr>
          <w:footerReference r:id="rId3" w:type="default"/>
          <w:type w:val="continuous"/>
          <w:pgSz w:w="11905" w:h="16838"/>
          <w:pgMar w:top="1440" w:right="1800" w:bottom="1440" w:left="1800" w:header="720" w:footer="720" w:gutter="0"/>
          <w:pgNumType w:start="0"/>
          <w:cols w:space="425" w:num="1"/>
          <w:titlePg/>
          <w:docGrid w:type="lines" w:linePitch="312" w:charSpace="0"/>
        </w:sectPr>
      </w:pPr>
    </w:p>
    <w:p w14:paraId="0AA7739A">
      <w:pPr>
        <w:widowControl/>
        <w:wordWrap w:val="0"/>
        <w:jc w:val="left"/>
        <w:rPr>
          <w:rFonts w:ascii="宋体" w:hAnsi="宋体" w:eastAsia="宋体" w:cs="Times New Roman"/>
          <w:color w:val="auto"/>
          <w:kern w:val="0"/>
          <w:sz w:val="20"/>
          <w:szCs w:val="20"/>
          <w:highlight w:val="none"/>
        </w:rPr>
      </w:pPr>
      <w:r>
        <w:rPr>
          <w:rFonts w:ascii="宋体" w:hAnsi="宋体" w:eastAsia="宋体" w:cs="Times New Roman"/>
          <w:color w:val="auto"/>
          <w:kern w:val="0"/>
          <w:sz w:val="20"/>
          <w:szCs w:val="20"/>
          <w:highlight w:val="none"/>
        </w:rPr>
        <w:br w:type="page"/>
      </w:r>
    </w:p>
    <w:p w14:paraId="550A90AB">
      <w:pPr>
        <w:wordWrap w:val="0"/>
        <w:spacing w:after="120"/>
        <w:ind w:firstLine="200" w:firstLineChars="100"/>
        <w:rPr>
          <w:rFonts w:ascii="宋体" w:hAnsi="宋体" w:eastAsia="宋体" w:cs="Times New Roman"/>
          <w:color w:val="auto"/>
          <w:kern w:val="0"/>
          <w:sz w:val="20"/>
          <w:szCs w:val="20"/>
          <w:highlight w:val="none"/>
        </w:rPr>
      </w:pPr>
    </w:p>
    <w:p w14:paraId="115CD308">
      <w:pPr>
        <w:keepNext/>
        <w:keepLines/>
        <w:widowControl/>
        <w:wordWrap w:val="0"/>
        <w:spacing w:before="480" w:line="276" w:lineRule="auto"/>
        <w:jc w:val="center"/>
        <w:rPr>
          <w:rFonts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lang w:val="zh-CN"/>
        </w:rPr>
        <w:t>目 录</w:t>
      </w:r>
    </w:p>
    <w:p w14:paraId="31188464">
      <w:pPr>
        <w:pStyle w:val="33"/>
        <w:tabs>
          <w:tab w:val="right" w:leader="dot" w:pos="8289"/>
        </w:tabs>
        <w:wordWrap w:val="0"/>
        <w:rPr>
          <w:rFonts w:ascii="宋体" w:hAnsi="宋体" w:cstheme="minorBidi"/>
          <w:b w:val="0"/>
          <w:bCs w:val="0"/>
          <w:caps w:val="0"/>
          <w:color w:val="auto"/>
          <w:sz w:val="21"/>
          <w:szCs w:val="22"/>
          <w:highlight w:val="none"/>
        </w:rPr>
      </w:pPr>
      <w:r>
        <w:rPr>
          <w:rFonts w:hint="eastAsia" w:ascii="宋体" w:hAnsi="宋体" w:cs="宋体"/>
          <w:bCs w:val="0"/>
          <w:caps w:val="0"/>
          <w:color w:val="auto"/>
          <w:sz w:val="24"/>
          <w:szCs w:val="24"/>
          <w:highlight w:val="none"/>
        </w:rPr>
        <w:fldChar w:fldCharType="begin"/>
      </w:r>
      <w:r>
        <w:rPr>
          <w:rFonts w:hint="eastAsia" w:ascii="宋体" w:hAnsi="宋体" w:cs="宋体"/>
          <w:bCs w:val="0"/>
          <w:caps w:val="0"/>
          <w:color w:val="auto"/>
          <w:sz w:val="24"/>
          <w:szCs w:val="24"/>
          <w:highlight w:val="none"/>
        </w:rPr>
        <w:instrText xml:space="preserve"> TOC \o "1-3" \h \z \u </w:instrText>
      </w:r>
      <w:r>
        <w:rPr>
          <w:rFonts w:hint="eastAsia" w:ascii="宋体" w:hAnsi="宋体" w:cs="宋体"/>
          <w:bCs w:val="0"/>
          <w:caps w:val="0"/>
          <w:color w:val="auto"/>
          <w:sz w:val="24"/>
          <w:szCs w:val="24"/>
          <w:highlight w:val="none"/>
        </w:rPr>
        <w:fldChar w:fldCharType="separate"/>
      </w:r>
      <w:r>
        <w:rPr>
          <w:color w:val="auto"/>
          <w:highlight w:val="none"/>
        </w:rPr>
        <w:fldChar w:fldCharType="begin"/>
      </w:r>
      <w:r>
        <w:rPr>
          <w:color w:val="auto"/>
          <w:highlight w:val="none"/>
        </w:rPr>
        <w:instrText xml:space="preserve"> HYPERLINK \l "_Toc193357935" </w:instrText>
      </w:r>
      <w:r>
        <w:rPr>
          <w:color w:val="auto"/>
          <w:highlight w:val="none"/>
        </w:rPr>
        <w:fldChar w:fldCharType="separate"/>
      </w:r>
      <w:r>
        <w:rPr>
          <w:rStyle w:val="53"/>
          <w:rFonts w:hint="eastAsia" w:ascii="宋体" w:hAnsi="宋体"/>
          <w:color w:val="auto"/>
          <w:highlight w:val="none"/>
        </w:rPr>
        <w:t>第一卷</w:t>
      </w:r>
      <w:r>
        <w:rPr>
          <w:rFonts w:ascii="宋体" w:hAnsi="宋体"/>
          <w:color w:val="auto"/>
          <w:highlight w:val="none"/>
        </w:rPr>
        <w:tab/>
      </w:r>
      <w:r>
        <w:rPr>
          <w:rFonts w:ascii="宋体" w:hAnsi="宋体"/>
          <w:color w:val="auto"/>
          <w:highlight w:val="none"/>
        </w:rPr>
        <w:fldChar w:fldCharType="begin"/>
      </w:r>
      <w:r>
        <w:rPr>
          <w:rFonts w:ascii="宋体" w:hAnsi="宋体"/>
          <w:color w:val="auto"/>
          <w:highlight w:val="none"/>
        </w:rPr>
        <w:instrText xml:space="preserve"> PAGEREF _Toc193357935 \h </w:instrText>
      </w:r>
      <w:r>
        <w:rPr>
          <w:rFonts w:ascii="宋体" w:hAnsi="宋体"/>
          <w:color w:val="auto"/>
          <w:highlight w:val="none"/>
        </w:rPr>
        <w:fldChar w:fldCharType="separate"/>
      </w:r>
      <w:r>
        <w:rPr>
          <w:rFonts w:ascii="宋体" w:hAnsi="宋体"/>
          <w:color w:val="auto"/>
          <w:highlight w:val="none"/>
        </w:rPr>
        <w:t>2</w:t>
      </w:r>
      <w:r>
        <w:rPr>
          <w:rFonts w:ascii="宋体" w:hAnsi="宋体"/>
          <w:color w:val="auto"/>
          <w:highlight w:val="none"/>
        </w:rPr>
        <w:fldChar w:fldCharType="end"/>
      </w:r>
      <w:r>
        <w:rPr>
          <w:rFonts w:ascii="宋体" w:hAnsi="宋体"/>
          <w:color w:val="auto"/>
          <w:highlight w:val="none"/>
        </w:rPr>
        <w:fldChar w:fldCharType="end"/>
      </w:r>
    </w:p>
    <w:p w14:paraId="149BC9CC">
      <w:pPr>
        <w:pStyle w:val="33"/>
        <w:tabs>
          <w:tab w:val="right" w:leader="dot" w:pos="8289"/>
        </w:tabs>
        <w:wordWrap w:val="0"/>
        <w:rPr>
          <w:rFonts w:ascii="宋体" w:hAnsi="宋体" w:cstheme="minorBidi"/>
          <w:b w:val="0"/>
          <w:bCs w:val="0"/>
          <w:caps w:val="0"/>
          <w:color w:val="auto"/>
          <w:sz w:val="21"/>
          <w:szCs w:val="22"/>
          <w:highlight w:val="none"/>
        </w:rPr>
      </w:pPr>
      <w:r>
        <w:rPr>
          <w:color w:val="auto"/>
          <w:highlight w:val="none"/>
        </w:rPr>
        <w:fldChar w:fldCharType="begin"/>
      </w:r>
      <w:r>
        <w:rPr>
          <w:color w:val="auto"/>
          <w:highlight w:val="none"/>
        </w:rPr>
        <w:instrText xml:space="preserve"> HYPERLINK \l "_Toc193357936" </w:instrText>
      </w:r>
      <w:r>
        <w:rPr>
          <w:color w:val="auto"/>
          <w:highlight w:val="none"/>
        </w:rPr>
        <w:fldChar w:fldCharType="separate"/>
      </w:r>
      <w:r>
        <w:rPr>
          <w:rStyle w:val="53"/>
          <w:rFonts w:hint="eastAsia" w:ascii="宋体" w:hAnsi="宋体"/>
          <w:color w:val="auto"/>
          <w:highlight w:val="none"/>
          <w:lang w:bidi="ar"/>
        </w:rPr>
        <w:t>第一章</w:t>
      </w:r>
      <w:r>
        <w:rPr>
          <w:rStyle w:val="53"/>
          <w:rFonts w:ascii="宋体" w:hAnsi="宋体"/>
          <w:color w:val="auto"/>
          <w:highlight w:val="none"/>
          <w:lang w:bidi="ar"/>
        </w:rPr>
        <w:t xml:space="preserve">  </w:t>
      </w:r>
      <w:r>
        <w:rPr>
          <w:rStyle w:val="53"/>
          <w:rFonts w:hint="eastAsia" w:ascii="宋体" w:hAnsi="宋体"/>
          <w:color w:val="auto"/>
          <w:highlight w:val="none"/>
          <w:lang w:bidi="ar"/>
        </w:rPr>
        <w:t>招标公告</w:t>
      </w:r>
      <w:r>
        <w:rPr>
          <w:rFonts w:ascii="宋体" w:hAnsi="宋体"/>
          <w:color w:val="auto"/>
          <w:highlight w:val="none"/>
        </w:rPr>
        <w:tab/>
      </w:r>
      <w:r>
        <w:rPr>
          <w:rFonts w:ascii="宋体" w:hAnsi="宋体"/>
          <w:color w:val="auto"/>
          <w:highlight w:val="none"/>
        </w:rPr>
        <w:fldChar w:fldCharType="begin"/>
      </w:r>
      <w:r>
        <w:rPr>
          <w:rFonts w:ascii="宋体" w:hAnsi="宋体"/>
          <w:color w:val="auto"/>
          <w:highlight w:val="none"/>
        </w:rPr>
        <w:instrText xml:space="preserve"> PAGEREF _Toc193357936 \h </w:instrText>
      </w:r>
      <w:r>
        <w:rPr>
          <w:rFonts w:ascii="宋体" w:hAnsi="宋体"/>
          <w:color w:val="auto"/>
          <w:highlight w:val="none"/>
        </w:rPr>
        <w:fldChar w:fldCharType="separate"/>
      </w:r>
      <w:r>
        <w:rPr>
          <w:rFonts w:ascii="宋体" w:hAnsi="宋体"/>
          <w:color w:val="auto"/>
          <w:highlight w:val="none"/>
        </w:rPr>
        <w:t>2</w:t>
      </w:r>
      <w:r>
        <w:rPr>
          <w:rFonts w:ascii="宋体" w:hAnsi="宋体"/>
          <w:color w:val="auto"/>
          <w:highlight w:val="none"/>
        </w:rPr>
        <w:fldChar w:fldCharType="end"/>
      </w:r>
      <w:r>
        <w:rPr>
          <w:rFonts w:ascii="宋体" w:hAnsi="宋体"/>
          <w:color w:val="auto"/>
          <w:highlight w:val="none"/>
        </w:rPr>
        <w:fldChar w:fldCharType="end"/>
      </w:r>
    </w:p>
    <w:p w14:paraId="379945F1">
      <w:pPr>
        <w:pStyle w:val="33"/>
        <w:tabs>
          <w:tab w:val="right" w:leader="dot" w:pos="8289"/>
        </w:tabs>
        <w:wordWrap w:val="0"/>
        <w:rPr>
          <w:rFonts w:ascii="宋体" w:hAnsi="宋体" w:cstheme="minorBidi"/>
          <w:b w:val="0"/>
          <w:bCs w:val="0"/>
          <w:caps w:val="0"/>
          <w:color w:val="auto"/>
          <w:sz w:val="21"/>
          <w:szCs w:val="22"/>
          <w:highlight w:val="none"/>
        </w:rPr>
      </w:pPr>
      <w:r>
        <w:rPr>
          <w:color w:val="auto"/>
          <w:highlight w:val="none"/>
        </w:rPr>
        <w:fldChar w:fldCharType="begin"/>
      </w:r>
      <w:r>
        <w:rPr>
          <w:color w:val="auto"/>
          <w:highlight w:val="none"/>
        </w:rPr>
        <w:instrText xml:space="preserve"> HYPERLINK \l "_Toc193357937" </w:instrText>
      </w:r>
      <w:r>
        <w:rPr>
          <w:color w:val="auto"/>
          <w:highlight w:val="none"/>
        </w:rPr>
        <w:fldChar w:fldCharType="separate"/>
      </w:r>
      <w:r>
        <w:rPr>
          <w:rStyle w:val="53"/>
          <w:rFonts w:hint="eastAsia" w:ascii="宋体" w:hAnsi="宋体"/>
          <w:color w:val="auto"/>
          <w:highlight w:val="none"/>
          <w:lang w:bidi="ar"/>
        </w:rPr>
        <w:t>第二章</w:t>
      </w:r>
      <w:r>
        <w:rPr>
          <w:rStyle w:val="53"/>
          <w:rFonts w:ascii="宋体" w:hAnsi="宋体"/>
          <w:color w:val="auto"/>
          <w:highlight w:val="none"/>
          <w:lang w:bidi="ar"/>
        </w:rPr>
        <w:t xml:space="preserve">  </w:t>
      </w:r>
      <w:r>
        <w:rPr>
          <w:rStyle w:val="53"/>
          <w:rFonts w:hint="eastAsia" w:ascii="宋体" w:hAnsi="宋体"/>
          <w:color w:val="auto"/>
          <w:highlight w:val="none"/>
          <w:lang w:bidi="ar"/>
        </w:rPr>
        <w:t>投标人须知</w:t>
      </w:r>
      <w:r>
        <w:rPr>
          <w:rFonts w:ascii="宋体" w:hAnsi="宋体"/>
          <w:color w:val="auto"/>
          <w:highlight w:val="none"/>
        </w:rPr>
        <w:tab/>
      </w:r>
      <w:r>
        <w:rPr>
          <w:rFonts w:ascii="宋体" w:hAnsi="宋体"/>
          <w:color w:val="auto"/>
          <w:highlight w:val="none"/>
        </w:rPr>
        <w:fldChar w:fldCharType="begin"/>
      </w:r>
      <w:r>
        <w:rPr>
          <w:rFonts w:ascii="宋体" w:hAnsi="宋体"/>
          <w:color w:val="auto"/>
          <w:highlight w:val="none"/>
        </w:rPr>
        <w:instrText xml:space="preserve"> PAGEREF _Toc193357937 \h </w:instrText>
      </w:r>
      <w:r>
        <w:rPr>
          <w:rFonts w:ascii="宋体" w:hAnsi="宋体"/>
          <w:color w:val="auto"/>
          <w:highlight w:val="none"/>
        </w:rPr>
        <w:fldChar w:fldCharType="separate"/>
      </w:r>
      <w:r>
        <w:rPr>
          <w:rFonts w:ascii="宋体" w:hAnsi="宋体"/>
          <w:color w:val="auto"/>
          <w:highlight w:val="none"/>
        </w:rPr>
        <w:t>3</w:t>
      </w:r>
      <w:r>
        <w:rPr>
          <w:rFonts w:ascii="宋体" w:hAnsi="宋体"/>
          <w:color w:val="auto"/>
          <w:highlight w:val="none"/>
        </w:rPr>
        <w:fldChar w:fldCharType="end"/>
      </w:r>
      <w:r>
        <w:rPr>
          <w:rFonts w:ascii="宋体" w:hAnsi="宋体"/>
          <w:color w:val="auto"/>
          <w:highlight w:val="none"/>
        </w:rPr>
        <w:fldChar w:fldCharType="end"/>
      </w:r>
    </w:p>
    <w:p w14:paraId="0E1CF630">
      <w:pPr>
        <w:pStyle w:val="33"/>
        <w:tabs>
          <w:tab w:val="right" w:leader="dot" w:pos="8289"/>
        </w:tabs>
        <w:wordWrap w:val="0"/>
        <w:rPr>
          <w:rFonts w:ascii="宋体" w:hAnsi="宋体" w:cstheme="minorBidi"/>
          <w:b w:val="0"/>
          <w:bCs w:val="0"/>
          <w:caps w:val="0"/>
          <w:color w:val="auto"/>
          <w:sz w:val="21"/>
          <w:szCs w:val="22"/>
          <w:highlight w:val="none"/>
        </w:rPr>
      </w:pPr>
      <w:r>
        <w:rPr>
          <w:color w:val="auto"/>
          <w:highlight w:val="none"/>
        </w:rPr>
        <w:fldChar w:fldCharType="begin"/>
      </w:r>
      <w:r>
        <w:rPr>
          <w:color w:val="auto"/>
          <w:highlight w:val="none"/>
        </w:rPr>
        <w:instrText xml:space="preserve"> HYPERLINK \l "_Toc193358002" </w:instrText>
      </w:r>
      <w:r>
        <w:rPr>
          <w:color w:val="auto"/>
          <w:highlight w:val="none"/>
        </w:rPr>
        <w:fldChar w:fldCharType="separate"/>
      </w:r>
      <w:r>
        <w:rPr>
          <w:rStyle w:val="53"/>
          <w:rFonts w:hint="eastAsia" w:ascii="宋体" w:hAnsi="宋体"/>
          <w:color w:val="auto"/>
          <w:highlight w:val="none"/>
        </w:rPr>
        <w:t>第三章</w:t>
      </w:r>
      <w:r>
        <w:rPr>
          <w:rStyle w:val="53"/>
          <w:rFonts w:ascii="宋体" w:hAnsi="宋体"/>
          <w:color w:val="auto"/>
          <w:highlight w:val="none"/>
        </w:rPr>
        <w:t xml:space="preserve">  </w:t>
      </w:r>
      <w:r>
        <w:rPr>
          <w:rStyle w:val="53"/>
          <w:rFonts w:hint="eastAsia" w:ascii="宋体" w:hAnsi="宋体"/>
          <w:color w:val="auto"/>
          <w:highlight w:val="none"/>
        </w:rPr>
        <w:t>评标、定标办法（评定分离）</w:t>
      </w:r>
      <w:r>
        <w:rPr>
          <w:rFonts w:ascii="宋体" w:hAnsi="宋体"/>
          <w:color w:val="auto"/>
          <w:highlight w:val="none"/>
        </w:rPr>
        <w:tab/>
      </w:r>
      <w:r>
        <w:rPr>
          <w:rFonts w:ascii="宋体" w:hAnsi="宋体"/>
          <w:color w:val="auto"/>
          <w:highlight w:val="none"/>
        </w:rPr>
        <w:fldChar w:fldCharType="begin"/>
      </w:r>
      <w:r>
        <w:rPr>
          <w:rFonts w:ascii="宋体" w:hAnsi="宋体"/>
          <w:color w:val="auto"/>
          <w:highlight w:val="none"/>
        </w:rPr>
        <w:instrText xml:space="preserve"> PAGEREF _Toc193358002 \h </w:instrText>
      </w:r>
      <w:r>
        <w:rPr>
          <w:rFonts w:ascii="宋体" w:hAnsi="宋体"/>
          <w:color w:val="auto"/>
          <w:highlight w:val="none"/>
        </w:rPr>
        <w:fldChar w:fldCharType="separate"/>
      </w:r>
      <w:r>
        <w:rPr>
          <w:rFonts w:ascii="宋体" w:hAnsi="宋体"/>
          <w:color w:val="auto"/>
          <w:highlight w:val="none"/>
        </w:rPr>
        <w:t>37</w:t>
      </w:r>
      <w:r>
        <w:rPr>
          <w:rFonts w:ascii="宋体" w:hAnsi="宋体"/>
          <w:color w:val="auto"/>
          <w:highlight w:val="none"/>
        </w:rPr>
        <w:fldChar w:fldCharType="end"/>
      </w:r>
      <w:r>
        <w:rPr>
          <w:rFonts w:ascii="宋体" w:hAnsi="宋体"/>
          <w:color w:val="auto"/>
          <w:highlight w:val="none"/>
        </w:rPr>
        <w:fldChar w:fldCharType="end"/>
      </w:r>
    </w:p>
    <w:p w14:paraId="081D356E">
      <w:pPr>
        <w:pStyle w:val="33"/>
        <w:tabs>
          <w:tab w:val="right" w:leader="dot" w:pos="8289"/>
        </w:tabs>
        <w:wordWrap w:val="0"/>
        <w:rPr>
          <w:rFonts w:ascii="宋体" w:hAnsi="宋体" w:cstheme="minorBidi"/>
          <w:b w:val="0"/>
          <w:bCs w:val="0"/>
          <w:caps w:val="0"/>
          <w:color w:val="auto"/>
          <w:sz w:val="21"/>
          <w:szCs w:val="22"/>
          <w:highlight w:val="none"/>
        </w:rPr>
      </w:pPr>
      <w:r>
        <w:rPr>
          <w:color w:val="auto"/>
          <w:highlight w:val="none"/>
        </w:rPr>
        <w:fldChar w:fldCharType="begin"/>
      </w:r>
      <w:r>
        <w:rPr>
          <w:color w:val="auto"/>
          <w:highlight w:val="none"/>
        </w:rPr>
        <w:instrText xml:space="preserve"> HYPERLINK \l "_Toc193358019" </w:instrText>
      </w:r>
      <w:r>
        <w:rPr>
          <w:color w:val="auto"/>
          <w:highlight w:val="none"/>
        </w:rPr>
        <w:fldChar w:fldCharType="separate"/>
      </w:r>
      <w:r>
        <w:rPr>
          <w:rStyle w:val="53"/>
          <w:rFonts w:hint="eastAsia" w:ascii="宋体" w:hAnsi="宋体"/>
          <w:color w:val="auto"/>
          <w:highlight w:val="none"/>
        </w:rPr>
        <w:t>第四章</w:t>
      </w:r>
      <w:r>
        <w:rPr>
          <w:rStyle w:val="53"/>
          <w:rFonts w:ascii="宋体" w:hAnsi="宋体"/>
          <w:color w:val="auto"/>
          <w:highlight w:val="none"/>
        </w:rPr>
        <w:t xml:space="preserve">  </w:t>
      </w:r>
      <w:r>
        <w:rPr>
          <w:rStyle w:val="53"/>
          <w:rFonts w:hint="eastAsia" w:ascii="宋体" w:hAnsi="宋体"/>
          <w:color w:val="auto"/>
          <w:highlight w:val="none"/>
        </w:rPr>
        <w:t>合同条款及格式</w:t>
      </w:r>
      <w:r>
        <w:rPr>
          <w:rFonts w:ascii="宋体" w:hAnsi="宋体"/>
          <w:color w:val="auto"/>
          <w:highlight w:val="none"/>
        </w:rPr>
        <w:tab/>
      </w:r>
      <w:r>
        <w:rPr>
          <w:rFonts w:ascii="宋体" w:hAnsi="宋体"/>
          <w:color w:val="auto"/>
          <w:highlight w:val="none"/>
        </w:rPr>
        <w:fldChar w:fldCharType="begin"/>
      </w:r>
      <w:r>
        <w:rPr>
          <w:rFonts w:ascii="宋体" w:hAnsi="宋体"/>
          <w:color w:val="auto"/>
          <w:highlight w:val="none"/>
        </w:rPr>
        <w:instrText xml:space="preserve"> PAGEREF _Toc193358019 \h </w:instrText>
      </w:r>
      <w:r>
        <w:rPr>
          <w:rFonts w:ascii="宋体" w:hAnsi="宋体"/>
          <w:color w:val="auto"/>
          <w:highlight w:val="none"/>
        </w:rPr>
        <w:fldChar w:fldCharType="separate"/>
      </w:r>
      <w:r>
        <w:rPr>
          <w:rFonts w:ascii="宋体" w:hAnsi="宋体"/>
          <w:color w:val="auto"/>
          <w:highlight w:val="none"/>
        </w:rPr>
        <w:t>63</w:t>
      </w:r>
      <w:r>
        <w:rPr>
          <w:rFonts w:ascii="宋体" w:hAnsi="宋体"/>
          <w:color w:val="auto"/>
          <w:highlight w:val="none"/>
        </w:rPr>
        <w:fldChar w:fldCharType="end"/>
      </w:r>
      <w:r>
        <w:rPr>
          <w:rFonts w:ascii="宋体" w:hAnsi="宋体"/>
          <w:color w:val="auto"/>
          <w:highlight w:val="none"/>
        </w:rPr>
        <w:fldChar w:fldCharType="end"/>
      </w:r>
    </w:p>
    <w:p w14:paraId="639773F5">
      <w:pPr>
        <w:pStyle w:val="33"/>
        <w:tabs>
          <w:tab w:val="right" w:leader="dot" w:pos="8289"/>
        </w:tabs>
        <w:wordWrap w:val="0"/>
        <w:rPr>
          <w:rFonts w:ascii="宋体" w:hAnsi="宋体" w:cstheme="minorBidi"/>
          <w:b w:val="0"/>
          <w:bCs w:val="0"/>
          <w:caps w:val="0"/>
          <w:color w:val="auto"/>
          <w:sz w:val="21"/>
          <w:szCs w:val="22"/>
          <w:highlight w:val="none"/>
        </w:rPr>
      </w:pPr>
      <w:r>
        <w:rPr>
          <w:color w:val="auto"/>
          <w:highlight w:val="none"/>
        </w:rPr>
        <w:fldChar w:fldCharType="begin"/>
      </w:r>
      <w:r>
        <w:rPr>
          <w:color w:val="auto"/>
          <w:highlight w:val="none"/>
        </w:rPr>
        <w:instrText xml:space="preserve"> HYPERLINK \l "_Toc193358020" </w:instrText>
      </w:r>
      <w:r>
        <w:rPr>
          <w:color w:val="auto"/>
          <w:highlight w:val="none"/>
        </w:rPr>
        <w:fldChar w:fldCharType="separate"/>
      </w:r>
      <w:r>
        <w:rPr>
          <w:rStyle w:val="53"/>
          <w:rFonts w:hint="eastAsia" w:ascii="宋体" w:hAnsi="宋体"/>
          <w:color w:val="auto"/>
          <w:highlight w:val="none"/>
        </w:rPr>
        <w:t>第二卷</w:t>
      </w:r>
      <w:r>
        <w:rPr>
          <w:rFonts w:ascii="宋体" w:hAnsi="宋体"/>
          <w:color w:val="auto"/>
          <w:highlight w:val="none"/>
        </w:rPr>
        <w:tab/>
      </w:r>
      <w:r>
        <w:rPr>
          <w:rFonts w:ascii="宋体" w:hAnsi="宋体"/>
          <w:color w:val="auto"/>
          <w:highlight w:val="none"/>
        </w:rPr>
        <w:fldChar w:fldCharType="begin"/>
      </w:r>
      <w:r>
        <w:rPr>
          <w:rFonts w:ascii="宋体" w:hAnsi="宋体"/>
          <w:color w:val="auto"/>
          <w:highlight w:val="none"/>
        </w:rPr>
        <w:instrText xml:space="preserve"> PAGEREF _Toc193358020 \h </w:instrText>
      </w:r>
      <w:r>
        <w:rPr>
          <w:rFonts w:ascii="宋体" w:hAnsi="宋体"/>
          <w:color w:val="auto"/>
          <w:highlight w:val="none"/>
        </w:rPr>
        <w:fldChar w:fldCharType="separate"/>
      </w:r>
      <w:r>
        <w:rPr>
          <w:rFonts w:ascii="宋体" w:hAnsi="宋体"/>
          <w:color w:val="auto"/>
          <w:highlight w:val="none"/>
        </w:rPr>
        <w:t>105</w:t>
      </w:r>
      <w:r>
        <w:rPr>
          <w:rFonts w:ascii="宋体" w:hAnsi="宋体"/>
          <w:color w:val="auto"/>
          <w:highlight w:val="none"/>
        </w:rPr>
        <w:fldChar w:fldCharType="end"/>
      </w:r>
      <w:r>
        <w:rPr>
          <w:rFonts w:ascii="宋体" w:hAnsi="宋体"/>
          <w:color w:val="auto"/>
          <w:highlight w:val="none"/>
        </w:rPr>
        <w:fldChar w:fldCharType="end"/>
      </w:r>
    </w:p>
    <w:p w14:paraId="44486448">
      <w:pPr>
        <w:pStyle w:val="33"/>
        <w:tabs>
          <w:tab w:val="right" w:leader="dot" w:pos="8289"/>
        </w:tabs>
        <w:wordWrap w:val="0"/>
        <w:rPr>
          <w:rFonts w:ascii="宋体" w:hAnsi="宋体" w:cstheme="minorBidi"/>
          <w:b w:val="0"/>
          <w:bCs w:val="0"/>
          <w:caps w:val="0"/>
          <w:color w:val="auto"/>
          <w:sz w:val="21"/>
          <w:szCs w:val="22"/>
          <w:highlight w:val="none"/>
        </w:rPr>
      </w:pPr>
      <w:r>
        <w:rPr>
          <w:color w:val="auto"/>
          <w:highlight w:val="none"/>
        </w:rPr>
        <w:fldChar w:fldCharType="begin"/>
      </w:r>
      <w:r>
        <w:rPr>
          <w:color w:val="auto"/>
          <w:highlight w:val="none"/>
        </w:rPr>
        <w:instrText xml:space="preserve"> HYPERLINK \l "_Toc193358021" </w:instrText>
      </w:r>
      <w:r>
        <w:rPr>
          <w:color w:val="auto"/>
          <w:highlight w:val="none"/>
        </w:rPr>
        <w:fldChar w:fldCharType="separate"/>
      </w:r>
      <w:r>
        <w:rPr>
          <w:rStyle w:val="53"/>
          <w:rFonts w:hint="eastAsia" w:ascii="宋体" w:hAnsi="宋体"/>
          <w:color w:val="auto"/>
          <w:highlight w:val="none"/>
        </w:rPr>
        <w:t>第五章</w:t>
      </w:r>
      <w:r>
        <w:rPr>
          <w:rStyle w:val="53"/>
          <w:rFonts w:ascii="宋体" w:hAnsi="宋体"/>
          <w:color w:val="auto"/>
          <w:highlight w:val="none"/>
        </w:rPr>
        <w:t xml:space="preserve">  </w:t>
      </w:r>
      <w:r>
        <w:rPr>
          <w:rStyle w:val="53"/>
          <w:rFonts w:hint="eastAsia" w:ascii="宋体" w:hAnsi="宋体"/>
          <w:color w:val="auto"/>
          <w:highlight w:val="none"/>
        </w:rPr>
        <w:t>发包人要求</w:t>
      </w:r>
      <w:r>
        <w:rPr>
          <w:rFonts w:ascii="宋体" w:hAnsi="宋体"/>
          <w:color w:val="auto"/>
          <w:highlight w:val="none"/>
        </w:rPr>
        <w:tab/>
      </w:r>
      <w:r>
        <w:rPr>
          <w:rFonts w:ascii="宋体" w:hAnsi="宋体"/>
          <w:color w:val="auto"/>
          <w:highlight w:val="none"/>
        </w:rPr>
        <w:fldChar w:fldCharType="begin"/>
      </w:r>
      <w:r>
        <w:rPr>
          <w:rFonts w:ascii="宋体" w:hAnsi="宋体"/>
          <w:color w:val="auto"/>
          <w:highlight w:val="none"/>
        </w:rPr>
        <w:instrText xml:space="preserve"> PAGEREF _Toc193358021 \h </w:instrText>
      </w:r>
      <w:r>
        <w:rPr>
          <w:rFonts w:ascii="宋体" w:hAnsi="宋体"/>
          <w:color w:val="auto"/>
          <w:highlight w:val="none"/>
        </w:rPr>
        <w:fldChar w:fldCharType="separate"/>
      </w:r>
      <w:r>
        <w:rPr>
          <w:rFonts w:ascii="宋体" w:hAnsi="宋体"/>
          <w:color w:val="auto"/>
          <w:highlight w:val="none"/>
        </w:rPr>
        <w:t>105</w:t>
      </w:r>
      <w:r>
        <w:rPr>
          <w:rFonts w:ascii="宋体" w:hAnsi="宋体"/>
          <w:color w:val="auto"/>
          <w:highlight w:val="none"/>
        </w:rPr>
        <w:fldChar w:fldCharType="end"/>
      </w:r>
      <w:r>
        <w:rPr>
          <w:rFonts w:ascii="宋体" w:hAnsi="宋体"/>
          <w:color w:val="auto"/>
          <w:highlight w:val="none"/>
        </w:rPr>
        <w:fldChar w:fldCharType="end"/>
      </w:r>
    </w:p>
    <w:p w14:paraId="283BF5AD">
      <w:pPr>
        <w:pStyle w:val="33"/>
        <w:tabs>
          <w:tab w:val="right" w:leader="dot" w:pos="8289"/>
        </w:tabs>
        <w:wordWrap w:val="0"/>
        <w:rPr>
          <w:rFonts w:ascii="宋体" w:hAnsi="宋体" w:cstheme="minorBidi"/>
          <w:b w:val="0"/>
          <w:bCs w:val="0"/>
          <w:caps w:val="0"/>
          <w:color w:val="auto"/>
          <w:sz w:val="21"/>
          <w:szCs w:val="22"/>
          <w:highlight w:val="none"/>
        </w:rPr>
      </w:pPr>
      <w:r>
        <w:rPr>
          <w:color w:val="auto"/>
          <w:highlight w:val="none"/>
        </w:rPr>
        <w:fldChar w:fldCharType="begin"/>
      </w:r>
      <w:r>
        <w:rPr>
          <w:color w:val="auto"/>
          <w:highlight w:val="none"/>
        </w:rPr>
        <w:instrText xml:space="preserve"> HYPERLINK \l "_Toc193358022" </w:instrText>
      </w:r>
      <w:r>
        <w:rPr>
          <w:color w:val="auto"/>
          <w:highlight w:val="none"/>
        </w:rPr>
        <w:fldChar w:fldCharType="separate"/>
      </w:r>
      <w:r>
        <w:rPr>
          <w:rStyle w:val="53"/>
          <w:rFonts w:hint="eastAsia" w:ascii="宋体" w:hAnsi="宋体"/>
          <w:color w:val="auto"/>
          <w:highlight w:val="none"/>
        </w:rPr>
        <w:t>第三卷</w:t>
      </w:r>
      <w:r>
        <w:rPr>
          <w:rFonts w:ascii="宋体" w:hAnsi="宋体"/>
          <w:color w:val="auto"/>
          <w:highlight w:val="none"/>
        </w:rPr>
        <w:tab/>
      </w:r>
      <w:r>
        <w:rPr>
          <w:rFonts w:ascii="宋体" w:hAnsi="宋体"/>
          <w:color w:val="auto"/>
          <w:highlight w:val="none"/>
        </w:rPr>
        <w:fldChar w:fldCharType="begin"/>
      </w:r>
      <w:r>
        <w:rPr>
          <w:rFonts w:ascii="宋体" w:hAnsi="宋体"/>
          <w:color w:val="auto"/>
          <w:highlight w:val="none"/>
        </w:rPr>
        <w:instrText xml:space="preserve"> PAGEREF _Toc193358022 \h </w:instrText>
      </w:r>
      <w:r>
        <w:rPr>
          <w:rFonts w:ascii="宋体" w:hAnsi="宋体"/>
          <w:color w:val="auto"/>
          <w:highlight w:val="none"/>
        </w:rPr>
        <w:fldChar w:fldCharType="separate"/>
      </w:r>
      <w:r>
        <w:rPr>
          <w:rFonts w:ascii="宋体" w:hAnsi="宋体"/>
          <w:color w:val="auto"/>
          <w:highlight w:val="none"/>
        </w:rPr>
        <w:t>109</w:t>
      </w:r>
      <w:r>
        <w:rPr>
          <w:rFonts w:ascii="宋体" w:hAnsi="宋体"/>
          <w:color w:val="auto"/>
          <w:highlight w:val="none"/>
        </w:rPr>
        <w:fldChar w:fldCharType="end"/>
      </w:r>
      <w:r>
        <w:rPr>
          <w:rFonts w:ascii="宋体" w:hAnsi="宋体"/>
          <w:color w:val="auto"/>
          <w:highlight w:val="none"/>
        </w:rPr>
        <w:fldChar w:fldCharType="end"/>
      </w:r>
    </w:p>
    <w:p w14:paraId="1F4CA752">
      <w:pPr>
        <w:pStyle w:val="33"/>
        <w:tabs>
          <w:tab w:val="right" w:leader="dot" w:pos="8289"/>
        </w:tabs>
        <w:wordWrap w:val="0"/>
        <w:rPr>
          <w:rFonts w:ascii="宋体" w:hAnsi="宋体" w:cstheme="minorBidi"/>
          <w:b w:val="0"/>
          <w:bCs w:val="0"/>
          <w:caps w:val="0"/>
          <w:color w:val="auto"/>
          <w:sz w:val="21"/>
          <w:szCs w:val="22"/>
          <w:highlight w:val="none"/>
        </w:rPr>
      </w:pPr>
      <w:r>
        <w:rPr>
          <w:color w:val="auto"/>
          <w:highlight w:val="none"/>
        </w:rPr>
        <w:fldChar w:fldCharType="begin"/>
      </w:r>
      <w:r>
        <w:rPr>
          <w:color w:val="auto"/>
          <w:highlight w:val="none"/>
        </w:rPr>
        <w:instrText xml:space="preserve"> HYPERLINK \l "_Toc193358023" </w:instrText>
      </w:r>
      <w:r>
        <w:rPr>
          <w:color w:val="auto"/>
          <w:highlight w:val="none"/>
        </w:rPr>
        <w:fldChar w:fldCharType="separate"/>
      </w:r>
      <w:r>
        <w:rPr>
          <w:rStyle w:val="53"/>
          <w:rFonts w:hint="eastAsia" w:ascii="宋体" w:hAnsi="宋体"/>
          <w:color w:val="auto"/>
          <w:highlight w:val="none"/>
        </w:rPr>
        <w:t>第六章</w:t>
      </w:r>
      <w:r>
        <w:rPr>
          <w:rStyle w:val="53"/>
          <w:rFonts w:ascii="宋体" w:hAnsi="宋体"/>
          <w:color w:val="auto"/>
          <w:highlight w:val="none"/>
        </w:rPr>
        <w:t xml:space="preserve">  </w:t>
      </w:r>
      <w:r>
        <w:rPr>
          <w:rStyle w:val="53"/>
          <w:rFonts w:hint="eastAsia" w:ascii="宋体" w:hAnsi="宋体"/>
          <w:color w:val="auto"/>
          <w:highlight w:val="none"/>
        </w:rPr>
        <w:t>投标文件格式</w:t>
      </w:r>
      <w:r>
        <w:rPr>
          <w:rFonts w:ascii="宋体" w:hAnsi="宋体"/>
          <w:color w:val="auto"/>
          <w:highlight w:val="none"/>
        </w:rPr>
        <w:tab/>
      </w:r>
      <w:r>
        <w:rPr>
          <w:rFonts w:ascii="宋体" w:hAnsi="宋体"/>
          <w:color w:val="auto"/>
          <w:highlight w:val="none"/>
        </w:rPr>
        <w:fldChar w:fldCharType="begin"/>
      </w:r>
      <w:r>
        <w:rPr>
          <w:rFonts w:ascii="宋体" w:hAnsi="宋体"/>
          <w:color w:val="auto"/>
          <w:highlight w:val="none"/>
        </w:rPr>
        <w:instrText xml:space="preserve"> PAGEREF _Toc193358023 \h </w:instrText>
      </w:r>
      <w:r>
        <w:rPr>
          <w:rFonts w:ascii="宋体" w:hAnsi="宋体"/>
          <w:color w:val="auto"/>
          <w:highlight w:val="none"/>
        </w:rPr>
        <w:fldChar w:fldCharType="separate"/>
      </w:r>
      <w:r>
        <w:rPr>
          <w:rFonts w:ascii="宋体" w:hAnsi="宋体"/>
          <w:color w:val="auto"/>
          <w:highlight w:val="none"/>
        </w:rPr>
        <w:t>109</w:t>
      </w:r>
      <w:r>
        <w:rPr>
          <w:rFonts w:ascii="宋体" w:hAnsi="宋体"/>
          <w:color w:val="auto"/>
          <w:highlight w:val="none"/>
        </w:rPr>
        <w:fldChar w:fldCharType="end"/>
      </w:r>
      <w:r>
        <w:rPr>
          <w:rFonts w:ascii="宋体" w:hAnsi="宋体"/>
          <w:color w:val="auto"/>
          <w:highlight w:val="none"/>
        </w:rPr>
        <w:fldChar w:fldCharType="end"/>
      </w:r>
    </w:p>
    <w:p w14:paraId="5ABBB47A">
      <w:pPr>
        <w:wordWrap w:val="0"/>
        <w:spacing w:line="360" w:lineRule="auto"/>
        <w:rPr>
          <w:rFonts w:ascii="宋体" w:hAnsi="宋体" w:eastAsia="宋体" w:cs="宋体"/>
          <w:color w:val="auto"/>
          <w:kern w:val="0"/>
          <w:szCs w:val="21"/>
          <w:highlight w:val="none"/>
        </w:rPr>
      </w:pPr>
      <w:r>
        <w:rPr>
          <w:rFonts w:hint="eastAsia" w:ascii="宋体" w:hAnsi="宋体" w:eastAsia="宋体" w:cs="宋体"/>
          <w:bCs/>
          <w:color w:val="auto"/>
          <w:sz w:val="24"/>
          <w:szCs w:val="24"/>
          <w:highlight w:val="none"/>
          <w:lang w:val="zh-CN"/>
        </w:rPr>
        <w:fldChar w:fldCharType="end"/>
      </w:r>
    </w:p>
    <w:p w14:paraId="6E07954B">
      <w:pPr>
        <w:wordWrap w:val="0"/>
        <w:autoSpaceDE w:val="0"/>
        <w:autoSpaceDN w:val="0"/>
        <w:spacing w:line="2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Cs w:val="21"/>
          <w:highlight w:val="none"/>
        </w:rPr>
        <w:br w:type="page"/>
      </w:r>
    </w:p>
    <w:p w14:paraId="33F74A72">
      <w:pPr>
        <w:pStyle w:val="2"/>
        <w:rPr>
          <w:rFonts w:ascii="宋体" w:hAnsi="宋体"/>
          <w:color w:val="auto"/>
          <w:highlight w:val="none"/>
        </w:rPr>
      </w:pPr>
      <w:bookmarkStart w:id="0" w:name="_Toc193357935"/>
      <w:bookmarkStart w:id="1" w:name="_Toc111186720"/>
      <w:r>
        <w:rPr>
          <w:rFonts w:hint="eastAsia" w:ascii="宋体" w:hAnsi="宋体"/>
          <w:color w:val="auto"/>
          <w:highlight w:val="none"/>
        </w:rPr>
        <w:t>第一卷</w:t>
      </w:r>
      <w:bookmarkEnd w:id="0"/>
      <w:bookmarkEnd w:id="1"/>
    </w:p>
    <w:p w14:paraId="5B505C88">
      <w:pPr>
        <w:widowControl/>
        <w:wordWrap w:val="0"/>
        <w:jc w:val="left"/>
        <w:rPr>
          <w:rFonts w:ascii="宋体" w:hAnsi="宋体" w:eastAsia="宋体" w:cs="宋体"/>
          <w:color w:val="auto"/>
          <w:spacing w:val="2"/>
          <w:kern w:val="0"/>
          <w:sz w:val="44"/>
          <w:szCs w:val="44"/>
          <w:highlight w:val="none"/>
        </w:rPr>
        <w:sectPr>
          <w:footerReference r:id="rId4" w:type="default"/>
          <w:type w:val="continuous"/>
          <w:pgSz w:w="11905" w:h="16838"/>
          <w:pgMar w:top="1440" w:right="1803" w:bottom="1440" w:left="1803" w:header="720" w:footer="720" w:gutter="0"/>
          <w:pgNumType w:start="0"/>
          <w:cols w:space="720" w:num="1"/>
          <w:titlePg/>
          <w:docGrid w:linePitch="286" w:charSpace="0"/>
        </w:sectPr>
      </w:pPr>
    </w:p>
    <w:p w14:paraId="77252B5B">
      <w:pPr>
        <w:pStyle w:val="2"/>
        <w:rPr>
          <w:rFonts w:ascii="宋体" w:hAnsi="宋体"/>
          <w:color w:val="auto"/>
          <w:highlight w:val="none"/>
          <w:lang w:bidi="ar"/>
        </w:rPr>
      </w:pPr>
      <w:bookmarkStart w:id="2" w:name="_Toc111186721"/>
      <w:bookmarkStart w:id="3" w:name="_Toc193357936"/>
      <w:r>
        <w:rPr>
          <w:rFonts w:hint="eastAsia" w:ascii="宋体" w:hAnsi="宋体"/>
          <w:color w:val="auto"/>
          <w:highlight w:val="none"/>
          <w:lang w:bidi="ar"/>
        </w:rPr>
        <w:t>第一章  招标公告</w:t>
      </w:r>
      <w:bookmarkEnd w:id="2"/>
      <w:bookmarkEnd w:id="3"/>
    </w:p>
    <w:p w14:paraId="67FD45B5">
      <w:pPr>
        <w:wordWrap w:val="0"/>
        <w:spacing w:line="360" w:lineRule="auto"/>
        <w:jc w:val="center"/>
        <w:rPr>
          <w:rFonts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u w:val="single"/>
        </w:rPr>
        <w:t>另册</w:t>
      </w:r>
    </w:p>
    <w:p w14:paraId="7A681022">
      <w:pPr>
        <w:widowControl/>
        <w:wordWrap w:val="0"/>
        <w:jc w:val="left"/>
        <w:rPr>
          <w:rFonts w:ascii="宋体" w:hAnsi="宋体" w:eastAsia="宋体" w:cs="宋体"/>
          <w:color w:val="auto"/>
          <w:spacing w:val="2"/>
          <w:kern w:val="0"/>
          <w:sz w:val="44"/>
          <w:szCs w:val="44"/>
          <w:highlight w:val="none"/>
        </w:rPr>
      </w:pPr>
      <w:r>
        <w:rPr>
          <w:rFonts w:hint="eastAsia" w:ascii="宋体" w:hAnsi="宋体" w:eastAsia="宋体" w:cs="宋体"/>
          <w:color w:val="auto"/>
          <w:spacing w:val="2"/>
          <w:kern w:val="0"/>
          <w:sz w:val="44"/>
          <w:szCs w:val="44"/>
          <w:highlight w:val="none"/>
        </w:rPr>
        <w:br w:type="page"/>
      </w:r>
    </w:p>
    <w:p w14:paraId="2B9A8F5B">
      <w:pPr>
        <w:widowControl/>
        <w:wordWrap w:val="0"/>
        <w:jc w:val="left"/>
        <w:rPr>
          <w:rFonts w:ascii="宋体" w:hAnsi="宋体" w:eastAsia="宋体" w:cs="宋体"/>
          <w:color w:val="auto"/>
          <w:spacing w:val="2"/>
          <w:kern w:val="0"/>
          <w:sz w:val="44"/>
          <w:szCs w:val="44"/>
          <w:highlight w:val="none"/>
        </w:rPr>
        <w:sectPr>
          <w:type w:val="continuous"/>
          <w:pgSz w:w="11905" w:h="16838"/>
          <w:pgMar w:top="1474" w:right="1701" w:bottom="1474" w:left="1701" w:header="720" w:footer="720" w:gutter="0"/>
          <w:cols w:space="720" w:num="1"/>
        </w:sectPr>
      </w:pPr>
    </w:p>
    <w:p w14:paraId="0119B221">
      <w:pPr>
        <w:pStyle w:val="2"/>
        <w:rPr>
          <w:rFonts w:ascii="宋体" w:hAnsi="宋体"/>
          <w:color w:val="auto"/>
          <w:highlight w:val="none"/>
          <w:lang w:bidi="ar"/>
        </w:rPr>
      </w:pPr>
      <w:bookmarkStart w:id="4" w:name="_Toc111186722"/>
      <w:bookmarkStart w:id="5" w:name="_Toc193357937"/>
      <w:r>
        <w:rPr>
          <w:rFonts w:hint="eastAsia" w:ascii="宋体" w:hAnsi="宋体"/>
          <w:color w:val="auto"/>
          <w:highlight w:val="none"/>
          <w:lang w:bidi="ar"/>
        </w:rPr>
        <w:t>第二章  投标人须知</w:t>
      </w:r>
      <w:bookmarkEnd w:id="4"/>
      <w:bookmarkEnd w:id="5"/>
    </w:p>
    <w:p w14:paraId="51D35F93">
      <w:pPr>
        <w:pStyle w:val="4"/>
        <w:wordWrap w:val="0"/>
        <w:rPr>
          <w:rFonts w:ascii="宋体" w:hAnsi="宋体"/>
          <w:color w:val="auto"/>
          <w:highlight w:val="none"/>
          <w:lang w:bidi="ar"/>
        </w:rPr>
      </w:pPr>
      <w:bookmarkStart w:id="6" w:name="_Toc193357938"/>
      <w:bookmarkStart w:id="7" w:name="_Toc26350"/>
      <w:bookmarkStart w:id="8" w:name="_Toc111186723"/>
      <w:r>
        <w:rPr>
          <w:rFonts w:hint="eastAsia" w:ascii="宋体" w:hAnsi="宋体"/>
          <w:color w:val="auto"/>
          <w:highlight w:val="none"/>
          <w:lang w:bidi="ar"/>
        </w:rPr>
        <w:t>投标人须知前附表</w:t>
      </w:r>
      <w:bookmarkEnd w:id="6"/>
      <w:bookmarkEnd w:id="7"/>
      <w:bookmarkEnd w:id="8"/>
    </w:p>
    <w:tbl>
      <w:tblPr>
        <w:tblStyle w:val="46"/>
        <w:tblW w:w="503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7"/>
        <w:gridCol w:w="1944"/>
        <w:gridCol w:w="6395"/>
      </w:tblGrid>
      <w:tr w14:paraId="3E5B3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blHeader/>
        </w:trPr>
        <w:tc>
          <w:tcPr>
            <w:tcW w:w="441" w:type="pct"/>
            <w:vAlign w:val="center"/>
          </w:tcPr>
          <w:p w14:paraId="35065E19">
            <w:pPr>
              <w:wordWrap w:val="0"/>
              <w:autoSpaceDE w:val="0"/>
              <w:autoSpaceDN w:val="0"/>
              <w:spacing w:line="276" w:lineRule="auto"/>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条款号</w:t>
            </w:r>
          </w:p>
        </w:tc>
        <w:tc>
          <w:tcPr>
            <w:tcW w:w="1063" w:type="pct"/>
            <w:vAlign w:val="center"/>
          </w:tcPr>
          <w:p w14:paraId="5054C643">
            <w:pPr>
              <w:wordWrap w:val="0"/>
              <w:autoSpaceDE w:val="0"/>
              <w:autoSpaceDN w:val="0"/>
              <w:spacing w:line="276" w:lineRule="auto"/>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条款名称</w:t>
            </w:r>
          </w:p>
        </w:tc>
        <w:tc>
          <w:tcPr>
            <w:tcW w:w="3495" w:type="pct"/>
            <w:vAlign w:val="center"/>
          </w:tcPr>
          <w:p w14:paraId="5F46E8BB">
            <w:pPr>
              <w:wordWrap w:val="0"/>
              <w:autoSpaceDE w:val="0"/>
              <w:autoSpaceDN w:val="0"/>
              <w:spacing w:line="276" w:lineRule="auto"/>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编列内容</w:t>
            </w:r>
          </w:p>
        </w:tc>
      </w:tr>
      <w:tr w14:paraId="6423F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4CB80A15">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1.1.2</w:t>
            </w:r>
          </w:p>
        </w:tc>
        <w:tc>
          <w:tcPr>
            <w:tcW w:w="1063" w:type="pct"/>
            <w:vAlign w:val="center"/>
          </w:tcPr>
          <w:p w14:paraId="4B679388">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招标人</w:t>
            </w:r>
          </w:p>
        </w:tc>
        <w:tc>
          <w:tcPr>
            <w:tcW w:w="3495" w:type="pct"/>
            <w:vAlign w:val="center"/>
          </w:tcPr>
          <w:p w14:paraId="5F93A252">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名称：</w:t>
            </w:r>
            <w:r>
              <w:rPr>
                <w:rFonts w:hint="eastAsia" w:ascii="宋体" w:hAnsi="宋体" w:eastAsia="宋体" w:cs="宋体"/>
                <w:color w:val="auto"/>
                <w:szCs w:val="21"/>
                <w:highlight w:val="none"/>
                <w:u w:val="single"/>
              </w:rPr>
              <w:t>中新广州知识城财政投资建设项目管理中心</w:t>
            </w:r>
          </w:p>
          <w:p w14:paraId="3DC6FC6E">
            <w:pPr>
              <w:wordWrap w:val="0"/>
              <w:spacing w:line="276" w:lineRule="auto"/>
              <w:rPr>
                <w:rFonts w:ascii="宋体" w:hAnsi="宋体" w:eastAsia="宋体" w:cs="宋体"/>
                <w:color w:val="auto"/>
                <w:szCs w:val="21"/>
                <w:highlight w:val="none"/>
                <w:u w:val="single"/>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u w:val="single"/>
              </w:rPr>
              <w:t>广州市黄埔区中新知识亿创街1号人才大厦31楼</w:t>
            </w:r>
          </w:p>
          <w:p w14:paraId="15CEDD3B">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联系人：</w:t>
            </w:r>
            <w:r>
              <w:rPr>
                <w:rFonts w:hint="eastAsia" w:ascii="宋体" w:hAnsi="宋体" w:eastAsia="宋体" w:cs="宋体"/>
                <w:color w:val="auto"/>
                <w:szCs w:val="21"/>
                <w:highlight w:val="none"/>
                <w:u w:val="single"/>
              </w:rPr>
              <w:t>王工</w:t>
            </w:r>
          </w:p>
          <w:p w14:paraId="3C09EF09">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电话：</w:t>
            </w:r>
            <w:r>
              <w:rPr>
                <w:rFonts w:hint="eastAsia" w:ascii="宋体" w:hAnsi="宋体" w:eastAsia="宋体" w:cs="宋体"/>
                <w:bCs w:val="0"/>
                <w:color w:val="auto"/>
                <w:sz w:val="21"/>
                <w:szCs w:val="21"/>
                <w:highlight w:val="none"/>
                <w:u w:val="single"/>
              </w:rPr>
              <w:t>020-</w:t>
            </w:r>
            <w:r>
              <w:rPr>
                <w:rFonts w:hint="eastAsia" w:ascii="宋体" w:hAnsi="宋体" w:eastAsia="宋体" w:cs="宋体"/>
                <w:bCs w:val="0"/>
                <w:color w:val="auto"/>
                <w:sz w:val="21"/>
                <w:szCs w:val="21"/>
                <w:highlight w:val="none"/>
                <w:u w:val="single"/>
                <w:lang w:val="en-US" w:eastAsia="zh-CN"/>
              </w:rPr>
              <w:t>82119078</w:t>
            </w:r>
          </w:p>
        </w:tc>
      </w:tr>
      <w:tr w14:paraId="54AFE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5267B03C">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1.1.3</w:t>
            </w:r>
          </w:p>
        </w:tc>
        <w:tc>
          <w:tcPr>
            <w:tcW w:w="1063" w:type="pct"/>
            <w:vAlign w:val="center"/>
          </w:tcPr>
          <w:p w14:paraId="6EE0D08D">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招标代理机构</w:t>
            </w:r>
          </w:p>
        </w:tc>
        <w:tc>
          <w:tcPr>
            <w:tcW w:w="3495" w:type="pct"/>
            <w:vAlign w:val="center"/>
          </w:tcPr>
          <w:p w14:paraId="41AD9A7F">
            <w:pPr>
              <w:wordWrap w:val="0"/>
              <w:spacing w:line="276" w:lineRule="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名称：</w:t>
            </w:r>
            <w:r>
              <w:rPr>
                <w:rFonts w:hint="eastAsia" w:ascii="宋体" w:hAnsi="宋体" w:eastAsia="宋体" w:cs="宋体"/>
                <w:color w:val="auto"/>
                <w:szCs w:val="21"/>
                <w:highlight w:val="none"/>
                <w:u w:val="single"/>
                <w:lang w:eastAsia="zh-CN"/>
              </w:rPr>
              <w:t>广州市市政工程监理有限公司</w:t>
            </w:r>
          </w:p>
          <w:p w14:paraId="3C0CDBEB">
            <w:pPr>
              <w:wordWrap w:val="0"/>
              <w:spacing w:line="276" w:lineRule="auto"/>
              <w:rPr>
                <w:rFonts w:ascii="宋体" w:hAnsi="宋体" w:eastAsia="宋体" w:cs="宋体"/>
                <w:color w:val="auto"/>
                <w:szCs w:val="21"/>
                <w:highlight w:val="none"/>
                <w:u w:val="single"/>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u w:val="single"/>
                <w:lang w:eastAsia="zh-CN"/>
              </w:rPr>
              <w:t>广州市</w:t>
            </w:r>
            <w:r>
              <w:rPr>
                <w:rFonts w:hint="eastAsia" w:ascii="宋体" w:hAnsi="宋体" w:eastAsia="宋体" w:cs="宋体"/>
                <w:color w:val="auto"/>
                <w:szCs w:val="21"/>
                <w:highlight w:val="none"/>
                <w:u w:val="single"/>
                <w:lang w:val="en-US" w:eastAsia="zh-CN"/>
              </w:rPr>
              <w:t>越秀区东风中路437号越秀城市广场南塔38楼</w:t>
            </w:r>
          </w:p>
          <w:p w14:paraId="545DA1C8">
            <w:pPr>
              <w:wordWrap w:val="0"/>
              <w:spacing w:line="276" w:lineRule="auto"/>
              <w:rPr>
                <w:rFonts w:ascii="宋体" w:hAnsi="宋体" w:eastAsia="宋体" w:cs="宋体"/>
                <w:color w:val="auto"/>
                <w:szCs w:val="21"/>
                <w:highlight w:val="none"/>
                <w:u w:val="single"/>
              </w:rPr>
            </w:pPr>
            <w:r>
              <w:rPr>
                <w:rFonts w:hint="eastAsia" w:ascii="宋体" w:hAnsi="宋体" w:eastAsia="宋体" w:cs="宋体"/>
                <w:color w:val="auto"/>
                <w:szCs w:val="21"/>
                <w:highlight w:val="none"/>
              </w:rPr>
              <w:t>联系人：</w:t>
            </w:r>
            <w:r>
              <w:rPr>
                <w:rFonts w:hint="eastAsia" w:ascii="宋体" w:hAnsi="宋体" w:eastAsia="宋体" w:cs="宋体"/>
                <w:color w:val="auto"/>
                <w:szCs w:val="21"/>
                <w:highlight w:val="none"/>
                <w:u w:val="single"/>
                <w:lang w:val="en-US" w:eastAsia="zh-CN"/>
              </w:rPr>
              <w:t>陈</w:t>
            </w:r>
            <w:r>
              <w:rPr>
                <w:rFonts w:hint="eastAsia" w:ascii="宋体" w:hAnsi="宋体" w:eastAsia="宋体" w:cs="宋体"/>
                <w:color w:val="auto"/>
                <w:szCs w:val="21"/>
                <w:highlight w:val="none"/>
                <w:u w:val="single"/>
              </w:rPr>
              <w:t>工</w:t>
            </w:r>
          </w:p>
          <w:p w14:paraId="27146693">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电话：</w:t>
            </w:r>
            <w:r>
              <w:rPr>
                <w:rFonts w:hint="eastAsia" w:ascii="宋体" w:hAnsi="宋体" w:eastAsia="宋体" w:cs="宋体"/>
                <w:color w:val="auto"/>
                <w:szCs w:val="21"/>
                <w:highlight w:val="none"/>
                <w:u w:val="single"/>
                <w:lang w:val="en-US" w:eastAsia="zh-CN"/>
              </w:rPr>
              <w:t>020-83313605</w:t>
            </w:r>
          </w:p>
        </w:tc>
      </w:tr>
      <w:tr w14:paraId="57E55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7AF020E9">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1.1.4</w:t>
            </w:r>
          </w:p>
        </w:tc>
        <w:tc>
          <w:tcPr>
            <w:tcW w:w="1063" w:type="pct"/>
            <w:vAlign w:val="center"/>
          </w:tcPr>
          <w:p w14:paraId="692B7F88">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招标项目名称</w:t>
            </w:r>
          </w:p>
        </w:tc>
        <w:tc>
          <w:tcPr>
            <w:tcW w:w="3495" w:type="pct"/>
            <w:vAlign w:val="center"/>
          </w:tcPr>
          <w:p w14:paraId="44C86C08">
            <w:pPr>
              <w:wordWrap w:val="0"/>
              <w:spacing w:line="276" w:lineRule="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u w:val="single"/>
                <w:lang w:eastAsia="zh-CN"/>
              </w:rPr>
              <w:t>知识城活力创新轴市政道路及配套工程勘察设计</w:t>
            </w:r>
          </w:p>
        </w:tc>
      </w:tr>
      <w:tr w14:paraId="47639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13582B39">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1.1.5</w:t>
            </w:r>
          </w:p>
        </w:tc>
        <w:tc>
          <w:tcPr>
            <w:tcW w:w="1063" w:type="pct"/>
            <w:vAlign w:val="center"/>
          </w:tcPr>
          <w:p w14:paraId="387EF024">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项目建设地点</w:t>
            </w:r>
          </w:p>
        </w:tc>
        <w:tc>
          <w:tcPr>
            <w:tcW w:w="3495" w:type="pct"/>
            <w:vAlign w:val="center"/>
          </w:tcPr>
          <w:p w14:paraId="78CF6506">
            <w:pPr>
              <w:wordWrap w:val="0"/>
              <w:spacing w:line="276" w:lineRule="auto"/>
              <w:rPr>
                <w:rFonts w:ascii="宋体" w:hAnsi="宋体" w:eastAsia="宋体" w:cs="宋体"/>
                <w:color w:val="auto"/>
                <w:szCs w:val="21"/>
                <w:highlight w:val="none"/>
                <w:u w:val="single"/>
              </w:rPr>
            </w:pPr>
            <w:r>
              <w:rPr>
                <w:rFonts w:hint="eastAsia" w:ascii="宋体" w:hAnsi="宋体" w:eastAsia="宋体" w:cs="宋体"/>
                <w:color w:val="auto"/>
                <w:szCs w:val="21"/>
                <w:highlight w:val="none"/>
                <w:u w:val="single"/>
              </w:rPr>
              <w:t>详见本项目招标公告。</w:t>
            </w:r>
          </w:p>
        </w:tc>
      </w:tr>
      <w:tr w14:paraId="4B725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519C88F8">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1.1.6</w:t>
            </w:r>
          </w:p>
        </w:tc>
        <w:tc>
          <w:tcPr>
            <w:tcW w:w="1063" w:type="pct"/>
            <w:vAlign w:val="center"/>
          </w:tcPr>
          <w:p w14:paraId="7D3F632A">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项目建设规模</w:t>
            </w:r>
          </w:p>
        </w:tc>
        <w:tc>
          <w:tcPr>
            <w:tcW w:w="3495" w:type="pct"/>
            <w:vAlign w:val="center"/>
          </w:tcPr>
          <w:p w14:paraId="03CC30A2">
            <w:pPr>
              <w:wordWrap w:val="0"/>
              <w:spacing w:line="276" w:lineRule="auto"/>
              <w:rPr>
                <w:rFonts w:ascii="宋体" w:hAnsi="宋体" w:eastAsia="宋体" w:cs="宋体"/>
                <w:color w:val="auto"/>
                <w:szCs w:val="21"/>
                <w:highlight w:val="none"/>
                <w:u w:val="single"/>
              </w:rPr>
            </w:pPr>
            <w:r>
              <w:rPr>
                <w:rFonts w:hint="eastAsia" w:ascii="宋体" w:hAnsi="宋体" w:eastAsia="宋体" w:cs="宋体"/>
                <w:color w:val="auto"/>
                <w:szCs w:val="21"/>
                <w:highlight w:val="none"/>
                <w:u w:val="single"/>
              </w:rPr>
              <w:t>详见本项目招标公告。</w:t>
            </w:r>
          </w:p>
        </w:tc>
      </w:tr>
      <w:tr w14:paraId="3C09A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7CDC4769">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1.1.7</w:t>
            </w:r>
          </w:p>
        </w:tc>
        <w:tc>
          <w:tcPr>
            <w:tcW w:w="1063" w:type="pct"/>
            <w:vAlign w:val="center"/>
          </w:tcPr>
          <w:p w14:paraId="29AC918A">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项目投资估算</w:t>
            </w:r>
          </w:p>
        </w:tc>
        <w:tc>
          <w:tcPr>
            <w:tcW w:w="3495" w:type="pct"/>
            <w:vAlign w:val="center"/>
          </w:tcPr>
          <w:p w14:paraId="5C58217D">
            <w:pPr>
              <w:wordWrap w:val="0"/>
              <w:spacing w:line="276" w:lineRule="auto"/>
              <w:rPr>
                <w:rFonts w:ascii="宋体" w:hAnsi="宋体" w:eastAsia="宋体" w:cs="宋体"/>
                <w:color w:val="auto"/>
                <w:szCs w:val="21"/>
                <w:highlight w:val="none"/>
                <w:u w:val="single"/>
              </w:rPr>
            </w:pPr>
            <w:r>
              <w:rPr>
                <w:rFonts w:hint="eastAsia" w:ascii="宋体" w:hAnsi="宋体" w:eastAsia="宋体" w:cs="宋体"/>
                <w:color w:val="auto"/>
                <w:szCs w:val="21"/>
                <w:highlight w:val="none"/>
                <w:u w:val="single"/>
              </w:rPr>
              <w:t>详见本项目招标公告。</w:t>
            </w:r>
          </w:p>
        </w:tc>
      </w:tr>
      <w:tr w14:paraId="544DE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59756DCE">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1.2.1</w:t>
            </w:r>
          </w:p>
        </w:tc>
        <w:tc>
          <w:tcPr>
            <w:tcW w:w="1063" w:type="pct"/>
            <w:vAlign w:val="center"/>
          </w:tcPr>
          <w:p w14:paraId="090257BF">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资金来源及比例</w:t>
            </w:r>
          </w:p>
        </w:tc>
        <w:tc>
          <w:tcPr>
            <w:tcW w:w="3495" w:type="pct"/>
            <w:vAlign w:val="center"/>
          </w:tcPr>
          <w:p w14:paraId="39ED010B">
            <w:pPr>
              <w:wordWrap w:val="0"/>
              <w:spacing w:line="276" w:lineRule="auto"/>
              <w:rPr>
                <w:rFonts w:ascii="宋体" w:hAnsi="宋体" w:eastAsia="宋体" w:cs="宋体"/>
                <w:color w:val="auto"/>
                <w:szCs w:val="21"/>
                <w:highlight w:val="none"/>
                <w:u w:val="single"/>
              </w:rPr>
            </w:pPr>
            <w:r>
              <w:rPr>
                <w:rFonts w:hint="eastAsia" w:ascii="宋体" w:hAnsi="宋体" w:eastAsia="宋体"/>
                <w:color w:val="auto"/>
                <w:szCs w:val="21"/>
                <w:highlight w:val="none"/>
                <w:u w:val="single"/>
              </w:rPr>
              <w:t>财政资金</w:t>
            </w:r>
            <w:r>
              <w:rPr>
                <w:rFonts w:ascii="宋体" w:hAnsi="宋体" w:eastAsia="宋体"/>
                <w:color w:val="auto"/>
                <w:szCs w:val="21"/>
                <w:highlight w:val="none"/>
                <w:u w:val="single"/>
              </w:rPr>
              <w:t>100%</w:t>
            </w:r>
            <w:r>
              <w:rPr>
                <w:rFonts w:hint="eastAsia" w:ascii="宋体" w:hAnsi="宋体" w:eastAsia="宋体"/>
                <w:color w:val="auto"/>
                <w:szCs w:val="21"/>
                <w:highlight w:val="none"/>
                <w:u w:val="single"/>
              </w:rPr>
              <w:t>。</w:t>
            </w:r>
          </w:p>
        </w:tc>
      </w:tr>
      <w:tr w14:paraId="2BDB5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4BC45C67">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1.2.2</w:t>
            </w:r>
          </w:p>
        </w:tc>
        <w:tc>
          <w:tcPr>
            <w:tcW w:w="1063" w:type="pct"/>
            <w:vAlign w:val="center"/>
          </w:tcPr>
          <w:p w14:paraId="4719BCD3">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资金落实情况</w:t>
            </w:r>
          </w:p>
        </w:tc>
        <w:tc>
          <w:tcPr>
            <w:tcW w:w="3495" w:type="pct"/>
            <w:vAlign w:val="center"/>
          </w:tcPr>
          <w:p w14:paraId="416DC996">
            <w:pPr>
              <w:spacing w:line="276" w:lineRule="auto"/>
              <w:rPr>
                <w:rFonts w:ascii="宋体" w:hAnsi="宋体" w:eastAsia="宋体"/>
                <w:color w:val="auto"/>
                <w:szCs w:val="21"/>
                <w:highlight w:val="none"/>
                <w:u w:val="single"/>
              </w:rPr>
            </w:pPr>
            <w:r>
              <w:rPr>
                <w:rFonts w:hint="eastAsia" w:ascii="宋体" w:hAnsi="宋体" w:eastAsia="宋体" w:cs="Times New Roman"/>
                <w:color w:val="auto"/>
                <w:szCs w:val="21"/>
                <w:highlight w:val="none"/>
                <w:u w:val="single"/>
              </w:rPr>
              <w:t>项目所需建设资金由区财政安排解决。</w:t>
            </w:r>
          </w:p>
        </w:tc>
      </w:tr>
      <w:tr w14:paraId="53152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19CAFA5F">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1.3.1</w:t>
            </w:r>
          </w:p>
        </w:tc>
        <w:tc>
          <w:tcPr>
            <w:tcW w:w="1063" w:type="pct"/>
            <w:vAlign w:val="center"/>
          </w:tcPr>
          <w:p w14:paraId="1AF3CFDA">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招标范围</w:t>
            </w:r>
          </w:p>
        </w:tc>
        <w:tc>
          <w:tcPr>
            <w:tcW w:w="3495" w:type="pct"/>
            <w:vAlign w:val="center"/>
          </w:tcPr>
          <w:p w14:paraId="1679A0A9">
            <w:pPr>
              <w:wordWrap w:val="0"/>
              <w:spacing w:line="276" w:lineRule="auto"/>
              <w:rPr>
                <w:rFonts w:ascii="宋体" w:hAnsi="宋体" w:eastAsia="宋体" w:cs="宋体"/>
                <w:color w:val="auto"/>
                <w:szCs w:val="21"/>
                <w:highlight w:val="none"/>
                <w:u w:val="single"/>
              </w:rPr>
            </w:pPr>
            <w:r>
              <w:rPr>
                <w:rFonts w:hint="eastAsia" w:ascii="宋体" w:hAnsi="宋体" w:eastAsia="宋体" w:cs="宋体"/>
                <w:color w:val="auto"/>
                <w:szCs w:val="21"/>
                <w:highlight w:val="none"/>
                <w:u w:val="single"/>
              </w:rPr>
              <w:t>详见本项目招标公告。</w:t>
            </w:r>
          </w:p>
        </w:tc>
      </w:tr>
      <w:tr w14:paraId="31AE6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6E2AA30D">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1.3.2</w:t>
            </w:r>
          </w:p>
        </w:tc>
        <w:tc>
          <w:tcPr>
            <w:tcW w:w="1063" w:type="pct"/>
            <w:vAlign w:val="center"/>
          </w:tcPr>
          <w:p w14:paraId="74BE1C83">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勘察设计服务期限</w:t>
            </w:r>
          </w:p>
        </w:tc>
        <w:tc>
          <w:tcPr>
            <w:tcW w:w="3495" w:type="pct"/>
            <w:vAlign w:val="center"/>
          </w:tcPr>
          <w:p w14:paraId="3C58B1EB">
            <w:pPr>
              <w:wordWrap w:val="0"/>
              <w:spacing w:line="276" w:lineRule="auto"/>
              <w:rPr>
                <w:rFonts w:ascii="宋体" w:hAnsi="宋体" w:eastAsia="宋体" w:cs="宋体"/>
                <w:color w:val="auto"/>
                <w:szCs w:val="21"/>
                <w:highlight w:val="none"/>
                <w:u w:val="single"/>
              </w:rPr>
            </w:pPr>
            <w:r>
              <w:rPr>
                <w:rFonts w:hint="eastAsia" w:ascii="宋体" w:hAnsi="宋体" w:eastAsia="宋体" w:cs="宋体"/>
                <w:color w:val="auto"/>
                <w:szCs w:val="21"/>
                <w:highlight w:val="none"/>
                <w:u w:val="single"/>
              </w:rPr>
              <w:t>详见本项目招标公告。</w:t>
            </w:r>
          </w:p>
        </w:tc>
      </w:tr>
      <w:tr w14:paraId="05882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0AA300CF">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1.3.3</w:t>
            </w:r>
          </w:p>
        </w:tc>
        <w:tc>
          <w:tcPr>
            <w:tcW w:w="1063" w:type="pct"/>
            <w:vAlign w:val="center"/>
          </w:tcPr>
          <w:p w14:paraId="2A62B707">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质量标准</w:t>
            </w:r>
          </w:p>
        </w:tc>
        <w:tc>
          <w:tcPr>
            <w:tcW w:w="3495" w:type="pct"/>
            <w:vAlign w:val="center"/>
          </w:tcPr>
          <w:p w14:paraId="2814595E">
            <w:pPr>
              <w:wordWrap w:val="0"/>
              <w:spacing w:line="276" w:lineRule="auto"/>
              <w:rPr>
                <w:rFonts w:ascii="宋体" w:hAnsi="宋体" w:eastAsia="宋体" w:cs="宋体"/>
                <w:color w:val="auto"/>
                <w:szCs w:val="21"/>
                <w:highlight w:val="none"/>
                <w:u w:val="single"/>
              </w:rPr>
            </w:pPr>
            <w:bookmarkStart w:id="9" w:name="OLE_LINK2"/>
            <w:r>
              <w:rPr>
                <w:rFonts w:hint="eastAsia" w:ascii="宋体" w:hAnsi="宋体" w:eastAsia="宋体" w:cs="宋体"/>
                <w:color w:val="auto"/>
                <w:szCs w:val="21"/>
                <w:highlight w:val="none"/>
                <w:u w:val="single"/>
              </w:rPr>
              <w:t>1、勘察质量标准：符合国家、省、市及行业现行相关规定、规范、标准和本项目勘察设计要求。</w:t>
            </w:r>
          </w:p>
          <w:p w14:paraId="2FB52C1D">
            <w:pPr>
              <w:wordWrap w:val="0"/>
              <w:spacing w:line="276" w:lineRule="auto"/>
              <w:rPr>
                <w:rFonts w:ascii="宋体" w:hAnsi="宋体" w:eastAsia="宋体" w:cs="宋体"/>
                <w:color w:val="auto"/>
                <w:szCs w:val="21"/>
                <w:highlight w:val="none"/>
                <w:u w:val="single"/>
              </w:rPr>
            </w:pPr>
            <w:r>
              <w:rPr>
                <w:rFonts w:hint="eastAsia" w:ascii="宋体" w:hAnsi="宋体" w:eastAsia="宋体" w:cs="宋体"/>
                <w:color w:val="auto"/>
                <w:szCs w:val="21"/>
                <w:highlight w:val="none"/>
                <w:u w:val="single"/>
              </w:rPr>
              <w:t>2、设计质量标准：符合国家、省、市及行业现行相关规定、规范、标准和本项目设计任务要求。</w:t>
            </w:r>
          </w:p>
          <w:p w14:paraId="546A1A84">
            <w:pPr>
              <w:wordWrap w:val="0"/>
              <w:spacing w:line="276" w:lineRule="auto"/>
              <w:rPr>
                <w:rFonts w:ascii="宋体" w:hAnsi="宋体" w:eastAsia="宋体" w:cs="宋体"/>
                <w:color w:val="auto"/>
                <w:szCs w:val="21"/>
                <w:highlight w:val="none"/>
                <w:u w:val="single"/>
              </w:rPr>
            </w:pPr>
            <w:r>
              <w:rPr>
                <w:rFonts w:hint="eastAsia" w:ascii="宋体" w:hAnsi="宋体" w:eastAsia="宋体" w:cs="宋体"/>
                <w:color w:val="auto"/>
                <w:szCs w:val="21"/>
                <w:highlight w:val="none"/>
                <w:u w:val="single"/>
              </w:rPr>
              <w:t>注：具体以合同约定为准。</w:t>
            </w:r>
            <w:bookmarkEnd w:id="9"/>
          </w:p>
        </w:tc>
      </w:tr>
      <w:tr w14:paraId="711C2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542C3939">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1.4.1</w:t>
            </w:r>
          </w:p>
        </w:tc>
        <w:tc>
          <w:tcPr>
            <w:tcW w:w="1063" w:type="pct"/>
            <w:vAlign w:val="center"/>
          </w:tcPr>
          <w:p w14:paraId="3F9C1DBE">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投标人资质条件、能力、信誉</w:t>
            </w:r>
          </w:p>
        </w:tc>
        <w:tc>
          <w:tcPr>
            <w:tcW w:w="3495" w:type="pct"/>
            <w:vAlign w:val="center"/>
          </w:tcPr>
          <w:p w14:paraId="632DDA4A">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u w:val="single"/>
              </w:rPr>
              <w:t>详见招标公告</w:t>
            </w:r>
          </w:p>
        </w:tc>
      </w:tr>
      <w:tr w14:paraId="5B0E4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5F44A6B0">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1.4.2</w:t>
            </w:r>
          </w:p>
        </w:tc>
        <w:tc>
          <w:tcPr>
            <w:tcW w:w="1063" w:type="pct"/>
            <w:vAlign w:val="center"/>
          </w:tcPr>
          <w:p w14:paraId="67BB9AA8">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是否接受联合体投标</w:t>
            </w:r>
          </w:p>
        </w:tc>
        <w:tc>
          <w:tcPr>
            <w:tcW w:w="3495" w:type="pct"/>
            <w:vAlign w:val="center"/>
          </w:tcPr>
          <w:p w14:paraId="23290E60">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□不接受</w:t>
            </w:r>
          </w:p>
          <w:p w14:paraId="79194F90">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■接受，应满足下列要求：</w:t>
            </w:r>
            <w:r>
              <w:rPr>
                <w:rFonts w:hint="eastAsia" w:ascii="宋体" w:hAnsi="宋体" w:eastAsia="宋体" w:cs="宋体"/>
                <w:color w:val="auto"/>
                <w:szCs w:val="21"/>
                <w:highlight w:val="none"/>
                <w:u w:val="single"/>
              </w:rPr>
              <w:t>详见本项目招标公告第3.6条要求。</w:t>
            </w:r>
          </w:p>
        </w:tc>
      </w:tr>
      <w:tr w14:paraId="6126F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4EC33A26">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1.4.3</w:t>
            </w:r>
          </w:p>
        </w:tc>
        <w:tc>
          <w:tcPr>
            <w:tcW w:w="1063" w:type="pct"/>
            <w:vAlign w:val="center"/>
          </w:tcPr>
          <w:p w14:paraId="329AA8A9">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投标人不得存在的其他情形</w:t>
            </w:r>
          </w:p>
        </w:tc>
        <w:tc>
          <w:tcPr>
            <w:tcW w:w="3495" w:type="pct"/>
            <w:vAlign w:val="center"/>
          </w:tcPr>
          <w:p w14:paraId="72452199">
            <w:pPr>
              <w:wordWrap w:val="0"/>
              <w:spacing w:line="276" w:lineRule="auto"/>
              <w:rPr>
                <w:rFonts w:ascii="宋体" w:hAnsi="宋体" w:eastAsia="宋体" w:cs="宋体"/>
                <w:color w:val="auto"/>
                <w:szCs w:val="21"/>
                <w:highlight w:val="none"/>
              </w:rPr>
            </w:pPr>
            <w:r>
              <w:rPr>
                <w:rFonts w:hint="eastAsia" w:ascii="宋体" w:hAnsi="宋体" w:eastAsia="宋体"/>
                <w:color w:val="auto"/>
                <w:szCs w:val="21"/>
                <w:highlight w:val="none"/>
              </w:rPr>
              <w:t>/</w:t>
            </w:r>
          </w:p>
        </w:tc>
      </w:tr>
      <w:tr w14:paraId="49B57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2E2C45A2">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1.9.1</w:t>
            </w:r>
          </w:p>
        </w:tc>
        <w:tc>
          <w:tcPr>
            <w:tcW w:w="1063" w:type="pct"/>
            <w:vAlign w:val="center"/>
          </w:tcPr>
          <w:p w14:paraId="737810A5">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3495" w:type="pct"/>
            <w:vAlign w:val="center"/>
          </w:tcPr>
          <w:p w14:paraId="60237E01">
            <w:pPr>
              <w:spacing w:line="276" w:lineRule="auto"/>
              <w:jc w:val="left"/>
              <w:rPr>
                <w:rFonts w:ascii="宋体" w:hAnsi="宋体" w:eastAsia="宋体"/>
                <w:color w:val="auto"/>
                <w:szCs w:val="21"/>
                <w:highlight w:val="none"/>
              </w:rPr>
            </w:pPr>
            <w:bookmarkStart w:id="10" w:name="OLE_LINK19"/>
            <w:bookmarkStart w:id="11" w:name="OLE_LINK3"/>
            <w:r>
              <w:rPr>
                <w:rFonts w:hint="eastAsia" w:ascii="宋体" w:hAnsi="宋体" w:eastAsia="宋体"/>
                <w:color w:val="auto"/>
                <w:spacing w:val="-1"/>
                <w:szCs w:val="21"/>
                <w:highlight w:val="none"/>
              </w:rPr>
              <w:sym w:font="Wingdings 2" w:char="0052"/>
            </w:r>
            <w:r>
              <w:rPr>
                <w:rFonts w:hint="eastAsia" w:ascii="宋体" w:hAnsi="宋体" w:eastAsia="宋体"/>
                <w:color w:val="auto"/>
                <w:szCs w:val="21"/>
                <w:highlight w:val="none"/>
              </w:rPr>
              <w:t>招标人不集中组织，由投标人自行踏勘；自招标公告发布之日起具备现场踏勘条件；现场详细地</w:t>
            </w:r>
            <w:bookmarkStart w:id="12" w:name="_Toc221950044"/>
            <w:r>
              <w:rPr>
                <w:rFonts w:hint="eastAsia" w:ascii="宋体" w:hAnsi="宋体" w:eastAsia="宋体"/>
                <w:color w:val="auto"/>
                <w:szCs w:val="21"/>
                <w:highlight w:val="none"/>
              </w:rPr>
              <w:t>点：</w:t>
            </w:r>
            <w:bookmarkEnd w:id="12"/>
            <w:r>
              <w:rPr>
                <w:rFonts w:hint="eastAsia" w:ascii="宋体" w:hAnsi="宋体" w:eastAsia="宋体"/>
                <w:color w:val="auto"/>
                <w:szCs w:val="21"/>
                <w:highlight w:val="none"/>
              </w:rPr>
              <w:t>详见招标公告工程建设地点。</w:t>
            </w:r>
          </w:p>
          <w:bookmarkEnd w:id="10"/>
          <w:p w14:paraId="4CA5D423">
            <w:pPr>
              <w:wordWrap w:val="0"/>
              <w:spacing w:line="276" w:lineRule="auto"/>
              <w:rPr>
                <w:rFonts w:ascii="宋体" w:hAnsi="宋体" w:eastAsia="宋体" w:cs="宋体"/>
                <w:color w:val="auto"/>
                <w:szCs w:val="21"/>
                <w:highlight w:val="none"/>
                <w:u w:val="single"/>
              </w:rPr>
            </w:pPr>
            <w:r>
              <w:rPr>
                <w:rFonts w:hint="eastAsia" w:ascii="宋体" w:hAnsi="宋体" w:eastAsia="宋体" w:cs="宋体"/>
                <w:color w:val="auto"/>
                <w:szCs w:val="21"/>
                <w:highlight w:val="none"/>
                <w:u w:val="single"/>
              </w:rPr>
              <w:t>补充说明如下：</w:t>
            </w:r>
          </w:p>
          <w:p w14:paraId="10C83283">
            <w:pPr>
              <w:wordWrap w:val="0"/>
              <w:spacing w:line="276" w:lineRule="auto"/>
              <w:rPr>
                <w:rFonts w:ascii="宋体" w:hAnsi="宋体" w:eastAsia="宋体" w:cs="宋体"/>
                <w:color w:val="auto"/>
                <w:szCs w:val="21"/>
                <w:highlight w:val="none"/>
                <w:u w:val="single"/>
              </w:rPr>
            </w:pPr>
            <w:r>
              <w:rPr>
                <w:rFonts w:hint="eastAsia" w:ascii="宋体" w:hAnsi="宋体" w:eastAsia="宋体" w:cs="宋体"/>
                <w:color w:val="auto"/>
                <w:szCs w:val="21"/>
                <w:highlight w:val="none"/>
                <w:u w:val="single"/>
              </w:rPr>
              <w:t>（1）投标人自行对工程现场和周围环境进行现场考察，投标人应充分重视和仔细地进行这种考察，以获取那些须投标人自己负责的有关编制投标和签署合同所需的所有资料。一旦中标，这种考察即被认为其结果已在中标文件中得到充分反映。考察现场的费用由投标人自己承担。投标人若认为必要时，也可以独自增加现场考察活动。</w:t>
            </w:r>
          </w:p>
          <w:p w14:paraId="6B467F5D">
            <w:pPr>
              <w:wordWrap w:val="0"/>
              <w:spacing w:line="276" w:lineRule="auto"/>
              <w:rPr>
                <w:rFonts w:ascii="宋体" w:hAnsi="宋体" w:eastAsia="宋体" w:cs="宋体"/>
                <w:color w:val="auto"/>
                <w:szCs w:val="21"/>
                <w:highlight w:val="none"/>
                <w:u w:val="single"/>
              </w:rPr>
            </w:pPr>
            <w:r>
              <w:rPr>
                <w:rFonts w:hint="eastAsia" w:ascii="宋体" w:hAnsi="宋体" w:eastAsia="宋体" w:cs="宋体"/>
                <w:color w:val="auto"/>
                <w:szCs w:val="21"/>
                <w:highlight w:val="none"/>
                <w:u w:val="single"/>
              </w:rPr>
              <w:t>（2）投标人及其代表进入考察的现场。投标人及其代表必须承担那些进入现场后，由于他们的行为所造成的人身伤害（不管是否致命）、财产损失或损坏，以及其他任何原因造成的损失、损坏或费用。招标人在投标人及其代表考察过程中不负任何责任。</w:t>
            </w:r>
          </w:p>
          <w:p w14:paraId="0A910055">
            <w:pPr>
              <w:wordWrap w:val="0"/>
              <w:spacing w:line="276" w:lineRule="auto"/>
              <w:rPr>
                <w:rFonts w:ascii="宋体" w:hAnsi="宋体" w:eastAsia="宋体" w:cs="宋体"/>
                <w:color w:val="auto"/>
                <w:szCs w:val="21"/>
                <w:highlight w:val="none"/>
                <w:u w:val="single"/>
              </w:rPr>
            </w:pPr>
            <w:r>
              <w:rPr>
                <w:rFonts w:hint="eastAsia" w:ascii="宋体" w:hAnsi="宋体" w:eastAsia="宋体" w:cs="宋体"/>
                <w:color w:val="auto"/>
                <w:szCs w:val="21"/>
                <w:highlight w:val="none"/>
                <w:u w:val="single"/>
              </w:rPr>
              <w:t>（3）由招标人提供的资料和数据，只是为了使投标人能够利用招标人现有的资料。招标人对投标人由此而作出的推论、解释和结论概不负责。</w:t>
            </w:r>
          </w:p>
          <w:p w14:paraId="77C685EE">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u w:val="single"/>
              </w:rPr>
              <w:t>（4）不论投标结果如何，投标人应承担其投标文件编制与递交所涉及的一切费用，发包人对上述费用不负任何责任。</w:t>
            </w:r>
          </w:p>
          <w:bookmarkEnd w:id="11"/>
          <w:p w14:paraId="160CFF7D">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sym w:font="Wingdings 2" w:char="00A3"/>
            </w:r>
            <w:r>
              <w:rPr>
                <w:rFonts w:hint="eastAsia" w:ascii="宋体" w:hAnsi="宋体" w:eastAsia="宋体" w:cs="宋体"/>
                <w:color w:val="auto"/>
                <w:szCs w:val="21"/>
                <w:highlight w:val="none"/>
              </w:rPr>
              <w:t>组织，踏勘时间：</w:t>
            </w:r>
            <w:r>
              <w:rPr>
                <w:rFonts w:hint="eastAsia" w:ascii="宋体" w:hAnsi="宋体" w:eastAsia="宋体" w:cs="宋体"/>
                <w:color w:val="auto"/>
                <w:szCs w:val="21"/>
                <w:highlight w:val="none"/>
                <w:u w:val="single"/>
              </w:rPr>
              <w:t>/。</w:t>
            </w:r>
          </w:p>
          <w:p w14:paraId="0BB213FD">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踏勘集中地点：</w:t>
            </w:r>
            <w:r>
              <w:rPr>
                <w:rFonts w:hint="eastAsia" w:ascii="宋体" w:hAnsi="宋体" w:eastAsia="宋体" w:cs="宋体"/>
                <w:color w:val="auto"/>
                <w:szCs w:val="21"/>
                <w:highlight w:val="none"/>
                <w:u w:val="single"/>
              </w:rPr>
              <w:t>/。</w:t>
            </w:r>
          </w:p>
        </w:tc>
      </w:tr>
      <w:tr w14:paraId="338E1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52E9C40B">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1.10.1</w:t>
            </w:r>
          </w:p>
        </w:tc>
        <w:tc>
          <w:tcPr>
            <w:tcW w:w="1063" w:type="pct"/>
            <w:vAlign w:val="center"/>
          </w:tcPr>
          <w:p w14:paraId="6D12B2B5">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投标预备会</w:t>
            </w:r>
          </w:p>
        </w:tc>
        <w:tc>
          <w:tcPr>
            <w:tcW w:w="3495" w:type="pct"/>
            <w:vAlign w:val="center"/>
          </w:tcPr>
          <w:p w14:paraId="015ECC5C">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■不召开</w:t>
            </w:r>
          </w:p>
          <w:p w14:paraId="2CD2899D">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□召开，召开时间：</w:t>
            </w:r>
            <w:r>
              <w:rPr>
                <w:rFonts w:hint="eastAsia" w:ascii="宋体" w:hAnsi="宋体" w:eastAsia="宋体" w:cs="宋体"/>
                <w:color w:val="auto"/>
                <w:szCs w:val="21"/>
                <w:highlight w:val="none"/>
                <w:u w:val="single"/>
              </w:rPr>
              <w:t>/。</w:t>
            </w:r>
          </w:p>
          <w:p w14:paraId="23F61B9D">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召开地点：</w:t>
            </w:r>
            <w:r>
              <w:rPr>
                <w:rFonts w:hint="eastAsia" w:ascii="宋体" w:hAnsi="宋体" w:eastAsia="宋体" w:cs="宋体"/>
                <w:color w:val="auto"/>
                <w:szCs w:val="21"/>
                <w:highlight w:val="none"/>
                <w:u w:val="single"/>
              </w:rPr>
              <w:t>/。</w:t>
            </w:r>
          </w:p>
        </w:tc>
      </w:tr>
      <w:tr w14:paraId="45092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Merge w:val="restart"/>
            <w:vAlign w:val="center"/>
          </w:tcPr>
          <w:p w14:paraId="6C393AE0">
            <w:pPr>
              <w:wordWrap w:val="0"/>
              <w:autoSpaceDE w:val="0"/>
              <w:autoSpaceDN w:val="0"/>
              <w:spacing w:line="276" w:lineRule="auto"/>
              <w:jc w:val="center"/>
              <w:rPr>
                <w:rFonts w:ascii="宋体" w:hAnsi="宋体" w:eastAsia="宋体" w:cs="宋体"/>
                <w:color w:val="auto"/>
                <w:kern w:val="0"/>
                <w:szCs w:val="21"/>
                <w:highlight w:val="none"/>
              </w:rPr>
            </w:pPr>
            <w:bookmarkStart w:id="13" w:name="OLE_LINK5" w:colFirst="2" w:colLast="2"/>
            <w:r>
              <w:rPr>
                <w:rFonts w:hint="eastAsia" w:ascii="宋体" w:hAnsi="宋体" w:eastAsia="宋体" w:cs="宋体"/>
                <w:color w:val="auto"/>
                <w:kern w:val="0"/>
                <w:szCs w:val="21"/>
                <w:highlight w:val="none"/>
              </w:rPr>
              <w:t>1.10.2</w:t>
            </w:r>
          </w:p>
        </w:tc>
        <w:tc>
          <w:tcPr>
            <w:tcW w:w="1063" w:type="pct"/>
            <w:vMerge w:val="restart"/>
            <w:vAlign w:val="center"/>
          </w:tcPr>
          <w:p w14:paraId="6A948B69">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投标人在投标预备会前提出问题</w:t>
            </w:r>
          </w:p>
        </w:tc>
        <w:tc>
          <w:tcPr>
            <w:tcW w:w="3495" w:type="pct"/>
            <w:vAlign w:val="center"/>
          </w:tcPr>
          <w:p w14:paraId="5FB53041">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时间：</w:t>
            </w:r>
            <w:r>
              <w:rPr>
                <w:rFonts w:hint="eastAsia" w:ascii="宋体" w:hAnsi="宋体" w:eastAsia="宋体" w:cs="宋体"/>
                <w:color w:val="auto"/>
                <w:szCs w:val="21"/>
                <w:highlight w:val="none"/>
                <w:u w:val="single"/>
                <w:lang w:bidi="ar"/>
              </w:rPr>
              <w:t xml:space="preserve"> / （本项目不召开投标预备会）。</w:t>
            </w:r>
          </w:p>
        </w:tc>
      </w:tr>
      <w:tr w14:paraId="24189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Merge w:val="continue"/>
            <w:vAlign w:val="center"/>
          </w:tcPr>
          <w:p w14:paraId="0BA2A2F0">
            <w:pPr>
              <w:widowControl/>
              <w:wordWrap w:val="0"/>
              <w:spacing w:line="276" w:lineRule="auto"/>
              <w:jc w:val="center"/>
              <w:rPr>
                <w:rFonts w:ascii="宋体" w:hAnsi="宋体" w:eastAsia="宋体" w:cs="宋体"/>
                <w:color w:val="auto"/>
                <w:kern w:val="0"/>
                <w:szCs w:val="21"/>
                <w:highlight w:val="none"/>
              </w:rPr>
            </w:pPr>
          </w:p>
        </w:tc>
        <w:tc>
          <w:tcPr>
            <w:tcW w:w="1063" w:type="pct"/>
            <w:vMerge w:val="continue"/>
            <w:vAlign w:val="center"/>
          </w:tcPr>
          <w:p w14:paraId="79518E53">
            <w:pPr>
              <w:wordWrap w:val="0"/>
              <w:spacing w:line="276" w:lineRule="auto"/>
              <w:jc w:val="center"/>
              <w:rPr>
                <w:rFonts w:ascii="宋体" w:hAnsi="宋体" w:eastAsia="宋体" w:cs="宋体"/>
                <w:color w:val="auto"/>
                <w:szCs w:val="21"/>
                <w:highlight w:val="none"/>
              </w:rPr>
            </w:pPr>
          </w:p>
        </w:tc>
        <w:tc>
          <w:tcPr>
            <w:tcW w:w="3495" w:type="pct"/>
            <w:vAlign w:val="center"/>
          </w:tcPr>
          <w:p w14:paraId="48CE0EBF">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形式：</w:t>
            </w:r>
            <w:r>
              <w:rPr>
                <w:rFonts w:hint="eastAsia" w:ascii="宋体" w:hAnsi="宋体" w:eastAsia="宋体" w:cs="宋体"/>
                <w:color w:val="auto"/>
                <w:szCs w:val="21"/>
                <w:highlight w:val="none"/>
                <w:u w:val="single"/>
                <w:lang w:bidi="ar"/>
              </w:rPr>
              <w:t xml:space="preserve"> / （本项目不召开投标预备会）。</w:t>
            </w:r>
          </w:p>
        </w:tc>
      </w:tr>
      <w:tr w14:paraId="30FAC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5DFEECF2">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1.10.3</w:t>
            </w:r>
          </w:p>
        </w:tc>
        <w:tc>
          <w:tcPr>
            <w:tcW w:w="1063" w:type="pct"/>
            <w:vAlign w:val="center"/>
          </w:tcPr>
          <w:p w14:paraId="17D4F3FB">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招标文件澄清发出的形式</w:t>
            </w:r>
          </w:p>
        </w:tc>
        <w:tc>
          <w:tcPr>
            <w:tcW w:w="3495" w:type="pct"/>
            <w:vAlign w:val="center"/>
          </w:tcPr>
          <w:p w14:paraId="5FA0A585">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u w:val="single"/>
                <w:lang w:bidi="ar"/>
              </w:rPr>
              <w:t xml:space="preserve"> </w:t>
            </w:r>
            <w:bookmarkStart w:id="14" w:name="OLE_LINK4"/>
            <w:r>
              <w:rPr>
                <w:rFonts w:hint="eastAsia" w:ascii="宋体" w:hAnsi="宋体" w:eastAsia="宋体" w:cs="宋体"/>
                <w:color w:val="auto"/>
                <w:szCs w:val="21"/>
                <w:highlight w:val="none"/>
                <w:u w:val="single"/>
                <w:lang w:bidi="ar"/>
              </w:rPr>
              <w:t xml:space="preserve"> /  （不召开投标预备会，此为投标预备会的答疑澄清）。</w:t>
            </w:r>
            <w:bookmarkEnd w:id="14"/>
          </w:p>
        </w:tc>
      </w:tr>
      <w:bookmarkEnd w:id="13"/>
      <w:tr w14:paraId="076E7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1FDCEB57">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r>
              <w:rPr>
                <w:rFonts w:hint="eastAsia" w:ascii="宋体" w:hAnsi="宋体" w:eastAsia="宋体" w:cs="宋体"/>
                <w:color w:val="auto"/>
                <w:spacing w:val="-7"/>
                <w:kern w:val="0"/>
                <w:szCs w:val="21"/>
                <w:highlight w:val="none"/>
              </w:rPr>
              <w:t>1</w:t>
            </w:r>
            <w:r>
              <w:rPr>
                <w:rFonts w:hint="eastAsia" w:ascii="宋体" w:hAnsi="宋体" w:eastAsia="宋体" w:cs="宋体"/>
                <w:color w:val="auto"/>
                <w:kern w:val="0"/>
                <w:szCs w:val="21"/>
                <w:highlight w:val="none"/>
              </w:rPr>
              <w:t>1.1</w:t>
            </w:r>
          </w:p>
        </w:tc>
        <w:tc>
          <w:tcPr>
            <w:tcW w:w="1063" w:type="pct"/>
            <w:vAlign w:val="center"/>
          </w:tcPr>
          <w:p w14:paraId="793D2F69">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分包</w:t>
            </w:r>
          </w:p>
        </w:tc>
        <w:tc>
          <w:tcPr>
            <w:tcW w:w="3495" w:type="pct"/>
            <w:vAlign w:val="center"/>
          </w:tcPr>
          <w:p w14:paraId="3B50C1EF">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□不允许</w:t>
            </w:r>
          </w:p>
          <w:p w14:paraId="242CD228">
            <w:pPr>
              <w:pStyle w:val="127"/>
              <w:tabs>
                <w:tab w:val="left" w:pos="357"/>
              </w:tabs>
              <w:kinsoku w:val="0"/>
              <w:overflowPunct w:val="0"/>
              <w:spacing w:line="276" w:lineRule="auto"/>
              <w:jc w:val="both"/>
              <w:rPr>
                <w:rFonts w:ascii="宋体" w:hAnsi="宋体" w:cs="宋体"/>
                <w:color w:val="auto"/>
                <w:sz w:val="21"/>
                <w:szCs w:val="21"/>
                <w:highlight w:val="none"/>
                <w:u w:val="single"/>
                <w:lang w:val="zh-CN"/>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zh-CN"/>
              </w:rPr>
              <w:t>允许，分包内容要求：</w:t>
            </w:r>
            <w:r>
              <w:rPr>
                <w:rFonts w:hint="eastAsia" w:ascii="宋体" w:hAnsi="宋体" w:cs="宋体"/>
                <w:color w:val="auto"/>
                <w:sz w:val="21"/>
                <w:szCs w:val="21"/>
                <w:highlight w:val="none"/>
                <w:u w:val="single"/>
                <w:lang w:val="zh-CN"/>
              </w:rPr>
              <w:t>依法分包，具体按照合同约定并经招标人同意。</w:t>
            </w:r>
          </w:p>
          <w:p w14:paraId="66870452">
            <w:pPr>
              <w:pStyle w:val="127"/>
              <w:tabs>
                <w:tab w:val="left" w:pos="357"/>
              </w:tabs>
              <w:kinsoku w:val="0"/>
              <w:overflowPunct w:val="0"/>
              <w:spacing w:line="276" w:lineRule="auto"/>
              <w:jc w:val="both"/>
              <w:rPr>
                <w:rFonts w:ascii="宋体" w:hAnsi="宋体" w:cs="宋体"/>
                <w:color w:val="auto"/>
                <w:sz w:val="21"/>
                <w:szCs w:val="21"/>
                <w:highlight w:val="none"/>
                <w:lang w:val="zh-CN"/>
              </w:rPr>
            </w:pPr>
            <w:r>
              <w:rPr>
                <w:rFonts w:hint="eastAsia" w:ascii="宋体" w:hAnsi="宋体" w:cs="宋体"/>
                <w:color w:val="auto"/>
                <w:sz w:val="21"/>
                <w:szCs w:val="21"/>
                <w:highlight w:val="none"/>
                <w:lang w:val="zh-CN"/>
              </w:rPr>
              <w:t>分包金额要求：</w:t>
            </w:r>
            <w:r>
              <w:rPr>
                <w:rFonts w:hint="eastAsia" w:ascii="宋体" w:hAnsi="宋体" w:cs="宋体"/>
                <w:color w:val="auto"/>
                <w:sz w:val="21"/>
                <w:szCs w:val="21"/>
                <w:highlight w:val="none"/>
                <w:u w:val="single"/>
                <w:lang w:val="zh-CN"/>
              </w:rPr>
              <w:t>根据实际情况确定。（详见合同约定）</w:t>
            </w:r>
          </w:p>
          <w:p w14:paraId="64BDBC0B">
            <w:pPr>
              <w:pStyle w:val="127"/>
              <w:tabs>
                <w:tab w:val="left" w:pos="357"/>
              </w:tabs>
              <w:kinsoku w:val="0"/>
              <w:overflowPunct w:val="0"/>
              <w:spacing w:line="276" w:lineRule="auto"/>
              <w:jc w:val="both"/>
              <w:rPr>
                <w:rFonts w:ascii="宋体" w:hAnsi="宋体" w:cs="宋体"/>
                <w:color w:val="auto"/>
                <w:sz w:val="21"/>
                <w:szCs w:val="21"/>
                <w:highlight w:val="none"/>
                <w:u w:val="single"/>
                <w:lang w:val="zh-CN"/>
              </w:rPr>
            </w:pPr>
            <w:r>
              <w:rPr>
                <w:rFonts w:hint="eastAsia" w:ascii="宋体" w:hAnsi="宋体" w:cs="宋体"/>
                <w:color w:val="auto"/>
                <w:sz w:val="21"/>
                <w:szCs w:val="21"/>
                <w:highlight w:val="none"/>
                <w:lang w:val="zh-CN"/>
              </w:rPr>
              <w:t>对分包人的资质要求：</w:t>
            </w:r>
            <w:r>
              <w:rPr>
                <w:rFonts w:hint="eastAsia" w:ascii="宋体" w:hAnsi="宋体" w:cs="宋体"/>
                <w:color w:val="auto"/>
                <w:sz w:val="21"/>
                <w:szCs w:val="21"/>
                <w:highlight w:val="none"/>
                <w:u w:val="single"/>
                <w:lang w:val="zh-CN"/>
              </w:rPr>
              <w:t>/</w:t>
            </w:r>
          </w:p>
          <w:p w14:paraId="5DE3CE4E">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lang w:val="zh-CN"/>
              </w:rPr>
              <w:t>其他要求：</w:t>
            </w:r>
            <w:r>
              <w:rPr>
                <w:rFonts w:hint="eastAsia" w:ascii="宋体" w:hAnsi="宋体" w:eastAsia="宋体" w:cs="宋体"/>
                <w:color w:val="auto"/>
                <w:kern w:val="0"/>
                <w:szCs w:val="21"/>
                <w:highlight w:val="none"/>
                <w:u w:val="single"/>
                <w:lang w:val="zh-CN"/>
              </w:rPr>
              <w:t>/</w:t>
            </w:r>
          </w:p>
        </w:tc>
      </w:tr>
      <w:tr w14:paraId="49937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34EA3C4A">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1.12.1</w:t>
            </w:r>
          </w:p>
        </w:tc>
        <w:tc>
          <w:tcPr>
            <w:tcW w:w="1063" w:type="pct"/>
            <w:vAlign w:val="center"/>
          </w:tcPr>
          <w:p w14:paraId="1917BD79">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实质性要求和条件</w:t>
            </w:r>
          </w:p>
        </w:tc>
        <w:tc>
          <w:tcPr>
            <w:tcW w:w="3495" w:type="pct"/>
            <w:vAlign w:val="center"/>
          </w:tcPr>
          <w:p w14:paraId="3ECC9596">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u w:val="single"/>
              </w:rPr>
              <w:t>/。</w:t>
            </w:r>
          </w:p>
        </w:tc>
      </w:tr>
      <w:tr w14:paraId="34268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388A953E">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1.12.3</w:t>
            </w:r>
          </w:p>
        </w:tc>
        <w:tc>
          <w:tcPr>
            <w:tcW w:w="1063" w:type="pct"/>
            <w:vAlign w:val="center"/>
          </w:tcPr>
          <w:p w14:paraId="378C3A6C">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偏差</w:t>
            </w:r>
          </w:p>
        </w:tc>
        <w:tc>
          <w:tcPr>
            <w:tcW w:w="3495" w:type="pct"/>
            <w:vAlign w:val="center"/>
          </w:tcPr>
          <w:p w14:paraId="19AA2557">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■不允许</w:t>
            </w:r>
          </w:p>
          <w:p w14:paraId="2F6747DC">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□允许，偏差范围：</w:t>
            </w:r>
            <w:r>
              <w:rPr>
                <w:rFonts w:hint="eastAsia" w:ascii="宋体" w:hAnsi="宋体" w:eastAsia="宋体" w:cs="宋体"/>
                <w:color w:val="auto"/>
                <w:szCs w:val="21"/>
                <w:highlight w:val="none"/>
                <w:u w:val="single"/>
              </w:rPr>
              <w:t>/。</w:t>
            </w:r>
          </w:p>
          <w:p w14:paraId="283C80D0">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偏差幅度：</w:t>
            </w:r>
            <w:r>
              <w:rPr>
                <w:rFonts w:hint="eastAsia" w:ascii="宋体" w:hAnsi="宋体" w:eastAsia="宋体" w:cs="宋体"/>
                <w:color w:val="auto"/>
                <w:szCs w:val="21"/>
                <w:highlight w:val="none"/>
                <w:u w:val="single"/>
              </w:rPr>
              <w:t>/。</w:t>
            </w:r>
          </w:p>
        </w:tc>
      </w:tr>
      <w:tr w14:paraId="3322C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450C4FC3">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2.1</w:t>
            </w:r>
          </w:p>
        </w:tc>
        <w:tc>
          <w:tcPr>
            <w:tcW w:w="1063" w:type="pct"/>
            <w:vAlign w:val="center"/>
          </w:tcPr>
          <w:p w14:paraId="045CC7C8">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构成招标文件的其他资料</w:t>
            </w:r>
          </w:p>
        </w:tc>
        <w:tc>
          <w:tcPr>
            <w:tcW w:w="3495" w:type="pct"/>
            <w:vAlign w:val="center"/>
          </w:tcPr>
          <w:p w14:paraId="7668F242">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u w:val="single"/>
              </w:rPr>
              <w:t>/。</w:t>
            </w:r>
          </w:p>
        </w:tc>
      </w:tr>
      <w:tr w14:paraId="31410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592FCDC0">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2.2</w:t>
            </w:r>
          </w:p>
        </w:tc>
        <w:tc>
          <w:tcPr>
            <w:tcW w:w="1063" w:type="pct"/>
            <w:vAlign w:val="center"/>
          </w:tcPr>
          <w:p w14:paraId="19F521F5">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招标文件的答疑</w:t>
            </w:r>
          </w:p>
        </w:tc>
        <w:tc>
          <w:tcPr>
            <w:tcW w:w="3495" w:type="pct"/>
            <w:vAlign w:val="center"/>
          </w:tcPr>
          <w:p w14:paraId="6C247A5C">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疑问提交时间：</w:t>
            </w:r>
            <w:r>
              <w:rPr>
                <w:rFonts w:hint="eastAsia" w:ascii="宋体" w:hAnsi="宋体" w:eastAsia="宋体" w:cs="宋体"/>
                <w:color w:val="auto"/>
                <w:szCs w:val="21"/>
                <w:highlight w:val="none"/>
                <w:u w:val="single"/>
              </w:rPr>
              <w:t>具体时间详见广州交易集团有限公司（广州公共资源交易中心）网站本项目日程安排。</w:t>
            </w:r>
          </w:p>
          <w:p w14:paraId="4E770AC4">
            <w:pPr>
              <w:wordWrap w:val="0"/>
              <w:spacing w:line="276" w:lineRule="auto"/>
              <w:rPr>
                <w:rFonts w:ascii="宋体" w:hAnsi="宋体" w:eastAsia="宋体" w:cs="宋体"/>
                <w:color w:val="auto"/>
                <w:szCs w:val="21"/>
                <w:highlight w:val="none"/>
                <w:u w:val="single"/>
              </w:rPr>
            </w:pPr>
            <w:r>
              <w:rPr>
                <w:rFonts w:hint="eastAsia" w:ascii="宋体" w:hAnsi="宋体" w:eastAsia="宋体" w:cs="宋体"/>
                <w:color w:val="auto"/>
                <w:szCs w:val="21"/>
                <w:highlight w:val="none"/>
              </w:rPr>
              <w:t>形式：</w:t>
            </w:r>
            <w:r>
              <w:rPr>
                <w:rFonts w:hint="eastAsia" w:ascii="宋体" w:hAnsi="宋体" w:eastAsia="宋体" w:cs="宋体"/>
                <w:color w:val="auto"/>
                <w:szCs w:val="21"/>
                <w:highlight w:val="none"/>
                <w:u w:val="single"/>
              </w:rPr>
              <w:t>投标人的疑问通过广州交易集团有限公司（广州公共资源交易中心）网站提交。</w:t>
            </w:r>
          </w:p>
          <w:p w14:paraId="47E4D80B">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具体要求：</w:t>
            </w:r>
            <w:r>
              <w:rPr>
                <w:rFonts w:hint="eastAsia" w:ascii="宋体" w:hAnsi="宋体" w:eastAsia="宋体" w:cs="宋体"/>
                <w:color w:val="auto"/>
                <w:szCs w:val="21"/>
                <w:highlight w:val="none"/>
                <w:u w:val="single"/>
              </w:rPr>
              <w:t>按照广州交易集团有限公司（广州公共资源交易中心）网站关于全流程电子化项目的相关指南进行操作，提问一律不得署名。</w:t>
            </w:r>
          </w:p>
        </w:tc>
      </w:tr>
      <w:tr w14:paraId="59965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27701BE3">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2.3</w:t>
            </w:r>
          </w:p>
        </w:tc>
        <w:tc>
          <w:tcPr>
            <w:tcW w:w="1063" w:type="pct"/>
            <w:vAlign w:val="center"/>
          </w:tcPr>
          <w:p w14:paraId="12EA92B5">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招标文件的澄清和修改</w:t>
            </w:r>
          </w:p>
        </w:tc>
        <w:tc>
          <w:tcPr>
            <w:tcW w:w="3495" w:type="pct"/>
            <w:vAlign w:val="center"/>
          </w:tcPr>
          <w:p w14:paraId="4C0AE8EB">
            <w:pPr>
              <w:wordWrap w:val="0"/>
              <w:spacing w:line="276" w:lineRule="auto"/>
              <w:rPr>
                <w:rFonts w:ascii="宋体" w:hAnsi="宋体" w:eastAsia="宋体" w:cs="宋体"/>
                <w:color w:val="auto"/>
                <w:szCs w:val="21"/>
                <w:highlight w:val="none"/>
                <w:u w:val="single"/>
              </w:rPr>
            </w:pPr>
            <w:r>
              <w:rPr>
                <w:rFonts w:hint="eastAsia" w:ascii="宋体" w:hAnsi="宋体" w:eastAsia="宋体" w:cs="宋体"/>
                <w:color w:val="auto"/>
                <w:szCs w:val="21"/>
                <w:highlight w:val="none"/>
              </w:rPr>
              <w:t>招标文件的修改期限：</w:t>
            </w:r>
            <w:r>
              <w:rPr>
                <w:rFonts w:hint="eastAsia" w:ascii="宋体" w:hAnsi="宋体" w:eastAsia="宋体" w:cs="宋体"/>
                <w:color w:val="auto"/>
                <w:szCs w:val="21"/>
                <w:highlight w:val="none"/>
                <w:u w:val="single"/>
              </w:rPr>
              <w:t>在投标截止时间 15 天前。</w:t>
            </w:r>
          </w:p>
        </w:tc>
      </w:tr>
      <w:tr w14:paraId="354CD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789E5623">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3.1.1</w:t>
            </w:r>
          </w:p>
        </w:tc>
        <w:tc>
          <w:tcPr>
            <w:tcW w:w="1063" w:type="pct"/>
            <w:vAlign w:val="center"/>
          </w:tcPr>
          <w:p w14:paraId="6D5B8562">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构成投标文件的其他资料</w:t>
            </w:r>
          </w:p>
        </w:tc>
        <w:tc>
          <w:tcPr>
            <w:tcW w:w="3495" w:type="pct"/>
            <w:vAlign w:val="center"/>
          </w:tcPr>
          <w:p w14:paraId="6B18E66D">
            <w:pPr>
              <w:wordWrap w:val="0"/>
              <w:spacing w:line="276" w:lineRule="auto"/>
              <w:rPr>
                <w:rFonts w:ascii="宋体" w:hAnsi="宋体" w:eastAsia="宋体" w:cs="宋体"/>
                <w:color w:val="auto"/>
                <w:szCs w:val="21"/>
                <w:highlight w:val="none"/>
                <w:u w:val="single"/>
              </w:rPr>
            </w:pPr>
            <w:r>
              <w:rPr>
                <w:rFonts w:hint="eastAsia" w:ascii="宋体" w:hAnsi="宋体" w:eastAsia="宋体"/>
                <w:color w:val="auto"/>
                <w:spacing w:val="-3"/>
                <w:szCs w:val="21"/>
                <w:highlight w:val="none"/>
              </w:rPr>
              <w:t>满足本项目评审要求的其他资料。</w:t>
            </w:r>
          </w:p>
        </w:tc>
      </w:tr>
      <w:tr w14:paraId="376E2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60F18B0C">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3.2.1</w:t>
            </w:r>
          </w:p>
        </w:tc>
        <w:tc>
          <w:tcPr>
            <w:tcW w:w="1063" w:type="pct"/>
            <w:vAlign w:val="center"/>
          </w:tcPr>
          <w:p w14:paraId="2D703203">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增值税税金的计算方法</w:t>
            </w:r>
          </w:p>
        </w:tc>
        <w:tc>
          <w:tcPr>
            <w:tcW w:w="3495" w:type="pct"/>
            <w:vAlign w:val="center"/>
          </w:tcPr>
          <w:p w14:paraId="443B7116">
            <w:pPr>
              <w:spacing w:line="276" w:lineRule="auto"/>
              <w:rPr>
                <w:rFonts w:ascii="宋体" w:hAnsi="宋体" w:eastAsia="宋体" w:cs="Times New Roman"/>
                <w:color w:val="auto"/>
                <w:spacing w:val="-3"/>
                <w:szCs w:val="21"/>
                <w:highlight w:val="none"/>
              </w:rPr>
            </w:pPr>
            <w:r>
              <w:rPr>
                <w:rFonts w:hint="eastAsia" w:ascii="宋体" w:hAnsi="宋体" w:eastAsia="宋体" w:cs="宋体"/>
                <w:color w:val="auto"/>
                <w:szCs w:val="21"/>
                <w:highlight w:val="none"/>
              </w:rPr>
              <w:t>投标人的报价为含税报价。</w:t>
            </w:r>
          </w:p>
        </w:tc>
      </w:tr>
      <w:tr w14:paraId="02BDB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17706046">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3.2.3</w:t>
            </w:r>
          </w:p>
        </w:tc>
        <w:tc>
          <w:tcPr>
            <w:tcW w:w="1063" w:type="pct"/>
            <w:vAlign w:val="center"/>
          </w:tcPr>
          <w:p w14:paraId="4D2A0E6F">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报价方式</w:t>
            </w:r>
          </w:p>
        </w:tc>
        <w:tc>
          <w:tcPr>
            <w:tcW w:w="3495" w:type="pct"/>
            <w:vAlign w:val="center"/>
          </w:tcPr>
          <w:p w14:paraId="61788A38">
            <w:pPr>
              <w:spacing w:line="276" w:lineRule="auto"/>
              <w:rPr>
                <w:rFonts w:ascii="宋体" w:hAnsi="宋体" w:eastAsia="宋体"/>
                <w:color w:val="auto"/>
                <w:szCs w:val="21"/>
                <w:highlight w:val="none"/>
              </w:rPr>
            </w:pPr>
            <w:bookmarkStart w:id="15" w:name="OLE_LINK6"/>
            <w:r>
              <w:rPr>
                <w:rFonts w:hint="eastAsia" w:ascii="宋体" w:hAnsi="宋体" w:eastAsia="宋体"/>
                <w:color w:val="auto"/>
                <w:szCs w:val="21"/>
                <w:highlight w:val="none"/>
              </w:rPr>
              <w:t>按招标文件进行报价。</w:t>
            </w:r>
          </w:p>
          <w:p w14:paraId="685B74A3">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1、勘察费、设计费报价：投标人须按照招标文件要求的格式进行报价。</w:t>
            </w:r>
          </w:p>
          <w:p w14:paraId="17967971">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2、勘察设计费的结算方式按合同约定执行。</w:t>
            </w:r>
            <w:bookmarkEnd w:id="15"/>
          </w:p>
        </w:tc>
      </w:tr>
      <w:tr w14:paraId="39962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42395BE0">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3.2.4</w:t>
            </w:r>
          </w:p>
        </w:tc>
        <w:tc>
          <w:tcPr>
            <w:tcW w:w="1063" w:type="pct"/>
            <w:vAlign w:val="center"/>
          </w:tcPr>
          <w:p w14:paraId="2D8669CF">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最高投标限价</w:t>
            </w:r>
          </w:p>
        </w:tc>
        <w:tc>
          <w:tcPr>
            <w:tcW w:w="3495" w:type="pct"/>
            <w:vAlign w:val="center"/>
          </w:tcPr>
          <w:p w14:paraId="1895F4FB">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□无</w:t>
            </w:r>
          </w:p>
          <w:p w14:paraId="4BE3FF4C">
            <w:pPr>
              <w:wordWrap w:val="0"/>
              <w:spacing w:line="276" w:lineRule="auto"/>
              <w:rPr>
                <w:rFonts w:ascii="宋体" w:hAnsi="宋体" w:eastAsia="宋体" w:cs="Times New Roman"/>
                <w:color w:val="auto"/>
                <w:kern w:val="0"/>
                <w:sz w:val="21"/>
                <w:szCs w:val="21"/>
                <w:highlight w:val="none"/>
              </w:rPr>
            </w:pPr>
            <w:r>
              <w:rPr>
                <w:rFonts w:hint="eastAsia" w:ascii="宋体" w:hAnsi="宋体" w:eastAsia="宋体" w:cs="宋体"/>
                <w:color w:val="auto"/>
                <w:szCs w:val="21"/>
                <w:highlight w:val="none"/>
              </w:rPr>
              <w:t>■有，</w:t>
            </w:r>
            <w:r>
              <w:rPr>
                <w:rFonts w:hint="eastAsia" w:ascii="宋体" w:hAnsi="宋体" w:eastAsia="宋体" w:cs="宋体"/>
                <w:color w:val="auto"/>
                <w:sz w:val="21"/>
                <w:szCs w:val="21"/>
                <w:highlight w:val="none"/>
              </w:rPr>
              <w:t>最高投标限价：</w:t>
            </w:r>
            <w:bookmarkStart w:id="16" w:name="OLE_LINK1"/>
            <w:r>
              <w:rPr>
                <w:rFonts w:hint="default" w:ascii="宋体" w:hAnsi="宋体" w:eastAsia="宋体" w:cs="Times New Roman"/>
                <w:color w:val="auto"/>
                <w:kern w:val="0"/>
                <w:sz w:val="21"/>
                <w:szCs w:val="21"/>
                <w:highlight w:val="none"/>
                <w:u w:val="single"/>
                <w:lang w:val="en-US" w:eastAsia="zh-CN"/>
              </w:rPr>
              <w:t>6</w:t>
            </w:r>
            <w:r>
              <w:rPr>
                <w:rFonts w:hint="eastAsia" w:ascii="宋体" w:hAnsi="宋体" w:eastAsia="宋体" w:cs="Times New Roman"/>
                <w:color w:val="auto"/>
                <w:kern w:val="0"/>
                <w:sz w:val="21"/>
                <w:szCs w:val="21"/>
                <w:highlight w:val="none"/>
                <w:u w:val="single"/>
                <w:lang w:val="en-US" w:eastAsia="zh-CN"/>
              </w:rPr>
              <w:t>57.</w:t>
            </w:r>
            <w:r>
              <w:rPr>
                <w:rFonts w:hint="default" w:ascii="宋体" w:hAnsi="宋体" w:eastAsia="宋体" w:cs="Times New Roman"/>
                <w:color w:val="auto"/>
                <w:kern w:val="0"/>
                <w:sz w:val="21"/>
                <w:szCs w:val="21"/>
                <w:highlight w:val="none"/>
                <w:u w:val="single"/>
                <w:lang w:val="en-US" w:eastAsia="zh-CN"/>
              </w:rPr>
              <w:t>887666</w:t>
            </w:r>
            <w:r>
              <w:rPr>
                <w:rFonts w:hint="eastAsia" w:ascii="宋体" w:hAnsi="宋体" w:eastAsia="宋体" w:cs="Times New Roman"/>
                <w:color w:val="auto"/>
                <w:kern w:val="0"/>
                <w:sz w:val="21"/>
                <w:szCs w:val="21"/>
                <w:highlight w:val="none"/>
              </w:rPr>
              <w:t>万元，其中：勘察费最高投标限价：</w:t>
            </w:r>
            <w:r>
              <w:rPr>
                <w:rFonts w:hint="eastAsia" w:ascii="宋体" w:hAnsi="宋体" w:eastAsia="宋体" w:cs="Times New Roman"/>
                <w:color w:val="auto"/>
                <w:kern w:val="0"/>
                <w:sz w:val="21"/>
                <w:szCs w:val="21"/>
                <w:highlight w:val="none"/>
                <w:u w:val="single"/>
                <w:lang w:val="en-US" w:eastAsia="zh-CN"/>
              </w:rPr>
              <w:t>194.6</w:t>
            </w:r>
            <w:r>
              <w:rPr>
                <w:rFonts w:hint="default" w:ascii="宋体" w:hAnsi="宋体" w:eastAsia="宋体" w:cs="Times New Roman"/>
                <w:color w:val="auto"/>
                <w:kern w:val="0"/>
                <w:sz w:val="21"/>
                <w:szCs w:val="21"/>
                <w:highlight w:val="none"/>
                <w:u w:val="single"/>
                <w:lang w:val="en-US" w:eastAsia="zh-CN"/>
              </w:rPr>
              <w:t>04896</w:t>
            </w:r>
            <w:r>
              <w:rPr>
                <w:rFonts w:hint="eastAsia" w:ascii="宋体" w:hAnsi="宋体" w:eastAsia="宋体" w:cs="Times New Roman"/>
                <w:color w:val="auto"/>
                <w:kern w:val="0"/>
                <w:sz w:val="21"/>
                <w:szCs w:val="21"/>
                <w:highlight w:val="none"/>
              </w:rPr>
              <w:t>万元（其中：勘探费</w:t>
            </w:r>
            <w:r>
              <w:rPr>
                <w:rFonts w:hint="eastAsia" w:ascii="宋体" w:hAnsi="宋体" w:eastAsia="宋体" w:cs="Times New Roman"/>
                <w:color w:val="auto"/>
                <w:kern w:val="0"/>
                <w:sz w:val="21"/>
                <w:szCs w:val="21"/>
                <w:highlight w:val="none"/>
                <w:u w:val="single"/>
                <w:lang w:val="en-US" w:eastAsia="zh-CN"/>
              </w:rPr>
              <w:t>155.5</w:t>
            </w:r>
            <w:r>
              <w:rPr>
                <w:rFonts w:hint="eastAsia" w:ascii="宋体" w:hAnsi="宋体" w:eastAsia="宋体" w:cs="Times New Roman"/>
                <w:color w:val="auto"/>
                <w:kern w:val="0"/>
                <w:sz w:val="21"/>
                <w:szCs w:val="21"/>
                <w:highlight w:val="none"/>
              </w:rPr>
              <w:t>万元，测量费</w:t>
            </w:r>
            <w:r>
              <w:rPr>
                <w:rFonts w:hint="default" w:ascii="宋体" w:hAnsi="宋体" w:eastAsia="宋体" w:cs="Times New Roman"/>
                <w:color w:val="auto"/>
                <w:kern w:val="0"/>
                <w:sz w:val="21"/>
                <w:szCs w:val="21"/>
                <w:highlight w:val="none"/>
                <w:u w:val="single"/>
                <w:lang w:val="en-US" w:eastAsia="zh-CN"/>
              </w:rPr>
              <w:t>39</w:t>
            </w:r>
            <w:r>
              <w:rPr>
                <w:rFonts w:hint="eastAsia" w:ascii="宋体" w:hAnsi="宋体" w:eastAsia="宋体" w:cs="Times New Roman"/>
                <w:color w:val="auto"/>
                <w:kern w:val="0"/>
                <w:sz w:val="21"/>
                <w:szCs w:val="21"/>
                <w:highlight w:val="none"/>
                <w:u w:val="single"/>
                <w:lang w:val="en-US" w:eastAsia="zh-CN"/>
              </w:rPr>
              <w:t>.</w:t>
            </w:r>
            <w:r>
              <w:rPr>
                <w:rFonts w:hint="default" w:ascii="宋体" w:hAnsi="宋体" w:eastAsia="宋体" w:cs="Times New Roman"/>
                <w:color w:val="auto"/>
                <w:kern w:val="0"/>
                <w:sz w:val="21"/>
                <w:szCs w:val="21"/>
                <w:highlight w:val="none"/>
                <w:u w:val="single"/>
                <w:lang w:val="en-US" w:eastAsia="zh-CN"/>
              </w:rPr>
              <w:t>104896</w:t>
            </w:r>
            <w:r>
              <w:rPr>
                <w:rFonts w:hint="eastAsia" w:ascii="宋体" w:hAnsi="宋体" w:eastAsia="宋体" w:cs="Times New Roman"/>
                <w:color w:val="auto"/>
                <w:kern w:val="0"/>
                <w:sz w:val="21"/>
                <w:szCs w:val="21"/>
                <w:highlight w:val="none"/>
              </w:rPr>
              <w:t>万元），设计费最高投标限价：</w:t>
            </w:r>
            <w:r>
              <w:rPr>
                <w:rFonts w:hint="eastAsia" w:ascii="宋体" w:hAnsi="宋体" w:eastAsia="宋体" w:cs="Times New Roman"/>
                <w:color w:val="auto"/>
                <w:kern w:val="0"/>
                <w:sz w:val="21"/>
                <w:szCs w:val="21"/>
                <w:highlight w:val="none"/>
                <w:u w:val="single"/>
                <w:lang w:val="en-US" w:eastAsia="zh-CN"/>
              </w:rPr>
              <w:t>463.282770</w:t>
            </w:r>
            <w:r>
              <w:rPr>
                <w:rFonts w:hint="eastAsia" w:ascii="宋体" w:hAnsi="宋体" w:eastAsia="宋体" w:cs="Times New Roman"/>
                <w:color w:val="auto"/>
                <w:kern w:val="0"/>
                <w:sz w:val="21"/>
                <w:szCs w:val="21"/>
                <w:highlight w:val="none"/>
              </w:rPr>
              <w:t>万元。</w:t>
            </w:r>
            <w:bookmarkEnd w:id="16"/>
          </w:p>
          <w:p w14:paraId="04C5F6B5">
            <w:pPr>
              <w:wordWrap w:val="0"/>
              <w:spacing w:line="276" w:lineRule="auto"/>
              <w:rPr>
                <w:rFonts w:ascii="宋体" w:hAnsi="宋体" w:eastAsia="宋体" w:cs="Times New Roman"/>
                <w:color w:val="auto"/>
                <w:kern w:val="0"/>
                <w:szCs w:val="21"/>
                <w:highlight w:val="none"/>
              </w:rPr>
            </w:pPr>
            <w:bookmarkStart w:id="17" w:name="OLE_LINK7"/>
            <w:r>
              <w:rPr>
                <w:rFonts w:hint="eastAsia" w:ascii="宋体" w:hAnsi="宋体" w:eastAsia="宋体" w:cs="Times New Roman"/>
                <w:color w:val="auto"/>
                <w:kern w:val="0"/>
                <w:szCs w:val="21"/>
                <w:highlight w:val="none"/>
                <w:u w:val="single"/>
              </w:rPr>
              <w:t>注：投标报价不得高于最高投标价限价（含以上各分项限价），否则由评标委员否决其投标。</w:t>
            </w:r>
            <w:bookmarkEnd w:id="17"/>
          </w:p>
        </w:tc>
      </w:tr>
      <w:tr w14:paraId="7A91F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506487B1">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3.2.5</w:t>
            </w:r>
          </w:p>
        </w:tc>
        <w:tc>
          <w:tcPr>
            <w:tcW w:w="1063" w:type="pct"/>
            <w:vAlign w:val="center"/>
          </w:tcPr>
          <w:p w14:paraId="3BB68212">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投标报价的其他要求</w:t>
            </w:r>
          </w:p>
        </w:tc>
        <w:tc>
          <w:tcPr>
            <w:tcW w:w="3495" w:type="pct"/>
            <w:vAlign w:val="center"/>
          </w:tcPr>
          <w:p w14:paraId="63A8AE2D">
            <w:pPr>
              <w:spacing w:line="276" w:lineRule="auto"/>
              <w:rPr>
                <w:rFonts w:ascii="宋体" w:hAnsi="宋体" w:eastAsia="宋体" w:cs="宋体"/>
                <w:color w:val="auto"/>
                <w:szCs w:val="21"/>
                <w:highlight w:val="none"/>
              </w:rPr>
            </w:pPr>
            <w:bookmarkStart w:id="18" w:name="OLE_LINK9"/>
            <w:bookmarkStart w:id="19" w:name="OLE_LINK8"/>
            <w:r>
              <w:rPr>
                <w:rFonts w:hint="eastAsia" w:ascii="宋体" w:hAnsi="宋体" w:eastAsia="宋体" w:cs="宋体"/>
                <w:color w:val="auto"/>
                <w:szCs w:val="21"/>
                <w:highlight w:val="none"/>
              </w:rPr>
              <w:t>投标人必须详细审阅全部招标文件，充分考虑职责和义务，全面地理解招标文件对投标报价的要求，并按招标人提出的条件及内容进行报价。</w:t>
            </w:r>
          </w:p>
          <w:p w14:paraId="592ED2AE">
            <w:pPr>
              <w:spacing w:line="276"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一、本项目最高投标限价（即招标控制价）只作为招标的依据，投标金额及下浮率（%）作为签订合同的依据。中标价不作为结算的依据，</w:t>
            </w:r>
            <w:r>
              <w:rPr>
                <w:rFonts w:hint="eastAsia" w:ascii="宋体" w:hAnsi="宋体" w:eastAsia="宋体" w:cs="宋体"/>
                <w:b/>
                <w:bCs/>
                <w:color w:val="auto"/>
                <w:spacing w:val="2"/>
                <w:szCs w:val="21"/>
                <w:highlight w:val="none"/>
              </w:rPr>
              <w:t>结算按合同相应条款执行。</w:t>
            </w:r>
          </w:p>
          <w:p w14:paraId="74555159">
            <w:pPr>
              <w:spacing w:line="276" w:lineRule="auto"/>
              <w:ind w:firstLine="422" w:firstLineChars="200"/>
              <w:rPr>
                <w:rFonts w:ascii="宋体" w:hAnsi="宋体" w:eastAsia="宋体" w:cs="宋体"/>
                <w:color w:val="auto"/>
                <w:szCs w:val="21"/>
                <w:highlight w:val="none"/>
              </w:rPr>
            </w:pPr>
            <w:r>
              <w:rPr>
                <w:rFonts w:hint="eastAsia" w:ascii="宋体" w:hAnsi="宋体" w:eastAsia="宋体" w:cs="宋体"/>
                <w:b/>
                <w:bCs/>
                <w:color w:val="auto"/>
                <w:kern w:val="0"/>
                <w:szCs w:val="21"/>
                <w:highlight w:val="none"/>
              </w:rPr>
              <w:t>二、</w:t>
            </w:r>
            <w:r>
              <w:rPr>
                <w:rFonts w:hint="eastAsia" w:ascii="宋体" w:hAnsi="宋体" w:eastAsia="宋体" w:cs="宋体"/>
                <w:b/>
                <w:bCs/>
                <w:color w:val="auto"/>
                <w:szCs w:val="21"/>
                <w:highlight w:val="none"/>
              </w:rPr>
              <w:t>投标报价及费用计算方式：</w:t>
            </w:r>
          </w:p>
          <w:p w14:paraId="081EB201">
            <w:pPr>
              <w:spacing w:line="276"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1、投标总报价及下浮率：投标总报价=勘察费报价+设计费报价；其中，勘察费报价=勘察费最高投标限价×（1-勘察部分投标下浮率）；设计费报价=设计费最高投标限价×（1-设计部分投标下浮率）</w:t>
            </w:r>
          </w:p>
          <w:p w14:paraId="1C9F8EC8">
            <w:pPr>
              <w:pStyle w:val="5"/>
              <w:spacing w:line="276" w:lineRule="auto"/>
              <w:ind w:firstLine="424" w:firstLineChars="200"/>
              <w:rPr>
                <w:rFonts w:cs="宋体"/>
                <w:b w:val="0"/>
                <w:bCs w:val="0"/>
                <w:color w:val="auto"/>
                <w:sz w:val="21"/>
                <w:szCs w:val="21"/>
                <w:highlight w:val="none"/>
                <w:lang w:val="en-US"/>
              </w:rPr>
            </w:pPr>
            <w:r>
              <w:rPr>
                <w:rFonts w:hint="eastAsia" w:cs="宋体"/>
                <w:b w:val="0"/>
                <w:bCs w:val="0"/>
                <w:color w:val="auto"/>
                <w:sz w:val="21"/>
                <w:szCs w:val="21"/>
                <w:highlight w:val="none"/>
                <w:lang w:val="en-US"/>
              </w:rPr>
              <w:t>2、各投标人按第六章投标文件格式六《</w:t>
            </w:r>
            <w:r>
              <w:rPr>
                <w:rFonts w:hint="eastAsia" w:cs="宋体"/>
                <w:b w:val="0"/>
                <w:bCs w:val="0"/>
                <w:color w:val="auto"/>
                <w:sz w:val="21"/>
                <w:szCs w:val="21"/>
                <w:highlight w:val="none"/>
              </w:rPr>
              <w:t>勘察设计费报价表》进行报价</w:t>
            </w:r>
            <w:r>
              <w:rPr>
                <w:rFonts w:hint="eastAsia" w:cs="宋体"/>
                <w:b w:val="0"/>
                <w:bCs w:val="0"/>
                <w:color w:val="auto"/>
                <w:sz w:val="21"/>
                <w:szCs w:val="21"/>
                <w:highlight w:val="none"/>
                <w:lang w:val="en-US"/>
              </w:rPr>
              <w:t>。</w:t>
            </w:r>
          </w:p>
          <w:p w14:paraId="30354DE6">
            <w:pPr>
              <w:snapToGrid w:val="0"/>
              <w:spacing w:line="276" w:lineRule="auto"/>
              <w:ind w:firstLine="422" w:firstLineChars="200"/>
              <w:jc w:val="left"/>
              <w:rPr>
                <w:rFonts w:ascii="宋体" w:hAnsi="宋体" w:eastAsia="宋体" w:cs="宋体"/>
                <w:color w:val="auto"/>
                <w:szCs w:val="21"/>
                <w:highlight w:val="none"/>
              </w:rPr>
            </w:pPr>
            <w:r>
              <w:rPr>
                <w:rFonts w:hint="eastAsia" w:ascii="宋体" w:hAnsi="宋体" w:eastAsia="宋体" w:cs="宋体"/>
                <w:b/>
                <w:bCs/>
                <w:color w:val="auto"/>
                <w:szCs w:val="21"/>
                <w:highlight w:val="none"/>
              </w:rPr>
              <w:t>三、勘察费及设计费计费标准如下：</w:t>
            </w:r>
          </w:p>
          <w:p w14:paraId="07FA2FB9">
            <w:pPr>
              <w:snapToGrid w:val="0"/>
              <w:spacing w:line="276"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1"/>
                <w:highlight w:val="none"/>
              </w:rPr>
              <w:t>1、工程勘察费：</w:t>
            </w:r>
          </w:p>
          <w:p w14:paraId="24058468">
            <w:pPr>
              <w:snapToGrid w:val="0"/>
              <w:spacing w:line="276"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1）岩土工程勘察费用，按照承发包双方确认的实际工程量乘以岩土工程勘探费综合单价并执行勘察费中标下浮率结算，该单价已包括所有实物工作收费、技术工作收费、税金以及办理工程勘察相关许可等全部费用。岩土工程勘探费综合单价包干按国家发展计划委员会、建设部2002年颁布的《工程勘察设计收费标准》、《关于印发广州市黄埔区 广州开发区政府投资建设项目资金管理办法的通知》（穗埔财〔2020〕373 号）、《广州开发区财政投资建设项目管理中心咨询服务类合同结算编审指引（2021年修订版）》（穗开建管〔2021〕33号）、广州开发区财政局《关于调整我区岩土工程勘察费取费标准的复函》（穗开财函〔2013〕615号）及《关于印发&lt;广州开发区、萝岗区政府投资建设项目岩土工程勘探综合费取费标准&gt;的通知》（穗开建管〔2014〕1号）文的相关规定执行，最终结算以广州开发区财政局或其授权委托单位审核为准。</w:t>
            </w:r>
          </w:p>
          <w:p w14:paraId="02B5461A">
            <w:pPr>
              <w:snapToGrid w:val="0"/>
              <w:spacing w:line="276"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（2）工程测量费、工程物探费、地形图测量费，按国家发展计划委员会、建设部2002年颁布的《工程勘察设计收费标准》、《关于印发广州市黄埔区 广州开发区政府投资建设项目资金管理办法的通知》（穗埔财〔2020〕373 号）及《广州开发区财政投资建设项目管理中心咨询服务类合同结算编审指引（2021年修订版）》（穗开建管〔2021〕33号）计算，浮动幅度为下浮30%并执行勘察费中标下浮率。用于办理规划报建用地预审、规划国土等手续的1:500地形测量收费标准按国家测绘局颁发的国家测绘产品价格收费标准计取并下浮30%并执行勘察费中标下浮率。按国测财字[2002]3号文计取单价的项目，不予计取技术工作费。在合同实施期间工程测量费、物探费按实际完成工作量调整，但费率浮动幅度不变。</w:t>
            </w:r>
          </w:p>
          <w:p w14:paraId="7F4F0F62">
            <w:pPr>
              <w:snapToGrid w:val="0"/>
              <w:spacing w:line="276"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1"/>
                <w:highlight w:val="none"/>
              </w:rPr>
              <w:t>2、工程设计费：</w:t>
            </w:r>
          </w:p>
          <w:p w14:paraId="170E2ECC">
            <w:pPr>
              <w:snapToGrid w:val="0"/>
              <w:spacing w:line="276"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1"/>
                <w:highlight w:val="none"/>
              </w:rPr>
              <w:t>按国家发展计划委员会、建设部2002年颁布的《工程勘察设计收费标准》、《关于印发广州市黄埔区 广州开发区政府投资建设项目资金管理办法的通知》（穗埔财〔2020〕373号）、《广州开发区财政投资建设项目管理中心咨询服务类合同结算编审指引（2021年修订版）》（穗开建管〔2021〕33号）规定下浮20%并执行设计费中标下浮率计取。</w:t>
            </w:r>
          </w:p>
          <w:p w14:paraId="16260CD2">
            <w:pPr>
              <w:snapToGrid w:val="0"/>
              <w:spacing w:line="276"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1"/>
                <w:highlight w:val="none"/>
              </w:rPr>
              <w:t>本工程专业调整系数分别为：道路、交通工程：0.9；桥梁工程：1.1；其他工程：1.0；复杂程度调整系数分别为：绿化工程：0.85；其他工程：1.0；附加调整系数定为：1.0。</w:t>
            </w:r>
          </w:p>
          <w:p w14:paraId="4CC69D6B">
            <w:pPr>
              <w:spacing w:line="276" w:lineRule="auto"/>
              <w:ind w:firstLine="422" w:firstLineChars="200"/>
              <w:rPr>
                <w:rFonts w:ascii="宋体" w:hAnsi="宋体" w:eastAsia="宋体" w:cs="宋体"/>
                <w:color w:val="auto"/>
                <w:szCs w:val="21"/>
                <w:highlight w:val="none"/>
                <w:u w:val="single"/>
              </w:rPr>
            </w:pPr>
            <w:r>
              <w:rPr>
                <w:rFonts w:hint="eastAsia" w:ascii="宋体" w:hAnsi="宋体" w:eastAsia="宋体" w:cs="宋体"/>
                <w:b/>
                <w:bCs/>
                <w:color w:val="auto"/>
                <w:szCs w:val="21"/>
                <w:highlight w:val="none"/>
              </w:rPr>
              <w:t>四、所有报价均以人民币表示，以元为单位，保留小数点后两位小数,第三位小数四舍五入。</w:t>
            </w:r>
            <w:bookmarkEnd w:id="18"/>
            <w:bookmarkEnd w:id="19"/>
          </w:p>
        </w:tc>
      </w:tr>
      <w:tr w14:paraId="6011F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4CAA642A">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3.3.1</w:t>
            </w:r>
          </w:p>
        </w:tc>
        <w:tc>
          <w:tcPr>
            <w:tcW w:w="1063" w:type="pct"/>
            <w:vAlign w:val="center"/>
          </w:tcPr>
          <w:p w14:paraId="3FD18D2E">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投标有效期</w:t>
            </w:r>
          </w:p>
        </w:tc>
        <w:tc>
          <w:tcPr>
            <w:tcW w:w="3495" w:type="pct"/>
            <w:vAlign w:val="center"/>
          </w:tcPr>
          <w:p w14:paraId="6521E318">
            <w:pPr>
              <w:wordWrap w:val="0"/>
              <w:spacing w:line="276" w:lineRule="auto"/>
              <w:rPr>
                <w:rFonts w:ascii="宋体" w:hAnsi="宋体" w:eastAsia="宋体" w:cs="宋体"/>
                <w:color w:val="auto"/>
                <w:szCs w:val="21"/>
                <w:highlight w:val="none"/>
              </w:rPr>
            </w:pPr>
            <w:r>
              <w:rPr>
                <w:rFonts w:hint="eastAsia" w:ascii="宋体" w:hAnsi="宋体" w:eastAsia="宋体" w:cs="宋体"/>
                <w:b/>
                <w:bCs/>
                <w:color w:val="auto"/>
                <w:szCs w:val="21"/>
                <w:highlight w:val="none"/>
                <w:u w:val="single"/>
              </w:rPr>
              <w:t>90</w:t>
            </w:r>
            <w:r>
              <w:rPr>
                <w:rFonts w:hint="eastAsia" w:ascii="宋体" w:hAnsi="宋体" w:eastAsia="宋体" w:cs="宋体"/>
                <w:color w:val="auto"/>
                <w:szCs w:val="21"/>
                <w:highlight w:val="none"/>
              </w:rPr>
              <w:t>日历天（从投标截止之日计起）</w:t>
            </w:r>
          </w:p>
        </w:tc>
      </w:tr>
      <w:tr w14:paraId="5FD2F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2B5F176E">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3.4.1</w:t>
            </w:r>
          </w:p>
        </w:tc>
        <w:tc>
          <w:tcPr>
            <w:tcW w:w="1063" w:type="pct"/>
            <w:vAlign w:val="center"/>
          </w:tcPr>
          <w:p w14:paraId="7A12B1FF">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投标保证金</w:t>
            </w:r>
          </w:p>
        </w:tc>
        <w:tc>
          <w:tcPr>
            <w:tcW w:w="3495" w:type="pct"/>
            <w:vAlign w:val="center"/>
          </w:tcPr>
          <w:p w14:paraId="3A437813">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是否要求投标人递交投标保证金：</w:t>
            </w:r>
          </w:p>
          <w:p w14:paraId="4962553B">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□要求</w:t>
            </w:r>
          </w:p>
          <w:p w14:paraId="5C6C9A97">
            <w:pPr>
              <w:widowControl/>
              <w:wordWrap w:val="0"/>
              <w:topLinePunct/>
              <w:spacing w:after="120" w:line="276" w:lineRule="auto"/>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缴纳金额：</w:t>
            </w:r>
            <w:r>
              <w:rPr>
                <w:rFonts w:hint="eastAsia" w:ascii="宋体" w:hAnsi="宋体" w:eastAsia="宋体" w:cs="宋体"/>
                <w:color w:val="auto"/>
                <w:kern w:val="0"/>
                <w:szCs w:val="21"/>
                <w:highlight w:val="none"/>
                <w:u w:val="single"/>
                <w:lang w:val="zh-CN"/>
              </w:rPr>
              <w:t>/。</w:t>
            </w:r>
          </w:p>
          <w:p w14:paraId="4D736ABF">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■不要求。</w:t>
            </w:r>
          </w:p>
        </w:tc>
      </w:tr>
      <w:tr w14:paraId="0DA38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3C5B8D7A">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3.4.4</w:t>
            </w:r>
          </w:p>
        </w:tc>
        <w:tc>
          <w:tcPr>
            <w:tcW w:w="1063" w:type="pct"/>
            <w:vAlign w:val="center"/>
          </w:tcPr>
          <w:p w14:paraId="1F4F45CF">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其他可以不予退还投标保证金的情形</w:t>
            </w:r>
          </w:p>
        </w:tc>
        <w:tc>
          <w:tcPr>
            <w:tcW w:w="3495" w:type="pct"/>
            <w:vAlign w:val="center"/>
          </w:tcPr>
          <w:p w14:paraId="3F35CA6D">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u w:val="single"/>
              </w:rPr>
              <w:t>/。</w:t>
            </w:r>
          </w:p>
        </w:tc>
      </w:tr>
      <w:tr w14:paraId="7DA0C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54C7C19D">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3.5</w:t>
            </w:r>
          </w:p>
        </w:tc>
        <w:tc>
          <w:tcPr>
            <w:tcW w:w="1063" w:type="pct"/>
            <w:vAlign w:val="center"/>
          </w:tcPr>
          <w:p w14:paraId="0E5B7603">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资格审查资料的特殊要求</w:t>
            </w:r>
          </w:p>
        </w:tc>
        <w:tc>
          <w:tcPr>
            <w:tcW w:w="3495" w:type="pct"/>
            <w:vAlign w:val="center"/>
          </w:tcPr>
          <w:p w14:paraId="65CAF9A0">
            <w:pPr>
              <w:pStyle w:val="127"/>
              <w:kinsoku w:val="0"/>
              <w:overflowPunct w:val="0"/>
              <w:spacing w:line="276" w:lineRule="auto"/>
              <w:jc w:val="both"/>
              <w:rPr>
                <w:rFonts w:ascii="宋体" w:hAnsi="宋体"/>
                <w:color w:val="auto"/>
                <w:sz w:val="21"/>
                <w:szCs w:val="21"/>
                <w:highlight w:val="none"/>
              </w:rPr>
            </w:pPr>
            <w:r>
              <w:rPr>
                <w:rFonts w:hint="eastAsia" w:ascii="宋体" w:hAnsi="宋体"/>
                <w:color w:val="auto"/>
                <w:spacing w:val="-1"/>
                <w:sz w:val="21"/>
                <w:szCs w:val="21"/>
                <w:highlight w:val="none"/>
              </w:rPr>
              <w:t>■</w:t>
            </w:r>
            <w:r>
              <w:rPr>
                <w:rFonts w:hint="eastAsia" w:ascii="宋体" w:hAnsi="宋体"/>
                <w:color w:val="auto"/>
                <w:sz w:val="21"/>
                <w:szCs w:val="21"/>
                <w:highlight w:val="none"/>
              </w:rPr>
              <w:t>无</w:t>
            </w:r>
          </w:p>
          <w:p w14:paraId="36D7533B">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olor w:val="auto"/>
                <w:szCs w:val="21"/>
                <w:highlight w:val="none"/>
              </w:rPr>
              <w:t>有，具</w:t>
            </w:r>
            <w:r>
              <w:rPr>
                <w:rFonts w:hint="eastAsia" w:ascii="宋体" w:hAnsi="宋体" w:eastAsia="宋体"/>
                <w:color w:val="auto"/>
                <w:spacing w:val="-3"/>
                <w:szCs w:val="21"/>
                <w:highlight w:val="none"/>
              </w:rPr>
              <w:t>体</w:t>
            </w:r>
            <w:r>
              <w:rPr>
                <w:rFonts w:hint="eastAsia" w:ascii="宋体" w:hAnsi="宋体" w:eastAsia="宋体"/>
                <w:color w:val="auto"/>
                <w:szCs w:val="21"/>
                <w:highlight w:val="none"/>
              </w:rPr>
              <w:t>要</w:t>
            </w:r>
            <w:r>
              <w:rPr>
                <w:rFonts w:hint="eastAsia" w:ascii="宋体" w:hAnsi="宋体" w:eastAsia="宋体"/>
                <w:color w:val="auto"/>
                <w:spacing w:val="-3"/>
                <w:szCs w:val="21"/>
                <w:highlight w:val="none"/>
              </w:rPr>
              <w:t>求</w:t>
            </w:r>
            <w:r>
              <w:rPr>
                <w:rFonts w:hint="eastAsia" w:ascii="宋体" w:hAnsi="宋体" w:eastAsia="宋体"/>
                <w:color w:val="auto"/>
                <w:szCs w:val="21"/>
                <w:highlight w:val="none"/>
              </w:rPr>
              <w:t>：/</w:t>
            </w:r>
          </w:p>
        </w:tc>
      </w:tr>
      <w:tr w14:paraId="26688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1CB2DCD5">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3.5.2</w:t>
            </w:r>
          </w:p>
        </w:tc>
        <w:tc>
          <w:tcPr>
            <w:tcW w:w="1063" w:type="pct"/>
            <w:vAlign w:val="center"/>
          </w:tcPr>
          <w:p w14:paraId="14CE8C5B">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近年财务状况的年份要求</w:t>
            </w:r>
          </w:p>
        </w:tc>
        <w:tc>
          <w:tcPr>
            <w:tcW w:w="3495" w:type="pct"/>
            <w:vAlign w:val="center"/>
          </w:tcPr>
          <w:p w14:paraId="52EB42A5">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u w:val="single"/>
              </w:rPr>
              <w:t>/。</w:t>
            </w:r>
          </w:p>
        </w:tc>
      </w:tr>
      <w:tr w14:paraId="4A368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13284DF0">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3.5.3</w:t>
            </w:r>
          </w:p>
        </w:tc>
        <w:tc>
          <w:tcPr>
            <w:tcW w:w="1063" w:type="pct"/>
            <w:vAlign w:val="center"/>
          </w:tcPr>
          <w:p w14:paraId="0C429BE0">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近年完成的类似项目情况的时间要求</w:t>
            </w:r>
          </w:p>
        </w:tc>
        <w:tc>
          <w:tcPr>
            <w:tcW w:w="3495" w:type="pct"/>
            <w:vAlign w:val="center"/>
          </w:tcPr>
          <w:p w14:paraId="72628FE0">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u w:val="single"/>
              </w:rPr>
              <w:t>/。</w:t>
            </w:r>
          </w:p>
        </w:tc>
      </w:tr>
      <w:tr w14:paraId="032E8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2974A8E9">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3.6.1</w:t>
            </w:r>
          </w:p>
        </w:tc>
        <w:tc>
          <w:tcPr>
            <w:tcW w:w="1063" w:type="pct"/>
            <w:vAlign w:val="center"/>
          </w:tcPr>
          <w:p w14:paraId="7B80B3FB">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是否允许递交备选投标方案</w:t>
            </w:r>
          </w:p>
        </w:tc>
        <w:tc>
          <w:tcPr>
            <w:tcW w:w="3495" w:type="pct"/>
            <w:vAlign w:val="center"/>
          </w:tcPr>
          <w:p w14:paraId="13858D03">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■不允许</w:t>
            </w:r>
          </w:p>
          <w:p w14:paraId="057F6411">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□允许</w:t>
            </w:r>
          </w:p>
        </w:tc>
      </w:tr>
      <w:tr w14:paraId="3F6E1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2B14742A">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3.7.3</w:t>
            </w:r>
          </w:p>
        </w:tc>
        <w:tc>
          <w:tcPr>
            <w:tcW w:w="1063" w:type="pct"/>
            <w:vAlign w:val="center"/>
          </w:tcPr>
          <w:p w14:paraId="4AB92D9A">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投标文件签字或盖章要求</w:t>
            </w:r>
          </w:p>
        </w:tc>
        <w:tc>
          <w:tcPr>
            <w:tcW w:w="3495" w:type="pct"/>
            <w:vAlign w:val="center"/>
          </w:tcPr>
          <w:p w14:paraId="3D173C38">
            <w:pPr>
              <w:wordWrap w:val="0"/>
              <w:spacing w:line="276" w:lineRule="auto"/>
              <w:rPr>
                <w:rFonts w:ascii="宋体" w:hAnsi="宋体" w:eastAsia="宋体"/>
                <w:color w:val="auto"/>
                <w:highlight w:val="none"/>
              </w:rPr>
            </w:pPr>
            <w:r>
              <w:rPr>
                <w:rFonts w:hint="eastAsia" w:ascii="宋体" w:hAnsi="宋体" w:eastAsia="宋体"/>
                <w:color w:val="auto"/>
                <w:szCs w:val="21"/>
                <w:highlight w:val="none"/>
                <w:u w:val="single"/>
              </w:rPr>
              <w:t>投标文件格式规定需个人签字的，应签字或签章后扫描上传（</w:t>
            </w:r>
            <w:r>
              <w:rPr>
                <w:rFonts w:hint="eastAsia" w:ascii="宋体" w:hAnsi="宋体" w:eastAsia="宋体" w:cs="Times New Roman"/>
                <w:color w:val="auto"/>
                <w:szCs w:val="21"/>
                <w:highlight w:val="none"/>
                <w:u w:val="single"/>
              </w:rPr>
              <w:t>可靠的电子签名与手写签名或者盖章具有同等的法律效力</w:t>
            </w:r>
            <w:r>
              <w:rPr>
                <w:rFonts w:hint="eastAsia" w:ascii="宋体" w:hAnsi="宋体" w:eastAsia="宋体"/>
                <w:color w:val="auto"/>
                <w:szCs w:val="21"/>
                <w:highlight w:val="none"/>
                <w:u w:val="single"/>
              </w:rPr>
              <w:t>）。投标文件格式规定盖单位公章的页面必须盖单位公章或电子公章（公章与电子公章具有相同法律效力）。</w:t>
            </w:r>
          </w:p>
        </w:tc>
      </w:tr>
      <w:tr w14:paraId="3F3CE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7C8C331A">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4.1.2</w:t>
            </w:r>
          </w:p>
        </w:tc>
        <w:tc>
          <w:tcPr>
            <w:tcW w:w="1063" w:type="pct"/>
            <w:vAlign w:val="center"/>
          </w:tcPr>
          <w:p w14:paraId="299178F0">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封套上应载明的信息（适用于提交备用光盘或U盘的情况）</w:t>
            </w:r>
          </w:p>
        </w:tc>
        <w:tc>
          <w:tcPr>
            <w:tcW w:w="3495" w:type="pct"/>
            <w:vAlign w:val="center"/>
          </w:tcPr>
          <w:p w14:paraId="4CD958D7">
            <w:pPr>
              <w:wordWrap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如有提交投标文件光盘备用，封套上应注明如下信息：</w:t>
            </w:r>
          </w:p>
          <w:p w14:paraId="49321F26">
            <w:pPr>
              <w:wordWrap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刻录好的投标文件光盘分别密封在不透明的密封袋并作标记，其中：</w:t>
            </w:r>
          </w:p>
          <w:p w14:paraId="22E1D5FD">
            <w:pPr>
              <w:wordWrap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1.“商务文件（含资格审查文件）光盘”应在密封袋上写明（1）招标人名称；（2）“[项目名称] 商务文件（含资格审查文件）光盘”字样；（3）投标人名称；并在封口处加盖投标人单位公章；</w:t>
            </w:r>
          </w:p>
          <w:p w14:paraId="4CDB14F0">
            <w:pPr>
              <w:wordWrap w:val="0"/>
              <w:spacing w:line="276" w:lineRule="auto"/>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u w:val="single"/>
              </w:rPr>
              <w:t>技术文件</w:t>
            </w:r>
            <w:r>
              <w:rPr>
                <w:rFonts w:hint="eastAsia" w:ascii="宋体" w:hAnsi="宋体" w:eastAsia="宋体"/>
                <w:color w:val="auto"/>
                <w:szCs w:val="21"/>
                <w:highlight w:val="none"/>
              </w:rPr>
              <w:t>光盘”、“保密文件光盘”应仅在密封袋上写明“[项目名称][</w:t>
            </w:r>
            <w:r>
              <w:rPr>
                <w:rFonts w:hint="eastAsia" w:ascii="宋体" w:hAnsi="宋体" w:eastAsia="宋体"/>
                <w:color w:val="auto"/>
                <w:szCs w:val="21"/>
                <w:highlight w:val="none"/>
                <w:u w:val="single"/>
              </w:rPr>
              <w:t>技术文件</w:t>
            </w:r>
            <w:r>
              <w:rPr>
                <w:rFonts w:hint="eastAsia" w:ascii="宋体" w:hAnsi="宋体" w:eastAsia="宋体"/>
                <w:color w:val="auto"/>
                <w:szCs w:val="21"/>
                <w:highlight w:val="none"/>
              </w:rPr>
              <w:t>光盘或保密文件光盘]”字样，并不得盖章或加具其它可以识别投标人身份的标记。</w:t>
            </w:r>
          </w:p>
          <w:p w14:paraId="0BBF26B7">
            <w:pPr>
              <w:pStyle w:val="2"/>
              <w:spacing w:line="276" w:lineRule="auto"/>
              <w:jc w:val="left"/>
              <w:rPr>
                <w:rFonts w:ascii="宋体" w:hAnsi="宋体"/>
                <w:color w:val="auto"/>
                <w:sz w:val="21"/>
                <w:szCs w:val="21"/>
                <w:highlight w:val="none"/>
              </w:rPr>
            </w:pPr>
            <w:r>
              <w:rPr>
                <w:rFonts w:hint="eastAsia" w:ascii="宋体" w:hAnsi="宋体" w:cs="宋体"/>
                <w:color w:val="auto"/>
                <w:sz w:val="21"/>
                <w:szCs w:val="21"/>
                <w:highlight w:val="none"/>
                <w:u w:val="single"/>
              </w:rPr>
              <w:t>注：“技术文件光盘”“保密文件光盘”接收时不得启封，当符合补救方案条件需要对技术文件进行评审时，由交易服务机构见证人对“技术文件光盘”启封密封袋并编号，参与开标、评标的其他人员应当回避，完成编号后送交评标委员会进行评审。评标结果揭晓前，负责编号的工作人员不得向他人透露投标文件编号的情况。在完成技术文件评审后，由交易服务机构见证人和评标委员会共同开启“保密文件光盘”密封袋揭晓投标人身份。</w:t>
            </w:r>
          </w:p>
        </w:tc>
      </w:tr>
      <w:tr w14:paraId="60BB3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1D84D892">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4.2.1</w:t>
            </w:r>
          </w:p>
        </w:tc>
        <w:tc>
          <w:tcPr>
            <w:tcW w:w="1063" w:type="pct"/>
            <w:vAlign w:val="center"/>
          </w:tcPr>
          <w:p w14:paraId="0C750C98">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投标截止时间</w:t>
            </w:r>
          </w:p>
        </w:tc>
        <w:tc>
          <w:tcPr>
            <w:tcW w:w="3495" w:type="pct"/>
            <w:vAlign w:val="center"/>
          </w:tcPr>
          <w:p w14:paraId="0170D580">
            <w:pPr>
              <w:wordWrap w:val="0"/>
              <w:spacing w:line="276" w:lineRule="auto"/>
              <w:rPr>
                <w:rFonts w:ascii="宋体" w:hAnsi="宋体" w:eastAsia="宋体" w:cs="宋体"/>
                <w:color w:val="auto"/>
                <w:szCs w:val="21"/>
                <w:highlight w:val="none"/>
              </w:rPr>
            </w:pPr>
            <w:bookmarkStart w:id="20" w:name="OLE_LINK10"/>
            <w:r>
              <w:rPr>
                <w:rFonts w:hint="eastAsia" w:ascii="宋体" w:hAnsi="宋体" w:eastAsia="宋体"/>
                <w:color w:val="auto"/>
                <w:szCs w:val="21"/>
                <w:highlight w:val="none"/>
              </w:rPr>
              <w:t>投标截止时间：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分（北京时间），以广州交易集团有限公司（广州公共资源交易中心）网站发布信息为准。</w:t>
            </w:r>
            <w:bookmarkEnd w:id="20"/>
          </w:p>
        </w:tc>
      </w:tr>
      <w:tr w14:paraId="0CDE3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0A55EA63">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5.1</w:t>
            </w:r>
          </w:p>
        </w:tc>
        <w:tc>
          <w:tcPr>
            <w:tcW w:w="1063" w:type="pct"/>
            <w:vAlign w:val="center"/>
          </w:tcPr>
          <w:p w14:paraId="1D0D854D">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开标时间和地点</w:t>
            </w:r>
          </w:p>
        </w:tc>
        <w:tc>
          <w:tcPr>
            <w:tcW w:w="3495" w:type="pct"/>
            <w:vAlign w:val="center"/>
          </w:tcPr>
          <w:p w14:paraId="2ABF8A54">
            <w:pPr>
              <w:wordWrap w:val="0"/>
              <w:spacing w:line="276" w:lineRule="auto"/>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1.开标时间：</w:t>
            </w:r>
            <w:r>
              <w:rPr>
                <w:rFonts w:hint="eastAsia" w:ascii="宋体" w:hAnsi="宋体" w:eastAsia="宋体" w:cs="宋体"/>
                <w:color w:val="auto"/>
                <w:szCs w:val="21"/>
                <w:highlight w:val="none"/>
                <w:u w:val="single"/>
                <w:lang w:bidi="ar"/>
              </w:rPr>
              <w:t>同投标截止时间</w:t>
            </w:r>
          </w:p>
          <w:p w14:paraId="112A8A91">
            <w:pPr>
              <w:wordWrap w:val="0"/>
              <w:spacing w:line="276" w:lineRule="auto"/>
              <w:rPr>
                <w:rFonts w:ascii="宋体" w:hAnsi="宋体" w:eastAsia="宋体" w:cs="宋体"/>
                <w:color w:val="auto"/>
                <w:szCs w:val="21"/>
                <w:highlight w:val="none"/>
                <w:u w:val="single"/>
                <w:lang w:bidi="ar"/>
              </w:rPr>
            </w:pPr>
            <w:r>
              <w:rPr>
                <w:rFonts w:hint="eastAsia" w:ascii="宋体" w:hAnsi="宋体" w:eastAsia="宋体" w:cs="宋体"/>
                <w:color w:val="auto"/>
                <w:szCs w:val="21"/>
                <w:highlight w:val="none"/>
                <w:lang w:bidi="ar"/>
              </w:rPr>
              <w:t>2.开标地点：</w:t>
            </w:r>
            <w:r>
              <w:rPr>
                <w:rFonts w:hint="eastAsia" w:ascii="宋体" w:hAnsi="宋体" w:eastAsia="宋体" w:cs="宋体"/>
                <w:color w:val="auto"/>
                <w:szCs w:val="21"/>
                <w:highlight w:val="none"/>
                <w:u w:val="single"/>
                <w:lang w:bidi="ar"/>
              </w:rPr>
              <w:t>广州交易集团有限公司（广州公共资源交易中心）指定开标室。</w:t>
            </w:r>
          </w:p>
          <w:p w14:paraId="28128C2F">
            <w:pPr>
              <w:wordWrap w:val="0"/>
              <w:spacing w:line="276" w:lineRule="auto"/>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3.递交投标文件备用光盘时间：____年____月____日____时____分至____年____月____日____时____分；递交地点：</w:t>
            </w:r>
            <w:r>
              <w:rPr>
                <w:rFonts w:hint="eastAsia" w:ascii="宋体" w:hAnsi="宋体" w:eastAsia="宋体" w:cs="宋体"/>
                <w:color w:val="auto"/>
                <w:szCs w:val="21"/>
                <w:highlight w:val="none"/>
                <w:u w:val="single"/>
                <w:lang w:bidi="ar"/>
              </w:rPr>
              <w:t>广州交易集团有限公司（广州公共资源交易中心）指定开标室</w:t>
            </w:r>
            <w:r>
              <w:rPr>
                <w:rFonts w:hint="eastAsia" w:ascii="宋体" w:hAnsi="宋体" w:eastAsia="宋体" w:cs="宋体"/>
                <w:color w:val="auto"/>
                <w:szCs w:val="21"/>
                <w:highlight w:val="none"/>
                <w:lang w:bidi="ar"/>
              </w:rPr>
              <w:t>。</w:t>
            </w:r>
          </w:p>
          <w:p w14:paraId="6A98A0B1">
            <w:pPr>
              <w:wordWrap w:val="0"/>
              <w:spacing w:line="276" w:lineRule="auto"/>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4.提交投标文件光盘备用</w:t>
            </w:r>
          </w:p>
          <w:p w14:paraId="7C599A49">
            <w:pPr>
              <w:wordWrap w:val="0"/>
              <w:spacing w:line="276" w:lineRule="auto"/>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投标人可制作非加密的电子投标文件（PDF 格式）刻入光盘（1份），在投标须知前附表规定的时间、地点提交备用。刻录好的投标文件光盘密封在密封袋中，并在封口处加盖投标人单位公章。密封袋上应写明项目名称和招标人名称。递交的光盘不得加密。光盘无法读取或导入的，则视为未提交备用投标文件光盘。如果投标人没有按规定通过交易平台网上递交电子投标文件的，不再读取提交的光盘。投标人也可不提交备用光盘。</w:t>
            </w:r>
          </w:p>
          <w:p w14:paraId="1480E99E">
            <w:pPr>
              <w:wordWrap w:val="0"/>
              <w:spacing w:line="276" w:lineRule="auto"/>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5.补救方案</w:t>
            </w:r>
          </w:p>
          <w:p w14:paraId="308F190F">
            <w:pPr>
              <w:wordWrap w:val="0"/>
              <w:spacing w:line="276" w:lineRule="auto"/>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1）投标文件解密失败的补救方案：在规定时间内，因投标人之外原因(指网络瘫痪、服务器损坏、交易系统故障短期无法恢复)导致的电子投标文件解密失败，在开标现场读取光盘内容，继续开标程序。评标委员会对其投标文件的评审以光盘内容为准。因投标人之外原因解密失败且未递交电子光盘的，视为撤回投标文件。</w:t>
            </w:r>
          </w:p>
          <w:p w14:paraId="7CC112F0">
            <w:pPr>
              <w:wordWrap w:val="0"/>
              <w:spacing w:line="276" w:lineRule="auto"/>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（2）评标时突发情况的补救方案：若遇不可抗力发生（指网络瘫痪、服务器损坏、交易系统故障短期无法恢复等因素），由评标委员会开启投标人递交的全部投标文件光盘，并按光盘内容进行评审。</w:t>
            </w:r>
          </w:p>
          <w:p w14:paraId="16006DC3">
            <w:pPr>
              <w:wordWrap w:val="0"/>
              <w:spacing w:line="276" w:lineRule="auto"/>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（3）除发生上述情况外，开标评标均以投标人通过交易平台网上递交的电子投标文件为准。</w:t>
            </w:r>
          </w:p>
          <w:p w14:paraId="297F8CF6">
            <w:pPr>
              <w:wordWrap w:val="0"/>
              <w:spacing w:line="276" w:lineRule="auto"/>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6.开标时，投标人代表有权参加现场开标或在线开标，也可以自主决定不参加开标，投标人选择参加在线开标的，具体按照交易平台相关指南进行操作。</w:t>
            </w:r>
          </w:p>
          <w:p w14:paraId="1D4F78E9">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lang w:bidi="ar"/>
              </w:rPr>
              <w:t>7.上述时间及地点是否有改变，请密切留意补充公告或招标答疑纪要的相关信息。</w:t>
            </w:r>
          </w:p>
        </w:tc>
      </w:tr>
      <w:tr w14:paraId="25490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43FD12DD">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6.1.1</w:t>
            </w:r>
          </w:p>
        </w:tc>
        <w:tc>
          <w:tcPr>
            <w:tcW w:w="1063" w:type="pct"/>
            <w:vAlign w:val="center"/>
          </w:tcPr>
          <w:p w14:paraId="5EC98C76">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评标委员会的组建</w:t>
            </w:r>
          </w:p>
        </w:tc>
        <w:tc>
          <w:tcPr>
            <w:tcW w:w="3495" w:type="pct"/>
            <w:vAlign w:val="center"/>
          </w:tcPr>
          <w:p w14:paraId="751E8572">
            <w:pPr>
              <w:pStyle w:val="127"/>
              <w:kinsoku w:val="0"/>
              <w:overflowPunct w:val="0"/>
              <w:spacing w:line="276" w:lineRule="auto"/>
              <w:jc w:val="both"/>
              <w:rPr>
                <w:rFonts w:ascii="宋体" w:hAnsi="宋体"/>
                <w:color w:val="auto"/>
                <w:sz w:val="21"/>
                <w:szCs w:val="21"/>
                <w:highlight w:val="none"/>
                <w:u w:val="single"/>
              </w:rPr>
            </w:pPr>
            <w:r>
              <w:rPr>
                <w:rFonts w:hint="eastAsia" w:ascii="宋体" w:hAnsi="宋体"/>
                <w:color w:val="auto"/>
                <w:sz w:val="21"/>
                <w:szCs w:val="21"/>
                <w:highlight w:val="none"/>
                <w:u w:val="single"/>
              </w:rPr>
              <w:t>评标委员会由招标人依法组建。</w:t>
            </w:r>
          </w:p>
          <w:p w14:paraId="2EF26CE9">
            <w:pPr>
              <w:pStyle w:val="127"/>
              <w:kinsoku w:val="0"/>
              <w:overflowPunct w:val="0"/>
              <w:spacing w:line="276" w:lineRule="auto"/>
              <w:jc w:val="both"/>
              <w:rPr>
                <w:rFonts w:ascii="宋体" w:hAnsi="宋体"/>
                <w:color w:val="auto"/>
                <w:sz w:val="21"/>
                <w:szCs w:val="21"/>
                <w:highlight w:val="none"/>
              </w:rPr>
            </w:pPr>
            <w:r>
              <w:rPr>
                <w:rFonts w:hint="eastAsia" w:ascii="宋体" w:hAnsi="宋体"/>
                <w:color w:val="auto"/>
                <w:sz w:val="21"/>
                <w:szCs w:val="21"/>
                <w:highlight w:val="none"/>
              </w:rPr>
              <w:t>招标代理机构应严格按照《广东省政务服务和数据管理局关于印发广东省综合评标评审专家库评标专家劳务报酬管理办法的通知》（粤政数〔2025〕11号）的规定向评标专家支付酬金，不得额外支付费用。评标专家对符合《广东省综合评标评审专家库评标专家劳务报酬管理办法》的规定计取的专家报酬不得有异议。若评标时已发布新规定的，按新规执行。</w:t>
            </w:r>
          </w:p>
        </w:tc>
      </w:tr>
      <w:tr w14:paraId="7CB6A8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7CE9639D">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6.3.2</w:t>
            </w:r>
          </w:p>
        </w:tc>
        <w:tc>
          <w:tcPr>
            <w:tcW w:w="1063" w:type="pct"/>
            <w:vAlign w:val="center"/>
          </w:tcPr>
          <w:p w14:paraId="209F679D">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评标委员会推荐中标候选人的人数</w:t>
            </w:r>
          </w:p>
        </w:tc>
        <w:tc>
          <w:tcPr>
            <w:tcW w:w="3495" w:type="pct"/>
            <w:vAlign w:val="center"/>
          </w:tcPr>
          <w:p w14:paraId="1E56A2F7">
            <w:pPr>
              <w:wordWrap w:val="0"/>
              <w:spacing w:line="276" w:lineRule="auto"/>
              <w:rPr>
                <w:rFonts w:ascii="宋体" w:hAnsi="宋体" w:eastAsia="宋体" w:cs="宋体"/>
                <w:color w:val="auto"/>
                <w:szCs w:val="21"/>
                <w:highlight w:val="none"/>
                <w:u w:val="single"/>
              </w:rPr>
            </w:pPr>
            <w:r>
              <w:rPr>
                <w:rFonts w:hint="eastAsia" w:ascii="宋体" w:hAnsi="宋体" w:eastAsia="宋体" w:cs="Times New Roman"/>
                <w:color w:val="auto"/>
                <w:kern w:val="0"/>
                <w:szCs w:val="21"/>
                <w:highlight w:val="none"/>
              </w:rPr>
              <w:t>本项目采用评定分离的评审办法，推荐进入定标阶段的合格中标候选人数：</w:t>
            </w:r>
            <w:r>
              <w:rPr>
                <w:rFonts w:ascii="宋体" w:hAnsi="宋体" w:eastAsia="宋体" w:cs="Times New Roman"/>
                <w:color w:val="auto"/>
                <w:kern w:val="0"/>
                <w:szCs w:val="21"/>
                <w:highlight w:val="none"/>
              </w:rPr>
              <w:t>3</w:t>
            </w:r>
            <w:r>
              <w:rPr>
                <w:rFonts w:hint="eastAsia" w:ascii="宋体" w:hAnsi="宋体" w:eastAsia="宋体" w:cs="Times New Roman"/>
                <w:color w:val="auto"/>
                <w:kern w:val="0"/>
                <w:szCs w:val="21"/>
                <w:highlight w:val="none"/>
              </w:rPr>
              <w:t>名。</w:t>
            </w:r>
          </w:p>
        </w:tc>
      </w:tr>
      <w:tr w14:paraId="5F2B0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06712773">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7.1</w:t>
            </w:r>
          </w:p>
        </w:tc>
        <w:tc>
          <w:tcPr>
            <w:tcW w:w="1063" w:type="pct"/>
            <w:vAlign w:val="center"/>
          </w:tcPr>
          <w:p w14:paraId="3E032857">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合格中标候选人公示媒介及期限</w:t>
            </w:r>
          </w:p>
        </w:tc>
        <w:tc>
          <w:tcPr>
            <w:tcW w:w="3495" w:type="pct"/>
            <w:vAlign w:val="center"/>
          </w:tcPr>
          <w:p w14:paraId="1A2F68F9">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公示媒介：</w:t>
            </w:r>
            <w:r>
              <w:rPr>
                <w:rFonts w:hint="eastAsia" w:ascii="宋体" w:hAnsi="宋体" w:eastAsia="宋体" w:cs="宋体"/>
                <w:color w:val="auto"/>
                <w:szCs w:val="21"/>
                <w:highlight w:val="none"/>
                <w:u w:val="single"/>
                <w:lang w:bidi="ar"/>
              </w:rPr>
              <w:t>广州交易集团有限公司（广州公共资源交易中心）网、广东省招标投标监管网、中国招标投标公共服务平台</w:t>
            </w:r>
          </w:p>
          <w:p w14:paraId="27DAEA5B">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公示期限：</w:t>
            </w:r>
            <w:r>
              <w:rPr>
                <w:rFonts w:hint="eastAsia" w:ascii="宋体" w:hAnsi="宋体" w:eastAsia="宋体" w:cs="宋体"/>
                <w:color w:val="auto"/>
                <w:szCs w:val="21"/>
                <w:highlight w:val="none"/>
                <w:u w:val="single"/>
                <w:lang w:bidi="ar"/>
              </w:rPr>
              <w:t xml:space="preserve"> 3 </w:t>
            </w:r>
            <w:r>
              <w:rPr>
                <w:rFonts w:hint="eastAsia" w:ascii="宋体" w:hAnsi="宋体" w:eastAsia="宋体" w:cs="宋体"/>
                <w:color w:val="auto"/>
                <w:szCs w:val="21"/>
                <w:highlight w:val="none"/>
                <w:lang w:bidi="ar"/>
              </w:rPr>
              <w:t>日（不少于3日，最后一天应为工作日）</w:t>
            </w:r>
          </w:p>
          <w:p w14:paraId="145D6CFE">
            <w:pPr>
              <w:wordWrap w:val="0"/>
              <w:spacing w:line="276" w:lineRule="auto"/>
              <w:rPr>
                <w:rFonts w:ascii="宋体" w:hAnsi="宋体" w:eastAsia="宋体" w:cs="宋体"/>
                <w:color w:val="auto"/>
                <w:szCs w:val="21"/>
                <w:highlight w:val="none"/>
              </w:rPr>
            </w:pPr>
          </w:p>
        </w:tc>
      </w:tr>
      <w:tr w14:paraId="6D2DE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11CA2198">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7.4</w:t>
            </w:r>
          </w:p>
        </w:tc>
        <w:tc>
          <w:tcPr>
            <w:tcW w:w="1063" w:type="pct"/>
            <w:vAlign w:val="center"/>
          </w:tcPr>
          <w:p w14:paraId="127785A2">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是否授权评标委员会确定中标人</w:t>
            </w:r>
          </w:p>
        </w:tc>
        <w:tc>
          <w:tcPr>
            <w:tcW w:w="3495" w:type="pct"/>
            <w:vAlign w:val="center"/>
          </w:tcPr>
          <w:p w14:paraId="0E4E6149">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□是</w:t>
            </w:r>
          </w:p>
          <w:p w14:paraId="6FF6E14B">
            <w:pPr>
              <w:wordWrap w:val="0"/>
              <w:spacing w:line="276" w:lineRule="auto"/>
              <w:rPr>
                <w:rFonts w:ascii="宋体" w:hAnsi="宋体" w:eastAsia="宋体" w:cs="Times New Roman"/>
                <w:color w:val="auto"/>
                <w:szCs w:val="21"/>
                <w:highlight w:val="none"/>
              </w:rPr>
            </w:pPr>
            <w:r>
              <w:rPr>
                <w:rFonts w:hint="eastAsia" w:ascii="宋体" w:hAnsi="宋体" w:eastAsia="宋体" w:cs="宋体"/>
                <w:color w:val="auto"/>
                <w:szCs w:val="21"/>
                <w:highlight w:val="none"/>
              </w:rPr>
              <w:t>■否</w:t>
            </w:r>
          </w:p>
        </w:tc>
      </w:tr>
      <w:tr w14:paraId="14EF9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15221FCE">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7.4</w:t>
            </w:r>
          </w:p>
        </w:tc>
        <w:tc>
          <w:tcPr>
            <w:tcW w:w="1063" w:type="pct"/>
            <w:vAlign w:val="center"/>
          </w:tcPr>
          <w:p w14:paraId="592AD935">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定标委员会的组建</w:t>
            </w:r>
          </w:p>
        </w:tc>
        <w:tc>
          <w:tcPr>
            <w:tcW w:w="3495" w:type="pct"/>
            <w:vAlign w:val="center"/>
          </w:tcPr>
          <w:p w14:paraId="5BDBA902">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由招标人依法组建。</w:t>
            </w:r>
          </w:p>
        </w:tc>
      </w:tr>
      <w:tr w14:paraId="19767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471A30B5">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7.6</w:t>
            </w:r>
          </w:p>
        </w:tc>
        <w:tc>
          <w:tcPr>
            <w:tcW w:w="1063" w:type="pct"/>
            <w:vAlign w:val="center"/>
          </w:tcPr>
          <w:p w14:paraId="52CB6433">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技术成果经济补偿</w:t>
            </w:r>
          </w:p>
        </w:tc>
        <w:tc>
          <w:tcPr>
            <w:tcW w:w="3495" w:type="pct"/>
            <w:vAlign w:val="center"/>
          </w:tcPr>
          <w:p w14:paraId="5FCFC733">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□不补偿</w:t>
            </w:r>
          </w:p>
          <w:p w14:paraId="4119E517">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■补偿，补偿标准：</w:t>
            </w:r>
            <w:r>
              <w:rPr>
                <w:rFonts w:hint="eastAsia" w:ascii="宋体" w:hAnsi="宋体" w:eastAsia="宋体" w:cs="宋体"/>
                <w:color w:val="auto"/>
                <w:szCs w:val="21"/>
                <w:highlight w:val="none"/>
                <w:u w:val="single"/>
              </w:rPr>
              <w:t>具体详见本项目招标公告。</w:t>
            </w:r>
          </w:p>
        </w:tc>
      </w:tr>
      <w:tr w14:paraId="48606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71A51939">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7.7.1</w:t>
            </w:r>
          </w:p>
        </w:tc>
        <w:tc>
          <w:tcPr>
            <w:tcW w:w="1063" w:type="pct"/>
            <w:vAlign w:val="center"/>
          </w:tcPr>
          <w:p w14:paraId="65C58575">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履约保证金</w:t>
            </w:r>
          </w:p>
        </w:tc>
        <w:tc>
          <w:tcPr>
            <w:tcW w:w="3495" w:type="pct"/>
            <w:vAlign w:val="center"/>
          </w:tcPr>
          <w:p w14:paraId="659DCD1E">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是否要求中标人提交履约保证金：</w:t>
            </w:r>
          </w:p>
          <w:p w14:paraId="71D2DC26">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□要求，履约保证金的形式：</w:t>
            </w:r>
            <w:r>
              <w:rPr>
                <w:rFonts w:hint="eastAsia" w:ascii="宋体" w:hAnsi="宋体" w:eastAsia="宋体" w:cs="宋体"/>
                <w:color w:val="auto"/>
                <w:szCs w:val="21"/>
                <w:highlight w:val="none"/>
                <w:u w:val="single"/>
              </w:rPr>
              <w:t>/。</w:t>
            </w:r>
          </w:p>
          <w:p w14:paraId="41549F5B">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履约保证金的金额：</w:t>
            </w:r>
            <w:r>
              <w:rPr>
                <w:rFonts w:hint="eastAsia" w:ascii="宋体" w:hAnsi="宋体" w:eastAsia="宋体" w:cs="宋体"/>
                <w:color w:val="auto"/>
                <w:szCs w:val="21"/>
                <w:highlight w:val="none"/>
                <w:u w:val="single"/>
              </w:rPr>
              <w:t>/。</w:t>
            </w:r>
          </w:p>
          <w:p w14:paraId="66724225">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■不要求</w:t>
            </w:r>
          </w:p>
        </w:tc>
      </w:tr>
      <w:tr w14:paraId="34699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358FEF2E">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9</w:t>
            </w:r>
          </w:p>
        </w:tc>
        <w:tc>
          <w:tcPr>
            <w:tcW w:w="1063" w:type="pct"/>
            <w:vAlign w:val="center"/>
          </w:tcPr>
          <w:p w14:paraId="6DD7912C">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是否采用电子招标投标</w:t>
            </w:r>
          </w:p>
        </w:tc>
        <w:tc>
          <w:tcPr>
            <w:tcW w:w="3495" w:type="pct"/>
            <w:vAlign w:val="center"/>
          </w:tcPr>
          <w:p w14:paraId="01E9408C">
            <w:pPr>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□否</w:t>
            </w:r>
          </w:p>
          <w:p w14:paraId="6C5DDC33">
            <w:pPr>
              <w:adjustRightInd w:val="0"/>
              <w:snapToGrid w:val="0"/>
              <w:spacing w:line="276" w:lineRule="auto"/>
              <w:rPr>
                <w:rFonts w:ascii="宋体" w:hAnsi="宋体" w:eastAsia="宋体"/>
                <w:color w:val="auto"/>
                <w:szCs w:val="21"/>
                <w:highlight w:val="none"/>
              </w:rPr>
            </w:pPr>
            <w:r>
              <w:rPr>
                <w:rFonts w:hint="eastAsia" w:ascii="宋体" w:hAnsi="宋体" w:eastAsia="宋体" w:cs="宋体"/>
                <w:color w:val="auto"/>
                <w:szCs w:val="21"/>
                <w:highlight w:val="none"/>
              </w:rPr>
              <w:t>■是，具体要求：</w:t>
            </w:r>
          </w:p>
          <w:p w14:paraId="67D58A36">
            <w:pPr>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按照交易平台关于全流程电子化项目的相关指南进行操作。详见：广州交易集团有限公司（广州公共资源交易中心）网站。</w:t>
            </w:r>
          </w:p>
          <w:p w14:paraId="062429F0">
            <w:pPr>
              <w:spacing w:line="276" w:lineRule="auto"/>
              <w:rPr>
                <w:rFonts w:ascii="宋体" w:hAnsi="宋体" w:eastAsia="宋体" w:cs="宋体"/>
                <w:color w:val="auto"/>
                <w:szCs w:val="21"/>
                <w:highlight w:val="none"/>
              </w:rPr>
            </w:pPr>
          </w:p>
        </w:tc>
      </w:tr>
      <w:tr w14:paraId="0D38A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52544BEF">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11</w:t>
            </w:r>
          </w:p>
        </w:tc>
        <w:tc>
          <w:tcPr>
            <w:tcW w:w="4558" w:type="pct"/>
            <w:gridSpan w:val="2"/>
            <w:vAlign w:val="center"/>
          </w:tcPr>
          <w:p w14:paraId="06F201B8">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需要补充的其他内容</w:t>
            </w:r>
          </w:p>
        </w:tc>
      </w:tr>
      <w:tr w14:paraId="36B004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shd w:val="clear" w:color="auto" w:fill="auto"/>
            <w:vAlign w:val="center"/>
          </w:tcPr>
          <w:p w14:paraId="51684C41">
            <w:pPr>
              <w:pStyle w:val="127"/>
              <w:kinsoku w:val="0"/>
              <w:overflowPunct w:val="0"/>
              <w:spacing w:line="276" w:lineRule="auto"/>
              <w:jc w:val="center"/>
              <w:rPr>
                <w:rFonts w:ascii="宋体" w:hAnsi="宋体" w:cs="宋体"/>
                <w:bCs/>
                <w:color w:val="auto"/>
                <w:sz w:val="21"/>
                <w:szCs w:val="21"/>
                <w:highlight w:val="none"/>
              </w:rPr>
            </w:pPr>
            <w:r>
              <w:rPr>
                <w:rFonts w:hint="eastAsia" w:ascii="宋体" w:hAnsi="宋体" w:cs="宋体"/>
                <w:color w:val="auto"/>
                <w:sz w:val="21"/>
                <w:szCs w:val="21"/>
                <w:highlight w:val="none"/>
              </w:rPr>
              <w:t>11.1</w:t>
            </w:r>
          </w:p>
        </w:tc>
        <w:tc>
          <w:tcPr>
            <w:tcW w:w="1063" w:type="pct"/>
            <w:shd w:val="clear" w:color="auto" w:fill="auto"/>
            <w:vAlign w:val="center"/>
          </w:tcPr>
          <w:p w14:paraId="29422D03">
            <w:pPr>
              <w:pStyle w:val="127"/>
              <w:kinsoku w:val="0"/>
              <w:overflowPunct w:val="0"/>
              <w:spacing w:line="276" w:lineRule="auto"/>
              <w:jc w:val="center"/>
              <w:rPr>
                <w:rFonts w:ascii="宋体" w:hAnsi="宋体" w:cs="宋体"/>
                <w:bCs/>
                <w:color w:val="auto"/>
                <w:sz w:val="21"/>
                <w:szCs w:val="21"/>
                <w:highlight w:val="none"/>
              </w:rPr>
            </w:pPr>
            <w:r>
              <w:rPr>
                <w:rFonts w:hint="eastAsia" w:ascii="宋体" w:hAnsi="宋体" w:cs="宋体"/>
                <w:color w:val="auto"/>
                <w:sz w:val="21"/>
                <w:szCs w:val="21"/>
                <w:highlight w:val="none"/>
              </w:rPr>
              <w:t>招标失败的情形</w:t>
            </w:r>
          </w:p>
        </w:tc>
        <w:tc>
          <w:tcPr>
            <w:tcW w:w="3495" w:type="pct"/>
            <w:shd w:val="clear" w:color="auto" w:fill="auto"/>
            <w:vAlign w:val="center"/>
          </w:tcPr>
          <w:p w14:paraId="6AC585EF">
            <w:pPr>
              <w:spacing w:line="276" w:lineRule="auto"/>
              <w:rPr>
                <w:rFonts w:ascii="宋体" w:hAnsi="宋体" w:eastAsia="宋体" w:cs="宋体"/>
                <w:bCs/>
                <w:color w:val="auto"/>
                <w:szCs w:val="21"/>
                <w:highlight w:val="none"/>
              </w:rPr>
            </w:pPr>
            <w:r>
              <w:rPr>
                <w:rFonts w:hint="eastAsia" w:ascii="宋体" w:hAnsi="宋体" w:eastAsia="宋体" w:cs="宋体"/>
                <w:color w:val="auto"/>
                <w:szCs w:val="21"/>
                <w:highlight w:val="none"/>
              </w:rPr>
              <w:t>本项目采用资格后审方式，满足资格审查合格条件或通过初步评审的投标申请人不足</w:t>
            </w:r>
            <w:r>
              <w:rPr>
                <w:rFonts w:ascii="宋体" w:hAnsi="宋体" w:eastAsia="宋体" w:cs="宋体"/>
                <w:color w:val="auto"/>
                <w:szCs w:val="21"/>
                <w:highlight w:val="none"/>
              </w:rPr>
              <w:t>3</w:t>
            </w:r>
            <w:r>
              <w:rPr>
                <w:rFonts w:hint="eastAsia" w:ascii="宋体" w:hAnsi="宋体" w:eastAsia="宋体" w:cs="宋体"/>
                <w:color w:val="auto"/>
                <w:szCs w:val="21"/>
                <w:highlight w:val="none"/>
              </w:rPr>
              <w:t>名时为招标失败。招标人分析招标失败原因并采取相应措施，再依法重新组织招标。</w:t>
            </w:r>
          </w:p>
        </w:tc>
      </w:tr>
      <w:tr w14:paraId="38514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19A3EB81">
            <w:pPr>
              <w:wordWrap w:val="0"/>
              <w:autoSpaceDE w:val="0"/>
              <w:autoSpaceDN w:val="0"/>
              <w:spacing w:line="276" w:lineRule="auto"/>
              <w:jc w:val="center"/>
              <w:rPr>
                <w:rFonts w:ascii="宋体" w:hAnsi="宋体" w:eastAsia="宋体" w:cs="宋体"/>
                <w:color w:val="auto"/>
                <w:kern w:val="0"/>
                <w:szCs w:val="21"/>
                <w:highlight w:val="none"/>
                <w:u w:val="single"/>
              </w:rPr>
            </w:pPr>
            <w:bookmarkStart w:id="21" w:name="OLE_LINK15" w:colFirst="0" w:colLast="2"/>
            <w:r>
              <w:rPr>
                <w:rFonts w:hint="eastAsia" w:ascii="宋体" w:hAnsi="宋体" w:eastAsia="宋体" w:cs="宋体"/>
                <w:color w:val="auto"/>
                <w:kern w:val="0"/>
                <w:szCs w:val="21"/>
                <w:highlight w:val="none"/>
                <w:u w:val="single"/>
              </w:rPr>
              <w:t>11.2</w:t>
            </w:r>
          </w:p>
        </w:tc>
        <w:tc>
          <w:tcPr>
            <w:tcW w:w="1063" w:type="pct"/>
            <w:vAlign w:val="center"/>
          </w:tcPr>
          <w:p w14:paraId="408E828A">
            <w:pPr>
              <w:wordWrap w:val="0"/>
              <w:spacing w:line="276" w:lineRule="auto"/>
              <w:jc w:val="center"/>
              <w:rPr>
                <w:rFonts w:ascii="宋体" w:hAnsi="宋体" w:eastAsia="宋体" w:cs="宋体"/>
                <w:color w:val="auto"/>
                <w:szCs w:val="21"/>
                <w:highlight w:val="none"/>
                <w:u w:val="single"/>
              </w:rPr>
            </w:pPr>
            <w:r>
              <w:rPr>
                <w:rFonts w:hint="eastAsia" w:ascii="宋体" w:hAnsi="宋体" w:eastAsia="宋体"/>
                <w:color w:val="auto"/>
                <w:szCs w:val="21"/>
                <w:highlight w:val="none"/>
                <w:u w:val="single"/>
              </w:rPr>
              <w:t>否决性条款</w:t>
            </w:r>
          </w:p>
        </w:tc>
        <w:tc>
          <w:tcPr>
            <w:tcW w:w="3495" w:type="pct"/>
            <w:vAlign w:val="center"/>
          </w:tcPr>
          <w:p w14:paraId="3632B755">
            <w:pPr>
              <w:spacing w:line="276" w:lineRule="auto"/>
              <w:rPr>
                <w:rFonts w:ascii="宋体" w:hAnsi="宋体" w:eastAsia="宋体"/>
                <w:color w:val="auto"/>
                <w:szCs w:val="21"/>
                <w:highlight w:val="none"/>
                <w:u w:val="single"/>
              </w:rPr>
            </w:pPr>
            <w:r>
              <w:rPr>
                <w:rFonts w:hint="eastAsia" w:ascii="宋体" w:hAnsi="宋体" w:eastAsia="宋体"/>
                <w:color w:val="auto"/>
                <w:szCs w:val="21"/>
                <w:highlight w:val="none"/>
                <w:u w:val="single"/>
              </w:rPr>
              <w:t>一、拒绝受理投标文件的情形</w:t>
            </w:r>
          </w:p>
          <w:p w14:paraId="52B0117E">
            <w:pPr>
              <w:spacing w:line="276" w:lineRule="auto"/>
              <w:rPr>
                <w:rFonts w:ascii="宋体" w:hAnsi="宋体" w:eastAsia="宋体"/>
                <w:color w:val="auto"/>
                <w:szCs w:val="21"/>
                <w:highlight w:val="none"/>
                <w:u w:val="single"/>
              </w:rPr>
            </w:pPr>
            <w:r>
              <w:rPr>
                <w:rFonts w:hint="eastAsia" w:ascii="宋体" w:hAnsi="宋体" w:eastAsia="宋体"/>
                <w:color w:val="auto"/>
                <w:szCs w:val="21"/>
                <w:highlight w:val="none"/>
                <w:u w:val="single"/>
              </w:rPr>
              <w:t>1、投标人未在投标截止时间（开标时间）前,通过电子招标投标交易平台投标登记并上传电子投标文件的；</w:t>
            </w:r>
          </w:p>
          <w:p w14:paraId="479BF1E7">
            <w:pPr>
              <w:spacing w:line="276" w:lineRule="auto"/>
              <w:rPr>
                <w:rFonts w:ascii="宋体" w:hAnsi="宋体" w:eastAsia="宋体"/>
                <w:color w:val="auto"/>
                <w:szCs w:val="21"/>
                <w:highlight w:val="none"/>
                <w:u w:val="single"/>
              </w:rPr>
            </w:pPr>
            <w:r>
              <w:rPr>
                <w:rFonts w:hint="eastAsia" w:ascii="宋体" w:hAnsi="宋体" w:eastAsia="宋体"/>
                <w:color w:val="auto"/>
                <w:szCs w:val="21"/>
                <w:highlight w:val="none"/>
                <w:u w:val="single"/>
              </w:rPr>
              <w:t>2、投标人未在规定时间内通过电子招标投标交易平台对已递交的电子投标文件进行解密的；</w:t>
            </w:r>
          </w:p>
          <w:p w14:paraId="449C10AC">
            <w:pPr>
              <w:spacing w:line="276" w:lineRule="auto"/>
              <w:rPr>
                <w:rFonts w:ascii="宋体" w:hAnsi="宋体" w:eastAsia="宋体"/>
                <w:color w:val="auto"/>
                <w:szCs w:val="21"/>
                <w:highlight w:val="none"/>
                <w:u w:val="single"/>
              </w:rPr>
            </w:pPr>
            <w:r>
              <w:rPr>
                <w:rFonts w:hint="eastAsia" w:ascii="宋体" w:hAnsi="宋体" w:eastAsia="宋体"/>
                <w:color w:val="auto"/>
                <w:szCs w:val="21"/>
                <w:highlight w:val="none"/>
                <w:u w:val="single"/>
              </w:rPr>
              <w:t>二、作无效投标的情形</w:t>
            </w:r>
          </w:p>
          <w:p w14:paraId="32386396">
            <w:pPr>
              <w:wordWrap w:val="0"/>
              <w:spacing w:line="276" w:lineRule="auto"/>
              <w:rPr>
                <w:rFonts w:ascii="宋体" w:hAnsi="宋体" w:eastAsia="宋体" w:cs="宋体"/>
                <w:color w:val="auto"/>
                <w:szCs w:val="21"/>
                <w:highlight w:val="none"/>
                <w:u w:val="single"/>
              </w:rPr>
            </w:pPr>
            <w:r>
              <w:rPr>
                <w:rFonts w:hint="eastAsia" w:ascii="宋体" w:hAnsi="宋体" w:eastAsia="宋体"/>
                <w:color w:val="auto"/>
                <w:szCs w:val="21"/>
                <w:highlight w:val="none"/>
                <w:u w:val="single"/>
              </w:rPr>
              <w:t>1、投标文件不符合招标文件评标办法中初步评审标准的要求。</w:t>
            </w:r>
          </w:p>
        </w:tc>
      </w:tr>
      <w:bookmarkEnd w:id="21"/>
      <w:tr w14:paraId="259A7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shd w:val="clear" w:color="auto" w:fill="auto"/>
            <w:vAlign w:val="center"/>
          </w:tcPr>
          <w:p w14:paraId="213CB3A2">
            <w:pPr>
              <w:wordWrap w:val="0"/>
              <w:autoSpaceDE w:val="0"/>
              <w:autoSpaceDN w:val="0"/>
              <w:spacing w:line="276" w:lineRule="auto"/>
              <w:jc w:val="center"/>
              <w:rPr>
                <w:rFonts w:ascii="宋体" w:hAnsi="宋体" w:eastAsia="宋体" w:cs="宋体"/>
                <w:color w:val="auto"/>
                <w:kern w:val="0"/>
                <w:szCs w:val="21"/>
                <w:highlight w:val="none"/>
                <w:u w:val="single"/>
              </w:rPr>
            </w:pPr>
            <w:bookmarkStart w:id="22" w:name="OLE_LINK12" w:colFirst="0" w:colLast="2"/>
            <w:r>
              <w:rPr>
                <w:rFonts w:hint="eastAsia" w:ascii="宋体" w:hAnsi="宋体" w:eastAsia="宋体" w:cs="宋体"/>
                <w:color w:val="auto"/>
                <w:kern w:val="0"/>
                <w:szCs w:val="21"/>
                <w:highlight w:val="none"/>
                <w:u w:val="single"/>
              </w:rPr>
              <w:t>11.3</w:t>
            </w:r>
          </w:p>
        </w:tc>
        <w:tc>
          <w:tcPr>
            <w:tcW w:w="1063" w:type="pct"/>
            <w:shd w:val="clear" w:color="auto" w:fill="auto"/>
            <w:vAlign w:val="center"/>
          </w:tcPr>
          <w:p w14:paraId="30C402C1">
            <w:pPr>
              <w:wordWrap w:val="0"/>
              <w:spacing w:line="276" w:lineRule="auto"/>
              <w:jc w:val="center"/>
              <w:rPr>
                <w:rFonts w:ascii="宋体" w:hAnsi="宋体" w:eastAsia="宋体" w:cs="宋体"/>
                <w:color w:val="auto"/>
                <w:szCs w:val="21"/>
                <w:highlight w:val="none"/>
                <w:u w:val="single"/>
              </w:rPr>
            </w:pPr>
            <w:r>
              <w:rPr>
                <w:rFonts w:hint="eastAsia" w:ascii="宋体" w:hAnsi="宋体" w:eastAsia="宋体" w:cs="宋体"/>
                <w:color w:val="auto"/>
                <w:szCs w:val="21"/>
                <w:highlight w:val="none"/>
                <w:u w:val="single"/>
              </w:rPr>
              <w:t>招标人拒绝接收其投标文件备用光盘情况</w:t>
            </w:r>
          </w:p>
        </w:tc>
        <w:tc>
          <w:tcPr>
            <w:tcW w:w="3495" w:type="pct"/>
            <w:shd w:val="clear" w:color="auto" w:fill="auto"/>
            <w:vAlign w:val="center"/>
          </w:tcPr>
          <w:p w14:paraId="6AAA62BA">
            <w:pPr>
              <w:spacing w:line="276" w:lineRule="auto"/>
              <w:jc w:val="left"/>
              <w:rPr>
                <w:rFonts w:ascii="宋体" w:hAnsi="宋体" w:eastAsia="宋体"/>
                <w:b/>
                <w:bCs/>
                <w:color w:val="auto"/>
                <w:szCs w:val="21"/>
                <w:highlight w:val="none"/>
              </w:rPr>
            </w:pPr>
            <w:r>
              <w:rPr>
                <w:rFonts w:hint="eastAsia" w:ascii="宋体" w:hAnsi="宋体" w:eastAsia="宋体" w:cs="宋体"/>
                <w:b/>
                <w:color w:val="auto"/>
                <w:szCs w:val="21"/>
                <w:highlight w:val="none"/>
                <w:u w:val="single"/>
              </w:rPr>
              <w:t>招标人在本须知前附表第4.2.1项规定的投标截止时间以后收到的及不按照招标文件要求密封的投标文件备用光盘将被拒绝并退回给投标人。</w:t>
            </w:r>
          </w:p>
        </w:tc>
      </w:tr>
      <w:bookmarkEnd w:id="22"/>
      <w:tr w14:paraId="05470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31F0D618">
            <w:pPr>
              <w:wordWrap w:val="0"/>
              <w:autoSpaceDE w:val="0"/>
              <w:autoSpaceDN w:val="0"/>
              <w:spacing w:line="276" w:lineRule="auto"/>
              <w:jc w:val="center"/>
              <w:rPr>
                <w:rFonts w:ascii="宋体" w:hAnsi="宋体" w:eastAsia="宋体" w:cs="宋体"/>
                <w:color w:val="auto"/>
                <w:kern w:val="0"/>
                <w:szCs w:val="21"/>
                <w:highlight w:val="none"/>
                <w:u w:val="single"/>
              </w:rPr>
            </w:pPr>
            <w:r>
              <w:rPr>
                <w:rFonts w:hint="eastAsia" w:ascii="宋体" w:hAnsi="宋体" w:eastAsia="宋体" w:cs="宋体"/>
                <w:color w:val="auto"/>
                <w:kern w:val="0"/>
                <w:szCs w:val="21"/>
                <w:highlight w:val="none"/>
                <w:u w:val="single"/>
              </w:rPr>
              <w:t>11.4</w:t>
            </w:r>
          </w:p>
        </w:tc>
        <w:tc>
          <w:tcPr>
            <w:tcW w:w="1063" w:type="pct"/>
            <w:vAlign w:val="center"/>
          </w:tcPr>
          <w:p w14:paraId="7F522C49">
            <w:pPr>
              <w:wordWrap w:val="0"/>
              <w:spacing w:line="276" w:lineRule="auto"/>
              <w:jc w:val="center"/>
              <w:rPr>
                <w:rFonts w:ascii="宋体" w:hAnsi="宋体" w:eastAsia="宋体"/>
                <w:color w:val="auto"/>
                <w:szCs w:val="21"/>
                <w:highlight w:val="none"/>
                <w:u w:val="single"/>
              </w:rPr>
            </w:pPr>
            <w:r>
              <w:rPr>
                <w:rFonts w:hint="eastAsia" w:ascii="宋体" w:hAnsi="宋体" w:eastAsia="宋体" w:cs="宋体"/>
                <w:color w:val="auto"/>
                <w:szCs w:val="21"/>
                <w:highlight w:val="none"/>
                <w:u w:val="single"/>
              </w:rPr>
              <w:t>投标报价得分评审优惠政策</w:t>
            </w:r>
          </w:p>
        </w:tc>
        <w:tc>
          <w:tcPr>
            <w:tcW w:w="3495" w:type="pct"/>
            <w:vAlign w:val="center"/>
          </w:tcPr>
          <w:p w14:paraId="0E79D6FF">
            <w:pPr>
              <w:snapToGrid w:val="0"/>
              <w:spacing w:line="276" w:lineRule="auto"/>
              <w:rPr>
                <w:rFonts w:ascii="宋体" w:hAnsi="宋体" w:eastAsia="宋体" w:cs="宋体"/>
                <w:color w:val="auto"/>
                <w:szCs w:val="21"/>
                <w:highlight w:val="none"/>
                <w:u w:val="single"/>
              </w:rPr>
            </w:pPr>
            <w:r>
              <w:rPr>
                <w:rFonts w:hint="eastAsia" w:ascii="宋体" w:hAnsi="宋体" w:eastAsia="宋体" w:cs="宋体"/>
                <w:color w:val="auto"/>
                <w:szCs w:val="21"/>
                <w:highlight w:val="none"/>
                <w:u w:val="single"/>
              </w:rPr>
              <w:t>（1）根据《广东省政府采购促进中小企业发展实施细则(试行)》要求，对符合《政府采购促进中小企业发展管理办法》的投标人，给予相应的价格评审优惠。</w:t>
            </w:r>
          </w:p>
          <w:p w14:paraId="7339AC75">
            <w:pPr>
              <w:spacing w:line="276" w:lineRule="auto"/>
              <w:rPr>
                <w:rFonts w:ascii="宋体" w:hAnsi="宋体" w:eastAsia="宋体" w:cs="宋体"/>
                <w:color w:val="auto"/>
                <w:szCs w:val="21"/>
                <w:highlight w:val="none"/>
                <w:u w:val="single"/>
              </w:rPr>
            </w:pPr>
            <w:r>
              <w:rPr>
                <w:rFonts w:hint="eastAsia" w:ascii="宋体" w:hAnsi="宋体" w:eastAsia="宋体" w:cs="宋体"/>
                <w:color w:val="auto"/>
                <w:szCs w:val="21"/>
                <w:highlight w:val="none"/>
                <w:u w:val="single"/>
              </w:rPr>
              <w:t>（2）本招标项目评标计算价格分时，对小微企业投标的，</w:t>
            </w:r>
            <w:r>
              <w:rPr>
                <w:rFonts w:hint="eastAsia" w:ascii="宋体" w:hAnsi="宋体" w:eastAsia="宋体" w:cs="宋体"/>
                <w:color w:val="auto"/>
                <w:kern w:val="0"/>
                <w:szCs w:val="21"/>
                <w:highlight w:val="none"/>
                <w:u w:val="single"/>
              </w:rPr>
              <w:t>先计算其价格得分（分数出现小数点时，保留小数点后二位，第三位小数四舍五入），</w:t>
            </w:r>
            <w:r>
              <w:rPr>
                <w:rFonts w:hint="eastAsia" w:ascii="宋体" w:hAnsi="宋体" w:eastAsia="宋体" w:cs="宋体"/>
                <w:color w:val="auto"/>
                <w:szCs w:val="21"/>
                <w:highlight w:val="none"/>
                <w:u w:val="single"/>
              </w:rPr>
              <w:t>在采用原报价进行评分的基础上增加其价格得分</w:t>
            </w:r>
            <w:r>
              <w:rPr>
                <w:rFonts w:hint="eastAsia" w:ascii="宋体" w:hAnsi="宋体" w:eastAsia="宋体" w:cs="宋体"/>
                <w:color w:val="auto"/>
                <w:kern w:val="0"/>
                <w:szCs w:val="21"/>
                <w:highlight w:val="none"/>
                <w:u w:val="single"/>
              </w:rPr>
              <w:t>（分数出现小数点时，保留小数点后二位，第三位小数四舍五入）</w:t>
            </w:r>
            <w:r>
              <w:rPr>
                <w:rFonts w:hint="eastAsia" w:ascii="宋体" w:hAnsi="宋体" w:eastAsia="宋体" w:cs="宋体"/>
                <w:color w:val="auto"/>
                <w:szCs w:val="21"/>
                <w:highlight w:val="none"/>
                <w:u w:val="single"/>
              </w:rPr>
              <w:t>的5%作为其价格分；对大中型企业与承接设计或勘察任务的小微企业组成联合体</w:t>
            </w:r>
            <w:r>
              <w:rPr>
                <w:rFonts w:hint="eastAsia" w:ascii="宋体" w:hAnsi="宋体" w:eastAsia="宋体" w:cs="宋体"/>
                <w:color w:val="auto"/>
                <w:kern w:val="0"/>
                <w:szCs w:val="21"/>
                <w:highlight w:val="none"/>
                <w:u w:val="single"/>
              </w:rPr>
              <w:t>或者大中型企业向一家或者多家</w:t>
            </w:r>
            <w:r>
              <w:rPr>
                <w:rFonts w:hint="eastAsia" w:ascii="宋体" w:hAnsi="宋体" w:eastAsia="宋体" w:cs="宋体"/>
                <w:color w:val="auto"/>
                <w:szCs w:val="21"/>
                <w:highlight w:val="none"/>
                <w:u w:val="single"/>
              </w:rPr>
              <w:t>承接设计或勘察任务的</w:t>
            </w:r>
            <w:r>
              <w:rPr>
                <w:rFonts w:hint="eastAsia" w:ascii="宋体" w:hAnsi="宋体" w:eastAsia="宋体" w:cs="宋体"/>
                <w:color w:val="auto"/>
                <w:kern w:val="0"/>
                <w:szCs w:val="21"/>
                <w:highlight w:val="none"/>
                <w:u w:val="single"/>
              </w:rPr>
              <w:t>小微企业分包</w:t>
            </w:r>
            <w:r>
              <w:rPr>
                <w:rFonts w:hint="eastAsia" w:ascii="宋体" w:hAnsi="宋体" w:eastAsia="宋体" w:cs="宋体"/>
                <w:color w:val="auto"/>
                <w:szCs w:val="21"/>
                <w:highlight w:val="none"/>
                <w:u w:val="single"/>
              </w:rPr>
              <w:t>的</w:t>
            </w:r>
            <w:r>
              <w:rPr>
                <w:rFonts w:hint="eastAsia" w:ascii="宋体" w:hAnsi="宋体" w:eastAsia="宋体" w:cs="宋体"/>
                <w:color w:val="auto"/>
                <w:kern w:val="0"/>
                <w:szCs w:val="21"/>
                <w:highlight w:val="none"/>
                <w:u w:val="single"/>
              </w:rPr>
              <w:t>（联合协议或者分包意向协议约定小微企业的合同份额占合同总金额30%（含）以上）的</w:t>
            </w:r>
            <w:r>
              <w:rPr>
                <w:rFonts w:hint="eastAsia" w:ascii="宋体" w:hAnsi="宋体" w:eastAsia="宋体" w:cs="宋体"/>
                <w:color w:val="auto"/>
                <w:szCs w:val="21"/>
                <w:highlight w:val="none"/>
                <w:u w:val="single"/>
              </w:rPr>
              <w:t>，</w:t>
            </w:r>
            <w:r>
              <w:rPr>
                <w:rFonts w:hint="eastAsia" w:ascii="宋体" w:hAnsi="宋体" w:eastAsia="宋体" w:cs="宋体"/>
                <w:color w:val="auto"/>
                <w:kern w:val="0"/>
                <w:szCs w:val="21"/>
                <w:highlight w:val="none"/>
                <w:u w:val="single"/>
              </w:rPr>
              <w:t>先计算其价格得分（分数出现小数点时，保留小数点后二位，第三位小数四舍五入），</w:t>
            </w:r>
            <w:r>
              <w:rPr>
                <w:rFonts w:hint="eastAsia" w:ascii="宋体" w:hAnsi="宋体" w:eastAsia="宋体" w:cs="宋体"/>
                <w:color w:val="auto"/>
                <w:szCs w:val="21"/>
                <w:highlight w:val="none"/>
                <w:u w:val="single"/>
              </w:rPr>
              <w:t>在采用原报价进行评分的基础上增加其价格得分</w:t>
            </w:r>
            <w:r>
              <w:rPr>
                <w:rFonts w:hint="eastAsia" w:ascii="宋体" w:hAnsi="宋体" w:eastAsia="宋体" w:cs="宋体"/>
                <w:color w:val="auto"/>
                <w:kern w:val="0"/>
                <w:szCs w:val="21"/>
                <w:highlight w:val="none"/>
                <w:u w:val="single"/>
              </w:rPr>
              <w:t>（分数出现小数点时，保留小数点后二位，第三位小数四舍五入）</w:t>
            </w:r>
            <w:r>
              <w:rPr>
                <w:rFonts w:hint="eastAsia" w:ascii="宋体" w:hAnsi="宋体" w:eastAsia="宋体" w:cs="宋体"/>
                <w:color w:val="auto"/>
                <w:szCs w:val="21"/>
                <w:highlight w:val="none"/>
                <w:u w:val="single"/>
              </w:rPr>
              <w:t>的2%作为其价格分。若原报价己满分，仍可突破满分上限继续享受加分优惠，以实际计算结果作为最终价格分。</w:t>
            </w:r>
          </w:p>
          <w:p w14:paraId="0699EAB6">
            <w:pPr>
              <w:snapToGrid w:val="0"/>
              <w:spacing w:line="276" w:lineRule="auto"/>
              <w:rPr>
                <w:rFonts w:ascii="宋体" w:hAnsi="宋体" w:eastAsia="宋体" w:cs="宋体"/>
                <w:color w:val="auto"/>
                <w:szCs w:val="21"/>
                <w:highlight w:val="none"/>
                <w:u w:val="single"/>
              </w:rPr>
            </w:pPr>
            <w:r>
              <w:rPr>
                <w:rFonts w:hint="eastAsia" w:ascii="宋体" w:hAnsi="宋体" w:eastAsia="宋体" w:cs="宋体"/>
                <w:color w:val="auto"/>
                <w:szCs w:val="21"/>
                <w:highlight w:val="none"/>
                <w:u w:val="single"/>
              </w:rPr>
              <w:t>（3）投标人应按《政府采购促进中小企业发展管理办法》规定出具《中小企业声明函》（详见招标文件第六章 投标文件格式），否则不得享受相关价格评审优惠。投标人填写《中小企业声明函》时，对于已纳入统计部门统计范围的企业，所属行业、从业人员、营业收入、资产总额、规模类型应与统计部门报表一致。对于未纳入统计部门统计范围的企业，应对照《国民经济行业分类》确定所属行业，当企业从事两种以上经济活动时，则按照主要活动确定其所属行业；从业人数可以社会保险参保人数为准；营业收入、资产总额可以第三方出具的报告为准。</w:t>
            </w:r>
          </w:p>
          <w:p w14:paraId="59CDF24D">
            <w:pPr>
              <w:snapToGrid w:val="0"/>
              <w:spacing w:line="276" w:lineRule="auto"/>
              <w:rPr>
                <w:rFonts w:ascii="宋体" w:hAnsi="宋体" w:eastAsia="宋体" w:cs="宋体"/>
                <w:color w:val="auto"/>
                <w:szCs w:val="21"/>
                <w:highlight w:val="none"/>
                <w:u w:val="single"/>
              </w:rPr>
            </w:pPr>
            <w:r>
              <w:rPr>
                <w:rFonts w:hint="eastAsia" w:ascii="宋体" w:hAnsi="宋体" w:eastAsia="宋体" w:cs="宋体"/>
                <w:color w:val="auto"/>
                <w:szCs w:val="21"/>
                <w:highlight w:val="none"/>
                <w:u w:val="single"/>
              </w:rPr>
              <w:t>（4）小微企业划分标准按照《工业和信息化部 国家统计局国家发展和改革委员会财政部关于印发中小企业划型标准规定的通知》(工信部联企业(2011)300号)执行。本招标项目属于其他未列明行业。从业人员300人以下的为中小微型企业。其中，从业人员100人及以上的为中型企业；从业人员10人及以上的为小型企业；从业人员10人以下的为微型企业。</w:t>
            </w:r>
          </w:p>
          <w:p w14:paraId="4CD557ED">
            <w:pPr>
              <w:spacing w:line="276" w:lineRule="auto"/>
              <w:rPr>
                <w:rFonts w:ascii="宋体" w:hAnsi="宋体" w:eastAsia="宋体"/>
                <w:color w:val="auto"/>
                <w:szCs w:val="21"/>
                <w:highlight w:val="none"/>
                <w:u w:val="single"/>
              </w:rPr>
            </w:pPr>
            <w:r>
              <w:rPr>
                <w:rFonts w:hint="eastAsia" w:ascii="宋体" w:hAnsi="宋体" w:eastAsia="宋体"/>
                <w:color w:val="auto"/>
                <w:szCs w:val="21"/>
                <w:highlight w:val="none"/>
                <w:u w:val="single"/>
              </w:rPr>
              <w:t>注:①小微企业，是指在中华人民共和国境内依法设立，依据国务院批准的中小企业划分标准确定的小型企业和微型企业，但与大企业的负责人为同一人，或者与大企业存在直接控股、管理关系的除外。以联合体形式参与投标的，联合体各方均为小微企业的，联合体视同小微企业。</w:t>
            </w:r>
          </w:p>
          <w:p w14:paraId="2F9B04C7">
            <w:pPr>
              <w:spacing w:line="276" w:lineRule="auto"/>
              <w:rPr>
                <w:rFonts w:ascii="宋体" w:hAnsi="宋体" w:eastAsia="宋体" w:cs="宋体"/>
                <w:color w:val="auto"/>
                <w:szCs w:val="21"/>
                <w:highlight w:val="none"/>
                <w:u w:val="single"/>
              </w:rPr>
            </w:pPr>
            <w:r>
              <w:rPr>
                <w:rFonts w:hint="eastAsia" w:ascii="宋体" w:hAnsi="宋体" w:eastAsia="宋体"/>
                <w:color w:val="auto"/>
                <w:szCs w:val="21"/>
                <w:highlight w:val="none"/>
                <w:u w:val="single"/>
              </w:rPr>
              <w:t>②</w:t>
            </w:r>
            <w:r>
              <w:rPr>
                <w:rFonts w:hint="eastAsia" w:ascii="宋体" w:hAnsi="宋体" w:eastAsia="宋体" w:cs="宋体"/>
                <w:color w:val="auto"/>
                <w:szCs w:val="21"/>
                <w:highlight w:val="none"/>
                <w:u w:val="single"/>
              </w:rPr>
              <w:t>组成联合体或者接受分包合同的小微企业与联合体内其他企业、分包企业之间存在直接控股、管理关系的，不享受价格评分优惠。</w:t>
            </w:r>
          </w:p>
          <w:p w14:paraId="69130C6C">
            <w:pPr>
              <w:spacing w:line="276" w:lineRule="auto"/>
              <w:rPr>
                <w:rFonts w:ascii="宋体" w:hAnsi="宋体" w:eastAsia="宋体" w:cs="宋体"/>
                <w:color w:val="auto"/>
                <w:szCs w:val="21"/>
                <w:highlight w:val="none"/>
                <w:u w:val="single"/>
              </w:rPr>
            </w:pPr>
            <w:r>
              <w:rPr>
                <w:rFonts w:hint="eastAsia" w:ascii="宋体" w:hAnsi="宋体" w:eastAsia="宋体"/>
                <w:color w:val="auto"/>
                <w:szCs w:val="21"/>
                <w:highlight w:val="none"/>
                <w:u w:val="single"/>
              </w:rPr>
              <w:t>③</w:t>
            </w:r>
            <w:r>
              <w:rPr>
                <w:rFonts w:hint="eastAsia" w:ascii="宋体" w:hAnsi="宋体" w:eastAsia="宋体" w:cs="宋体"/>
                <w:color w:val="auto"/>
                <w:szCs w:val="21"/>
                <w:highlight w:val="none"/>
                <w:u w:val="single"/>
              </w:rPr>
              <w:t>规定享受扶持政策获得承包合同的，小微企业不得将合同分包给大中型企业，中型企业不得将合同分包给大型企业。</w:t>
            </w:r>
          </w:p>
          <w:p w14:paraId="1AD08C0A">
            <w:pPr>
              <w:pStyle w:val="8"/>
              <w:ind w:firstLine="0" w:firstLineChars="0"/>
              <w:rPr>
                <w:rFonts w:ascii="宋体" w:hAnsi="宋体"/>
                <w:color w:val="auto"/>
                <w:highlight w:val="none"/>
                <w:u w:val="single"/>
              </w:rPr>
            </w:pPr>
            <w:r>
              <w:rPr>
                <w:rFonts w:hint="eastAsia" w:ascii="宋体" w:hAnsi="宋体"/>
                <w:color w:val="auto"/>
                <w:highlight w:val="none"/>
                <w:u w:val="single"/>
              </w:rPr>
              <w:t>④</w:t>
            </w:r>
            <w:r>
              <w:rPr>
                <w:rFonts w:hint="eastAsia" w:ascii="宋体" w:hAnsi="宋体"/>
                <w:color w:val="auto"/>
                <w:szCs w:val="21"/>
                <w:highlight w:val="none"/>
                <w:u w:val="single"/>
              </w:rPr>
              <w:t>公示期间如有异议、投诉的，被异议、投诉单位需提供注册登记所在地的县级以上人民政府中小企业主管部门认定材料和联系方式。</w:t>
            </w:r>
          </w:p>
          <w:p w14:paraId="4D991853">
            <w:pPr>
              <w:pStyle w:val="8"/>
              <w:ind w:firstLine="0" w:firstLineChars="0"/>
              <w:rPr>
                <w:rFonts w:ascii="宋体" w:hAnsi="宋体"/>
                <w:color w:val="auto"/>
                <w:szCs w:val="21"/>
                <w:highlight w:val="none"/>
                <w:u w:val="single"/>
              </w:rPr>
            </w:pPr>
            <w:r>
              <w:rPr>
                <w:rFonts w:hint="eastAsia" w:ascii="宋体" w:hAnsi="宋体"/>
                <w:color w:val="auto"/>
                <w:highlight w:val="none"/>
                <w:u w:val="single"/>
              </w:rPr>
              <w:t>⑤根据《财政部</w:t>
            </w:r>
            <w:r>
              <w:rPr>
                <w:rFonts w:ascii="宋体" w:hAnsi="宋体"/>
                <w:color w:val="auto"/>
                <w:highlight w:val="none"/>
                <w:u w:val="single"/>
              </w:rPr>
              <w:t xml:space="preserve"> </w:t>
            </w:r>
            <w:r>
              <w:rPr>
                <w:rFonts w:hint="eastAsia" w:ascii="宋体" w:hAnsi="宋体"/>
                <w:color w:val="auto"/>
                <w:highlight w:val="none"/>
                <w:u w:val="single"/>
              </w:rPr>
              <w:t>司法部关于政府采购支持监狱企业发展有关问题的通知》（财库〔</w:t>
            </w:r>
            <w:r>
              <w:rPr>
                <w:rFonts w:ascii="宋体" w:hAnsi="宋体"/>
                <w:color w:val="auto"/>
                <w:highlight w:val="none"/>
                <w:u w:val="single"/>
              </w:rPr>
              <w:t xml:space="preserve">2014〕68号）规定，监狱企业视同小型、微型企业，需提供由省级以上监狱管理局、戒毒管理局（含新疆生产建设兵团）出具的属于监狱企业的证明文件，经评审满足要求后，可享受上述加分优惠，否则不得享受上述加分优惠。根据《财政部 </w:t>
            </w:r>
            <w:r>
              <w:rPr>
                <w:rFonts w:hint="eastAsia" w:ascii="宋体" w:hAnsi="宋体"/>
                <w:color w:val="auto"/>
                <w:highlight w:val="none"/>
                <w:u w:val="single"/>
              </w:rPr>
              <w:t>民政部</w:t>
            </w:r>
            <w:r>
              <w:rPr>
                <w:rFonts w:ascii="宋体" w:hAnsi="宋体"/>
                <w:color w:val="auto"/>
                <w:highlight w:val="none"/>
                <w:u w:val="single"/>
              </w:rPr>
              <w:t xml:space="preserve"> </w:t>
            </w:r>
            <w:r>
              <w:rPr>
                <w:rFonts w:hint="eastAsia" w:ascii="宋体" w:hAnsi="宋体"/>
                <w:color w:val="auto"/>
                <w:highlight w:val="none"/>
                <w:u w:val="single"/>
              </w:rPr>
              <w:t>中国残疾人联合会关于促进残疾人就业政府采购政策的通知》（财库〔</w:t>
            </w:r>
            <w:r>
              <w:rPr>
                <w:rFonts w:ascii="宋体" w:hAnsi="宋体"/>
                <w:color w:val="auto"/>
                <w:highlight w:val="none"/>
                <w:u w:val="single"/>
              </w:rPr>
              <w:t>2017〕141号）规定，残疾人福利性单位视同小型、微型企业，需提供《残疾人福利性单位声明函》（格式详见第四章投标文件格式），经评审满足要求后，可享受上述加分优惠，否则不得享受上述加分优惠。监狱企业、残疾人福利性单位属于小型、微型企业的，不重复享受政策。</w:t>
            </w:r>
          </w:p>
        </w:tc>
      </w:tr>
      <w:tr w14:paraId="0DB02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10E1F66A">
            <w:pPr>
              <w:wordWrap w:val="0"/>
              <w:autoSpaceDE w:val="0"/>
              <w:autoSpaceDN w:val="0"/>
              <w:spacing w:line="276" w:lineRule="auto"/>
              <w:jc w:val="center"/>
              <w:rPr>
                <w:rFonts w:ascii="宋体" w:hAnsi="宋体" w:eastAsia="宋体" w:cs="宋体"/>
                <w:color w:val="auto"/>
                <w:kern w:val="0"/>
                <w:szCs w:val="21"/>
                <w:highlight w:val="none"/>
                <w:u w:val="single"/>
              </w:rPr>
            </w:pPr>
            <w:r>
              <w:rPr>
                <w:rFonts w:hint="eastAsia" w:ascii="宋体" w:hAnsi="宋体" w:eastAsia="宋体" w:cs="宋体"/>
                <w:color w:val="auto"/>
                <w:kern w:val="0"/>
                <w:szCs w:val="21"/>
                <w:highlight w:val="none"/>
                <w:u w:val="single"/>
              </w:rPr>
              <w:t>11.5</w:t>
            </w:r>
          </w:p>
        </w:tc>
        <w:tc>
          <w:tcPr>
            <w:tcW w:w="1063" w:type="pct"/>
            <w:vAlign w:val="center"/>
          </w:tcPr>
          <w:p w14:paraId="47B6F016">
            <w:pPr>
              <w:wordWrap w:val="0"/>
              <w:spacing w:line="276" w:lineRule="auto"/>
              <w:jc w:val="center"/>
              <w:rPr>
                <w:rFonts w:ascii="宋体" w:hAnsi="宋体" w:eastAsia="宋体" w:cs="宋体"/>
                <w:color w:val="auto"/>
                <w:szCs w:val="21"/>
                <w:highlight w:val="none"/>
                <w:u w:val="single"/>
              </w:rPr>
            </w:pPr>
            <w:r>
              <w:rPr>
                <w:rFonts w:hint="eastAsia" w:ascii="宋体" w:hAnsi="宋体" w:eastAsia="宋体" w:cs="宋体"/>
                <w:color w:val="auto"/>
                <w:szCs w:val="21"/>
                <w:highlight w:val="none"/>
                <w:u w:val="single"/>
              </w:rPr>
              <w:t>其他</w:t>
            </w:r>
          </w:p>
        </w:tc>
        <w:tc>
          <w:tcPr>
            <w:tcW w:w="3495" w:type="pct"/>
            <w:vAlign w:val="center"/>
          </w:tcPr>
          <w:p w14:paraId="502562F1">
            <w:pPr>
              <w:wordWrap w:val="0"/>
              <w:spacing w:line="276" w:lineRule="auto"/>
              <w:rPr>
                <w:rFonts w:ascii="宋体" w:hAnsi="宋体" w:eastAsia="宋体" w:cs="宋体"/>
                <w:color w:val="auto"/>
                <w:szCs w:val="21"/>
                <w:highlight w:val="none"/>
                <w:u w:val="single"/>
              </w:rPr>
            </w:pPr>
            <w:bookmarkStart w:id="23" w:name="OLE_LINK13"/>
            <w:r>
              <w:rPr>
                <w:rFonts w:hint="eastAsia" w:ascii="宋体" w:hAnsi="宋体" w:eastAsia="宋体" w:cs="宋体"/>
                <w:color w:val="auto"/>
                <w:szCs w:val="21"/>
                <w:highlight w:val="none"/>
                <w:u w:val="single"/>
                <w:lang w:bidi="ar"/>
              </w:rPr>
              <w:t>1、招标公告、招标文件、答疑纪要等招标资料全部发布在广州交易集团有限公司（广州公共资源交易中心）网站，由投标人自行下载查阅。</w:t>
            </w:r>
          </w:p>
          <w:p w14:paraId="4551A76B">
            <w:pPr>
              <w:wordWrap w:val="0"/>
              <w:spacing w:line="276" w:lineRule="auto"/>
              <w:rPr>
                <w:rFonts w:ascii="宋体" w:hAnsi="宋体" w:eastAsia="宋体" w:cs="宋体"/>
                <w:color w:val="auto"/>
                <w:szCs w:val="21"/>
                <w:highlight w:val="none"/>
                <w:u w:val="single"/>
              </w:rPr>
            </w:pPr>
            <w:r>
              <w:rPr>
                <w:rFonts w:hint="eastAsia" w:ascii="宋体" w:hAnsi="宋体" w:eastAsia="宋体" w:cs="宋体"/>
                <w:color w:val="auto"/>
                <w:szCs w:val="21"/>
                <w:highlight w:val="none"/>
                <w:u w:val="single"/>
                <w:lang w:bidi="ar"/>
              </w:rPr>
              <w:t>2、投标截止时间、开标时间和地点：发布在广州交易集团有限公司（广州公共资源交易中心）网站（具体在网站主页“建设工程”中“项目查询”输入“项目名称”或“项目编号”进行查询）。</w:t>
            </w:r>
          </w:p>
          <w:p w14:paraId="689094FA">
            <w:pPr>
              <w:wordWrap w:val="0"/>
              <w:spacing w:line="276" w:lineRule="auto"/>
              <w:rPr>
                <w:rFonts w:ascii="宋体" w:hAnsi="宋体" w:eastAsia="宋体" w:cs="宋体"/>
                <w:color w:val="auto"/>
                <w:szCs w:val="21"/>
                <w:highlight w:val="none"/>
                <w:u w:val="single"/>
                <w:lang w:bidi="ar"/>
              </w:rPr>
            </w:pPr>
            <w:r>
              <w:rPr>
                <w:rFonts w:hint="eastAsia" w:ascii="宋体" w:hAnsi="宋体" w:eastAsia="宋体" w:cs="宋体"/>
                <w:color w:val="auto"/>
                <w:szCs w:val="21"/>
                <w:highlight w:val="none"/>
                <w:u w:val="single"/>
                <w:lang w:bidi="ar"/>
              </w:rPr>
              <w:t>3、中标后，中标单位须提交与网上上传电子投标文件完全一致的纸质投标文件（一式四份，加盖公章）至招标人。</w:t>
            </w:r>
            <w:bookmarkEnd w:id="23"/>
          </w:p>
        </w:tc>
      </w:tr>
      <w:tr w14:paraId="49B42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41" w:type="pct"/>
            <w:vAlign w:val="center"/>
          </w:tcPr>
          <w:p w14:paraId="396B4E2B">
            <w:pPr>
              <w:wordWrap w:val="0"/>
              <w:autoSpaceDE w:val="0"/>
              <w:autoSpaceDN w:val="0"/>
              <w:spacing w:line="276" w:lineRule="auto"/>
              <w:jc w:val="center"/>
              <w:rPr>
                <w:rFonts w:ascii="宋体" w:hAnsi="宋体" w:eastAsia="宋体" w:cs="宋体"/>
                <w:color w:val="auto"/>
                <w:kern w:val="0"/>
                <w:szCs w:val="21"/>
                <w:highlight w:val="none"/>
                <w:u w:val="single"/>
              </w:rPr>
            </w:pPr>
            <w:bookmarkStart w:id="24" w:name="OLE_LINK14" w:colFirst="0" w:colLast="2"/>
            <w:r>
              <w:rPr>
                <w:rFonts w:hint="eastAsia" w:ascii="宋体" w:hAnsi="宋体" w:eastAsia="宋体" w:cs="宋体"/>
                <w:color w:val="auto"/>
                <w:kern w:val="0"/>
                <w:szCs w:val="21"/>
                <w:highlight w:val="none"/>
                <w:u w:val="single"/>
              </w:rPr>
              <w:t>11.6</w:t>
            </w:r>
          </w:p>
        </w:tc>
        <w:tc>
          <w:tcPr>
            <w:tcW w:w="1063" w:type="pct"/>
            <w:vAlign w:val="center"/>
          </w:tcPr>
          <w:p w14:paraId="64A293D2">
            <w:pPr>
              <w:wordWrap w:val="0"/>
              <w:spacing w:line="276" w:lineRule="auto"/>
              <w:jc w:val="center"/>
              <w:rPr>
                <w:rFonts w:ascii="宋体" w:hAnsi="宋体" w:eastAsia="宋体" w:cs="宋体"/>
                <w:color w:val="auto"/>
                <w:szCs w:val="21"/>
                <w:highlight w:val="none"/>
                <w:u w:val="single"/>
              </w:rPr>
            </w:pPr>
            <w:r>
              <w:rPr>
                <w:rFonts w:hint="eastAsia" w:ascii="宋体" w:hAnsi="宋体" w:eastAsia="宋体" w:cs="宋体"/>
                <w:color w:val="auto"/>
                <w:szCs w:val="21"/>
                <w:highlight w:val="none"/>
                <w:u w:val="single"/>
              </w:rPr>
              <w:t>其他费用</w:t>
            </w:r>
          </w:p>
        </w:tc>
        <w:tc>
          <w:tcPr>
            <w:tcW w:w="3495" w:type="pct"/>
            <w:vAlign w:val="center"/>
          </w:tcPr>
          <w:p w14:paraId="4C0DD513">
            <w:pPr>
              <w:wordWrap w:val="0"/>
              <w:spacing w:line="276" w:lineRule="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交易服务费：</w:t>
            </w:r>
            <w:r>
              <w:rPr>
                <w:rFonts w:hint="eastAsia" w:ascii="宋体" w:hAnsi="宋体" w:eastAsia="宋体" w:cs="宋体"/>
                <w:color w:val="auto"/>
                <w:kern w:val="0"/>
                <w:szCs w:val="21"/>
                <w:highlight w:val="none"/>
                <w:u w:val="single"/>
              </w:rPr>
              <w:t>由中标单位支付。</w:t>
            </w:r>
          </w:p>
        </w:tc>
      </w:tr>
      <w:bookmarkEnd w:id="24"/>
    </w:tbl>
    <w:p w14:paraId="1F7F8E01">
      <w:pPr>
        <w:wordWrap w:val="0"/>
        <w:ind w:left="420" w:leftChars="200"/>
        <w:rPr>
          <w:rFonts w:ascii="宋体" w:hAnsi="宋体" w:eastAsia="宋体" w:cs="宋体"/>
          <w:color w:val="auto"/>
          <w:szCs w:val="24"/>
          <w:highlight w:val="none"/>
        </w:rPr>
      </w:pPr>
    </w:p>
    <w:p w14:paraId="7B777CE0">
      <w:pPr>
        <w:widowControl/>
        <w:jc w:val="left"/>
        <w:rPr>
          <w:rFonts w:ascii="宋体" w:hAnsi="宋体" w:eastAsia="宋体" w:cs="宋体"/>
          <w:color w:val="auto"/>
          <w:szCs w:val="24"/>
          <w:highlight w:val="none"/>
        </w:rPr>
      </w:pPr>
      <w:r>
        <w:rPr>
          <w:rFonts w:hint="eastAsia" w:ascii="宋体" w:hAnsi="宋体" w:eastAsia="宋体" w:cs="宋体"/>
          <w:color w:val="auto"/>
          <w:szCs w:val="24"/>
          <w:highlight w:val="none"/>
        </w:rPr>
        <w:br w:type="page"/>
      </w:r>
    </w:p>
    <w:p w14:paraId="31FE8647">
      <w:pPr>
        <w:pStyle w:val="4"/>
        <w:rPr>
          <w:rFonts w:ascii="宋体" w:hAnsi="宋体"/>
          <w:color w:val="auto"/>
          <w:highlight w:val="none"/>
        </w:rPr>
      </w:pPr>
      <w:r>
        <w:rPr>
          <w:rFonts w:hint="eastAsia" w:ascii="宋体" w:hAnsi="宋体"/>
          <w:color w:val="auto"/>
          <w:highlight w:val="none"/>
        </w:rPr>
        <w:t>投标须知修改表</w:t>
      </w:r>
    </w:p>
    <w:p w14:paraId="0C7210A9">
      <w:pPr>
        <w:pStyle w:val="43"/>
        <w:pBdr>
          <w:bottom w:val="single" w:color="auto" w:sz="6" w:space="1"/>
        </w:pBdr>
        <w:spacing w:after="0" w:line="360" w:lineRule="auto"/>
        <w:ind w:firstLine="422" w:firstLineChars="200"/>
        <w:rPr>
          <w:rFonts w:ascii="宋体" w:hAnsi="宋体"/>
          <w:bCs/>
          <w:color w:val="auto"/>
          <w:sz w:val="21"/>
          <w:szCs w:val="21"/>
          <w:highlight w:val="none"/>
        </w:rPr>
      </w:pPr>
      <w:r>
        <w:rPr>
          <w:rFonts w:hint="eastAsia" w:ascii="宋体" w:hAnsi="宋体"/>
          <w:b/>
          <w:color w:val="auto"/>
          <w:sz w:val="21"/>
          <w:szCs w:val="21"/>
          <w:highlight w:val="none"/>
        </w:rPr>
        <w:t>本投标须知使用GZJTZB2025-1招标文件范本的投标须知通用条款，与该通用条款不同之处，均在本表中列明，并以现文为准，原文不再有效。</w:t>
      </w:r>
      <w:r>
        <w:rPr>
          <w:rFonts w:hint="eastAsia" w:ascii="宋体" w:hAnsi="宋体"/>
          <w:bCs/>
          <w:color w:val="auto"/>
          <w:sz w:val="21"/>
          <w:szCs w:val="21"/>
          <w:highlight w:val="none"/>
        </w:rPr>
        <w:t>（注：招标人按《投标须知修改表》修改的内容对应修改通用条款，属于删除的采用“</w:t>
      </w:r>
      <w:r>
        <w:rPr>
          <w:rFonts w:hint="eastAsia" w:ascii="宋体" w:hAnsi="宋体"/>
          <w:bCs/>
          <w:strike/>
          <w:color w:val="auto"/>
          <w:sz w:val="21"/>
          <w:szCs w:val="21"/>
          <w:highlight w:val="none"/>
        </w:rPr>
        <w:t xml:space="preserve">   </w:t>
      </w:r>
      <w:r>
        <w:rPr>
          <w:rFonts w:hint="eastAsia" w:ascii="宋体" w:hAnsi="宋体"/>
          <w:bCs/>
          <w:color w:val="auto"/>
          <w:sz w:val="21"/>
          <w:szCs w:val="21"/>
          <w:highlight w:val="none"/>
        </w:rPr>
        <w:t>”表示，如“</w:t>
      </w:r>
      <w:r>
        <w:rPr>
          <w:rFonts w:hint="eastAsia" w:ascii="宋体" w:hAnsi="宋体"/>
          <w:bCs/>
          <w:strike/>
          <w:color w:val="auto"/>
          <w:sz w:val="21"/>
          <w:szCs w:val="21"/>
          <w:highlight w:val="none"/>
        </w:rPr>
        <w:t>删除</w:t>
      </w:r>
      <w:r>
        <w:rPr>
          <w:rFonts w:hint="eastAsia" w:ascii="宋体" w:hAnsi="宋体"/>
          <w:bCs/>
          <w:color w:val="auto"/>
          <w:sz w:val="21"/>
          <w:szCs w:val="21"/>
          <w:highlight w:val="none"/>
        </w:rPr>
        <w:t>”；属于新增的内容，用</w:t>
      </w:r>
      <w:r>
        <w:rPr>
          <w:rFonts w:hint="eastAsia" w:ascii="宋体" w:hAnsi="宋体"/>
          <w:b/>
          <w:color w:val="auto"/>
          <w:sz w:val="21"/>
          <w:szCs w:val="21"/>
          <w:highlight w:val="none"/>
        </w:rPr>
        <w:t>黑色加粗</w:t>
      </w:r>
      <w:r>
        <w:rPr>
          <w:rFonts w:hint="eastAsia" w:ascii="宋体" w:hAnsi="宋体"/>
          <w:bCs/>
          <w:color w:val="auto"/>
          <w:sz w:val="21"/>
          <w:szCs w:val="21"/>
          <w:highlight w:val="none"/>
        </w:rPr>
        <w:t>字体显示,并加注下划线，如“</w:t>
      </w:r>
      <w:r>
        <w:rPr>
          <w:rFonts w:hint="eastAsia" w:ascii="宋体" w:hAnsi="宋体"/>
          <w:b/>
          <w:color w:val="auto"/>
          <w:sz w:val="21"/>
          <w:szCs w:val="21"/>
          <w:highlight w:val="none"/>
          <w:u w:val="single"/>
        </w:rPr>
        <w:t>新增修改</w:t>
      </w:r>
      <w:r>
        <w:rPr>
          <w:rFonts w:hint="eastAsia" w:ascii="宋体" w:hAnsi="宋体"/>
          <w:bCs/>
          <w:color w:val="auto"/>
          <w:sz w:val="21"/>
          <w:szCs w:val="21"/>
          <w:highlight w:val="none"/>
        </w:rPr>
        <w:t>”。）</w:t>
      </w:r>
    </w:p>
    <w:p w14:paraId="0EF5E616">
      <w:pPr>
        <w:spacing w:line="360" w:lineRule="auto"/>
        <w:ind w:firstLine="470" w:firstLineChars="224"/>
        <w:rPr>
          <w:rFonts w:ascii="宋体" w:hAnsi="宋体" w:eastAsia="宋体"/>
          <w:color w:val="auto"/>
          <w:szCs w:val="21"/>
          <w:highlight w:val="none"/>
        </w:rPr>
      </w:pPr>
      <w:r>
        <w:rPr>
          <w:rFonts w:hint="eastAsia" w:ascii="宋体" w:hAnsi="宋体" w:eastAsia="宋体"/>
          <w:color w:val="auto"/>
          <w:szCs w:val="21"/>
          <w:highlight w:val="none"/>
        </w:rPr>
        <w:t>条款号：</w:t>
      </w:r>
      <w:r>
        <w:rPr>
          <w:rFonts w:ascii="宋体" w:hAnsi="宋体" w:eastAsia="宋体"/>
          <w:color w:val="auto"/>
          <w:szCs w:val="21"/>
          <w:highlight w:val="none"/>
        </w:rPr>
        <w:t>1.4.1</w:t>
      </w:r>
      <w:r>
        <w:rPr>
          <w:rFonts w:hint="eastAsia" w:ascii="宋体" w:hAnsi="宋体" w:eastAsia="宋体"/>
          <w:color w:val="auto"/>
          <w:szCs w:val="21"/>
          <w:highlight w:val="none"/>
        </w:rPr>
        <w:t>（</w:t>
      </w:r>
      <w:r>
        <w:rPr>
          <w:rFonts w:ascii="宋体" w:hAnsi="宋体" w:eastAsia="宋体"/>
          <w:color w:val="auto"/>
          <w:szCs w:val="21"/>
          <w:highlight w:val="none"/>
        </w:rPr>
        <w:t>3</w:t>
      </w:r>
      <w:r>
        <w:rPr>
          <w:rFonts w:hint="eastAsia" w:ascii="宋体" w:hAnsi="宋体" w:eastAsia="宋体"/>
          <w:color w:val="auto"/>
          <w:szCs w:val="21"/>
          <w:highlight w:val="none"/>
        </w:rPr>
        <w:t>）</w:t>
      </w:r>
      <w:r>
        <w:rPr>
          <w:rFonts w:ascii="宋体" w:hAnsi="宋体" w:eastAsia="宋体"/>
          <w:color w:val="auto"/>
          <w:szCs w:val="21"/>
          <w:highlight w:val="none"/>
        </w:rPr>
        <w:t xml:space="preserve">             </w:t>
      </w:r>
      <w:r>
        <w:rPr>
          <w:rFonts w:hint="eastAsia" w:ascii="宋体" w:hAnsi="宋体" w:eastAsia="宋体"/>
          <w:color w:val="auto"/>
          <w:szCs w:val="21"/>
          <w:highlight w:val="none"/>
        </w:rPr>
        <w:t>修改类型：修改</w:t>
      </w:r>
    </w:p>
    <w:p w14:paraId="0A88806F">
      <w:pPr>
        <w:spacing w:line="360" w:lineRule="auto"/>
        <w:ind w:firstLine="470" w:firstLineChars="224"/>
        <w:rPr>
          <w:rFonts w:ascii="宋体" w:hAnsi="宋体" w:eastAsia="宋体"/>
          <w:color w:val="auto"/>
          <w:szCs w:val="21"/>
          <w:highlight w:val="none"/>
        </w:rPr>
      </w:pPr>
      <w:r>
        <w:rPr>
          <w:rFonts w:hint="eastAsia" w:ascii="宋体" w:hAnsi="宋体" w:eastAsia="宋体"/>
          <w:color w:val="auto"/>
          <w:szCs w:val="21"/>
          <w:highlight w:val="none"/>
        </w:rPr>
        <w:t>原文：（</w:t>
      </w:r>
      <w:r>
        <w:rPr>
          <w:rFonts w:ascii="宋体" w:hAnsi="宋体" w:eastAsia="宋体"/>
          <w:color w:val="auto"/>
          <w:szCs w:val="21"/>
          <w:highlight w:val="none"/>
        </w:rPr>
        <w:t>3</w:t>
      </w:r>
      <w:r>
        <w:rPr>
          <w:rFonts w:hint="eastAsia" w:ascii="宋体" w:hAnsi="宋体" w:eastAsia="宋体"/>
          <w:color w:val="auto"/>
          <w:szCs w:val="21"/>
          <w:highlight w:val="none"/>
        </w:rPr>
        <w:t>）项目负责人的资格要求：应当具备工程设计类注册执业资格（如有），具体要求见投标人须知前附表；</w:t>
      </w:r>
    </w:p>
    <w:p w14:paraId="31B3DCC5">
      <w:pPr>
        <w:pBdr>
          <w:bottom w:val="single" w:color="auto" w:sz="6" w:space="1"/>
        </w:pBdr>
        <w:spacing w:line="360" w:lineRule="auto"/>
        <w:ind w:firstLine="470" w:firstLineChars="224"/>
        <w:rPr>
          <w:rFonts w:ascii="宋体" w:hAnsi="宋体" w:eastAsia="宋体"/>
          <w:color w:val="auto"/>
          <w:szCs w:val="21"/>
          <w:highlight w:val="none"/>
        </w:rPr>
      </w:pPr>
      <w:r>
        <w:rPr>
          <w:rFonts w:hint="eastAsia" w:ascii="宋体" w:hAnsi="宋体" w:eastAsia="宋体"/>
          <w:color w:val="auto"/>
          <w:szCs w:val="21"/>
          <w:highlight w:val="none"/>
        </w:rPr>
        <w:t>现文：（</w:t>
      </w:r>
      <w:r>
        <w:rPr>
          <w:rFonts w:ascii="宋体" w:hAnsi="宋体" w:eastAsia="宋体"/>
          <w:color w:val="auto"/>
          <w:szCs w:val="21"/>
          <w:highlight w:val="none"/>
        </w:rPr>
        <w:t>3</w:t>
      </w:r>
      <w:r>
        <w:rPr>
          <w:rFonts w:hint="eastAsia" w:ascii="宋体" w:hAnsi="宋体" w:eastAsia="宋体"/>
          <w:color w:val="auto"/>
          <w:szCs w:val="21"/>
          <w:highlight w:val="none"/>
        </w:rPr>
        <w:t>）项目负责人的资格要求：</w:t>
      </w:r>
      <w:r>
        <w:rPr>
          <w:rFonts w:hint="eastAsia" w:ascii="宋体" w:hAnsi="宋体" w:eastAsia="宋体"/>
          <w:strike/>
          <w:color w:val="auto"/>
          <w:szCs w:val="21"/>
          <w:highlight w:val="none"/>
        </w:rPr>
        <w:t>应当具备工程设计类注册执业资格（如有），</w:t>
      </w:r>
      <w:r>
        <w:rPr>
          <w:rFonts w:hint="eastAsia" w:ascii="宋体" w:hAnsi="宋体" w:eastAsia="宋体"/>
          <w:color w:val="auto"/>
          <w:szCs w:val="21"/>
          <w:highlight w:val="none"/>
        </w:rPr>
        <w:t>具体要求见投标人须知前附表；</w:t>
      </w:r>
    </w:p>
    <w:p w14:paraId="5C293F1E">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条款号：1.4.2（1）        修改类型：修改</w:t>
      </w:r>
    </w:p>
    <w:p w14:paraId="35673BAA">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原文：（1）联合体各方应按招标文件提供的格式签订联合体协议书，明确联合体牵头人和各方权利义务，并承诺就中标项目向招标人承担连带责任；</w:t>
      </w:r>
    </w:p>
    <w:p w14:paraId="5468B376">
      <w:pPr>
        <w:pBdr>
          <w:bottom w:val="single" w:color="auto" w:sz="6" w:space="1"/>
        </w:pBd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现文：（1）联合体各方应按招标文件提供的格式签订联合体协议书，明确联合体</w:t>
      </w:r>
      <w:r>
        <w:rPr>
          <w:rFonts w:hint="eastAsia" w:ascii="宋体" w:hAnsi="宋体" w:eastAsia="宋体" w:cs="宋体"/>
          <w:b/>
          <w:bCs/>
          <w:color w:val="auto"/>
          <w:szCs w:val="21"/>
          <w:highlight w:val="none"/>
          <w:u w:val="single"/>
        </w:rPr>
        <w:t>主办方</w:t>
      </w:r>
      <w:r>
        <w:rPr>
          <w:rFonts w:hint="eastAsia" w:ascii="宋体" w:hAnsi="宋体" w:eastAsia="宋体" w:cs="宋体"/>
          <w:color w:val="auto"/>
          <w:szCs w:val="21"/>
          <w:highlight w:val="none"/>
        </w:rPr>
        <w:t>和各方权利义务，并承诺就中标项目向招标人承担连带责任；</w:t>
      </w:r>
    </w:p>
    <w:p w14:paraId="4FB99361">
      <w:pPr>
        <w:pBdr>
          <w:bottom w:val="single" w:color="auto" w:sz="4" w:space="0"/>
        </w:pBd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条款号：1.4.3（12）        修改类型：删除</w:t>
      </w:r>
    </w:p>
    <w:p w14:paraId="1D57BE17">
      <w:pPr>
        <w:pBdr>
          <w:bottom w:val="single" w:color="auto" w:sz="4" w:space="0"/>
        </w:pBd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原文：（12）在最近三年内发生重大设计质量问题的（以相关行业主管部门的行政处罚决定或司法机关出具的有关法律文书为准。“最近三年”是指从投标截止时间之日起逆推三年，以相关行业主管部门、司法机关、仲裁机构出具的生效文件的落款时间起计算）；</w:t>
      </w:r>
    </w:p>
    <w:p w14:paraId="4A2447A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条款号：1.4.3（13）        修改类型：修改</w:t>
      </w:r>
    </w:p>
    <w:p w14:paraId="6CDCCC12">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原文：（13）法律法规规定的其他情形。</w:t>
      </w:r>
    </w:p>
    <w:p w14:paraId="6D8DAD8C">
      <w:pPr>
        <w:pBdr>
          <w:bottom w:val="single" w:color="auto" w:sz="4" w:space="0"/>
        </w:pBd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现文：</w:t>
      </w:r>
      <w:r>
        <w:rPr>
          <w:rFonts w:hint="eastAsia" w:ascii="宋体" w:hAnsi="宋体" w:eastAsia="宋体" w:cs="宋体"/>
          <w:color w:val="auto"/>
          <w:szCs w:val="21"/>
          <w:highlight w:val="none"/>
          <w:u w:val="single"/>
        </w:rPr>
        <w:t>（</w:t>
      </w:r>
      <w:r>
        <w:rPr>
          <w:rFonts w:hint="eastAsia" w:ascii="宋体" w:hAnsi="宋体" w:eastAsia="宋体" w:cs="宋体"/>
          <w:b/>
          <w:bCs/>
          <w:color w:val="auto"/>
          <w:szCs w:val="21"/>
          <w:highlight w:val="none"/>
          <w:u w:val="single"/>
        </w:rPr>
        <w:t>12</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rPr>
        <w:t>法律法规规定的其他情形。</w:t>
      </w:r>
    </w:p>
    <w:p w14:paraId="6F47B9FC">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条款号：1.12.2             修改类型：修改</w:t>
      </w:r>
    </w:p>
    <w:p w14:paraId="2DB6E891">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原文：1.12.2 投标人应根据招标文件的要求提供投标设计方案等内容以对招标文件作出响应。</w:t>
      </w:r>
    </w:p>
    <w:p w14:paraId="5D04CB6E">
      <w:pPr>
        <w:pBdr>
          <w:bottom w:val="single" w:color="auto" w:sz="6" w:space="1"/>
        </w:pBd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现文：1.12.2 投标人应根据招标文件的要求提供投标</w:t>
      </w:r>
      <w:r>
        <w:rPr>
          <w:rFonts w:hint="eastAsia" w:ascii="宋体" w:hAnsi="宋体" w:eastAsia="宋体"/>
          <w:b/>
          <w:bCs/>
          <w:color w:val="auto"/>
          <w:szCs w:val="21"/>
          <w:highlight w:val="none"/>
          <w:u w:val="single"/>
        </w:rPr>
        <w:t>勘察</w:t>
      </w:r>
      <w:r>
        <w:rPr>
          <w:rFonts w:hint="eastAsia" w:ascii="宋体" w:hAnsi="宋体" w:eastAsia="宋体"/>
          <w:color w:val="auto"/>
          <w:szCs w:val="21"/>
          <w:highlight w:val="none"/>
        </w:rPr>
        <w:t>设计方案等内容以对招标文件作出响应。</w:t>
      </w:r>
    </w:p>
    <w:p w14:paraId="1BFD231D">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条款号：2.2.3             修改类型：修改</w:t>
      </w:r>
    </w:p>
    <w:p w14:paraId="5938D571">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 xml:space="preserve">原文：2.2.3 </w:t>
      </w:r>
      <w:r>
        <w:rPr>
          <w:rFonts w:hint="eastAsia" w:ascii="宋体" w:hAnsi="宋体" w:eastAsia="宋体"/>
          <w:color w:val="auto"/>
          <w:spacing w:val="-3"/>
          <w:szCs w:val="21"/>
          <w:highlight w:val="none"/>
        </w:rPr>
        <w:t>招标答疑会会议纪要将在提交投标文件截止时间15日前在</w:t>
      </w:r>
      <w:r>
        <w:rPr>
          <w:rFonts w:hint="eastAsia" w:ascii="宋体" w:hAnsi="宋体" w:eastAsia="宋体"/>
          <w:color w:val="auto"/>
          <w:spacing w:val="-3"/>
          <w:szCs w:val="21"/>
          <w:highlight w:val="none"/>
          <w:u w:val="single"/>
        </w:rPr>
        <w:t>广州交易集团有限公司（广州公共资源交易中心）网站“项目答疑纪要”专区公开</w:t>
      </w:r>
      <w:r>
        <w:rPr>
          <w:rFonts w:hint="eastAsia" w:ascii="宋体" w:hAnsi="宋体" w:eastAsia="宋体"/>
          <w:color w:val="auto"/>
          <w:spacing w:val="-3"/>
          <w:szCs w:val="21"/>
          <w:highlight w:val="none"/>
        </w:rPr>
        <w:t>发布。答疑纪要一经在</w:t>
      </w:r>
      <w:r>
        <w:rPr>
          <w:rFonts w:hint="eastAsia" w:ascii="宋体" w:hAnsi="宋体" w:eastAsia="宋体"/>
          <w:color w:val="auto"/>
          <w:spacing w:val="-3"/>
          <w:szCs w:val="21"/>
          <w:highlight w:val="none"/>
          <w:u w:val="single"/>
        </w:rPr>
        <w:t>广州交易集团有限公司（广州公共资源交易中心）</w:t>
      </w:r>
      <w:r>
        <w:rPr>
          <w:rFonts w:hint="eastAsia" w:ascii="宋体" w:hAnsi="宋体" w:eastAsia="宋体"/>
          <w:color w:val="auto"/>
          <w:spacing w:val="-3"/>
          <w:szCs w:val="21"/>
          <w:highlight w:val="none"/>
        </w:rPr>
        <w:t>网站发布，视作已发放给所有投标人。澄清发出的时间距本章第4.2.1项规定的投标截止时间不足15日的，并且澄清内容可能影响投标文件编制的，将相应延长投标截止时间。</w:t>
      </w:r>
    </w:p>
    <w:p w14:paraId="74613BF2">
      <w:pPr>
        <w:pBdr>
          <w:bottom w:val="single" w:color="auto" w:sz="6" w:space="1"/>
        </w:pBd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 xml:space="preserve">现文：2.2.3 </w:t>
      </w:r>
      <w:r>
        <w:rPr>
          <w:rFonts w:hint="eastAsia" w:ascii="宋体" w:hAnsi="宋体" w:eastAsia="宋体"/>
          <w:b/>
          <w:bCs/>
          <w:color w:val="auto"/>
          <w:szCs w:val="21"/>
          <w:highlight w:val="none"/>
          <w:u w:val="single"/>
        </w:rPr>
        <w:t>招标答疑纪要</w:t>
      </w:r>
      <w:r>
        <w:rPr>
          <w:rFonts w:hint="eastAsia" w:ascii="宋体" w:hAnsi="宋体" w:eastAsia="宋体"/>
          <w:color w:val="auto"/>
          <w:spacing w:val="-3"/>
          <w:szCs w:val="21"/>
          <w:highlight w:val="none"/>
        </w:rPr>
        <w:t>将在提交投标文件截止时间15日前在</w:t>
      </w:r>
      <w:r>
        <w:rPr>
          <w:rFonts w:hint="eastAsia" w:ascii="宋体" w:hAnsi="宋体" w:eastAsia="宋体"/>
          <w:color w:val="auto"/>
          <w:spacing w:val="-3"/>
          <w:szCs w:val="21"/>
          <w:highlight w:val="none"/>
          <w:u w:val="single"/>
        </w:rPr>
        <w:t>广州交易集团有限公司（广州公共资源交易中心）网站“项目答疑纪要”专区公开</w:t>
      </w:r>
      <w:r>
        <w:rPr>
          <w:rFonts w:hint="eastAsia" w:ascii="宋体" w:hAnsi="宋体" w:eastAsia="宋体"/>
          <w:color w:val="auto"/>
          <w:spacing w:val="-3"/>
          <w:szCs w:val="21"/>
          <w:highlight w:val="none"/>
        </w:rPr>
        <w:t>发布。答疑纪要一经在</w:t>
      </w:r>
      <w:r>
        <w:rPr>
          <w:rFonts w:hint="eastAsia" w:ascii="宋体" w:hAnsi="宋体" w:eastAsia="宋体"/>
          <w:color w:val="auto"/>
          <w:spacing w:val="-3"/>
          <w:szCs w:val="21"/>
          <w:highlight w:val="none"/>
          <w:u w:val="single"/>
        </w:rPr>
        <w:t>广州交易集团有限公司（广州公共资源交易中心）</w:t>
      </w:r>
      <w:r>
        <w:rPr>
          <w:rFonts w:hint="eastAsia" w:ascii="宋体" w:hAnsi="宋体" w:eastAsia="宋体"/>
          <w:color w:val="auto"/>
          <w:spacing w:val="-3"/>
          <w:szCs w:val="21"/>
          <w:highlight w:val="none"/>
        </w:rPr>
        <w:t>网站发布，视作已发放给所有投标人。澄清发出的时间距本章第4.2.1项规定的投标截止时间不足15日的，并且澄清内容可能影响投标文件编制的，将相应延长投标截止时间。</w:t>
      </w:r>
    </w:p>
    <w:p w14:paraId="5145A255">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条款号：2.2.4             修改类型：修改</w:t>
      </w:r>
    </w:p>
    <w:p w14:paraId="7771749C">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 xml:space="preserve">原文：2.2.4 </w:t>
      </w:r>
      <w:r>
        <w:rPr>
          <w:rFonts w:hint="eastAsia" w:ascii="宋体" w:hAnsi="宋体" w:eastAsia="宋体"/>
          <w:color w:val="auto"/>
          <w:spacing w:val="-3"/>
          <w:szCs w:val="21"/>
          <w:highlight w:val="none"/>
        </w:rPr>
        <w:t>招标答疑会会议纪要是招标文件的组成部分，对投标人起约束作用。若招标答疑会会议纪要与招标文件有矛盾时，以</w:t>
      </w:r>
      <w:r>
        <w:rPr>
          <w:rFonts w:hint="eastAsia" w:ascii="宋体" w:hAnsi="宋体" w:eastAsia="宋体"/>
          <w:color w:val="auto"/>
          <w:spacing w:val="-3"/>
          <w:szCs w:val="21"/>
          <w:highlight w:val="none"/>
          <w:u w:val="single"/>
        </w:rPr>
        <w:t>广州交易集团有限公司（广州公共资源交易中心）</w:t>
      </w:r>
      <w:r>
        <w:rPr>
          <w:rFonts w:hint="eastAsia" w:ascii="宋体" w:hAnsi="宋体" w:eastAsia="宋体"/>
          <w:color w:val="auto"/>
          <w:spacing w:val="-3"/>
          <w:szCs w:val="21"/>
          <w:highlight w:val="none"/>
        </w:rPr>
        <w:t>网站最后发布的答疑纪要为准。</w:t>
      </w:r>
    </w:p>
    <w:p w14:paraId="56938DCA">
      <w:pPr>
        <w:pBdr>
          <w:bottom w:val="single" w:color="auto" w:sz="6" w:space="1"/>
        </w:pBd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 xml:space="preserve">现文：2.2.4 </w:t>
      </w:r>
      <w:r>
        <w:rPr>
          <w:rFonts w:hint="eastAsia" w:ascii="宋体" w:hAnsi="宋体" w:eastAsia="宋体"/>
          <w:b/>
          <w:bCs/>
          <w:color w:val="auto"/>
          <w:szCs w:val="21"/>
          <w:highlight w:val="none"/>
          <w:u w:val="single"/>
        </w:rPr>
        <w:t>招标答疑纪要</w:t>
      </w:r>
      <w:r>
        <w:rPr>
          <w:rFonts w:hint="eastAsia" w:ascii="宋体" w:hAnsi="宋体" w:eastAsia="宋体"/>
          <w:color w:val="auto"/>
          <w:spacing w:val="-3"/>
          <w:szCs w:val="21"/>
          <w:highlight w:val="none"/>
        </w:rPr>
        <w:t>是招标文件的组成部分，对投标人起约束作用。若</w:t>
      </w:r>
      <w:r>
        <w:rPr>
          <w:rFonts w:hint="eastAsia" w:ascii="宋体" w:hAnsi="宋体" w:eastAsia="宋体"/>
          <w:b/>
          <w:bCs/>
          <w:color w:val="auto"/>
          <w:szCs w:val="21"/>
          <w:highlight w:val="none"/>
          <w:u w:val="single"/>
        </w:rPr>
        <w:t>招标答疑纪要</w:t>
      </w:r>
      <w:r>
        <w:rPr>
          <w:rFonts w:hint="eastAsia" w:ascii="宋体" w:hAnsi="宋体" w:eastAsia="宋体"/>
          <w:color w:val="auto"/>
          <w:spacing w:val="-3"/>
          <w:szCs w:val="21"/>
          <w:highlight w:val="none"/>
        </w:rPr>
        <w:t>与招标文件有矛盾时，以</w:t>
      </w:r>
      <w:r>
        <w:rPr>
          <w:rFonts w:hint="eastAsia" w:ascii="宋体" w:hAnsi="宋体" w:eastAsia="宋体"/>
          <w:color w:val="auto"/>
          <w:spacing w:val="-3"/>
          <w:szCs w:val="21"/>
          <w:highlight w:val="none"/>
          <w:u w:val="single"/>
        </w:rPr>
        <w:t>广州交易集团有限公司（广州公共资源交易中心）</w:t>
      </w:r>
      <w:r>
        <w:rPr>
          <w:rFonts w:hint="eastAsia" w:ascii="宋体" w:hAnsi="宋体" w:eastAsia="宋体"/>
          <w:color w:val="auto"/>
          <w:spacing w:val="-3"/>
          <w:szCs w:val="21"/>
          <w:highlight w:val="none"/>
        </w:rPr>
        <w:t>网站最后发布的答疑纪要为准。</w:t>
      </w:r>
    </w:p>
    <w:p w14:paraId="75B367CE">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条款号：3.1             修改类型：删除</w:t>
      </w:r>
    </w:p>
    <w:p w14:paraId="7EA2397A">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原文：3.1 投标文件的组成（适用于非暗标形式）</w:t>
      </w:r>
    </w:p>
    <w:p w14:paraId="3083F009">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3.1.1 投标文件应包括下列内容：</w:t>
      </w:r>
    </w:p>
    <w:p w14:paraId="509C66B4">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（1）投标函及投标函附录；</w:t>
      </w:r>
    </w:p>
    <w:p w14:paraId="1B1CF4A3">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（2）法定代表人身份证明或附有法定代表人身份证明的授权委托书；</w:t>
      </w:r>
    </w:p>
    <w:p w14:paraId="40E1E49C">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（3）联合体协议书；</w:t>
      </w:r>
    </w:p>
    <w:p w14:paraId="350C14E1">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（4）投标保证金（如有）；</w:t>
      </w:r>
    </w:p>
    <w:p w14:paraId="2B89DE45">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（5）勘察设计费报价表；</w:t>
      </w:r>
    </w:p>
    <w:p w14:paraId="6320D16F">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（6）资格审查资料；</w:t>
      </w:r>
    </w:p>
    <w:p w14:paraId="7D0F7D64">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（7）勘察设计方案；</w:t>
      </w:r>
    </w:p>
    <w:p w14:paraId="564A5F03">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 xml:space="preserve">（8）投标人须知前附表规定的其他资料。 </w:t>
      </w:r>
    </w:p>
    <w:p w14:paraId="7E2BCF53">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投标人在评标过程中作出的符合法律法规和招标文件规定的澄清确认，构成投标文件的组成部分。</w:t>
      </w:r>
    </w:p>
    <w:p w14:paraId="71BDB02A">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3.1.2 投标人须知前附表规定不接受联合体投标的，或投标人没有组成联合体的，投标文件不包括本章第 3.1.1（3）目所指的联合体协议书。</w:t>
      </w:r>
    </w:p>
    <w:p w14:paraId="151C35C5">
      <w:pPr>
        <w:pBdr>
          <w:bottom w:val="single" w:color="auto" w:sz="6" w:space="1"/>
        </w:pBd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3.1.3 投标人须知前附表未要求提交投标保证金的，投标文件不包括本章第 3.1.1（4）目所指的投标保证金。</w:t>
      </w:r>
    </w:p>
    <w:p w14:paraId="7647797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条款号：3.1.1             修改类型：修改</w:t>
      </w:r>
    </w:p>
    <w:p w14:paraId="2F0ACAB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原文：3.1.1 商务文件（含资格审查文件）由下列资料组成：</w:t>
      </w:r>
    </w:p>
    <w:p w14:paraId="4C0F2F8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（1）投标函及投标函附录；</w:t>
      </w:r>
    </w:p>
    <w:p w14:paraId="7D9F73EE">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（2）法定代表人身份证明或附有法定代表人身份证明的授权委托书；</w:t>
      </w:r>
    </w:p>
    <w:p w14:paraId="692F778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（3）联合体协议书；</w:t>
      </w:r>
    </w:p>
    <w:p w14:paraId="5D088E6A">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（4）投标保证金（如有）；</w:t>
      </w:r>
    </w:p>
    <w:p w14:paraId="2C4C70B2">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（5）勘察设计费报价表；</w:t>
      </w:r>
    </w:p>
    <w:p w14:paraId="0B8C1DA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（6）资格审查资料；</w:t>
      </w:r>
    </w:p>
    <w:p w14:paraId="19596F7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（7）投标人须知前附表规定的其他资料。</w:t>
      </w:r>
    </w:p>
    <w:p w14:paraId="17164176">
      <w:pPr>
        <w:pBdr>
          <w:bottom w:val="single" w:color="auto" w:sz="6" w:space="1"/>
        </w:pBd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现文：3.1.1 商务文件（含资格审查文件）由下列资料组成：</w:t>
      </w:r>
    </w:p>
    <w:p w14:paraId="4BDA10CD">
      <w:pPr>
        <w:pBdr>
          <w:bottom w:val="single" w:color="auto" w:sz="6" w:space="1"/>
        </w:pBdr>
        <w:spacing w:line="360" w:lineRule="auto"/>
        <w:ind w:firstLine="422" w:firstLineChars="200"/>
        <w:rPr>
          <w:rFonts w:ascii="宋体" w:hAnsi="宋体" w:eastAsia="宋体" w:cs="宋体"/>
          <w:b/>
          <w:bCs/>
          <w:color w:val="auto"/>
          <w:szCs w:val="21"/>
          <w:highlight w:val="none"/>
          <w:u w:val="single"/>
        </w:rPr>
      </w:pPr>
      <w:r>
        <w:rPr>
          <w:rFonts w:hint="eastAsia" w:ascii="宋体" w:hAnsi="宋体" w:eastAsia="宋体" w:cs="宋体"/>
          <w:b/>
          <w:bCs/>
          <w:color w:val="auto"/>
          <w:szCs w:val="21"/>
          <w:highlight w:val="none"/>
          <w:u w:val="single"/>
        </w:rPr>
        <w:t>（1）资格审查资料；</w:t>
      </w:r>
    </w:p>
    <w:p w14:paraId="07C36683">
      <w:pPr>
        <w:pBdr>
          <w:bottom w:val="single" w:color="auto" w:sz="6" w:space="1"/>
        </w:pBdr>
        <w:spacing w:line="360" w:lineRule="auto"/>
        <w:ind w:firstLine="422" w:firstLineChars="200"/>
        <w:rPr>
          <w:rFonts w:ascii="宋体" w:hAnsi="宋体" w:eastAsia="宋体" w:cs="宋体"/>
          <w:b/>
          <w:bCs/>
          <w:color w:val="auto"/>
          <w:szCs w:val="21"/>
          <w:highlight w:val="none"/>
          <w:u w:val="single"/>
        </w:rPr>
      </w:pPr>
      <w:r>
        <w:rPr>
          <w:rFonts w:hint="eastAsia" w:ascii="宋体" w:hAnsi="宋体" w:eastAsia="宋体" w:cs="宋体"/>
          <w:b/>
          <w:bCs/>
          <w:color w:val="auto"/>
          <w:szCs w:val="21"/>
          <w:highlight w:val="none"/>
          <w:u w:val="single"/>
        </w:rPr>
        <w:t>（2）商务文件资料；</w:t>
      </w:r>
    </w:p>
    <w:p w14:paraId="6E40617D">
      <w:pPr>
        <w:pBdr>
          <w:bottom w:val="single" w:color="auto" w:sz="6" w:space="1"/>
        </w:pBdr>
        <w:spacing w:line="360" w:lineRule="auto"/>
        <w:ind w:firstLine="422" w:firstLineChars="200"/>
        <w:rPr>
          <w:rFonts w:ascii="宋体" w:hAnsi="宋体" w:eastAsia="宋体" w:cs="宋体"/>
          <w:b/>
          <w:bCs/>
          <w:color w:val="auto"/>
          <w:szCs w:val="21"/>
          <w:highlight w:val="none"/>
          <w:u w:val="single"/>
        </w:rPr>
      </w:pPr>
      <w:r>
        <w:rPr>
          <w:rFonts w:hint="eastAsia" w:ascii="宋体" w:hAnsi="宋体" w:eastAsia="宋体" w:cs="宋体"/>
          <w:b/>
          <w:bCs/>
          <w:color w:val="auto"/>
          <w:szCs w:val="21"/>
          <w:highlight w:val="none"/>
          <w:u w:val="single"/>
        </w:rPr>
        <w:t>（3）投标人须知前附表规定的其他资料。</w:t>
      </w:r>
    </w:p>
    <w:p w14:paraId="36E8F790">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条款号：3.1.6             修改类型：增加</w:t>
      </w:r>
    </w:p>
    <w:p w14:paraId="226E3298">
      <w:pPr>
        <w:pBdr>
          <w:bottom w:val="single" w:color="auto" w:sz="6" w:space="1"/>
        </w:pBd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现文：</w:t>
      </w:r>
      <w:r>
        <w:rPr>
          <w:rFonts w:hint="eastAsia" w:ascii="宋体" w:hAnsi="宋体" w:eastAsia="宋体"/>
          <w:b/>
          <w:bCs/>
          <w:color w:val="auto"/>
          <w:szCs w:val="21"/>
          <w:highlight w:val="none"/>
          <w:u w:val="single"/>
        </w:rPr>
        <w:t>3.1.6 投标文件具体编制规定详见招标文件第六章相关格式要求</w:t>
      </w:r>
      <w:r>
        <w:rPr>
          <w:rFonts w:hint="eastAsia" w:ascii="宋体" w:hAnsi="宋体" w:eastAsia="宋体"/>
          <w:color w:val="auto"/>
          <w:szCs w:val="21"/>
          <w:highlight w:val="none"/>
        </w:rPr>
        <w:t>。</w:t>
      </w:r>
    </w:p>
    <w:p w14:paraId="7897BE8B">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条款号：3.3.3             修改类型：修改</w:t>
      </w:r>
    </w:p>
    <w:p w14:paraId="7075C5B7">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原文：3.3.3 出</w:t>
      </w:r>
      <w:r>
        <w:rPr>
          <w:rFonts w:hint="eastAsia" w:ascii="宋体" w:hAnsi="宋体" w:eastAsia="宋体"/>
          <w:color w:val="auto"/>
          <w:spacing w:val="-3"/>
          <w:szCs w:val="21"/>
          <w:highlight w:val="none"/>
        </w:rPr>
        <w:t>现</w:t>
      </w:r>
      <w:r>
        <w:rPr>
          <w:rFonts w:hint="eastAsia" w:ascii="宋体" w:hAnsi="宋体" w:eastAsia="宋体"/>
          <w:color w:val="auto"/>
          <w:szCs w:val="21"/>
          <w:highlight w:val="none"/>
        </w:rPr>
        <w:t>特</w:t>
      </w:r>
      <w:r>
        <w:rPr>
          <w:rFonts w:hint="eastAsia" w:ascii="宋体" w:hAnsi="宋体" w:eastAsia="宋体"/>
          <w:color w:val="auto"/>
          <w:spacing w:val="-3"/>
          <w:szCs w:val="21"/>
          <w:highlight w:val="none"/>
        </w:rPr>
        <w:t>殊</w:t>
      </w:r>
      <w:r>
        <w:rPr>
          <w:rFonts w:hint="eastAsia" w:ascii="宋体" w:hAnsi="宋体" w:eastAsia="宋体"/>
          <w:color w:val="auto"/>
          <w:szCs w:val="21"/>
          <w:highlight w:val="none"/>
        </w:rPr>
        <w:t>情</w:t>
      </w:r>
      <w:r>
        <w:rPr>
          <w:rFonts w:hint="eastAsia" w:ascii="宋体" w:hAnsi="宋体" w:eastAsia="宋体"/>
          <w:color w:val="auto"/>
          <w:spacing w:val="-3"/>
          <w:szCs w:val="21"/>
          <w:highlight w:val="none"/>
        </w:rPr>
        <w:t>况</w:t>
      </w:r>
      <w:r>
        <w:rPr>
          <w:rFonts w:hint="eastAsia" w:ascii="宋体" w:hAnsi="宋体" w:eastAsia="宋体"/>
          <w:color w:val="auto"/>
          <w:szCs w:val="21"/>
          <w:highlight w:val="none"/>
        </w:rPr>
        <w:t>需</w:t>
      </w:r>
      <w:r>
        <w:rPr>
          <w:rFonts w:hint="eastAsia" w:ascii="宋体" w:hAnsi="宋体" w:eastAsia="宋体"/>
          <w:color w:val="auto"/>
          <w:spacing w:val="-3"/>
          <w:szCs w:val="21"/>
          <w:highlight w:val="none"/>
        </w:rPr>
        <w:t>要延</w:t>
      </w:r>
      <w:r>
        <w:rPr>
          <w:rFonts w:hint="eastAsia" w:ascii="宋体" w:hAnsi="宋体" w:eastAsia="宋体"/>
          <w:color w:val="auto"/>
          <w:szCs w:val="21"/>
          <w:highlight w:val="none"/>
        </w:rPr>
        <w:t>长投</w:t>
      </w:r>
      <w:r>
        <w:rPr>
          <w:rFonts w:hint="eastAsia" w:ascii="宋体" w:hAnsi="宋体" w:eastAsia="宋体"/>
          <w:color w:val="auto"/>
          <w:spacing w:val="-3"/>
          <w:szCs w:val="21"/>
          <w:highlight w:val="none"/>
        </w:rPr>
        <w:t>标</w:t>
      </w:r>
      <w:r>
        <w:rPr>
          <w:rFonts w:hint="eastAsia" w:ascii="宋体" w:hAnsi="宋体" w:eastAsia="宋体"/>
          <w:color w:val="auto"/>
          <w:szCs w:val="21"/>
          <w:highlight w:val="none"/>
        </w:rPr>
        <w:t>有</w:t>
      </w:r>
      <w:r>
        <w:rPr>
          <w:rFonts w:hint="eastAsia" w:ascii="宋体" w:hAnsi="宋体" w:eastAsia="宋体"/>
          <w:color w:val="auto"/>
          <w:spacing w:val="-3"/>
          <w:szCs w:val="21"/>
          <w:highlight w:val="none"/>
        </w:rPr>
        <w:t>效</w:t>
      </w:r>
      <w:r>
        <w:rPr>
          <w:rFonts w:hint="eastAsia" w:ascii="宋体" w:hAnsi="宋体" w:eastAsia="宋体"/>
          <w:color w:val="auto"/>
          <w:szCs w:val="21"/>
          <w:highlight w:val="none"/>
        </w:rPr>
        <w:t>期</w:t>
      </w:r>
      <w:r>
        <w:rPr>
          <w:rFonts w:hint="eastAsia" w:ascii="宋体" w:hAnsi="宋体" w:eastAsia="宋体"/>
          <w:color w:val="auto"/>
          <w:spacing w:val="-3"/>
          <w:szCs w:val="21"/>
          <w:highlight w:val="none"/>
        </w:rPr>
        <w:t>的</w:t>
      </w:r>
      <w:r>
        <w:rPr>
          <w:rFonts w:hint="eastAsia" w:ascii="宋体" w:hAnsi="宋体" w:eastAsia="宋体"/>
          <w:color w:val="auto"/>
          <w:spacing w:val="-77"/>
          <w:szCs w:val="21"/>
          <w:highlight w:val="none"/>
        </w:rPr>
        <w:t>，</w:t>
      </w:r>
      <w:r>
        <w:rPr>
          <w:rFonts w:hint="eastAsia" w:ascii="宋体" w:hAnsi="宋体" w:eastAsia="宋体"/>
          <w:color w:val="auto"/>
          <w:szCs w:val="21"/>
          <w:highlight w:val="none"/>
        </w:rPr>
        <w:t>招</w:t>
      </w:r>
      <w:r>
        <w:rPr>
          <w:rFonts w:hint="eastAsia" w:ascii="宋体" w:hAnsi="宋体" w:eastAsia="宋体"/>
          <w:color w:val="auto"/>
          <w:spacing w:val="-3"/>
          <w:szCs w:val="21"/>
          <w:highlight w:val="none"/>
        </w:rPr>
        <w:t>标</w:t>
      </w:r>
      <w:r>
        <w:rPr>
          <w:rFonts w:hint="eastAsia" w:ascii="宋体" w:hAnsi="宋体" w:eastAsia="宋体"/>
          <w:color w:val="auto"/>
          <w:szCs w:val="21"/>
          <w:highlight w:val="none"/>
        </w:rPr>
        <w:t>人</w:t>
      </w:r>
      <w:r>
        <w:rPr>
          <w:rFonts w:hint="eastAsia" w:ascii="宋体" w:hAnsi="宋体" w:eastAsia="宋体"/>
          <w:color w:val="auto"/>
          <w:spacing w:val="-3"/>
          <w:szCs w:val="21"/>
          <w:highlight w:val="none"/>
        </w:rPr>
        <w:t>以</w:t>
      </w:r>
      <w:r>
        <w:rPr>
          <w:rFonts w:hint="eastAsia" w:ascii="宋体" w:hAnsi="宋体" w:eastAsia="宋体"/>
          <w:color w:val="auto"/>
          <w:szCs w:val="21"/>
          <w:highlight w:val="none"/>
        </w:rPr>
        <w:t>书面</w:t>
      </w:r>
      <w:r>
        <w:rPr>
          <w:rFonts w:hint="eastAsia" w:ascii="宋体" w:hAnsi="宋体" w:eastAsia="宋体"/>
          <w:color w:val="auto"/>
          <w:spacing w:val="-3"/>
          <w:szCs w:val="21"/>
          <w:highlight w:val="none"/>
        </w:rPr>
        <w:t>形</w:t>
      </w:r>
      <w:r>
        <w:rPr>
          <w:rFonts w:hint="eastAsia" w:ascii="宋体" w:hAnsi="宋体" w:eastAsia="宋体"/>
          <w:color w:val="auto"/>
          <w:szCs w:val="21"/>
          <w:highlight w:val="none"/>
        </w:rPr>
        <w:t>式</w:t>
      </w:r>
      <w:r>
        <w:rPr>
          <w:rFonts w:hint="eastAsia" w:ascii="宋体" w:hAnsi="宋体" w:eastAsia="宋体"/>
          <w:color w:val="auto"/>
          <w:spacing w:val="-3"/>
          <w:szCs w:val="21"/>
          <w:highlight w:val="none"/>
        </w:rPr>
        <w:t>通</w:t>
      </w:r>
      <w:r>
        <w:rPr>
          <w:rFonts w:hint="eastAsia" w:ascii="宋体" w:hAnsi="宋体" w:eastAsia="宋体"/>
          <w:color w:val="auto"/>
          <w:szCs w:val="21"/>
          <w:highlight w:val="none"/>
        </w:rPr>
        <w:t>知</w:t>
      </w:r>
      <w:r>
        <w:rPr>
          <w:rFonts w:hint="eastAsia" w:ascii="宋体" w:hAnsi="宋体" w:eastAsia="宋体"/>
          <w:color w:val="auto"/>
          <w:spacing w:val="-3"/>
          <w:szCs w:val="21"/>
          <w:highlight w:val="none"/>
        </w:rPr>
        <w:t>所</w:t>
      </w:r>
      <w:r>
        <w:rPr>
          <w:rFonts w:hint="eastAsia" w:ascii="宋体" w:hAnsi="宋体" w:eastAsia="宋体"/>
          <w:color w:val="auto"/>
          <w:szCs w:val="21"/>
          <w:highlight w:val="none"/>
        </w:rPr>
        <w:t>有</w:t>
      </w:r>
      <w:r>
        <w:rPr>
          <w:rFonts w:hint="eastAsia" w:ascii="宋体" w:hAnsi="宋体" w:eastAsia="宋体"/>
          <w:color w:val="auto"/>
          <w:spacing w:val="-3"/>
          <w:szCs w:val="21"/>
          <w:highlight w:val="none"/>
        </w:rPr>
        <w:t>投</w:t>
      </w:r>
      <w:r>
        <w:rPr>
          <w:rFonts w:hint="eastAsia" w:ascii="宋体" w:hAnsi="宋体" w:eastAsia="宋体"/>
          <w:color w:val="auto"/>
          <w:szCs w:val="21"/>
          <w:highlight w:val="none"/>
        </w:rPr>
        <w:t>标</w:t>
      </w:r>
      <w:r>
        <w:rPr>
          <w:rFonts w:hint="eastAsia" w:ascii="宋体" w:hAnsi="宋体" w:eastAsia="宋体"/>
          <w:color w:val="auto"/>
          <w:spacing w:val="-3"/>
          <w:szCs w:val="21"/>
          <w:highlight w:val="none"/>
        </w:rPr>
        <w:t>人</w:t>
      </w:r>
      <w:r>
        <w:rPr>
          <w:rFonts w:hint="eastAsia" w:ascii="宋体" w:hAnsi="宋体" w:eastAsia="宋体"/>
          <w:color w:val="auto"/>
          <w:szCs w:val="21"/>
          <w:highlight w:val="none"/>
        </w:rPr>
        <w:t>延长</w:t>
      </w:r>
      <w:r>
        <w:rPr>
          <w:rFonts w:hint="eastAsia" w:ascii="宋体" w:hAnsi="宋体" w:eastAsia="宋体"/>
          <w:color w:val="auto"/>
          <w:spacing w:val="-3"/>
          <w:szCs w:val="21"/>
          <w:highlight w:val="none"/>
        </w:rPr>
        <w:t>投</w:t>
      </w:r>
      <w:r>
        <w:rPr>
          <w:rFonts w:hint="eastAsia" w:ascii="宋体" w:hAnsi="宋体" w:eastAsia="宋体"/>
          <w:color w:val="auto"/>
          <w:szCs w:val="21"/>
          <w:highlight w:val="none"/>
        </w:rPr>
        <w:t>标有效期。投标人应</w:t>
      </w:r>
      <w:r>
        <w:rPr>
          <w:rFonts w:hint="eastAsia" w:ascii="宋体" w:hAnsi="宋体" w:eastAsia="宋体"/>
          <w:color w:val="auto"/>
          <w:spacing w:val="-3"/>
          <w:szCs w:val="21"/>
          <w:highlight w:val="none"/>
        </w:rPr>
        <w:t>予</w:t>
      </w:r>
      <w:r>
        <w:rPr>
          <w:rFonts w:hint="eastAsia" w:ascii="宋体" w:hAnsi="宋体" w:eastAsia="宋体"/>
          <w:color w:val="auto"/>
          <w:szCs w:val="21"/>
          <w:highlight w:val="none"/>
        </w:rPr>
        <w:t>以书</w:t>
      </w:r>
      <w:r>
        <w:rPr>
          <w:rFonts w:hint="eastAsia" w:ascii="宋体" w:hAnsi="宋体" w:eastAsia="宋体"/>
          <w:color w:val="auto"/>
          <w:spacing w:val="-3"/>
          <w:szCs w:val="21"/>
          <w:highlight w:val="none"/>
        </w:rPr>
        <w:t>面</w:t>
      </w:r>
      <w:r>
        <w:rPr>
          <w:rFonts w:hint="eastAsia" w:ascii="宋体" w:hAnsi="宋体" w:eastAsia="宋体"/>
          <w:color w:val="auto"/>
          <w:szCs w:val="21"/>
          <w:highlight w:val="none"/>
        </w:rPr>
        <w:t>答复，同意延长</w:t>
      </w:r>
      <w:r>
        <w:rPr>
          <w:rFonts w:hint="eastAsia" w:ascii="宋体" w:hAnsi="宋体" w:eastAsia="宋体"/>
          <w:color w:val="auto"/>
          <w:spacing w:val="-3"/>
          <w:szCs w:val="21"/>
          <w:highlight w:val="none"/>
        </w:rPr>
        <w:t>的</w:t>
      </w:r>
      <w:r>
        <w:rPr>
          <w:rFonts w:hint="eastAsia" w:ascii="宋体" w:hAnsi="宋体" w:eastAsia="宋体"/>
          <w:color w:val="auto"/>
          <w:szCs w:val="21"/>
          <w:highlight w:val="none"/>
        </w:rPr>
        <w:t>，应</w:t>
      </w:r>
      <w:r>
        <w:rPr>
          <w:rFonts w:hint="eastAsia" w:ascii="宋体" w:hAnsi="宋体" w:eastAsia="宋体"/>
          <w:color w:val="auto"/>
          <w:spacing w:val="-3"/>
          <w:szCs w:val="21"/>
          <w:highlight w:val="none"/>
        </w:rPr>
        <w:t>相</w:t>
      </w:r>
      <w:r>
        <w:rPr>
          <w:rFonts w:hint="eastAsia" w:ascii="宋体" w:hAnsi="宋体" w:eastAsia="宋体"/>
          <w:color w:val="auto"/>
          <w:szCs w:val="21"/>
          <w:highlight w:val="none"/>
        </w:rPr>
        <w:t>应延长其投标保</w:t>
      </w:r>
      <w:r>
        <w:rPr>
          <w:rFonts w:hint="eastAsia" w:ascii="宋体" w:hAnsi="宋体" w:eastAsia="宋体"/>
          <w:color w:val="auto"/>
          <w:spacing w:val="-3"/>
          <w:szCs w:val="21"/>
          <w:highlight w:val="none"/>
        </w:rPr>
        <w:t>证</w:t>
      </w:r>
      <w:r>
        <w:rPr>
          <w:rFonts w:hint="eastAsia" w:ascii="宋体" w:hAnsi="宋体" w:eastAsia="宋体"/>
          <w:color w:val="auto"/>
          <w:szCs w:val="21"/>
          <w:highlight w:val="none"/>
        </w:rPr>
        <w:t>金的</w:t>
      </w:r>
      <w:r>
        <w:rPr>
          <w:rFonts w:hint="eastAsia" w:ascii="宋体" w:hAnsi="宋体" w:eastAsia="宋体"/>
          <w:color w:val="auto"/>
          <w:spacing w:val="-3"/>
          <w:szCs w:val="21"/>
          <w:highlight w:val="none"/>
        </w:rPr>
        <w:t>有</w:t>
      </w:r>
      <w:r>
        <w:rPr>
          <w:rFonts w:hint="eastAsia" w:ascii="宋体" w:hAnsi="宋体" w:eastAsia="宋体"/>
          <w:color w:val="auto"/>
          <w:szCs w:val="21"/>
          <w:highlight w:val="none"/>
        </w:rPr>
        <w:t>效期，但不得</w:t>
      </w:r>
      <w:r>
        <w:rPr>
          <w:rFonts w:hint="eastAsia" w:ascii="宋体" w:hAnsi="宋体" w:eastAsia="宋体"/>
          <w:color w:val="auto"/>
          <w:spacing w:val="-3"/>
          <w:szCs w:val="21"/>
          <w:highlight w:val="none"/>
        </w:rPr>
        <w:t>要</w:t>
      </w:r>
      <w:r>
        <w:rPr>
          <w:rFonts w:hint="eastAsia" w:ascii="宋体" w:hAnsi="宋体" w:eastAsia="宋体"/>
          <w:color w:val="auto"/>
          <w:szCs w:val="21"/>
          <w:highlight w:val="none"/>
        </w:rPr>
        <w:t>求或被允许修改其</w:t>
      </w:r>
      <w:r>
        <w:rPr>
          <w:rFonts w:hint="eastAsia" w:ascii="宋体" w:hAnsi="宋体" w:eastAsia="宋体"/>
          <w:color w:val="auto"/>
          <w:spacing w:val="-3"/>
          <w:szCs w:val="21"/>
          <w:highlight w:val="none"/>
        </w:rPr>
        <w:t>投</w:t>
      </w:r>
      <w:r>
        <w:rPr>
          <w:rFonts w:hint="eastAsia" w:ascii="宋体" w:hAnsi="宋体" w:eastAsia="宋体"/>
          <w:color w:val="auto"/>
          <w:szCs w:val="21"/>
          <w:highlight w:val="none"/>
        </w:rPr>
        <w:t>标文</w:t>
      </w:r>
      <w:r>
        <w:rPr>
          <w:rFonts w:hint="eastAsia" w:ascii="宋体" w:hAnsi="宋体" w:eastAsia="宋体"/>
          <w:color w:val="auto"/>
          <w:spacing w:val="-3"/>
          <w:szCs w:val="21"/>
          <w:highlight w:val="none"/>
        </w:rPr>
        <w:t>件</w:t>
      </w:r>
      <w:r>
        <w:rPr>
          <w:rFonts w:hint="eastAsia" w:ascii="宋体" w:hAnsi="宋体" w:eastAsia="宋体"/>
          <w:color w:val="auto"/>
          <w:szCs w:val="21"/>
          <w:highlight w:val="none"/>
        </w:rPr>
        <w:t>；投标人拒绝延</w:t>
      </w:r>
      <w:r>
        <w:rPr>
          <w:rFonts w:hint="eastAsia" w:ascii="宋体" w:hAnsi="宋体" w:eastAsia="宋体"/>
          <w:color w:val="auto"/>
          <w:spacing w:val="-3"/>
          <w:szCs w:val="21"/>
          <w:highlight w:val="none"/>
        </w:rPr>
        <w:t>长</w:t>
      </w:r>
      <w:r>
        <w:rPr>
          <w:rFonts w:hint="eastAsia" w:ascii="宋体" w:hAnsi="宋体" w:eastAsia="宋体"/>
          <w:color w:val="auto"/>
          <w:szCs w:val="21"/>
          <w:highlight w:val="none"/>
        </w:rPr>
        <w:t>的，</w:t>
      </w:r>
      <w:r>
        <w:rPr>
          <w:rFonts w:hint="eastAsia" w:ascii="宋体" w:hAnsi="宋体" w:eastAsia="宋体"/>
          <w:color w:val="auto"/>
          <w:spacing w:val="-3"/>
          <w:szCs w:val="21"/>
          <w:highlight w:val="none"/>
        </w:rPr>
        <w:t>其</w:t>
      </w:r>
      <w:r>
        <w:rPr>
          <w:rFonts w:hint="eastAsia" w:ascii="宋体" w:hAnsi="宋体" w:eastAsia="宋体"/>
          <w:color w:val="auto"/>
          <w:szCs w:val="21"/>
          <w:highlight w:val="none"/>
        </w:rPr>
        <w:t>投标失效，但投</w:t>
      </w:r>
      <w:r>
        <w:rPr>
          <w:rFonts w:hint="eastAsia" w:ascii="宋体" w:hAnsi="宋体" w:eastAsia="宋体"/>
          <w:color w:val="auto"/>
          <w:spacing w:val="-2"/>
          <w:szCs w:val="21"/>
          <w:highlight w:val="none"/>
        </w:rPr>
        <w:t>标</w:t>
      </w:r>
      <w:r>
        <w:rPr>
          <w:rFonts w:hint="eastAsia" w:ascii="宋体" w:hAnsi="宋体" w:eastAsia="宋体"/>
          <w:color w:val="auto"/>
          <w:szCs w:val="21"/>
          <w:highlight w:val="none"/>
        </w:rPr>
        <w:t>人有</w:t>
      </w:r>
      <w:r>
        <w:rPr>
          <w:rFonts w:hint="eastAsia" w:ascii="宋体" w:hAnsi="宋体" w:eastAsia="宋体"/>
          <w:color w:val="auto"/>
          <w:spacing w:val="-3"/>
          <w:szCs w:val="21"/>
          <w:highlight w:val="none"/>
        </w:rPr>
        <w:t>权</w:t>
      </w:r>
      <w:r>
        <w:rPr>
          <w:rFonts w:hint="eastAsia" w:ascii="宋体" w:hAnsi="宋体" w:eastAsia="宋体"/>
          <w:color w:val="auto"/>
          <w:szCs w:val="21"/>
          <w:highlight w:val="none"/>
        </w:rPr>
        <w:t>收回其投标保</w:t>
      </w:r>
      <w:r>
        <w:rPr>
          <w:rFonts w:hint="eastAsia" w:ascii="宋体" w:hAnsi="宋体" w:eastAsia="宋体"/>
          <w:color w:val="auto"/>
          <w:spacing w:val="-3"/>
          <w:szCs w:val="21"/>
          <w:highlight w:val="none"/>
        </w:rPr>
        <w:t>证</w:t>
      </w:r>
      <w:r>
        <w:rPr>
          <w:rFonts w:hint="eastAsia" w:ascii="宋体" w:hAnsi="宋体" w:eastAsia="宋体"/>
          <w:color w:val="auto"/>
          <w:szCs w:val="21"/>
          <w:highlight w:val="none"/>
        </w:rPr>
        <w:t>金及以</w:t>
      </w:r>
      <w:r>
        <w:rPr>
          <w:rFonts w:hint="eastAsia" w:ascii="宋体" w:hAnsi="宋体" w:eastAsia="宋体"/>
          <w:color w:val="auto"/>
          <w:spacing w:val="-3"/>
          <w:szCs w:val="21"/>
          <w:highlight w:val="none"/>
        </w:rPr>
        <w:t>现</w:t>
      </w:r>
      <w:r>
        <w:rPr>
          <w:rFonts w:hint="eastAsia" w:ascii="宋体" w:hAnsi="宋体" w:eastAsia="宋体"/>
          <w:color w:val="auto"/>
          <w:szCs w:val="21"/>
          <w:highlight w:val="none"/>
        </w:rPr>
        <w:t>金</w:t>
      </w:r>
      <w:r>
        <w:rPr>
          <w:rFonts w:hint="eastAsia" w:ascii="宋体" w:hAnsi="宋体" w:eastAsia="宋体"/>
          <w:color w:val="auto"/>
          <w:spacing w:val="-3"/>
          <w:szCs w:val="21"/>
          <w:highlight w:val="none"/>
        </w:rPr>
        <w:t>或</w:t>
      </w:r>
      <w:r>
        <w:rPr>
          <w:rFonts w:hint="eastAsia" w:ascii="宋体" w:hAnsi="宋体" w:eastAsia="宋体"/>
          <w:color w:val="auto"/>
          <w:szCs w:val="21"/>
          <w:highlight w:val="none"/>
        </w:rPr>
        <w:t>者</w:t>
      </w:r>
      <w:r>
        <w:rPr>
          <w:rFonts w:hint="eastAsia" w:ascii="宋体" w:hAnsi="宋体" w:eastAsia="宋体"/>
          <w:color w:val="auto"/>
          <w:spacing w:val="-3"/>
          <w:szCs w:val="21"/>
          <w:highlight w:val="none"/>
        </w:rPr>
        <w:t>支</w:t>
      </w:r>
      <w:r>
        <w:rPr>
          <w:rFonts w:hint="eastAsia" w:ascii="宋体" w:hAnsi="宋体" w:eastAsia="宋体"/>
          <w:color w:val="auto"/>
          <w:szCs w:val="21"/>
          <w:highlight w:val="none"/>
        </w:rPr>
        <w:t>票</w:t>
      </w:r>
      <w:r>
        <w:rPr>
          <w:rFonts w:hint="eastAsia" w:ascii="宋体" w:hAnsi="宋体" w:eastAsia="宋体"/>
          <w:color w:val="auto"/>
          <w:spacing w:val="-3"/>
          <w:szCs w:val="21"/>
          <w:highlight w:val="none"/>
        </w:rPr>
        <w:t>形</w:t>
      </w:r>
      <w:r>
        <w:rPr>
          <w:rFonts w:hint="eastAsia" w:ascii="宋体" w:hAnsi="宋体" w:eastAsia="宋体"/>
          <w:color w:val="auto"/>
          <w:szCs w:val="21"/>
          <w:highlight w:val="none"/>
        </w:rPr>
        <w:t>式</w:t>
      </w:r>
      <w:r>
        <w:rPr>
          <w:rFonts w:hint="eastAsia" w:ascii="宋体" w:hAnsi="宋体" w:eastAsia="宋体"/>
          <w:color w:val="auto"/>
          <w:spacing w:val="-3"/>
          <w:szCs w:val="21"/>
          <w:highlight w:val="none"/>
        </w:rPr>
        <w:t>递</w:t>
      </w:r>
      <w:r>
        <w:rPr>
          <w:rFonts w:hint="eastAsia" w:ascii="宋体" w:hAnsi="宋体" w:eastAsia="宋体"/>
          <w:color w:val="auto"/>
          <w:szCs w:val="21"/>
          <w:highlight w:val="none"/>
        </w:rPr>
        <w:t>交的</w:t>
      </w:r>
      <w:r>
        <w:rPr>
          <w:rFonts w:hint="eastAsia" w:ascii="宋体" w:hAnsi="宋体" w:eastAsia="宋体"/>
          <w:color w:val="auto"/>
          <w:spacing w:val="-3"/>
          <w:szCs w:val="21"/>
          <w:highlight w:val="none"/>
        </w:rPr>
        <w:t>投</w:t>
      </w:r>
      <w:r>
        <w:rPr>
          <w:rFonts w:hint="eastAsia" w:ascii="宋体" w:hAnsi="宋体" w:eastAsia="宋体"/>
          <w:color w:val="auto"/>
          <w:szCs w:val="21"/>
          <w:highlight w:val="none"/>
        </w:rPr>
        <w:t>标</w:t>
      </w:r>
      <w:r>
        <w:rPr>
          <w:rFonts w:hint="eastAsia" w:ascii="宋体" w:hAnsi="宋体" w:eastAsia="宋体"/>
          <w:color w:val="auto"/>
          <w:spacing w:val="-3"/>
          <w:szCs w:val="21"/>
          <w:highlight w:val="none"/>
        </w:rPr>
        <w:t>保</w:t>
      </w:r>
      <w:r>
        <w:rPr>
          <w:rFonts w:hint="eastAsia" w:ascii="宋体" w:hAnsi="宋体" w:eastAsia="宋体"/>
          <w:color w:val="auto"/>
          <w:szCs w:val="21"/>
          <w:highlight w:val="none"/>
        </w:rPr>
        <w:t>证</w:t>
      </w:r>
      <w:r>
        <w:rPr>
          <w:rFonts w:hint="eastAsia" w:ascii="宋体" w:hAnsi="宋体" w:eastAsia="宋体"/>
          <w:color w:val="auto"/>
          <w:spacing w:val="-3"/>
          <w:szCs w:val="21"/>
          <w:highlight w:val="none"/>
        </w:rPr>
        <w:t>金</w:t>
      </w:r>
      <w:r>
        <w:rPr>
          <w:rFonts w:hint="eastAsia" w:ascii="宋体" w:hAnsi="宋体" w:eastAsia="宋体"/>
          <w:color w:val="auto"/>
          <w:szCs w:val="21"/>
          <w:highlight w:val="none"/>
        </w:rPr>
        <w:t>的</w:t>
      </w:r>
      <w:r>
        <w:rPr>
          <w:rFonts w:hint="eastAsia" w:ascii="宋体" w:hAnsi="宋体" w:eastAsia="宋体"/>
          <w:color w:val="auto"/>
          <w:spacing w:val="-3"/>
          <w:szCs w:val="21"/>
          <w:highlight w:val="none"/>
        </w:rPr>
        <w:t>银</w:t>
      </w:r>
      <w:r>
        <w:rPr>
          <w:rFonts w:hint="eastAsia" w:ascii="宋体" w:hAnsi="宋体" w:eastAsia="宋体"/>
          <w:color w:val="auto"/>
          <w:szCs w:val="21"/>
          <w:highlight w:val="none"/>
        </w:rPr>
        <w:t>行</w:t>
      </w:r>
      <w:r>
        <w:rPr>
          <w:rFonts w:hint="eastAsia" w:ascii="宋体" w:hAnsi="宋体" w:eastAsia="宋体"/>
          <w:color w:val="auto"/>
          <w:spacing w:val="-3"/>
          <w:szCs w:val="21"/>
          <w:highlight w:val="none"/>
        </w:rPr>
        <w:t>同</w:t>
      </w:r>
      <w:r>
        <w:rPr>
          <w:rFonts w:hint="eastAsia" w:ascii="宋体" w:hAnsi="宋体" w:eastAsia="宋体"/>
          <w:color w:val="auto"/>
          <w:szCs w:val="21"/>
          <w:highlight w:val="none"/>
        </w:rPr>
        <w:t>期存</w:t>
      </w:r>
      <w:r>
        <w:rPr>
          <w:rFonts w:hint="eastAsia" w:ascii="宋体" w:hAnsi="宋体" w:eastAsia="宋体"/>
          <w:color w:val="auto"/>
          <w:spacing w:val="-3"/>
          <w:szCs w:val="21"/>
          <w:highlight w:val="none"/>
        </w:rPr>
        <w:t>款</w:t>
      </w:r>
      <w:r>
        <w:rPr>
          <w:rFonts w:hint="eastAsia" w:ascii="宋体" w:hAnsi="宋体" w:eastAsia="宋体"/>
          <w:color w:val="auto"/>
          <w:szCs w:val="21"/>
          <w:highlight w:val="none"/>
        </w:rPr>
        <w:t>利</w:t>
      </w:r>
      <w:r>
        <w:rPr>
          <w:rFonts w:hint="eastAsia" w:ascii="宋体" w:hAnsi="宋体" w:eastAsia="宋体"/>
          <w:color w:val="auto"/>
          <w:spacing w:val="-3"/>
          <w:szCs w:val="21"/>
          <w:highlight w:val="none"/>
        </w:rPr>
        <w:t>息</w:t>
      </w:r>
      <w:r>
        <w:rPr>
          <w:rFonts w:hint="eastAsia" w:ascii="宋体" w:hAnsi="宋体" w:eastAsia="宋体"/>
          <w:color w:val="auto"/>
          <w:szCs w:val="21"/>
          <w:highlight w:val="none"/>
        </w:rPr>
        <w:t>。</w:t>
      </w:r>
    </w:p>
    <w:p w14:paraId="712EFAFC">
      <w:pPr>
        <w:pBdr>
          <w:bottom w:val="single" w:color="auto" w:sz="6" w:space="1"/>
        </w:pBd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现文：3.3.3 出</w:t>
      </w:r>
      <w:r>
        <w:rPr>
          <w:rFonts w:hint="eastAsia" w:ascii="宋体" w:hAnsi="宋体" w:eastAsia="宋体"/>
          <w:color w:val="auto"/>
          <w:spacing w:val="-3"/>
          <w:szCs w:val="21"/>
          <w:highlight w:val="none"/>
        </w:rPr>
        <w:t>现</w:t>
      </w:r>
      <w:r>
        <w:rPr>
          <w:rFonts w:hint="eastAsia" w:ascii="宋体" w:hAnsi="宋体" w:eastAsia="宋体"/>
          <w:color w:val="auto"/>
          <w:szCs w:val="21"/>
          <w:highlight w:val="none"/>
        </w:rPr>
        <w:t>特</w:t>
      </w:r>
      <w:r>
        <w:rPr>
          <w:rFonts w:hint="eastAsia" w:ascii="宋体" w:hAnsi="宋体" w:eastAsia="宋体"/>
          <w:color w:val="auto"/>
          <w:spacing w:val="-3"/>
          <w:szCs w:val="21"/>
          <w:highlight w:val="none"/>
        </w:rPr>
        <w:t>殊</w:t>
      </w:r>
      <w:r>
        <w:rPr>
          <w:rFonts w:hint="eastAsia" w:ascii="宋体" w:hAnsi="宋体" w:eastAsia="宋体"/>
          <w:color w:val="auto"/>
          <w:szCs w:val="21"/>
          <w:highlight w:val="none"/>
        </w:rPr>
        <w:t>情</w:t>
      </w:r>
      <w:r>
        <w:rPr>
          <w:rFonts w:hint="eastAsia" w:ascii="宋体" w:hAnsi="宋体" w:eastAsia="宋体"/>
          <w:color w:val="auto"/>
          <w:spacing w:val="-3"/>
          <w:szCs w:val="21"/>
          <w:highlight w:val="none"/>
        </w:rPr>
        <w:t>况</w:t>
      </w:r>
      <w:r>
        <w:rPr>
          <w:rFonts w:hint="eastAsia" w:ascii="宋体" w:hAnsi="宋体" w:eastAsia="宋体"/>
          <w:color w:val="auto"/>
          <w:szCs w:val="21"/>
          <w:highlight w:val="none"/>
        </w:rPr>
        <w:t>需</w:t>
      </w:r>
      <w:r>
        <w:rPr>
          <w:rFonts w:hint="eastAsia" w:ascii="宋体" w:hAnsi="宋体" w:eastAsia="宋体"/>
          <w:color w:val="auto"/>
          <w:spacing w:val="-3"/>
          <w:szCs w:val="21"/>
          <w:highlight w:val="none"/>
        </w:rPr>
        <w:t>要延</w:t>
      </w:r>
      <w:r>
        <w:rPr>
          <w:rFonts w:hint="eastAsia" w:ascii="宋体" w:hAnsi="宋体" w:eastAsia="宋体"/>
          <w:color w:val="auto"/>
          <w:szCs w:val="21"/>
          <w:highlight w:val="none"/>
        </w:rPr>
        <w:t>长投</w:t>
      </w:r>
      <w:r>
        <w:rPr>
          <w:rFonts w:hint="eastAsia" w:ascii="宋体" w:hAnsi="宋体" w:eastAsia="宋体"/>
          <w:color w:val="auto"/>
          <w:spacing w:val="-3"/>
          <w:szCs w:val="21"/>
          <w:highlight w:val="none"/>
        </w:rPr>
        <w:t>标</w:t>
      </w:r>
      <w:r>
        <w:rPr>
          <w:rFonts w:hint="eastAsia" w:ascii="宋体" w:hAnsi="宋体" w:eastAsia="宋体"/>
          <w:color w:val="auto"/>
          <w:szCs w:val="21"/>
          <w:highlight w:val="none"/>
        </w:rPr>
        <w:t>有</w:t>
      </w:r>
      <w:r>
        <w:rPr>
          <w:rFonts w:hint="eastAsia" w:ascii="宋体" w:hAnsi="宋体" w:eastAsia="宋体"/>
          <w:color w:val="auto"/>
          <w:spacing w:val="-3"/>
          <w:szCs w:val="21"/>
          <w:highlight w:val="none"/>
        </w:rPr>
        <w:t>效</w:t>
      </w:r>
      <w:r>
        <w:rPr>
          <w:rFonts w:hint="eastAsia" w:ascii="宋体" w:hAnsi="宋体" w:eastAsia="宋体"/>
          <w:color w:val="auto"/>
          <w:szCs w:val="21"/>
          <w:highlight w:val="none"/>
        </w:rPr>
        <w:t>期</w:t>
      </w:r>
      <w:r>
        <w:rPr>
          <w:rFonts w:hint="eastAsia" w:ascii="宋体" w:hAnsi="宋体" w:eastAsia="宋体"/>
          <w:color w:val="auto"/>
          <w:spacing w:val="-3"/>
          <w:szCs w:val="21"/>
          <w:highlight w:val="none"/>
        </w:rPr>
        <w:t>的</w:t>
      </w:r>
      <w:r>
        <w:rPr>
          <w:rFonts w:hint="eastAsia" w:ascii="宋体" w:hAnsi="宋体" w:eastAsia="宋体"/>
          <w:color w:val="auto"/>
          <w:spacing w:val="-77"/>
          <w:szCs w:val="21"/>
          <w:highlight w:val="none"/>
        </w:rPr>
        <w:t>，</w:t>
      </w:r>
      <w:r>
        <w:rPr>
          <w:rFonts w:hint="eastAsia" w:ascii="宋体" w:hAnsi="宋体" w:eastAsia="宋体"/>
          <w:color w:val="auto"/>
          <w:szCs w:val="21"/>
          <w:highlight w:val="none"/>
        </w:rPr>
        <w:t>招</w:t>
      </w:r>
      <w:r>
        <w:rPr>
          <w:rFonts w:hint="eastAsia" w:ascii="宋体" w:hAnsi="宋体" w:eastAsia="宋体"/>
          <w:color w:val="auto"/>
          <w:spacing w:val="-3"/>
          <w:szCs w:val="21"/>
          <w:highlight w:val="none"/>
        </w:rPr>
        <w:t>标</w:t>
      </w:r>
      <w:r>
        <w:rPr>
          <w:rFonts w:hint="eastAsia" w:ascii="宋体" w:hAnsi="宋体" w:eastAsia="宋体"/>
          <w:color w:val="auto"/>
          <w:szCs w:val="21"/>
          <w:highlight w:val="none"/>
        </w:rPr>
        <w:t>人</w:t>
      </w:r>
      <w:r>
        <w:rPr>
          <w:rFonts w:hint="eastAsia" w:ascii="宋体" w:hAnsi="宋体" w:eastAsia="宋体"/>
          <w:color w:val="auto"/>
          <w:spacing w:val="-3"/>
          <w:szCs w:val="21"/>
          <w:highlight w:val="none"/>
        </w:rPr>
        <w:t>以</w:t>
      </w:r>
      <w:r>
        <w:rPr>
          <w:rFonts w:hint="eastAsia" w:ascii="宋体" w:hAnsi="宋体" w:eastAsia="宋体"/>
          <w:color w:val="auto"/>
          <w:szCs w:val="21"/>
          <w:highlight w:val="none"/>
        </w:rPr>
        <w:t>书面</w:t>
      </w:r>
      <w:r>
        <w:rPr>
          <w:rFonts w:hint="eastAsia" w:ascii="宋体" w:hAnsi="宋体" w:eastAsia="宋体"/>
          <w:color w:val="auto"/>
          <w:spacing w:val="-3"/>
          <w:szCs w:val="21"/>
          <w:highlight w:val="none"/>
        </w:rPr>
        <w:t>形</w:t>
      </w:r>
      <w:r>
        <w:rPr>
          <w:rFonts w:hint="eastAsia" w:ascii="宋体" w:hAnsi="宋体" w:eastAsia="宋体"/>
          <w:color w:val="auto"/>
          <w:szCs w:val="21"/>
          <w:highlight w:val="none"/>
        </w:rPr>
        <w:t>式</w:t>
      </w:r>
      <w:r>
        <w:rPr>
          <w:rFonts w:hint="eastAsia" w:ascii="宋体" w:hAnsi="宋体" w:eastAsia="宋体"/>
          <w:color w:val="auto"/>
          <w:spacing w:val="-3"/>
          <w:szCs w:val="21"/>
          <w:highlight w:val="none"/>
        </w:rPr>
        <w:t>通</w:t>
      </w:r>
      <w:r>
        <w:rPr>
          <w:rFonts w:hint="eastAsia" w:ascii="宋体" w:hAnsi="宋体" w:eastAsia="宋体"/>
          <w:color w:val="auto"/>
          <w:szCs w:val="21"/>
          <w:highlight w:val="none"/>
        </w:rPr>
        <w:t>知</w:t>
      </w:r>
      <w:r>
        <w:rPr>
          <w:rFonts w:hint="eastAsia" w:ascii="宋体" w:hAnsi="宋体" w:eastAsia="宋体"/>
          <w:color w:val="auto"/>
          <w:spacing w:val="-3"/>
          <w:szCs w:val="21"/>
          <w:highlight w:val="none"/>
        </w:rPr>
        <w:t>所</w:t>
      </w:r>
      <w:r>
        <w:rPr>
          <w:rFonts w:hint="eastAsia" w:ascii="宋体" w:hAnsi="宋体" w:eastAsia="宋体"/>
          <w:color w:val="auto"/>
          <w:szCs w:val="21"/>
          <w:highlight w:val="none"/>
        </w:rPr>
        <w:t>有</w:t>
      </w:r>
      <w:r>
        <w:rPr>
          <w:rFonts w:hint="eastAsia" w:ascii="宋体" w:hAnsi="宋体" w:eastAsia="宋体"/>
          <w:color w:val="auto"/>
          <w:spacing w:val="-3"/>
          <w:szCs w:val="21"/>
          <w:highlight w:val="none"/>
        </w:rPr>
        <w:t>投</w:t>
      </w:r>
      <w:r>
        <w:rPr>
          <w:rFonts w:hint="eastAsia" w:ascii="宋体" w:hAnsi="宋体" w:eastAsia="宋体"/>
          <w:color w:val="auto"/>
          <w:szCs w:val="21"/>
          <w:highlight w:val="none"/>
        </w:rPr>
        <w:t>标</w:t>
      </w:r>
      <w:r>
        <w:rPr>
          <w:rFonts w:hint="eastAsia" w:ascii="宋体" w:hAnsi="宋体" w:eastAsia="宋体"/>
          <w:color w:val="auto"/>
          <w:spacing w:val="-3"/>
          <w:szCs w:val="21"/>
          <w:highlight w:val="none"/>
        </w:rPr>
        <w:t>人</w:t>
      </w:r>
      <w:r>
        <w:rPr>
          <w:rFonts w:hint="eastAsia" w:ascii="宋体" w:hAnsi="宋体" w:eastAsia="宋体"/>
          <w:color w:val="auto"/>
          <w:szCs w:val="21"/>
          <w:highlight w:val="none"/>
        </w:rPr>
        <w:t>延长</w:t>
      </w:r>
      <w:r>
        <w:rPr>
          <w:rFonts w:hint="eastAsia" w:ascii="宋体" w:hAnsi="宋体" w:eastAsia="宋体"/>
          <w:color w:val="auto"/>
          <w:spacing w:val="-3"/>
          <w:szCs w:val="21"/>
          <w:highlight w:val="none"/>
        </w:rPr>
        <w:t>投</w:t>
      </w:r>
      <w:r>
        <w:rPr>
          <w:rFonts w:hint="eastAsia" w:ascii="宋体" w:hAnsi="宋体" w:eastAsia="宋体"/>
          <w:color w:val="auto"/>
          <w:szCs w:val="21"/>
          <w:highlight w:val="none"/>
        </w:rPr>
        <w:t>标有效期。投标人应</w:t>
      </w:r>
      <w:r>
        <w:rPr>
          <w:rFonts w:hint="eastAsia" w:ascii="宋体" w:hAnsi="宋体" w:eastAsia="宋体"/>
          <w:color w:val="auto"/>
          <w:spacing w:val="-3"/>
          <w:szCs w:val="21"/>
          <w:highlight w:val="none"/>
        </w:rPr>
        <w:t>予</w:t>
      </w:r>
      <w:r>
        <w:rPr>
          <w:rFonts w:hint="eastAsia" w:ascii="宋体" w:hAnsi="宋体" w:eastAsia="宋体"/>
          <w:color w:val="auto"/>
          <w:szCs w:val="21"/>
          <w:highlight w:val="none"/>
        </w:rPr>
        <w:t>以书</w:t>
      </w:r>
      <w:r>
        <w:rPr>
          <w:rFonts w:hint="eastAsia" w:ascii="宋体" w:hAnsi="宋体" w:eastAsia="宋体"/>
          <w:color w:val="auto"/>
          <w:spacing w:val="-3"/>
          <w:szCs w:val="21"/>
          <w:highlight w:val="none"/>
        </w:rPr>
        <w:t>面</w:t>
      </w:r>
      <w:r>
        <w:rPr>
          <w:rFonts w:hint="eastAsia" w:ascii="宋体" w:hAnsi="宋体" w:eastAsia="宋体"/>
          <w:color w:val="auto"/>
          <w:szCs w:val="21"/>
          <w:highlight w:val="none"/>
        </w:rPr>
        <w:t>答复，同意延长</w:t>
      </w:r>
      <w:r>
        <w:rPr>
          <w:rFonts w:hint="eastAsia" w:ascii="宋体" w:hAnsi="宋体" w:eastAsia="宋体"/>
          <w:color w:val="auto"/>
          <w:spacing w:val="-3"/>
          <w:szCs w:val="21"/>
          <w:highlight w:val="none"/>
        </w:rPr>
        <w:t>的</w:t>
      </w:r>
      <w:r>
        <w:rPr>
          <w:rFonts w:hint="eastAsia" w:ascii="宋体" w:hAnsi="宋体" w:eastAsia="宋体"/>
          <w:strike/>
          <w:color w:val="auto"/>
          <w:szCs w:val="21"/>
          <w:highlight w:val="none"/>
        </w:rPr>
        <w:t>，应</w:t>
      </w:r>
      <w:r>
        <w:rPr>
          <w:rFonts w:hint="eastAsia" w:ascii="宋体" w:hAnsi="宋体" w:eastAsia="宋体"/>
          <w:strike/>
          <w:color w:val="auto"/>
          <w:spacing w:val="-3"/>
          <w:szCs w:val="21"/>
          <w:highlight w:val="none"/>
        </w:rPr>
        <w:t>相</w:t>
      </w:r>
      <w:r>
        <w:rPr>
          <w:rFonts w:hint="eastAsia" w:ascii="宋体" w:hAnsi="宋体" w:eastAsia="宋体"/>
          <w:strike/>
          <w:color w:val="auto"/>
          <w:szCs w:val="21"/>
          <w:highlight w:val="none"/>
        </w:rPr>
        <w:t>应延长其投标保</w:t>
      </w:r>
      <w:r>
        <w:rPr>
          <w:rFonts w:hint="eastAsia" w:ascii="宋体" w:hAnsi="宋体" w:eastAsia="宋体"/>
          <w:strike/>
          <w:color w:val="auto"/>
          <w:spacing w:val="-3"/>
          <w:szCs w:val="21"/>
          <w:highlight w:val="none"/>
        </w:rPr>
        <w:t>证</w:t>
      </w:r>
      <w:r>
        <w:rPr>
          <w:rFonts w:hint="eastAsia" w:ascii="宋体" w:hAnsi="宋体" w:eastAsia="宋体"/>
          <w:strike/>
          <w:color w:val="auto"/>
          <w:szCs w:val="21"/>
          <w:highlight w:val="none"/>
        </w:rPr>
        <w:t>金的</w:t>
      </w:r>
      <w:r>
        <w:rPr>
          <w:rFonts w:hint="eastAsia" w:ascii="宋体" w:hAnsi="宋体" w:eastAsia="宋体"/>
          <w:strike/>
          <w:color w:val="auto"/>
          <w:spacing w:val="-3"/>
          <w:szCs w:val="21"/>
          <w:highlight w:val="none"/>
        </w:rPr>
        <w:t>有</w:t>
      </w:r>
      <w:r>
        <w:rPr>
          <w:rFonts w:hint="eastAsia" w:ascii="宋体" w:hAnsi="宋体" w:eastAsia="宋体"/>
          <w:strike/>
          <w:color w:val="auto"/>
          <w:szCs w:val="21"/>
          <w:highlight w:val="none"/>
        </w:rPr>
        <w:t>效期</w:t>
      </w:r>
      <w:r>
        <w:rPr>
          <w:rFonts w:hint="eastAsia" w:ascii="宋体" w:hAnsi="宋体" w:eastAsia="宋体"/>
          <w:color w:val="auto"/>
          <w:szCs w:val="21"/>
          <w:highlight w:val="none"/>
        </w:rPr>
        <w:t>，但不得</w:t>
      </w:r>
      <w:r>
        <w:rPr>
          <w:rFonts w:hint="eastAsia" w:ascii="宋体" w:hAnsi="宋体" w:eastAsia="宋体"/>
          <w:color w:val="auto"/>
          <w:spacing w:val="-3"/>
          <w:szCs w:val="21"/>
          <w:highlight w:val="none"/>
        </w:rPr>
        <w:t>要</w:t>
      </w:r>
      <w:r>
        <w:rPr>
          <w:rFonts w:hint="eastAsia" w:ascii="宋体" w:hAnsi="宋体" w:eastAsia="宋体"/>
          <w:color w:val="auto"/>
          <w:szCs w:val="21"/>
          <w:highlight w:val="none"/>
        </w:rPr>
        <w:t>求或被允许修改其</w:t>
      </w:r>
      <w:r>
        <w:rPr>
          <w:rFonts w:hint="eastAsia" w:ascii="宋体" w:hAnsi="宋体" w:eastAsia="宋体"/>
          <w:color w:val="auto"/>
          <w:spacing w:val="-3"/>
          <w:szCs w:val="21"/>
          <w:highlight w:val="none"/>
        </w:rPr>
        <w:t>投</w:t>
      </w:r>
      <w:r>
        <w:rPr>
          <w:rFonts w:hint="eastAsia" w:ascii="宋体" w:hAnsi="宋体" w:eastAsia="宋体"/>
          <w:color w:val="auto"/>
          <w:szCs w:val="21"/>
          <w:highlight w:val="none"/>
        </w:rPr>
        <w:t>标文</w:t>
      </w:r>
      <w:r>
        <w:rPr>
          <w:rFonts w:hint="eastAsia" w:ascii="宋体" w:hAnsi="宋体" w:eastAsia="宋体"/>
          <w:color w:val="auto"/>
          <w:spacing w:val="-3"/>
          <w:szCs w:val="21"/>
          <w:highlight w:val="none"/>
        </w:rPr>
        <w:t>件</w:t>
      </w:r>
      <w:r>
        <w:rPr>
          <w:rFonts w:hint="eastAsia" w:ascii="宋体" w:hAnsi="宋体" w:eastAsia="宋体"/>
          <w:color w:val="auto"/>
          <w:szCs w:val="21"/>
          <w:highlight w:val="none"/>
        </w:rPr>
        <w:t>；投标人拒绝延</w:t>
      </w:r>
      <w:r>
        <w:rPr>
          <w:rFonts w:hint="eastAsia" w:ascii="宋体" w:hAnsi="宋体" w:eastAsia="宋体"/>
          <w:color w:val="auto"/>
          <w:spacing w:val="-3"/>
          <w:szCs w:val="21"/>
          <w:highlight w:val="none"/>
        </w:rPr>
        <w:t>长</w:t>
      </w:r>
      <w:r>
        <w:rPr>
          <w:rFonts w:hint="eastAsia" w:ascii="宋体" w:hAnsi="宋体" w:eastAsia="宋体"/>
          <w:color w:val="auto"/>
          <w:szCs w:val="21"/>
          <w:highlight w:val="none"/>
        </w:rPr>
        <w:t>的，</w:t>
      </w:r>
      <w:r>
        <w:rPr>
          <w:rFonts w:hint="eastAsia" w:ascii="宋体" w:hAnsi="宋体" w:eastAsia="宋体"/>
          <w:color w:val="auto"/>
          <w:spacing w:val="-3"/>
          <w:szCs w:val="21"/>
          <w:highlight w:val="none"/>
        </w:rPr>
        <w:t>其</w:t>
      </w:r>
      <w:r>
        <w:rPr>
          <w:rFonts w:hint="eastAsia" w:ascii="宋体" w:hAnsi="宋体" w:eastAsia="宋体"/>
          <w:color w:val="auto"/>
          <w:szCs w:val="21"/>
          <w:highlight w:val="none"/>
        </w:rPr>
        <w:t>投标失效</w:t>
      </w:r>
      <w:r>
        <w:rPr>
          <w:rFonts w:hint="eastAsia" w:ascii="宋体" w:hAnsi="宋体" w:eastAsia="宋体"/>
          <w:strike/>
          <w:color w:val="auto"/>
          <w:szCs w:val="21"/>
          <w:highlight w:val="none"/>
        </w:rPr>
        <w:t>，但投</w:t>
      </w:r>
      <w:r>
        <w:rPr>
          <w:rFonts w:hint="eastAsia" w:ascii="宋体" w:hAnsi="宋体" w:eastAsia="宋体"/>
          <w:strike/>
          <w:color w:val="auto"/>
          <w:spacing w:val="-2"/>
          <w:szCs w:val="21"/>
          <w:highlight w:val="none"/>
        </w:rPr>
        <w:t>标</w:t>
      </w:r>
      <w:r>
        <w:rPr>
          <w:rFonts w:hint="eastAsia" w:ascii="宋体" w:hAnsi="宋体" w:eastAsia="宋体"/>
          <w:strike/>
          <w:color w:val="auto"/>
          <w:szCs w:val="21"/>
          <w:highlight w:val="none"/>
        </w:rPr>
        <w:t>人有</w:t>
      </w:r>
      <w:r>
        <w:rPr>
          <w:rFonts w:hint="eastAsia" w:ascii="宋体" w:hAnsi="宋体" w:eastAsia="宋体"/>
          <w:strike/>
          <w:color w:val="auto"/>
          <w:spacing w:val="-3"/>
          <w:szCs w:val="21"/>
          <w:highlight w:val="none"/>
        </w:rPr>
        <w:t>权</w:t>
      </w:r>
      <w:r>
        <w:rPr>
          <w:rFonts w:hint="eastAsia" w:ascii="宋体" w:hAnsi="宋体" w:eastAsia="宋体"/>
          <w:strike/>
          <w:color w:val="auto"/>
          <w:szCs w:val="21"/>
          <w:highlight w:val="none"/>
        </w:rPr>
        <w:t>收回其投标保</w:t>
      </w:r>
      <w:r>
        <w:rPr>
          <w:rFonts w:hint="eastAsia" w:ascii="宋体" w:hAnsi="宋体" w:eastAsia="宋体"/>
          <w:strike/>
          <w:color w:val="auto"/>
          <w:spacing w:val="-3"/>
          <w:szCs w:val="21"/>
          <w:highlight w:val="none"/>
        </w:rPr>
        <w:t>证</w:t>
      </w:r>
      <w:r>
        <w:rPr>
          <w:rFonts w:hint="eastAsia" w:ascii="宋体" w:hAnsi="宋体" w:eastAsia="宋体"/>
          <w:strike/>
          <w:color w:val="auto"/>
          <w:szCs w:val="21"/>
          <w:highlight w:val="none"/>
        </w:rPr>
        <w:t>金及以</w:t>
      </w:r>
      <w:r>
        <w:rPr>
          <w:rFonts w:hint="eastAsia" w:ascii="宋体" w:hAnsi="宋体" w:eastAsia="宋体"/>
          <w:strike/>
          <w:color w:val="auto"/>
          <w:spacing w:val="-3"/>
          <w:szCs w:val="21"/>
          <w:highlight w:val="none"/>
        </w:rPr>
        <w:t>现</w:t>
      </w:r>
      <w:r>
        <w:rPr>
          <w:rFonts w:hint="eastAsia" w:ascii="宋体" w:hAnsi="宋体" w:eastAsia="宋体"/>
          <w:strike/>
          <w:color w:val="auto"/>
          <w:szCs w:val="21"/>
          <w:highlight w:val="none"/>
        </w:rPr>
        <w:t>金</w:t>
      </w:r>
      <w:r>
        <w:rPr>
          <w:rFonts w:hint="eastAsia" w:ascii="宋体" w:hAnsi="宋体" w:eastAsia="宋体"/>
          <w:strike/>
          <w:color w:val="auto"/>
          <w:spacing w:val="-3"/>
          <w:szCs w:val="21"/>
          <w:highlight w:val="none"/>
        </w:rPr>
        <w:t>或</w:t>
      </w:r>
      <w:r>
        <w:rPr>
          <w:rFonts w:hint="eastAsia" w:ascii="宋体" w:hAnsi="宋体" w:eastAsia="宋体"/>
          <w:strike/>
          <w:color w:val="auto"/>
          <w:szCs w:val="21"/>
          <w:highlight w:val="none"/>
        </w:rPr>
        <w:t>者</w:t>
      </w:r>
      <w:r>
        <w:rPr>
          <w:rFonts w:hint="eastAsia" w:ascii="宋体" w:hAnsi="宋体" w:eastAsia="宋体"/>
          <w:strike/>
          <w:color w:val="auto"/>
          <w:spacing w:val="-3"/>
          <w:szCs w:val="21"/>
          <w:highlight w:val="none"/>
        </w:rPr>
        <w:t>支</w:t>
      </w:r>
      <w:r>
        <w:rPr>
          <w:rFonts w:hint="eastAsia" w:ascii="宋体" w:hAnsi="宋体" w:eastAsia="宋体"/>
          <w:strike/>
          <w:color w:val="auto"/>
          <w:szCs w:val="21"/>
          <w:highlight w:val="none"/>
        </w:rPr>
        <w:t>票</w:t>
      </w:r>
      <w:r>
        <w:rPr>
          <w:rFonts w:hint="eastAsia" w:ascii="宋体" w:hAnsi="宋体" w:eastAsia="宋体"/>
          <w:strike/>
          <w:color w:val="auto"/>
          <w:spacing w:val="-3"/>
          <w:szCs w:val="21"/>
          <w:highlight w:val="none"/>
        </w:rPr>
        <w:t>形</w:t>
      </w:r>
      <w:r>
        <w:rPr>
          <w:rFonts w:hint="eastAsia" w:ascii="宋体" w:hAnsi="宋体" w:eastAsia="宋体"/>
          <w:strike/>
          <w:color w:val="auto"/>
          <w:szCs w:val="21"/>
          <w:highlight w:val="none"/>
        </w:rPr>
        <w:t>式</w:t>
      </w:r>
      <w:r>
        <w:rPr>
          <w:rFonts w:hint="eastAsia" w:ascii="宋体" w:hAnsi="宋体" w:eastAsia="宋体"/>
          <w:strike/>
          <w:color w:val="auto"/>
          <w:spacing w:val="-3"/>
          <w:szCs w:val="21"/>
          <w:highlight w:val="none"/>
        </w:rPr>
        <w:t>递</w:t>
      </w:r>
      <w:r>
        <w:rPr>
          <w:rFonts w:hint="eastAsia" w:ascii="宋体" w:hAnsi="宋体" w:eastAsia="宋体"/>
          <w:strike/>
          <w:color w:val="auto"/>
          <w:szCs w:val="21"/>
          <w:highlight w:val="none"/>
        </w:rPr>
        <w:t>交的</w:t>
      </w:r>
      <w:r>
        <w:rPr>
          <w:rFonts w:hint="eastAsia" w:ascii="宋体" w:hAnsi="宋体" w:eastAsia="宋体"/>
          <w:strike/>
          <w:color w:val="auto"/>
          <w:spacing w:val="-3"/>
          <w:szCs w:val="21"/>
          <w:highlight w:val="none"/>
        </w:rPr>
        <w:t>投</w:t>
      </w:r>
      <w:r>
        <w:rPr>
          <w:rFonts w:hint="eastAsia" w:ascii="宋体" w:hAnsi="宋体" w:eastAsia="宋体"/>
          <w:strike/>
          <w:color w:val="auto"/>
          <w:szCs w:val="21"/>
          <w:highlight w:val="none"/>
        </w:rPr>
        <w:t>标</w:t>
      </w:r>
      <w:r>
        <w:rPr>
          <w:rFonts w:hint="eastAsia" w:ascii="宋体" w:hAnsi="宋体" w:eastAsia="宋体"/>
          <w:strike/>
          <w:color w:val="auto"/>
          <w:spacing w:val="-3"/>
          <w:szCs w:val="21"/>
          <w:highlight w:val="none"/>
        </w:rPr>
        <w:t>保</w:t>
      </w:r>
      <w:r>
        <w:rPr>
          <w:rFonts w:hint="eastAsia" w:ascii="宋体" w:hAnsi="宋体" w:eastAsia="宋体"/>
          <w:strike/>
          <w:color w:val="auto"/>
          <w:szCs w:val="21"/>
          <w:highlight w:val="none"/>
        </w:rPr>
        <w:t>证</w:t>
      </w:r>
      <w:r>
        <w:rPr>
          <w:rFonts w:hint="eastAsia" w:ascii="宋体" w:hAnsi="宋体" w:eastAsia="宋体"/>
          <w:strike/>
          <w:color w:val="auto"/>
          <w:spacing w:val="-3"/>
          <w:szCs w:val="21"/>
          <w:highlight w:val="none"/>
        </w:rPr>
        <w:t>金</w:t>
      </w:r>
      <w:r>
        <w:rPr>
          <w:rFonts w:hint="eastAsia" w:ascii="宋体" w:hAnsi="宋体" w:eastAsia="宋体"/>
          <w:strike/>
          <w:color w:val="auto"/>
          <w:szCs w:val="21"/>
          <w:highlight w:val="none"/>
        </w:rPr>
        <w:t>的</w:t>
      </w:r>
      <w:r>
        <w:rPr>
          <w:rFonts w:hint="eastAsia" w:ascii="宋体" w:hAnsi="宋体" w:eastAsia="宋体"/>
          <w:strike/>
          <w:color w:val="auto"/>
          <w:spacing w:val="-3"/>
          <w:szCs w:val="21"/>
          <w:highlight w:val="none"/>
        </w:rPr>
        <w:t>银</w:t>
      </w:r>
      <w:r>
        <w:rPr>
          <w:rFonts w:hint="eastAsia" w:ascii="宋体" w:hAnsi="宋体" w:eastAsia="宋体"/>
          <w:strike/>
          <w:color w:val="auto"/>
          <w:szCs w:val="21"/>
          <w:highlight w:val="none"/>
        </w:rPr>
        <w:t>行</w:t>
      </w:r>
      <w:r>
        <w:rPr>
          <w:rFonts w:hint="eastAsia" w:ascii="宋体" w:hAnsi="宋体" w:eastAsia="宋体"/>
          <w:strike/>
          <w:color w:val="auto"/>
          <w:spacing w:val="-3"/>
          <w:szCs w:val="21"/>
          <w:highlight w:val="none"/>
        </w:rPr>
        <w:t>同</w:t>
      </w:r>
      <w:r>
        <w:rPr>
          <w:rFonts w:hint="eastAsia" w:ascii="宋体" w:hAnsi="宋体" w:eastAsia="宋体"/>
          <w:strike/>
          <w:color w:val="auto"/>
          <w:szCs w:val="21"/>
          <w:highlight w:val="none"/>
        </w:rPr>
        <w:t>期存</w:t>
      </w:r>
      <w:r>
        <w:rPr>
          <w:rFonts w:hint="eastAsia" w:ascii="宋体" w:hAnsi="宋体" w:eastAsia="宋体"/>
          <w:strike/>
          <w:color w:val="auto"/>
          <w:spacing w:val="-3"/>
          <w:szCs w:val="21"/>
          <w:highlight w:val="none"/>
        </w:rPr>
        <w:t>款</w:t>
      </w:r>
      <w:r>
        <w:rPr>
          <w:rFonts w:hint="eastAsia" w:ascii="宋体" w:hAnsi="宋体" w:eastAsia="宋体"/>
          <w:strike/>
          <w:color w:val="auto"/>
          <w:szCs w:val="21"/>
          <w:highlight w:val="none"/>
        </w:rPr>
        <w:t>利</w:t>
      </w:r>
      <w:r>
        <w:rPr>
          <w:rFonts w:hint="eastAsia" w:ascii="宋体" w:hAnsi="宋体" w:eastAsia="宋体"/>
          <w:strike/>
          <w:color w:val="auto"/>
          <w:spacing w:val="-3"/>
          <w:szCs w:val="21"/>
          <w:highlight w:val="none"/>
        </w:rPr>
        <w:t>息</w:t>
      </w:r>
      <w:r>
        <w:rPr>
          <w:rFonts w:hint="eastAsia" w:ascii="宋体" w:hAnsi="宋体" w:eastAsia="宋体"/>
          <w:color w:val="auto"/>
          <w:szCs w:val="21"/>
          <w:highlight w:val="none"/>
        </w:rPr>
        <w:t>。</w:t>
      </w:r>
    </w:p>
    <w:p w14:paraId="325F78FA">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条款号：3.4             修改类型：修改</w:t>
      </w:r>
    </w:p>
    <w:p w14:paraId="13B0EA29">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原文：3.4 投标保证金</w:t>
      </w:r>
    </w:p>
    <w:p w14:paraId="0513EA7C">
      <w:pPr>
        <w:pBdr>
          <w:bottom w:val="single" w:color="auto" w:sz="6" w:space="1"/>
        </w:pBd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 xml:space="preserve">现文：3.4 </w:t>
      </w:r>
      <w:r>
        <w:rPr>
          <w:rFonts w:hint="eastAsia" w:ascii="宋体" w:hAnsi="宋体" w:eastAsia="宋体" w:cs="宋体"/>
          <w:b/>
          <w:bCs/>
          <w:color w:val="auto"/>
          <w:szCs w:val="21"/>
          <w:highlight w:val="none"/>
          <w:u w:val="single"/>
        </w:rPr>
        <w:t>本项目不要求投标人递交投标保证金。</w:t>
      </w:r>
    </w:p>
    <w:p w14:paraId="68174460">
      <w:pPr>
        <w:spacing w:line="360" w:lineRule="auto"/>
        <w:ind w:firstLine="420" w:firstLineChars="200"/>
        <w:rPr>
          <w:rFonts w:ascii="宋体" w:hAnsi="宋体" w:eastAsia="宋体"/>
          <w:bCs/>
          <w:color w:val="auto"/>
          <w:szCs w:val="21"/>
          <w:highlight w:val="none"/>
        </w:rPr>
      </w:pPr>
      <w:r>
        <w:rPr>
          <w:rFonts w:hint="eastAsia" w:ascii="宋体" w:hAnsi="宋体" w:eastAsia="宋体"/>
          <w:bCs/>
          <w:color w:val="auto"/>
          <w:szCs w:val="21"/>
          <w:highlight w:val="none"/>
        </w:rPr>
        <w:t>条款号：3.5.1至3.5.4         修改类型：修改</w:t>
      </w:r>
    </w:p>
    <w:p w14:paraId="5FA712F4">
      <w:pPr>
        <w:spacing w:line="360" w:lineRule="auto"/>
        <w:ind w:firstLine="420" w:firstLineChars="200"/>
        <w:rPr>
          <w:rFonts w:ascii="宋体" w:hAnsi="宋体" w:eastAsia="宋体"/>
          <w:color w:val="auto"/>
          <w:szCs w:val="21"/>
          <w:highlight w:val="none"/>
        </w:rPr>
      </w:pPr>
      <w:r>
        <w:rPr>
          <w:rFonts w:hint="eastAsia" w:ascii="宋体" w:hAnsi="宋体" w:eastAsia="宋体"/>
          <w:bCs/>
          <w:color w:val="auto"/>
          <w:szCs w:val="21"/>
          <w:highlight w:val="none"/>
        </w:rPr>
        <w:t>原文：</w:t>
      </w:r>
      <w:r>
        <w:rPr>
          <w:rFonts w:hint="eastAsia" w:ascii="宋体" w:hAnsi="宋体" w:eastAsia="宋体"/>
          <w:color w:val="auto"/>
          <w:szCs w:val="21"/>
          <w:highlight w:val="none"/>
        </w:rPr>
        <w:t>3.5.1 “投标人基本情况表”应附投标人营业执照和组织机构代码证的扫描件（按照“三证合一”或“五证合一”登记制度进行登记的，可仅提供营业执照扫描件）、投标人勘察设计资质证书副本等材料的扫描件。</w:t>
      </w:r>
    </w:p>
    <w:p w14:paraId="278F130D">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3.5.2 “近年完成的类似勘察设计项目情况表”应附中标通知书和（或）合同协议书、委托人出具的证明文件；具体时间要求见投标人须知前附表，每张表格只填写一个项目，并标明序号。</w:t>
      </w:r>
    </w:p>
    <w:p w14:paraId="36DAAF97">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3.5.3 “拟委任的主要人员汇总表”应填报满足本章第1.4.1项规定的项目负责人和其他主要人员的相关信息。“主要人员简历表”中项目负责人应附身份证、学历证、职称证、执业资格证书和社保缴费证明扫描件，管理过的项目业绩须附合同协议书（如有）扫描件；其他主要人员应附身份证、学历证、职称证、有关证书和社保缴费证明扫描件（如有）。（注：以上人员社保要求：具有离投标截止时间最近的至少1个月在本单位缴纳的社保证明文件，由招标人自行确定。）</w:t>
      </w:r>
    </w:p>
    <w:p w14:paraId="7E8F13D6">
      <w:pPr>
        <w:spacing w:line="360" w:lineRule="auto"/>
        <w:ind w:firstLine="420" w:firstLineChars="200"/>
        <w:rPr>
          <w:rFonts w:ascii="宋体" w:hAnsi="宋体" w:eastAsia="宋体"/>
          <w:b/>
          <w:bCs/>
          <w:color w:val="auto"/>
          <w:szCs w:val="21"/>
          <w:highlight w:val="none"/>
          <w:u w:val="single"/>
        </w:rPr>
      </w:pPr>
      <w:r>
        <w:rPr>
          <w:rFonts w:hint="eastAsia" w:ascii="宋体" w:hAnsi="宋体" w:eastAsia="宋体"/>
          <w:color w:val="auto"/>
          <w:szCs w:val="21"/>
          <w:highlight w:val="none"/>
        </w:rPr>
        <w:t>3.5.4 投标人须知前附表规定接受联合体投标的，本章第3.5.1项至第3.5.3项规定的表格和资料应包括联合体各方相关情况。</w:t>
      </w:r>
    </w:p>
    <w:p w14:paraId="51F8ECBB">
      <w:pPr>
        <w:pBdr>
          <w:bottom w:val="single" w:color="auto" w:sz="6" w:space="1"/>
        </w:pBdr>
        <w:spacing w:line="360" w:lineRule="auto"/>
        <w:ind w:firstLine="420" w:firstLineChars="200"/>
        <w:rPr>
          <w:rFonts w:ascii="宋体" w:hAnsi="宋体" w:eastAsia="宋体"/>
          <w:b/>
          <w:bCs/>
          <w:color w:val="auto"/>
          <w:szCs w:val="21"/>
          <w:highlight w:val="none"/>
          <w:u w:val="single"/>
        </w:rPr>
      </w:pPr>
      <w:r>
        <w:rPr>
          <w:rFonts w:hint="eastAsia" w:ascii="宋体" w:hAnsi="宋体" w:eastAsia="宋体"/>
          <w:bCs/>
          <w:color w:val="auto"/>
          <w:szCs w:val="21"/>
          <w:highlight w:val="none"/>
        </w:rPr>
        <w:t>现文：</w:t>
      </w:r>
      <w:r>
        <w:rPr>
          <w:rFonts w:hint="eastAsia" w:ascii="宋体" w:hAnsi="宋体" w:eastAsia="宋体"/>
          <w:color w:val="auto"/>
          <w:szCs w:val="21"/>
          <w:highlight w:val="none"/>
        </w:rPr>
        <w:t xml:space="preserve">3.5.1 </w:t>
      </w:r>
      <w:r>
        <w:rPr>
          <w:rFonts w:hint="eastAsia" w:ascii="宋体" w:hAnsi="宋体" w:eastAsia="宋体"/>
          <w:b/>
          <w:bCs/>
          <w:color w:val="auto"/>
          <w:szCs w:val="21"/>
          <w:highlight w:val="none"/>
          <w:u w:val="single"/>
        </w:rPr>
        <w:t>资格审查资料详见第六章“投标文件格式”。</w:t>
      </w:r>
    </w:p>
    <w:p w14:paraId="559EA2AA">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条款号：3.7.3        修改类型：修改</w:t>
      </w:r>
    </w:p>
    <w:p w14:paraId="41D340B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原文：3.7.3 投标文件全部采用电子文档，投标文件所附证书证件均为原件扫描件或电子证书，并采用单位数字证书，按招标文件要求在相应位置加盖电子印章。投标文件中需个人签字或盖章的，应加盖个人电子印章或在线下完成后扫描上传（可靠的电子签名与手写签名或者盖章具有同等的法律效力）。按照</w:t>
      </w:r>
      <w:r>
        <w:rPr>
          <w:rFonts w:hint="eastAsia" w:ascii="宋体" w:hAnsi="宋体" w:eastAsia="宋体" w:cs="宋体"/>
          <w:color w:val="auto"/>
          <w:szCs w:val="21"/>
          <w:highlight w:val="none"/>
          <w:u w:val="single"/>
        </w:rPr>
        <w:t>广州交易集团有限公司（广州公共资源交易中心）</w:t>
      </w:r>
      <w:r>
        <w:rPr>
          <w:rFonts w:hint="eastAsia" w:ascii="宋体" w:hAnsi="宋体" w:eastAsia="宋体" w:cs="宋体"/>
          <w:color w:val="auto"/>
          <w:szCs w:val="21"/>
          <w:highlight w:val="none"/>
        </w:rPr>
        <w:t>网站关于全流程电子化项目的相关指南进行操作。</w:t>
      </w:r>
    </w:p>
    <w:p w14:paraId="60661746">
      <w:pPr>
        <w:pBdr>
          <w:bottom w:val="single" w:color="auto" w:sz="6" w:space="1"/>
        </w:pBd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现文：3.7.3 投标文件全部采用电子文档，</w:t>
      </w:r>
      <w:r>
        <w:rPr>
          <w:rFonts w:hint="eastAsia" w:ascii="宋体" w:hAnsi="宋体" w:eastAsia="宋体" w:cs="宋体"/>
          <w:b/>
          <w:bCs/>
          <w:color w:val="auto"/>
          <w:szCs w:val="21"/>
          <w:highlight w:val="none"/>
          <w:u w:val="single"/>
        </w:rPr>
        <w:t>除招标文件另有规定外，</w:t>
      </w:r>
      <w:r>
        <w:rPr>
          <w:rFonts w:hint="eastAsia" w:ascii="宋体" w:hAnsi="宋体" w:eastAsia="宋体" w:cs="宋体"/>
          <w:color w:val="auto"/>
          <w:szCs w:val="21"/>
          <w:highlight w:val="none"/>
        </w:rPr>
        <w:t>投标文件所附证书证件均为原件扫描件或电子证书，并采用单位数字证书，按招标文件要求在相应位置加盖电子印章</w:t>
      </w:r>
      <w:r>
        <w:rPr>
          <w:rFonts w:hint="eastAsia" w:ascii="宋体" w:hAnsi="宋体" w:eastAsia="宋体" w:cs="宋体"/>
          <w:b/>
          <w:bCs/>
          <w:color w:val="auto"/>
          <w:szCs w:val="21"/>
          <w:highlight w:val="none"/>
          <w:u w:val="single"/>
        </w:rPr>
        <w:t>（技术文件除外）</w:t>
      </w:r>
      <w:r>
        <w:rPr>
          <w:rFonts w:hint="eastAsia" w:ascii="宋体" w:hAnsi="宋体" w:eastAsia="宋体" w:cs="宋体"/>
          <w:color w:val="auto"/>
          <w:szCs w:val="21"/>
          <w:highlight w:val="none"/>
        </w:rPr>
        <w:t>。投标文件中需个人签字或盖章的，应加盖个人电子印章或在线下完成后扫描上传（可靠的电子签名与手写签名或者盖章具有同等的法律效力）。</w:t>
      </w:r>
      <w:r>
        <w:rPr>
          <w:rFonts w:hint="eastAsia" w:ascii="宋体" w:hAnsi="宋体" w:eastAsia="宋体" w:cs="宋体"/>
          <w:b/>
          <w:bCs/>
          <w:color w:val="auto"/>
          <w:szCs w:val="21"/>
          <w:highlight w:val="none"/>
          <w:u w:val="single"/>
        </w:rPr>
        <w:t>投标文件格式规定盖单位公章的页面必须盖单位公章或电子公章（公章与电子公章具有相同法律效力）。</w:t>
      </w:r>
      <w:r>
        <w:rPr>
          <w:rFonts w:hint="eastAsia" w:ascii="宋体" w:hAnsi="宋体" w:eastAsia="宋体" w:cs="宋体"/>
          <w:color w:val="auto"/>
          <w:szCs w:val="21"/>
          <w:highlight w:val="none"/>
        </w:rPr>
        <w:t>按照</w:t>
      </w:r>
      <w:r>
        <w:rPr>
          <w:rFonts w:hint="eastAsia" w:ascii="宋体" w:hAnsi="宋体" w:eastAsia="宋体" w:cs="宋体"/>
          <w:color w:val="auto"/>
          <w:szCs w:val="21"/>
          <w:highlight w:val="none"/>
          <w:u w:val="single"/>
        </w:rPr>
        <w:t>广州交易集团有限公司（广州公共资源交易中心）</w:t>
      </w:r>
      <w:r>
        <w:rPr>
          <w:rFonts w:hint="eastAsia" w:ascii="宋体" w:hAnsi="宋体" w:eastAsia="宋体" w:cs="宋体"/>
          <w:color w:val="auto"/>
          <w:szCs w:val="21"/>
          <w:highlight w:val="none"/>
        </w:rPr>
        <w:t>网站关于全流程电子化项目的相关指南进行操作。</w:t>
      </w:r>
    </w:p>
    <w:p w14:paraId="4797C91F">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条款号：3.7.4             修改类型：修改</w:t>
      </w:r>
    </w:p>
    <w:p w14:paraId="250B8B4C">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原文：3.7.4 联合体投标时，投标人封面及其他内容落款中的“投标人”应填写联合体各方的单位全称【格式为：（主）XXXX公司（成）XXXX公司】。除联合体共同投标协议需联合体各方按要求共同盖章签字，其余可由联合体主办方签字、盖章即可，由联合体主办方法人签字的电子投标文件需提供主办方法定代表人身份证明，若由联合体主办方法定代表人授权签字的电子投标文件需提供法定代表人身份证明及其授权委托书、授权委托人身份证扫描件。</w:t>
      </w:r>
    </w:p>
    <w:p w14:paraId="46EB9EB4">
      <w:pPr>
        <w:pBdr>
          <w:bottom w:val="single" w:color="auto" w:sz="6" w:space="1"/>
        </w:pBd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现文：3.7.4 联合体投标时，投标人封面及其他内容落款中的“投标人”</w:t>
      </w:r>
      <w:r>
        <w:rPr>
          <w:rFonts w:hint="eastAsia" w:ascii="宋体" w:hAnsi="宋体" w:eastAsia="宋体"/>
          <w:b/>
          <w:bCs/>
          <w:color w:val="auto"/>
          <w:szCs w:val="21"/>
          <w:highlight w:val="none"/>
          <w:u w:val="single"/>
        </w:rPr>
        <w:t>“承诺企业”“声明企业”</w:t>
      </w:r>
      <w:r>
        <w:rPr>
          <w:rFonts w:hint="eastAsia" w:ascii="宋体" w:hAnsi="宋体" w:eastAsia="宋体"/>
          <w:color w:val="auto"/>
          <w:szCs w:val="21"/>
          <w:highlight w:val="none"/>
        </w:rPr>
        <w:t>应填写联合体各方的单位全称【格式为：（主）XXXX公司（成）XXXX公司】</w:t>
      </w:r>
      <w:r>
        <w:rPr>
          <w:rFonts w:hint="eastAsia" w:ascii="宋体" w:hAnsi="宋体" w:eastAsia="宋体"/>
          <w:b/>
          <w:bCs/>
          <w:color w:val="auto"/>
          <w:szCs w:val="21"/>
          <w:highlight w:val="none"/>
          <w:u w:val="single"/>
        </w:rPr>
        <w:t>（系统生成的单位名称除外）</w:t>
      </w:r>
      <w:r>
        <w:rPr>
          <w:rFonts w:hint="eastAsia" w:ascii="宋体" w:hAnsi="宋体" w:eastAsia="宋体"/>
          <w:color w:val="auto"/>
          <w:szCs w:val="21"/>
          <w:highlight w:val="none"/>
        </w:rPr>
        <w:t>。除</w:t>
      </w:r>
      <w:r>
        <w:rPr>
          <w:rFonts w:hint="eastAsia" w:ascii="宋体" w:hAnsi="宋体" w:eastAsia="宋体"/>
          <w:b/>
          <w:bCs/>
          <w:color w:val="auto"/>
          <w:szCs w:val="21"/>
          <w:highlight w:val="none"/>
          <w:u w:val="single"/>
        </w:rPr>
        <w:t>《联合体协议书》</w:t>
      </w:r>
      <w:r>
        <w:rPr>
          <w:rFonts w:hint="eastAsia" w:ascii="宋体" w:hAnsi="宋体" w:eastAsia="宋体"/>
          <w:color w:val="auto"/>
          <w:szCs w:val="21"/>
          <w:highlight w:val="none"/>
        </w:rPr>
        <w:t>需联合体各方按要求共同盖章</w:t>
      </w:r>
      <w:r>
        <w:rPr>
          <w:rFonts w:hint="eastAsia" w:ascii="宋体" w:hAnsi="宋体" w:eastAsia="宋体"/>
          <w:b/>
          <w:bCs/>
          <w:color w:val="auto"/>
          <w:szCs w:val="21"/>
          <w:highlight w:val="none"/>
          <w:u w:val="single"/>
        </w:rPr>
        <w:t>、</w:t>
      </w:r>
      <w:r>
        <w:rPr>
          <w:rFonts w:hint="eastAsia" w:ascii="宋体" w:hAnsi="宋体" w:eastAsia="宋体"/>
          <w:color w:val="auto"/>
          <w:szCs w:val="21"/>
          <w:highlight w:val="none"/>
        </w:rPr>
        <w:t>签字</w:t>
      </w:r>
      <w:r>
        <w:rPr>
          <w:rFonts w:hint="eastAsia" w:ascii="宋体" w:hAnsi="宋体" w:eastAsia="宋体"/>
          <w:b/>
          <w:bCs/>
          <w:color w:val="auto"/>
          <w:szCs w:val="21"/>
          <w:highlight w:val="none"/>
          <w:u w:val="single"/>
        </w:rPr>
        <w:t>外</w:t>
      </w:r>
      <w:r>
        <w:rPr>
          <w:rFonts w:hint="eastAsia" w:ascii="宋体" w:hAnsi="宋体" w:eastAsia="宋体"/>
          <w:color w:val="auto"/>
          <w:szCs w:val="21"/>
          <w:highlight w:val="none"/>
        </w:rPr>
        <w:t>，其余</w:t>
      </w:r>
      <w:r>
        <w:rPr>
          <w:rFonts w:hint="eastAsia" w:ascii="宋体" w:hAnsi="宋体" w:eastAsia="宋体"/>
          <w:b/>
          <w:bCs/>
          <w:color w:val="auto"/>
          <w:szCs w:val="21"/>
          <w:highlight w:val="none"/>
          <w:u w:val="single"/>
        </w:rPr>
        <w:t>资料没有明确哪一方盖章的，若需要签字或盖章的均</w:t>
      </w:r>
      <w:r>
        <w:rPr>
          <w:rFonts w:hint="eastAsia" w:ascii="宋体" w:hAnsi="宋体" w:eastAsia="宋体"/>
          <w:color w:val="auto"/>
          <w:szCs w:val="21"/>
          <w:highlight w:val="none"/>
        </w:rPr>
        <w:t>可由联合体主办方签字</w:t>
      </w:r>
      <w:r>
        <w:rPr>
          <w:rFonts w:hint="eastAsia" w:ascii="宋体" w:hAnsi="宋体" w:eastAsia="宋体"/>
          <w:b/>
          <w:bCs/>
          <w:color w:val="auto"/>
          <w:szCs w:val="21"/>
          <w:highlight w:val="none"/>
          <w:u w:val="single"/>
        </w:rPr>
        <w:t>或</w:t>
      </w:r>
      <w:r>
        <w:rPr>
          <w:rFonts w:hint="eastAsia" w:ascii="宋体" w:hAnsi="宋体" w:eastAsia="宋体"/>
          <w:color w:val="auto"/>
          <w:szCs w:val="21"/>
          <w:highlight w:val="none"/>
        </w:rPr>
        <w:t>盖章即可</w:t>
      </w:r>
      <w:r>
        <w:rPr>
          <w:rFonts w:hint="eastAsia" w:ascii="宋体" w:hAnsi="宋体" w:eastAsia="宋体"/>
          <w:b/>
          <w:bCs/>
          <w:color w:val="auto"/>
          <w:szCs w:val="21"/>
          <w:highlight w:val="none"/>
          <w:u w:val="single"/>
        </w:rPr>
        <w:t>。</w:t>
      </w:r>
      <w:r>
        <w:rPr>
          <w:rFonts w:hint="eastAsia" w:ascii="宋体" w:hAnsi="宋体" w:eastAsia="宋体"/>
          <w:color w:val="auto"/>
          <w:szCs w:val="21"/>
          <w:highlight w:val="none"/>
        </w:rPr>
        <w:t>由联合体主办方法人签字</w:t>
      </w:r>
      <w:r>
        <w:rPr>
          <w:rFonts w:hint="eastAsia" w:ascii="宋体" w:hAnsi="宋体" w:eastAsia="宋体"/>
          <w:b/>
          <w:bCs/>
          <w:color w:val="auto"/>
          <w:szCs w:val="21"/>
          <w:highlight w:val="none"/>
          <w:u w:val="single"/>
        </w:rPr>
        <w:t>（或盖章）</w:t>
      </w:r>
      <w:r>
        <w:rPr>
          <w:rFonts w:hint="eastAsia" w:ascii="宋体" w:hAnsi="宋体" w:eastAsia="宋体"/>
          <w:color w:val="auto"/>
          <w:szCs w:val="21"/>
          <w:highlight w:val="none"/>
        </w:rPr>
        <w:t>的电子投标文件需提供主办方法定代表人身份证明，若由联合体主办方法定代表人授权签字</w:t>
      </w:r>
      <w:r>
        <w:rPr>
          <w:rFonts w:hint="eastAsia" w:ascii="宋体" w:hAnsi="宋体" w:eastAsia="宋体"/>
          <w:b/>
          <w:bCs/>
          <w:color w:val="auto"/>
          <w:szCs w:val="21"/>
          <w:highlight w:val="none"/>
          <w:u w:val="single"/>
        </w:rPr>
        <w:t>（或盖章）</w:t>
      </w:r>
      <w:r>
        <w:rPr>
          <w:rFonts w:hint="eastAsia" w:ascii="宋体" w:hAnsi="宋体" w:eastAsia="宋体"/>
          <w:color w:val="auto"/>
          <w:szCs w:val="21"/>
          <w:highlight w:val="none"/>
        </w:rPr>
        <w:t>的电子投标文件需提供法定代表人身份证明及其授权委托书、授权委托人身份证扫描件。</w:t>
      </w:r>
      <w:r>
        <w:rPr>
          <w:rFonts w:hint="eastAsia" w:ascii="宋体" w:hAnsi="宋体" w:eastAsia="宋体"/>
          <w:b/>
          <w:bCs/>
          <w:color w:val="auto"/>
          <w:szCs w:val="21"/>
          <w:highlight w:val="none"/>
          <w:u w:val="single"/>
        </w:rPr>
        <w:t>（技术文件的编制不在此要求内）</w:t>
      </w:r>
    </w:p>
    <w:p w14:paraId="58342CCA">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条款号：3.7.6             修改类型：增加</w:t>
      </w:r>
    </w:p>
    <w:p w14:paraId="64A73392">
      <w:pPr>
        <w:pBdr>
          <w:bottom w:val="single" w:color="auto" w:sz="6" w:space="1"/>
        </w:pBd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现文：</w:t>
      </w:r>
      <w:r>
        <w:rPr>
          <w:rFonts w:hint="eastAsia" w:ascii="宋体" w:hAnsi="宋体" w:eastAsia="宋体" w:cs="宋体"/>
          <w:b/>
          <w:bCs/>
          <w:color w:val="auto"/>
          <w:szCs w:val="21"/>
          <w:highlight w:val="none"/>
          <w:u w:val="single"/>
        </w:rPr>
        <w:t>3.7.6 投标文件的具体编制规定详见第六章的“勘察设计投标文件编制要求”。</w:t>
      </w:r>
    </w:p>
    <w:p w14:paraId="7D726158">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条款号：4.3.1             修改类型：修改</w:t>
      </w:r>
    </w:p>
    <w:p w14:paraId="280D7018">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原文：4.3.1 在规定的投标截止时间前，投标人可以修改或撤回已递交的投标文件，但应以书面形式通知招标人。</w:t>
      </w:r>
    </w:p>
    <w:p w14:paraId="26921DC4">
      <w:pPr>
        <w:pBdr>
          <w:bottom w:val="single" w:color="auto" w:sz="6" w:space="1"/>
        </w:pBd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现文：4.3.1 在规定的投标截止时间前，投标人可以修改或撤回已递交的投标文件</w:t>
      </w:r>
      <w:r>
        <w:rPr>
          <w:rFonts w:hint="eastAsia" w:ascii="宋体" w:hAnsi="宋体" w:eastAsia="宋体"/>
          <w:strike/>
          <w:color w:val="auto"/>
          <w:szCs w:val="21"/>
          <w:highlight w:val="none"/>
        </w:rPr>
        <w:t>，但应以书面形式通知招标人</w:t>
      </w:r>
      <w:r>
        <w:rPr>
          <w:rFonts w:hint="eastAsia" w:ascii="宋体" w:hAnsi="宋体" w:eastAsia="宋体"/>
          <w:color w:val="auto"/>
          <w:szCs w:val="21"/>
          <w:highlight w:val="none"/>
        </w:rPr>
        <w:t>。</w:t>
      </w:r>
    </w:p>
    <w:p w14:paraId="4E8CA1E6">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条款号：4.3.5             修改类型：删除</w:t>
      </w:r>
    </w:p>
    <w:p w14:paraId="042BC927">
      <w:pPr>
        <w:pBdr>
          <w:bottom w:val="single" w:color="auto" w:sz="6" w:space="1"/>
        </w:pBd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原文：4.3.5 投标人撤回投标文件的，招标人自收到投标人书面撤回通知之日起5日内退还已收取的投标保证金。</w:t>
      </w:r>
    </w:p>
    <w:p w14:paraId="1ED0936B">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条款号：5.2.1              修改类型：修改</w:t>
      </w:r>
    </w:p>
    <w:p w14:paraId="42B436D4">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原文：5.2.1 在投标截止时间后一小时内，投标人通过递交投标文件的交易平台对已递交的电子投标文件进行解密。投标人完成解密后，再由招标人进行解密。解密完成后，公布招标项目名称、投标人名称、投标保证金的递交情况、投标报价、项目负责人及其他内容。未在规定时间内解密的投标文件不参与开标、评标。</w:t>
      </w:r>
    </w:p>
    <w:p w14:paraId="16A83D62">
      <w:pPr>
        <w:pBdr>
          <w:bottom w:val="single" w:color="auto" w:sz="6" w:space="1"/>
        </w:pBd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现文：5.2.1 在投标截止时间后一小时内，投标人通过递交投标文件的交易平台对已递交的电子投标文件进行解密。投标人完成解密后，再由招标人进行解密。解密完成后，公布招标项目名称、投标人名称、</w:t>
      </w:r>
      <w:r>
        <w:rPr>
          <w:rFonts w:hint="eastAsia" w:ascii="宋体" w:hAnsi="宋体" w:eastAsia="宋体"/>
          <w:strike/>
          <w:color w:val="auto"/>
          <w:szCs w:val="21"/>
          <w:highlight w:val="none"/>
        </w:rPr>
        <w:t>投标保证金的递交情况、</w:t>
      </w:r>
      <w:r>
        <w:rPr>
          <w:rFonts w:hint="eastAsia" w:ascii="宋体" w:hAnsi="宋体" w:eastAsia="宋体"/>
          <w:color w:val="auto"/>
          <w:szCs w:val="21"/>
          <w:highlight w:val="none"/>
        </w:rPr>
        <w:t>投标报价、项目负责人及其他内容。未在规定时间内解密的投标文件不参与开标、评标。</w:t>
      </w:r>
    </w:p>
    <w:p w14:paraId="4F478E5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条款号：5.2.2             修改类型：修改</w:t>
      </w:r>
    </w:p>
    <w:p w14:paraId="072BE91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原文：5.2.2 按开标记录表规定的内容进行唱标。</w:t>
      </w:r>
    </w:p>
    <w:p w14:paraId="3A98B54C">
      <w:pPr>
        <w:pBdr>
          <w:bottom w:val="single" w:color="auto" w:sz="6" w:space="1"/>
        </w:pBd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现文：5.2.2 按开标记录表规定的内容进行唱标。</w:t>
      </w:r>
      <w:r>
        <w:rPr>
          <w:rFonts w:hint="eastAsia" w:ascii="宋体" w:hAnsi="宋体" w:eastAsia="宋体"/>
          <w:b/>
          <w:color w:val="auto"/>
          <w:szCs w:val="21"/>
          <w:highlight w:val="none"/>
          <w:u w:val="single"/>
        </w:rPr>
        <w:t>技术文件</w:t>
      </w:r>
      <w:r>
        <w:rPr>
          <w:rFonts w:hint="eastAsia" w:ascii="宋体" w:hAnsi="宋体" w:eastAsia="宋体" w:cs="宋体"/>
          <w:b/>
          <w:bCs/>
          <w:color w:val="auto"/>
          <w:szCs w:val="21"/>
          <w:highlight w:val="none"/>
          <w:u w:val="single"/>
        </w:rPr>
        <w:t>开标时不得开启，在评标时由交易平台随机编号后开启，交由评标委员会进行评审。编号所对应的投标人在技术文件评审结束前不得告知评标委员会、交易平台工作人员、招标人或招标代理机构。</w:t>
      </w:r>
    </w:p>
    <w:p w14:paraId="0F6FFE1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条款号：5.3.4             修改类型：增加</w:t>
      </w:r>
    </w:p>
    <w:p w14:paraId="5672F418">
      <w:pPr>
        <w:pBdr>
          <w:bottom w:val="single" w:color="auto" w:sz="6" w:space="1"/>
        </w:pBd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现文：</w:t>
      </w:r>
      <w:r>
        <w:rPr>
          <w:rFonts w:hint="eastAsia" w:ascii="宋体" w:hAnsi="宋体" w:eastAsia="宋体" w:cs="宋体"/>
          <w:b/>
          <w:bCs/>
          <w:color w:val="auto"/>
          <w:szCs w:val="21"/>
          <w:highlight w:val="none"/>
          <w:u w:val="single"/>
        </w:rPr>
        <w:t>5.3.4 详见广州交易集团有限公司（广州公共资源交易中心）官网最新发布的最新版操作指引。</w:t>
      </w:r>
    </w:p>
    <w:p w14:paraId="130B2AB7">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条款号：6.1.1             修改类型：修改</w:t>
      </w:r>
    </w:p>
    <w:p w14:paraId="2E727AD5">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原文：6.1.1 评</w:t>
      </w:r>
      <w:r>
        <w:rPr>
          <w:rFonts w:hint="eastAsia" w:ascii="宋体" w:hAnsi="宋体" w:eastAsia="宋体"/>
          <w:color w:val="auto"/>
          <w:spacing w:val="-3"/>
          <w:szCs w:val="21"/>
          <w:highlight w:val="none"/>
        </w:rPr>
        <w:t>标</w:t>
      </w:r>
      <w:r>
        <w:rPr>
          <w:rFonts w:hint="eastAsia" w:ascii="宋体" w:hAnsi="宋体" w:eastAsia="宋体"/>
          <w:color w:val="auto"/>
          <w:szCs w:val="21"/>
          <w:highlight w:val="none"/>
        </w:rPr>
        <w:t>由</w:t>
      </w:r>
      <w:r>
        <w:rPr>
          <w:rFonts w:hint="eastAsia" w:ascii="宋体" w:hAnsi="宋体" w:eastAsia="宋体"/>
          <w:color w:val="auto"/>
          <w:spacing w:val="-3"/>
          <w:szCs w:val="21"/>
          <w:highlight w:val="none"/>
        </w:rPr>
        <w:t>招</w:t>
      </w:r>
      <w:r>
        <w:rPr>
          <w:rFonts w:hint="eastAsia" w:ascii="宋体" w:hAnsi="宋体" w:eastAsia="宋体"/>
          <w:color w:val="auto"/>
          <w:szCs w:val="21"/>
          <w:highlight w:val="none"/>
        </w:rPr>
        <w:t>标</w:t>
      </w:r>
      <w:r>
        <w:rPr>
          <w:rFonts w:hint="eastAsia" w:ascii="宋体" w:hAnsi="宋体" w:eastAsia="宋体"/>
          <w:color w:val="auto"/>
          <w:spacing w:val="-3"/>
          <w:szCs w:val="21"/>
          <w:highlight w:val="none"/>
        </w:rPr>
        <w:t>人</w:t>
      </w:r>
      <w:r>
        <w:rPr>
          <w:rFonts w:hint="eastAsia" w:ascii="宋体" w:hAnsi="宋体" w:eastAsia="宋体"/>
          <w:color w:val="auto"/>
          <w:szCs w:val="21"/>
          <w:highlight w:val="none"/>
        </w:rPr>
        <w:t>依</w:t>
      </w:r>
      <w:r>
        <w:rPr>
          <w:rFonts w:hint="eastAsia" w:ascii="宋体" w:hAnsi="宋体" w:eastAsia="宋体"/>
          <w:color w:val="auto"/>
          <w:spacing w:val="-3"/>
          <w:szCs w:val="21"/>
          <w:highlight w:val="none"/>
        </w:rPr>
        <w:t>法组</w:t>
      </w:r>
      <w:r>
        <w:rPr>
          <w:rFonts w:hint="eastAsia" w:ascii="宋体" w:hAnsi="宋体" w:eastAsia="宋体"/>
          <w:color w:val="auto"/>
          <w:szCs w:val="21"/>
          <w:highlight w:val="none"/>
        </w:rPr>
        <w:t>建的</w:t>
      </w:r>
      <w:r>
        <w:rPr>
          <w:rFonts w:hint="eastAsia" w:ascii="宋体" w:hAnsi="宋体" w:eastAsia="宋体"/>
          <w:color w:val="auto"/>
          <w:spacing w:val="-3"/>
          <w:szCs w:val="21"/>
          <w:highlight w:val="none"/>
        </w:rPr>
        <w:t>评</w:t>
      </w:r>
      <w:r>
        <w:rPr>
          <w:rFonts w:hint="eastAsia" w:ascii="宋体" w:hAnsi="宋体" w:eastAsia="宋体"/>
          <w:color w:val="auto"/>
          <w:szCs w:val="21"/>
          <w:highlight w:val="none"/>
        </w:rPr>
        <w:t>标</w:t>
      </w:r>
      <w:r>
        <w:rPr>
          <w:rFonts w:hint="eastAsia" w:ascii="宋体" w:hAnsi="宋体" w:eastAsia="宋体"/>
          <w:color w:val="auto"/>
          <w:spacing w:val="-3"/>
          <w:szCs w:val="21"/>
          <w:highlight w:val="none"/>
        </w:rPr>
        <w:t>委</w:t>
      </w:r>
      <w:r>
        <w:rPr>
          <w:rFonts w:hint="eastAsia" w:ascii="宋体" w:hAnsi="宋体" w:eastAsia="宋体"/>
          <w:color w:val="auto"/>
          <w:szCs w:val="21"/>
          <w:highlight w:val="none"/>
        </w:rPr>
        <w:t>员</w:t>
      </w:r>
      <w:r>
        <w:rPr>
          <w:rFonts w:hint="eastAsia" w:ascii="宋体" w:hAnsi="宋体" w:eastAsia="宋体"/>
          <w:color w:val="auto"/>
          <w:spacing w:val="-3"/>
          <w:szCs w:val="21"/>
          <w:highlight w:val="none"/>
        </w:rPr>
        <w:t>会</w:t>
      </w:r>
      <w:r>
        <w:rPr>
          <w:rFonts w:hint="eastAsia" w:ascii="宋体" w:hAnsi="宋体" w:eastAsia="宋体"/>
          <w:color w:val="auto"/>
          <w:szCs w:val="21"/>
          <w:highlight w:val="none"/>
        </w:rPr>
        <w:t>负</w:t>
      </w:r>
      <w:r>
        <w:rPr>
          <w:rFonts w:hint="eastAsia" w:ascii="宋体" w:hAnsi="宋体" w:eastAsia="宋体"/>
          <w:color w:val="auto"/>
          <w:spacing w:val="-3"/>
          <w:szCs w:val="21"/>
          <w:highlight w:val="none"/>
        </w:rPr>
        <w:t>责</w:t>
      </w:r>
      <w:r>
        <w:rPr>
          <w:rFonts w:hint="eastAsia" w:ascii="宋体" w:hAnsi="宋体" w:eastAsia="宋体"/>
          <w:color w:val="auto"/>
          <w:spacing w:val="-77"/>
          <w:szCs w:val="21"/>
          <w:highlight w:val="none"/>
        </w:rPr>
        <w:t>。</w:t>
      </w:r>
      <w:r>
        <w:rPr>
          <w:rFonts w:hint="eastAsia" w:ascii="宋体" w:hAnsi="宋体" w:eastAsia="宋体" w:cs="宋体"/>
          <w:color w:val="auto"/>
          <w:szCs w:val="21"/>
          <w:highlight w:val="none"/>
        </w:rPr>
        <w:t>评标委员会由有关技术、经济等方面的专家和招标人代表组成，专家从</w:t>
      </w:r>
      <w:r>
        <w:rPr>
          <w:rFonts w:hint="eastAsia" w:ascii="宋体" w:hAnsi="宋体" w:eastAsia="宋体" w:cs="宋体"/>
          <w:color w:val="auto"/>
          <w:szCs w:val="21"/>
          <w:highlight w:val="none"/>
          <w:u w:val="single"/>
        </w:rPr>
        <w:t>广东省综合评标评审专家库</w:t>
      </w:r>
      <w:r>
        <w:rPr>
          <w:rFonts w:hint="eastAsia" w:ascii="宋体" w:hAnsi="宋体" w:eastAsia="宋体" w:cs="宋体"/>
          <w:color w:val="auto"/>
          <w:szCs w:val="21"/>
          <w:highlight w:val="none"/>
        </w:rPr>
        <w:t>中抽取或按远程异地评标专家抽取相关规定组建</w:t>
      </w:r>
      <w:r>
        <w:rPr>
          <w:rFonts w:hint="eastAsia" w:ascii="宋体" w:hAnsi="宋体" w:eastAsia="宋体"/>
          <w:color w:val="auto"/>
          <w:spacing w:val="-3"/>
          <w:szCs w:val="21"/>
          <w:highlight w:val="none"/>
        </w:rPr>
        <w:t>。</w:t>
      </w:r>
      <w:r>
        <w:rPr>
          <w:rFonts w:hint="eastAsia" w:ascii="宋体" w:hAnsi="宋体" w:eastAsia="宋体"/>
          <w:color w:val="auto"/>
          <w:szCs w:val="21"/>
          <w:highlight w:val="none"/>
        </w:rPr>
        <w:t>评标</w:t>
      </w:r>
      <w:r>
        <w:rPr>
          <w:rFonts w:hint="eastAsia" w:ascii="宋体" w:hAnsi="宋体" w:eastAsia="宋体"/>
          <w:color w:val="auto"/>
          <w:spacing w:val="-3"/>
          <w:szCs w:val="21"/>
          <w:highlight w:val="none"/>
        </w:rPr>
        <w:t>委</w:t>
      </w:r>
      <w:r>
        <w:rPr>
          <w:rFonts w:hint="eastAsia" w:ascii="宋体" w:hAnsi="宋体" w:eastAsia="宋体"/>
          <w:color w:val="auto"/>
          <w:szCs w:val="21"/>
          <w:highlight w:val="none"/>
        </w:rPr>
        <w:t>员会成员人数</w:t>
      </w:r>
      <w:r>
        <w:rPr>
          <w:rFonts w:hint="eastAsia" w:ascii="宋体" w:hAnsi="宋体" w:eastAsia="宋体"/>
          <w:color w:val="auto"/>
          <w:spacing w:val="-3"/>
          <w:szCs w:val="21"/>
          <w:highlight w:val="none"/>
        </w:rPr>
        <w:t>以</w:t>
      </w:r>
      <w:r>
        <w:rPr>
          <w:rFonts w:hint="eastAsia" w:ascii="宋体" w:hAnsi="宋体" w:eastAsia="宋体"/>
          <w:color w:val="auto"/>
          <w:szCs w:val="21"/>
          <w:highlight w:val="none"/>
        </w:rPr>
        <w:t>及技术</w:t>
      </w:r>
      <w:r>
        <w:rPr>
          <w:rFonts w:hint="eastAsia" w:ascii="宋体" w:hAnsi="宋体" w:eastAsia="宋体"/>
          <w:color w:val="auto"/>
          <w:spacing w:val="-3"/>
          <w:szCs w:val="21"/>
          <w:highlight w:val="none"/>
        </w:rPr>
        <w:t>、</w:t>
      </w:r>
      <w:r>
        <w:rPr>
          <w:rFonts w:hint="eastAsia" w:ascii="宋体" w:hAnsi="宋体" w:eastAsia="宋体"/>
          <w:color w:val="auto"/>
          <w:szCs w:val="21"/>
          <w:highlight w:val="none"/>
        </w:rPr>
        <w:t>经</w:t>
      </w:r>
      <w:r>
        <w:rPr>
          <w:rFonts w:hint="eastAsia" w:ascii="宋体" w:hAnsi="宋体" w:eastAsia="宋体"/>
          <w:color w:val="auto"/>
          <w:spacing w:val="-3"/>
          <w:szCs w:val="21"/>
          <w:highlight w:val="none"/>
        </w:rPr>
        <w:t>济</w:t>
      </w:r>
      <w:r>
        <w:rPr>
          <w:rFonts w:hint="eastAsia" w:ascii="宋体" w:hAnsi="宋体" w:eastAsia="宋体"/>
          <w:color w:val="auto"/>
          <w:szCs w:val="21"/>
          <w:highlight w:val="none"/>
        </w:rPr>
        <w:t>等</w:t>
      </w:r>
      <w:r>
        <w:rPr>
          <w:rFonts w:hint="eastAsia" w:ascii="宋体" w:hAnsi="宋体" w:eastAsia="宋体"/>
          <w:color w:val="auto"/>
          <w:spacing w:val="-3"/>
          <w:szCs w:val="21"/>
          <w:highlight w:val="none"/>
        </w:rPr>
        <w:t>方</w:t>
      </w:r>
      <w:r>
        <w:rPr>
          <w:rFonts w:hint="eastAsia" w:ascii="宋体" w:hAnsi="宋体" w:eastAsia="宋体"/>
          <w:color w:val="auto"/>
          <w:szCs w:val="21"/>
          <w:highlight w:val="none"/>
        </w:rPr>
        <w:t>面</w:t>
      </w:r>
      <w:r>
        <w:rPr>
          <w:rFonts w:hint="eastAsia" w:ascii="宋体" w:hAnsi="宋体" w:eastAsia="宋体"/>
          <w:color w:val="auto"/>
          <w:spacing w:val="-3"/>
          <w:szCs w:val="21"/>
          <w:highlight w:val="none"/>
        </w:rPr>
        <w:t>专</w:t>
      </w:r>
      <w:r>
        <w:rPr>
          <w:rFonts w:hint="eastAsia" w:ascii="宋体" w:hAnsi="宋体" w:eastAsia="宋体"/>
          <w:color w:val="auto"/>
          <w:szCs w:val="21"/>
          <w:highlight w:val="none"/>
        </w:rPr>
        <w:t>家</w:t>
      </w:r>
      <w:r>
        <w:rPr>
          <w:rFonts w:hint="eastAsia" w:ascii="宋体" w:hAnsi="宋体" w:eastAsia="宋体"/>
          <w:color w:val="auto"/>
          <w:spacing w:val="-3"/>
          <w:szCs w:val="21"/>
          <w:highlight w:val="none"/>
        </w:rPr>
        <w:t>的</w:t>
      </w:r>
      <w:r>
        <w:rPr>
          <w:rFonts w:hint="eastAsia" w:ascii="宋体" w:hAnsi="宋体" w:eastAsia="宋体"/>
          <w:color w:val="auto"/>
          <w:szCs w:val="21"/>
          <w:highlight w:val="none"/>
        </w:rPr>
        <w:t>确定</w:t>
      </w:r>
      <w:r>
        <w:rPr>
          <w:rFonts w:hint="eastAsia" w:ascii="宋体" w:hAnsi="宋体" w:eastAsia="宋体"/>
          <w:color w:val="auto"/>
          <w:spacing w:val="-3"/>
          <w:szCs w:val="21"/>
          <w:highlight w:val="none"/>
        </w:rPr>
        <w:t>方</w:t>
      </w:r>
      <w:r>
        <w:rPr>
          <w:rFonts w:hint="eastAsia" w:ascii="宋体" w:hAnsi="宋体" w:eastAsia="宋体"/>
          <w:color w:val="auto"/>
          <w:szCs w:val="21"/>
          <w:highlight w:val="none"/>
        </w:rPr>
        <w:t>式</w:t>
      </w:r>
      <w:r>
        <w:rPr>
          <w:rFonts w:hint="eastAsia" w:ascii="宋体" w:hAnsi="宋体" w:eastAsia="宋体"/>
          <w:color w:val="auto"/>
          <w:spacing w:val="-3"/>
          <w:szCs w:val="21"/>
          <w:highlight w:val="none"/>
        </w:rPr>
        <w:t>见</w:t>
      </w:r>
      <w:r>
        <w:rPr>
          <w:rFonts w:hint="eastAsia" w:ascii="宋体" w:hAnsi="宋体" w:eastAsia="宋体"/>
          <w:color w:val="auto"/>
          <w:szCs w:val="21"/>
          <w:highlight w:val="none"/>
        </w:rPr>
        <w:t>投</w:t>
      </w:r>
      <w:r>
        <w:rPr>
          <w:rFonts w:hint="eastAsia" w:ascii="宋体" w:hAnsi="宋体" w:eastAsia="宋体"/>
          <w:color w:val="auto"/>
          <w:spacing w:val="-3"/>
          <w:szCs w:val="21"/>
          <w:highlight w:val="none"/>
        </w:rPr>
        <w:t>标</w:t>
      </w:r>
      <w:r>
        <w:rPr>
          <w:rFonts w:hint="eastAsia" w:ascii="宋体" w:hAnsi="宋体" w:eastAsia="宋体"/>
          <w:color w:val="auto"/>
          <w:szCs w:val="21"/>
          <w:highlight w:val="none"/>
        </w:rPr>
        <w:t>人</w:t>
      </w:r>
      <w:r>
        <w:rPr>
          <w:rFonts w:hint="eastAsia" w:ascii="宋体" w:hAnsi="宋体" w:eastAsia="宋体"/>
          <w:color w:val="auto"/>
          <w:spacing w:val="-3"/>
          <w:szCs w:val="21"/>
          <w:highlight w:val="none"/>
        </w:rPr>
        <w:t>须</w:t>
      </w:r>
      <w:r>
        <w:rPr>
          <w:rFonts w:hint="eastAsia" w:ascii="宋体" w:hAnsi="宋体" w:eastAsia="宋体"/>
          <w:color w:val="auto"/>
          <w:szCs w:val="21"/>
          <w:highlight w:val="none"/>
        </w:rPr>
        <w:t>知</w:t>
      </w:r>
      <w:r>
        <w:rPr>
          <w:rFonts w:hint="eastAsia" w:ascii="宋体" w:hAnsi="宋体" w:eastAsia="宋体"/>
          <w:color w:val="auto"/>
          <w:spacing w:val="-3"/>
          <w:szCs w:val="21"/>
          <w:highlight w:val="none"/>
        </w:rPr>
        <w:t>前</w:t>
      </w:r>
      <w:r>
        <w:rPr>
          <w:rFonts w:hint="eastAsia" w:ascii="宋体" w:hAnsi="宋体" w:eastAsia="宋体"/>
          <w:color w:val="auto"/>
          <w:szCs w:val="21"/>
          <w:highlight w:val="none"/>
        </w:rPr>
        <w:t>附表。</w:t>
      </w:r>
    </w:p>
    <w:p w14:paraId="78DF1ABD">
      <w:pPr>
        <w:pBdr>
          <w:bottom w:val="single" w:color="auto" w:sz="6" w:space="1"/>
        </w:pBd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现文：6.1.1 评</w:t>
      </w:r>
      <w:r>
        <w:rPr>
          <w:rFonts w:hint="eastAsia" w:ascii="宋体" w:hAnsi="宋体" w:eastAsia="宋体"/>
          <w:color w:val="auto"/>
          <w:spacing w:val="-3"/>
          <w:szCs w:val="21"/>
          <w:highlight w:val="none"/>
        </w:rPr>
        <w:t>标</w:t>
      </w:r>
      <w:r>
        <w:rPr>
          <w:rFonts w:hint="eastAsia" w:ascii="宋体" w:hAnsi="宋体" w:eastAsia="宋体"/>
          <w:color w:val="auto"/>
          <w:szCs w:val="21"/>
          <w:highlight w:val="none"/>
        </w:rPr>
        <w:t>由</w:t>
      </w:r>
      <w:r>
        <w:rPr>
          <w:rFonts w:hint="eastAsia" w:ascii="宋体" w:hAnsi="宋体" w:eastAsia="宋体"/>
          <w:color w:val="auto"/>
          <w:spacing w:val="-3"/>
          <w:szCs w:val="21"/>
          <w:highlight w:val="none"/>
        </w:rPr>
        <w:t>招</w:t>
      </w:r>
      <w:r>
        <w:rPr>
          <w:rFonts w:hint="eastAsia" w:ascii="宋体" w:hAnsi="宋体" w:eastAsia="宋体"/>
          <w:color w:val="auto"/>
          <w:szCs w:val="21"/>
          <w:highlight w:val="none"/>
        </w:rPr>
        <w:t>标</w:t>
      </w:r>
      <w:r>
        <w:rPr>
          <w:rFonts w:hint="eastAsia" w:ascii="宋体" w:hAnsi="宋体" w:eastAsia="宋体"/>
          <w:color w:val="auto"/>
          <w:spacing w:val="-3"/>
          <w:szCs w:val="21"/>
          <w:highlight w:val="none"/>
        </w:rPr>
        <w:t>人</w:t>
      </w:r>
      <w:r>
        <w:rPr>
          <w:rFonts w:hint="eastAsia" w:ascii="宋体" w:hAnsi="宋体" w:eastAsia="宋体"/>
          <w:color w:val="auto"/>
          <w:szCs w:val="21"/>
          <w:highlight w:val="none"/>
        </w:rPr>
        <w:t>依</w:t>
      </w:r>
      <w:r>
        <w:rPr>
          <w:rFonts w:hint="eastAsia" w:ascii="宋体" w:hAnsi="宋体" w:eastAsia="宋体"/>
          <w:color w:val="auto"/>
          <w:spacing w:val="-3"/>
          <w:szCs w:val="21"/>
          <w:highlight w:val="none"/>
        </w:rPr>
        <w:t>法组</w:t>
      </w:r>
      <w:r>
        <w:rPr>
          <w:rFonts w:hint="eastAsia" w:ascii="宋体" w:hAnsi="宋体" w:eastAsia="宋体"/>
          <w:color w:val="auto"/>
          <w:szCs w:val="21"/>
          <w:highlight w:val="none"/>
        </w:rPr>
        <w:t>建的</w:t>
      </w:r>
      <w:r>
        <w:rPr>
          <w:rFonts w:hint="eastAsia" w:ascii="宋体" w:hAnsi="宋体" w:eastAsia="宋体"/>
          <w:color w:val="auto"/>
          <w:spacing w:val="-3"/>
          <w:szCs w:val="21"/>
          <w:highlight w:val="none"/>
        </w:rPr>
        <w:t>评</w:t>
      </w:r>
      <w:r>
        <w:rPr>
          <w:rFonts w:hint="eastAsia" w:ascii="宋体" w:hAnsi="宋体" w:eastAsia="宋体"/>
          <w:color w:val="auto"/>
          <w:szCs w:val="21"/>
          <w:highlight w:val="none"/>
        </w:rPr>
        <w:t>标</w:t>
      </w:r>
      <w:r>
        <w:rPr>
          <w:rFonts w:hint="eastAsia" w:ascii="宋体" w:hAnsi="宋体" w:eastAsia="宋体"/>
          <w:color w:val="auto"/>
          <w:spacing w:val="-3"/>
          <w:szCs w:val="21"/>
          <w:highlight w:val="none"/>
        </w:rPr>
        <w:t>委</w:t>
      </w:r>
      <w:r>
        <w:rPr>
          <w:rFonts w:hint="eastAsia" w:ascii="宋体" w:hAnsi="宋体" w:eastAsia="宋体"/>
          <w:color w:val="auto"/>
          <w:szCs w:val="21"/>
          <w:highlight w:val="none"/>
        </w:rPr>
        <w:t>员</w:t>
      </w:r>
      <w:r>
        <w:rPr>
          <w:rFonts w:hint="eastAsia" w:ascii="宋体" w:hAnsi="宋体" w:eastAsia="宋体"/>
          <w:color w:val="auto"/>
          <w:spacing w:val="-3"/>
          <w:szCs w:val="21"/>
          <w:highlight w:val="none"/>
        </w:rPr>
        <w:t>会</w:t>
      </w:r>
      <w:r>
        <w:rPr>
          <w:rFonts w:hint="eastAsia" w:ascii="宋体" w:hAnsi="宋体" w:eastAsia="宋体"/>
          <w:color w:val="auto"/>
          <w:szCs w:val="21"/>
          <w:highlight w:val="none"/>
        </w:rPr>
        <w:t>负</w:t>
      </w:r>
      <w:r>
        <w:rPr>
          <w:rFonts w:hint="eastAsia" w:ascii="宋体" w:hAnsi="宋体" w:eastAsia="宋体"/>
          <w:color w:val="auto"/>
          <w:spacing w:val="-3"/>
          <w:szCs w:val="21"/>
          <w:highlight w:val="none"/>
        </w:rPr>
        <w:t>责</w:t>
      </w:r>
      <w:r>
        <w:rPr>
          <w:rFonts w:hint="eastAsia" w:ascii="宋体" w:hAnsi="宋体" w:eastAsia="宋体"/>
          <w:color w:val="auto"/>
          <w:spacing w:val="-77"/>
          <w:szCs w:val="21"/>
          <w:highlight w:val="none"/>
        </w:rPr>
        <w:t>。</w:t>
      </w:r>
      <w:r>
        <w:rPr>
          <w:rFonts w:hint="eastAsia" w:ascii="宋体" w:hAnsi="宋体" w:eastAsia="宋体" w:cs="宋体"/>
          <w:color w:val="auto"/>
          <w:szCs w:val="21"/>
          <w:highlight w:val="none"/>
        </w:rPr>
        <w:t>评标委员会由有关技术、经济等方面的专家</w:t>
      </w:r>
      <w:r>
        <w:rPr>
          <w:rFonts w:hint="eastAsia" w:ascii="宋体" w:hAnsi="宋体" w:eastAsia="宋体" w:cs="宋体"/>
          <w:strike/>
          <w:color w:val="auto"/>
          <w:szCs w:val="21"/>
          <w:highlight w:val="none"/>
        </w:rPr>
        <w:t>和招标人代表</w:t>
      </w:r>
      <w:r>
        <w:rPr>
          <w:rFonts w:hint="eastAsia" w:ascii="宋体" w:hAnsi="宋体" w:eastAsia="宋体" w:cs="宋体"/>
          <w:color w:val="auto"/>
          <w:szCs w:val="21"/>
          <w:highlight w:val="none"/>
        </w:rPr>
        <w:t>组成，专家从</w:t>
      </w:r>
      <w:r>
        <w:rPr>
          <w:rFonts w:hint="eastAsia" w:ascii="宋体" w:hAnsi="宋体" w:eastAsia="宋体" w:cs="宋体"/>
          <w:color w:val="auto"/>
          <w:szCs w:val="21"/>
          <w:highlight w:val="none"/>
          <w:u w:val="single"/>
        </w:rPr>
        <w:t>广东省综合评标评审专家库</w:t>
      </w:r>
      <w:r>
        <w:rPr>
          <w:rFonts w:hint="eastAsia" w:ascii="宋体" w:hAnsi="宋体" w:eastAsia="宋体" w:cs="宋体"/>
          <w:color w:val="auto"/>
          <w:szCs w:val="21"/>
          <w:highlight w:val="none"/>
        </w:rPr>
        <w:t>中抽取</w:t>
      </w:r>
      <w:r>
        <w:rPr>
          <w:rFonts w:hint="eastAsia" w:ascii="宋体" w:hAnsi="宋体" w:eastAsia="宋体" w:cs="宋体"/>
          <w:strike/>
          <w:color w:val="auto"/>
          <w:szCs w:val="21"/>
          <w:highlight w:val="none"/>
        </w:rPr>
        <w:t>或按远程异地评标专家抽取相关规定组建</w:t>
      </w:r>
      <w:r>
        <w:rPr>
          <w:rFonts w:hint="eastAsia" w:ascii="宋体" w:hAnsi="宋体" w:eastAsia="宋体"/>
          <w:color w:val="auto"/>
          <w:spacing w:val="-3"/>
          <w:szCs w:val="21"/>
          <w:highlight w:val="none"/>
        </w:rPr>
        <w:t>。</w:t>
      </w:r>
      <w:r>
        <w:rPr>
          <w:rFonts w:hint="eastAsia" w:ascii="宋体" w:hAnsi="宋体" w:eastAsia="宋体"/>
          <w:color w:val="auto"/>
          <w:szCs w:val="21"/>
          <w:highlight w:val="none"/>
        </w:rPr>
        <w:t>评标</w:t>
      </w:r>
      <w:r>
        <w:rPr>
          <w:rFonts w:hint="eastAsia" w:ascii="宋体" w:hAnsi="宋体" w:eastAsia="宋体"/>
          <w:color w:val="auto"/>
          <w:spacing w:val="-3"/>
          <w:szCs w:val="21"/>
          <w:highlight w:val="none"/>
        </w:rPr>
        <w:t>委</w:t>
      </w:r>
      <w:r>
        <w:rPr>
          <w:rFonts w:hint="eastAsia" w:ascii="宋体" w:hAnsi="宋体" w:eastAsia="宋体"/>
          <w:color w:val="auto"/>
          <w:szCs w:val="21"/>
          <w:highlight w:val="none"/>
        </w:rPr>
        <w:t>员会成员人数</w:t>
      </w:r>
      <w:r>
        <w:rPr>
          <w:rFonts w:hint="eastAsia" w:ascii="宋体" w:hAnsi="宋体" w:eastAsia="宋体"/>
          <w:color w:val="auto"/>
          <w:spacing w:val="-3"/>
          <w:szCs w:val="21"/>
          <w:highlight w:val="none"/>
        </w:rPr>
        <w:t>以</w:t>
      </w:r>
      <w:r>
        <w:rPr>
          <w:rFonts w:hint="eastAsia" w:ascii="宋体" w:hAnsi="宋体" w:eastAsia="宋体"/>
          <w:color w:val="auto"/>
          <w:szCs w:val="21"/>
          <w:highlight w:val="none"/>
        </w:rPr>
        <w:t>及技术</w:t>
      </w:r>
      <w:r>
        <w:rPr>
          <w:rFonts w:hint="eastAsia" w:ascii="宋体" w:hAnsi="宋体" w:eastAsia="宋体"/>
          <w:color w:val="auto"/>
          <w:spacing w:val="-3"/>
          <w:szCs w:val="21"/>
          <w:highlight w:val="none"/>
        </w:rPr>
        <w:t>、</w:t>
      </w:r>
      <w:r>
        <w:rPr>
          <w:rFonts w:hint="eastAsia" w:ascii="宋体" w:hAnsi="宋体" w:eastAsia="宋体"/>
          <w:color w:val="auto"/>
          <w:szCs w:val="21"/>
          <w:highlight w:val="none"/>
        </w:rPr>
        <w:t>经</w:t>
      </w:r>
      <w:r>
        <w:rPr>
          <w:rFonts w:hint="eastAsia" w:ascii="宋体" w:hAnsi="宋体" w:eastAsia="宋体"/>
          <w:color w:val="auto"/>
          <w:spacing w:val="-3"/>
          <w:szCs w:val="21"/>
          <w:highlight w:val="none"/>
        </w:rPr>
        <w:t>济</w:t>
      </w:r>
      <w:r>
        <w:rPr>
          <w:rFonts w:hint="eastAsia" w:ascii="宋体" w:hAnsi="宋体" w:eastAsia="宋体"/>
          <w:color w:val="auto"/>
          <w:szCs w:val="21"/>
          <w:highlight w:val="none"/>
        </w:rPr>
        <w:t>等</w:t>
      </w:r>
      <w:r>
        <w:rPr>
          <w:rFonts w:hint="eastAsia" w:ascii="宋体" w:hAnsi="宋体" w:eastAsia="宋体"/>
          <w:color w:val="auto"/>
          <w:spacing w:val="-3"/>
          <w:szCs w:val="21"/>
          <w:highlight w:val="none"/>
        </w:rPr>
        <w:t>方</w:t>
      </w:r>
      <w:r>
        <w:rPr>
          <w:rFonts w:hint="eastAsia" w:ascii="宋体" w:hAnsi="宋体" w:eastAsia="宋体"/>
          <w:color w:val="auto"/>
          <w:szCs w:val="21"/>
          <w:highlight w:val="none"/>
        </w:rPr>
        <w:t>面</w:t>
      </w:r>
      <w:r>
        <w:rPr>
          <w:rFonts w:hint="eastAsia" w:ascii="宋体" w:hAnsi="宋体" w:eastAsia="宋体"/>
          <w:color w:val="auto"/>
          <w:spacing w:val="-3"/>
          <w:szCs w:val="21"/>
          <w:highlight w:val="none"/>
        </w:rPr>
        <w:t>专</w:t>
      </w:r>
      <w:r>
        <w:rPr>
          <w:rFonts w:hint="eastAsia" w:ascii="宋体" w:hAnsi="宋体" w:eastAsia="宋体"/>
          <w:color w:val="auto"/>
          <w:szCs w:val="21"/>
          <w:highlight w:val="none"/>
        </w:rPr>
        <w:t>家</w:t>
      </w:r>
      <w:r>
        <w:rPr>
          <w:rFonts w:hint="eastAsia" w:ascii="宋体" w:hAnsi="宋体" w:eastAsia="宋体"/>
          <w:color w:val="auto"/>
          <w:spacing w:val="-3"/>
          <w:szCs w:val="21"/>
          <w:highlight w:val="none"/>
        </w:rPr>
        <w:t>的</w:t>
      </w:r>
      <w:r>
        <w:rPr>
          <w:rFonts w:hint="eastAsia" w:ascii="宋体" w:hAnsi="宋体" w:eastAsia="宋体"/>
          <w:color w:val="auto"/>
          <w:szCs w:val="21"/>
          <w:highlight w:val="none"/>
        </w:rPr>
        <w:t>确定</w:t>
      </w:r>
      <w:r>
        <w:rPr>
          <w:rFonts w:hint="eastAsia" w:ascii="宋体" w:hAnsi="宋体" w:eastAsia="宋体"/>
          <w:color w:val="auto"/>
          <w:spacing w:val="-3"/>
          <w:szCs w:val="21"/>
          <w:highlight w:val="none"/>
        </w:rPr>
        <w:t>方</w:t>
      </w:r>
      <w:r>
        <w:rPr>
          <w:rFonts w:hint="eastAsia" w:ascii="宋体" w:hAnsi="宋体" w:eastAsia="宋体"/>
          <w:color w:val="auto"/>
          <w:szCs w:val="21"/>
          <w:highlight w:val="none"/>
        </w:rPr>
        <w:t>式</w:t>
      </w:r>
      <w:r>
        <w:rPr>
          <w:rFonts w:hint="eastAsia" w:ascii="宋体" w:hAnsi="宋体" w:eastAsia="宋体"/>
          <w:color w:val="auto"/>
          <w:spacing w:val="-3"/>
          <w:szCs w:val="21"/>
          <w:highlight w:val="none"/>
        </w:rPr>
        <w:t>见</w:t>
      </w:r>
      <w:r>
        <w:rPr>
          <w:rFonts w:hint="eastAsia" w:ascii="宋体" w:hAnsi="宋体" w:eastAsia="宋体"/>
          <w:color w:val="auto"/>
          <w:szCs w:val="21"/>
          <w:highlight w:val="none"/>
        </w:rPr>
        <w:t>投</w:t>
      </w:r>
      <w:r>
        <w:rPr>
          <w:rFonts w:hint="eastAsia" w:ascii="宋体" w:hAnsi="宋体" w:eastAsia="宋体"/>
          <w:color w:val="auto"/>
          <w:spacing w:val="-3"/>
          <w:szCs w:val="21"/>
          <w:highlight w:val="none"/>
        </w:rPr>
        <w:t>标</w:t>
      </w:r>
      <w:r>
        <w:rPr>
          <w:rFonts w:hint="eastAsia" w:ascii="宋体" w:hAnsi="宋体" w:eastAsia="宋体"/>
          <w:color w:val="auto"/>
          <w:szCs w:val="21"/>
          <w:highlight w:val="none"/>
        </w:rPr>
        <w:t>人</w:t>
      </w:r>
      <w:r>
        <w:rPr>
          <w:rFonts w:hint="eastAsia" w:ascii="宋体" w:hAnsi="宋体" w:eastAsia="宋体"/>
          <w:color w:val="auto"/>
          <w:spacing w:val="-3"/>
          <w:szCs w:val="21"/>
          <w:highlight w:val="none"/>
        </w:rPr>
        <w:t>须</w:t>
      </w:r>
      <w:r>
        <w:rPr>
          <w:rFonts w:hint="eastAsia" w:ascii="宋体" w:hAnsi="宋体" w:eastAsia="宋体"/>
          <w:color w:val="auto"/>
          <w:szCs w:val="21"/>
          <w:highlight w:val="none"/>
        </w:rPr>
        <w:t>知</w:t>
      </w:r>
      <w:r>
        <w:rPr>
          <w:rFonts w:hint="eastAsia" w:ascii="宋体" w:hAnsi="宋体" w:eastAsia="宋体"/>
          <w:color w:val="auto"/>
          <w:spacing w:val="-3"/>
          <w:szCs w:val="21"/>
          <w:highlight w:val="none"/>
        </w:rPr>
        <w:t>前</w:t>
      </w:r>
      <w:r>
        <w:rPr>
          <w:rFonts w:hint="eastAsia" w:ascii="宋体" w:hAnsi="宋体" w:eastAsia="宋体"/>
          <w:color w:val="auto"/>
          <w:szCs w:val="21"/>
          <w:highlight w:val="none"/>
        </w:rPr>
        <w:t>附表。</w:t>
      </w:r>
    </w:p>
    <w:p w14:paraId="2211AAF0">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条款号：6.1.4             修改类型：增加</w:t>
      </w:r>
    </w:p>
    <w:p w14:paraId="1AD790C8">
      <w:pPr>
        <w:pBdr>
          <w:bottom w:val="single" w:color="auto" w:sz="6" w:space="1"/>
        </w:pBd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现文：</w:t>
      </w:r>
      <w:r>
        <w:rPr>
          <w:rFonts w:hint="eastAsia" w:ascii="宋体" w:hAnsi="宋体" w:eastAsia="宋体"/>
          <w:b/>
          <w:bCs/>
          <w:color w:val="auto"/>
          <w:szCs w:val="21"/>
          <w:highlight w:val="none"/>
          <w:u w:val="single"/>
        </w:rPr>
        <w:t>6.1.4 评标委员会在开始评标前，应了解评标专家的职责及守则，认真阅读附表《评标委员会成员声明》的内容并签名，签名后方可进行评标</w:t>
      </w:r>
      <w:r>
        <w:rPr>
          <w:rFonts w:hint="eastAsia" w:ascii="宋体" w:hAnsi="宋体" w:eastAsia="宋体"/>
          <w:color w:val="auto"/>
          <w:szCs w:val="21"/>
          <w:highlight w:val="none"/>
        </w:rPr>
        <w:t>。</w:t>
      </w:r>
    </w:p>
    <w:p w14:paraId="5ADA0918">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条款号：7.1.2             修改类型：修改</w:t>
      </w:r>
    </w:p>
    <w:p w14:paraId="799BBFA6">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 xml:space="preserve">原文：7.1.2 </w:t>
      </w:r>
      <w:r>
        <w:rPr>
          <w:rFonts w:hint="eastAsia" w:ascii="宋体" w:hAnsi="宋体" w:eastAsia="宋体" w:cs="宋体"/>
          <w:color w:val="auto"/>
          <w:spacing w:val="-1"/>
          <w:szCs w:val="21"/>
          <w:highlight w:val="none"/>
        </w:rPr>
        <w:t>在产生中标候选人后，招标人将中标候选人的投标文件商务部分（包括人员、业绩、奖项等资料）在</w:t>
      </w:r>
      <w:r>
        <w:rPr>
          <w:rFonts w:hint="eastAsia" w:ascii="宋体" w:hAnsi="宋体" w:eastAsia="宋体" w:cs="宋体"/>
          <w:color w:val="auto"/>
          <w:spacing w:val="-1"/>
          <w:szCs w:val="21"/>
          <w:highlight w:val="none"/>
          <w:u w:val="single"/>
        </w:rPr>
        <w:t>广州交易集团有限公司（广州公共资源交易中心）</w:t>
      </w:r>
      <w:r>
        <w:rPr>
          <w:rFonts w:hint="eastAsia" w:ascii="宋体" w:hAnsi="宋体" w:eastAsia="宋体" w:cs="宋体"/>
          <w:color w:val="auto"/>
          <w:spacing w:val="-1"/>
          <w:szCs w:val="21"/>
          <w:highlight w:val="none"/>
        </w:rPr>
        <w:t>网站和广东省招标投标监管网公开</w:t>
      </w:r>
      <w:r>
        <w:rPr>
          <w:rFonts w:hint="eastAsia" w:ascii="宋体" w:hAnsi="宋体" w:eastAsia="宋体"/>
          <w:color w:val="auto"/>
          <w:szCs w:val="21"/>
          <w:highlight w:val="none"/>
        </w:rPr>
        <w:t>。</w:t>
      </w:r>
    </w:p>
    <w:p w14:paraId="67142CA7">
      <w:pPr>
        <w:pBdr>
          <w:bottom w:val="single" w:color="auto" w:sz="6" w:space="1"/>
        </w:pBd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 xml:space="preserve">现文：7.1.2 </w:t>
      </w:r>
      <w:r>
        <w:rPr>
          <w:rFonts w:hint="eastAsia" w:ascii="宋体" w:hAnsi="宋体" w:eastAsia="宋体" w:cs="宋体"/>
          <w:color w:val="auto"/>
          <w:spacing w:val="-1"/>
          <w:szCs w:val="21"/>
          <w:highlight w:val="none"/>
        </w:rPr>
        <w:t>在产生中标候选人后，招标人将中标候选人的投标文件商务部分（包括人员、业绩、奖项等资料</w:t>
      </w:r>
      <w:r>
        <w:rPr>
          <w:rFonts w:hint="eastAsia" w:ascii="宋体" w:hAnsi="宋体" w:eastAsia="宋体"/>
          <w:b/>
          <w:bCs/>
          <w:color w:val="auto"/>
          <w:szCs w:val="21"/>
          <w:highlight w:val="none"/>
          <w:u w:val="single"/>
        </w:rPr>
        <w:t>，但报价清单、方案等涉及商业秘密的内容除外</w:t>
      </w:r>
      <w:r>
        <w:rPr>
          <w:rFonts w:hint="eastAsia" w:ascii="宋体" w:hAnsi="宋体" w:eastAsia="宋体" w:cs="宋体"/>
          <w:color w:val="auto"/>
          <w:spacing w:val="-1"/>
          <w:szCs w:val="21"/>
          <w:highlight w:val="none"/>
        </w:rPr>
        <w:t>）在</w:t>
      </w:r>
      <w:r>
        <w:rPr>
          <w:rFonts w:hint="eastAsia" w:ascii="宋体" w:hAnsi="宋体" w:eastAsia="宋体" w:cs="宋体"/>
          <w:color w:val="auto"/>
          <w:spacing w:val="-1"/>
          <w:szCs w:val="21"/>
          <w:highlight w:val="none"/>
          <w:u w:val="single"/>
        </w:rPr>
        <w:t>广州交易集团有限公司（广州公共资源交易中心）</w:t>
      </w:r>
      <w:r>
        <w:rPr>
          <w:rFonts w:hint="eastAsia" w:ascii="宋体" w:hAnsi="宋体" w:eastAsia="宋体" w:cs="宋体"/>
          <w:color w:val="auto"/>
          <w:spacing w:val="-1"/>
          <w:szCs w:val="21"/>
          <w:highlight w:val="none"/>
        </w:rPr>
        <w:t>网站和广东省招标投标监管网公开</w:t>
      </w:r>
      <w:r>
        <w:rPr>
          <w:rFonts w:hint="eastAsia" w:ascii="宋体" w:hAnsi="宋体" w:eastAsia="宋体"/>
          <w:color w:val="auto"/>
          <w:szCs w:val="21"/>
          <w:highlight w:val="none"/>
        </w:rPr>
        <w:t>。</w:t>
      </w:r>
    </w:p>
    <w:p w14:paraId="0C01EB7F">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条款号：7.5.1             修改类型：修改</w:t>
      </w:r>
    </w:p>
    <w:p w14:paraId="40B41F0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原文：7.5.1 在法规规定的时间内，招标人向中标人发出中标通知书。在广东省招标投标监管网和</w:t>
      </w:r>
      <w:r>
        <w:rPr>
          <w:rFonts w:hint="eastAsia" w:ascii="宋体" w:hAnsi="宋体" w:eastAsia="宋体" w:cs="宋体"/>
          <w:color w:val="auto"/>
          <w:szCs w:val="21"/>
          <w:highlight w:val="none"/>
          <w:u w:val="single"/>
        </w:rPr>
        <w:t>广州交易集团有限公司（广州公共资源交易中心）</w:t>
      </w:r>
      <w:r>
        <w:rPr>
          <w:rFonts w:hint="eastAsia" w:ascii="宋体" w:hAnsi="宋体" w:eastAsia="宋体" w:cs="宋体"/>
          <w:color w:val="auto"/>
          <w:szCs w:val="21"/>
          <w:highlight w:val="none"/>
        </w:rPr>
        <w:t>网站发布中标信息，视同将中标结果通知未中标的投标人。</w:t>
      </w:r>
    </w:p>
    <w:p w14:paraId="59176313">
      <w:pPr>
        <w:pBdr>
          <w:bottom w:val="single" w:color="auto" w:sz="6" w:space="1"/>
        </w:pBd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现文：7.5.1 在法规规定的时间内，招标人向中标人发出中标通知书</w:t>
      </w:r>
      <w:r>
        <w:rPr>
          <w:rFonts w:hint="eastAsia" w:ascii="宋体" w:hAnsi="宋体" w:eastAsia="宋体" w:cs="宋体"/>
          <w:b/>
          <w:bCs/>
          <w:color w:val="auto"/>
          <w:szCs w:val="21"/>
          <w:highlight w:val="none"/>
          <w:u w:val="single"/>
        </w:rPr>
        <w:t>，中标人自行于广州交易集团有限公司（广州公共资源交易中心）交易平台下载中标通知书</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u w:val="single"/>
        </w:rPr>
        <w:t>同时招标人将</w:t>
      </w:r>
      <w:r>
        <w:rPr>
          <w:rFonts w:hint="eastAsia" w:ascii="宋体" w:hAnsi="宋体" w:eastAsia="宋体" w:cs="宋体"/>
          <w:color w:val="auto"/>
          <w:szCs w:val="21"/>
          <w:highlight w:val="none"/>
        </w:rPr>
        <w:t>在广东省招标投标监管网和</w:t>
      </w:r>
      <w:r>
        <w:rPr>
          <w:rFonts w:hint="eastAsia" w:ascii="宋体" w:hAnsi="宋体" w:eastAsia="宋体" w:cs="宋体"/>
          <w:color w:val="auto"/>
          <w:szCs w:val="21"/>
          <w:highlight w:val="none"/>
          <w:u w:val="single"/>
        </w:rPr>
        <w:t>广州交易集团有限公司（广州公共资源交易中心）</w:t>
      </w:r>
      <w:r>
        <w:rPr>
          <w:rFonts w:hint="eastAsia" w:ascii="宋体" w:hAnsi="宋体" w:eastAsia="宋体" w:cs="宋体"/>
          <w:color w:val="auto"/>
          <w:szCs w:val="21"/>
          <w:highlight w:val="none"/>
        </w:rPr>
        <w:t>网站发布中标信息，视同将中标结果通知未中标的投标人。</w:t>
      </w:r>
      <w:r>
        <w:rPr>
          <w:rFonts w:hint="eastAsia" w:ascii="宋体" w:hAnsi="宋体" w:eastAsia="宋体" w:cs="宋体"/>
          <w:b/>
          <w:bCs/>
          <w:color w:val="auto"/>
          <w:szCs w:val="21"/>
          <w:highlight w:val="none"/>
          <w:u w:val="single"/>
        </w:rPr>
        <w:t>中标人须对其投标文件真实性负责，并准备投标文件涉及的所有原件待查，如存在弄虚作假情况或原件不齐或与原件不符的，招标人有权取消其中标人资格，并上报建设行政主管部门。</w:t>
      </w:r>
    </w:p>
    <w:p w14:paraId="7140C2B1">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条款号：7.6             修改类型：修改</w:t>
      </w:r>
    </w:p>
    <w:p w14:paraId="5C79E4A1">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原文：7.6 技术成果经济补偿</w:t>
      </w:r>
    </w:p>
    <w:p w14:paraId="4B44D6B8">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招标人对符合招标文件规定的未中标人的技术成果进行补偿的，招标人将按投标人须知前附表规定的标准给予经济补偿，未中标人在投标文件中声明放弃技术成果经济补偿费的除外。招标人将于中标通知书发出后30日内向未中标人支付技术成果经济补偿费。</w:t>
      </w:r>
    </w:p>
    <w:p w14:paraId="2AEE2FB4">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现文：7.6 技术成果经济补偿</w:t>
      </w:r>
    </w:p>
    <w:p w14:paraId="0EA8E496">
      <w:pPr>
        <w:pBdr>
          <w:bottom w:val="single" w:color="auto" w:sz="6" w:space="1"/>
        </w:pBd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招标人对符合招标文件规定的未中标人的技术成果进行补偿的，招标人将按投标人须知前附表规定的标准给予经济补偿，未中标人在投标文件中声明放弃技术成果经济补偿费的除外。</w:t>
      </w:r>
      <w:r>
        <w:rPr>
          <w:rFonts w:hint="eastAsia" w:ascii="宋体" w:hAnsi="宋体" w:eastAsia="宋体"/>
          <w:strike/>
          <w:color w:val="auto"/>
          <w:szCs w:val="21"/>
          <w:highlight w:val="none"/>
        </w:rPr>
        <w:t>招标人将于中标通知书发出后30日内向未中标人支付技术成果经济补偿费。</w:t>
      </w:r>
    </w:p>
    <w:p w14:paraId="0055F9F4">
      <w:pPr>
        <w:pBdr>
          <w:bottom w:val="single" w:color="auto" w:sz="4" w:space="0"/>
        </w:pBd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条款号：7.7              修改类型：修改</w:t>
      </w:r>
    </w:p>
    <w:p w14:paraId="7D62C69A">
      <w:pPr>
        <w:pBdr>
          <w:bottom w:val="single" w:color="auto" w:sz="4" w:space="0"/>
        </w:pBd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原文：7.7 履约保证金</w:t>
      </w:r>
    </w:p>
    <w:p w14:paraId="5169EE4B">
      <w:pPr>
        <w:pBdr>
          <w:bottom w:val="single" w:color="auto" w:sz="4" w:space="0"/>
        </w:pBd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现文：7.7 </w:t>
      </w:r>
      <w:r>
        <w:rPr>
          <w:rFonts w:hint="eastAsia" w:ascii="宋体" w:hAnsi="宋体" w:eastAsia="宋体" w:cs="宋体"/>
          <w:b/>
          <w:bCs/>
          <w:color w:val="auto"/>
          <w:szCs w:val="21"/>
          <w:highlight w:val="none"/>
          <w:u w:val="single"/>
        </w:rPr>
        <w:t>本项目无履约保证金。</w:t>
      </w:r>
    </w:p>
    <w:p w14:paraId="67E78E22">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条款号：7.8.1             修改类型：修改</w:t>
      </w:r>
    </w:p>
    <w:p w14:paraId="394494DB">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 xml:space="preserve">原文：7.8.1 </w:t>
      </w:r>
      <w:r>
        <w:rPr>
          <w:rFonts w:hint="eastAsia" w:ascii="宋体" w:hAnsi="宋体" w:eastAsia="宋体"/>
          <w:color w:val="auto"/>
          <w:spacing w:val="-3"/>
          <w:szCs w:val="21"/>
          <w:highlight w:val="none"/>
        </w:rPr>
        <w:t>招标人和中标人应当在中标通知书发出之日起30日内，根据招标文件和中标人的投标文件订立书面合同，并通过电子交易系统与中标人在线签订合同，并在广东省招标投标监管网和</w:t>
      </w:r>
      <w:r>
        <w:rPr>
          <w:rFonts w:hint="eastAsia" w:ascii="宋体" w:hAnsi="宋体" w:eastAsia="宋体"/>
          <w:color w:val="auto"/>
          <w:spacing w:val="-3"/>
          <w:szCs w:val="21"/>
          <w:highlight w:val="none"/>
          <w:u w:val="single"/>
        </w:rPr>
        <w:t>广州交易集团有限公司（广州公共资源交易中心）</w:t>
      </w:r>
      <w:r>
        <w:rPr>
          <w:rFonts w:hint="eastAsia" w:ascii="宋体" w:hAnsi="宋体" w:eastAsia="宋体"/>
          <w:color w:val="auto"/>
          <w:spacing w:val="-3"/>
          <w:szCs w:val="21"/>
          <w:highlight w:val="none"/>
        </w:rPr>
        <w:t>网站公示合同主要信息。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14:paraId="170F5B9F">
      <w:pPr>
        <w:pBdr>
          <w:bottom w:val="single" w:color="auto" w:sz="6" w:space="1"/>
        </w:pBd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 xml:space="preserve">现文：7.8.1 </w:t>
      </w:r>
      <w:r>
        <w:rPr>
          <w:rFonts w:hint="eastAsia" w:ascii="宋体" w:hAnsi="宋体" w:eastAsia="宋体"/>
          <w:color w:val="auto"/>
          <w:spacing w:val="-3"/>
          <w:szCs w:val="21"/>
          <w:highlight w:val="none"/>
        </w:rPr>
        <w:t>招标人和中标人应当在中标通知书发出之日起30日内，根据招标文件和中标人的投标文件订立书面合同，并通过电子交易系统与中标人在线签订合同，并在广东省招标投标监管网和</w:t>
      </w:r>
      <w:r>
        <w:rPr>
          <w:rFonts w:hint="eastAsia" w:ascii="宋体" w:hAnsi="宋体" w:eastAsia="宋体"/>
          <w:color w:val="auto"/>
          <w:spacing w:val="-3"/>
          <w:szCs w:val="21"/>
          <w:highlight w:val="none"/>
          <w:u w:val="single"/>
        </w:rPr>
        <w:t>广州交易集团有限公司（广州公共资源交易中心）</w:t>
      </w:r>
      <w:r>
        <w:rPr>
          <w:rFonts w:hint="eastAsia" w:ascii="宋体" w:hAnsi="宋体" w:eastAsia="宋体"/>
          <w:color w:val="auto"/>
          <w:spacing w:val="-3"/>
          <w:szCs w:val="21"/>
          <w:highlight w:val="none"/>
        </w:rPr>
        <w:t>网站公示合同主要信息。中标人无正当理由拒签合同，在签订合同时向招标人提出附加条件，或者不按照招标文件要求提交履约保证金的，招标人有权取消其中标资格，其投标保证金不予退还；给招标人造成的损失</w:t>
      </w:r>
      <w:r>
        <w:rPr>
          <w:rFonts w:hint="eastAsia" w:ascii="宋体" w:hAnsi="宋体" w:eastAsia="宋体"/>
          <w:strike/>
          <w:color w:val="auto"/>
          <w:spacing w:val="-3"/>
          <w:szCs w:val="21"/>
          <w:highlight w:val="none"/>
        </w:rPr>
        <w:t>超过投标保证金数额的</w:t>
      </w:r>
      <w:r>
        <w:rPr>
          <w:rFonts w:hint="eastAsia" w:ascii="宋体" w:hAnsi="宋体" w:eastAsia="宋体"/>
          <w:color w:val="auto"/>
          <w:spacing w:val="-3"/>
          <w:szCs w:val="21"/>
          <w:highlight w:val="none"/>
        </w:rPr>
        <w:t>，中标人还应当</w:t>
      </w:r>
      <w:r>
        <w:rPr>
          <w:rFonts w:hint="eastAsia" w:ascii="宋体" w:hAnsi="宋体" w:eastAsia="宋体"/>
          <w:strike/>
          <w:color w:val="auto"/>
          <w:spacing w:val="-3"/>
          <w:szCs w:val="21"/>
          <w:highlight w:val="none"/>
        </w:rPr>
        <w:t>对超过部分</w:t>
      </w:r>
      <w:r>
        <w:rPr>
          <w:rFonts w:hint="eastAsia" w:ascii="宋体" w:hAnsi="宋体" w:eastAsia="宋体"/>
          <w:color w:val="auto"/>
          <w:spacing w:val="-3"/>
          <w:szCs w:val="21"/>
          <w:highlight w:val="none"/>
        </w:rPr>
        <w:t>予以赔偿。</w:t>
      </w:r>
    </w:p>
    <w:p w14:paraId="433A8FDE">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条款号：7.8.2              修改类型：修改</w:t>
      </w:r>
    </w:p>
    <w:p w14:paraId="38AE1ED3">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原文：7.8.2 发出中标通知书后，招标人无正当理由拒签合同，或者在签订合同时向中标人提出附加条件的，招标人向中标人退还投标保证金；给中标人造成损失的，还应当赔偿损失。</w:t>
      </w:r>
    </w:p>
    <w:p w14:paraId="0AE16311">
      <w:pPr>
        <w:pBdr>
          <w:bottom w:val="single" w:color="auto" w:sz="6" w:space="1"/>
        </w:pBd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现文：7.8.2 发出中标通知书后，招标人无正当理由拒签合同，或者在签订合同时向中标人提出附加条件的</w:t>
      </w:r>
      <w:r>
        <w:rPr>
          <w:rFonts w:hint="eastAsia" w:ascii="宋体" w:hAnsi="宋体" w:eastAsia="宋体"/>
          <w:strike/>
          <w:color w:val="auto"/>
          <w:szCs w:val="21"/>
          <w:highlight w:val="none"/>
        </w:rPr>
        <w:t>，招标人向中标人退还投标保证金</w:t>
      </w:r>
      <w:r>
        <w:rPr>
          <w:rFonts w:hint="eastAsia" w:ascii="宋体" w:hAnsi="宋体" w:eastAsia="宋体"/>
          <w:color w:val="auto"/>
          <w:szCs w:val="21"/>
          <w:highlight w:val="none"/>
        </w:rPr>
        <w:t>；给中标人造成损失的，还应当赔偿损失。</w:t>
      </w:r>
    </w:p>
    <w:p w14:paraId="03A2318F">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条款号：10.（四）                                 修改类型：修改</w:t>
      </w:r>
    </w:p>
    <w:p w14:paraId="0053FF23">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原文：（四）评标委员会否决不合格投标后，因有效投标不足三个使得投标明显缺乏竞争，评标委员会决定否决全部投标的；</w:t>
      </w:r>
    </w:p>
    <w:p w14:paraId="316FA06E">
      <w:pPr>
        <w:pBdr>
          <w:bottom w:val="single" w:color="auto" w:sz="6" w:space="1"/>
        </w:pBdr>
        <w:spacing w:line="360" w:lineRule="auto"/>
        <w:ind w:firstLine="420" w:firstLineChars="200"/>
        <w:rPr>
          <w:rFonts w:ascii="宋体" w:hAnsi="宋体" w:eastAsia="宋体"/>
          <w:b/>
          <w:color w:val="auto"/>
          <w:szCs w:val="21"/>
          <w:highlight w:val="none"/>
        </w:rPr>
      </w:pPr>
      <w:r>
        <w:rPr>
          <w:rFonts w:hint="eastAsia" w:ascii="宋体" w:hAnsi="宋体" w:eastAsia="宋体"/>
          <w:color w:val="auto"/>
          <w:szCs w:val="21"/>
          <w:highlight w:val="none"/>
        </w:rPr>
        <w:t>现文：（四）评标委员会否决不合格投标后，</w:t>
      </w:r>
      <w:r>
        <w:rPr>
          <w:rFonts w:hint="eastAsia" w:ascii="宋体" w:hAnsi="宋体" w:eastAsia="宋体"/>
          <w:b/>
          <w:color w:val="auto"/>
          <w:szCs w:val="21"/>
          <w:highlight w:val="none"/>
          <w:u w:val="single"/>
        </w:rPr>
        <w:t>有效投标不足三个的；</w:t>
      </w:r>
    </w:p>
    <w:p w14:paraId="226A771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条款号：附件《评标委员会成员声明》                 修改类型：增加</w:t>
      </w:r>
    </w:p>
    <w:p w14:paraId="6966F754">
      <w:pPr>
        <w:pBdr>
          <w:bottom w:val="single" w:color="auto" w:sz="6" w:space="1"/>
        </w:pBdr>
        <w:spacing w:line="360" w:lineRule="auto"/>
        <w:ind w:firstLine="420" w:firstLineChars="200"/>
        <w:rPr>
          <w:rFonts w:ascii="宋体" w:hAnsi="宋体" w:eastAsia="宋体" w:cs="宋体"/>
          <w:b/>
          <w:bCs/>
          <w:color w:val="auto"/>
          <w:szCs w:val="21"/>
          <w:highlight w:val="none"/>
          <w:u w:val="single"/>
        </w:rPr>
      </w:pPr>
      <w:r>
        <w:rPr>
          <w:rFonts w:hint="eastAsia" w:ascii="宋体" w:hAnsi="宋体" w:eastAsia="宋体" w:cs="宋体"/>
          <w:color w:val="auto"/>
          <w:szCs w:val="21"/>
          <w:highlight w:val="none"/>
        </w:rPr>
        <w:t>现文：</w:t>
      </w:r>
      <w:r>
        <w:rPr>
          <w:rFonts w:hint="eastAsia" w:ascii="宋体" w:hAnsi="宋体" w:eastAsia="宋体" w:cs="宋体"/>
          <w:b/>
          <w:bCs/>
          <w:color w:val="auto"/>
          <w:szCs w:val="21"/>
          <w:highlight w:val="none"/>
          <w:u w:val="single"/>
        </w:rPr>
        <w:t>详见附件《评标委员会成员声明》</w:t>
      </w:r>
    </w:p>
    <w:p w14:paraId="2E2B5325">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注：以上修改，仅限于本范本中有可供选择条款的情形。</w:t>
      </w:r>
    </w:p>
    <w:p w14:paraId="4F216F0F">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（以下无正文）</w:t>
      </w:r>
    </w:p>
    <w:p w14:paraId="7A199136">
      <w:pPr>
        <w:pStyle w:val="2"/>
        <w:jc w:val="both"/>
        <w:rPr>
          <w:rFonts w:ascii="宋体" w:hAnsi="宋体"/>
          <w:color w:val="auto"/>
          <w:highlight w:val="none"/>
          <w:lang w:val="en-US"/>
        </w:rPr>
        <w:sectPr>
          <w:type w:val="continuous"/>
          <w:pgSz w:w="11905" w:h="16838"/>
          <w:pgMar w:top="1417" w:right="1417" w:bottom="1417" w:left="1417" w:header="992" w:footer="992" w:gutter="0"/>
          <w:cols w:space="720" w:num="1"/>
        </w:sectPr>
      </w:pPr>
    </w:p>
    <w:p w14:paraId="4E2F880C">
      <w:pPr>
        <w:widowControl/>
        <w:jc w:val="left"/>
        <w:rPr>
          <w:rFonts w:ascii="宋体" w:hAnsi="宋体" w:eastAsia="宋体" w:cs="宋体"/>
          <w:b/>
          <w:bCs/>
          <w:color w:val="auto"/>
          <w:kern w:val="0"/>
          <w:sz w:val="30"/>
          <w:szCs w:val="30"/>
          <w:highlight w:val="none"/>
          <w:lang w:val="zh-CN"/>
        </w:rPr>
      </w:pPr>
      <w:bookmarkStart w:id="25" w:name="_Toc193357939"/>
      <w:bookmarkStart w:id="26" w:name="_Toc111186724"/>
      <w:bookmarkStart w:id="27" w:name="_Toc3060"/>
      <w:r>
        <w:rPr>
          <w:rFonts w:hint="eastAsia" w:ascii="宋体" w:hAnsi="宋体" w:eastAsia="宋体" w:cs="宋体"/>
          <w:b/>
          <w:bCs/>
          <w:color w:val="auto"/>
          <w:kern w:val="0"/>
          <w:sz w:val="30"/>
          <w:szCs w:val="30"/>
          <w:highlight w:val="none"/>
          <w:lang w:val="zh-CN"/>
        </w:rPr>
        <w:t>1. 总则</w:t>
      </w:r>
      <w:bookmarkEnd w:id="25"/>
      <w:bookmarkEnd w:id="26"/>
      <w:bookmarkEnd w:id="27"/>
    </w:p>
    <w:p w14:paraId="108309EE">
      <w:pPr>
        <w:keepNext/>
        <w:keepLines/>
        <w:wordWrap w:val="0"/>
        <w:spacing w:before="260" w:line="416" w:lineRule="auto"/>
        <w:outlineLvl w:val="2"/>
        <w:rPr>
          <w:rFonts w:ascii="宋体" w:hAnsi="宋体" w:eastAsia="宋体" w:cs="宋体"/>
          <w:b/>
          <w:bCs/>
          <w:color w:val="auto"/>
          <w:spacing w:val="-2"/>
          <w:kern w:val="0"/>
          <w:sz w:val="24"/>
          <w:szCs w:val="24"/>
          <w:highlight w:val="none"/>
          <w:lang w:val="zh-CN"/>
        </w:rPr>
      </w:pPr>
      <w:bookmarkStart w:id="28" w:name="_Toc193357940"/>
      <w:bookmarkStart w:id="29" w:name="_Toc111186725"/>
      <w:bookmarkStart w:id="30" w:name="_Toc7733"/>
      <w:r>
        <w:rPr>
          <w:rFonts w:hint="eastAsia" w:ascii="宋体" w:hAnsi="宋体" w:eastAsia="宋体" w:cs="宋体"/>
          <w:b/>
          <w:bCs/>
          <w:color w:val="auto"/>
          <w:spacing w:val="1"/>
          <w:sz w:val="28"/>
          <w:szCs w:val="32"/>
          <w:highlight w:val="none"/>
          <w:lang w:val="zh-CN"/>
        </w:rPr>
        <w:t>1.1 招标项目概况</w:t>
      </w:r>
      <w:bookmarkEnd w:id="28"/>
      <w:bookmarkEnd w:id="29"/>
      <w:bookmarkEnd w:id="30"/>
    </w:p>
    <w:p w14:paraId="0E20B393">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1.1.1 根据《中华人民共和国招标投标法》、《中华人民共和国招标投标法实施条例》等有关法律、法规和规章的规定，本招标项目已具备招标条件，现对勘察设计进行招标。</w:t>
      </w:r>
    </w:p>
    <w:p w14:paraId="1795C627">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1.1.2 招标人：见投标人须知前附表。</w:t>
      </w:r>
    </w:p>
    <w:p w14:paraId="67DF7F09">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1.1.3 招标代理机构：见投标人须知前附表。</w:t>
      </w:r>
    </w:p>
    <w:p w14:paraId="0419774E">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1.1.4 招标项目名称：见投标人须知前附表。</w:t>
      </w:r>
    </w:p>
    <w:p w14:paraId="6002A88D">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1.1.5 项目建设地点：见投标人须知前附表。</w:t>
      </w:r>
    </w:p>
    <w:p w14:paraId="6109126C">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1.1.6 项目建设规模：见投标人须知前附表。</w:t>
      </w:r>
    </w:p>
    <w:p w14:paraId="341493F9">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1.1.7 项目投资估算：见投标人须知前附表。</w:t>
      </w:r>
    </w:p>
    <w:p w14:paraId="147D9006">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p>
    <w:p w14:paraId="300B047B">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31" w:name="_Toc111186726"/>
      <w:bookmarkStart w:id="32" w:name="_Toc193357941"/>
      <w:bookmarkStart w:id="33" w:name="_Toc14504"/>
      <w:r>
        <w:rPr>
          <w:rFonts w:hint="eastAsia" w:ascii="宋体" w:hAnsi="宋体" w:eastAsia="宋体" w:cs="宋体"/>
          <w:b/>
          <w:bCs/>
          <w:color w:val="auto"/>
          <w:spacing w:val="1"/>
          <w:sz w:val="28"/>
          <w:szCs w:val="32"/>
          <w:highlight w:val="none"/>
          <w:lang w:val="zh-CN"/>
        </w:rPr>
        <w:t>1.2</w:t>
      </w:r>
      <w:r>
        <w:rPr>
          <w:rFonts w:hint="eastAsia" w:ascii="宋体" w:hAnsi="宋体" w:eastAsia="宋体" w:cs="宋体"/>
          <w:b/>
          <w:bCs/>
          <w:color w:val="auto"/>
          <w:spacing w:val="68"/>
          <w:sz w:val="28"/>
          <w:szCs w:val="32"/>
          <w:highlight w:val="none"/>
          <w:lang w:val="zh-CN"/>
        </w:rPr>
        <w:t xml:space="preserve"> </w:t>
      </w:r>
      <w:r>
        <w:rPr>
          <w:rFonts w:hint="eastAsia" w:ascii="宋体" w:hAnsi="宋体" w:eastAsia="宋体" w:cs="宋体"/>
          <w:b/>
          <w:bCs/>
          <w:color w:val="auto"/>
          <w:spacing w:val="1"/>
          <w:sz w:val="28"/>
          <w:szCs w:val="32"/>
          <w:highlight w:val="none"/>
          <w:lang w:val="zh-CN"/>
        </w:rPr>
        <w:t>招标项目</w:t>
      </w:r>
      <w:r>
        <w:rPr>
          <w:rFonts w:hint="eastAsia" w:ascii="宋体" w:hAnsi="宋体" w:eastAsia="宋体" w:cs="宋体"/>
          <w:b/>
          <w:bCs/>
          <w:color w:val="auto"/>
          <w:spacing w:val="-3"/>
          <w:sz w:val="28"/>
          <w:szCs w:val="32"/>
          <w:highlight w:val="none"/>
          <w:lang w:val="zh-CN"/>
        </w:rPr>
        <w:t>的</w:t>
      </w:r>
      <w:r>
        <w:rPr>
          <w:rFonts w:hint="eastAsia" w:ascii="宋体" w:hAnsi="宋体" w:eastAsia="宋体" w:cs="宋体"/>
          <w:b/>
          <w:bCs/>
          <w:color w:val="auto"/>
          <w:spacing w:val="1"/>
          <w:sz w:val="28"/>
          <w:szCs w:val="32"/>
          <w:highlight w:val="none"/>
          <w:lang w:val="zh-CN"/>
        </w:rPr>
        <w:t>资</w:t>
      </w:r>
      <w:r>
        <w:rPr>
          <w:rFonts w:hint="eastAsia" w:ascii="宋体" w:hAnsi="宋体" w:eastAsia="宋体" w:cs="宋体"/>
          <w:b/>
          <w:bCs/>
          <w:color w:val="auto"/>
          <w:spacing w:val="-3"/>
          <w:sz w:val="28"/>
          <w:szCs w:val="32"/>
          <w:highlight w:val="none"/>
          <w:lang w:val="zh-CN"/>
        </w:rPr>
        <w:t>金</w:t>
      </w:r>
      <w:r>
        <w:rPr>
          <w:rFonts w:hint="eastAsia" w:ascii="宋体" w:hAnsi="宋体" w:eastAsia="宋体" w:cs="宋体"/>
          <w:b/>
          <w:bCs/>
          <w:color w:val="auto"/>
          <w:spacing w:val="1"/>
          <w:sz w:val="28"/>
          <w:szCs w:val="32"/>
          <w:highlight w:val="none"/>
          <w:lang w:val="zh-CN"/>
        </w:rPr>
        <w:t>来源和</w:t>
      </w:r>
      <w:r>
        <w:rPr>
          <w:rFonts w:hint="eastAsia" w:ascii="宋体" w:hAnsi="宋体" w:eastAsia="宋体" w:cs="宋体"/>
          <w:b/>
          <w:bCs/>
          <w:color w:val="auto"/>
          <w:spacing w:val="-3"/>
          <w:sz w:val="28"/>
          <w:szCs w:val="32"/>
          <w:highlight w:val="none"/>
          <w:lang w:val="zh-CN"/>
        </w:rPr>
        <w:t>落</w:t>
      </w:r>
      <w:r>
        <w:rPr>
          <w:rFonts w:hint="eastAsia" w:ascii="宋体" w:hAnsi="宋体" w:eastAsia="宋体" w:cs="宋体"/>
          <w:b/>
          <w:bCs/>
          <w:color w:val="auto"/>
          <w:spacing w:val="1"/>
          <w:sz w:val="28"/>
          <w:szCs w:val="32"/>
          <w:highlight w:val="none"/>
          <w:lang w:val="zh-CN"/>
        </w:rPr>
        <w:t>实情况</w:t>
      </w:r>
      <w:bookmarkEnd w:id="31"/>
      <w:bookmarkEnd w:id="32"/>
      <w:bookmarkEnd w:id="33"/>
    </w:p>
    <w:p w14:paraId="31B7B568">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1.2.1 资金来源及比例：见投标人须知前附表。</w:t>
      </w:r>
    </w:p>
    <w:p w14:paraId="6FB71EA3">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1.2.2 资金落实情况：见投标人须知前附表。</w:t>
      </w:r>
    </w:p>
    <w:p w14:paraId="5F1F3478">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p>
    <w:p w14:paraId="4B2CD71B">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34" w:name="_Toc193357942"/>
      <w:bookmarkStart w:id="35" w:name="_Toc111186727"/>
      <w:bookmarkStart w:id="36" w:name="_Toc13854"/>
      <w:r>
        <w:rPr>
          <w:rFonts w:hint="eastAsia" w:ascii="宋体" w:hAnsi="宋体" w:eastAsia="宋体" w:cs="宋体"/>
          <w:b/>
          <w:bCs/>
          <w:color w:val="auto"/>
          <w:spacing w:val="1"/>
          <w:sz w:val="28"/>
          <w:szCs w:val="32"/>
          <w:highlight w:val="none"/>
          <w:lang w:val="zh-CN"/>
        </w:rPr>
        <w:t>1.3</w:t>
      </w:r>
      <w:r>
        <w:rPr>
          <w:rFonts w:hint="eastAsia" w:ascii="宋体" w:hAnsi="宋体" w:eastAsia="宋体" w:cs="宋体"/>
          <w:b/>
          <w:bCs/>
          <w:color w:val="auto"/>
          <w:spacing w:val="-2"/>
          <w:sz w:val="28"/>
          <w:szCs w:val="32"/>
          <w:highlight w:val="none"/>
          <w:lang w:val="zh-CN"/>
        </w:rPr>
        <w:t xml:space="preserve"> </w:t>
      </w:r>
      <w:r>
        <w:rPr>
          <w:rFonts w:hint="eastAsia" w:ascii="宋体" w:hAnsi="宋体" w:eastAsia="宋体" w:cs="宋体"/>
          <w:b/>
          <w:bCs/>
          <w:color w:val="auto"/>
          <w:spacing w:val="1"/>
          <w:sz w:val="28"/>
          <w:szCs w:val="32"/>
          <w:highlight w:val="none"/>
          <w:lang w:val="zh-CN"/>
        </w:rPr>
        <w:t>招标范</w:t>
      </w:r>
      <w:r>
        <w:rPr>
          <w:rFonts w:hint="eastAsia" w:ascii="宋体" w:hAnsi="宋体" w:eastAsia="宋体" w:cs="宋体"/>
          <w:b/>
          <w:bCs/>
          <w:color w:val="auto"/>
          <w:spacing w:val="-3"/>
          <w:sz w:val="28"/>
          <w:szCs w:val="32"/>
          <w:highlight w:val="none"/>
          <w:lang w:val="zh-CN"/>
        </w:rPr>
        <w:t>围</w:t>
      </w:r>
      <w:r>
        <w:rPr>
          <w:rFonts w:hint="eastAsia" w:ascii="宋体" w:hAnsi="宋体" w:eastAsia="宋体" w:cs="宋体"/>
          <w:b/>
          <w:bCs/>
          <w:color w:val="auto"/>
          <w:spacing w:val="1"/>
          <w:sz w:val="28"/>
          <w:szCs w:val="32"/>
          <w:highlight w:val="none"/>
          <w:lang w:val="zh-CN"/>
        </w:rPr>
        <w:t>、勘察设</w:t>
      </w:r>
      <w:r>
        <w:rPr>
          <w:rFonts w:hint="eastAsia" w:ascii="宋体" w:hAnsi="宋体" w:eastAsia="宋体" w:cs="宋体"/>
          <w:b/>
          <w:bCs/>
          <w:color w:val="auto"/>
          <w:spacing w:val="-2"/>
          <w:sz w:val="28"/>
          <w:szCs w:val="32"/>
          <w:highlight w:val="none"/>
          <w:lang w:val="zh-CN"/>
        </w:rPr>
        <w:t>计</w:t>
      </w:r>
      <w:r>
        <w:rPr>
          <w:rFonts w:hint="eastAsia" w:ascii="宋体" w:hAnsi="宋体" w:eastAsia="宋体" w:cs="宋体"/>
          <w:b/>
          <w:bCs/>
          <w:color w:val="auto"/>
          <w:spacing w:val="1"/>
          <w:sz w:val="28"/>
          <w:szCs w:val="32"/>
          <w:highlight w:val="none"/>
          <w:lang w:val="zh-CN"/>
        </w:rPr>
        <w:t>服务期</w:t>
      </w:r>
      <w:r>
        <w:rPr>
          <w:rFonts w:hint="eastAsia" w:ascii="宋体" w:hAnsi="宋体" w:eastAsia="宋体" w:cs="宋体"/>
          <w:b/>
          <w:bCs/>
          <w:color w:val="auto"/>
          <w:spacing w:val="-3"/>
          <w:sz w:val="28"/>
          <w:szCs w:val="32"/>
          <w:highlight w:val="none"/>
          <w:lang w:val="zh-CN"/>
        </w:rPr>
        <w:t>限</w:t>
      </w:r>
      <w:r>
        <w:rPr>
          <w:rFonts w:hint="eastAsia" w:ascii="宋体" w:hAnsi="宋体" w:eastAsia="宋体" w:cs="宋体"/>
          <w:b/>
          <w:bCs/>
          <w:color w:val="auto"/>
          <w:spacing w:val="1"/>
          <w:sz w:val="28"/>
          <w:szCs w:val="32"/>
          <w:highlight w:val="none"/>
          <w:lang w:val="zh-CN"/>
        </w:rPr>
        <w:t>和质</w:t>
      </w:r>
      <w:r>
        <w:rPr>
          <w:rFonts w:hint="eastAsia" w:ascii="宋体" w:hAnsi="宋体" w:eastAsia="宋体" w:cs="宋体"/>
          <w:b/>
          <w:bCs/>
          <w:color w:val="auto"/>
          <w:spacing w:val="-3"/>
          <w:sz w:val="28"/>
          <w:szCs w:val="32"/>
          <w:highlight w:val="none"/>
          <w:lang w:val="zh-CN"/>
        </w:rPr>
        <w:t>量标</w:t>
      </w:r>
      <w:r>
        <w:rPr>
          <w:rFonts w:hint="eastAsia" w:ascii="宋体" w:hAnsi="宋体" w:eastAsia="宋体" w:cs="宋体"/>
          <w:b/>
          <w:bCs/>
          <w:color w:val="auto"/>
          <w:spacing w:val="1"/>
          <w:sz w:val="28"/>
          <w:szCs w:val="32"/>
          <w:highlight w:val="none"/>
          <w:lang w:val="zh-CN"/>
        </w:rPr>
        <w:t>准</w:t>
      </w:r>
      <w:bookmarkEnd w:id="34"/>
      <w:bookmarkEnd w:id="35"/>
      <w:bookmarkEnd w:id="36"/>
    </w:p>
    <w:p w14:paraId="1244F5C9">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1.3.1 招标范围：见投标人须知前附表。</w:t>
      </w:r>
    </w:p>
    <w:p w14:paraId="7A95E4BA">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1.3.2 勘察设计服务期限：见投标人须知前附表。</w:t>
      </w:r>
    </w:p>
    <w:p w14:paraId="6374A310">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1.3.3 质量标准：见投标人须知前附表。</w:t>
      </w:r>
    </w:p>
    <w:p w14:paraId="0CA08172">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p>
    <w:p w14:paraId="0492A3B9">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37" w:name="_Toc193357943"/>
      <w:bookmarkStart w:id="38" w:name="_Toc22012"/>
      <w:bookmarkStart w:id="39" w:name="_Toc111186728"/>
      <w:r>
        <w:rPr>
          <w:rFonts w:hint="eastAsia" w:ascii="宋体" w:hAnsi="宋体" w:eastAsia="宋体" w:cs="宋体"/>
          <w:b/>
          <w:bCs/>
          <w:color w:val="auto"/>
          <w:spacing w:val="1"/>
          <w:sz w:val="28"/>
          <w:szCs w:val="32"/>
          <w:highlight w:val="none"/>
          <w:lang w:val="zh-CN"/>
        </w:rPr>
        <w:t>1.4</w:t>
      </w:r>
      <w:r>
        <w:rPr>
          <w:rFonts w:hint="eastAsia" w:ascii="宋体" w:hAnsi="宋体" w:eastAsia="宋体" w:cs="宋体"/>
          <w:b/>
          <w:bCs/>
          <w:color w:val="auto"/>
          <w:spacing w:val="-2"/>
          <w:sz w:val="28"/>
          <w:szCs w:val="32"/>
          <w:highlight w:val="none"/>
          <w:lang w:val="zh-CN"/>
        </w:rPr>
        <w:t xml:space="preserve"> </w:t>
      </w:r>
      <w:r>
        <w:rPr>
          <w:rFonts w:hint="eastAsia" w:ascii="宋体" w:hAnsi="宋体" w:eastAsia="宋体" w:cs="宋体"/>
          <w:b/>
          <w:bCs/>
          <w:color w:val="auto"/>
          <w:spacing w:val="1"/>
          <w:sz w:val="28"/>
          <w:szCs w:val="32"/>
          <w:highlight w:val="none"/>
          <w:lang w:val="zh-CN"/>
        </w:rPr>
        <w:t>投标人</w:t>
      </w:r>
      <w:r>
        <w:rPr>
          <w:rFonts w:hint="eastAsia" w:ascii="宋体" w:hAnsi="宋体" w:eastAsia="宋体" w:cs="宋体"/>
          <w:b/>
          <w:bCs/>
          <w:color w:val="auto"/>
          <w:spacing w:val="-3"/>
          <w:sz w:val="28"/>
          <w:szCs w:val="32"/>
          <w:highlight w:val="none"/>
          <w:lang w:val="zh-CN"/>
        </w:rPr>
        <w:t>资</w:t>
      </w:r>
      <w:r>
        <w:rPr>
          <w:rFonts w:hint="eastAsia" w:ascii="宋体" w:hAnsi="宋体" w:eastAsia="宋体" w:cs="宋体"/>
          <w:b/>
          <w:bCs/>
          <w:color w:val="auto"/>
          <w:spacing w:val="1"/>
          <w:sz w:val="28"/>
          <w:szCs w:val="32"/>
          <w:highlight w:val="none"/>
          <w:lang w:val="zh-CN"/>
        </w:rPr>
        <w:t>格要求</w:t>
      </w:r>
      <w:bookmarkEnd w:id="37"/>
      <w:bookmarkEnd w:id="38"/>
      <w:bookmarkEnd w:id="39"/>
    </w:p>
    <w:p w14:paraId="089F9141">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1.4.1 投标人应具备承担本招标项目资质条件、能力和信誉：</w:t>
      </w:r>
    </w:p>
    <w:p w14:paraId="6C94220F">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（1）资质要求：见投标人须知前附表；</w:t>
      </w:r>
    </w:p>
    <w:p w14:paraId="09EB832D">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（2）业绩要求：见投标人须知前附表；</w:t>
      </w:r>
    </w:p>
    <w:p w14:paraId="2B141437">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（3）项目负责人的资格要求：应当具备工程设计类注册执业资格（如有），具体要求见投标人须知前附表；</w:t>
      </w:r>
    </w:p>
    <w:p w14:paraId="3C5844AB">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（4）其他主要人员要求：见投标人须知前附表。</w:t>
      </w:r>
    </w:p>
    <w:p w14:paraId="214F20ED">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（5）其他要求：见投标人须知前附表。</w:t>
      </w:r>
    </w:p>
    <w:p w14:paraId="73AEDE8A">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需要提交的相关证明材料见本章第3.5款的规定。</w:t>
      </w:r>
    </w:p>
    <w:p w14:paraId="169C480D">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1.4.2 投标人须知前附表规定接受联合体投标的，联合体除应符合本章第1.4.1项和投标人须知前附表的要求外，还应遵守以下规定：</w:t>
      </w:r>
    </w:p>
    <w:p w14:paraId="0484CE34">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（1）联合体各方应按招标文件提供的格式签订联合体协议书，明确联合体牵头人和各方权利义务，并承诺就中标项目向招标人承担连带责任；</w:t>
      </w:r>
    </w:p>
    <w:p w14:paraId="75E74C32">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（2）由同一专业的单位组成的联合体，按照资质等级较低的单位确定资质等级；</w:t>
      </w:r>
    </w:p>
    <w:p w14:paraId="456319EB">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（3）联合体各方不得再以自己名义单独或参加其他联合体在本招标项目中投标，否则各相关投标均无效。</w:t>
      </w:r>
    </w:p>
    <w:p w14:paraId="05E61AAD">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1.4.3 投标人不得存在下列情形之一：</w:t>
      </w:r>
    </w:p>
    <w:p w14:paraId="679A0B34">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（1）为招标人不具有独立法人资格的附属机构（单位）；</w:t>
      </w:r>
    </w:p>
    <w:p w14:paraId="1BACB81D">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（2）与招标人存在利害关系且可能影响招标公正性；</w:t>
      </w:r>
    </w:p>
    <w:p w14:paraId="4C1FEB6E">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（3）与本招标项目的其他投标人为同一个单位负责人；</w:t>
      </w:r>
    </w:p>
    <w:p w14:paraId="7F97ABF4">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（4）与本招标项目的其他投标人存在控股、管理关系；</w:t>
      </w:r>
    </w:p>
    <w:p w14:paraId="78ACBD67">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（5）为本招标项目的代建人或建设管理单位；</w:t>
      </w:r>
    </w:p>
    <w:p w14:paraId="15EB0BBC">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（6）为本招标项目的招标代理机构；</w:t>
      </w:r>
    </w:p>
    <w:p w14:paraId="752DF3C0">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（7）与本招标项目的代建人或招标代理机构同为一个法定代表人；</w:t>
      </w:r>
    </w:p>
    <w:p w14:paraId="7EECFF63">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（8）与本招标项目的代建人或招标代理机构存在控股或参股关系；</w:t>
      </w:r>
    </w:p>
    <w:p w14:paraId="650E75DE">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9）被依法暂停或者取消投标资格（本项事实应当以根据《中华人民共和国行政处罚法》依法作出并已生效的行政处罚决定为认定依据。行政处罚决定中已明确暂停或取消投标资格的区域范围不包含本标段建设地点的，不受该项规定限制）；</w:t>
      </w:r>
    </w:p>
    <w:p w14:paraId="76CCBE0E">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（10）被责令停产停业、暂扣或者吊销许可证、暂扣或者吊销执照（本项事实应当以根据《中华人民共和国行政处罚法》依法作出并已生效的行政处罚决定为认定依据）；</w:t>
      </w:r>
    </w:p>
    <w:p w14:paraId="27A41B52">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（11）进入清算程序，或被宣告破产，或其他丧失履约能力的情形；</w:t>
      </w:r>
    </w:p>
    <w:p w14:paraId="5DB8D28F">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12）在最近三年内发生重大设计质量问题的（以相关行业主管部门的行政处罚决定或司法机关出具的有关法律文书为准。“最近三年”是指从投标截止时间之日起逆推三年，以相关行业主管部门、司法机关、仲裁机构出具的生效文件的落款时间起计算）；</w:t>
      </w:r>
    </w:p>
    <w:p w14:paraId="16729384">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u w:val="single"/>
        </w:rPr>
      </w:pPr>
      <w:r>
        <w:rPr>
          <w:rFonts w:hint="eastAsia" w:ascii="宋体" w:hAnsi="宋体" w:eastAsia="宋体" w:cs="宋体"/>
          <w:color w:val="auto"/>
          <w:spacing w:val="-2"/>
          <w:kern w:val="0"/>
          <w:sz w:val="24"/>
          <w:szCs w:val="24"/>
          <w:highlight w:val="none"/>
        </w:rPr>
        <w:t>（13）法律法规或投标人须知前附表规定的其他情形。</w:t>
      </w:r>
    </w:p>
    <w:p w14:paraId="4491E115">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p>
    <w:p w14:paraId="2B74A9F6">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40" w:name="_Toc29074"/>
      <w:bookmarkStart w:id="41" w:name="_Toc111186729"/>
      <w:bookmarkStart w:id="42" w:name="_Toc193357944"/>
      <w:r>
        <w:rPr>
          <w:rFonts w:hint="eastAsia" w:ascii="宋体" w:hAnsi="宋体" w:eastAsia="宋体" w:cs="宋体"/>
          <w:b/>
          <w:bCs/>
          <w:color w:val="auto"/>
          <w:spacing w:val="1"/>
          <w:sz w:val="28"/>
          <w:szCs w:val="32"/>
          <w:highlight w:val="none"/>
          <w:lang w:val="zh-CN"/>
        </w:rPr>
        <w:t>1.5</w:t>
      </w:r>
      <w:r>
        <w:rPr>
          <w:rFonts w:hint="eastAsia" w:ascii="宋体" w:hAnsi="宋体" w:eastAsia="宋体" w:cs="宋体"/>
          <w:b/>
          <w:bCs/>
          <w:color w:val="auto"/>
          <w:spacing w:val="68"/>
          <w:sz w:val="28"/>
          <w:szCs w:val="32"/>
          <w:highlight w:val="none"/>
          <w:lang w:val="zh-CN"/>
        </w:rPr>
        <w:t xml:space="preserve"> </w:t>
      </w:r>
      <w:r>
        <w:rPr>
          <w:rFonts w:hint="eastAsia" w:ascii="宋体" w:hAnsi="宋体" w:eastAsia="宋体" w:cs="宋体"/>
          <w:b/>
          <w:bCs/>
          <w:color w:val="auto"/>
          <w:spacing w:val="1"/>
          <w:sz w:val="28"/>
          <w:szCs w:val="32"/>
          <w:highlight w:val="none"/>
          <w:lang w:val="zh-CN"/>
        </w:rPr>
        <w:t>费用承担</w:t>
      </w:r>
      <w:bookmarkEnd w:id="40"/>
      <w:bookmarkEnd w:id="41"/>
      <w:bookmarkEnd w:id="42"/>
    </w:p>
    <w:p w14:paraId="35A91936">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投标人准备和参加投标活动发生的费用自理。</w:t>
      </w:r>
    </w:p>
    <w:p w14:paraId="3338F41A">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p>
    <w:p w14:paraId="2AF947DD">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43" w:name="_Toc111186730"/>
      <w:bookmarkStart w:id="44" w:name="_Toc8560"/>
      <w:bookmarkStart w:id="45" w:name="_Toc193357945"/>
      <w:r>
        <w:rPr>
          <w:rFonts w:hint="eastAsia" w:ascii="宋体" w:hAnsi="宋体" w:eastAsia="宋体" w:cs="宋体"/>
          <w:b/>
          <w:bCs/>
          <w:color w:val="auto"/>
          <w:spacing w:val="1"/>
          <w:sz w:val="28"/>
          <w:szCs w:val="32"/>
          <w:highlight w:val="none"/>
          <w:lang w:val="zh-CN"/>
        </w:rPr>
        <w:t>1.6</w:t>
      </w:r>
      <w:r>
        <w:rPr>
          <w:rFonts w:hint="eastAsia" w:ascii="宋体" w:hAnsi="宋体" w:eastAsia="宋体" w:cs="宋体"/>
          <w:b/>
          <w:bCs/>
          <w:color w:val="auto"/>
          <w:spacing w:val="-2"/>
          <w:sz w:val="28"/>
          <w:szCs w:val="32"/>
          <w:highlight w:val="none"/>
          <w:lang w:val="zh-CN"/>
        </w:rPr>
        <w:t xml:space="preserve"> </w:t>
      </w:r>
      <w:r>
        <w:rPr>
          <w:rFonts w:hint="eastAsia" w:ascii="宋体" w:hAnsi="宋体" w:eastAsia="宋体" w:cs="宋体"/>
          <w:b/>
          <w:bCs/>
          <w:color w:val="auto"/>
          <w:spacing w:val="1"/>
          <w:sz w:val="28"/>
          <w:szCs w:val="32"/>
          <w:highlight w:val="none"/>
          <w:lang w:val="zh-CN"/>
        </w:rPr>
        <w:t>保密</w:t>
      </w:r>
      <w:bookmarkEnd w:id="43"/>
      <w:bookmarkEnd w:id="44"/>
      <w:bookmarkEnd w:id="45"/>
    </w:p>
    <w:p w14:paraId="3846A887">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参与招标投标活动的各方应对招标文件和投标文件中的商业和技术等秘密保密，否则应承担相应的法律责任。</w:t>
      </w:r>
    </w:p>
    <w:p w14:paraId="09BC0236">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p>
    <w:p w14:paraId="0CAD89D1">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46" w:name="_Toc111186731"/>
      <w:bookmarkStart w:id="47" w:name="_Toc28000"/>
      <w:bookmarkStart w:id="48" w:name="_Toc193357946"/>
      <w:r>
        <w:rPr>
          <w:rFonts w:hint="eastAsia" w:ascii="宋体" w:hAnsi="宋体" w:eastAsia="宋体" w:cs="宋体"/>
          <w:b/>
          <w:bCs/>
          <w:color w:val="auto"/>
          <w:spacing w:val="1"/>
          <w:sz w:val="28"/>
          <w:szCs w:val="32"/>
          <w:highlight w:val="none"/>
          <w:lang w:val="zh-CN"/>
        </w:rPr>
        <w:t>1</w:t>
      </w:r>
      <w:r>
        <w:rPr>
          <w:rFonts w:hint="eastAsia" w:ascii="宋体" w:hAnsi="宋体" w:eastAsia="宋体" w:cs="宋体"/>
          <w:b/>
          <w:bCs/>
          <w:color w:val="auto"/>
          <w:spacing w:val="-1"/>
          <w:sz w:val="28"/>
          <w:szCs w:val="32"/>
          <w:highlight w:val="none"/>
          <w:lang w:val="zh-CN"/>
        </w:rPr>
        <w:t>.</w:t>
      </w:r>
      <w:r>
        <w:rPr>
          <w:rFonts w:hint="eastAsia" w:ascii="宋体" w:hAnsi="宋体" w:eastAsia="宋体" w:cs="宋体"/>
          <w:b/>
          <w:bCs/>
          <w:color w:val="auto"/>
          <w:spacing w:val="1"/>
          <w:sz w:val="28"/>
          <w:szCs w:val="32"/>
          <w:highlight w:val="none"/>
          <w:lang w:val="zh-CN"/>
        </w:rPr>
        <w:t>7</w:t>
      </w:r>
      <w:r>
        <w:rPr>
          <w:rFonts w:hint="eastAsia" w:ascii="宋体" w:hAnsi="宋体" w:eastAsia="宋体" w:cs="宋体"/>
          <w:b/>
          <w:bCs/>
          <w:color w:val="auto"/>
          <w:spacing w:val="68"/>
          <w:sz w:val="28"/>
          <w:szCs w:val="32"/>
          <w:highlight w:val="none"/>
          <w:lang w:val="zh-CN"/>
        </w:rPr>
        <w:t xml:space="preserve"> </w:t>
      </w:r>
      <w:r>
        <w:rPr>
          <w:rFonts w:hint="eastAsia" w:ascii="宋体" w:hAnsi="宋体" w:eastAsia="宋体" w:cs="宋体"/>
          <w:b/>
          <w:bCs/>
          <w:color w:val="auto"/>
          <w:spacing w:val="1"/>
          <w:sz w:val="28"/>
          <w:szCs w:val="32"/>
          <w:highlight w:val="none"/>
          <w:lang w:val="zh-CN"/>
        </w:rPr>
        <w:t>语言文字</w:t>
      </w:r>
      <w:bookmarkEnd w:id="46"/>
      <w:bookmarkEnd w:id="47"/>
      <w:bookmarkEnd w:id="48"/>
    </w:p>
    <w:p w14:paraId="788CD33D">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招标投标文件使用的语言文字为中文。专用术语使用外文的，应附有中文注释。</w:t>
      </w:r>
    </w:p>
    <w:p w14:paraId="4D90D3D4">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p>
    <w:p w14:paraId="481B51D8">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49" w:name="_Toc3237"/>
      <w:bookmarkStart w:id="50" w:name="_Toc111186732"/>
      <w:bookmarkStart w:id="51" w:name="_Toc193357947"/>
      <w:r>
        <w:rPr>
          <w:rFonts w:hint="eastAsia" w:ascii="宋体" w:hAnsi="宋体" w:eastAsia="宋体" w:cs="宋体"/>
          <w:b/>
          <w:bCs/>
          <w:color w:val="auto"/>
          <w:spacing w:val="1"/>
          <w:sz w:val="28"/>
          <w:szCs w:val="32"/>
          <w:highlight w:val="none"/>
          <w:lang w:val="zh-CN"/>
        </w:rPr>
        <w:t>1</w:t>
      </w:r>
      <w:r>
        <w:rPr>
          <w:rFonts w:hint="eastAsia" w:ascii="宋体" w:hAnsi="宋体" w:eastAsia="宋体" w:cs="宋体"/>
          <w:b/>
          <w:bCs/>
          <w:color w:val="auto"/>
          <w:spacing w:val="-1"/>
          <w:sz w:val="28"/>
          <w:szCs w:val="32"/>
          <w:highlight w:val="none"/>
          <w:lang w:val="zh-CN"/>
        </w:rPr>
        <w:t>.</w:t>
      </w:r>
      <w:r>
        <w:rPr>
          <w:rFonts w:hint="eastAsia" w:ascii="宋体" w:hAnsi="宋体" w:eastAsia="宋体" w:cs="宋体"/>
          <w:b/>
          <w:bCs/>
          <w:color w:val="auto"/>
          <w:spacing w:val="1"/>
          <w:sz w:val="28"/>
          <w:szCs w:val="32"/>
          <w:highlight w:val="none"/>
          <w:lang w:val="zh-CN"/>
        </w:rPr>
        <w:t>8</w:t>
      </w:r>
      <w:r>
        <w:rPr>
          <w:rFonts w:hint="eastAsia" w:ascii="宋体" w:hAnsi="宋体" w:eastAsia="宋体" w:cs="宋体"/>
          <w:b/>
          <w:bCs/>
          <w:color w:val="auto"/>
          <w:spacing w:val="-2"/>
          <w:sz w:val="28"/>
          <w:szCs w:val="32"/>
          <w:highlight w:val="none"/>
          <w:lang w:val="zh-CN"/>
        </w:rPr>
        <w:t xml:space="preserve"> </w:t>
      </w:r>
      <w:r>
        <w:rPr>
          <w:rFonts w:hint="eastAsia" w:ascii="宋体" w:hAnsi="宋体" w:eastAsia="宋体" w:cs="宋体"/>
          <w:b/>
          <w:bCs/>
          <w:color w:val="auto"/>
          <w:spacing w:val="1"/>
          <w:sz w:val="28"/>
          <w:szCs w:val="32"/>
          <w:highlight w:val="none"/>
          <w:lang w:val="zh-CN"/>
        </w:rPr>
        <w:t>计量单位</w:t>
      </w:r>
      <w:bookmarkEnd w:id="49"/>
      <w:bookmarkEnd w:id="50"/>
      <w:bookmarkEnd w:id="51"/>
    </w:p>
    <w:p w14:paraId="5B1F9F89">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所有计量均采用中华人民共和国法定计量单位。</w:t>
      </w:r>
    </w:p>
    <w:p w14:paraId="67384354">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p>
    <w:p w14:paraId="747BD151">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52" w:name="_Toc111186733"/>
      <w:bookmarkStart w:id="53" w:name="_Toc193357948"/>
      <w:bookmarkStart w:id="54" w:name="_Toc9357"/>
      <w:r>
        <w:rPr>
          <w:rFonts w:hint="eastAsia" w:ascii="宋体" w:hAnsi="宋体" w:eastAsia="宋体" w:cs="宋体"/>
          <w:b/>
          <w:bCs/>
          <w:color w:val="auto"/>
          <w:spacing w:val="1"/>
          <w:sz w:val="28"/>
          <w:szCs w:val="32"/>
          <w:highlight w:val="none"/>
          <w:lang w:val="zh-CN"/>
        </w:rPr>
        <w:t>1.9</w:t>
      </w:r>
      <w:r>
        <w:rPr>
          <w:rFonts w:hint="eastAsia" w:ascii="宋体" w:hAnsi="宋体" w:eastAsia="宋体" w:cs="宋体"/>
          <w:b/>
          <w:bCs/>
          <w:color w:val="auto"/>
          <w:spacing w:val="68"/>
          <w:sz w:val="28"/>
          <w:szCs w:val="32"/>
          <w:highlight w:val="none"/>
          <w:lang w:val="zh-CN"/>
        </w:rPr>
        <w:t xml:space="preserve"> </w:t>
      </w:r>
      <w:r>
        <w:rPr>
          <w:rFonts w:hint="eastAsia" w:ascii="宋体" w:hAnsi="宋体" w:eastAsia="宋体" w:cs="宋体"/>
          <w:b/>
          <w:bCs/>
          <w:color w:val="auto"/>
          <w:spacing w:val="1"/>
          <w:sz w:val="28"/>
          <w:szCs w:val="32"/>
          <w:highlight w:val="none"/>
          <w:lang w:val="zh-CN"/>
        </w:rPr>
        <w:t>踏勘现场</w:t>
      </w:r>
      <w:bookmarkEnd w:id="52"/>
      <w:bookmarkEnd w:id="53"/>
      <w:bookmarkEnd w:id="54"/>
    </w:p>
    <w:p w14:paraId="4D1A0E88">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1.9.1 投标人须知前附表规定组织踏勘现场的，招标人按投标人须知前附表规定的时间、地点组织投标人踏勘项目现场。部分投标人未按时参加踏勘现场的，不影响踏勘现场的正常进行。</w:t>
      </w:r>
    </w:p>
    <w:p w14:paraId="7BAC45DA">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1.9.2 投标人踏勘现场发生的费用自理。</w:t>
      </w:r>
    </w:p>
    <w:p w14:paraId="1B00C338">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1.9.3 除招标人的原因外，投标人自行负责踏勘现场中所发生的人员伤亡和财产损失。</w:t>
      </w:r>
    </w:p>
    <w:p w14:paraId="074DFB1D">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1.9.4 由于投标人没有对工程现场及周围环境进行踏勘，造成投标失误的，由投标人自行承担责任和损失。</w:t>
      </w:r>
    </w:p>
    <w:p w14:paraId="55A72AC0">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p>
    <w:p w14:paraId="091FEFD4">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55" w:name="_Toc111186734"/>
      <w:bookmarkStart w:id="56" w:name="_Toc16096"/>
      <w:bookmarkStart w:id="57" w:name="_Toc193357949"/>
      <w:r>
        <w:rPr>
          <w:rFonts w:hint="eastAsia" w:ascii="宋体" w:hAnsi="宋体" w:eastAsia="宋体" w:cs="宋体"/>
          <w:b/>
          <w:bCs/>
          <w:color w:val="auto"/>
          <w:spacing w:val="1"/>
          <w:sz w:val="28"/>
          <w:szCs w:val="32"/>
          <w:highlight w:val="none"/>
          <w:lang w:val="zh-CN"/>
        </w:rPr>
        <w:t>1</w:t>
      </w:r>
      <w:r>
        <w:rPr>
          <w:rFonts w:hint="eastAsia" w:ascii="宋体" w:hAnsi="宋体" w:eastAsia="宋体" w:cs="宋体"/>
          <w:b/>
          <w:bCs/>
          <w:color w:val="auto"/>
          <w:spacing w:val="-1"/>
          <w:sz w:val="28"/>
          <w:szCs w:val="32"/>
          <w:highlight w:val="none"/>
          <w:lang w:val="zh-CN"/>
        </w:rPr>
        <w:t>.1</w:t>
      </w:r>
      <w:r>
        <w:rPr>
          <w:rFonts w:hint="eastAsia" w:ascii="宋体" w:hAnsi="宋体" w:eastAsia="宋体" w:cs="宋体"/>
          <w:b/>
          <w:bCs/>
          <w:color w:val="auto"/>
          <w:spacing w:val="1"/>
          <w:sz w:val="28"/>
          <w:szCs w:val="32"/>
          <w:highlight w:val="none"/>
          <w:lang w:val="zh-CN"/>
        </w:rPr>
        <w:t>0</w:t>
      </w:r>
      <w:r>
        <w:rPr>
          <w:rFonts w:hint="eastAsia" w:ascii="宋体" w:hAnsi="宋体" w:eastAsia="宋体" w:cs="宋体"/>
          <w:b/>
          <w:bCs/>
          <w:color w:val="auto"/>
          <w:spacing w:val="-2"/>
          <w:sz w:val="28"/>
          <w:szCs w:val="32"/>
          <w:highlight w:val="none"/>
          <w:lang w:val="zh-CN"/>
        </w:rPr>
        <w:t xml:space="preserve"> </w:t>
      </w:r>
      <w:r>
        <w:rPr>
          <w:rFonts w:hint="eastAsia" w:ascii="宋体" w:hAnsi="宋体" w:eastAsia="宋体" w:cs="宋体"/>
          <w:b/>
          <w:bCs/>
          <w:color w:val="auto"/>
          <w:spacing w:val="1"/>
          <w:sz w:val="28"/>
          <w:szCs w:val="32"/>
          <w:highlight w:val="none"/>
          <w:lang w:val="zh-CN"/>
        </w:rPr>
        <w:t>投标预备会</w:t>
      </w:r>
      <w:bookmarkEnd w:id="55"/>
      <w:bookmarkEnd w:id="56"/>
      <w:bookmarkEnd w:id="57"/>
    </w:p>
    <w:p w14:paraId="294056F5">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1.10.1 投标人须知前附表规定召开投标预备会的，招标人按投标人须知前附表规定的时间和地点召开投标预备会，澄清投标人提出的问题。</w:t>
      </w:r>
    </w:p>
    <w:p w14:paraId="2454BEA9">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1.10.2 投标人应按投标人须知前附表规定的时间和形式将提出的问题送达招标人，以便招标人在会议期间澄清。</w:t>
      </w:r>
    </w:p>
    <w:p w14:paraId="62232213">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1.10.3 投标预备会后，招标人将对投标人所提问题的澄清，以投标人须知前附表规定的形式通知所有购买招标文件的投标人。该澄清内容为招标文件的组成部分。</w:t>
      </w:r>
    </w:p>
    <w:p w14:paraId="78DF1415">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p>
    <w:p w14:paraId="21125A06">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58" w:name="_Toc16438"/>
      <w:bookmarkStart w:id="59" w:name="_Toc193357950"/>
      <w:bookmarkStart w:id="60" w:name="_Toc111186735"/>
      <w:r>
        <w:rPr>
          <w:rFonts w:hint="eastAsia" w:ascii="宋体" w:hAnsi="宋体" w:eastAsia="宋体" w:cs="宋体"/>
          <w:b/>
          <w:bCs/>
          <w:color w:val="auto"/>
          <w:spacing w:val="1"/>
          <w:sz w:val="28"/>
          <w:szCs w:val="32"/>
          <w:highlight w:val="none"/>
          <w:lang w:val="zh-CN"/>
        </w:rPr>
        <w:t>1.</w:t>
      </w:r>
      <w:r>
        <w:rPr>
          <w:rFonts w:hint="eastAsia" w:ascii="宋体" w:hAnsi="宋体" w:eastAsia="宋体" w:cs="宋体"/>
          <w:b/>
          <w:bCs/>
          <w:color w:val="auto"/>
          <w:spacing w:val="-12"/>
          <w:sz w:val="28"/>
          <w:szCs w:val="32"/>
          <w:highlight w:val="none"/>
          <w:lang w:val="zh-CN"/>
        </w:rPr>
        <w:t>1</w:t>
      </w:r>
      <w:r>
        <w:rPr>
          <w:rFonts w:hint="eastAsia" w:ascii="宋体" w:hAnsi="宋体" w:eastAsia="宋体" w:cs="宋体"/>
          <w:b/>
          <w:bCs/>
          <w:color w:val="auto"/>
          <w:spacing w:val="1"/>
          <w:sz w:val="28"/>
          <w:szCs w:val="32"/>
          <w:highlight w:val="none"/>
          <w:lang w:val="zh-CN"/>
        </w:rPr>
        <w:t>1</w:t>
      </w:r>
      <w:r>
        <w:rPr>
          <w:rFonts w:hint="eastAsia" w:ascii="宋体" w:hAnsi="宋体" w:eastAsia="宋体" w:cs="宋体"/>
          <w:b/>
          <w:bCs/>
          <w:color w:val="auto"/>
          <w:spacing w:val="68"/>
          <w:sz w:val="28"/>
          <w:szCs w:val="32"/>
          <w:highlight w:val="none"/>
          <w:lang w:val="zh-CN"/>
        </w:rPr>
        <w:t xml:space="preserve"> </w:t>
      </w:r>
      <w:r>
        <w:rPr>
          <w:rFonts w:hint="eastAsia" w:ascii="宋体" w:hAnsi="宋体" w:eastAsia="宋体" w:cs="宋体"/>
          <w:b/>
          <w:bCs/>
          <w:color w:val="auto"/>
          <w:spacing w:val="1"/>
          <w:sz w:val="28"/>
          <w:szCs w:val="32"/>
          <w:highlight w:val="none"/>
          <w:lang w:val="zh-CN"/>
        </w:rPr>
        <w:t>分包</w:t>
      </w:r>
      <w:bookmarkEnd w:id="58"/>
      <w:bookmarkEnd w:id="59"/>
      <w:bookmarkEnd w:id="60"/>
    </w:p>
    <w:p w14:paraId="58145D56">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1.11.1 投标人拟在中标后将中标项目的非主体、非关键性设计工作进行分包的，应符合投标人须知前附表规定的分包内容、分包金额和资质要求等限制性条件，除投标人须知前附表规定的非主体、非关键性设计工作外，其他工作不得分包。</w:t>
      </w:r>
    </w:p>
    <w:p w14:paraId="204D9F2F">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1.11.2 中标人不得向他人转让中标项目，接受分包的人不得再次分包。中标人应当就分包项目向招标人负责，接受分包的人就分包项目承担连带责任。</w:t>
      </w:r>
    </w:p>
    <w:p w14:paraId="5CE099FA">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p>
    <w:p w14:paraId="2F7FE5BC">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61" w:name="_Toc111186736"/>
      <w:bookmarkStart w:id="62" w:name="_Toc193357951"/>
      <w:bookmarkStart w:id="63" w:name="_Toc10229"/>
      <w:r>
        <w:rPr>
          <w:rFonts w:hint="eastAsia" w:ascii="宋体" w:hAnsi="宋体" w:eastAsia="宋体" w:cs="宋体"/>
          <w:b/>
          <w:bCs/>
          <w:color w:val="auto"/>
          <w:spacing w:val="1"/>
          <w:sz w:val="28"/>
          <w:szCs w:val="32"/>
          <w:highlight w:val="none"/>
          <w:lang w:val="zh-CN"/>
        </w:rPr>
        <w:t>1.</w:t>
      </w:r>
      <w:r>
        <w:rPr>
          <w:rFonts w:hint="eastAsia" w:ascii="宋体" w:hAnsi="宋体" w:eastAsia="宋体" w:cs="宋体"/>
          <w:b/>
          <w:bCs/>
          <w:color w:val="auto"/>
          <w:spacing w:val="-2"/>
          <w:sz w:val="28"/>
          <w:szCs w:val="32"/>
          <w:highlight w:val="none"/>
          <w:lang w:val="zh-CN"/>
        </w:rPr>
        <w:t>1</w:t>
      </w:r>
      <w:r>
        <w:rPr>
          <w:rFonts w:hint="eastAsia" w:ascii="宋体" w:hAnsi="宋体" w:eastAsia="宋体" w:cs="宋体"/>
          <w:b/>
          <w:bCs/>
          <w:color w:val="auto"/>
          <w:spacing w:val="1"/>
          <w:sz w:val="28"/>
          <w:szCs w:val="32"/>
          <w:highlight w:val="none"/>
          <w:lang w:val="zh-CN"/>
        </w:rPr>
        <w:t>2</w:t>
      </w:r>
      <w:r>
        <w:rPr>
          <w:rFonts w:hint="eastAsia" w:ascii="宋体" w:hAnsi="宋体" w:eastAsia="宋体" w:cs="宋体"/>
          <w:b/>
          <w:bCs/>
          <w:color w:val="auto"/>
          <w:spacing w:val="-1"/>
          <w:sz w:val="28"/>
          <w:szCs w:val="32"/>
          <w:highlight w:val="none"/>
          <w:lang w:val="zh-CN"/>
        </w:rPr>
        <w:t xml:space="preserve"> </w:t>
      </w:r>
      <w:r>
        <w:rPr>
          <w:rFonts w:hint="eastAsia" w:ascii="宋体" w:hAnsi="宋体" w:eastAsia="宋体" w:cs="宋体"/>
          <w:b/>
          <w:bCs/>
          <w:color w:val="auto"/>
          <w:spacing w:val="1"/>
          <w:sz w:val="28"/>
          <w:szCs w:val="32"/>
          <w:highlight w:val="none"/>
          <w:lang w:val="zh-CN"/>
        </w:rPr>
        <w:t>响应和偏差</w:t>
      </w:r>
      <w:bookmarkEnd w:id="61"/>
      <w:bookmarkEnd w:id="62"/>
      <w:bookmarkEnd w:id="63"/>
    </w:p>
    <w:p w14:paraId="589D35F0">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1.12.1 投标文件应当对招标文件的实质性要求和条件作出满足性或更有利于招标人的响应，否则，投标人的投标将被否决。实质性要求和条件见投标人须知前附表。</w:t>
      </w:r>
    </w:p>
    <w:p w14:paraId="222B0D75">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1.12.2 投标人应根据招标文件的要求提供投标设计方案等内容以对招标文件作出响应。</w:t>
      </w:r>
    </w:p>
    <w:p w14:paraId="68B0101A">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1.12.3 投标人须知前附表允许投标文件偏离招标文件某些要求的，偏差应当符合招标文件规定的偏差范围和幅度。</w:t>
      </w:r>
    </w:p>
    <w:p w14:paraId="4566A40A">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p>
    <w:p w14:paraId="0DAFF15F">
      <w:pPr>
        <w:keepNext/>
        <w:keepLines/>
        <w:wordWrap w:val="0"/>
        <w:spacing w:line="360" w:lineRule="auto"/>
        <w:outlineLvl w:val="1"/>
        <w:rPr>
          <w:rFonts w:ascii="宋体" w:hAnsi="宋体" w:eastAsia="宋体" w:cs="宋体"/>
          <w:b/>
          <w:bCs/>
          <w:color w:val="auto"/>
          <w:kern w:val="0"/>
          <w:sz w:val="24"/>
          <w:szCs w:val="30"/>
          <w:highlight w:val="none"/>
          <w:lang w:val="zh-CN"/>
        </w:rPr>
      </w:pPr>
      <w:bookmarkStart w:id="64" w:name="_Toc111186737"/>
      <w:bookmarkStart w:id="65" w:name="_Toc22370"/>
      <w:bookmarkStart w:id="66" w:name="_Toc193357952"/>
      <w:r>
        <w:rPr>
          <w:rFonts w:hint="eastAsia" w:ascii="宋体" w:hAnsi="宋体" w:eastAsia="宋体" w:cs="宋体"/>
          <w:b/>
          <w:bCs/>
          <w:color w:val="auto"/>
          <w:kern w:val="0"/>
          <w:sz w:val="30"/>
          <w:szCs w:val="30"/>
          <w:highlight w:val="none"/>
          <w:lang w:val="zh-CN"/>
        </w:rPr>
        <w:t>2.</w:t>
      </w:r>
      <w:r>
        <w:rPr>
          <w:rFonts w:hint="eastAsia" w:ascii="宋体" w:hAnsi="宋体" w:eastAsia="宋体" w:cs="宋体"/>
          <w:b/>
          <w:bCs/>
          <w:color w:val="auto"/>
          <w:spacing w:val="78"/>
          <w:kern w:val="0"/>
          <w:sz w:val="30"/>
          <w:szCs w:val="30"/>
          <w:highlight w:val="none"/>
          <w:lang w:val="zh-CN"/>
        </w:rPr>
        <w:t xml:space="preserve"> </w:t>
      </w:r>
      <w:r>
        <w:rPr>
          <w:rFonts w:hint="eastAsia" w:ascii="宋体" w:hAnsi="宋体" w:eastAsia="宋体" w:cs="宋体"/>
          <w:b/>
          <w:bCs/>
          <w:color w:val="auto"/>
          <w:kern w:val="0"/>
          <w:sz w:val="30"/>
          <w:szCs w:val="30"/>
          <w:highlight w:val="none"/>
          <w:lang w:val="zh-CN"/>
        </w:rPr>
        <w:t>招标文件</w:t>
      </w:r>
      <w:bookmarkEnd w:id="64"/>
      <w:bookmarkEnd w:id="65"/>
      <w:bookmarkEnd w:id="66"/>
    </w:p>
    <w:p w14:paraId="31CB85E8">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67" w:name="_Toc193357953"/>
      <w:bookmarkStart w:id="68" w:name="_Toc111186738"/>
      <w:bookmarkStart w:id="69" w:name="_Toc22346"/>
      <w:r>
        <w:rPr>
          <w:rFonts w:hint="eastAsia" w:ascii="宋体" w:hAnsi="宋体" w:eastAsia="宋体" w:cs="宋体"/>
          <w:b/>
          <w:bCs/>
          <w:color w:val="auto"/>
          <w:spacing w:val="1"/>
          <w:sz w:val="28"/>
          <w:szCs w:val="32"/>
          <w:highlight w:val="none"/>
          <w:lang w:val="zh-CN"/>
        </w:rPr>
        <w:t>2.1</w:t>
      </w:r>
      <w:r>
        <w:rPr>
          <w:rFonts w:hint="eastAsia" w:ascii="宋体" w:hAnsi="宋体" w:eastAsia="宋体" w:cs="宋体"/>
          <w:b/>
          <w:bCs/>
          <w:color w:val="auto"/>
          <w:spacing w:val="68"/>
          <w:sz w:val="28"/>
          <w:szCs w:val="32"/>
          <w:highlight w:val="none"/>
          <w:lang w:val="zh-CN"/>
        </w:rPr>
        <w:t xml:space="preserve"> </w:t>
      </w:r>
      <w:r>
        <w:rPr>
          <w:rFonts w:hint="eastAsia" w:ascii="宋体" w:hAnsi="宋体" w:eastAsia="宋体" w:cs="宋体"/>
          <w:b/>
          <w:bCs/>
          <w:color w:val="auto"/>
          <w:spacing w:val="1"/>
          <w:sz w:val="28"/>
          <w:szCs w:val="32"/>
          <w:highlight w:val="none"/>
          <w:lang w:val="zh-CN"/>
        </w:rPr>
        <w:t>招标文件</w:t>
      </w:r>
      <w:r>
        <w:rPr>
          <w:rFonts w:hint="eastAsia" w:ascii="宋体" w:hAnsi="宋体" w:eastAsia="宋体" w:cs="宋体"/>
          <w:b/>
          <w:bCs/>
          <w:color w:val="auto"/>
          <w:spacing w:val="-3"/>
          <w:sz w:val="28"/>
          <w:szCs w:val="32"/>
          <w:highlight w:val="none"/>
          <w:lang w:val="zh-CN"/>
        </w:rPr>
        <w:t>的</w:t>
      </w:r>
      <w:r>
        <w:rPr>
          <w:rFonts w:hint="eastAsia" w:ascii="宋体" w:hAnsi="宋体" w:eastAsia="宋体" w:cs="宋体"/>
          <w:b/>
          <w:bCs/>
          <w:color w:val="auto"/>
          <w:spacing w:val="1"/>
          <w:sz w:val="28"/>
          <w:szCs w:val="32"/>
          <w:highlight w:val="none"/>
          <w:lang w:val="zh-CN"/>
        </w:rPr>
        <w:t>组成</w:t>
      </w:r>
      <w:bookmarkEnd w:id="67"/>
      <w:bookmarkEnd w:id="68"/>
      <w:bookmarkEnd w:id="69"/>
    </w:p>
    <w:p w14:paraId="67DCD831">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本招标文件包括：</w:t>
      </w:r>
    </w:p>
    <w:p w14:paraId="1E5EB182">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（1）招标公告；</w:t>
      </w:r>
    </w:p>
    <w:p w14:paraId="31CC9CAC">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（2）投标人须知；</w:t>
      </w:r>
    </w:p>
    <w:p w14:paraId="11A3412A">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（3）评标办法；</w:t>
      </w:r>
    </w:p>
    <w:p w14:paraId="3F079118">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（4）合同条款及格式；</w:t>
      </w:r>
    </w:p>
    <w:p w14:paraId="20561F56">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（5）委托人要求；</w:t>
      </w:r>
    </w:p>
    <w:p w14:paraId="22FCE303">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（6）投标文件格式；</w:t>
      </w:r>
    </w:p>
    <w:p w14:paraId="5A9DA97A">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（7）投标人须知前附表规定的其他资料。</w:t>
      </w:r>
    </w:p>
    <w:p w14:paraId="6D7BA0C8">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根据本章第1.10款、第2.2款和第2.3款对招标文件所作的澄清、修改，构成招标文件的组成部分。</w:t>
      </w:r>
    </w:p>
    <w:p w14:paraId="3AD41556">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p>
    <w:p w14:paraId="754367AB">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70" w:name="_Toc9843"/>
      <w:bookmarkStart w:id="71" w:name="_Toc193357954"/>
      <w:bookmarkStart w:id="72" w:name="_Toc111186739"/>
      <w:r>
        <w:rPr>
          <w:rFonts w:hint="eastAsia" w:ascii="宋体" w:hAnsi="宋体" w:eastAsia="宋体" w:cs="宋体"/>
          <w:b/>
          <w:bCs/>
          <w:color w:val="auto"/>
          <w:spacing w:val="1"/>
          <w:sz w:val="28"/>
          <w:szCs w:val="32"/>
          <w:highlight w:val="none"/>
          <w:lang w:val="zh-CN"/>
        </w:rPr>
        <w:t>2.2</w:t>
      </w:r>
      <w:r>
        <w:rPr>
          <w:rFonts w:hint="eastAsia" w:ascii="宋体" w:hAnsi="宋体" w:eastAsia="宋体" w:cs="宋体"/>
          <w:b/>
          <w:bCs/>
          <w:color w:val="auto"/>
          <w:spacing w:val="68"/>
          <w:sz w:val="28"/>
          <w:szCs w:val="32"/>
          <w:highlight w:val="none"/>
          <w:lang w:val="zh-CN"/>
        </w:rPr>
        <w:t xml:space="preserve"> </w:t>
      </w:r>
      <w:r>
        <w:rPr>
          <w:rFonts w:hint="eastAsia" w:ascii="宋体" w:hAnsi="宋体" w:eastAsia="宋体" w:cs="宋体"/>
          <w:b/>
          <w:bCs/>
          <w:color w:val="auto"/>
          <w:spacing w:val="1"/>
          <w:sz w:val="28"/>
          <w:szCs w:val="32"/>
          <w:highlight w:val="none"/>
          <w:lang w:val="zh-CN"/>
        </w:rPr>
        <w:t>招标文件</w:t>
      </w:r>
      <w:r>
        <w:rPr>
          <w:rFonts w:hint="eastAsia" w:ascii="宋体" w:hAnsi="宋体" w:eastAsia="宋体" w:cs="宋体"/>
          <w:b/>
          <w:bCs/>
          <w:color w:val="auto"/>
          <w:spacing w:val="-3"/>
          <w:sz w:val="28"/>
          <w:szCs w:val="32"/>
          <w:highlight w:val="none"/>
          <w:lang w:val="zh-CN"/>
        </w:rPr>
        <w:t>的</w:t>
      </w:r>
      <w:bookmarkEnd w:id="70"/>
      <w:bookmarkEnd w:id="71"/>
      <w:bookmarkEnd w:id="72"/>
      <w:r>
        <w:rPr>
          <w:rFonts w:hint="eastAsia" w:ascii="宋体" w:hAnsi="宋体" w:eastAsia="宋体" w:cs="宋体"/>
          <w:b/>
          <w:bCs/>
          <w:color w:val="auto"/>
          <w:spacing w:val="1"/>
          <w:sz w:val="28"/>
          <w:szCs w:val="32"/>
          <w:highlight w:val="none"/>
          <w:lang w:val="zh-CN"/>
        </w:rPr>
        <w:t>答疑</w:t>
      </w:r>
    </w:p>
    <w:p w14:paraId="35ED0CBF">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2.2.1 投标人应仔细阅读和检查招标文件的全部内容。如有疑问，应按投标人须知前附表规定的时间和形式将提出的问题送达招标人，要求招标人对招标文件予以澄清。</w:t>
      </w:r>
    </w:p>
    <w:p w14:paraId="620EDE84">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2.2.2 招标答疑采用网上答疑方式进行。投标人若对招标文件有疑问的，通过</w:t>
      </w:r>
      <w:r>
        <w:rPr>
          <w:rFonts w:hint="eastAsia" w:ascii="宋体" w:hAnsi="宋体" w:eastAsia="宋体" w:cs="宋体"/>
          <w:color w:val="auto"/>
          <w:spacing w:val="-2"/>
          <w:kern w:val="0"/>
          <w:sz w:val="24"/>
          <w:szCs w:val="24"/>
          <w:highlight w:val="none"/>
          <w:u w:val="single"/>
        </w:rPr>
        <w:t>广州交易集团有限公司（广州公共资源交易中心）</w:t>
      </w:r>
      <w:r>
        <w:rPr>
          <w:rFonts w:hint="eastAsia" w:ascii="宋体" w:hAnsi="宋体" w:eastAsia="宋体" w:cs="宋体"/>
          <w:color w:val="auto"/>
          <w:spacing w:val="-2"/>
          <w:kern w:val="0"/>
          <w:sz w:val="24"/>
          <w:szCs w:val="24"/>
          <w:highlight w:val="none"/>
        </w:rPr>
        <w:t>网站提交，应按照</w:t>
      </w:r>
      <w:r>
        <w:rPr>
          <w:rFonts w:hint="eastAsia" w:ascii="宋体" w:hAnsi="宋体" w:eastAsia="宋体" w:cs="宋体"/>
          <w:color w:val="auto"/>
          <w:spacing w:val="-2"/>
          <w:kern w:val="0"/>
          <w:sz w:val="24"/>
          <w:szCs w:val="24"/>
          <w:highlight w:val="none"/>
          <w:u w:val="single"/>
        </w:rPr>
        <w:t>广州交易集团有限公司（广州公共资源交易中心）</w:t>
      </w:r>
      <w:r>
        <w:rPr>
          <w:rFonts w:hint="eastAsia" w:ascii="宋体" w:hAnsi="宋体" w:eastAsia="宋体" w:cs="宋体"/>
          <w:color w:val="auto"/>
          <w:spacing w:val="-2"/>
          <w:kern w:val="0"/>
          <w:sz w:val="24"/>
          <w:szCs w:val="24"/>
          <w:highlight w:val="none"/>
        </w:rPr>
        <w:t>网站关于全流程电子化项目的相关指南进行操作。提问一律不得署名。</w:t>
      </w:r>
    </w:p>
    <w:p w14:paraId="6F7B53B4">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2.2.3 招标答疑会会议纪要将在提交投标文件截止时间15日前在</w:t>
      </w:r>
      <w:r>
        <w:rPr>
          <w:rFonts w:hint="eastAsia" w:ascii="宋体" w:hAnsi="宋体" w:eastAsia="宋体" w:cs="宋体"/>
          <w:color w:val="auto"/>
          <w:spacing w:val="-2"/>
          <w:kern w:val="0"/>
          <w:sz w:val="24"/>
          <w:szCs w:val="24"/>
          <w:highlight w:val="none"/>
          <w:u w:val="single"/>
        </w:rPr>
        <w:t>广州交易集团有限公司（广州公共资源交易中心）网站“项目答疑纪要”专区公开</w:t>
      </w:r>
      <w:r>
        <w:rPr>
          <w:rFonts w:hint="eastAsia" w:ascii="宋体" w:hAnsi="宋体" w:eastAsia="宋体" w:cs="宋体"/>
          <w:color w:val="auto"/>
          <w:spacing w:val="-2"/>
          <w:kern w:val="0"/>
          <w:sz w:val="24"/>
          <w:szCs w:val="24"/>
          <w:highlight w:val="none"/>
        </w:rPr>
        <w:t>发布。答疑纪要一经在</w:t>
      </w:r>
      <w:r>
        <w:rPr>
          <w:rFonts w:hint="eastAsia" w:ascii="宋体" w:hAnsi="宋体" w:eastAsia="宋体" w:cs="宋体"/>
          <w:color w:val="auto"/>
          <w:spacing w:val="-2"/>
          <w:kern w:val="0"/>
          <w:sz w:val="24"/>
          <w:szCs w:val="24"/>
          <w:highlight w:val="none"/>
          <w:u w:val="single"/>
        </w:rPr>
        <w:t>广州交易集团有限公司（广州公共资源交易中心）</w:t>
      </w:r>
      <w:r>
        <w:rPr>
          <w:rFonts w:hint="eastAsia" w:ascii="宋体" w:hAnsi="宋体" w:eastAsia="宋体" w:cs="宋体"/>
          <w:color w:val="auto"/>
          <w:spacing w:val="-2"/>
          <w:kern w:val="0"/>
          <w:sz w:val="24"/>
          <w:szCs w:val="24"/>
          <w:highlight w:val="none"/>
        </w:rPr>
        <w:t>网站发布，视作已发放给所有投标人。澄清发出的时间距本章第4.2.1项规定的投标截止时间不足15日的，并且澄清内容可能影响投标文件编制的，将相应延长投标截止时间。</w:t>
      </w:r>
    </w:p>
    <w:p w14:paraId="694713DA">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2.2.4 招标答疑会会议纪要是招标文件的组成部分，对投标人起约束作用。若招标答疑会会议纪要与招标文件有矛盾时，以</w:t>
      </w:r>
      <w:r>
        <w:rPr>
          <w:rFonts w:hint="eastAsia" w:ascii="宋体" w:hAnsi="宋体" w:eastAsia="宋体" w:cs="宋体"/>
          <w:color w:val="auto"/>
          <w:spacing w:val="-2"/>
          <w:kern w:val="0"/>
          <w:sz w:val="24"/>
          <w:szCs w:val="24"/>
          <w:highlight w:val="none"/>
          <w:u w:val="single"/>
        </w:rPr>
        <w:t>广州交易集团有限公司（广州公共资源交易中心）</w:t>
      </w:r>
      <w:r>
        <w:rPr>
          <w:rFonts w:hint="eastAsia" w:ascii="宋体" w:hAnsi="宋体" w:eastAsia="宋体" w:cs="宋体"/>
          <w:color w:val="auto"/>
          <w:spacing w:val="-2"/>
          <w:kern w:val="0"/>
          <w:sz w:val="24"/>
          <w:szCs w:val="24"/>
          <w:highlight w:val="none"/>
        </w:rPr>
        <w:t>网站最后发布的答疑纪要为准。</w:t>
      </w:r>
    </w:p>
    <w:p w14:paraId="66D18EF3">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2.2.5 除非招标人认为确有必要答复，否则，招标人有权拒绝回复投标人在本章第2.2.1项规定的时间后的任何澄清要求。</w:t>
      </w:r>
    </w:p>
    <w:p w14:paraId="1065EAAE">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p>
    <w:p w14:paraId="30E8C5FE">
      <w:pPr>
        <w:keepNext/>
        <w:keepLines/>
        <w:wordWrap w:val="0"/>
        <w:spacing w:before="260" w:line="416" w:lineRule="auto"/>
        <w:outlineLvl w:val="2"/>
        <w:rPr>
          <w:rFonts w:ascii="宋体" w:hAnsi="宋体" w:eastAsia="宋体" w:cs="宋体"/>
          <w:b/>
          <w:bCs/>
          <w:color w:val="auto"/>
          <w:spacing w:val="1"/>
          <w:kern w:val="0"/>
          <w:sz w:val="28"/>
          <w:szCs w:val="28"/>
          <w:highlight w:val="none"/>
          <w:lang w:val="zh-CN"/>
        </w:rPr>
      </w:pPr>
      <w:bookmarkStart w:id="73" w:name="_Toc111186740"/>
      <w:bookmarkStart w:id="74" w:name="_Toc8197"/>
      <w:bookmarkStart w:id="75" w:name="_Toc193357955"/>
      <w:r>
        <w:rPr>
          <w:rFonts w:hint="eastAsia" w:ascii="宋体" w:hAnsi="宋体" w:eastAsia="宋体" w:cs="宋体"/>
          <w:b/>
          <w:bCs/>
          <w:color w:val="auto"/>
          <w:spacing w:val="1"/>
          <w:sz w:val="28"/>
          <w:szCs w:val="32"/>
          <w:highlight w:val="none"/>
          <w:lang w:val="zh-CN"/>
        </w:rPr>
        <w:t>2.3 招标文件的澄清与修改</w:t>
      </w:r>
      <w:bookmarkEnd w:id="73"/>
      <w:bookmarkEnd w:id="74"/>
      <w:bookmarkEnd w:id="75"/>
    </w:p>
    <w:p w14:paraId="6D005E43">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2.3.1 招标文件发出后，在提交投标文件截止时间15日前，招标人可对招标文件进行必要的澄清或修改。</w:t>
      </w:r>
    </w:p>
    <w:p w14:paraId="422D2AFF">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2.3.2 招标文件的澄清或修改将在广州交易集团有限公司（广州公共资源交易中心）网站“项目答疑纪要”专区公开发布。招标文件的澄清或修改一经在</w:t>
      </w:r>
      <w:r>
        <w:rPr>
          <w:rFonts w:hint="eastAsia" w:ascii="宋体" w:hAnsi="宋体" w:eastAsia="宋体" w:cs="宋体"/>
          <w:color w:val="auto"/>
          <w:spacing w:val="-2"/>
          <w:kern w:val="0"/>
          <w:sz w:val="24"/>
          <w:szCs w:val="24"/>
          <w:highlight w:val="none"/>
          <w:u w:val="single"/>
        </w:rPr>
        <w:t>广州交易集团有限公司（广州公共资源交易中心）</w:t>
      </w:r>
      <w:r>
        <w:rPr>
          <w:rFonts w:hint="eastAsia" w:ascii="宋体" w:hAnsi="宋体" w:eastAsia="宋体" w:cs="宋体"/>
          <w:color w:val="auto"/>
          <w:spacing w:val="-2"/>
          <w:kern w:val="0"/>
          <w:sz w:val="24"/>
          <w:szCs w:val="24"/>
          <w:highlight w:val="none"/>
        </w:rPr>
        <w:t>网站发布，视作已发放给所有投标人，以</w:t>
      </w:r>
      <w:r>
        <w:rPr>
          <w:rFonts w:hint="eastAsia" w:ascii="宋体" w:hAnsi="宋体" w:eastAsia="宋体" w:cs="宋体"/>
          <w:color w:val="auto"/>
          <w:spacing w:val="-2"/>
          <w:kern w:val="0"/>
          <w:sz w:val="24"/>
          <w:szCs w:val="24"/>
          <w:highlight w:val="none"/>
          <w:u w:val="single"/>
        </w:rPr>
        <w:t>广州交易集团有限公司（广州公共资源交易中心）</w:t>
      </w:r>
      <w:r>
        <w:rPr>
          <w:rFonts w:hint="eastAsia" w:ascii="宋体" w:hAnsi="宋体" w:eastAsia="宋体" w:cs="宋体"/>
          <w:color w:val="auto"/>
          <w:spacing w:val="-2"/>
          <w:kern w:val="0"/>
          <w:sz w:val="24"/>
          <w:szCs w:val="24"/>
          <w:highlight w:val="none"/>
        </w:rPr>
        <w:t>网站发布时间作为送达时间。</w:t>
      </w:r>
    </w:p>
    <w:p w14:paraId="59D75FD0">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2.3.3 招标文件的澄清或修改是招标文件的组成部分，对投标人起约束作用。</w:t>
      </w:r>
    </w:p>
    <w:p w14:paraId="36838CF9">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2.3.4 招标文件的澄清或修改均以</w:t>
      </w:r>
      <w:r>
        <w:rPr>
          <w:rFonts w:hint="eastAsia" w:ascii="宋体" w:hAnsi="宋体" w:eastAsia="宋体" w:cs="宋体"/>
          <w:color w:val="auto"/>
          <w:spacing w:val="-2"/>
          <w:kern w:val="0"/>
          <w:sz w:val="24"/>
          <w:szCs w:val="24"/>
          <w:highlight w:val="none"/>
          <w:u w:val="single"/>
        </w:rPr>
        <w:t>广州交易集团有限公司（广州公共资源交易中心）</w:t>
      </w:r>
      <w:r>
        <w:rPr>
          <w:rFonts w:hint="eastAsia" w:ascii="宋体" w:hAnsi="宋体" w:eastAsia="宋体" w:cs="宋体"/>
          <w:color w:val="auto"/>
          <w:spacing w:val="-2"/>
          <w:kern w:val="0"/>
          <w:sz w:val="24"/>
          <w:szCs w:val="24"/>
          <w:highlight w:val="none"/>
        </w:rPr>
        <w:t>网站发布的内容为准。当招标文件的澄清、修改、补充等在同一内容的表述不一致时，以</w:t>
      </w:r>
      <w:r>
        <w:rPr>
          <w:rFonts w:hint="eastAsia" w:ascii="宋体" w:hAnsi="宋体" w:eastAsia="宋体" w:cs="宋体"/>
          <w:color w:val="auto"/>
          <w:spacing w:val="-2"/>
          <w:kern w:val="0"/>
          <w:sz w:val="24"/>
          <w:szCs w:val="24"/>
          <w:highlight w:val="none"/>
          <w:u w:val="single"/>
        </w:rPr>
        <w:t>广州交易集团有限公司（广州公共资源交易中心）</w:t>
      </w:r>
      <w:r>
        <w:rPr>
          <w:rFonts w:hint="eastAsia" w:ascii="宋体" w:hAnsi="宋体" w:eastAsia="宋体" w:cs="宋体"/>
          <w:color w:val="auto"/>
          <w:spacing w:val="-2"/>
          <w:kern w:val="0"/>
          <w:sz w:val="24"/>
          <w:szCs w:val="24"/>
          <w:highlight w:val="none"/>
        </w:rPr>
        <w:t>网站最后发布的内容为准。</w:t>
      </w:r>
    </w:p>
    <w:p w14:paraId="6FC40133">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2.3.5 为使投标人在编制投标文件时有充分的时间对招标文件的澄清或修改等内容考虑进去，招标人将酌情延长提交投标文件的截止时间，具体时间将在招标文件的澄清或修改中予以明确。若澄清或修改中没有明确延长时间，即表示投标时间不延长。</w:t>
      </w:r>
    </w:p>
    <w:p w14:paraId="4D6EEC13">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p>
    <w:p w14:paraId="33637A22">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76" w:name="_Toc193357956"/>
      <w:bookmarkStart w:id="77" w:name="_Toc17179"/>
      <w:bookmarkStart w:id="78" w:name="_Toc111186741"/>
      <w:r>
        <w:rPr>
          <w:rFonts w:hint="eastAsia" w:ascii="宋体" w:hAnsi="宋体" w:eastAsia="宋体" w:cs="宋体"/>
          <w:b/>
          <w:bCs/>
          <w:color w:val="auto"/>
          <w:spacing w:val="1"/>
          <w:sz w:val="28"/>
          <w:szCs w:val="32"/>
          <w:highlight w:val="none"/>
          <w:lang w:val="zh-CN"/>
        </w:rPr>
        <w:t>2.4</w:t>
      </w:r>
      <w:r>
        <w:rPr>
          <w:rFonts w:hint="eastAsia" w:ascii="宋体" w:hAnsi="宋体" w:eastAsia="宋体" w:cs="宋体"/>
          <w:b/>
          <w:bCs/>
          <w:color w:val="auto"/>
          <w:spacing w:val="68"/>
          <w:sz w:val="28"/>
          <w:szCs w:val="32"/>
          <w:highlight w:val="none"/>
          <w:lang w:val="zh-CN"/>
        </w:rPr>
        <w:t xml:space="preserve"> </w:t>
      </w:r>
      <w:r>
        <w:rPr>
          <w:rFonts w:hint="eastAsia" w:ascii="宋体" w:hAnsi="宋体" w:eastAsia="宋体" w:cs="宋体"/>
          <w:b/>
          <w:bCs/>
          <w:color w:val="auto"/>
          <w:spacing w:val="1"/>
          <w:sz w:val="28"/>
          <w:szCs w:val="32"/>
          <w:highlight w:val="none"/>
          <w:lang w:val="zh-CN"/>
        </w:rPr>
        <w:t>招标文件</w:t>
      </w:r>
      <w:r>
        <w:rPr>
          <w:rFonts w:hint="eastAsia" w:ascii="宋体" w:hAnsi="宋体" w:eastAsia="宋体" w:cs="宋体"/>
          <w:b/>
          <w:bCs/>
          <w:color w:val="auto"/>
          <w:spacing w:val="-3"/>
          <w:sz w:val="28"/>
          <w:szCs w:val="32"/>
          <w:highlight w:val="none"/>
          <w:lang w:val="zh-CN"/>
        </w:rPr>
        <w:t>的</w:t>
      </w:r>
      <w:r>
        <w:rPr>
          <w:rFonts w:hint="eastAsia" w:ascii="宋体" w:hAnsi="宋体" w:eastAsia="宋体" w:cs="宋体"/>
          <w:b/>
          <w:bCs/>
          <w:color w:val="auto"/>
          <w:spacing w:val="1"/>
          <w:sz w:val="28"/>
          <w:szCs w:val="32"/>
          <w:highlight w:val="none"/>
          <w:lang w:val="zh-CN"/>
        </w:rPr>
        <w:t>异议</w:t>
      </w:r>
      <w:bookmarkEnd w:id="76"/>
      <w:bookmarkEnd w:id="77"/>
      <w:bookmarkEnd w:id="78"/>
    </w:p>
    <w:p w14:paraId="0A512D0B">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r>
        <w:rPr>
          <w:rFonts w:hint="eastAsia" w:ascii="宋体" w:hAnsi="宋体" w:eastAsia="宋体" w:cs="宋体"/>
          <w:color w:val="auto"/>
          <w:spacing w:val="-2"/>
          <w:kern w:val="0"/>
          <w:sz w:val="24"/>
          <w:szCs w:val="24"/>
          <w:highlight w:val="none"/>
        </w:rPr>
        <w:t>投标人或者其他利害关系人对招标文件有异议的，应当在投标截止时间10日前以书面形式提出。招标人将在收到异议之日起3日内作出答复；作出答复前，将暂停招标投标活动。</w:t>
      </w:r>
    </w:p>
    <w:p w14:paraId="6739A56F">
      <w:pPr>
        <w:wordWrap w:val="0"/>
        <w:autoSpaceDE w:val="0"/>
        <w:autoSpaceDN w:val="0"/>
        <w:spacing w:line="360" w:lineRule="auto"/>
        <w:ind w:firstLine="472" w:firstLineChars="200"/>
        <w:rPr>
          <w:rFonts w:ascii="宋体" w:hAnsi="宋体" w:eastAsia="宋体" w:cs="宋体"/>
          <w:color w:val="auto"/>
          <w:spacing w:val="-2"/>
          <w:kern w:val="0"/>
          <w:sz w:val="24"/>
          <w:szCs w:val="24"/>
          <w:highlight w:val="none"/>
        </w:rPr>
      </w:pPr>
    </w:p>
    <w:p w14:paraId="298C7422">
      <w:pPr>
        <w:keepNext/>
        <w:keepLines/>
        <w:wordWrap w:val="0"/>
        <w:spacing w:line="360" w:lineRule="auto"/>
        <w:outlineLvl w:val="1"/>
        <w:rPr>
          <w:rFonts w:ascii="宋体" w:hAnsi="宋体" w:eastAsia="宋体" w:cs="宋体"/>
          <w:b/>
          <w:bCs/>
          <w:color w:val="auto"/>
          <w:kern w:val="0"/>
          <w:sz w:val="30"/>
          <w:szCs w:val="30"/>
          <w:highlight w:val="none"/>
          <w:lang w:val="zh-CN"/>
        </w:rPr>
      </w:pPr>
      <w:bookmarkStart w:id="79" w:name="_Toc111186742"/>
      <w:bookmarkStart w:id="80" w:name="_Toc7081"/>
      <w:bookmarkStart w:id="81" w:name="_Toc193357957"/>
      <w:r>
        <w:rPr>
          <w:rFonts w:hint="eastAsia" w:ascii="宋体" w:hAnsi="宋体" w:eastAsia="宋体" w:cs="宋体"/>
          <w:b/>
          <w:bCs/>
          <w:color w:val="auto"/>
          <w:kern w:val="0"/>
          <w:sz w:val="30"/>
          <w:szCs w:val="30"/>
          <w:highlight w:val="none"/>
          <w:lang w:val="zh-CN"/>
        </w:rPr>
        <w:t>3.</w:t>
      </w:r>
      <w:r>
        <w:rPr>
          <w:rFonts w:hint="eastAsia" w:ascii="宋体" w:hAnsi="宋体" w:eastAsia="宋体" w:cs="宋体"/>
          <w:b/>
          <w:bCs/>
          <w:color w:val="auto"/>
          <w:spacing w:val="78"/>
          <w:kern w:val="0"/>
          <w:sz w:val="30"/>
          <w:szCs w:val="30"/>
          <w:highlight w:val="none"/>
          <w:lang w:val="zh-CN"/>
        </w:rPr>
        <w:t xml:space="preserve"> </w:t>
      </w:r>
      <w:r>
        <w:rPr>
          <w:rFonts w:hint="eastAsia" w:ascii="宋体" w:hAnsi="宋体" w:eastAsia="宋体" w:cs="宋体"/>
          <w:b/>
          <w:bCs/>
          <w:color w:val="auto"/>
          <w:kern w:val="0"/>
          <w:sz w:val="30"/>
          <w:szCs w:val="30"/>
          <w:highlight w:val="none"/>
          <w:lang w:val="zh-CN"/>
        </w:rPr>
        <w:t>投标文件</w:t>
      </w:r>
      <w:bookmarkEnd w:id="79"/>
      <w:bookmarkEnd w:id="80"/>
      <w:bookmarkEnd w:id="81"/>
    </w:p>
    <w:p w14:paraId="0C5009E8">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82" w:name="_Toc111186743"/>
      <w:bookmarkStart w:id="83" w:name="_Toc14590"/>
      <w:bookmarkStart w:id="84" w:name="_Toc193357958"/>
      <w:r>
        <w:rPr>
          <w:rFonts w:hint="eastAsia" w:ascii="宋体" w:hAnsi="宋体" w:eastAsia="宋体" w:cs="宋体"/>
          <w:b/>
          <w:bCs/>
          <w:color w:val="auto"/>
          <w:spacing w:val="1"/>
          <w:sz w:val="28"/>
          <w:szCs w:val="32"/>
          <w:highlight w:val="none"/>
          <w:lang w:val="zh-CN"/>
        </w:rPr>
        <w:t>3.1</w:t>
      </w:r>
      <w:r>
        <w:rPr>
          <w:rFonts w:hint="eastAsia" w:ascii="宋体" w:hAnsi="宋体" w:eastAsia="宋体" w:cs="宋体"/>
          <w:b/>
          <w:bCs/>
          <w:color w:val="auto"/>
          <w:spacing w:val="68"/>
          <w:sz w:val="28"/>
          <w:szCs w:val="32"/>
          <w:highlight w:val="none"/>
          <w:lang w:val="zh-CN"/>
        </w:rPr>
        <w:t xml:space="preserve"> </w:t>
      </w:r>
      <w:r>
        <w:rPr>
          <w:rFonts w:hint="eastAsia" w:ascii="宋体" w:hAnsi="宋体" w:eastAsia="宋体" w:cs="宋体"/>
          <w:b/>
          <w:bCs/>
          <w:color w:val="auto"/>
          <w:spacing w:val="1"/>
          <w:sz w:val="28"/>
          <w:szCs w:val="32"/>
          <w:highlight w:val="none"/>
          <w:lang w:val="zh-CN"/>
        </w:rPr>
        <w:t>投标文件</w:t>
      </w:r>
      <w:r>
        <w:rPr>
          <w:rFonts w:hint="eastAsia" w:ascii="宋体" w:hAnsi="宋体" w:eastAsia="宋体" w:cs="宋体"/>
          <w:b/>
          <w:bCs/>
          <w:color w:val="auto"/>
          <w:spacing w:val="-3"/>
          <w:sz w:val="28"/>
          <w:szCs w:val="32"/>
          <w:highlight w:val="none"/>
          <w:lang w:val="zh-CN"/>
        </w:rPr>
        <w:t>的</w:t>
      </w:r>
      <w:r>
        <w:rPr>
          <w:rFonts w:hint="eastAsia" w:ascii="宋体" w:hAnsi="宋体" w:eastAsia="宋体" w:cs="宋体"/>
          <w:b/>
          <w:bCs/>
          <w:color w:val="auto"/>
          <w:spacing w:val="1"/>
          <w:sz w:val="28"/>
          <w:szCs w:val="32"/>
          <w:highlight w:val="none"/>
          <w:lang w:val="zh-CN"/>
        </w:rPr>
        <w:t>组成（适用于非暗标形式）</w:t>
      </w:r>
    </w:p>
    <w:p w14:paraId="7598BCAE">
      <w:pPr>
        <w:wordWrap w:val="0"/>
        <w:autoSpaceDE w:val="0"/>
        <w:autoSpaceDN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3.1.1 投标文件应包括下列内容：</w:t>
      </w:r>
    </w:p>
    <w:p w14:paraId="7F8B5046">
      <w:pPr>
        <w:wordWrap w:val="0"/>
        <w:autoSpaceDE w:val="0"/>
        <w:autoSpaceDN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（1）投标函及投标函附录；</w:t>
      </w:r>
    </w:p>
    <w:p w14:paraId="1E939161">
      <w:pPr>
        <w:wordWrap w:val="0"/>
        <w:autoSpaceDE w:val="0"/>
        <w:autoSpaceDN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（2）法定代表人身份证明或附有法定代表人身份证明的授权委托书；</w:t>
      </w:r>
    </w:p>
    <w:p w14:paraId="1E3D0B22">
      <w:pPr>
        <w:wordWrap w:val="0"/>
        <w:autoSpaceDE w:val="0"/>
        <w:autoSpaceDN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（3）联合体协议书；</w:t>
      </w:r>
    </w:p>
    <w:p w14:paraId="26E0E97A">
      <w:pPr>
        <w:wordWrap w:val="0"/>
        <w:autoSpaceDE w:val="0"/>
        <w:autoSpaceDN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（4）投标保证金（如有）；</w:t>
      </w:r>
    </w:p>
    <w:p w14:paraId="1D69A3CC">
      <w:pPr>
        <w:wordWrap w:val="0"/>
        <w:autoSpaceDE w:val="0"/>
        <w:autoSpaceDN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（5）勘察设计费报价表；</w:t>
      </w:r>
    </w:p>
    <w:p w14:paraId="78BD7E9B">
      <w:pPr>
        <w:wordWrap w:val="0"/>
        <w:autoSpaceDE w:val="0"/>
        <w:autoSpaceDN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（6）资格审查资料；</w:t>
      </w:r>
    </w:p>
    <w:p w14:paraId="18AEF4AD">
      <w:pPr>
        <w:wordWrap w:val="0"/>
        <w:autoSpaceDE w:val="0"/>
        <w:autoSpaceDN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（7）勘察设计方案；</w:t>
      </w:r>
    </w:p>
    <w:p w14:paraId="0AED47C6">
      <w:pPr>
        <w:wordWrap w:val="0"/>
        <w:autoSpaceDE w:val="0"/>
        <w:autoSpaceDN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（8）投标人须知前附表规定的其他资料。 </w:t>
      </w:r>
    </w:p>
    <w:p w14:paraId="4BE72FE0">
      <w:pPr>
        <w:wordWrap w:val="0"/>
        <w:autoSpaceDE w:val="0"/>
        <w:autoSpaceDN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投标人在评标过程中作出的符合法律法规和招标文件规定的澄清确认，构成投标文件的组成部分。</w:t>
      </w:r>
    </w:p>
    <w:p w14:paraId="7F248002">
      <w:pPr>
        <w:wordWrap w:val="0"/>
        <w:autoSpaceDE w:val="0"/>
        <w:autoSpaceDN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3.1.2 投标人须知前附表规定不接受联合体投标的，或投标人没有组成联合体的，投标文件不包括本章第 3.1.1（3）目所指的联合体协议书。</w:t>
      </w:r>
    </w:p>
    <w:p w14:paraId="364FD28D">
      <w:pPr>
        <w:wordWrap w:val="0"/>
        <w:autoSpaceDE w:val="0"/>
        <w:autoSpaceDN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3.1.3 投标人须知前附表未要求提交投标保证金的，投标文件不包括本章第 3.1.1（4）目所指的投标保证金。</w:t>
      </w:r>
    </w:p>
    <w:p w14:paraId="2F4D2E96">
      <w:pPr>
        <w:keepNext/>
        <w:keepLines/>
        <w:wordWrap w:val="0"/>
        <w:spacing w:before="260" w:line="416" w:lineRule="auto"/>
        <w:outlineLvl w:val="2"/>
        <w:rPr>
          <w:rFonts w:ascii="宋体" w:hAnsi="宋体" w:eastAsia="宋体" w:cs="宋体"/>
          <w:b/>
          <w:bCs/>
          <w:color w:val="auto"/>
          <w:spacing w:val="1"/>
          <w:sz w:val="28"/>
          <w:szCs w:val="32"/>
          <w:highlight w:val="none"/>
          <w:lang w:val="zh-CN"/>
        </w:rPr>
      </w:pPr>
      <w:r>
        <w:rPr>
          <w:rFonts w:hint="eastAsia" w:ascii="宋体" w:hAnsi="宋体" w:eastAsia="宋体" w:cs="宋体"/>
          <w:b/>
          <w:bCs/>
          <w:color w:val="auto"/>
          <w:spacing w:val="1"/>
          <w:sz w:val="28"/>
          <w:szCs w:val="32"/>
          <w:highlight w:val="none"/>
          <w:lang w:val="zh-CN"/>
        </w:rPr>
        <w:t>3.1</w:t>
      </w:r>
      <w:r>
        <w:rPr>
          <w:rFonts w:hint="eastAsia" w:ascii="宋体" w:hAnsi="宋体" w:eastAsia="宋体" w:cs="宋体"/>
          <w:b/>
          <w:bCs/>
          <w:color w:val="auto"/>
          <w:spacing w:val="68"/>
          <w:sz w:val="28"/>
          <w:szCs w:val="32"/>
          <w:highlight w:val="none"/>
          <w:lang w:val="zh-CN"/>
        </w:rPr>
        <w:t xml:space="preserve"> </w:t>
      </w:r>
      <w:r>
        <w:rPr>
          <w:rFonts w:hint="eastAsia" w:ascii="宋体" w:hAnsi="宋体" w:eastAsia="宋体" w:cs="宋体"/>
          <w:b/>
          <w:bCs/>
          <w:color w:val="auto"/>
          <w:spacing w:val="1"/>
          <w:sz w:val="28"/>
          <w:szCs w:val="32"/>
          <w:highlight w:val="none"/>
          <w:lang w:val="zh-CN"/>
        </w:rPr>
        <w:t>投标文件</w:t>
      </w:r>
      <w:r>
        <w:rPr>
          <w:rFonts w:hint="eastAsia" w:ascii="宋体" w:hAnsi="宋体" w:eastAsia="宋体" w:cs="宋体"/>
          <w:b/>
          <w:bCs/>
          <w:color w:val="auto"/>
          <w:spacing w:val="-3"/>
          <w:sz w:val="28"/>
          <w:szCs w:val="32"/>
          <w:highlight w:val="none"/>
          <w:lang w:val="zh-CN"/>
        </w:rPr>
        <w:t>的</w:t>
      </w:r>
      <w:r>
        <w:rPr>
          <w:rFonts w:hint="eastAsia" w:ascii="宋体" w:hAnsi="宋体" w:eastAsia="宋体" w:cs="宋体"/>
          <w:b/>
          <w:bCs/>
          <w:color w:val="auto"/>
          <w:spacing w:val="1"/>
          <w:sz w:val="28"/>
          <w:szCs w:val="32"/>
          <w:highlight w:val="none"/>
          <w:lang w:val="zh-CN"/>
        </w:rPr>
        <w:t>组成</w:t>
      </w:r>
      <w:bookmarkEnd w:id="82"/>
      <w:bookmarkEnd w:id="83"/>
      <w:bookmarkEnd w:id="84"/>
      <w:r>
        <w:rPr>
          <w:rFonts w:hint="eastAsia" w:ascii="宋体" w:hAnsi="宋体" w:eastAsia="宋体" w:cs="宋体"/>
          <w:b/>
          <w:bCs/>
          <w:color w:val="auto"/>
          <w:spacing w:val="1"/>
          <w:sz w:val="28"/>
          <w:szCs w:val="32"/>
          <w:highlight w:val="none"/>
          <w:lang w:val="zh-CN"/>
        </w:rPr>
        <w:t>（适用于暗标形式）</w:t>
      </w:r>
    </w:p>
    <w:p w14:paraId="3F00EF48">
      <w:pPr>
        <w:wordWrap w:val="0"/>
        <w:autoSpaceDE w:val="0"/>
        <w:autoSpaceDN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3.1.1 商务文件（含资格审查文件）由下列资料组成：</w:t>
      </w:r>
    </w:p>
    <w:p w14:paraId="21E87F3D">
      <w:pPr>
        <w:wordWrap w:val="0"/>
        <w:autoSpaceDE w:val="0"/>
        <w:autoSpaceDN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（1）投标函及投标函附录；</w:t>
      </w:r>
    </w:p>
    <w:p w14:paraId="6F661815">
      <w:pPr>
        <w:wordWrap w:val="0"/>
        <w:autoSpaceDE w:val="0"/>
        <w:autoSpaceDN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（2）法定代表人身份证明或附有法定代表人身份证明的授权委托书；</w:t>
      </w:r>
    </w:p>
    <w:p w14:paraId="3AB6BE10">
      <w:pPr>
        <w:wordWrap w:val="0"/>
        <w:autoSpaceDE w:val="0"/>
        <w:autoSpaceDN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（3）联合体协议书；</w:t>
      </w:r>
    </w:p>
    <w:p w14:paraId="0FA63CF7">
      <w:pPr>
        <w:wordWrap w:val="0"/>
        <w:autoSpaceDE w:val="0"/>
        <w:autoSpaceDN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（4）投标保证金（如有）；</w:t>
      </w:r>
    </w:p>
    <w:p w14:paraId="777D7857">
      <w:pPr>
        <w:wordWrap w:val="0"/>
        <w:autoSpaceDE w:val="0"/>
        <w:autoSpaceDN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（5）勘察设计费报价表；</w:t>
      </w:r>
    </w:p>
    <w:p w14:paraId="237E8CAE">
      <w:pPr>
        <w:wordWrap w:val="0"/>
        <w:autoSpaceDE w:val="0"/>
        <w:autoSpaceDN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（6）资格审查资料；</w:t>
      </w:r>
    </w:p>
    <w:p w14:paraId="48E7B86A">
      <w:pPr>
        <w:wordWrap w:val="0"/>
        <w:autoSpaceDE w:val="0"/>
        <w:autoSpaceDN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（7）投标人须知前附表规定的其他资料。</w:t>
      </w:r>
    </w:p>
    <w:p w14:paraId="7C9AA61A">
      <w:pPr>
        <w:wordWrap w:val="0"/>
        <w:autoSpaceDE w:val="0"/>
        <w:autoSpaceDN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3.1.2 技术文件</w:t>
      </w:r>
    </w:p>
    <w:p w14:paraId="53E32D5A">
      <w:pPr>
        <w:wordWrap w:val="0"/>
        <w:autoSpaceDE w:val="0"/>
        <w:autoSpaceDN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勘察设计方案（暗标）。</w:t>
      </w:r>
    </w:p>
    <w:p w14:paraId="4D4FC3EA">
      <w:pPr>
        <w:wordWrap w:val="0"/>
        <w:autoSpaceDE w:val="0"/>
        <w:autoSpaceDN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3.1.3 投标人须知前附表规定不接受联合体投标的，或投标人没有组成联合体的，投标文件不包括本章第3.1.1（3）目所指的联合体协议书。</w:t>
      </w:r>
    </w:p>
    <w:p w14:paraId="081BC945">
      <w:pPr>
        <w:wordWrap w:val="0"/>
        <w:autoSpaceDE w:val="0"/>
        <w:autoSpaceDN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3.1.4 投标人须知前附表未要求提交投标保证金的，投标文件不包括本章第3.1.1（4）目所指的投标保证金。</w:t>
      </w:r>
    </w:p>
    <w:p w14:paraId="2D0506B4">
      <w:pPr>
        <w:wordWrap w:val="0"/>
        <w:autoSpaceDE w:val="0"/>
        <w:autoSpaceDN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3.1.5 保密要求</w:t>
      </w:r>
    </w:p>
    <w:p w14:paraId="34DEE86E">
      <w:pPr>
        <w:wordWrap w:val="0"/>
        <w:autoSpaceDE w:val="0"/>
        <w:autoSpaceDN w:val="0"/>
        <w:spacing w:line="360" w:lineRule="auto"/>
        <w:ind w:firstLine="480" w:firstLineChars="200"/>
        <w:rPr>
          <w:rFonts w:ascii="宋体" w:hAnsi="宋体" w:eastAsia="宋体" w:cs="宋体"/>
          <w:color w:val="auto"/>
          <w:kern w:val="0"/>
          <w:sz w:val="24"/>
          <w:szCs w:val="24"/>
          <w:highlight w:val="none"/>
          <w:u w:val="single"/>
        </w:rPr>
      </w:pPr>
      <w:r>
        <w:rPr>
          <w:rFonts w:hint="eastAsia" w:ascii="宋体" w:hAnsi="宋体" w:eastAsia="宋体" w:cs="宋体"/>
          <w:color w:val="auto"/>
          <w:sz w:val="24"/>
          <w:szCs w:val="24"/>
          <w:highlight w:val="none"/>
        </w:rPr>
        <w:t>勘察设计方案必须隐匿投标人及专业技术人员的名称及投标报价信息，投标人不得在勘察设计方案上标注或做任何可以辨认投标人及专业技术人员身份的名称、印章、商标，也不得显示投标报价信息。</w:t>
      </w:r>
    </w:p>
    <w:p w14:paraId="668790E9">
      <w:pPr>
        <w:wordWrap w:val="0"/>
        <w:autoSpaceDE w:val="0"/>
        <w:autoSpaceDN w:val="0"/>
        <w:spacing w:line="360" w:lineRule="auto"/>
        <w:ind w:firstLine="480" w:firstLineChars="200"/>
        <w:rPr>
          <w:rFonts w:ascii="宋体" w:hAnsi="宋体" w:eastAsia="宋体" w:cs="宋体"/>
          <w:color w:val="auto"/>
          <w:kern w:val="0"/>
          <w:sz w:val="24"/>
          <w:szCs w:val="24"/>
          <w:highlight w:val="none"/>
        </w:rPr>
      </w:pPr>
    </w:p>
    <w:p w14:paraId="79CF2963">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85" w:name="_Toc193357959"/>
      <w:bookmarkStart w:id="86" w:name="_Toc111186744"/>
      <w:bookmarkStart w:id="87" w:name="_Toc26290"/>
      <w:r>
        <w:rPr>
          <w:rFonts w:hint="eastAsia" w:ascii="宋体" w:hAnsi="宋体" w:eastAsia="宋体" w:cs="宋体"/>
          <w:b/>
          <w:bCs/>
          <w:color w:val="auto"/>
          <w:spacing w:val="1"/>
          <w:sz w:val="28"/>
          <w:szCs w:val="32"/>
          <w:highlight w:val="none"/>
          <w:lang w:val="zh-CN"/>
        </w:rPr>
        <w:t>3.2</w:t>
      </w:r>
      <w:r>
        <w:rPr>
          <w:rFonts w:hint="eastAsia" w:ascii="宋体" w:hAnsi="宋体" w:eastAsia="宋体" w:cs="宋体"/>
          <w:b/>
          <w:bCs/>
          <w:color w:val="auto"/>
          <w:spacing w:val="68"/>
          <w:sz w:val="28"/>
          <w:szCs w:val="32"/>
          <w:highlight w:val="none"/>
          <w:lang w:val="zh-CN"/>
        </w:rPr>
        <w:t xml:space="preserve"> </w:t>
      </w:r>
      <w:r>
        <w:rPr>
          <w:rFonts w:hint="eastAsia" w:ascii="宋体" w:hAnsi="宋体" w:eastAsia="宋体" w:cs="宋体"/>
          <w:b/>
          <w:bCs/>
          <w:color w:val="auto"/>
          <w:spacing w:val="1"/>
          <w:sz w:val="28"/>
          <w:szCs w:val="32"/>
          <w:highlight w:val="none"/>
          <w:lang w:val="zh-CN"/>
        </w:rPr>
        <w:t>投标报价</w:t>
      </w:r>
      <w:bookmarkEnd w:id="85"/>
      <w:bookmarkEnd w:id="86"/>
      <w:bookmarkEnd w:id="87"/>
    </w:p>
    <w:p w14:paraId="1B73A6A4">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3.2.1 投标报价应包括国家规定的增值税税金，除投标人须知前附表另有规定外，增值税税金按一般计税方法计算。投标人应按第六章“投标文件格式”的要求在投标函中进行报价并填写勘察设计费用清单。</w:t>
      </w:r>
    </w:p>
    <w:p w14:paraId="3ECC95CE">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3.2.2 投标人应充分了解该项目的总体情况以及影响投标报价的其他要素。</w:t>
      </w:r>
    </w:p>
    <w:p w14:paraId="499BCA77">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3.2.3 本项目的报价方式见投标人须知前附表。投标人在投标截止时间前修改投标函中的投标报价总额，应同时修改投标文件“勘察设计费报价表”中的相应报价。此修改须符合本章第4.3款的有关要求。</w:t>
      </w:r>
    </w:p>
    <w:p w14:paraId="78B30DC5">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3.2.4 招标人设有最高投标限价的，投标人的投标报价不得超过最高投标限价，最高投标限价在投标人须知前附表中载明。</w:t>
      </w:r>
    </w:p>
    <w:p w14:paraId="082436E8">
      <w:pPr>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olor w:val="auto"/>
          <w:sz w:val="24"/>
          <w:szCs w:val="24"/>
          <w:highlight w:val="none"/>
        </w:rPr>
        <w:t>3.2.5 投标报价的其他要求见投标人须知前附表。</w:t>
      </w:r>
    </w:p>
    <w:p w14:paraId="705B0AF7">
      <w:pPr>
        <w:wordWrap w:val="0"/>
        <w:autoSpaceDE w:val="0"/>
        <w:autoSpaceDN w:val="0"/>
        <w:spacing w:line="360" w:lineRule="auto"/>
        <w:ind w:firstLine="480" w:firstLineChars="200"/>
        <w:rPr>
          <w:rFonts w:ascii="宋体" w:hAnsi="宋体" w:eastAsia="宋体" w:cs="宋体"/>
          <w:color w:val="auto"/>
          <w:kern w:val="0"/>
          <w:sz w:val="24"/>
          <w:szCs w:val="24"/>
          <w:highlight w:val="none"/>
        </w:rPr>
      </w:pPr>
    </w:p>
    <w:p w14:paraId="6FC097C5">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88" w:name="_Toc193357960"/>
      <w:bookmarkStart w:id="89" w:name="_Toc7276"/>
      <w:bookmarkStart w:id="90" w:name="_Toc111186745"/>
      <w:r>
        <w:rPr>
          <w:rFonts w:hint="eastAsia" w:ascii="宋体" w:hAnsi="宋体" w:eastAsia="宋体" w:cs="宋体"/>
          <w:b/>
          <w:bCs/>
          <w:color w:val="auto"/>
          <w:spacing w:val="1"/>
          <w:sz w:val="28"/>
          <w:szCs w:val="32"/>
          <w:highlight w:val="none"/>
          <w:lang w:val="zh-CN"/>
        </w:rPr>
        <w:t>3.3</w:t>
      </w:r>
      <w:r>
        <w:rPr>
          <w:rFonts w:hint="eastAsia" w:ascii="宋体" w:hAnsi="宋体" w:eastAsia="宋体" w:cs="宋体"/>
          <w:b/>
          <w:bCs/>
          <w:color w:val="auto"/>
          <w:spacing w:val="68"/>
          <w:sz w:val="28"/>
          <w:szCs w:val="32"/>
          <w:highlight w:val="none"/>
          <w:lang w:val="zh-CN"/>
        </w:rPr>
        <w:t xml:space="preserve"> </w:t>
      </w:r>
      <w:r>
        <w:rPr>
          <w:rFonts w:hint="eastAsia" w:ascii="宋体" w:hAnsi="宋体" w:eastAsia="宋体" w:cs="宋体"/>
          <w:b/>
          <w:bCs/>
          <w:color w:val="auto"/>
          <w:spacing w:val="1"/>
          <w:sz w:val="28"/>
          <w:szCs w:val="32"/>
          <w:highlight w:val="none"/>
          <w:lang w:val="zh-CN"/>
        </w:rPr>
        <w:t>投标有效期</w:t>
      </w:r>
      <w:bookmarkEnd w:id="88"/>
      <w:bookmarkEnd w:id="89"/>
      <w:bookmarkEnd w:id="90"/>
    </w:p>
    <w:p w14:paraId="4A8B4C17">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3.3.1 除投标人须知前附表另有规定外，投标有效期不少于90天。</w:t>
      </w:r>
    </w:p>
    <w:p w14:paraId="5CF2DB01">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3.3.2 在投标有效期内，投标人撤销投标文件的，应承担招标文件和法律规定的责任。</w:t>
      </w:r>
    </w:p>
    <w:p w14:paraId="6BC8AE98">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者支票形式递交的投标保证金的银行同期存款利息。</w:t>
      </w:r>
    </w:p>
    <w:p w14:paraId="0CDEF961">
      <w:pPr>
        <w:wordWrap w:val="0"/>
        <w:autoSpaceDE w:val="0"/>
        <w:autoSpaceDN w:val="0"/>
        <w:spacing w:line="360" w:lineRule="auto"/>
        <w:ind w:firstLine="480" w:firstLineChars="200"/>
        <w:rPr>
          <w:rFonts w:ascii="宋体" w:hAnsi="宋体" w:eastAsia="宋体" w:cs="宋体"/>
          <w:color w:val="auto"/>
          <w:kern w:val="0"/>
          <w:sz w:val="24"/>
          <w:szCs w:val="24"/>
          <w:highlight w:val="none"/>
        </w:rPr>
      </w:pPr>
    </w:p>
    <w:p w14:paraId="6111B0F7">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91" w:name="_Toc3821"/>
      <w:bookmarkStart w:id="92" w:name="_Toc111186746"/>
      <w:bookmarkStart w:id="93" w:name="_Toc193357961"/>
      <w:r>
        <w:rPr>
          <w:rFonts w:hint="eastAsia" w:ascii="宋体" w:hAnsi="宋体" w:eastAsia="宋体" w:cs="宋体"/>
          <w:b/>
          <w:bCs/>
          <w:color w:val="auto"/>
          <w:spacing w:val="1"/>
          <w:sz w:val="28"/>
          <w:szCs w:val="32"/>
          <w:highlight w:val="none"/>
          <w:lang w:val="zh-CN"/>
        </w:rPr>
        <w:t>3.4 投标保证金</w:t>
      </w:r>
      <w:bookmarkEnd w:id="91"/>
      <w:bookmarkEnd w:id="92"/>
      <w:bookmarkEnd w:id="93"/>
    </w:p>
    <w:p w14:paraId="7EBECC71">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3.4.1 投标人应按投标人须知前附表规定的金额和时间递交投标保证金。招标人应当允许投标人自主选择现金、银行保函、保证保险、专业工程担保公司担保等方式缴纳投标保证金。采用现金或者支票形式提交的，投标保证金须从投标人的银行基本账户转出。联合体投标的，其投标保证金可以由主办方递交，并应符合投标人须知前附表的规定。</w:t>
      </w:r>
    </w:p>
    <w:p w14:paraId="78B60DA6">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3.4.2 投标人不按本章第3.4.1项要求提交投标保证金的，评标委员会将否决其投标。未按招标文件要求提交符合免予提供投标保证金相关证明材料，且未提交投标保证金的投标人，视为未按要求提供投标保证金。</w:t>
      </w:r>
    </w:p>
    <w:p w14:paraId="7B368A38">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3.4.3 中标候选人以外的投标人的投标保证金将尽快退还，最迟不超过中标通知书发出之日起五日内；中标人和其他中标候选人的投标保证金，在书面合同订立之日起五日内予以退还。投标保证金以现金或者支票形式递交的，还应退还银行同期存款利息。</w:t>
      </w:r>
    </w:p>
    <w:p w14:paraId="76617C5A">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3.4.4 在提交投标文件截止时间后到招标文件规定的投标有效期终止之前，投标人不得撤销其投标文件，否则招标人可以不退还投标保证金。</w:t>
      </w:r>
    </w:p>
    <w:p w14:paraId="14EC8C33">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3.4.5 有下列情形之一的，投标保证金将不予退还：</w:t>
      </w:r>
    </w:p>
    <w:p w14:paraId="51CB2B9C">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（1）投标人在提交投标文件截止时间后到招标文件规定的投标有效期终止之前撤销投标文件；</w:t>
      </w:r>
    </w:p>
    <w:p w14:paraId="7A54EA84">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（2）中标人在收到中标通知书后，无正当理由不与招标人订立合同，在签订合同时向招标人提出附加条件，或者不按照招标文件要求提交履约保证金；</w:t>
      </w:r>
    </w:p>
    <w:p w14:paraId="26B5CAE8">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（3）发生投标人须知前附表规定的其他可以不予退还投标保证金的情形。</w:t>
      </w:r>
    </w:p>
    <w:p w14:paraId="2735F0FD">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3.4.6 若采用纸质银行保函的，投标人应将纸质银行保函以扫描件形式作为资格审查文件的组成部分，纸质银行保函原件在中标候选人确定后由招标人收取。若采用电子银行保函的，招标人在资格审查页面查看电子银行保函，投标人申请的电子银行保函时间应确保在截标之前。若采用保证保险的，投标人在投标时提交其与保险公司签订的投标保证金合同或保险单的，应视同已经缴纳投标保证金或提供银行保函。保费必须通过投标人基本账户支付，账户名称应与投标单位名称一致，不得以分支机构等其他名义提交，并且应将基本账户开户许可证或基本存款账户信息表复印件及保费转账凭证编入投标文件中。采用电子保证保险的，招标人在资格审查页面查看电子保证保险。</w:t>
      </w:r>
    </w:p>
    <w:p w14:paraId="5B6AD10E">
      <w:pPr>
        <w:wordWrap w:val="0"/>
        <w:autoSpaceDE w:val="0"/>
        <w:autoSpaceDN w:val="0"/>
        <w:spacing w:line="360" w:lineRule="auto"/>
        <w:ind w:firstLine="480" w:firstLineChars="200"/>
        <w:rPr>
          <w:rFonts w:ascii="宋体" w:hAnsi="宋体" w:eastAsia="宋体" w:cs="宋体"/>
          <w:color w:val="auto"/>
          <w:kern w:val="0"/>
          <w:sz w:val="24"/>
          <w:szCs w:val="24"/>
          <w:highlight w:val="none"/>
        </w:rPr>
      </w:pPr>
    </w:p>
    <w:p w14:paraId="2BE2FA4D">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94" w:name="_Toc19411"/>
      <w:bookmarkStart w:id="95" w:name="_Toc193357963"/>
      <w:bookmarkStart w:id="96" w:name="_Toc111186747"/>
      <w:r>
        <w:rPr>
          <w:rFonts w:hint="eastAsia" w:ascii="宋体" w:hAnsi="宋体" w:eastAsia="宋体" w:cs="宋体"/>
          <w:b/>
          <w:bCs/>
          <w:color w:val="auto"/>
          <w:spacing w:val="1"/>
          <w:sz w:val="28"/>
          <w:szCs w:val="32"/>
          <w:highlight w:val="none"/>
          <w:lang w:val="zh-CN"/>
        </w:rPr>
        <w:t>3.5</w:t>
      </w:r>
      <w:r>
        <w:rPr>
          <w:rFonts w:hint="eastAsia" w:ascii="宋体" w:hAnsi="宋体" w:eastAsia="宋体" w:cs="宋体"/>
          <w:b/>
          <w:bCs/>
          <w:color w:val="auto"/>
          <w:spacing w:val="68"/>
          <w:sz w:val="28"/>
          <w:szCs w:val="32"/>
          <w:highlight w:val="none"/>
          <w:lang w:val="zh-CN"/>
        </w:rPr>
        <w:t xml:space="preserve"> </w:t>
      </w:r>
      <w:r>
        <w:rPr>
          <w:rFonts w:hint="eastAsia" w:ascii="宋体" w:hAnsi="宋体" w:eastAsia="宋体" w:cs="宋体"/>
          <w:b/>
          <w:bCs/>
          <w:color w:val="auto"/>
          <w:spacing w:val="1"/>
          <w:sz w:val="28"/>
          <w:szCs w:val="32"/>
          <w:highlight w:val="none"/>
          <w:lang w:val="zh-CN"/>
        </w:rPr>
        <w:t>资格审查</w:t>
      </w:r>
      <w:r>
        <w:rPr>
          <w:rFonts w:hint="eastAsia" w:ascii="宋体" w:hAnsi="宋体" w:eastAsia="宋体" w:cs="宋体"/>
          <w:b/>
          <w:bCs/>
          <w:color w:val="auto"/>
          <w:spacing w:val="-3"/>
          <w:sz w:val="28"/>
          <w:szCs w:val="32"/>
          <w:highlight w:val="none"/>
          <w:lang w:val="zh-CN"/>
        </w:rPr>
        <w:t>资</w:t>
      </w:r>
      <w:r>
        <w:rPr>
          <w:rFonts w:hint="eastAsia" w:ascii="宋体" w:hAnsi="宋体" w:eastAsia="宋体" w:cs="宋体"/>
          <w:b/>
          <w:bCs/>
          <w:color w:val="auto"/>
          <w:spacing w:val="1"/>
          <w:sz w:val="28"/>
          <w:szCs w:val="32"/>
          <w:highlight w:val="none"/>
          <w:lang w:val="zh-CN"/>
        </w:rPr>
        <w:t>料</w:t>
      </w:r>
      <w:r>
        <w:rPr>
          <w:rFonts w:hint="eastAsia" w:ascii="宋体" w:hAnsi="宋体" w:eastAsia="宋体" w:cs="宋体"/>
          <w:b/>
          <w:bCs/>
          <w:color w:val="auto"/>
          <w:spacing w:val="-3"/>
          <w:sz w:val="28"/>
          <w:szCs w:val="32"/>
          <w:highlight w:val="none"/>
          <w:lang w:val="zh-CN"/>
        </w:rPr>
        <w:t>（</w:t>
      </w:r>
      <w:r>
        <w:rPr>
          <w:rFonts w:hint="eastAsia" w:ascii="宋体" w:hAnsi="宋体" w:eastAsia="宋体" w:cs="宋体"/>
          <w:b/>
          <w:bCs/>
          <w:color w:val="auto"/>
          <w:spacing w:val="1"/>
          <w:sz w:val="28"/>
          <w:szCs w:val="32"/>
          <w:highlight w:val="none"/>
          <w:lang w:val="zh-CN"/>
        </w:rPr>
        <w:t>适用于</w:t>
      </w:r>
      <w:r>
        <w:rPr>
          <w:rFonts w:hint="eastAsia" w:ascii="宋体" w:hAnsi="宋体" w:eastAsia="宋体" w:cs="宋体"/>
          <w:b/>
          <w:bCs/>
          <w:color w:val="auto"/>
          <w:spacing w:val="-3"/>
          <w:sz w:val="28"/>
          <w:szCs w:val="32"/>
          <w:highlight w:val="none"/>
          <w:lang w:val="zh-CN"/>
        </w:rPr>
        <w:t>未</w:t>
      </w:r>
      <w:r>
        <w:rPr>
          <w:rFonts w:hint="eastAsia" w:ascii="宋体" w:hAnsi="宋体" w:eastAsia="宋体" w:cs="宋体"/>
          <w:b/>
          <w:bCs/>
          <w:color w:val="auto"/>
          <w:spacing w:val="1"/>
          <w:sz w:val="28"/>
          <w:szCs w:val="32"/>
          <w:highlight w:val="none"/>
          <w:lang w:val="zh-CN"/>
        </w:rPr>
        <w:t>进行</w:t>
      </w:r>
      <w:r>
        <w:rPr>
          <w:rFonts w:hint="eastAsia" w:ascii="宋体" w:hAnsi="宋体" w:eastAsia="宋体" w:cs="宋体"/>
          <w:b/>
          <w:bCs/>
          <w:color w:val="auto"/>
          <w:spacing w:val="-3"/>
          <w:sz w:val="28"/>
          <w:szCs w:val="32"/>
          <w:highlight w:val="none"/>
          <w:lang w:val="zh-CN"/>
        </w:rPr>
        <w:t>资格</w:t>
      </w:r>
      <w:r>
        <w:rPr>
          <w:rFonts w:hint="eastAsia" w:ascii="宋体" w:hAnsi="宋体" w:eastAsia="宋体" w:cs="宋体"/>
          <w:b/>
          <w:bCs/>
          <w:color w:val="auto"/>
          <w:spacing w:val="1"/>
          <w:sz w:val="28"/>
          <w:szCs w:val="32"/>
          <w:highlight w:val="none"/>
          <w:lang w:val="zh-CN"/>
        </w:rPr>
        <w:t>预审的）</w:t>
      </w:r>
      <w:bookmarkEnd w:id="94"/>
      <w:bookmarkEnd w:id="95"/>
      <w:bookmarkEnd w:id="96"/>
    </w:p>
    <w:p w14:paraId="3DA92B3F">
      <w:pPr>
        <w:wordWrap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除投标人须知前附表另有规定外，投标人应按招标公告投标人资格要求及下列规定提供资格审查资料，以证明其满足本章第1.4款规定的资质、业绩等要求。</w:t>
      </w:r>
    </w:p>
    <w:p w14:paraId="1DECF079">
      <w:pPr>
        <w:wordWrap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3.5.1 “投标人基本情况表”应附投标人营业执照和组织机构代码证的扫描件（按照“三证合一”或“五证合一”登记制度进行登记的，可仅提供营业执照扫描件）、投标人勘察设计资质证书副本等材料的扫描件。</w:t>
      </w:r>
    </w:p>
    <w:p w14:paraId="25D20A9B">
      <w:pPr>
        <w:wordWrap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3.5.2 “近年完成的类似勘察设计项目情况表”应附中标通知书和（或）合同协议书、委托人出具的证明文件；具体时间要求见投标人须知前附表，每张表格只填写一个项目，并标明序号。</w:t>
      </w:r>
    </w:p>
    <w:p w14:paraId="05ED9C14">
      <w:pPr>
        <w:wordWrap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3.5.3 “拟委任的主要人员汇总表”应填报满足本章第1.4.1项规定的项目负责人和其他主要人员的相关信息。“主要人员简历表”中项目负责人应附身份证、学历证、职称证、执业资格证书和社保缴费证明扫描件，管理过的项目业绩须附合同协议书（如有）扫描件；其他主要人员应附身份证、学历证、职称证、有关证书和社保缴费证明扫描件（如有）。（注：以上人员社保要求：具有离投标截止时间最近的至少1个月在本单位缴纳的社保证明文件，由招标人自行确定。）</w:t>
      </w:r>
    </w:p>
    <w:p w14:paraId="07894E7C">
      <w:pPr>
        <w:wordWrap w:val="0"/>
        <w:spacing w:line="360" w:lineRule="auto"/>
        <w:ind w:firstLine="480" w:firstLineChars="200"/>
        <w:rPr>
          <w:rFonts w:ascii="宋体" w:hAnsi="宋体" w:eastAsia="宋体" w:cs="宋体"/>
          <w:color w:val="auto"/>
          <w:sz w:val="24"/>
          <w:szCs w:val="24"/>
          <w:highlight w:val="none"/>
          <w:u w:val="single"/>
        </w:rPr>
      </w:pPr>
      <w:r>
        <w:rPr>
          <w:rFonts w:hint="eastAsia" w:ascii="宋体" w:hAnsi="宋体" w:eastAsia="宋体" w:cs="宋体"/>
          <w:color w:val="auto"/>
          <w:kern w:val="0"/>
          <w:sz w:val="24"/>
          <w:szCs w:val="24"/>
          <w:highlight w:val="none"/>
        </w:rPr>
        <w:t>3.5.4 投标人须知前附表规定接受联合体投标的，本章第3.5.1项至第3.5.3项规定的表格和资料应包括联合体各方相关情况。</w:t>
      </w:r>
    </w:p>
    <w:p w14:paraId="3994ACC2">
      <w:pPr>
        <w:wordWrap w:val="0"/>
        <w:autoSpaceDE w:val="0"/>
        <w:autoSpaceDN w:val="0"/>
        <w:spacing w:line="360" w:lineRule="auto"/>
        <w:ind w:firstLine="480" w:firstLineChars="200"/>
        <w:rPr>
          <w:rFonts w:ascii="宋体" w:hAnsi="宋体" w:eastAsia="宋体" w:cs="宋体"/>
          <w:color w:val="auto"/>
          <w:kern w:val="0"/>
          <w:sz w:val="24"/>
          <w:szCs w:val="24"/>
          <w:highlight w:val="none"/>
        </w:rPr>
      </w:pPr>
    </w:p>
    <w:p w14:paraId="17B473C8">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97" w:name="_Toc193357964"/>
      <w:bookmarkStart w:id="98" w:name="_Toc111186748"/>
      <w:bookmarkStart w:id="99" w:name="_Toc10646"/>
      <w:r>
        <w:rPr>
          <w:rFonts w:hint="eastAsia" w:ascii="宋体" w:hAnsi="宋体" w:eastAsia="宋体" w:cs="宋体"/>
          <w:b/>
          <w:bCs/>
          <w:color w:val="auto"/>
          <w:spacing w:val="1"/>
          <w:sz w:val="28"/>
          <w:szCs w:val="32"/>
          <w:highlight w:val="none"/>
          <w:lang w:val="zh-CN"/>
        </w:rPr>
        <w:t>3.6 备选投标方案</w:t>
      </w:r>
      <w:bookmarkEnd w:id="97"/>
      <w:bookmarkEnd w:id="98"/>
      <w:bookmarkEnd w:id="99"/>
    </w:p>
    <w:p w14:paraId="00CA8951">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3.6.1 除投标人须知前附表规定允许外，投标人不得递交备选投标方案，否则其投标将被否决。</w:t>
      </w:r>
    </w:p>
    <w:p w14:paraId="75028ABD">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3.6.2 允许投标人递交备选投标方案的，只有中标人所递交的备选投标方案方可予以考虑。评标委员会认为中标人的备选投标方案优于其按照招标文件要求编制的投标方案的，招标人可以接受该备选投标方案。</w:t>
      </w:r>
    </w:p>
    <w:p w14:paraId="7D917C34">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3.6.3 投标人提供两个或两个以上投标报价，或者在投标文件中提供一个报价，但同时提供两个或两个以上勘察设计方案的，视为提供备选方案。</w:t>
      </w:r>
    </w:p>
    <w:p w14:paraId="5156D2E5">
      <w:pPr>
        <w:wordWrap w:val="0"/>
        <w:autoSpaceDE w:val="0"/>
        <w:autoSpaceDN w:val="0"/>
        <w:spacing w:line="360" w:lineRule="auto"/>
        <w:ind w:firstLine="480" w:firstLineChars="200"/>
        <w:rPr>
          <w:rFonts w:ascii="宋体" w:hAnsi="宋体" w:eastAsia="宋体" w:cs="宋体"/>
          <w:color w:val="auto"/>
          <w:kern w:val="0"/>
          <w:sz w:val="24"/>
          <w:szCs w:val="24"/>
          <w:highlight w:val="none"/>
        </w:rPr>
      </w:pPr>
    </w:p>
    <w:p w14:paraId="0AE58CB6">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100" w:name="_Toc111186749"/>
      <w:bookmarkStart w:id="101" w:name="_Toc7643"/>
      <w:bookmarkStart w:id="102" w:name="_Toc193357965"/>
      <w:r>
        <w:rPr>
          <w:rFonts w:hint="eastAsia" w:ascii="宋体" w:hAnsi="宋体" w:eastAsia="宋体" w:cs="宋体"/>
          <w:b/>
          <w:bCs/>
          <w:color w:val="auto"/>
          <w:spacing w:val="1"/>
          <w:sz w:val="28"/>
          <w:szCs w:val="32"/>
          <w:highlight w:val="none"/>
          <w:lang w:val="zh-CN"/>
        </w:rPr>
        <w:t>3.7</w:t>
      </w:r>
      <w:r>
        <w:rPr>
          <w:rFonts w:hint="eastAsia" w:ascii="宋体" w:hAnsi="宋体" w:eastAsia="宋体" w:cs="宋体"/>
          <w:b/>
          <w:bCs/>
          <w:color w:val="auto"/>
          <w:spacing w:val="68"/>
          <w:sz w:val="28"/>
          <w:szCs w:val="32"/>
          <w:highlight w:val="none"/>
          <w:lang w:val="zh-CN"/>
        </w:rPr>
        <w:t xml:space="preserve"> </w:t>
      </w:r>
      <w:r>
        <w:rPr>
          <w:rFonts w:hint="eastAsia" w:ascii="宋体" w:hAnsi="宋体" w:eastAsia="宋体" w:cs="宋体"/>
          <w:b/>
          <w:bCs/>
          <w:color w:val="auto"/>
          <w:spacing w:val="1"/>
          <w:sz w:val="28"/>
          <w:szCs w:val="32"/>
          <w:highlight w:val="none"/>
          <w:lang w:val="zh-CN"/>
        </w:rPr>
        <w:t>投标文件</w:t>
      </w:r>
      <w:r>
        <w:rPr>
          <w:rFonts w:hint="eastAsia" w:ascii="宋体" w:hAnsi="宋体" w:eastAsia="宋体" w:cs="宋体"/>
          <w:b/>
          <w:bCs/>
          <w:color w:val="auto"/>
          <w:spacing w:val="-3"/>
          <w:sz w:val="28"/>
          <w:szCs w:val="32"/>
          <w:highlight w:val="none"/>
          <w:lang w:val="zh-CN"/>
        </w:rPr>
        <w:t>的</w:t>
      </w:r>
      <w:r>
        <w:rPr>
          <w:rFonts w:hint="eastAsia" w:ascii="宋体" w:hAnsi="宋体" w:eastAsia="宋体" w:cs="宋体"/>
          <w:b/>
          <w:bCs/>
          <w:color w:val="auto"/>
          <w:spacing w:val="1"/>
          <w:sz w:val="28"/>
          <w:szCs w:val="32"/>
          <w:highlight w:val="none"/>
          <w:lang w:val="zh-CN"/>
        </w:rPr>
        <w:t>编制</w:t>
      </w:r>
      <w:bookmarkEnd w:id="100"/>
      <w:bookmarkEnd w:id="101"/>
      <w:bookmarkEnd w:id="102"/>
    </w:p>
    <w:p w14:paraId="2353DCB7">
      <w:pPr>
        <w:wordWrap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3.7.1 投标文件应按第六章“投标文件格式”进行编写，如有必要，可以增加附页，作为投标文件的组成部分。其中，投标函附录在满足招标文件实质性要求的基础上，可以提出比招标文件要求更有利于招标人的承诺。</w:t>
      </w:r>
    </w:p>
    <w:p w14:paraId="63470D9A">
      <w:pPr>
        <w:wordWrap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3.7.2 投标文件应当对招标文件有关勘察设计服务期限、投标有效期、发包人要求、招标范围等实质性内容作出响应。</w:t>
      </w:r>
    </w:p>
    <w:p w14:paraId="37E1C4D5">
      <w:pPr>
        <w:wordWrap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3.7.3 投标文件全部采用电子文档，投标文件所附证书证件均为原件扫描件或电子证书，并采用单位数字证书，按招标文件要求在相应位置加盖电子印章。投标文件中需个人签字或盖章的，应加盖个人电子印章或在线下完成后扫描上传（可靠的电子签名与手写签名或者盖章具有同等的法律效力）。按照</w:t>
      </w:r>
      <w:r>
        <w:rPr>
          <w:rFonts w:hint="eastAsia" w:ascii="宋体" w:hAnsi="宋体" w:eastAsia="宋体" w:cs="宋体"/>
          <w:color w:val="auto"/>
          <w:kern w:val="0"/>
          <w:sz w:val="24"/>
          <w:szCs w:val="24"/>
          <w:highlight w:val="none"/>
          <w:u w:val="single"/>
        </w:rPr>
        <w:t>广州交易集团有限公司（广州公共资源交易中心）</w:t>
      </w:r>
      <w:r>
        <w:rPr>
          <w:rFonts w:hint="eastAsia" w:ascii="宋体" w:hAnsi="宋体" w:eastAsia="宋体" w:cs="宋体"/>
          <w:color w:val="auto"/>
          <w:kern w:val="0"/>
          <w:sz w:val="24"/>
          <w:szCs w:val="24"/>
          <w:highlight w:val="none"/>
        </w:rPr>
        <w:t>网站关于全流程电子化项目的相关指南进行操作。</w:t>
      </w:r>
    </w:p>
    <w:p w14:paraId="6B48EAD4">
      <w:pPr>
        <w:wordWrap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3.7.4 联合体投标时，投标人封面及其他内容落款中的“投标人”应填写联合体各方的单位全称【格式为：（主）XXXX公司（成）XXXX公司】。除联合体共同投标协议需联合体各方按要求共同盖章签字，其余可由联合体主办方签字、盖章即可，由联合体主办方法人签字的电子投标文件需提供主办方法定代表人身份证明，若由联合体主办方法定代表人授权签字的电子投标文件需提供法定代表人身份证明及其授权委托书、授权委托人身份证扫描件。</w:t>
      </w:r>
    </w:p>
    <w:p w14:paraId="6765C3D8">
      <w:pPr>
        <w:wordWrap w:val="0"/>
        <w:spacing w:line="360" w:lineRule="auto"/>
        <w:ind w:firstLine="480" w:firstLineChars="200"/>
        <w:rPr>
          <w:rFonts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3.7.5 投标文件应按照</w:t>
      </w:r>
      <w:r>
        <w:rPr>
          <w:rFonts w:hint="eastAsia" w:ascii="宋体" w:hAnsi="宋体" w:eastAsia="宋体" w:cs="宋体"/>
          <w:color w:val="auto"/>
          <w:kern w:val="0"/>
          <w:sz w:val="24"/>
          <w:szCs w:val="24"/>
          <w:highlight w:val="none"/>
          <w:u w:val="single"/>
        </w:rPr>
        <w:t>广州交易集团有限公司（广州公共资源交易中心）</w:t>
      </w:r>
      <w:r>
        <w:rPr>
          <w:rFonts w:hint="eastAsia" w:ascii="宋体" w:hAnsi="宋体" w:eastAsia="宋体" w:cs="宋体"/>
          <w:color w:val="auto"/>
          <w:kern w:val="0"/>
          <w:sz w:val="24"/>
          <w:szCs w:val="24"/>
          <w:highlight w:val="none"/>
        </w:rPr>
        <w:t>网站关于全流程电子化项目的相关指南进行编制。如因不按上述编排要求编制而所引起系统无法检索、读取相关信息时，其后果将由投标人自行承担。</w:t>
      </w:r>
    </w:p>
    <w:p w14:paraId="461726FC">
      <w:pPr>
        <w:wordWrap w:val="0"/>
        <w:autoSpaceDE w:val="0"/>
        <w:autoSpaceDN w:val="0"/>
        <w:spacing w:line="360" w:lineRule="auto"/>
        <w:ind w:firstLine="480" w:firstLineChars="200"/>
        <w:rPr>
          <w:rFonts w:ascii="宋体" w:hAnsi="宋体" w:eastAsia="宋体" w:cs="宋体"/>
          <w:color w:val="auto"/>
          <w:kern w:val="0"/>
          <w:sz w:val="24"/>
          <w:szCs w:val="24"/>
          <w:highlight w:val="none"/>
        </w:rPr>
      </w:pPr>
    </w:p>
    <w:p w14:paraId="013F7282">
      <w:pPr>
        <w:keepNext/>
        <w:keepLines/>
        <w:wordWrap w:val="0"/>
        <w:spacing w:line="360" w:lineRule="auto"/>
        <w:outlineLvl w:val="1"/>
        <w:rPr>
          <w:rFonts w:ascii="宋体" w:hAnsi="宋体" w:eastAsia="宋体" w:cs="宋体"/>
          <w:b/>
          <w:bCs/>
          <w:color w:val="auto"/>
          <w:kern w:val="0"/>
          <w:sz w:val="30"/>
          <w:szCs w:val="30"/>
          <w:highlight w:val="none"/>
          <w:lang w:val="zh-CN"/>
        </w:rPr>
      </w:pPr>
      <w:bookmarkStart w:id="103" w:name="_Toc30610"/>
      <w:bookmarkStart w:id="104" w:name="_Toc193357966"/>
      <w:bookmarkStart w:id="105" w:name="_Toc111186750"/>
      <w:r>
        <w:rPr>
          <w:rFonts w:hint="eastAsia" w:ascii="宋体" w:hAnsi="宋体" w:eastAsia="宋体" w:cs="宋体"/>
          <w:b/>
          <w:bCs/>
          <w:color w:val="auto"/>
          <w:spacing w:val="1"/>
          <w:kern w:val="0"/>
          <w:sz w:val="30"/>
          <w:szCs w:val="30"/>
          <w:highlight w:val="none"/>
          <w:lang w:val="zh-CN"/>
        </w:rPr>
        <w:t>4</w:t>
      </w:r>
      <w:r>
        <w:rPr>
          <w:rFonts w:hint="eastAsia" w:ascii="宋体" w:hAnsi="宋体" w:eastAsia="宋体" w:cs="宋体"/>
          <w:b/>
          <w:bCs/>
          <w:color w:val="auto"/>
          <w:kern w:val="0"/>
          <w:sz w:val="30"/>
          <w:szCs w:val="30"/>
          <w:highlight w:val="none"/>
          <w:lang w:val="zh-CN"/>
        </w:rPr>
        <w:t>.</w:t>
      </w:r>
      <w:r>
        <w:rPr>
          <w:rFonts w:hint="eastAsia" w:ascii="宋体" w:hAnsi="宋体" w:eastAsia="宋体" w:cs="宋体"/>
          <w:b/>
          <w:bCs/>
          <w:color w:val="auto"/>
          <w:spacing w:val="78"/>
          <w:kern w:val="0"/>
          <w:sz w:val="30"/>
          <w:szCs w:val="30"/>
          <w:highlight w:val="none"/>
          <w:lang w:val="zh-CN"/>
        </w:rPr>
        <w:t xml:space="preserve"> </w:t>
      </w:r>
      <w:r>
        <w:rPr>
          <w:rFonts w:hint="eastAsia" w:ascii="宋体" w:hAnsi="宋体" w:eastAsia="宋体" w:cs="宋体"/>
          <w:b/>
          <w:bCs/>
          <w:color w:val="auto"/>
          <w:kern w:val="0"/>
          <w:sz w:val="30"/>
          <w:szCs w:val="30"/>
          <w:highlight w:val="none"/>
          <w:lang w:val="zh-CN"/>
        </w:rPr>
        <w:t>投标</w:t>
      </w:r>
      <w:bookmarkEnd w:id="103"/>
      <w:bookmarkEnd w:id="104"/>
      <w:bookmarkEnd w:id="105"/>
    </w:p>
    <w:p w14:paraId="7A189A59">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106" w:name="_Toc111186751"/>
      <w:bookmarkStart w:id="107" w:name="_Toc26954"/>
      <w:bookmarkStart w:id="108" w:name="_Toc193357967"/>
      <w:r>
        <w:rPr>
          <w:rFonts w:hint="eastAsia" w:ascii="宋体" w:hAnsi="宋体" w:eastAsia="宋体" w:cs="宋体"/>
          <w:b/>
          <w:bCs/>
          <w:color w:val="auto"/>
          <w:spacing w:val="1"/>
          <w:sz w:val="28"/>
          <w:szCs w:val="32"/>
          <w:highlight w:val="none"/>
          <w:lang w:val="zh-CN"/>
        </w:rPr>
        <w:t>4.1</w:t>
      </w:r>
      <w:r>
        <w:rPr>
          <w:rFonts w:hint="eastAsia" w:ascii="宋体" w:hAnsi="宋体" w:eastAsia="宋体" w:cs="宋体"/>
          <w:b/>
          <w:bCs/>
          <w:color w:val="auto"/>
          <w:spacing w:val="68"/>
          <w:sz w:val="28"/>
          <w:szCs w:val="32"/>
          <w:highlight w:val="none"/>
          <w:lang w:val="zh-CN"/>
        </w:rPr>
        <w:t xml:space="preserve"> </w:t>
      </w:r>
      <w:r>
        <w:rPr>
          <w:rFonts w:hint="eastAsia" w:ascii="宋体" w:hAnsi="宋体" w:eastAsia="宋体" w:cs="宋体"/>
          <w:b/>
          <w:bCs/>
          <w:color w:val="auto"/>
          <w:spacing w:val="1"/>
          <w:sz w:val="28"/>
          <w:szCs w:val="32"/>
          <w:highlight w:val="none"/>
          <w:lang w:val="zh-CN"/>
        </w:rPr>
        <w:t>投标文件</w:t>
      </w:r>
      <w:r>
        <w:rPr>
          <w:rFonts w:hint="eastAsia" w:ascii="宋体" w:hAnsi="宋体" w:eastAsia="宋体" w:cs="宋体"/>
          <w:b/>
          <w:bCs/>
          <w:color w:val="auto"/>
          <w:spacing w:val="-3"/>
          <w:sz w:val="28"/>
          <w:szCs w:val="32"/>
          <w:highlight w:val="none"/>
          <w:lang w:val="zh-CN"/>
        </w:rPr>
        <w:t>的</w:t>
      </w:r>
      <w:r>
        <w:rPr>
          <w:rFonts w:hint="eastAsia" w:ascii="宋体" w:hAnsi="宋体" w:eastAsia="宋体" w:cs="宋体"/>
          <w:b/>
          <w:bCs/>
          <w:color w:val="auto"/>
          <w:spacing w:val="1"/>
          <w:sz w:val="28"/>
          <w:szCs w:val="32"/>
          <w:highlight w:val="none"/>
          <w:lang w:val="zh-CN"/>
        </w:rPr>
        <w:t>密</w:t>
      </w:r>
      <w:r>
        <w:rPr>
          <w:rFonts w:hint="eastAsia" w:ascii="宋体" w:hAnsi="宋体" w:eastAsia="宋体" w:cs="宋体"/>
          <w:b/>
          <w:bCs/>
          <w:color w:val="auto"/>
          <w:spacing w:val="-3"/>
          <w:sz w:val="28"/>
          <w:szCs w:val="32"/>
          <w:highlight w:val="none"/>
          <w:lang w:val="zh-CN"/>
        </w:rPr>
        <w:t>封</w:t>
      </w:r>
      <w:r>
        <w:rPr>
          <w:rFonts w:hint="eastAsia" w:ascii="宋体" w:hAnsi="宋体" w:eastAsia="宋体" w:cs="宋体"/>
          <w:b/>
          <w:bCs/>
          <w:color w:val="auto"/>
          <w:spacing w:val="1"/>
          <w:sz w:val="28"/>
          <w:szCs w:val="32"/>
          <w:highlight w:val="none"/>
          <w:lang w:val="zh-CN"/>
        </w:rPr>
        <w:t>和标记</w:t>
      </w:r>
      <w:bookmarkEnd w:id="106"/>
      <w:bookmarkEnd w:id="107"/>
      <w:bookmarkEnd w:id="108"/>
    </w:p>
    <w:p w14:paraId="1CE64039">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4.1.1 投标人应当按照招标文件和电子招标投标交易平台的要求加密投标文件（不含备用光盘），具体要求见投标人须知前附表。</w:t>
      </w:r>
    </w:p>
    <w:p w14:paraId="483A7B56">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4.1.2 （如有）投标文件备用光盘封套上应写明的内容见投标人须知前附表。</w:t>
      </w:r>
    </w:p>
    <w:p w14:paraId="069A67AA">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4.1.3 未按本章第4.1.1项要求加密的投标文件，招标人将授权</w:t>
      </w:r>
      <w:r>
        <w:rPr>
          <w:rFonts w:hint="eastAsia" w:ascii="宋体" w:hAnsi="宋体" w:eastAsia="宋体" w:cs="宋体"/>
          <w:color w:val="auto"/>
          <w:kern w:val="0"/>
          <w:sz w:val="24"/>
          <w:szCs w:val="24"/>
          <w:highlight w:val="none"/>
          <w:u w:val="single"/>
        </w:rPr>
        <w:t>广州交易集团有限公司（广州公共资源交易中心）</w:t>
      </w:r>
      <w:r>
        <w:rPr>
          <w:rFonts w:hint="eastAsia" w:ascii="宋体" w:hAnsi="宋体" w:eastAsia="宋体" w:cs="宋体"/>
          <w:color w:val="auto"/>
          <w:kern w:val="0"/>
          <w:sz w:val="24"/>
          <w:szCs w:val="24"/>
          <w:highlight w:val="none"/>
        </w:rPr>
        <w:t>网站交易平台予以拒收。</w:t>
      </w:r>
    </w:p>
    <w:p w14:paraId="6C879AEE">
      <w:pPr>
        <w:wordWrap w:val="0"/>
        <w:autoSpaceDE w:val="0"/>
        <w:autoSpaceDN w:val="0"/>
        <w:spacing w:line="360" w:lineRule="auto"/>
        <w:ind w:firstLine="480" w:firstLineChars="200"/>
        <w:rPr>
          <w:rFonts w:ascii="宋体" w:hAnsi="宋体" w:eastAsia="宋体" w:cs="宋体"/>
          <w:color w:val="auto"/>
          <w:kern w:val="0"/>
          <w:sz w:val="24"/>
          <w:szCs w:val="24"/>
          <w:highlight w:val="none"/>
        </w:rPr>
      </w:pPr>
    </w:p>
    <w:p w14:paraId="294F82D1">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109" w:name="_Toc193357968"/>
      <w:bookmarkStart w:id="110" w:name="_Toc28727"/>
      <w:bookmarkStart w:id="111" w:name="_Toc111186752"/>
      <w:r>
        <w:rPr>
          <w:rFonts w:hint="eastAsia" w:ascii="宋体" w:hAnsi="宋体" w:eastAsia="宋体" w:cs="宋体"/>
          <w:b/>
          <w:bCs/>
          <w:color w:val="auto"/>
          <w:spacing w:val="1"/>
          <w:sz w:val="28"/>
          <w:szCs w:val="32"/>
          <w:highlight w:val="none"/>
          <w:lang w:val="zh-CN"/>
        </w:rPr>
        <w:t>4.2</w:t>
      </w:r>
      <w:r>
        <w:rPr>
          <w:rFonts w:hint="eastAsia" w:ascii="宋体" w:hAnsi="宋体" w:eastAsia="宋体" w:cs="宋体"/>
          <w:b/>
          <w:bCs/>
          <w:color w:val="auto"/>
          <w:spacing w:val="68"/>
          <w:sz w:val="28"/>
          <w:szCs w:val="32"/>
          <w:highlight w:val="none"/>
          <w:lang w:val="zh-CN"/>
        </w:rPr>
        <w:t xml:space="preserve"> </w:t>
      </w:r>
      <w:r>
        <w:rPr>
          <w:rFonts w:hint="eastAsia" w:ascii="宋体" w:hAnsi="宋体" w:eastAsia="宋体" w:cs="宋体"/>
          <w:b/>
          <w:bCs/>
          <w:color w:val="auto"/>
          <w:spacing w:val="1"/>
          <w:sz w:val="28"/>
          <w:szCs w:val="32"/>
          <w:highlight w:val="none"/>
          <w:lang w:val="zh-CN"/>
        </w:rPr>
        <w:t>投标文件</w:t>
      </w:r>
      <w:r>
        <w:rPr>
          <w:rFonts w:hint="eastAsia" w:ascii="宋体" w:hAnsi="宋体" w:eastAsia="宋体" w:cs="宋体"/>
          <w:b/>
          <w:bCs/>
          <w:color w:val="auto"/>
          <w:spacing w:val="-3"/>
          <w:sz w:val="28"/>
          <w:szCs w:val="32"/>
          <w:highlight w:val="none"/>
          <w:lang w:val="zh-CN"/>
        </w:rPr>
        <w:t>的</w:t>
      </w:r>
      <w:r>
        <w:rPr>
          <w:rFonts w:hint="eastAsia" w:ascii="宋体" w:hAnsi="宋体" w:eastAsia="宋体" w:cs="宋体"/>
          <w:b/>
          <w:bCs/>
          <w:color w:val="auto"/>
          <w:spacing w:val="1"/>
          <w:sz w:val="28"/>
          <w:szCs w:val="32"/>
          <w:highlight w:val="none"/>
          <w:lang w:val="zh-CN"/>
        </w:rPr>
        <w:t>递交</w:t>
      </w:r>
      <w:bookmarkEnd w:id="109"/>
      <w:bookmarkEnd w:id="110"/>
      <w:bookmarkEnd w:id="111"/>
    </w:p>
    <w:p w14:paraId="6A5A4432">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4.2.1 投标人应在投标人须知前附表规定的投标截止时间前通过</w:t>
      </w:r>
      <w:r>
        <w:rPr>
          <w:rFonts w:hint="eastAsia" w:ascii="宋体" w:hAnsi="宋体" w:eastAsia="宋体" w:cs="宋体"/>
          <w:color w:val="auto"/>
          <w:kern w:val="0"/>
          <w:sz w:val="24"/>
          <w:szCs w:val="24"/>
          <w:highlight w:val="none"/>
          <w:u w:val="single"/>
        </w:rPr>
        <w:t>广州交易集团有限公司（广州公共资源交易中心）</w:t>
      </w:r>
      <w:r>
        <w:rPr>
          <w:rFonts w:hint="eastAsia" w:ascii="宋体" w:hAnsi="宋体" w:eastAsia="宋体" w:cs="宋体"/>
          <w:color w:val="auto"/>
          <w:kern w:val="0"/>
          <w:sz w:val="24"/>
          <w:szCs w:val="24"/>
          <w:highlight w:val="none"/>
        </w:rPr>
        <w:t>网站交易平台递交电子投标文件。</w:t>
      </w:r>
    </w:p>
    <w:p w14:paraId="23F71BD1">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4.2.2 投标人完成电子投标文件上传后，</w:t>
      </w:r>
      <w:r>
        <w:rPr>
          <w:rFonts w:hint="eastAsia" w:ascii="宋体" w:hAnsi="宋体" w:eastAsia="宋体" w:cs="宋体"/>
          <w:color w:val="auto"/>
          <w:kern w:val="0"/>
          <w:sz w:val="24"/>
          <w:szCs w:val="24"/>
          <w:highlight w:val="none"/>
          <w:u w:val="single"/>
        </w:rPr>
        <w:t>广州交易集团有限公司（广州公共资源交易中心）</w:t>
      </w:r>
      <w:r>
        <w:rPr>
          <w:rFonts w:hint="eastAsia" w:ascii="宋体" w:hAnsi="宋体" w:eastAsia="宋体" w:cs="宋体"/>
          <w:color w:val="auto"/>
          <w:kern w:val="0"/>
          <w:sz w:val="24"/>
          <w:szCs w:val="24"/>
          <w:highlight w:val="none"/>
        </w:rPr>
        <w:t>网站交易平台即时向投标人发出递交回执通知。递交时间以递交回执通知载明的传输完成时间为准。</w:t>
      </w:r>
    </w:p>
    <w:p w14:paraId="59F2D8BF">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4.2.3 逾期送达的电子投标文件，</w:t>
      </w:r>
      <w:r>
        <w:rPr>
          <w:rFonts w:hint="eastAsia" w:ascii="宋体" w:hAnsi="宋体" w:eastAsia="宋体" w:cs="宋体"/>
          <w:color w:val="auto"/>
          <w:kern w:val="0"/>
          <w:sz w:val="24"/>
          <w:szCs w:val="24"/>
          <w:highlight w:val="none"/>
          <w:u w:val="single"/>
        </w:rPr>
        <w:t>广州交易集团有限公司（广州公共资源交易中心）</w:t>
      </w:r>
      <w:r>
        <w:rPr>
          <w:rFonts w:hint="eastAsia" w:ascii="宋体" w:hAnsi="宋体" w:eastAsia="宋体" w:cs="宋体"/>
          <w:color w:val="auto"/>
          <w:kern w:val="0"/>
          <w:sz w:val="24"/>
          <w:szCs w:val="24"/>
          <w:highlight w:val="none"/>
        </w:rPr>
        <w:t>网站交易平台将予以拒收。</w:t>
      </w:r>
    </w:p>
    <w:p w14:paraId="5471FD97">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4.2.4 投标截止前，招标人拒绝接收符合条件的投标文件，投标人可向招标监督机构投诉。</w:t>
      </w:r>
    </w:p>
    <w:p w14:paraId="341A5A68">
      <w:pPr>
        <w:wordWrap w:val="0"/>
        <w:autoSpaceDE w:val="0"/>
        <w:autoSpaceDN w:val="0"/>
        <w:spacing w:line="360" w:lineRule="auto"/>
        <w:ind w:firstLine="480" w:firstLineChars="200"/>
        <w:rPr>
          <w:rFonts w:ascii="宋体" w:hAnsi="宋体" w:eastAsia="宋体" w:cs="宋体"/>
          <w:color w:val="auto"/>
          <w:kern w:val="0"/>
          <w:sz w:val="24"/>
          <w:szCs w:val="24"/>
          <w:highlight w:val="none"/>
        </w:rPr>
      </w:pPr>
    </w:p>
    <w:p w14:paraId="720B055F">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112" w:name="_Toc193357969"/>
      <w:bookmarkStart w:id="113" w:name="_Toc32035"/>
      <w:bookmarkStart w:id="114" w:name="_Toc111186753"/>
      <w:r>
        <w:rPr>
          <w:rFonts w:hint="eastAsia" w:ascii="宋体" w:hAnsi="宋体" w:eastAsia="宋体" w:cs="宋体"/>
          <w:b/>
          <w:bCs/>
          <w:color w:val="auto"/>
          <w:spacing w:val="1"/>
          <w:sz w:val="28"/>
          <w:szCs w:val="32"/>
          <w:highlight w:val="none"/>
          <w:lang w:val="zh-CN"/>
        </w:rPr>
        <w:t>4.3</w:t>
      </w:r>
      <w:r>
        <w:rPr>
          <w:rFonts w:hint="eastAsia" w:ascii="宋体" w:hAnsi="宋体" w:eastAsia="宋体" w:cs="宋体"/>
          <w:b/>
          <w:bCs/>
          <w:color w:val="auto"/>
          <w:spacing w:val="68"/>
          <w:sz w:val="28"/>
          <w:szCs w:val="32"/>
          <w:highlight w:val="none"/>
          <w:lang w:val="zh-CN"/>
        </w:rPr>
        <w:t xml:space="preserve"> </w:t>
      </w:r>
      <w:r>
        <w:rPr>
          <w:rFonts w:hint="eastAsia" w:ascii="宋体" w:hAnsi="宋体" w:eastAsia="宋体" w:cs="宋体"/>
          <w:b/>
          <w:bCs/>
          <w:color w:val="auto"/>
          <w:spacing w:val="1"/>
          <w:sz w:val="28"/>
          <w:szCs w:val="32"/>
          <w:highlight w:val="none"/>
          <w:lang w:val="zh-CN"/>
        </w:rPr>
        <w:t>投标文件</w:t>
      </w:r>
      <w:r>
        <w:rPr>
          <w:rFonts w:hint="eastAsia" w:ascii="宋体" w:hAnsi="宋体" w:eastAsia="宋体" w:cs="宋体"/>
          <w:b/>
          <w:bCs/>
          <w:color w:val="auto"/>
          <w:spacing w:val="-3"/>
          <w:sz w:val="28"/>
          <w:szCs w:val="32"/>
          <w:highlight w:val="none"/>
          <w:lang w:val="zh-CN"/>
        </w:rPr>
        <w:t>的</w:t>
      </w:r>
      <w:r>
        <w:rPr>
          <w:rFonts w:hint="eastAsia" w:ascii="宋体" w:hAnsi="宋体" w:eastAsia="宋体" w:cs="宋体"/>
          <w:b/>
          <w:bCs/>
          <w:color w:val="auto"/>
          <w:spacing w:val="1"/>
          <w:sz w:val="28"/>
          <w:szCs w:val="32"/>
          <w:highlight w:val="none"/>
          <w:lang w:val="zh-CN"/>
        </w:rPr>
        <w:t>修</w:t>
      </w:r>
      <w:r>
        <w:rPr>
          <w:rFonts w:hint="eastAsia" w:ascii="宋体" w:hAnsi="宋体" w:eastAsia="宋体" w:cs="宋体"/>
          <w:b/>
          <w:bCs/>
          <w:color w:val="auto"/>
          <w:spacing w:val="-3"/>
          <w:sz w:val="28"/>
          <w:szCs w:val="32"/>
          <w:highlight w:val="none"/>
          <w:lang w:val="zh-CN"/>
        </w:rPr>
        <w:t>改</w:t>
      </w:r>
      <w:r>
        <w:rPr>
          <w:rFonts w:hint="eastAsia" w:ascii="宋体" w:hAnsi="宋体" w:eastAsia="宋体" w:cs="宋体"/>
          <w:b/>
          <w:bCs/>
          <w:color w:val="auto"/>
          <w:spacing w:val="1"/>
          <w:sz w:val="28"/>
          <w:szCs w:val="32"/>
          <w:highlight w:val="none"/>
          <w:lang w:val="zh-CN"/>
        </w:rPr>
        <w:t>与撤回</w:t>
      </w:r>
      <w:bookmarkEnd w:id="112"/>
      <w:bookmarkEnd w:id="113"/>
      <w:bookmarkEnd w:id="114"/>
    </w:p>
    <w:p w14:paraId="2BD9F331">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4.3.1 在规定的投标截止时间前，投标人可以修改或撤回已递交的投标文件，但应以书面形式通知招标人。</w:t>
      </w:r>
    </w:p>
    <w:p w14:paraId="63536502">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4.3.2 投标人修改或撤回已递交投标文件，需在交易平台发出修改或撤回通知，并按要求加盖电子印章。电子招标投标交易平台收到通知后，即时向投标人发出确认回执通知。</w:t>
      </w:r>
    </w:p>
    <w:p w14:paraId="1156DF23">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4.3.3 修改后再次递交的，按第4.2项的规定执行。</w:t>
      </w:r>
    </w:p>
    <w:p w14:paraId="4CBAFA49">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4.3.4 在投标截止时间之后，投标人不得补充、修改和更换投标文件。</w:t>
      </w:r>
    </w:p>
    <w:p w14:paraId="3C20A1AE">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4.3.5 投标人撤回投标文件的，招标人自收到投标人书面撤回通知之日起5日内退还已收取的投标保证金。</w:t>
      </w:r>
    </w:p>
    <w:p w14:paraId="4AE75DE9">
      <w:pPr>
        <w:wordWrap w:val="0"/>
        <w:autoSpaceDE w:val="0"/>
        <w:autoSpaceDN w:val="0"/>
        <w:spacing w:line="360" w:lineRule="auto"/>
        <w:ind w:firstLine="480" w:firstLineChars="200"/>
        <w:rPr>
          <w:rFonts w:ascii="宋体" w:hAnsi="宋体" w:eastAsia="宋体" w:cs="宋体"/>
          <w:color w:val="auto"/>
          <w:kern w:val="0"/>
          <w:sz w:val="24"/>
          <w:szCs w:val="24"/>
          <w:highlight w:val="none"/>
        </w:rPr>
      </w:pPr>
    </w:p>
    <w:p w14:paraId="290A9B59">
      <w:pPr>
        <w:keepNext/>
        <w:keepLines/>
        <w:wordWrap w:val="0"/>
        <w:spacing w:line="360" w:lineRule="auto"/>
        <w:outlineLvl w:val="1"/>
        <w:rPr>
          <w:rFonts w:ascii="宋体" w:hAnsi="宋体" w:eastAsia="宋体" w:cs="宋体"/>
          <w:b/>
          <w:bCs/>
          <w:color w:val="auto"/>
          <w:kern w:val="0"/>
          <w:sz w:val="30"/>
          <w:szCs w:val="30"/>
          <w:highlight w:val="none"/>
          <w:lang w:val="zh-CN"/>
        </w:rPr>
      </w:pPr>
      <w:bookmarkStart w:id="115" w:name="_Toc193357970"/>
      <w:bookmarkStart w:id="116" w:name="_Toc3959"/>
      <w:bookmarkStart w:id="117" w:name="_Toc111186754"/>
      <w:r>
        <w:rPr>
          <w:rFonts w:hint="eastAsia" w:ascii="宋体" w:hAnsi="宋体" w:eastAsia="宋体" w:cs="宋体"/>
          <w:b/>
          <w:bCs/>
          <w:color w:val="auto"/>
          <w:spacing w:val="1"/>
          <w:kern w:val="0"/>
          <w:sz w:val="30"/>
          <w:szCs w:val="30"/>
          <w:highlight w:val="none"/>
          <w:lang w:val="zh-CN"/>
        </w:rPr>
        <w:t>5</w:t>
      </w:r>
      <w:r>
        <w:rPr>
          <w:rFonts w:hint="eastAsia" w:ascii="宋体" w:hAnsi="宋体" w:eastAsia="宋体" w:cs="宋体"/>
          <w:b/>
          <w:bCs/>
          <w:color w:val="auto"/>
          <w:kern w:val="0"/>
          <w:sz w:val="30"/>
          <w:szCs w:val="30"/>
          <w:highlight w:val="none"/>
          <w:lang w:val="zh-CN"/>
        </w:rPr>
        <w:t>.</w:t>
      </w:r>
      <w:r>
        <w:rPr>
          <w:rFonts w:hint="eastAsia" w:ascii="宋体" w:hAnsi="宋体" w:eastAsia="宋体" w:cs="宋体"/>
          <w:b/>
          <w:bCs/>
          <w:color w:val="auto"/>
          <w:spacing w:val="78"/>
          <w:kern w:val="0"/>
          <w:sz w:val="30"/>
          <w:szCs w:val="30"/>
          <w:highlight w:val="none"/>
          <w:lang w:val="zh-CN"/>
        </w:rPr>
        <w:t xml:space="preserve"> </w:t>
      </w:r>
      <w:r>
        <w:rPr>
          <w:rFonts w:hint="eastAsia" w:ascii="宋体" w:hAnsi="宋体" w:eastAsia="宋体" w:cs="宋体"/>
          <w:b/>
          <w:bCs/>
          <w:color w:val="auto"/>
          <w:spacing w:val="2"/>
          <w:kern w:val="0"/>
          <w:sz w:val="30"/>
          <w:szCs w:val="30"/>
          <w:highlight w:val="none"/>
          <w:lang w:val="zh-CN"/>
        </w:rPr>
        <w:t>开标</w:t>
      </w:r>
      <w:bookmarkEnd w:id="115"/>
      <w:bookmarkEnd w:id="116"/>
      <w:bookmarkEnd w:id="117"/>
    </w:p>
    <w:p w14:paraId="16F667CC">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118" w:name="_Toc193357972"/>
      <w:bookmarkStart w:id="119" w:name="_Toc27261"/>
      <w:bookmarkStart w:id="120" w:name="_Toc25072089"/>
      <w:bookmarkStart w:id="121" w:name="_Toc111186756"/>
      <w:r>
        <w:rPr>
          <w:rFonts w:hint="eastAsia" w:ascii="宋体" w:hAnsi="宋体" w:eastAsia="宋体" w:cs="宋体"/>
          <w:b/>
          <w:bCs/>
          <w:color w:val="auto"/>
          <w:spacing w:val="1"/>
          <w:sz w:val="28"/>
          <w:szCs w:val="32"/>
          <w:highlight w:val="none"/>
          <w:lang w:val="zh-CN"/>
        </w:rPr>
        <w:t>5.1 开标时间和地点</w:t>
      </w:r>
      <w:bookmarkEnd w:id="118"/>
      <w:bookmarkEnd w:id="119"/>
      <w:bookmarkEnd w:id="120"/>
      <w:bookmarkEnd w:id="121"/>
    </w:p>
    <w:p w14:paraId="05F8B502">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5.1.1 招标人按投标须知前附表规定的时间和地点公开开标。截标后，开标开始时间因故推迟的，相关评标信息仍以原定的开标开始时间的信息为准。</w:t>
      </w:r>
    </w:p>
    <w:p w14:paraId="3144D489">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5.1.2 开标方式采用电子开标和现场开标两种模式，投标人可选择在开标室参与开标或准时在线参加开标，也可不参加开标。参加在线开标的投标人登录交易平台实时查看开标、唱标情况。交易平台生成开标记录并向社会公众公布。</w:t>
      </w:r>
    </w:p>
    <w:p w14:paraId="389A5832">
      <w:pPr>
        <w:wordWrap w:val="0"/>
        <w:autoSpaceDE w:val="0"/>
        <w:autoSpaceDN w:val="0"/>
        <w:spacing w:line="360" w:lineRule="auto"/>
        <w:ind w:firstLine="480" w:firstLineChars="200"/>
        <w:rPr>
          <w:rFonts w:ascii="宋体" w:hAnsi="宋体" w:eastAsia="宋体" w:cs="宋体"/>
          <w:color w:val="auto"/>
          <w:kern w:val="0"/>
          <w:sz w:val="24"/>
          <w:szCs w:val="24"/>
          <w:highlight w:val="none"/>
        </w:rPr>
      </w:pPr>
    </w:p>
    <w:p w14:paraId="14365A7F">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122" w:name="_Toc111186757"/>
      <w:bookmarkStart w:id="123" w:name="_Toc193357973"/>
      <w:bookmarkStart w:id="124" w:name="_Toc20443"/>
      <w:r>
        <w:rPr>
          <w:rFonts w:hint="eastAsia" w:ascii="宋体" w:hAnsi="宋体" w:eastAsia="宋体" w:cs="宋体"/>
          <w:b/>
          <w:bCs/>
          <w:color w:val="auto"/>
          <w:spacing w:val="1"/>
          <w:sz w:val="28"/>
          <w:szCs w:val="32"/>
          <w:highlight w:val="none"/>
          <w:lang w:val="zh-CN"/>
        </w:rPr>
        <w:t>5.2 开标程序</w:t>
      </w:r>
      <w:bookmarkEnd w:id="122"/>
      <w:bookmarkEnd w:id="123"/>
      <w:bookmarkEnd w:id="124"/>
    </w:p>
    <w:p w14:paraId="043A75EF">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5.2.1 在投标截止时间后一小时内，投标人通过递交投标文件的交易平台对已递交的电子投标文件进行解密。投标人完成解密后，再由招标人进行解密。解密完成后，公布招标项目名称、投标人名称、投标保证金的递交情况、投标报价、项目负责人及其他内容。未在规定时间内解密的投标文件不参与开标、评标。</w:t>
      </w:r>
    </w:p>
    <w:p w14:paraId="51CB035A">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5.2.2 按开标记录表规定的内容进行唱标。</w:t>
      </w:r>
    </w:p>
    <w:p w14:paraId="744C7001">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5.2.3 投标人代表、招标人代表等有关人员在开标记录上签字确认；若有关人员不签字的，不影响开标程序。</w:t>
      </w:r>
    </w:p>
    <w:p w14:paraId="3371CE2D">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5.2.4 开标结束。</w:t>
      </w:r>
    </w:p>
    <w:p w14:paraId="2FFF58E9">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5.2.5 投标截止时间前未完成投标文件传输的或因投标人之外的原因造成投标文件未解密且未按要求递交备用光盘的，视为投标人撤回投标文件。因投标人原因造成投标文件未解密或未在规定的时间内解密的，视为撤销其投标文件。</w:t>
      </w:r>
    </w:p>
    <w:p w14:paraId="72029DD6">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5.2.6 开标时，两个（含两个）以上的投标人加密打包投标文件的硬件特征码（含MAC地址、硬盘序列号、CPU名称、主板等）一致的，由评标委员会否决其投标。</w:t>
      </w:r>
    </w:p>
    <w:p w14:paraId="696E079C">
      <w:pPr>
        <w:wordWrap w:val="0"/>
        <w:autoSpaceDE w:val="0"/>
        <w:autoSpaceDN w:val="0"/>
        <w:spacing w:line="360" w:lineRule="auto"/>
        <w:ind w:firstLine="480" w:firstLineChars="200"/>
        <w:rPr>
          <w:rFonts w:ascii="宋体" w:hAnsi="宋体" w:eastAsia="宋体" w:cs="宋体"/>
          <w:color w:val="auto"/>
          <w:kern w:val="0"/>
          <w:sz w:val="24"/>
          <w:szCs w:val="24"/>
          <w:highlight w:val="none"/>
        </w:rPr>
      </w:pPr>
    </w:p>
    <w:p w14:paraId="3D26E907">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125" w:name="_Toc193357974"/>
      <w:bookmarkStart w:id="126" w:name="_Toc26094"/>
      <w:bookmarkStart w:id="127" w:name="_Toc111186758"/>
      <w:r>
        <w:rPr>
          <w:rFonts w:hint="eastAsia" w:ascii="宋体" w:hAnsi="宋体" w:eastAsia="宋体" w:cs="宋体"/>
          <w:b/>
          <w:bCs/>
          <w:color w:val="auto"/>
          <w:spacing w:val="1"/>
          <w:sz w:val="28"/>
          <w:szCs w:val="32"/>
          <w:highlight w:val="none"/>
          <w:lang w:val="zh-CN"/>
        </w:rPr>
        <w:t>5.3 开标异议</w:t>
      </w:r>
      <w:bookmarkEnd w:id="125"/>
      <w:bookmarkEnd w:id="126"/>
      <w:bookmarkEnd w:id="127"/>
    </w:p>
    <w:p w14:paraId="18C686F7">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5.3.1 参加现场开标的投标人对开标结果有异议的，应当在开标现场提出，该投标人代表须同时出示本人身份证原件，招标人应当当场作出答复，并制作记录。未答复的，开标程序不得结束。</w:t>
      </w:r>
    </w:p>
    <w:p w14:paraId="133467E8">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5.3.2 参加在线开标的投标人对开标结果有异议的，应当在唱标结束后的规定时间内使用单位数字证书登录</w:t>
      </w:r>
      <w:r>
        <w:rPr>
          <w:rFonts w:hint="eastAsia" w:ascii="宋体" w:hAnsi="宋体" w:eastAsia="宋体" w:cs="宋体"/>
          <w:color w:val="auto"/>
          <w:kern w:val="0"/>
          <w:sz w:val="24"/>
          <w:szCs w:val="24"/>
          <w:highlight w:val="none"/>
          <w:u w:val="single"/>
        </w:rPr>
        <w:t>广州交易集团有限公司（广州公共资源交易中心）</w:t>
      </w:r>
      <w:r>
        <w:rPr>
          <w:rFonts w:hint="eastAsia" w:ascii="宋体" w:hAnsi="宋体" w:eastAsia="宋体" w:cs="宋体"/>
          <w:color w:val="auto"/>
          <w:kern w:val="0"/>
          <w:sz w:val="24"/>
          <w:szCs w:val="24"/>
          <w:highlight w:val="none"/>
        </w:rPr>
        <w:t>（电子招标投标交易平台）后通过电子招标投标交易平台提出。若招标人授权招标代理机构工作人员使用招标代理机构数字证书登录电子招标投标交易平台答复异议，异议答复是招标人真实意思表示。未答复的，开标程序不得结束。</w:t>
      </w:r>
    </w:p>
    <w:p w14:paraId="5C82EF45">
      <w:pPr>
        <w:wordWrap w:val="0"/>
        <w:autoSpaceDE w:val="0"/>
        <w:autoSpaceDN w:val="0"/>
        <w:spacing w:line="360" w:lineRule="auto"/>
        <w:ind w:firstLine="480" w:firstLineChars="200"/>
        <w:rPr>
          <w:rFonts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5.3.3 投标人未参加开标或在规定的时间内未提出异议的，视为对开标无异议。</w:t>
      </w:r>
    </w:p>
    <w:p w14:paraId="2622088E">
      <w:pPr>
        <w:wordWrap w:val="0"/>
        <w:autoSpaceDE w:val="0"/>
        <w:autoSpaceDN w:val="0"/>
        <w:spacing w:line="360" w:lineRule="auto"/>
        <w:ind w:firstLine="480" w:firstLineChars="200"/>
        <w:rPr>
          <w:rFonts w:ascii="宋体" w:hAnsi="宋体" w:eastAsia="宋体" w:cs="宋体"/>
          <w:color w:val="auto"/>
          <w:kern w:val="0"/>
          <w:sz w:val="24"/>
          <w:szCs w:val="24"/>
          <w:highlight w:val="none"/>
        </w:rPr>
      </w:pPr>
    </w:p>
    <w:p w14:paraId="02AEE4F0">
      <w:pPr>
        <w:keepNext/>
        <w:keepLines/>
        <w:wordWrap w:val="0"/>
        <w:spacing w:line="360" w:lineRule="auto"/>
        <w:outlineLvl w:val="1"/>
        <w:rPr>
          <w:rFonts w:ascii="宋体" w:hAnsi="宋体" w:eastAsia="宋体" w:cs="宋体"/>
          <w:b/>
          <w:bCs/>
          <w:color w:val="auto"/>
          <w:kern w:val="0"/>
          <w:sz w:val="30"/>
          <w:szCs w:val="30"/>
          <w:highlight w:val="none"/>
          <w:lang w:val="zh-CN"/>
        </w:rPr>
      </w:pPr>
      <w:bookmarkStart w:id="128" w:name="_Toc111186759"/>
      <w:bookmarkStart w:id="129" w:name="_Toc193357975"/>
      <w:bookmarkStart w:id="130" w:name="_Toc27043"/>
      <w:r>
        <w:rPr>
          <w:rFonts w:hint="eastAsia" w:ascii="宋体" w:hAnsi="宋体" w:eastAsia="宋体" w:cs="宋体"/>
          <w:b/>
          <w:bCs/>
          <w:color w:val="auto"/>
          <w:spacing w:val="1"/>
          <w:kern w:val="0"/>
          <w:sz w:val="30"/>
          <w:szCs w:val="30"/>
          <w:highlight w:val="none"/>
          <w:lang w:val="zh-CN"/>
        </w:rPr>
        <w:t>6</w:t>
      </w:r>
      <w:r>
        <w:rPr>
          <w:rFonts w:hint="eastAsia" w:ascii="宋体" w:hAnsi="宋体" w:eastAsia="宋体" w:cs="宋体"/>
          <w:b/>
          <w:bCs/>
          <w:color w:val="auto"/>
          <w:kern w:val="0"/>
          <w:sz w:val="30"/>
          <w:szCs w:val="30"/>
          <w:highlight w:val="none"/>
          <w:lang w:val="zh-CN"/>
        </w:rPr>
        <w:t>.</w:t>
      </w:r>
      <w:r>
        <w:rPr>
          <w:rFonts w:hint="eastAsia" w:ascii="宋体" w:hAnsi="宋体" w:eastAsia="宋体" w:cs="宋体"/>
          <w:b/>
          <w:bCs/>
          <w:color w:val="auto"/>
          <w:spacing w:val="78"/>
          <w:kern w:val="0"/>
          <w:sz w:val="30"/>
          <w:szCs w:val="30"/>
          <w:highlight w:val="none"/>
          <w:lang w:val="zh-CN"/>
        </w:rPr>
        <w:t xml:space="preserve"> </w:t>
      </w:r>
      <w:r>
        <w:rPr>
          <w:rFonts w:hint="eastAsia" w:ascii="宋体" w:hAnsi="宋体" w:eastAsia="宋体" w:cs="宋体"/>
          <w:b/>
          <w:bCs/>
          <w:color w:val="auto"/>
          <w:spacing w:val="2"/>
          <w:kern w:val="0"/>
          <w:sz w:val="30"/>
          <w:szCs w:val="30"/>
          <w:highlight w:val="none"/>
          <w:lang w:val="zh-CN"/>
        </w:rPr>
        <w:t>评标</w:t>
      </w:r>
      <w:bookmarkEnd w:id="128"/>
      <w:bookmarkEnd w:id="129"/>
      <w:bookmarkEnd w:id="130"/>
    </w:p>
    <w:p w14:paraId="0A918B41">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131" w:name="_Toc111186760"/>
      <w:bookmarkStart w:id="132" w:name="_Toc874"/>
      <w:bookmarkStart w:id="133" w:name="_Toc193357976"/>
      <w:r>
        <w:rPr>
          <w:rFonts w:hint="eastAsia" w:ascii="宋体" w:hAnsi="宋体" w:eastAsia="宋体" w:cs="宋体"/>
          <w:b/>
          <w:bCs/>
          <w:color w:val="auto"/>
          <w:spacing w:val="1"/>
          <w:sz w:val="28"/>
          <w:szCs w:val="32"/>
          <w:highlight w:val="none"/>
          <w:lang w:val="zh-CN"/>
        </w:rPr>
        <w:t>6.1 评标委员会</w:t>
      </w:r>
      <w:bookmarkEnd w:id="131"/>
      <w:bookmarkEnd w:id="132"/>
      <w:bookmarkEnd w:id="133"/>
    </w:p>
    <w:p w14:paraId="0C97FBB5">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6.1.1 评标由招标人依法组建的评标委员会负责。评标委员会由有关技术、经济等方面的专家和招标人代表组成，专家从</w:t>
      </w:r>
      <w:r>
        <w:rPr>
          <w:rFonts w:hint="eastAsia" w:ascii="宋体" w:hAnsi="宋体" w:eastAsia="宋体" w:cs="宋体"/>
          <w:color w:val="auto"/>
          <w:kern w:val="0"/>
          <w:sz w:val="24"/>
          <w:szCs w:val="24"/>
          <w:highlight w:val="none"/>
          <w:u w:val="single"/>
        </w:rPr>
        <w:t>广东省综合评标评审专家库</w:t>
      </w:r>
      <w:r>
        <w:rPr>
          <w:rFonts w:hint="eastAsia" w:ascii="宋体" w:hAnsi="宋体" w:eastAsia="宋体" w:cs="宋体"/>
          <w:color w:val="auto"/>
          <w:kern w:val="0"/>
          <w:sz w:val="24"/>
          <w:szCs w:val="24"/>
          <w:highlight w:val="none"/>
        </w:rPr>
        <w:t>中抽取或按远程异地评标专家抽取相关规定组建。评标委员会成员人数以及技术、经济等方面专家的确定方式见投标人须知前附表。</w:t>
      </w:r>
    </w:p>
    <w:p w14:paraId="3DA016FA">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6.1.2 评标委员会成员有下列情形之一的，应当回避：</w:t>
      </w:r>
    </w:p>
    <w:p w14:paraId="419E434C">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(1)投标人或投标人主要负责人的近亲属；</w:t>
      </w:r>
    </w:p>
    <w:p w14:paraId="6F88A2AF">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(2)项目主管部门或者行政监督部门的人员；</w:t>
      </w:r>
    </w:p>
    <w:p w14:paraId="67D5F8E0">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(3)招标人或投标人的工作人员、退休或离职未满3年的人员；</w:t>
      </w:r>
    </w:p>
    <w:p w14:paraId="16B99965">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(4)与投标人有经济利益关系，可能影响对投标公正评审的；</w:t>
      </w:r>
    </w:p>
    <w:p w14:paraId="693E805F">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(5)曾因在招标、评标以及其他与招标投标有关活动中从事违法行为而受过行政处罚或刑事处罚的；</w:t>
      </w:r>
    </w:p>
    <w:p w14:paraId="1DCF9DB2">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(6)与投标人有其他利害关系。</w:t>
      </w:r>
    </w:p>
    <w:p w14:paraId="40E17FB2">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6.1.3 评标过程中，评标委员会成员有回避事由、擅离职守或者因健康等原因不能继续评标的，招标人有权更换。被更换的评标委员会成员作出的评审结论无效，由更换后的评标委员会成员重新进行评审。</w:t>
      </w:r>
    </w:p>
    <w:p w14:paraId="25EC94D3">
      <w:pPr>
        <w:wordWrap w:val="0"/>
        <w:autoSpaceDE w:val="0"/>
        <w:autoSpaceDN w:val="0"/>
        <w:spacing w:line="360" w:lineRule="auto"/>
        <w:ind w:firstLine="480" w:firstLineChars="200"/>
        <w:rPr>
          <w:rFonts w:ascii="宋体" w:hAnsi="宋体" w:eastAsia="宋体" w:cs="宋体"/>
          <w:color w:val="auto"/>
          <w:kern w:val="0"/>
          <w:sz w:val="24"/>
          <w:szCs w:val="24"/>
          <w:highlight w:val="none"/>
        </w:rPr>
      </w:pPr>
    </w:p>
    <w:p w14:paraId="00162F3C">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134" w:name="_Toc9043"/>
      <w:bookmarkStart w:id="135" w:name="_Toc111186761"/>
      <w:bookmarkStart w:id="136" w:name="_Toc193357977"/>
      <w:r>
        <w:rPr>
          <w:rFonts w:hint="eastAsia" w:ascii="宋体" w:hAnsi="宋体" w:eastAsia="宋体" w:cs="宋体"/>
          <w:b/>
          <w:bCs/>
          <w:color w:val="auto"/>
          <w:spacing w:val="1"/>
          <w:sz w:val="28"/>
          <w:szCs w:val="32"/>
          <w:highlight w:val="none"/>
          <w:lang w:val="zh-CN"/>
        </w:rPr>
        <w:t>6.2</w:t>
      </w:r>
      <w:r>
        <w:rPr>
          <w:rFonts w:hint="eastAsia" w:ascii="宋体" w:hAnsi="宋体" w:eastAsia="宋体" w:cs="宋体"/>
          <w:b/>
          <w:bCs/>
          <w:color w:val="auto"/>
          <w:spacing w:val="68"/>
          <w:sz w:val="28"/>
          <w:szCs w:val="32"/>
          <w:highlight w:val="none"/>
          <w:lang w:val="zh-CN"/>
        </w:rPr>
        <w:t xml:space="preserve"> </w:t>
      </w:r>
      <w:r>
        <w:rPr>
          <w:rFonts w:hint="eastAsia" w:ascii="宋体" w:hAnsi="宋体" w:eastAsia="宋体" w:cs="宋体"/>
          <w:b/>
          <w:bCs/>
          <w:color w:val="auto"/>
          <w:spacing w:val="1"/>
          <w:sz w:val="28"/>
          <w:szCs w:val="32"/>
          <w:highlight w:val="none"/>
          <w:lang w:val="zh-CN"/>
        </w:rPr>
        <w:t>评标原则</w:t>
      </w:r>
      <w:bookmarkEnd w:id="134"/>
      <w:bookmarkEnd w:id="135"/>
      <w:bookmarkEnd w:id="136"/>
    </w:p>
    <w:p w14:paraId="6E1EB655">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评标活动遵循公平、公正、科学和择优的原则。</w:t>
      </w:r>
    </w:p>
    <w:p w14:paraId="2B45DB29">
      <w:pPr>
        <w:wordWrap w:val="0"/>
        <w:autoSpaceDE w:val="0"/>
        <w:autoSpaceDN w:val="0"/>
        <w:spacing w:line="360" w:lineRule="auto"/>
        <w:ind w:firstLine="480" w:firstLineChars="200"/>
        <w:rPr>
          <w:rFonts w:ascii="宋体" w:hAnsi="宋体" w:eastAsia="宋体" w:cs="宋体"/>
          <w:color w:val="auto"/>
          <w:kern w:val="0"/>
          <w:sz w:val="24"/>
          <w:szCs w:val="24"/>
          <w:highlight w:val="none"/>
        </w:rPr>
      </w:pPr>
    </w:p>
    <w:p w14:paraId="31F573F6">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137" w:name="_Toc10255"/>
      <w:bookmarkStart w:id="138" w:name="_Toc193357978"/>
      <w:bookmarkStart w:id="139" w:name="_Toc111186762"/>
      <w:r>
        <w:rPr>
          <w:rFonts w:hint="eastAsia" w:ascii="宋体" w:hAnsi="宋体" w:eastAsia="宋体" w:cs="宋体"/>
          <w:b/>
          <w:bCs/>
          <w:color w:val="auto"/>
          <w:spacing w:val="1"/>
          <w:sz w:val="28"/>
          <w:szCs w:val="32"/>
          <w:highlight w:val="none"/>
          <w:lang w:val="zh-CN"/>
        </w:rPr>
        <w:t>6.3</w:t>
      </w:r>
      <w:r>
        <w:rPr>
          <w:rFonts w:hint="eastAsia" w:ascii="宋体" w:hAnsi="宋体" w:eastAsia="宋体" w:cs="宋体"/>
          <w:b/>
          <w:bCs/>
          <w:color w:val="auto"/>
          <w:spacing w:val="68"/>
          <w:sz w:val="28"/>
          <w:szCs w:val="32"/>
          <w:highlight w:val="none"/>
          <w:lang w:val="zh-CN"/>
        </w:rPr>
        <w:t xml:space="preserve"> </w:t>
      </w:r>
      <w:r>
        <w:rPr>
          <w:rFonts w:hint="eastAsia" w:ascii="宋体" w:hAnsi="宋体" w:eastAsia="宋体" w:cs="宋体"/>
          <w:b/>
          <w:bCs/>
          <w:color w:val="auto"/>
          <w:spacing w:val="1"/>
          <w:sz w:val="28"/>
          <w:szCs w:val="32"/>
          <w:highlight w:val="none"/>
          <w:lang w:val="zh-CN"/>
        </w:rPr>
        <w:t>评标</w:t>
      </w:r>
      <w:bookmarkEnd w:id="137"/>
      <w:bookmarkEnd w:id="138"/>
      <w:bookmarkEnd w:id="139"/>
    </w:p>
    <w:p w14:paraId="306E6375">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6.3.1 评标委员会按照第三章“评标办法”规定的方法、评审因素、标准和程序对投标文件进行评审。第三章“评标办法”没有规定的方法、评审因素和标准，不作为评标依据。</w:t>
      </w:r>
    </w:p>
    <w:p w14:paraId="15EA5719">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6.3.2 评标完成后，评标委员会应当向招标人提交书面评标报告和中标候选人名单。评标委员会推荐中标候选人的人数见投标人须知前附表。</w:t>
      </w:r>
    </w:p>
    <w:p w14:paraId="5A1C1A85">
      <w:pPr>
        <w:wordWrap w:val="0"/>
        <w:spacing w:line="360" w:lineRule="auto"/>
        <w:ind w:firstLine="480" w:firstLineChars="200"/>
        <w:rPr>
          <w:rFonts w:ascii="宋体" w:hAnsi="宋体" w:eastAsia="宋体" w:cs="宋体"/>
          <w:color w:val="auto"/>
          <w:sz w:val="24"/>
          <w:szCs w:val="24"/>
          <w:highlight w:val="none"/>
        </w:rPr>
      </w:pPr>
    </w:p>
    <w:p w14:paraId="03324240">
      <w:pPr>
        <w:keepNext/>
        <w:keepLines/>
        <w:wordWrap w:val="0"/>
        <w:spacing w:line="360" w:lineRule="auto"/>
        <w:outlineLvl w:val="1"/>
        <w:rPr>
          <w:rFonts w:ascii="宋体" w:hAnsi="宋体" w:eastAsia="宋体" w:cs="宋体"/>
          <w:b/>
          <w:bCs/>
          <w:color w:val="auto"/>
          <w:kern w:val="0"/>
          <w:sz w:val="30"/>
          <w:szCs w:val="30"/>
          <w:highlight w:val="none"/>
          <w:lang w:val="zh-CN"/>
        </w:rPr>
      </w:pPr>
      <w:bookmarkStart w:id="140" w:name="_Toc111186763"/>
      <w:bookmarkStart w:id="141" w:name="_Toc193357979"/>
      <w:bookmarkStart w:id="142" w:name="_Toc10209"/>
      <w:r>
        <w:rPr>
          <w:rFonts w:hint="eastAsia" w:ascii="宋体" w:hAnsi="宋体" w:eastAsia="宋体" w:cs="宋体"/>
          <w:b/>
          <w:bCs/>
          <w:color w:val="auto"/>
          <w:spacing w:val="1"/>
          <w:kern w:val="0"/>
          <w:sz w:val="30"/>
          <w:szCs w:val="30"/>
          <w:highlight w:val="none"/>
          <w:lang w:val="zh-CN"/>
        </w:rPr>
        <w:t>7</w:t>
      </w:r>
      <w:r>
        <w:rPr>
          <w:rFonts w:hint="eastAsia" w:ascii="宋体" w:hAnsi="宋体" w:eastAsia="宋体" w:cs="宋体"/>
          <w:b/>
          <w:bCs/>
          <w:color w:val="auto"/>
          <w:kern w:val="0"/>
          <w:sz w:val="30"/>
          <w:szCs w:val="30"/>
          <w:highlight w:val="none"/>
          <w:lang w:val="zh-CN"/>
        </w:rPr>
        <w:t>.</w:t>
      </w:r>
      <w:r>
        <w:rPr>
          <w:rFonts w:hint="eastAsia" w:ascii="宋体" w:hAnsi="宋体" w:eastAsia="宋体" w:cs="宋体"/>
          <w:b/>
          <w:bCs/>
          <w:color w:val="auto"/>
          <w:spacing w:val="78"/>
          <w:kern w:val="0"/>
          <w:sz w:val="30"/>
          <w:szCs w:val="30"/>
          <w:highlight w:val="none"/>
          <w:lang w:val="zh-CN"/>
        </w:rPr>
        <w:t xml:space="preserve"> </w:t>
      </w:r>
      <w:r>
        <w:rPr>
          <w:rFonts w:hint="eastAsia" w:ascii="宋体" w:hAnsi="宋体" w:eastAsia="宋体" w:cs="宋体"/>
          <w:b/>
          <w:bCs/>
          <w:color w:val="auto"/>
          <w:kern w:val="0"/>
          <w:sz w:val="30"/>
          <w:szCs w:val="30"/>
          <w:highlight w:val="none"/>
          <w:lang w:val="zh-CN"/>
        </w:rPr>
        <w:t>合同授予</w:t>
      </w:r>
      <w:bookmarkEnd w:id="140"/>
      <w:bookmarkEnd w:id="141"/>
      <w:bookmarkEnd w:id="142"/>
    </w:p>
    <w:p w14:paraId="3A24543D">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143" w:name="_Toc3077"/>
      <w:bookmarkStart w:id="144" w:name="_Toc193357980"/>
      <w:bookmarkStart w:id="145" w:name="_Toc111186764"/>
      <w:r>
        <w:rPr>
          <w:rFonts w:hint="eastAsia" w:ascii="宋体" w:hAnsi="宋体" w:eastAsia="宋体" w:cs="宋体"/>
          <w:b/>
          <w:bCs/>
          <w:color w:val="auto"/>
          <w:spacing w:val="1"/>
          <w:sz w:val="28"/>
          <w:szCs w:val="32"/>
          <w:highlight w:val="none"/>
          <w:lang w:val="zh-CN"/>
        </w:rPr>
        <w:t>7.1</w:t>
      </w:r>
      <w:r>
        <w:rPr>
          <w:rFonts w:hint="eastAsia" w:ascii="宋体" w:hAnsi="宋体" w:eastAsia="宋体" w:cs="宋体"/>
          <w:b/>
          <w:bCs/>
          <w:color w:val="auto"/>
          <w:spacing w:val="68"/>
          <w:sz w:val="28"/>
          <w:szCs w:val="32"/>
          <w:highlight w:val="none"/>
          <w:lang w:val="zh-CN"/>
        </w:rPr>
        <w:t xml:space="preserve"> </w:t>
      </w:r>
      <w:r>
        <w:rPr>
          <w:rFonts w:hint="eastAsia" w:ascii="宋体" w:hAnsi="宋体" w:eastAsia="宋体" w:cs="宋体"/>
          <w:b/>
          <w:bCs/>
          <w:color w:val="auto"/>
          <w:spacing w:val="1"/>
          <w:sz w:val="28"/>
          <w:szCs w:val="32"/>
          <w:highlight w:val="none"/>
          <w:lang w:val="zh-CN"/>
        </w:rPr>
        <w:t>中标候选</w:t>
      </w:r>
      <w:r>
        <w:rPr>
          <w:rFonts w:hint="eastAsia" w:ascii="宋体" w:hAnsi="宋体" w:eastAsia="宋体" w:cs="宋体"/>
          <w:b/>
          <w:bCs/>
          <w:color w:val="auto"/>
          <w:spacing w:val="-3"/>
          <w:sz w:val="28"/>
          <w:szCs w:val="32"/>
          <w:highlight w:val="none"/>
          <w:lang w:val="zh-CN"/>
        </w:rPr>
        <w:t>人</w:t>
      </w:r>
      <w:r>
        <w:rPr>
          <w:rFonts w:hint="eastAsia" w:ascii="宋体" w:hAnsi="宋体" w:eastAsia="宋体" w:cs="宋体"/>
          <w:b/>
          <w:bCs/>
          <w:color w:val="auto"/>
          <w:spacing w:val="1"/>
          <w:sz w:val="28"/>
          <w:szCs w:val="32"/>
          <w:highlight w:val="none"/>
          <w:lang w:val="zh-CN"/>
        </w:rPr>
        <w:t>公示</w:t>
      </w:r>
      <w:bookmarkEnd w:id="143"/>
      <w:bookmarkEnd w:id="144"/>
      <w:bookmarkEnd w:id="145"/>
    </w:p>
    <w:p w14:paraId="1EC06A7A">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7.1.1 招标人在收到评标报告之日起3日内，按照投标人须知前附表规定的公示媒介和期限公示中标候选人，公示期不得少于3天，最后一天应为工作日。</w:t>
      </w:r>
    </w:p>
    <w:p w14:paraId="56C18B48">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7.1.2 在产生中标候选人后，招标人将中标候选人的投标文件商务部分（包括人员、业绩、奖项等资料）在</w:t>
      </w:r>
      <w:r>
        <w:rPr>
          <w:rFonts w:hint="eastAsia" w:ascii="宋体" w:hAnsi="宋体" w:eastAsia="宋体" w:cs="宋体"/>
          <w:color w:val="auto"/>
          <w:kern w:val="0"/>
          <w:sz w:val="24"/>
          <w:szCs w:val="24"/>
          <w:highlight w:val="none"/>
          <w:u w:val="single"/>
        </w:rPr>
        <w:t>广州交易集团有限公司（广州公共资源交易中心）</w:t>
      </w:r>
      <w:r>
        <w:rPr>
          <w:rFonts w:hint="eastAsia" w:ascii="宋体" w:hAnsi="宋体" w:eastAsia="宋体" w:cs="宋体"/>
          <w:color w:val="auto"/>
          <w:kern w:val="0"/>
          <w:sz w:val="24"/>
          <w:szCs w:val="24"/>
          <w:highlight w:val="none"/>
        </w:rPr>
        <w:t>网站和广东省招标投标监管网公开。</w:t>
      </w:r>
    </w:p>
    <w:p w14:paraId="5A093580">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根据《国家发展改革委等部门关于严格执行招标投标法规制度进一步规范招标投标主体行为的若干意见》（发改法规规〔2022〕1117号），招标人应当在中标候选人公示前认真审查评标委员会提交的书面评标报告，发现异常情形的，依照法定程序进行复核，确认存在问题的，依照法定程序予以纠正。</w:t>
      </w:r>
    </w:p>
    <w:p w14:paraId="2E56625E">
      <w:pPr>
        <w:wordWrap w:val="0"/>
        <w:autoSpaceDE w:val="0"/>
        <w:autoSpaceDN w:val="0"/>
        <w:spacing w:line="360" w:lineRule="auto"/>
        <w:ind w:firstLine="480" w:firstLineChars="200"/>
        <w:rPr>
          <w:rFonts w:ascii="宋体" w:hAnsi="宋体" w:eastAsia="宋体" w:cs="宋体"/>
          <w:color w:val="auto"/>
          <w:kern w:val="0"/>
          <w:sz w:val="24"/>
          <w:szCs w:val="24"/>
          <w:highlight w:val="none"/>
        </w:rPr>
      </w:pPr>
    </w:p>
    <w:p w14:paraId="43087515">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146" w:name="_Toc111186765"/>
      <w:bookmarkStart w:id="147" w:name="_Toc193357981"/>
      <w:bookmarkStart w:id="148" w:name="_Toc19391"/>
      <w:r>
        <w:rPr>
          <w:rFonts w:hint="eastAsia" w:ascii="宋体" w:hAnsi="宋体" w:eastAsia="宋体" w:cs="宋体"/>
          <w:b/>
          <w:bCs/>
          <w:color w:val="auto"/>
          <w:spacing w:val="1"/>
          <w:sz w:val="28"/>
          <w:szCs w:val="32"/>
          <w:highlight w:val="none"/>
          <w:lang w:val="zh-CN"/>
        </w:rPr>
        <w:t>7.2</w:t>
      </w:r>
      <w:r>
        <w:rPr>
          <w:rFonts w:hint="eastAsia" w:ascii="宋体" w:hAnsi="宋体" w:eastAsia="宋体" w:cs="宋体"/>
          <w:b/>
          <w:bCs/>
          <w:color w:val="auto"/>
          <w:spacing w:val="68"/>
          <w:sz w:val="28"/>
          <w:szCs w:val="32"/>
          <w:highlight w:val="none"/>
          <w:lang w:val="zh-CN"/>
        </w:rPr>
        <w:t xml:space="preserve"> </w:t>
      </w:r>
      <w:r>
        <w:rPr>
          <w:rFonts w:hint="eastAsia" w:ascii="宋体" w:hAnsi="宋体" w:eastAsia="宋体" w:cs="宋体"/>
          <w:b/>
          <w:bCs/>
          <w:color w:val="auto"/>
          <w:spacing w:val="1"/>
          <w:sz w:val="28"/>
          <w:szCs w:val="32"/>
          <w:highlight w:val="none"/>
          <w:lang w:val="zh-CN"/>
        </w:rPr>
        <w:t>评标结果</w:t>
      </w:r>
      <w:r>
        <w:rPr>
          <w:rFonts w:hint="eastAsia" w:ascii="宋体" w:hAnsi="宋体" w:eastAsia="宋体" w:cs="宋体"/>
          <w:b/>
          <w:bCs/>
          <w:color w:val="auto"/>
          <w:spacing w:val="-3"/>
          <w:sz w:val="28"/>
          <w:szCs w:val="32"/>
          <w:highlight w:val="none"/>
          <w:lang w:val="zh-CN"/>
        </w:rPr>
        <w:t>异</w:t>
      </w:r>
      <w:r>
        <w:rPr>
          <w:rFonts w:hint="eastAsia" w:ascii="宋体" w:hAnsi="宋体" w:eastAsia="宋体" w:cs="宋体"/>
          <w:b/>
          <w:bCs/>
          <w:color w:val="auto"/>
          <w:spacing w:val="1"/>
          <w:sz w:val="28"/>
          <w:szCs w:val="32"/>
          <w:highlight w:val="none"/>
          <w:lang w:val="zh-CN"/>
        </w:rPr>
        <w:t>议</w:t>
      </w:r>
      <w:bookmarkEnd w:id="146"/>
      <w:bookmarkEnd w:id="147"/>
      <w:bookmarkEnd w:id="148"/>
    </w:p>
    <w:p w14:paraId="368084AA">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投标人或者其他利害关系人对评标结果有异议的，应当在中标候选人公示期间通过电子交易系统提出。招标人将在收到异议之日起3日内在电子交易系统作出答复；作出答复前，将暂停招标投标活动。</w:t>
      </w:r>
    </w:p>
    <w:p w14:paraId="7B6E4605">
      <w:pPr>
        <w:wordWrap w:val="0"/>
        <w:autoSpaceDE w:val="0"/>
        <w:autoSpaceDN w:val="0"/>
        <w:spacing w:line="360" w:lineRule="auto"/>
        <w:ind w:firstLine="480" w:firstLineChars="200"/>
        <w:rPr>
          <w:rFonts w:ascii="宋体" w:hAnsi="宋体" w:eastAsia="宋体" w:cs="宋体"/>
          <w:color w:val="auto"/>
          <w:kern w:val="0"/>
          <w:sz w:val="24"/>
          <w:szCs w:val="24"/>
          <w:highlight w:val="none"/>
        </w:rPr>
      </w:pPr>
    </w:p>
    <w:p w14:paraId="50812CF8">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149" w:name="_Toc17235"/>
      <w:bookmarkStart w:id="150" w:name="_Toc193357982"/>
      <w:bookmarkStart w:id="151" w:name="_Toc111186766"/>
      <w:r>
        <w:rPr>
          <w:rFonts w:hint="eastAsia" w:ascii="宋体" w:hAnsi="宋体" w:eastAsia="宋体" w:cs="宋体"/>
          <w:b/>
          <w:bCs/>
          <w:color w:val="auto"/>
          <w:spacing w:val="1"/>
          <w:sz w:val="28"/>
          <w:szCs w:val="32"/>
          <w:highlight w:val="none"/>
          <w:lang w:val="zh-CN"/>
        </w:rPr>
        <w:t>7.3</w:t>
      </w:r>
      <w:r>
        <w:rPr>
          <w:rFonts w:hint="eastAsia" w:ascii="宋体" w:hAnsi="宋体" w:eastAsia="宋体" w:cs="宋体"/>
          <w:b/>
          <w:bCs/>
          <w:color w:val="auto"/>
          <w:spacing w:val="68"/>
          <w:sz w:val="28"/>
          <w:szCs w:val="32"/>
          <w:highlight w:val="none"/>
          <w:lang w:val="zh-CN"/>
        </w:rPr>
        <w:t xml:space="preserve"> </w:t>
      </w:r>
      <w:r>
        <w:rPr>
          <w:rFonts w:hint="eastAsia" w:ascii="宋体" w:hAnsi="宋体" w:eastAsia="宋体" w:cs="宋体"/>
          <w:b/>
          <w:bCs/>
          <w:color w:val="auto"/>
          <w:spacing w:val="1"/>
          <w:sz w:val="28"/>
          <w:szCs w:val="32"/>
          <w:highlight w:val="none"/>
          <w:lang w:val="zh-CN"/>
        </w:rPr>
        <w:t>中标候选</w:t>
      </w:r>
      <w:r>
        <w:rPr>
          <w:rFonts w:hint="eastAsia" w:ascii="宋体" w:hAnsi="宋体" w:eastAsia="宋体" w:cs="宋体"/>
          <w:b/>
          <w:bCs/>
          <w:color w:val="auto"/>
          <w:spacing w:val="-3"/>
          <w:sz w:val="28"/>
          <w:szCs w:val="32"/>
          <w:highlight w:val="none"/>
          <w:lang w:val="zh-CN"/>
        </w:rPr>
        <w:t>人</w:t>
      </w:r>
      <w:r>
        <w:rPr>
          <w:rFonts w:hint="eastAsia" w:ascii="宋体" w:hAnsi="宋体" w:eastAsia="宋体" w:cs="宋体"/>
          <w:b/>
          <w:bCs/>
          <w:color w:val="auto"/>
          <w:spacing w:val="1"/>
          <w:sz w:val="28"/>
          <w:szCs w:val="32"/>
          <w:highlight w:val="none"/>
          <w:lang w:val="zh-CN"/>
        </w:rPr>
        <w:t>履</w:t>
      </w:r>
      <w:r>
        <w:rPr>
          <w:rFonts w:hint="eastAsia" w:ascii="宋体" w:hAnsi="宋体" w:eastAsia="宋体" w:cs="宋体"/>
          <w:b/>
          <w:bCs/>
          <w:color w:val="auto"/>
          <w:spacing w:val="-3"/>
          <w:sz w:val="28"/>
          <w:szCs w:val="32"/>
          <w:highlight w:val="none"/>
          <w:lang w:val="zh-CN"/>
        </w:rPr>
        <w:t>约</w:t>
      </w:r>
      <w:r>
        <w:rPr>
          <w:rFonts w:hint="eastAsia" w:ascii="宋体" w:hAnsi="宋体" w:eastAsia="宋体" w:cs="宋体"/>
          <w:b/>
          <w:bCs/>
          <w:color w:val="auto"/>
          <w:spacing w:val="1"/>
          <w:sz w:val="28"/>
          <w:szCs w:val="32"/>
          <w:highlight w:val="none"/>
          <w:lang w:val="zh-CN"/>
        </w:rPr>
        <w:t>能力审查</w:t>
      </w:r>
      <w:bookmarkEnd w:id="149"/>
      <w:bookmarkEnd w:id="150"/>
      <w:bookmarkEnd w:id="151"/>
    </w:p>
    <w:p w14:paraId="06A70961">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中标候选人的经营、财务状况发生较大变化或存在违法行为，招标人认为可能影响其履约能力的，将在发出中标通知书前提请原评标委员会按照招标文件规定的标准和方法进行审查确认。</w:t>
      </w:r>
    </w:p>
    <w:p w14:paraId="511F7533">
      <w:pPr>
        <w:wordWrap w:val="0"/>
        <w:autoSpaceDE w:val="0"/>
        <w:autoSpaceDN w:val="0"/>
        <w:spacing w:line="360" w:lineRule="auto"/>
        <w:ind w:firstLine="480" w:firstLineChars="200"/>
        <w:rPr>
          <w:rFonts w:ascii="宋体" w:hAnsi="宋体" w:eastAsia="宋体" w:cs="宋体"/>
          <w:color w:val="auto"/>
          <w:kern w:val="0"/>
          <w:sz w:val="24"/>
          <w:szCs w:val="24"/>
          <w:highlight w:val="none"/>
        </w:rPr>
      </w:pPr>
    </w:p>
    <w:p w14:paraId="3EE010C0">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152" w:name="_Toc1732"/>
      <w:bookmarkStart w:id="153" w:name="_Toc111186767"/>
      <w:bookmarkStart w:id="154" w:name="_Toc193357983"/>
      <w:r>
        <w:rPr>
          <w:rFonts w:hint="eastAsia" w:ascii="宋体" w:hAnsi="宋体" w:eastAsia="宋体" w:cs="宋体"/>
          <w:b/>
          <w:bCs/>
          <w:color w:val="auto"/>
          <w:spacing w:val="1"/>
          <w:sz w:val="28"/>
          <w:szCs w:val="32"/>
          <w:highlight w:val="none"/>
          <w:lang w:val="zh-CN"/>
        </w:rPr>
        <w:t>7.4</w:t>
      </w:r>
      <w:r>
        <w:rPr>
          <w:rFonts w:hint="eastAsia" w:ascii="宋体" w:hAnsi="宋体" w:eastAsia="宋体" w:cs="宋体"/>
          <w:b/>
          <w:bCs/>
          <w:color w:val="auto"/>
          <w:spacing w:val="68"/>
          <w:sz w:val="28"/>
          <w:szCs w:val="32"/>
          <w:highlight w:val="none"/>
          <w:lang w:val="zh-CN"/>
        </w:rPr>
        <w:t xml:space="preserve"> </w:t>
      </w:r>
      <w:r>
        <w:rPr>
          <w:rFonts w:hint="eastAsia" w:ascii="宋体" w:hAnsi="宋体" w:eastAsia="宋体" w:cs="宋体"/>
          <w:b/>
          <w:bCs/>
          <w:color w:val="auto"/>
          <w:spacing w:val="1"/>
          <w:sz w:val="28"/>
          <w:szCs w:val="32"/>
          <w:highlight w:val="none"/>
          <w:lang w:val="zh-CN"/>
        </w:rPr>
        <w:t>定标</w:t>
      </w:r>
      <w:bookmarkEnd w:id="152"/>
      <w:bookmarkEnd w:id="153"/>
      <w:bookmarkEnd w:id="154"/>
    </w:p>
    <w:p w14:paraId="34EF6CD1">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按照投标人须知前附表的规定，招标人或招标人授权的评标委员会依法确定中标人。</w:t>
      </w:r>
    </w:p>
    <w:p w14:paraId="602E6A50">
      <w:pPr>
        <w:wordWrap w:val="0"/>
        <w:autoSpaceDE w:val="0"/>
        <w:autoSpaceDN w:val="0"/>
        <w:spacing w:line="360" w:lineRule="auto"/>
        <w:ind w:firstLine="480" w:firstLineChars="200"/>
        <w:rPr>
          <w:rFonts w:ascii="宋体" w:hAnsi="宋体" w:eastAsia="宋体" w:cs="宋体"/>
          <w:color w:val="auto"/>
          <w:kern w:val="0"/>
          <w:sz w:val="24"/>
          <w:szCs w:val="24"/>
          <w:highlight w:val="none"/>
        </w:rPr>
      </w:pPr>
    </w:p>
    <w:p w14:paraId="6FB1577A">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155" w:name="_Toc4759"/>
      <w:bookmarkStart w:id="156" w:name="_Toc193357984"/>
      <w:bookmarkStart w:id="157" w:name="_Toc111186768"/>
      <w:r>
        <w:rPr>
          <w:rFonts w:hint="eastAsia" w:ascii="宋体" w:hAnsi="宋体" w:eastAsia="宋体" w:cs="宋体"/>
          <w:b/>
          <w:bCs/>
          <w:color w:val="auto"/>
          <w:spacing w:val="1"/>
          <w:sz w:val="28"/>
          <w:szCs w:val="32"/>
          <w:highlight w:val="none"/>
          <w:lang w:val="zh-CN"/>
        </w:rPr>
        <w:t>7.5</w:t>
      </w:r>
      <w:r>
        <w:rPr>
          <w:rFonts w:hint="eastAsia" w:ascii="宋体" w:hAnsi="宋体" w:eastAsia="宋体" w:cs="宋体"/>
          <w:b/>
          <w:bCs/>
          <w:color w:val="auto"/>
          <w:spacing w:val="68"/>
          <w:sz w:val="28"/>
          <w:szCs w:val="32"/>
          <w:highlight w:val="none"/>
          <w:lang w:val="zh-CN"/>
        </w:rPr>
        <w:t xml:space="preserve"> </w:t>
      </w:r>
      <w:r>
        <w:rPr>
          <w:rFonts w:hint="eastAsia" w:ascii="宋体" w:hAnsi="宋体" w:eastAsia="宋体" w:cs="宋体"/>
          <w:b/>
          <w:bCs/>
          <w:color w:val="auto"/>
          <w:spacing w:val="1"/>
          <w:sz w:val="28"/>
          <w:szCs w:val="32"/>
          <w:highlight w:val="none"/>
          <w:lang w:val="zh-CN"/>
        </w:rPr>
        <w:t>中标通知</w:t>
      </w:r>
      <w:bookmarkEnd w:id="155"/>
      <w:bookmarkEnd w:id="156"/>
      <w:bookmarkEnd w:id="157"/>
    </w:p>
    <w:p w14:paraId="0175CA0D">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7.5.1 在法规规定的时间内，招标人向中标人发出中标通知书。在广东省招标投标监管网和</w:t>
      </w:r>
      <w:r>
        <w:rPr>
          <w:rFonts w:hint="eastAsia" w:ascii="宋体" w:hAnsi="宋体" w:eastAsia="宋体" w:cs="宋体"/>
          <w:color w:val="auto"/>
          <w:kern w:val="0"/>
          <w:sz w:val="24"/>
          <w:szCs w:val="24"/>
          <w:highlight w:val="none"/>
          <w:u w:val="single"/>
        </w:rPr>
        <w:t>广州交易集团有限公司（广州公共资源交易中心）</w:t>
      </w:r>
      <w:r>
        <w:rPr>
          <w:rFonts w:hint="eastAsia" w:ascii="宋体" w:hAnsi="宋体" w:eastAsia="宋体" w:cs="宋体"/>
          <w:color w:val="auto"/>
          <w:kern w:val="0"/>
          <w:sz w:val="24"/>
          <w:szCs w:val="24"/>
          <w:highlight w:val="none"/>
        </w:rPr>
        <w:t>网站发布中标信息，视同将中标结果通知未中标的投标人。</w:t>
      </w:r>
    </w:p>
    <w:p w14:paraId="1ED50966">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7.5.2 政府投资项目，中标通知书发出前，中标人应未被纳入失信惩戒名单，否则招标人将取消其中标资格。失信联合惩戒名单以“信用广州”网站公布的为准。</w:t>
      </w:r>
    </w:p>
    <w:p w14:paraId="6DD65C21">
      <w:pPr>
        <w:wordWrap w:val="0"/>
        <w:autoSpaceDE w:val="0"/>
        <w:autoSpaceDN w:val="0"/>
        <w:spacing w:line="360" w:lineRule="auto"/>
        <w:ind w:firstLine="480" w:firstLineChars="200"/>
        <w:rPr>
          <w:rFonts w:ascii="宋体" w:hAnsi="宋体" w:eastAsia="宋体" w:cs="宋体"/>
          <w:color w:val="auto"/>
          <w:kern w:val="0"/>
          <w:sz w:val="24"/>
          <w:szCs w:val="24"/>
          <w:highlight w:val="none"/>
        </w:rPr>
      </w:pPr>
    </w:p>
    <w:p w14:paraId="53994DAB">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158" w:name="_Toc111186769"/>
      <w:bookmarkStart w:id="159" w:name="_Toc11927"/>
      <w:bookmarkStart w:id="160" w:name="_Toc193357985"/>
      <w:r>
        <w:rPr>
          <w:rFonts w:hint="eastAsia" w:ascii="宋体" w:hAnsi="宋体" w:eastAsia="宋体" w:cs="宋体"/>
          <w:b/>
          <w:bCs/>
          <w:color w:val="auto"/>
          <w:spacing w:val="1"/>
          <w:sz w:val="28"/>
          <w:szCs w:val="32"/>
          <w:highlight w:val="none"/>
          <w:lang w:val="zh-CN"/>
        </w:rPr>
        <w:t>7.6</w:t>
      </w:r>
      <w:r>
        <w:rPr>
          <w:rFonts w:hint="eastAsia" w:ascii="宋体" w:hAnsi="宋体" w:eastAsia="宋体" w:cs="宋体"/>
          <w:b/>
          <w:bCs/>
          <w:color w:val="auto"/>
          <w:spacing w:val="68"/>
          <w:sz w:val="28"/>
          <w:szCs w:val="32"/>
          <w:highlight w:val="none"/>
          <w:lang w:val="zh-CN"/>
        </w:rPr>
        <w:t xml:space="preserve"> </w:t>
      </w:r>
      <w:r>
        <w:rPr>
          <w:rFonts w:hint="eastAsia" w:ascii="宋体" w:hAnsi="宋体" w:eastAsia="宋体" w:cs="宋体"/>
          <w:b/>
          <w:bCs/>
          <w:color w:val="auto"/>
          <w:spacing w:val="1"/>
          <w:sz w:val="28"/>
          <w:szCs w:val="32"/>
          <w:highlight w:val="none"/>
          <w:lang w:val="zh-CN"/>
        </w:rPr>
        <w:t>技术成果</w:t>
      </w:r>
      <w:r>
        <w:rPr>
          <w:rFonts w:hint="eastAsia" w:ascii="宋体" w:hAnsi="宋体" w:eastAsia="宋体" w:cs="宋体"/>
          <w:b/>
          <w:bCs/>
          <w:color w:val="auto"/>
          <w:spacing w:val="-3"/>
          <w:sz w:val="28"/>
          <w:szCs w:val="32"/>
          <w:highlight w:val="none"/>
          <w:lang w:val="zh-CN"/>
        </w:rPr>
        <w:t>经</w:t>
      </w:r>
      <w:r>
        <w:rPr>
          <w:rFonts w:hint="eastAsia" w:ascii="宋体" w:hAnsi="宋体" w:eastAsia="宋体" w:cs="宋体"/>
          <w:b/>
          <w:bCs/>
          <w:color w:val="auto"/>
          <w:spacing w:val="1"/>
          <w:sz w:val="28"/>
          <w:szCs w:val="32"/>
          <w:highlight w:val="none"/>
          <w:lang w:val="zh-CN"/>
        </w:rPr>
        <w:t>济</w:t>
      </w:r>
      <w:r>
        <w:rPr>
          <w:rFonts w:hint="eastAsia" w:ascii="宋体" w:hAnsi="宋体" w:eastAsia="宋体" w:cs="宋体"/>
          <w:b/>
          <w:bCs/>
          <w:color w:val="auto"/>
          <w:spacing w:val="-3"/>
          <w:sz w:val="28"/>
          <w:szCs w:val="32"/>
          <w:highlight w:val="none"/>
          <w:lang w:val="zh-CN"/>
        </w:rPr>
        <w:t>补</w:t>
      </w:r>
      <w:r>
        <w:rPr>
          <w:rFonts w:hint="eastAsia" w:ascii="宋体" w:hAnsi="宋体" w:eastAsia="宋体" w:cs="宋体"/>
          <w:b/>
          <w:bCs/>
          <w:color w:val="auto"/>
          <w:spacing w:val="1"/>
          <w:sz w:val="28"/>
          <w:szCs w:val="32"/>
          <w:highlight w:val="none"/>
          <w:lang w:val="zh-CN"/>
        </w:rPr>
        <w:t>偿</w:t>
      </w:r>
      <w:bookmarkEnd w:id="158"/>
      <w:bookmarkEnd w:id="159"/>
      <w:bookmarkEnd w:id="160"/>
    </w:p>
    <w:p w14:paraId="3B457C1A">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招标人对符合招标</w:t>
      </w:r>
      <w:r>
        <w:rPr>
          <w:rFonts w:hint="eastAsia" w:ascii="宋体" w:hAnsi="宋体" w:eastAsia="宋体" w:cs="宋体"/>
          <w:color w:val="auto"/>
          <w:spacing w:val="-2"/>
          <w:kern w:val="0"/>
          <w:sz w:val="24"/>
          <w:szCs w:val="24"/>
          <w:highlight w:val="none"/>
        </w:rPr>
        <w:t>文</w:t>
      </w:r>
      <w:r>
        <w:rPr>
          <w:rFonts w:hint="eastAsia" w:ascii="宋体" w:hAnsi="宋体" w:eastAsia="宋体" w:cs="宋体"/>
          <w:color w:val="auto"/>
          <w:kern w:val="0"/>
          <w:sz w:val="24"/>
          <w:szCs w:val="24"/>
          <w:highlight w:val="none"/>
        </w:rPr>
        <w:t>件</w:t>
      </w:r>
      <w:r>
        <w:rPr>
          <w:rFonts w:hint="eastAsia" w:ascii="宋体" w:hAnsi="宋体" w:eastAsia="宋体" w:cs="宋体"/>
          <w:color w:val="auto"/>
          <w:spacing w:val="-2"/>
          <w:kern w:val="0"/>
          <w:sz w:val="24"/>
          <w:szCs w:val="24"/>
          <w:highlight w:val="none"/>
        </w:rPr>
        <w:t>规</w:t>
      </w:r>
      <w:r>
        <w:rPr>
          <w:rFonts w:hint="eastAsia" w:ascii="宋体" w:hAnsi="宋体" w:eastAsia="宋体" w:cs="宋体"/>
          <w:color w:val="auto"/>
          <w:kern w:val="0"/>
          <w:sz w:val="24"/>
          <w:szCs w:val="24"/>
          <w:highlight w:val="none"/>
        </w:rPr>
        <w:t>定的未中标人的技</w:t>
      </w:r>
      <w:r>
        <w:rPr>
          <w:rFonts w:hint="eastAsia" w:ascii="宋体" w:hAnsi="宋体" w:eastAsia="宋体" w:cs="宋体"/>
          <w:color w:val="auto"/>
          <w:spacing w:val="-2"/>
          <w:kern w:val="0"/>
          <w:sz w:val="24"/>
          <w:szCs w:val="24"/>
          <w:highlight w:val="none"/>
        </w:rPr>
        <w:t>术</w:t>
      </w:r>
      <w:r>
        <w:rPr>
          <w:rFonts w:hint="eastAsia" w:ascii="宋体" w:hAnsi="宋体" w:eastAsia="宋体" w:cs="宋体"/>
          <w:color w:val="auto"/>
          <w:kern w:val="0"/>
          <w:sz w:val="24"/>
          <w:szCs w:val="24"/>
          <w:highlight w:val="none"/>
        </w:rPr>
        <w:t>成</w:t>
      </w:r>
      <w:r>
        <w:rPr>
          <w:rFonts w:hint="eastAsia" w:ascii="宋体" w:hAnsi="宋体" w:eastAsia="宋体" w:cs="宋体"/>
          <w:color w:val="auto"/>
          <w:spacing w:val="-2"/>
          <w:kern w:val="0"/>
          <w:sz w:val="24"/>
          <w:szCs w:val="24"/>
          <w:highlight w:val="none"/>
        </w:rPr>
        <w:t>果</w:t>
      </w:r>
      <w:r>
        <w:rPr>
          <w:rFonts w:hint="eastAsia" w:ascii="宋体" w:hAnsi="宋体" w:eastAsia="宋体" w:cs="宋体"/>
          <w:color w:val="auto"/>
          <w:kern w:val="0"/>
          <w:sz w:val="24"/>
          <w:szCs w:val="24"/>
          <w:highlight w:val="none"/>
        </w:rPr>
        <w:t>进行补偿的，招标</w:t>
      </w:r>
      <w:r>
        <w:rPr>
          <w:rFonts w:hint="eastAsia" w:ascii="宋体" w:hAnsi="宋体" w:eastAsia="宋体" w:cs="宋体"/>
          <w:color w:val="auto"/>
          <w:spacing w:val="-2"/>
          <w:kern w:val="0"/>
          <w:sz w:val="24"/>
          <w:szCs w:val="24"/>
          <w:highlight w:val="none"/>
        </w:rPr>
        <w:t>人</w:t>
      </w:r>
      <w:r>
        <w:rPr>
          <w:rFonts w:hint="eastAsia" w:ascii="宋体" w:hAnsi="宋体" w:eastAsia="宋体" w:cs="宋体"/>
          <w:color w:val="auto"/>
          <w:kern w:val="0"/>
          <w:sz w:val="24"/>
          <w:szCs w:val="24"/>
          <w:highlight w:val="none"/>
        </w:rPr>
        <w:t>将</w:t>
      </w:r>
      <w:r>
        <w:rPr>
          <w:rFonts w:hint="eastAsia" w:ascii="宋体" w:hAnsi="宋体" w:eastAsia="宋体" w:cs="宋体"/>
          <w:color w:val="auto"/>
          <w:spacing w:val="-2"/>
          <w:kern w:val="0"/>
          <w:sz w:val="24"/>
          <w:szCs w:val="24"/>
          <w:highlight w:val="none"/>
        </w:rPr>
        <w:t>按</w:t>
      </w:r>
      <w:r>
        <w:rPr>
          <w:rFonts w:hint="eastAsia" w:ascii="宋体" w:hAnsi="宋体" w:eastAsia="宋体" w:cs="宋体"/>
          <w:color w:val="auto"/>
          <w:kern w:val="0"/>
          <w:sz w:val="24"/>
          <w:szCs w:val="24"/>
          <w:highlight w:val="none"/>
        </w:rPr>
        <w:t>投标人须知前附表规定的标准</w:t>
      </w:r>
      <w:r>
        <w:rPr>
          <w:rFonts w:hint="eastAsia" w:ascii="宋体" w:hAnsi="宋体" w:eastAsia="宋体" w:cs="宋体"/>
          <w:color w:val="auto"/>
          <w:spacing w:val="-2"/>
          <w:kern w:val="0"/>
          <w:sz w:val="24"/>
          <w:szCs w:val="24"/>
          <w:highlight w:val="none"/>
        </w:rPr>
        <w:t>给</w:t>
      </w:r>
      <w:r>
        <w:rPr>
          <w:rFonts w:hint="eastAsia" w:ascii="宋体" w:hAnsi="宋体" w:eastAsia="宋体" w:cs="宋体"/>
          <w:color w:val="auto"/>
          <w:kern w:val="0"/>
          <w:sz w:val="24"/>
          <w:szCs w:val="24"/>
          <w:highlight w:val="none"/>
        </w:rPr>
        <w:t>予经</w:t>
      </w:r>
      <w:r>
        <w:rPr>
          <w:rFonts w:hint="eastAsia" w:ascii="宋体" w:hAnsi="宋体" w:eastAsia="宋体" w:cs="宋体"/>
          <w:color w:val="auto"/>
          <w:spacing w:val="-2"/>
          <w:kern w:val="0"/>
          <w:sz w:val="24"/>
          <w:szCs w:val="24"/>
          <w:highlight w:val="none"/>
        </w:rPr>
        <w:t>济</w:t>
      </w:r>
      <w:r>
        <w:rPr>
          <w:rFonts w:hint="eastAsia" w:ascii="宋体" w:hAnsi="宋体" w:eastAsia="宋体" w:cs="宋体"/>
          <w:color w:val="auto"/>
          <w:kern w:val="0"/>
          <w:sz w:val="24"/>
          <w:szCs w:val="24"/>
          <w:highlight w:val="none"/>
        </w:rPr>
        <w:t>补偿，未中标人</w:t>
      </w:r>
      <w:r>
        <w:rPr>
          <w:rFonts w:hint="eastAsia" w:ascii="宋体" w:hAnsi="宋体" w:eastAsia="宋体" w:cs="宋体"/>
          <w:color w:val="auto"/>
          <w:spacing w:val="-2"/>
          <w:kern w:val="0"/>
          <w:sz w:val="24"/>
          <w:szCs w:val="24"/>
          <w:highlight w:val="none"/>
        </w:rPr>
        <w:t>在</w:t>
      </w:r>
      <w:r>
        <w:rPr>
          <w:rFonts w:hint="eastAsia" w:ascii="宋体" w:hAnsi="宋体" w:eastAsia="宋体" w:cs="宋体"/>
          <w:color w:val="auto"/>
          <w:kern w:val="0"/>
          <w:sz w:val="24"/>
          <w:szCs w:val="24"/>
          <w:highlight w:val="none"/>
        </w:rPr>
        <w:t>投标</w:t>
      </w:r>
      <w:r>
        <w:rPr>
          <w:rFonts w:hint="eastAsia" w:ascii="宋体" w:hAnsi="宋体" w:eastAsia="宋体" w:cs="宋体"/>
          <w:color w:val="auto"/>
          <w:spacing w:val="-2"/>
          <w:kern w:val="0"/>
          <w:sz w:val="24"/>
          <w:szCs w:val="24"/>
          <w:highlight w:val="none"/>
        </w:rPr>
        <w:t>文</w:t>
      </w:r>
      <w:r>
        <w:rPr>
          <w:rFonts w:hint="eastAsia" w:ascii="宋体" w:hAnsi="宋体" w:eastAsia="宋体" w:cs="宋体"/>
          <w:color w:val="auto"/>
          <w:kern w:val="0"/>
          <w:sz w:val="24"/>
          <w:szCs w:val="24"/>
          <w:highlight w:val="none"/>
        </w:rPr>
        <w:t>件中声明放弃技</w:t>
      </w:r>
      <w:r>
        <w:rPr>
          <w:rFonts w:hint="eastAsia" w:ascii="宋体" w:hAnsi="宋体" w:eastAsia="宋体" w:cs="宋体"/>
          <w:color w:val="auto"/>
          <w:spacing w:val="-2"/>
          <w:kern w:val="0"/>
          <w:sz w:val="24"/>
          <w:szCs w:val="24"/>
          <w:highlight w:val="none"/>
        </w:rPr>
        <w:t>术</w:t>
      </w:r>
      <w:r>
        <w:rPr>
          <w:rFonts w:hint="eastAsia" w:ascii="宋体" w:hAnsi="宋体" w:eastAsia="宋体" w:cs="宋体"/>
          <w:color w:val="auto"/>
          <w:kern w:val="0"/>
          <w:sz w:val="24"/>
          <w:szCs w:val="24"/>
          <w:highlight w:val="none"/>
        </w:rPr>
        <w:t>成果</w:t>
      </w:r>
      <w:r>
        <w:rPr>
          <w:rFonts w:hint="eastAsia" w:ascii="宋体" w:hAnsi="宋体" w:eastAsia="宋体" w:cs="宋体"/>
          <w:color w:val="auto"/>
          <w:spacing w:val="-2"/>
          <w:kern w:val="0"/>
          <w:sz w:val="24"/>
          <w:szCs w:val="24"/>
          <w:highlight w:val="none"/>
        </w:rPr>
        <w:t>经</w:t>
      </w:r>
      <w:r>
        <w:rPr>
          <w:rFonts w:hint="eastAsia" w:ascii="宋体" w:hAnsi="宋体" w:eastAsia="宋体" w:cs="宋体"/>
          <w:color w:val="auto"/>
          <w:kern w:val="0"/>
          <w:sz w:val="24"/>
          <w:szCs w:val="24"/>
          <w:highlight w:val="none"/>
        </w:rPr>
        <w:t>济补偿费</w:t>
      </w:r>
      <w:r>
        <w:rPr>
          <w:rFonts w:hint="eastAsia" w:ascii="宋体" w:hAnsi="宋体" w:eastAsia="宋体" w:cs="宋体"/>
          <w:color w:val="auto"/>
          <w:spacing w:val="1"/>
          <w:kern w:val="0"/>
          <w:sz w:val="24"/>
          <w:szCs w:val="24"/>
          <w:highlight w:val="none"/>
        </w:rPr>
        <w:t>的</w:t>
      </w:r>
      <w:r>
        <w:rPr>
          <w:rFonts w:hint="eastAsia" w:ascii="宋体" w:hAnsi="宋体" w:eastAsia="宋体" w:cs="宋体"/>
          <w:color w:val="auto"/>
          <w:kern w:val="0"/>
          <w:sz w:val="24"/>
          <w:szCs w:val="24"/>
          <w:highlight w:val="none"/>
        </w:rPr>
        <w:t>除</w:t>
      </w:r>
      <w:r>
        <w:rPr>
          <w:rFonts w:hint="eastAsia" w:ascii="宋体" w:hAnsi="宋体" w:eastAsia="宋体" w:cs="宋体"/>
          <w:color w:val="auto"/>
          <w:spacing w:val="-2"/>
          <w:kern w:val="0"/>
          <w:sz w:val="24"/>
          <w:szCs w:val="24"/>
          <w:highlight w:val="none"/>
        </w:rPr>
        <w:t>外</w:t>
      </w:r>
      <w:r>
        <w:rPr>
          <w:rFonts w:hint="eastAsia" w:ascii="宋体" w:hAnsi="宋体" w:eastAsia="宋体" w:cs="宋体"/>
          <w:color w:val="auto"/>
          <w:kern w:val="0"/>
          <w:sz w:val="24"/>
          <w:szCs w:val="24"/>
          <w:highlight w:val="none"/>
        </w:rPr>
        <w:t>。招标</w:t>
      </w:r>
      <w:r>
        <w:rPr>
          <w:rFonts w:hint="eastAsia" w:ascii="宋体" w:hAnsi="宋体" w:eastAsia="宋体" w:cs="宋体"/>
          <w:color w:val="auto"/>
          <w:spacing w:val="-2"/>
          <w:kern w:val="0"/>
          <w:sz w:val="24"/>
          <w:szCs w:val="24"/>
          <w:highlight w:val="none"/>
        </w:rPr>
        <w:t>人</w:t>
      </w:r>
      <w:r>
        <w:rPr>
          <w:rFonts w:hint="eastAsia" w:ascii="宋体" w:hAnsi="宋体" w:eastAsia="宋体" w:cs="宋体"/>
          <w:color w:val="auto"/>
          <w:kern w:val="0"/>
          <w:sz w:val="24"/>
          <w:szCs w:val="24"/>
          <w:highlight w:val="none"/>
        </w:rPr>
        <w:t>将</w:t>
      </w:r>
      <w:r>
        <w:rPr>
          <w:rFonts w:hint="eastAsia" w:ascii="宋体" w:hAnsi="宋体" w:eastAsia="宋体" w:cs="宋体"/>
          <w:color w:val="auto"/>
          <w:spacing w:val="-2"/>
          <w:kern w:val="0"/>
          <w:sz w:val="24"/>
          <w:szCs w:val="24"/>
          <w:highlight w:val="none"/>
        </w:rPr>
        <w:t>于</w:t>
      </w:r>
      <w:r>
        <w:rPr>
          <w:rFonts w:hint="eastAsia" w:ascii="宋体" w:hAnsi="宋体" w:eastAsia="宋体" w:cs="宋体"/>
          <w:color w:val="auto"/>
          <w:kern w:val="0"/>
          <w:sz w:val="24"/>
          <w:szCs w:val="24"/>
          <w:highlight w:val="none"/>
        </w:rPr>
        <w:t>中</w:t>
      </w:r>
      <w:r>
        <w:rPr>
          <w:rFonts w:hint="eastAsia" w:ascii="宋体" w:hAnsi="宋体" w:eastAsia="宋体" w:cs="宋体"/>
          <w:color w:val="auto"/>
          <w:spacing w:val="-2"/>
          <w:kern w:val="0"/>
          <w:sz w:val="24"/>
          <w:szCs w:val="24"/>
          <w:highlight w:val="none"/>
        </w:rPr>
        <w:t>标</w:t>
      </w:r>
      <w:r>
        <w:rPr>
          <w:rFonts w:hint="eastAsia" w:ascii="宋体" w:hAnsi="宋体" w:eastAsia="宋体" w:cs="宋体"/>
          <w:color w:val="auto"/>
          <w:kern w:val="0"/>
          <w:sz w:val="24"/>
          <w:szCs w:val="24"/>
          <w:highlight w:val="none"/>
        </w:rPr>
        <w:t>通</w:t>
      </w:r>
      <w:r>
        <w:rPr>
          <w:rFonts w:hint="eastAsia" w:ascii="宋体" w:hAnsi="宋体" w:eastAsia="宋体" w:cs="宋体"/>
          <w:color w:val="auto"/>
          <w:spacing w:val="-2"/>
          <w:kern w:val="0"/>
          <w:sz w:val="24"/>
          <w:szCs w:val="24"/>
          <w:highlight w:val="none"/>
        </w:rPr>
        <w:t>知</w:t>
      </w:r>
      <w:r>
        <w:rPr>
          <w:rFonts w:hint="eastAsia" w:ascii="宋体" w:hAnsi="宋体" w:eastAsia="宋体" w:cs="宋体"/>
          <w:color w:val="auto"/>
          <w:kern w:val="0"/>
          <w:sz w:val="24"/>
          <w:szCs w:val="24"/>
          <w:highlight w:val="none"/>
        </w:rPr>
        <w:t>书</w:t>
      </w:r>
      <w:r>
        <w:rPr>
          <w:rFonts w:hint="eastAsia" w:ascii="宋体" w:hAnsi="宋体" w:eastAsia="宋体" w:cs="宋体"/>
          <w:color w:val="auto"/>
          <w:spacing w:val="-2"/>
          <w:kern w:val="0"/>
          <w:sz w:val="24"/>
          <w:szCs w:val="24"/>
          <w:highlight w:val="none"/>
        </w:rPr>
        <w:t>发</w:t>
      </w:r>
      <w:r>
        <w:rPr>
          <w:rFonts w:hint="eastAsia" w:ascii="宋体" w:hAnsi="宋体" w:eastAsia="宋体" w:cs="宋体"/>
          <w:color w:val="auto"/>
          <w:kern w:val="0"/>
          <w:sz w:val="24"/>
          <w:szCs w:val="24"/>
          <w:highlight w:val="none"/>
        </w:rPr>
        <w:t>出后</w:t>
      </w:r>
      <w:r>
        <w:rPr>
          <w:rFonts w:hint="eastAsia" w:ascii="宋体" w:hAnsi="宋体" w:eastAsia="宋体" w:cs="宋体"/>
          <w:color w:val="auto"/>
          <w:spacing w:val="-2"/>
          <w:kern w:val="0"/>
          <w:sz w:val="24"/>
          <w:szCs w:val="24"/>
          <w:highlight w:val="none"/>
        </w:rPr>
        <w:t>3</w:t>
      </w:r>
      <w:r>
        <w:rPr>
          <w:rFonts w:hint="eastAsia" w:ascii="宋体" w:hAnsi="宋体" w:eastAsia="宋体" w:cs="宋体"/>
          <w:color w:val="auto"/>
          <w:kern w:val="0"/>
          <w:sz w:val="24"/>
          <w:szCs w:val="24"/>
          <w:highlight w:val="none"/>
        </w:rPr>
        <w:t>0</w:t>
      </w:r>
      <w:r>
        <w:rPr>
          <w:rFonts w:hint="eastAsia" w:ascii="宋体" w:hAnsi="宋体" w:eastAsia="宋体" w:cs="宋体"/>
          <w:color w:val="auto"/>
          <w:spacing w:val="-2"/>
          <w:kern w:val="0"/>
          <w:sz w:val="24"/>
          <w:szCs w:val="24"/>
          <w:highlight w:val="none"/>
        </w:rPr>
        <w:t>日</w:t>
      </w:r>
      <w:r>
        <w:rPr>
          <w:rFonts w:hint="eastAsia" w:ascii="宋体" w:hAnsi="宋体" w:eastAsia="宋体" w:cs="宋体"/>
          <w:color w:val="auto"/>
          <w:kern w:val="0"/>
          <w:sz w:val="24"/>
          <w:szCs w:val="24"/>
          <w:highlight w:val="none"/>
        </w:rPr>
        <w:t>内</w:t>
      </w:r>
      <w:r>
        <w:rPr>
          <w:rFonts w:hint="eastAsia" w:ascii="宋体" w:hAnsi="宋体" w:eastAsia="宋体" w:cs="宋体"/>
          <w:color w:val="auto"/>
          <w:spacing w:val="-2"/>
          <w:kern w:val="0"/>
          <w:sz w:val="24"/>
          <w:szCs w:val="24"/>
          <w:highlight w:val="none"/>
        </w:rPr>
        <w:t>向</w:t>
      </w:r>
      <w:r>
        <w:rPr>
          <w:rFonts w:hint="eastAsia" w:ascii="宋体" w:hAnsi="宋体" w:eastAsia="宋体" w:cs="宋体"/>
          <w:color w:val="auto"/>
          <w:kern w:val="0"/>
          <w:sz w:val="24"/>
          <w:szCs w:val="24"/>
          <w:highlight w:val="none"/>
        </w:rPr>
        <w:t>未</w:t>
      </w:r>
      <w:r>
        <w:rPr>
          <w:rFonts w:hint="eastAsia" w:ascii="宋体" w:hAnsi="宋体" w:eastAsia="宋体" w:cs="宋体"/>
          <w:color w:val="auto"/>
          <w:spacing w:val="-2"/>
          <w:kern w:val="0"/>
          <w:sz w:val="24"/>
          <w:szCs w:val="24"/>
          <w:highlight w:val="none"/>
        </w:rPr>
        <w:t>中</w:t>
      </w:r>
      <w:r>
        <w:rPr>
          <w:rFonts w:hint="eastAsia" w:ascii="宋体" w:hAnsi="宋体" w:eastAsia="宋体" w:cs="宋体"/>
          <w:color w:val="auto"/>
          <w:kern w:val="0"/>
          <w:sz w:val="24"/>
          <w:szCs w:val="24"/>
          <w:highlight w:val="none"/>
        </w:rPr>
        <w:t>标</w:t>
      </w:r>
      <w:r>
        <w:rPr>
          <w:rFonts w:hint="eastAsia" w:ascii="宋体" w:hAnsi="宋体" w:eastAsia="宋体" w:cs="宋体"/>
          <w:color w:val="auto"/>
          <w:spacing w:val="-2"/>
          <w:kern w:val="0"/>
          <w:sz w:val="24"/>
          <w:szCs w:val="24"/>
          <w:highlight w:val="none"/>
        </w:rPr>
        <w:t>人支</w:t>
      </w:r>
      <w:r>
        <w:rPr>
          <w:rFonts w:hint="eastAsia" w:ascii="宋体" w:hAnsi="宋体" w:eastAsia="宋体" w:cs="宋体"/>
          <w:color w:val="auto"/>
          <w:kern w:val="0"/>
          <w:sz w:val="24"/>
          <w:szCs w:val="24"/>
          <w:highlight w:val="none"/>
        </w:rPr>
        <w:t>付技</w:t>
      </w:r>
      <w:r>
        <w:rPr>
          <w:rFonts w:hint="eastAsia" w:ascii="宋体" w:hAnsi="宋体" w:eastAsia="宋体" w:cs="宋体"/>
          <w:color w:val="auto"/>
          <w:spacing w:val="-2"/>
          <w:kern w:val="0"/>
          <w:sz w:val="24"/>
          <w:szCs w:val="24"/>
          <w:highlight w:val="none"/>
        </w:rPr>
        <w:t>术</w:t>
      </w:r>
      <w:r>
        <w:rPr>
          <w:rFonts w:hint="eastAsia" w:ascii="宋体" w:hAnsi="宋体" w:eastAsia="宋体" w:cs="宋体"/>
          <w:color w:val="auto"/>
          <w:kern w:val="0"/>
          <w:sz w:val="24"/>
          <w:szCs w:val="24"/>
          <w:highlight w:val="none"/>
        </w:rPr>
        <w:t>成</w:t>
      </w:r>
      <w:r>
        <w:rPr>
          <w:rFonts w:hint="eastAsia" w:ascii="宋体" w:hAnsi="宋体" w:eastAsia="宋体" w:cs="宋体"/>
          <w:color w:val="auto"/>
          <w:spacing w:val="-2"/>
          <w:kern w:val="0"/>
          <w:sz w:val="24"/>
          <w:szCs w:val="24"/>
          <w:highlight w:val="none"/>
        </w:rPr>
        <w:t>果</w:t>
      </w:r>
      <w:r>
        <w:rPr>
          <w:rFonts w:hint="eastAsia" w:ascii="宋体" w:hAnsi="宋体" w:eastAsia="宋体" w:cs="宋体"/>
          <w:color w:val="auto"/>
          <w:kern w:val="0"/>
          <w:sz w:val="24"/>
          <w:szCs w:val="24"/>
          <w:highlight w:val="none"/>
        </w:rPr>
        <w:t>经</w:t>
      </w:r>
      <w:r>
        <w:rPr>
          <w:rFonts w:hint="eastAsia" w:ascii="宋体" w:hAnsi="宋体" w:eastAsia="宋体" w:cs="宋体"/>
          <w:color w:val="auto"/>
          <w:spacing w:val="-2"/>
          <w:kern w:val="0"/>
          <w:sz w:val="24"/>
          <w:szCs w:val="24"/>
          <w:highlight w:val="none"/>
        </w:rPr>
        <w:t>济</w:t>
      </w:r>
      <w:r>
        <w:rPr>
          <w:rFonts w:hint="eastAsia" w:ascii="宋体" w:hAnsi="宋体" w:eastAsia="宋体" w:cs="宋体"/>
          <w:color w:val="auto"/>
          <w:kern w:val="0"/>
          <w:sz w:val="24"/>
          <w:szCs w:val="24"/>
          <w:highlight w:val="none"/>
        </w:rPr>
        <w:t>补</w:t>
      </w:r>
      <w:r>
        <w:rPr>
          <w:rFonts w:hint="eastAsia" w:ascii="宋体" w:hAnsi="宋体" w:eastAsia="宋体" w:cs="宋体"/>
          <w:color w:val="auto"/>
          <w:spacing w:val="-2"/>
          <w:kern w:val="0"/>
          <w:sz w:val="24"/>
          <w:szCs w:val="24"/>
          <w:highlight w:val="none"/>
        </w:rPr>
        <w:t>偿</w:t>
      </w:r>
      <w:r>
        <w:rPr>
          <w:rFonts w:hint="eastAsia" w:ascii="宋体" w:hAnsi="宋体" w:eastAsia="宋体" w:cs="宋体"/>
          <w:color w:val="auto"/>
          <w:kern w:val="0"/>
          <w:sz w:val="24"/>
          <w:szCs w:val="24"/>
          <w:highlight w:val="none"/>
        </w:rPr>
        <w:t>费。</w:t>
      </w:r>
    </w:p>
    <w:p w14:paraId="73B6C942">
      <w:pPr>
        <w:wordWrap w:val="0"/>
        <w:autoSpaceDE w:val="0"/>
        <w:autoSpaceDN w:val="0"/>
        <w:spacing w:line="360" w:lineRule="auto"/>
        <w:ind w:firstLine="480" w:firstLineChars="200"/>
        <w:rPr>
          <w:rFonts w:ascii="宋体" w:hAnsi="宋体" w:eastAsia="宋体" w:cs="宋体"/>
          <w:color w:val="auto"/>
          <w:kern w:val="0"/>
          <w:sz w:val="24"/>
          <w:szCs w:val="24"/>
          <w:highlight w:val="none"/>
        </w:rPr>
      </w:pPr>
    </w:p>
    <w:p w14:paraId="4653E4AF">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161" w:name="_Toc5726"/>
      <w:bookmarkStart w:id="162" w:name="_Toc193357986"/>
      <w:bookmarkStart w:id="163" w:name="_Toc111186770"/>
      <w:r>
        <w:rPr>
          <w:rFonts w:hint="eastAsia" w:ascii="宋体" w:hAnsi="宋体" w:eastAsia="宋体" w:cs="宋体"/>
          <w:b/>
          <w:bCs/>
          <w:color w:val="auto"/>
          <w:spacing w:val="1"/>
          <w:sz w:val="28"/>
          <w:szCs w:val="32"/>
          <w:highlight w:val="none"/>
          <w:lang w:val="zh-CN"/>
        </w:rPr>
        <w:t>7</w:t>
      </w:r>
      <w:r>
        <w:rPr>
          <w:rFonts w:hint="eastAsia" w:ascii="宋体" w:hAnsi="宋体" w:eastAsia="宋体" w:cs="宋体"/>
          <w:b/>
          <w:bCs/>
          <w:color w:val="auto"/>
          <w:spacing w:val="-1"/>
          <w:sz w:val="28"/>
          <w:szCs w:val="32"/>
          <w:highlight w:val="none"/>
          <w:lang w:val="zh-CN"/>
        </w:rPr>
        <w:t>.</w:t>
      </w:r>
      <w:r>
        <w:rPr>
          <w:rFonts w:hint="eastAsia" w:ascii="宋体" w:hAnsi="宋体" w:eastAsia="宋体" w:cs="宋体"/>
          <w:b/>
          <w:bCs/>
          <w:color w:val="auto"/>
          <w:spacing w:val="1"/>
          <w:sz w:val="28"/>
          <w:szCs w:val="32"/>
          <w:highlight w:val="none"/>
          <w:lang w:val="zh-CN"/>
        </w:rPr>
        <w:t>7</w:t>
      </w:r>
      <w:r>
        <w:rPr>
          <w:rFonts w:hint="eastAsia" w:ascii="宋体" w:hAnsi="宋体" w:eastAsia="宋体" w:cs="宋体"/>
          <w:b/>
          <w:bCs/>
          <w:color w:val="auto"/>
          <w:spacing w:val="68"/>
          <w:sz w:val="28"/>
          <w:szCs w:val="32"/>
          <w:highlight w:val="none"/>
          <w:lang w:val="zh-CN"/>
        </w:rPr>
        <w:t xml:space="preserve"> </w:t>
      </w:r>
      <w:r>
        <w:rPr>
          <w:rFonts w:hint="eastAsia" w:ascii="宋体" w:hAnsi="宋体" w:eastAsia="宋体" w:cs="宋体"/>
          <w:b/>
          <w:bCs/>
          <w:color w:val="auto"/>
          <w:spacing w:val="1"/>
          <w:sz w:val="28"/>
          <w:szCs w:val="32"/>
          <w:highlight w:val="none"/>
          <w:lang w:val="zh-CN"/>
        </w:rPr>
        <w:t>履约保证金</w:t>
      </w:r>
      <w:bookmarkEnd w:id="161"/>
      <w:bookmarkEnd w:id="162"/>
      <w:bookmarkEnd w:id="163"/>
    </w:p>
    <w:p w14:paraId="1B78E338">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7.7.1 在签订合同前，中标人应按投标人须知前附表规定的形式、金额和招标文件第四章“合同条款及格式”规定的或者事先经过招标人书面认可的履约保证金格式向招标人提交履约保证金。除投标人须知前附表另有规定外，履约保证金为中标合同金额的10%。联合体中标的，其履约保证金以联合体各方或者联合体中牵头人的名义提交。</w:t>
      </w:r>
    </w:p>
    <w:p w14:paraId="07B1A66D">
      <w:pPr>
        <w:wordWrap w:val="0"/>
        <w:autoSpaceDE w:val="0"/>
        <w:autoSpaceDN w:val="0"/>
        <w:spacing w:line="360" w:lineRule="auto"/>
        <w:ind w:firstLine="480" w:firstLineChars="200"/>
        <w:rPr>
          <w:rFonts w:ascii="宋体" w:hAnsi="宋体" w:eastAsia="宋体" w:cs="宋体"/>
          <w:strike/>
          <w:color w:val="auto"/>
          <w:kern w:val="0"/>
          <w:sz w:val="24"/>
          <w:szCs w:val="24"/>
          <w:highlight w:val="none"/>
        </w:rPr>
      </w:pPr>
      <w:r>
        <w:rPr>
          <w:rFonts w:hint="eastAsia" w:ascii="宋体" w:hAnsi="宋体" w:eastAsia="宋体" w:cs="宋体"/>
          <w:color w:val="auto"/>
          <w:kern w:val="0"/>
          <w:sz w:val="24"/>
          <w:szCs w:val="24"/>
          <w:highlight w:val="none"/>
        </w:rPr>
        <w:t>7.7.2 中标人不能按本章第7.7.1项要求提交履约保证金的，视为放弃中标，其投标保证金不予退还，给招标人造成的损失超过投标保证金数额的，中标人还应当对超过部分予以赔偿。</w:t>
      </w:r>
    </w:p>
    <w:p w14:paraId="454A5739">
      <w:pPr>
        <w:wordWrap w:val="0"/>
        <w:autoSpaceDE w:val="0"/>
        <w:autoSpaceDN w:val="0"/>
        <w:spacing w:line="360" w:lineRule="auto"/>
        <w:ind w:firstLine="480" w:firstLineChars="200"/>
        <w:rPr>
          <w:rFonts w:ascii="宋体" w:hAnsi="宋体" w:eastAsia="宋体" w:cs="宋体"/>
          <w:color w:val="auto"/>
          <w:kern w:val="0"/>
          <w:sz w:val="24"/>
          <w:szCs w:val="24"/>
          <w:highlight w:val="none"/>
        </w:rPr>
      </w:pPr>
    </w:p>
    <w:p w14:paraId="50010551">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164" w:name="_Toc111186771"/>
      <w:bookmarkStart w:id="165" w:name="_Toc193357987"/>
      <w:bookmarkStart w:id="166" w:name="_Toc32040"/>
      <w:r>
        <w:rPr>
          <w:rFonts w:hint="eastAsia" w:ascii="宋体" w:hAnsi="宋体" w:eastAsia="宋体" w:cs="宋体"/>
          <w:b/>
          <w:bCs/>
          <w:color w:val="auto"/>
          <w:spacing w:val="1"/>
          <w:sz w:val="28"/>
          <w:szCs w:val="32"/>
          <w:highlight w:val="none"/>
          <w:lang w:val="zh-CN"/>
        </w:rPr>
        <w:t>7</w:t>
      </w:r>
      <w:r>
        <w:rPr>
          <w:rFonts w:hint="eastAsia" w:ascii="宋体" w:hAnsi="宋体" w:eastAsia="宋体" w:cs="宋体"/>
          <w:b/>
          <w:bCs/>
          <w:color w:val="auto"/>
          <w:spacing w:val="-1"/>
          <w:sz w:val="28"/>
          <w:szCs w:val="32"/>
          <w:highlight w:val="none"/>
          <w:lang w:val="zh-CN"/>
        </w:rPr>
        <w:t>.</w:t>
      </w:r>
      <w:r>
        <w:rPr>
          <w:rFonts w:hint="eastAsia" w:ascii="宋体" w:hAnsi="宋体" w:eastAsia="宋体" w:cs="宋体"/>
          <w:b/>
          <w:bCs/>
          <w:color w:val="auto"/>
          <w:spacing w:val="1"/>
          <w:sz w:val="28"/>
          <w:szCs w:val="32"/>
          <w:highlight w:val="none"/>
          <w:lang w:val="zh-CN"/>
        </w:rPr>
        <w:t>8</w:t>
      </w:r>
      <w:r>
        <w:rPr>
          <w:rFonts w:hint="eastAsia" w:ascii="宋体" w:hAnsi="宋体" w:eastAsia="宋体" w:cs="宋体"/>
          <w:b/>
          <w:bCs/>
          <w:color w:val="auto"/>
          <w:spacing w:val="68"/>
          <w:sz w:val="28"/>
          <w:szCs w:val="32"/>
          <w:highlight w:val="none"/>
          <w:lang w:val="zh-CN"/>
        </w:rPr>
        <w:t xml:space="preserve"> </w:t>
      </w:r>
      <w:r>
        <w:rPr>
          <w:rFonts w:hint="eastAsia" w:ascii="宋体" w:hAnsi="宋体" w:eastAsia="宋体" w:cs="宋体"/>
          <w:b/>
          <w:bCs/>
          <w:color w:val="auto"/>
          <w:spacing w:val="1"/>
          <w:sz w:val="28"/>
          <w:szCs w:val="32"/>
          <w:highlight w:val="none"/>
          <w:lang w:val="zh-CN"/>
        </w:rPr>
        <w:t>签订合同</w:t>
      </w:r>
      <w:bookmarkEnd w:id="164"/>
      <w:bookmarkEnd w:id="165"/>
      <w:bookmarkEnd w:id="166"/>
    </w:p>
    <w:p w14:paraId="5235C593">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7.8.1 招标人和中标人应当在中标通知书发出之日起30日内，根据招标文件和中标人的投标文件订立书面合同，并通过电子交易系统与中标人在线签订合同，并在广东省招标投标监管网和</w:t>
      </w:r>
      <w:r>
        <w:rPr>
          <w:rFonts w:hint="eastAsia" w:ascii="宋体" w:hAnsi="宋体" w:eastAsia="宋体" w:cs="宋体"/>
          <w:color w:val="auto"/>
          <w:kern w:val="0"/>
          <w:sz w:val="24"/>
          <w:szCs w:val="24"/>
          <w:highlight w:val="none"/>
          <w:u w:val="single"/>
        </w:rPr>
        <w:t>广州交易集团有限公司（广州公共资源交易中心）</w:t>
      </w:r>
      <w:r>
        <w:rPr>
          <w:rFonts w:hint="eastAsia" w:ascii="宋体" w:hAnsi="宋体" w:eastAsia="宋体" w:cs="宋体"/>
          <w:color w:val="auto"/>
          <w:kern w:val="0"/>
          <w:sz w:val="24"/>
          <w:szCs w:val="24"/>
          <w:highlight w:val="none"/>
        </w:rPr>
        <w:t>网站公示合同主要信息。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14:paraId="73E96760">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7.8.2 发出中标通知书后，招标人无正当理由拒签合同，或者在签订合同时向中标人提出附加条件的，招标人向中标人退还投标保证金；给中标人造成损失的，还应当赔偿损失。</w:t>
      </w:r>
    </w:p>
    <w:p w14:paraId="5C2FB8F2">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7.8.3 联合体中标的，联合体各方应当共同与招标人签订合同，就中标项目向招标人承担连带责任。</w:t>
      </w:r>
    </w:p>
    <w:p w14:paraId="2DD70B7C">
      <w:pPr>
        <w:wordWrap w:val="0"/>
        <w:autoSpaceDE w:val="0"/>
        <w:autoSpaceDN w:val="0"/>
        <w:spacing w:line="360" w:lineRule="auto"/>
        <w:ind w:firstLine="480" w:firstLineChars="200"/>
        <w:rPr>
          <w:rFonts w:ascii="宋体" w:hAnsi="宋体" w:eastAsia="宋体" w:cs="宋体"/>
          <w:color w:val="auto"/>
          <w:kern w:val="0"/>
          <w:sz w:val="24"/>
          <w:szCs w:val="24"/>
          <w:highlight w:val="none"/>
        </w:rPr>
      </w:pPr>
    </w:p>
    <w:p w14:paraId="2DE05948">
      <w:pPr>
        <w:keepNext/>
        <w:keepLines/>
        <w:wordWrap w:val="0"/>
        <w:spacing w:line="360" w:lineRule="auto"/>
        <w:outlineLvl w:val="1"/>
        <w:rPr>
          <w:rFonts w:ascii="宋体" w:hAnsi="宋体" w:eastAsia="宋体" w:cs="宋体"/>
          <w:b/>
          <w:bCs/>
          <w:color w:val="auto"/>
          <w:kern w:val="0"/>
          <w:sz w:val="30"/>
          <w:szCs w:val="30"/>
          <w:highlight w:val="none"/>
          <w:lang w:val="zh-CN"/>
        </w:rPr>
      </w:pPr>
      <w:bookmarkStart w:id="167" w:name="_Toc111186772"/>
      <w:bookmarkStart w:id="168" w:name="_Toc14874"/>
      <w:bookmarkStart w:id="169" w:name="_Toc193357988"/>
      <w:r>
        <w:rPr>
          <w:rFonts w:hint="eastAsia" w:ascii="宋体" w:hAnsi="宋体" w:eastAsia="宋体" w:cs="宋体"/>
          <w:b/>
          <w:bCs/>
          <w:color w:val="auto"/>
          <w:spacing w:val="1"/>
          <w:kern w:val="0"/>
          <w:sz w:val="30"/>
          <w:szCs w:val="30"/>
          <w:highlight w:val="none"/>
          <w:lang w:val="zh-CN"/>
        </w:rPr>
        <w:t>8</w:t>
      </w:r>
      <w:r>
        <w:rPr>
          <w:rFonts w:hint="eastAsia" w:ascii="宋体" w:hAnsi="宋体" w:eastAsia="宋体" w:cs="宋体"/>
          <w:b/>
          <w:bCs/>
          <w:color w:val="auto"/>
          <w:spacing w:val="-1"/>
          <w:kern w:val="0"/>
          <w:sz w:val="30"/>
          <w:szCs w:val="30"/>
          <w:highlight w:val="none"/>
          <w:lang w:val="zh-CN"/>
        </w:rPr>
        <w:t xml:space="preserve">. </w:t>
      </w:r>
      <w:r>
        <w:rPr>
          <w:rFonts w:hint="eastAsia" w:ascii="宋体" w:hAnsi="宋体" w:eastAsia="宋体" w:cs="宋体"/>
          <w:b/>
          <w:bCs/>
          <w:color w:val="auto"/>
          <w:kern w:val="0"/>
          <w:sz w:val="30"/>
          <w:szCs w:val="30"/>
          <w:highlight w:val="none"/>
          <w:lang w:val="zh-CN"/>
        </w:rPr>
        <w:t>纪律和监督</w:t>
      </w:r>
      <w:bookmarkEnd w:id="167"/>
      <w:bookmarkEnd w:id="168"/>
      <w:bookmarkEnd w:id="169"/>
    </w:p>
    <w:p w14:paraId="12CDF2B4">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170" w:name="_Toc111186773"/>
      <w:bookmarkStart w:id="171" w:name="_Toc193357989"/>
      <w:bookmarkStart w:id="172" w:name="_Toc3133"/>
      <w:r>
        <w:rPr>
          <w:rFonts w:hint="eastAsia" w:ascii="宋体" w:hAnsi="宋体" w:eastAsia="宋体" w:cs="宋体"/>
          <w:b/>
          <w:bCs/>
          <w:color w:val="auto"/>
          <w:spacing w:val="1"/>
          <w:sz w:val="28"/>
          <w:szCs w:val="32"/>
          <w:highlight w:val="none"/>
          <w:lang w:val="zh-CN"/>
        </w:rPr>
        <w:t>8.1</w:t>
      </w:r>
      <w:r>
        <w:rPr>
          <w:rFonts w:hint="eastAsia" w:ascii="宋体" w:hAnsi="宋体" w:eastAsia="宋体" w:cs="宋体"/>
          <w:b/>
          <w:bCs/>
          <w:color w:val="auto"/>
          <w:spacing w:val="68"/>
          <w:sz w:val="28"/>
          <w:szCs w:val="32"/>
          <w:highlight w:val="none"/>
          <w:lang w:val="zh-CN"/>
        </w:rPr>
        <w:t xml:space="preserve"> </w:t>
      </w:r>
      <w:r>
        <w:rPr>
          <w:rFonts w:hint="eastAsia" w:ascii="宋体" w:hAnsi="宋体" w:eastAsia="宋体" w:cs="宋体"/>
          <w:b/>
          <w:bCs/>
          <w:color w:val="auto"/>
          <w:spacing w:val="1"/>
          <w:sz w:val="28"/>
          <w:szCs w:val="32"/>
          <w:highlight w:val="none"/>
          <w:lang w:val="zh-CN"/>
        </w:rPr>
        <w:t>对招标人</w:t>
      </w:r>
      <w:r>
        <w:rPr>
          <w:rFonts w:hint="eastAsia" w:ascii="宋体" w:hAnsi="宋体" w:eastAsia="宋体" w:cs="宋体"/>
          <w:b/>
          <w:bCs/>
          <w:color w:val="auto"/>
          <w:spacing w:val="-3"/>
          <w:sz w:val="28"/>
          <w:szCs w:val="32"/>
          <w:highlight w:val="none"/>
          <w:lang w:val="zh-CN"/>
        </w:rPr>
        <w:t>的</w:t>
      </w:r>
      <w:r>
        <w:rPr>
          <w:rFonts w:hint="eastAsia" w:ascii="宋体" w:hAnsi="宋体" w:eastAsia="宋体" w:cs="宋体"/>
          <w:b/>
          <w:bCs/>
          <w:color w:val="auto"/>
          <w:spacing w:val="1"/>
          <w:sz w:val="28"/>
          <w:szCs w:val="32"/>
          <w:highlight w:val="none"/>
          <w:lang w:val="zh-CN"/>
        </w:rPr>
        <w:t>纪</w:t>
      </w:r>
      <w:r>
        <w:rPr>
          <w:rFonts w:hint="eastAsia" w:ascii="宋体" w:hAnsi="宋体" w:eastAsia="宋体" w:cs="宋体"/>
          <w:b/>
          <w:bCs/>
          <w:color w:val="auto"/>
          <w:spacing w:val="-3"/>
          <w:sz w:val="28"/>
          <w:szCs w:val="32"/>
          <w:highlight w:val="none"/>
          <w:lang w:val="zh-CN"/>
        </w:rPr>
        <w:t>律</w:t>
      </w:r>
      <w:r>
        <w:rPr>
          <w:rFonts w:hint="eastAsia" w:ascii="宋体" w:hAnsi="宋体" w:eastAsia="宋体" w:cs="宋体"/>
          <w:b/>
          <w:bCs/>
          <w:color w:val="auto"/>
          <w:spacing w:val="1"/>
          <w:sz w:val="28"/>
          <w:szCs w:val="32"/>
          <w:highlight w:val="none"/>
          <w:lang w:val="zh-CN"/>
        </w:rPr>
        <w:t>要求</w:t>
      </w:r>
      <w:bookmarkEnd w:id="170"/>
      <w:bookmarkEnd w:id="171"/>
      <w:bookmarkEnd w:id="172"/>
    </w:p>
    <w:p w14:paraId="01E4AB2D">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招标人不得泄露招标投标活动中应当保密的情况和资料，不得与招标代理、投标人串通损害国家利益、社会公共利益或者他人合法权益。</w:t>
      </w:r>
    </w:p>
    <w:p w14:paraId="3C879146">
      <w:pPr>
        <w:wordWrap w:val="0"/>
        <w:autoSpaceDE w:val="0"/>
        <w:autoSpaceDN w:val="0"/>
        <w:spacing w:line="360" w:lineRule="auto"/>
        <w:ind w:firstLine="480" w:firstLineChars="200"/>
        <w:rPr>
          <w:rFonts w:ascii="宋体" w:hAnsi="宋体" w:eastAsia="宋体" w:cs="宋体"/>
          <w:color w:val="auto"/>
          <w:kern w:val="0"/>
          <w:sz w:val="24"/>
          <w:szCs w:val="24"/>
          <w:highlight w:val="none"/>
        </w:rPr>
      </w:pPr>
    </w:p>
    <w:p w14:paraId="37DCFF8D">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173" w:name="_Toc111186774"/>
      <w:bookmarkStart w:id="174" w:name="_Toc9243"/>
      <w:bookmarkStart w:id="175" w:name="_Toc193357990"/>
      <w:r>
        <w:rPr>
          <w:rFonts w:hint="eastAsia" w:ascii="宋体" w:hAnsi="宋体" w:eastAsia="宋体" w:cs="宋体"/>
          <w:b/>
          <w:bCs/>
          <w:color w:val="auto"/>
          <w:spacing w:val="1"/>
          <w:sz w:val="28"/>
          <w:szCs w:val="32"/>
          <w:highlight w:val="none"/>
          <w:lang w:val="zh-CN"/>
        </w:rPr>
        <w:t>8.2</w:t>
      </w:r>
      <w:r>
        <w:rPr>
          <w:rFonts w:hint="eastAsia" w:ascii="宋体" w:hAnsi="宋体" w:eastAsia="宋体" w:cs="宋体"/>
          <w:b/>
          <w:bCs/>
          <w:color w:val="auto"/>
          <w:spacing w:val="68"/>
          <w:sz w:val="28"/>
          <w:szCs w:val="32"/>
          <w:highlight w:val="none"/>
          <w:lang w:val="zh-CN"/>
        </w:rPr>
        <w:t xml:space="preserve"> </w:t>
      </w:r>
      <w:r>
        <w:rPr>
          <w:rFonts w:hint="eastAsia" w:ascii="宋体" w:hAnsi="宋体" w:eastAsia="宋体" w:cs="宋体"/>
          <w:b/>
          <w:bCs/>
          <w:color w:val="auto"/>
          <w:spacing w:val="1"/>
          <w:sz w:val="28"/>
          <w:szCs w:val="32"/>
          <w:highlight w:val="none"/>
          <w:lang w:val="zh-CN"/>
        </w:rPr>
        <w:t>对投标人</w:t>
      </w:r>
      <w:r>
        <w:rPr>
          <w:rFonts w:hint="eastAsia" w:ascii="宋体" w:hAnsi="宋体" w:eastAsia="宋体" w:cs="宋体"/>
          <w:b/>
          <w:bCs/>
          <w:color w:val="auto"/>
          <w:spacing w:val="-3"/>
          <w:sz w:val="28"/>
          <w:szCs w:val="32"/>
          <w:highlight w:val="none"/>
          <w:lang w:val="zh-CN"/>
        </w:rPr>
        <w:t>的</w:t>
      </w:r>
      <w:r>
        <w:rPr>
          <w:rFonts w:hint="eastAsia" w:ascii="宋体" w:hAnsi="宋体" w:eastAsia="宋体" w:cs="宋体"/>
          <w:b/>
          <w:bCs/>
          <w:color w:val="auto"/>
          <w:spacing w:val="1"/>
          <w:sz w:val="28"/>
          <w:szCs w:val="32"/>
          <w:highlight w:val="none"/>
          <w:lang w:val="zh-CN"/>
        </w:rPr>
        <w:t>纪</w:t>
      </w:r>
      <w:r>
        <w:rPr>
          <w:rFonts w:hint="eastAsia" w:ascii="宋体" w:hAnsi="宋体" w:eastAsia="宋体" w:cs="宋体"/>
          <w:b/>
          <w:bCs/>
          <w:color w:val="auto"/>
          <w:spacing w:val="-3"/>
          <w:sz w:val="28"/>
          <w:szCs w:val="32"/>
          <w:highlight w:val="none"/>
          <w:lang w:val="zh-CN"/>
        </w:rPr>
        <w:t>律</w:t>
      </w:r>
      <w:r>
        <w:rPr>
          <w:rFonts w:hint="eastAsia" w:ascii="宋体" w:hAnsi="宋体" w:eastAsia="宋体" w:cs="宋体"/>
          <w:b/>
          <w:bCs/>
          <w:color w:val="auto"/>
          <w:spacing w:val="1"/>
          <w:sz w:val="28"/>
          <w:szCs w:val="32"/>
          <w:highlight w:val="none"/>
          <w:lang w:val="zh-CN"/>
        </w:rPr>
        <w:t>要求</w:t>
      </w:r>
      <w:bookmarkEnd w:id="173"/>
      <w:bookmarkEnd w:id="174"/>
      <w:bookmarkEnd w:id="175"/>
    </w:p>
    <w:p w14:paraId="34449BE4">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人不得相互串通投标或者与招标人（招标代理）串通投标，不得向招标人或者评标委员会成员行贿谋取中标，不得以他人名义投标或者以其他方式弄虚作假骗取中标；投标人不得以任何方式干扰、影响评标工作。</w:t>
      </w:r>
    </w:p>
    <w:p w14:paraId="471D413C">
      <w:pPr>
        <w:wordWrap w:val="0"/>
        <w:autoSpaceDE w:val="0"/>
        <w:autoSpaceDN w:val="0"/>
        <w:spacing w:line="360" w:lineRule="auto"/>
        <w:ind w:firstLine="480" w:firstLineChars="200"/>
        <w:rPr>
          <w:rFonts w:ascii="宋体" w:hAnsi="宋体" w:eastAsia="宋体" w:cs="宋体"/>
          <w:color w:val="auto"/>
          <w:kern w:val="0"/>
          <w:sz w:val="24"/>
          <w:szCs w:val="24"/>
          <w:highlight w:val="none"/>
        </w:rPr>
      </w:pPr>
    </w:p>
    <w:p w14:paraId="485C789B">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176" w:name="_Toc193357991"/>
      <w:bookmarkStart w:id="177" w:name="_Toc111186775"/>
      <w:bookmarkStart w:id="178" w:name="_Toc30238"/>
      <w:r>
        <w:rPr>
          <w:rFonts w:hint="eastAsia" w:ascii="宋体" w:hAnsi="宋体" w:eastAsia="宋体" w:cs="宋体"/>
          <w:b/>
          <w:bCs/>
          <w:color w:val="auto"/>
          <w:spacing w:val="1"/>
          <w:sz w:val="28"/>
          <w:szCs w:val="32"/>
          <w:highlight w:val="none"/>
          <w:lang w:val="zh-CN"/>
        </w:rPr>
        <w:t>8.3</w:t>
      </w:r>
      <w:r>
        <w:rPr>
          <w:rFonts w:hint="eastAsia" w:ascii="宋体" w:hAnsi="宋体" w:eastAsia="宋体" w:cs="宋体"/>
          <w:b/>
          <w:bCs/>
          <w:color w:val="auto"/>
          <w:spacing w:val="68"/>
          <w:sz w:val="28"/>
          <w:szCs w:val="32"/>
          <w:highlight w:val="none"/>
          <w:lang w:val="zh-CN"/>
        </w:rPr>
        <w:t xml:space="preserve"> </w:t>
      </w:r>
      <w:r>
        <w:rPr>
          <w:rFonts w:hint="eastAsia" w:ascii="宋体" w:hAnsi="宋体" w:eastAsia="宋体" w:cs="宋体"/>
          <w:b/>
          <w:bCs/>
          <w:color w:val="auto"/>
          <w:spacing w:val="1"/>
          <w:sz w:val="28"/>
          <w:szCs w:val="32"/>
          <w:highlight w:val="none"/>
          <w:lang w:val="zh-CN"/>
        </w:rPr>
        <w:t>对评标委</w:t>
      </w:r>
      <w:r>
        <w:rPr>
          <w:rFonts w:hint="eastAsia" w:ascii="宋体" w:hAnsi="宋体" w:eastAsia="宋体" w:cs="宋体"/>
          <w:b/>
          <w:bCs/>
          <w:color w:val="auto"/>
          <w:spacing w:val="-3"/>
          <w:sz w:val="28"/>
          <w:szCs w:val="32"/>
          <w:highlight w:val="none"/>
          <w:lang w:val="zh-CN"/>
        </w:rPr>
        <w:t>员</w:t>
      </w:r>
      <w:r>
        <w:rPr>
          <w:rFonts w:hint="eastAsia" w:ascii="宋体" w:hAnsi="宋体" w:eastAsia="宋体" w:cs="宋体"/>
          <w:b/>
          <w:bCs/>
          <w:color w:val="auto"/>
          <w:spacing w:val="1"/>
          <w:sz w:val="28"/>
          <w:szCs w:val="32"/>
          <w:highlight w:val="none"/>
          <w:lang w:val="zh-CN"/>
        </w:rPr>
        <w:t>会</w:t>
      </w:r>
      <w:r>
        <w:rPr>
          <w:rFonts w:hint="eastAsia" w:ascii="宋体" w:hAnsi="宋体" w:eastAsia="宋体" w:cs="宋体"/>
          <w:b/>
          <w:bCs/>
          <w:color w:val="auto"/>
          <w:spacing w:val="-3"/>
          <w:sz w:val="28"/>
          <w:szCs w:val="32"/>
          <w:highlight w:val="none"/>
          <w:lang w:val="zh-CN"/>
        </w:rPr>
        <w:t>成</w:t>
      </w:r>
      <w:r>
        <w:rPr>
          <w:rFonts w:hint="eastAsia" w:ascii="宋体" w:hAnsi="宋体" w:eastAsia="宋体" w:cs="宋体"/>
          <w:b/>
          <w:bCs/>
          <w:color w:val="auto"/>
          <w:spacing w:val="1"/>
          <w:sz w:val="28"/>
          <w:szCs w:val="32"/>
          <w:highlight w:val="none"/>
          <w:lang w:val="zh-CN"/>
        </w:rPr>
        <w:t>员的纪</w:t>
      </w:r>
      <w:r>
        <w:rPr>
          <w:rFonts w:hint="eastAsia" w:ascii="宋体" w:hAnsi="宋体" w:eastAsia="宋体" w:cs="宋体"/>
          <w:b/>
          <w:bCs/>
          <w:color w:val="auto"/>
          <w:spacing w:val="-3"/>
          <w:sz w:val="28"/>
          <w:szCs w:val="32"/>
          <w:highlight w:val="none"/>
          <w:lang w:val="zh-CN"/>
        </w:rPr>
        <w:t>律</w:t>
      </w:r>
      <w:r>
        <w:rPr>
          <w:rFonts w:hint="eastAsia" w:ascii="宋体" w:hAnsi="宋体" w:eastAsia="宋体" w:cs="宋体"/>
          <w:b/>
          <w:bCs/>
          <w:color w:val="auto"/>
          <w:spacing w:val="1"/>
          <w:sz w:val="28"/>
          <w:szCs w:val="32"/>
          <w:highlight w:val="none"/>
          <w:lang w:val="zh-CN"/>
        </w:rPr>
        <w:t>要求</w:t>
      </w:r>
      <w:bookmarkEnd w:id="176"/>
      <w:bookmarkEnd w:id="177"/>
      <w:bookmarkEnd w:id="178"/>
    </w:p>
    <w:p w14:paraId="1E8BBC09">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在评标活动中，评标委员会成员应当客观、公正地履行职责，遵守职业道德，不得擅离职守，影响评标程序正常进行，不得使用第三章“评标办法”没有规定的评审因素和标准进行评标。评标专家应当认真、公正、诚实、廉洁、勤勉地履行专家职责，按时参加评标，严格遵守评标纪律。评标专家与投标人有利害关系的，应当主动提出回避；不得对其他评标委员会成员的独立评审施加不当影响；不得私下接触投标人，不得收受投标人、中介人、其他利害关系人的财物或者其他好处，不得接受任何单位或者个人明示或者暗示提出的倾向或者排斥特定投标人的要求；不得透露评标委员会成员身份和评标项目；不得透露对投标文件的评审和比较、中标候选人的推荐情况、在评标过程中知悉的国家秘密和商业秘密以及与评标有关的其他情况；不得故意拖延评标时间，或者敷衍塞责随意评标；不得在合法的评标劳务费之外额外索取、接受报酬或者其他好处；严禁组建或者加入可能影响公正评标的微信群、QQ群等网络通讯群组。</w:t>
      </w:r>
    </w:p>
    <w:p w14:paraId="71B9640F">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179" w:name="_Toc9711"/>
      <w:bookmarkStart w:id="180" w:name="_Toc111186776"/>
      <w:bookmarkStart w:id="181" w:name="_Toc193357992"/>
      <w:r>
        <w:rPr>
          <w:rFonts w:hint="eastAsia" w:ascii="宋体" w:hAnsi="宋体" w:eastAsia="宋体" w:cs="宋体"/>
          <w:b/>
          <w:bCs/>
          <w:color w:val="auto"/>
          <w:spacing w:val="1"/>
          <w:sz w:val="28"/>
          <w:szCs w:val="32"/>
          <w:highlight w:val="none"/>
          <w:lang w:val="zh-CN"/>
        </w:rPr>
        <w:t>8.4</w:t>
      </w:r>
      <w:r>
        <w:rPr>
          <w:rFonts w:hint="eastAsia" w:ascii="宋体" w:hAnsi="宋体" w:eastAsia="宋体" w:cs="宋体"/>
          <w:b/>
          <w:bCs/>
          <w:color w:val="auto"/>
          <w:spacing w:val="68"/>
          <w:sz w:val="28"/>
          <w:szCs w:val="32"/>
          <w:highlight w:val="none"/>
          <w:lang w:val="zh-CN"/>
        </w:rPr>
        <w:t xml:space="preserve"> </w:t>
      </w:r>
      <w:r>
        <w:rPr>
          <w:rFonts w:hint="eastAsia" w:ascii="宋体" w:hAnsi="宋体" w:eastAsia="宋体" w:cs="宋体"/>
          <w:b/>
          <w:bCs/>
          <w:color w:val="auto"/>
          <w:spacing w:val="1"/>
          <w:sz w:val="28"/>
          <w:szCs w:val="32"/>
          <w:highlight w:val="none"/>
          <w:lang w:val="zh-CN"/>
        </w:rPr>
        <w:t>对与评标</w:t>
      </w:r>
      <w:r>
        <w:rPr>
          <w:rFonts w:hint="eastAsia" w:ascii="宋体" w:hAnsi="宋体" w:eastAsia="宋体" w:cs="宋体"/>
          <w:b/>
          <w:bCs/>
          <w:color w:val="auto"/>
          <w:spacing w:val="-3"/>
          <w:sz w:val="28"/>
          <w:szCs w:val="32"/>
          <w:highlight w:val="none"/>
          <w:lang w:val="zh-CN"/>
        </w:rPr>
        <w:t>活</w:t>
      </w:r>
      <w:r>
        <w:rPr>
          <w:rFonts w:hint="eastAsia" w:ascii="宋体" w:hAnsi="宋体" w:eastAsia="宋体" w:cs="宋体"/>
          <w:b/>
          <w:bCs/>
          <w:color w:val="auto"/>
          <w:spacing w:val="1"/>
          <w:sz w:val="28"/>
          <w:szCs w:val="32"/>
          <w:highlight w:val="none"/>
          <w:lang w:val="zh-CN"/>
        </w:rPr>
        <w:t>动</w:t>
      </w:r>
      <w:r>
        <w:rPr>
          <w:rFonts w:hint="eastAsia" w:ascii="宋体" w:hAnsi="宋体" w:eastAsia="宋体" w:cs="宋体"/>
          <w:b/>
          <w:bCs/>
          <w:color w:val="auto"/>
          <w:spacing w:val="-3"/>
          <w:sz w:val="28"/>
          <w:szCs w:val="32"/>
          <w:highlight w:val="none"/>
          <w:lang w:val="zh-CN"/>
        </w:rPr>
        <w:t>有</w:t>
      </w:r>
      <w:r>
        <w:rPr>
          <w:rFonts w:hint="eastAsia" w:ascii="宋体" w:hAnsi="宋体" w:eastAsia="宋体" w:cs="宋体"/>
          <w:b/>
          <w:bCs/>
          <w:color w:val="auto"/>
          <w:spacing w:val="1"/>
          <w:sz w:val="28"/>
          <w:szCs w:val="32"/>
          <w:highlight w:val="none"/>
          <w:lang w:val="zh-CN"/>
        </w:rPr>
        <w:t>关的工</w:t>
      </w:r>
      <w:r>
        <w:rPr>
          <w:rFonts w:hint="eastAsia" w:ascii="宋体" w:hAnsi="宋体" w:eastAsia="宋体" w:cs="宋体"/>
          <w:b/>
          <w:bCs/>
          <w:color w:val="auto"/>
          <w:spacing w:val="-3"/>
          <w:sz w:val="28"/>
          <w:szCs w:val="32"/>
          <w:highlight w:val="none"/>
          <w:lang w:val="zh-CN"/>
        </w:rPr>
        <w:t>作</w:t>
      </w:r>
      <w:r>
        <w:rPr>
          <w:rFonts w:hint="eastAsia" w:ascii="宋体" w:hAnsi="宋体" w:eastAsia="宋体" w:cs="宋体"/>
          <w:b/>
          <w:bCs/>
          <w:color w:val="auto"/>
          <w:spacing w:val="1"/>
          <w:sz w:val="28"/>
          <w:szCs w:val="32"/>
          <w:highlight w:val="none"/>
          <w:lang w:val="zh-CN"/>
        </w:rPr>
        <w:t>人员</w:t>
      </w:r>
      <w:r>
        <w:rPr>
          <w:rFonts w:hint="eastAsia" w:ascii="宋体" w:hAnsi="宋体" w:eastAsia="宋体" w:cs="宋体"/>
          <w:b/>
          <w:bCs/>
          <w:color w:val="auto"/>
          <w:spacing w:val="-3"/>
          <w:sz w:val="28"/>
          <w:szCs w:val="32"/>
          <w:highlight w:val="none"/>
          <w:lang w:val="zh-CN"/>
        </w:rPr>
        <w:t>的纪</w:t>
      </w:r>
      <w:r>
        <w:rPr>
          <w:rFonts w:hint="eastAsia" w:ascii="宋体" w:hAnsi="宋体" w:eastAsia="宋体" w:cs="宋体"/>
          <w:b/>
          <w:bCs/>
          <w:color w:val="auto"/>
          <w:spacing w:val="1"/>
          <w:sz w:val="28"/>
          <w:szCs w:val="32"/>
          <w:highlight w:val="none"/>
          <w:lang w:val="zh-CN"/>
        </w:rPr>
        <w:t>律要求</w:t>
      </w:r>
      <w:bookmarkEnd w:id="179"/>
      <w:bookmarkEnd w:id="180"/>
      <w:bookmarkEnd w:id="181"/>
    </w:p>
    <w:p w14:paraId="70407587">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14:paraId="73E9B367">
      <w:pPr>
        <w:wordWrap w:val="0"/>
        <w:autoSpaceDE w:val="0"/>
        <w:autoSpaceDN w:val="0"/>
        <w:spacing w:line="360" w:lineRule="auto"/>
        <w:ind w:firstLine="480" w:firstLineChars="200"/>
        <w:rPr>
          <w:rFonts w:ascii="宋体" w:hAnsi="宋体" w:eastAsia="宋体" w:cs="宋体"/>
          <w:color w:val="auto"/>
          <w:kern w:val="0"/>
          <w:sz w:val="24"/>
          <w:szCs w:val="24"/>
          <w:highlight w:val="none"/>
        </w:rPr>
      </w:pPr>
    </w:p>
    <w:p w14:paraId="67945DE4">
      <w:pPr>
        <w:keepNext/>
        <w:keepLines/>
        <w:wordWrap w:val="0"/>
        <w:spacing w:before="260" w:line="416" w:lineRule="auto"/>
        <w:outlineLvl w:val="2"/>
        <w:rPr>
          <w:rFonts w:ascii="宋体" w:hAnsi="宋体" w:eastAsia="宋体" w:cs="宋体"/>
          <w:b/>
          <w:bCs/>
          <w:color w:val="auto"/>
          <w:spacing w:val="1"/>
          <w:sz w:val="28"/>
          <w:szCs w:val="32"/>
          <w:highlight w:val="none"/>
          <w:lang w:val="zh-CN"/>
        </w:rPr>
      </w:pPr>
      <w:bookmarkStart w:id="182" w:name="_Toc193357993"/>
      <w:bookmarkStart w:id="183" w:name="_Toc3297"/>
      <w:bookmarkStart w:id="184" w:name="_Toc111186777"/>
      <w:r>
        <w:rPr>
          <w:rFonts w:hint="eastAsia" w:ascii="宋体" w:hAnsi="宋体" w:eastAsia="宋体" w:cs="宋体"/>
          <w:b/>
          <w:bCs/>
          <w:color w:val="auto"/>
          <w:spacing w:val="1"/>
          <w:sz w:val="28"/>
          <w:szCs w:val="32"/>
          <w:highlight w:val="none"/>
          <w:lang w:val="zh-CN"/>
        </w:rPr>
        <w:t>8.5</w:t>
      </w:r>
      <w:r>
        <w:rPr>
          <w:rFonts w:hint="eastAsia" w:ascii="宋体" w:hAnsi="宋体" w:eastAsia="宋体" w:cs="宋体"/>
          <w:b/>
          <w:bCs/>
          <w:color w:val="auto"/>
          <w:spacing w:val="68"/>
          <w:sz w:val="28"/>
          <w:szCs w:val="32"/>
          <w:highlight w:val="none"/>
          <w:lang w:val="zh-CN"/>
        </w:rPr>
        <w:t xml:space="preserve"> </w:t>
      </w:r>
      <w:r>
        <w:rPr>
          <w:rFonts w:hint="eastAsia" w:ascii="宋体" w:hAnsi="宋体" w:eastAsia="宋体" w:cs="宋体"/>
          <w:b/>
          <w:bCs/>
          <w:color w:val="auto"/>
          <w:spacing w:val="1"/>
          <w:sz w:val="28"/>
          <w:szCs w:val="32"/>
          <w:highlight w:val="none"/>
          <w:lang w:val="zh-CN"/>
        </w:rPr>
        <w:t>投诉</w:t>
      </w:r>
      <w:bookmarkEnd w:id="182"/>
      <w:bookmarkEnd w:id="183"/>
      <w:bookmarkEnd w:id="184"/>
    </w:p>
    <w:p w14:paraId="41E2EE30">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8.5.1 投标人或者其他利害关系人认为招标投标活动不符合法律、行政法规规定的，可以自知道或者应当知道之日起10日内向有关行政监督部门投诉。投诉应当有明确的请求和必要的证明材料。</w:t>
      </w:r>
    </w:p>
    <w:p w14:paraId="39D872AB">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8.5.2 投标人或者其他利害关系人对招标文件、开标和评标结果提出投诉的，应当按照投标人须知第2.4款、第5.3款和第7.2款的规定先向招标人提出异议。异议答复期间不计算在第8.5.1项规定的期限内。</w:t>
      </w:r>
    </w:p>
    <w:p w14:paraId="3FB3CBAF">
      <w:pPr>
        <w:wordWrap w:val="0"/>
        <w:autoSpaceDE w:val="0"/>
        <w:autoSpaceDN w:val="0"/>
        <w:spacing w:line="360" w:lineRule="auto"/>
        <w:ind w:firstLine="480" w:firstLineChars="200"/>
        <w:rPr>
          <w:rFonts w:ascii="宋体" w:hAnsi="宋体" w:eastAsia="宋体" w:cs="宋体"/>
          <w:color w:val="auto"/>
          <w:kern w:val="0"/>
          <w:sz w:val="24"/>
          <w:szCs w:val="24"/>
          <w:highlight w:val="none"/>
        </w:rPr>
      </w:pPr>
    </w:p>
    <w:p w14:paraId="6F99CFF0">
      <w:pPr>
        <w:keepNext/>
        <w:keepLines/>
        <w:wordWrap w:val="0"/>
        <w:spacing w:line="360" w:lineRule="auto"/>
        <w:outlineLvl w:val="1"/>
        <w:rPr>
          <w:rFonts w:ascii="宋体" w:hAnsi="宋体" w:eastAsia="宋体" w:cs="宋体"/>
          <w:b/>
          <w:bCs/>
          <w:color w:val="auto"/>
          <w:kern w:val="0"/>
          <w:sz w:val="30"/>
          <w:szCs w:val="30"/>
          <w:highlight w:val="none"/>
          <w:lang w:val="zh-CN"/>
        </w:rPr>
      </w:pPr>
      <w:bookmarkStart w:id="185" w:name="_Toc32014"/>
      <w:bookmarkStart w:id="186" w:name="_Toc111186778"/>
      <w:bookmarkStart w:id="187" w:name="_Toc193357994"/>
      <w:r>
        <w:rPr>
          <w:rFonts w:hint="eastAsia" w:ascii="宋体" w:hAnsi="宋体" w:eastAsia="宋体" w:cs="宋体"/>
          <w:b/>
          <w:bCs/>
          <w:color w:val="auto"/>
          <w:spacing w:val="1"/>
          <w:kern w:val="0"/>
          <w:sz w:val="30"/>
          <w:szCs w:val="30"/>
          <w:highlight w:val="none"/>
          <w:lang w:val="zh-CN"/>
        </w:rPr>
        <w:t>9</w:t>
      </w:r>
      <w:r>
        <w:rPr>
          <w:rFonts w:hint="eastAsia" w:ascii="宋体" w:hAnsi="宋体" w:eastAsia="宋体" w:cs="宋体"/>
          <w:b/>
          <w:bCs/>
          <w:color w:val="auto"/>
          <w:kern w:val="0"/>
          <w:sz w:val="30"/>
          <w:szCs w:val="30"/>
          <w:highlight w:val="none"/>
          <w:lang w:val="zh-CN"/>
        </w:rPr>
        <w:t>.</w:t>
      </w:r>
      <w:r>
        <w:rPr>
          <w:rFonts w:hint="eastAsia" w:ascii="宋体" w:hAnsi="宋体" w:eastAsia="宋体" w:cs="宋体"/>
          <w:b/>
          <w:bCs/>
          <w:color w:val="auto"/>
          <w:spacing w:val="78"/>
          <w:kern w:val="0"/>
          <w:sz w:val="30"/>
          <w:szCs w:val="30"/>
          <w:highlight w:val="none"/>
          <w:lang w:val="zh-CN"/>
        </w:rPr>
        <w:t xml:space="preserve"> </w:t>
      </w:r>
      <w:r>
        <w:rPr>
          <w:rFonts w:hint="eastAsia" w:ascii="宋体" w:hAnsi="宋体" w:eastAsia="宋体" w:cs="宋体"/>
          <w:b/>
          <w:bCs/>
          <w:color w:val="auto"/>
          <w:kern w:val="0"/>
          <w:sz w:val="30"/>
          <w:szCs w:val="30"/>
          <w:highlight w:val="none"/>
          <w:lang w:val="zh-CN"/>
        </w:rPr>
        <w:t>是否采用电子招标投标</w:t>
      </w:r>
      <w:bookmarkEnd w:id="185"/>
      <w:bookmarkEnd w:id="186"/>
      <w:bookmarkEnd w:id="187"/>
    </w:p>
    <w:p w14:paraId="7ACB2272">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本招标项目采用电子招标投标方式，按照</w:t>
      </w:r>
      <w:r>
        <w:rPr>
          <w:rFonts w:hint="eastAsia" w:ascii="宋体" w:hAnsi="宋体" w:eastAsia="宋体" w:cs="宋体"/>
          <w:color w:val="auto"/>
          <w:kern w:val="0"/>
          <w:sz w:val="24"/>
          <w:szCs w:val="24"/>
          <w:highlight w:val="none"/>
          <w:u w:val="single"/>
        </w:rPr>
        <w:t>广州交易集团有限公司（广州公共资源交易中心）</w:t>
      </w:r>
      <w:r>
        <w:rPr>
          <w:rFonts w:hint="eastAsia" w:ascii="宋体" w:hAnsi="宋体" w:eastAsia="宋体" w:cs="宋体"/>
          <w:color w:val="auto"/>
          <w:kern w:val="0"/>
          <w:sz w:val="24"/>
          <w:szCs w:val="24"/>
          <w:highlight w:val="none"/>
        </w:rPr>
        <w:t>网站关于全流程电子化项目的相关指南进行操作。</w:t>
      </w:r>
    </w:p>
    <w:p w14:paraId="5DF55DC8">
      <w:pPr>
        <w:wordWrap w:val="0"/>
        <w:autoSpaceDE w:val="0"/>
        <w:autoSpaceDN w:val="0"/>
        <w:spacing w:line="360" w:lineRule="auto"/>
        <w:ind w:firstLine="480" w:firstLineChars="200"/>
        <w:rPr>
          <w:rFonts w:ascii="宋体" w:hAnsi="宋体" w:eastAsia="宋体" w:cs="宋体"/>
          <w:color w:val="auto"/>
          <w:kern w:val="0"/>
          <w:sz w:val="24"/>
          <w:szCs w:val="24"/>
          <w:highlight w:val="none"/>
        </w:rPr>
      </w:pPr>
    </w:p>
    <w:p w14:paraId="291BB0ED">
      <w:pPr>
        <w:keepNext/>
        <w:keepLines/>
        <w:wordWrap w:val="0"/>
        <w:spacing w:line="360" w:lineRule="auto"/>
        <w:outlineLvl w:val="1"/>
        <w:rPr>
          <w:rFonts w:ascii="宋体" w:hAnsi="宋体" w:eastAsia="宋体" w:cs="宋体"/>
          <w:b/>
          <w:bCs/>
          <w:color w:val="auto"/>
          <w:kern w:val="0"/>
          <w:sz w:val="30"/>
          <w:szCs w:val="30"/>
          <w:highlight w:val="none"/>
          <w:lang w:val="zh-CN"/>
        </w:rPr>
      </w:pPr>
      <w:bookmarkStart w:id="188" w:name="_Toc111186779"/>
      <w:bookmarkStart w:id="189" w:name="_Toc25836"/>
      <w:bookmarkStart w:id="190" w:name="_Toc193357995"/>
      <w:r>
        <w:rPr>
          <w:rFonts w:hint="eastAsia" w:ascii="宋体" w:hAnsi="宋体" w:eastAsia="宋体" w:cs="宋体"/>
          <w:b/>
          <w:bCs/>
          <w:color w:val="auto"/>
          <w:spacing w:val="1"/>
          <w:kern w:val="0"/>
          <w:sz w:val="30"/>
          <w:szCs w:val="30"/>
          <w:highlight w:val="none"/>
          <w:lang w:val="zh-CN"/>
        </w:rPr>
        <w:t>10</w:t>
      </w:r>
      <w:r>
        <w:rPr>
          <w:rFonts w:hint="eastAsia" w:ascii="宋体" w:hAnsi="宋体" w:eastAsia="宋体" w:cs="宋体"/>
          <w:b/>
          <w:bCs/>
          <w:color w:val="auto"/>
          <w:kern w:val="0"/>
          <w:sz w:val="30"/>
          <w:szCs w:val="30"/>
          <w:highlight w:val="none"/>
          <w:lang w:val="zh-CN"/>
        </w:rPr>
        <w:t>.</w:t>
      </w:r>
      <w:r>
        <w:rPr>
          <w:rFonts w:hint="eastAsia" w:ascii="宋体" w:hAnsi="宋体" w:eastAsia="宋体" w:cs="宋体"/>
          <w:b/>
          <w:bCs/>
          <w:color w:val="auto"/>
          <w:spacing w:val="74"/>
          <w:kern w:val="0"/>
          <w:sz w:val="30"/>
          <w:szCs w:val="30"/>
          <w:highlight w:val="none"/>
          <w:lang w:val="zh-CN"/>
        </w:rPr>
        <w:t xml:space="preserve"> </w:t>
      </w:r>
      <w:bookmarkEnd w:id="188"/>
      <w:bookmarkEnd w:id="189"/>
      <w:bookmarkEnd w:id="190"/>
      <w:r>
        <w:rPr>
          <w:rFonts w:hint="eastAsia" w:ascii="宋体" w:hAnsi="宋体" w:eastAsia="宋体" w:cs="宋体"/>
          <w:b/>
          <w:bCs/>
          <w:color w:val="auto"/>
          <w:kern w:val="0"/>
          <w:sz w:val="30"/>
          <w:szCs w:val="30"/>
          <w:highlight w:val="none"/>
          <w:lang w:val="zh-CN"/>
        </w:rPr>
        <w:t>重新招标情形</w:t>
      </w:r>
    </w:p>
    <w:p w14:paraId="265F43D3">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在下列情况下，依法必须招标项目的招标人在分析招标失败的原因并采取相应措施后，应当依照本办法重新招标：</w:t>
      </w:r>
    </w:p>
    <w:p w14:paraId="2FB9B352">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（一）资格审查合格的投标人不足三个的；</w:t>
      </w:r>
    </w:p>
    <w:p w14:paraId="02211713">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（二）在投标截止时间前提交投标文件的投标人少于三个的；</w:t>
      </w:r>
    </w:p>
    <w:p w14:paraId="4A7EF5EA">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（三）所有投标均被否决的；</w:t>
      </w:r>
    </w:p>
    <w:p w14:paraId="03ACECD4">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（四）评标委员会否决不合格投标后，因有效投标不足三个使得投标明显缺乏竞争，评标委员会决定否决全部投标的；</w:t>
      </w:r>
    </w:p>
    <w:p w14:paraId="1C062AD4">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（五）根据《工程建设项目勘察设计招标投标办法》第四十六条规定，同意延长投标有效期的投标人少于三个的；</w:t>
      </w:r>
    </w:p>
    <w:p w14:paraId="33A5C821">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（六）符合法律法规需重新招标的其他情形。</w:t>
      </w:r>
    </w:p>
    <w:p w14:paraId="79FB6DE8">
      <w:pPr>
        <w:wordWrap w:val="0"/>
        <w:autoSpaceDE w:val="0"/>
        <w:autoSpaceDN w:val="0"/>
        <w:spacing w:line="360" w:lineRule="auto"/>
        <w:ind w:firstLine="480" w:firstLineChars="200"/>
        <w:rPr>
          <w:rFonts w:ascii="宋体" w:hAnsi="宋体" w:eastAsia="宋体" w:cs="宋体"/>
          <w:color w:val="auto"/>
          <w:kern w:val="0"/>
          <w:sz w:val="24"/>
          <w:szCs w:val="24"/>
          <w:highlight w:val="none"/>
        </w:rPr>
      </w:pPr>
    </w:p>
    <w:p w14:paraId="3DB447E8">
      <w:pPr>
        <w:keepNext/>
        <w:keepLines/>
        <w:wordWrap w:val="0"/>
        <w:spacing w:line="360" w:lineRule="auto"/>
        <w:outlineLvl w:val="1"/>
        <w:rPr>
          <w:rFonts w:ascii="宋体" w:hAnsi="宋体" w:eastAsia="宋体" w:cs="宋体"/>
          <w:b/>
          <w:bCs/>
          <w:color w:val="auto"/>
          <w:kern w:val="0"/>
          <w:sz w:val="30"/>
          <w:szCs w:val="30"/>
          <w:highlight w:val="none"/>
          <w:lang w:val="zh-CN"/>
        </w:rPr>
      </w:pPr>
      <w:r>
        <w:rPr>
          <w:rFonts w:hint="eastAsia" w:ascii="宋体" w:hAnsi="宋体" w:eastAsia="宋体" w:cs="宋体"/>
          <w:b/>
          <w:bCs/>
          <w:color w:val="auto"/>
          <w:spacing w:val="1"/>
          <w:kern w:val="0"/>
          <w:sz w:val="30"/>
          <w:szCs w:val="30"/>
          <w:highlight w:val="none"/>
          <w:lang w:val="zh-CN"/>
        </w:rPr>
        <w:t>11</w:t>
      </w:r>
      <w:r>
        <w:rPr>
          <w:rFonts w:hint="eastAsia" w:ascii="宋体" w:hAnsi="宋体" w:eastAsia="宋体" w:cs="宋体"/>
          <w:b/>
          <w:bCs/>
          <w:color w:val="auto"/>
          <w:kern w:val="0"/>
          <w:sz w:val="30"/>
          <w:szCs w:val="30"/>
          <w:highlight w:val="none"/>
          <w:lang w:val="zh-CN"/>
        </w:rPr>
        <w:t>.</w:t>
      </w:r>
      <w:r>
        <w:rPr>
          <w:rFonts w:hint="eastAsia" w:ascii="宋体" w:hAnsi="宋体" w:eastAsia="宋体" w:cs="宋体"/>
          <w:b/>
          <w:bCs/>
          <w:color w:val="auto"/>
          <w:spacing w:val="74"/>
          <w:kern w:val="0"/>
          <w:sz w:val="30"/>
          <w:szCs w:val="30"/>
          <w:highlight w:val="none"/>
          <w:lang w:val="zh-CN"/>
        </w:rPr>
        <w:t xml:space="preserve"> </w:t>
      </w:r>
      <w:r>
        <w:rPr>
          <w:rFonts w:hint="eastAsia" w:ascii="宋体" w:hAnsi="宋体" w:eastAsia="宋体" w:cs="宋体"/>
          <w:b/>
          <w:bCs/>
          <w:color w:val="auto"/>
          <w:kern w:val="0"/>
          <w:sz w:val="30"/>
          <w:szCs w:val="30"/>
          <w:highlight w:val="none"/>
          <w:lang w:val="zh-CN"/>
        </w:rPr>
        <w:t>需要补充的其他内容</w:t>
      </w:r>
    </w:p>
    <w:p w14:paraId="4837550A">
      <w:pPr>
        <w:wordWrap w:val="0"/>
        <w:autoSpaceDE w:val="0"/>
        <w:autoSpaceDN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需要补充的其他内容：见投标人须知前附表。</w:t>
      </w:r>
    </w:p>
    <w:p w14:paraId="0DC63E99">
      <w:pPr>
        <w:keepNext/>
        <w:keepLines/>
        <w:wordWrap w:val="0"/>
        <w:spacing w:before="260" w:line="416" w:lineRule="auto"/>
        <w:outlineLvl w:val="2"/>
        <w:rPr>
          <w:rFonts w:ascii="宋体" w:hAnsi="宋体" w:eastAsia="宋体" w:cs="宋体"/>
          <w:b/>
          <w:bCs/>
          <w:color w:val="auto"/>
          <w:spacing w:val="1"/>
          <w:sz w:val="28"/>
          <w:szCs w:val="32"/>
          <w:highlight w:val="none"/>
          <w:lang w:val="zh-CN"/>
        </w:rPr>
      </w:pPr>
      <w:r>
        <w:rPr>
          <w:rFonts w:hint="eastAsia" w:ascii="宋体" w:hAnsi="宋体" w:eastAsia="宋体" w:cs="宋体"/>
          <w:b/>
          <w:bCs/>
          <w:color w:val="auto"/>
          <w:spacing w:val="1"/>
          <w:kern w:val="0"/>
          <w:sz w:val="28"/>
          <w:szCs w:val="32"/>
          <w:highlight w:val="none"/>
          <w:lang w:val="zh-CN"/>
        </w:rPr>
        <w:br w:type="page"/>
      </w:r>
      <w:bookmarkStart w:id="191" w:name="_Toc111186781"/>
      <w:bookmarkStart w:id="192" w:name="_Toc5282"/>
      <w:bookmarkStart w:id="193" w:name="_Toc193357997"/>
    </w:p>
    <w:bookmarkEnd w:id="191"/>
    <w:bookmarkEnd w:id="192"/>
    <w:bookmarkEnd w:id="193"/>
    <w:p w14:paraId="095C1E85">
      <w:pPr>
        <w:pStyle w:val="2"/>
        <w:rPr>
          <w:rFonts w:ascii="宋体" w:hAnsi="宋体"/>
          <w:color w:val="auto"/>
          <w:highlight w:val="none"/>
        </w:rPr>
      </w:pPr>
      <w:bookmarkStart w:id="194" w:name="_Toc111186786"/>
      <w:bookmarkStart w:id="195" w:name="_Toc193358002"/>
      <w:r>
        <w:rPr>
          <w:rFonts w:hint="eastAsia" w:ascii="宋体" w:hAnsi="宋体"/>
          <w:color w:val="auto"/>
          <w:highlight w:val="none"/>
        </w:rPr>
        <w:t>第三章  评标</w:t>
      </w:r>
      <w:r>
        <w:rPr>
          <w:rFonts w:hint="eastAsia" w:ascii="宋体" w:hAnsi="宋体"/>
          <w:color w:val="auto"/>
          <w:highlight w:val="none"/>
          <w:u w:val="single"/>
        </w:rPr>
        <w:t>、定标</w:t>
      </w:r>
      <w:r>
        <w:rPr>
          <w:rFonts w:hint="eastAsia" w:ascii="宋体" w:hAnsi="宋体"/>
          <w:color w:val="auto"/>
          <w:highlight w:val="none"/>
        </w:rPr>
        <w:t>办法（</w:t>
      </w:r>
      <w:r>
        <w:rPr>
          <w:rFonts w:hint="eastAsia" w:ascii="宋体" w:hAnsi="宋体"/>
          <w:color w:val="auto"/>
          <w:highlight w:val="none"/>
          <w:u w:val="single"/>
        </w:rPr>
        <w:t>评定分离</w:t>
      </w:r>
      <w:r>
        <w:rPr>
          <w:rFonts w:hint="eastAsia" w:ascii="宋体" w:hAnsi="宋体"/>
          <w:color w:val="auto"/>
          <w:highlight w:val="none"/>
        </w:rPr>
        <w:t>）</w:t>
      </w:r>
      <w:bookmarkEnd w:id="194"/>
      <w:bookmarkEnd w:id="195"/>
    </w:p>
    <w:p w14:paraId="2E0B8ADE">
      <w:pPr>
        <w:pStyle w:val="4"/>
        <w:wordWrap w:val="0"/>
        <w:rPr>
          <w:rFonts w:ascii="宋体" w:hAnsi="宋体"/>
          <w:color w:val="auto"/>
          <w:highlight w:val="none"/>
        </w:rPr>
      </w:pPr>
      <w:bookmarkStart w:id="196" w:name="_Toc111186787"/>
      <w:bookmarkStart w:id="197" w:name="_Toc193358003"/>
      <w:bookmarkStart w:id="198" w:name="_Toc32538"/>
      <w:r>
        <w:rPr>
          <w:rFonts w:hint="eastAsia" w:ascii="宋体" w:hAnsi="宋体"/>
          <w:color w:val="auto"/>
          <w:highlight w:val="none"/>
        </w:rPr>
        <w:t>（适用于技术文件为暗标形式）</w:t>
      </w:r>
    </w:p>
    <w:p w14:paraId="0BDB231E">
      <w:pPr>
        <w:pStyle w:val="4"/>
        <w:wordWrap w:val="0"/>
        <w:rPr>
          <w:rFonts w:ascii="宋体" w:hAnsi="宋体"/>
          <w:color w:val="auto"/>
          <w:highlight w:val="none"/>
        </w:rPr>
      </w:pPr>
      <w:r>
        <w:rPr>
          <w:rFonts w:hint="eastAsia" w:ascii="宋体" w:hAnsi="宋体"/>
          <w:color w:val="auto"/>
          <w:highlight w:val="none"/>
        </w:rPr>
        <w:t>评标办法前附表</w:t>
      </w:r>
      <w:bookmarkEnd w:id="196"/>
      <w:bookmarkEnd w:id="197"/>
      <w:bookmarkEnd w:id="198"/>
    </w:p>
    <w:tbl>
      <w:tblPr>
        <w:tblStyle w:val="46"/>
        <w:tblW w:w="935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850"/>
        <w:gridCol w:w="2631"/>
        <w:gridCol w:w="4988"/>
      </w:tblGrid>
      <w:tr w14:paraId="651F5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37" w:type="dxa"/>
            <w:gridSpan w:val="2"/>
            <w:vAlign w:val="center"/>
          </w:tcPr>
          <w:p w14:paraId="70DEFFC6">
            <w:pPr>
              <w:wordWrap w:val="0"/>
              <w:spacing w:line="276" w:lineRule="auto"/>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条款号</w:t>
            </w:r>
          </w:p>
        </w:tc>
        <w:tc>
          <w:tcPr>
            <w:tcW w:w="2631" w:type="dxa"/>
            <w:vAlign w:val="center"/>
          </w:tcPr>
          <w:p w14:paraId="360752E1">
            <w:pPr>
              <w:wordWrap w:val="0"/>
              <w:spacing w:line="276" w:lineRule="auto"/>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评审因素</w:t>
            </w:r>
          </w:p>
        </w:tc>
        <w:tc>
          <w:tcPr>
            <w:tcW w:w="4988" w:type="dxa"/>
            <w:vAlign w:val="center"/>
          </w:tcPr>
          <w:p w14:paraId="520356A2">
            <w:pPr>
              <w:wordWrap w:val="0"/>
              <w:spacing w:line="276" w:lineRule="auto"/>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评审标准</w:t>
            </w:r>
          </w:p>
        </w:tc>
      </w:tr>
      <w:tr w14:paraId="0DA68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7" w:type="dxa"/>
            <w:vAlign w:val="center"/>
          </w:tcPr>
          <w:p w14:paraId="7E586B4A">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850" w:type="dxa"/>
            <w:vAlign w:val="center"/>
          </w:tcPr>
          <w:p w14:paraId="2118F81C">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评标方法</w:t>
            </w:r>
          </w:p>
        </w:tc>
        <w:tc>
          <w:tcPr>
            <w:tcW w:w="2631" w:type="dxa"/>
            <w:vAlign w:val="center"/>
          </w:tcPr>
          <w:p w14:paraId="55F31852">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中标候选人排序方法</w:t>
            </w:r>
          </w:p>
        </w:tc>
        <w:tc>
          <w:tcPr>
            <w:tcW w:w="4988" w:type="dxa"/>
            <w:vAlign w:val="center"/>
          </w:tcPr>
          <w:p w14:paraId="69F8ECEF">
            <w:pPr>
              <w:spacing w:line="276" w:lineRule="auto"/>
              <w:ind w:firstLine="325" w:firstLineChars="155"/>
              <w:rPr>
                <w:rFonts w:ascii="宋体" w:hAnsi="宋体" w:eastAsia="宋体"/>
                <w:color w:val="auto"/>
                <w:szCs w:val="21"/>
                <w:highlight w:val="none"/>
                <w:u w:val="single"/>
              </w:rPr>
            </w:pPr>
            <w:bookmarkStart w:id="199" w:name="OLE_LINK18"/>
            <w:r>
              <w:rPr>
                <w:rFonts w:hint="eastAsia" w:ascii="宋体" w:hAnsi="宋体" w:eastAsia="宋体" w:cs="宋体"/>
                <w:color w:val="auto"/>
                <w:szCs w:val="21"/>
                <w:highlight w:val="none"/>
                <w:u w:val="single"/>
              </w:rPr>
              <w:t>本项目采用评定分离办法。其中，评</w:t>
            </w:r>
            <w:bookmarkStart w:id="200" w:name="OLE_LINK17"/>
            <w:r>
              <w:rPr>
                <w:rFonts w:hint="eastAsia" w:ascii="宋体" w:hAnsi="宋体" w:eastAsia="宋体" w:cs="宋体"/>
                <w:color w:val="auto"/>
                <w:szCs w:val="21"/>
                <w:highlight w:val="none"/>
                <w:u w:val="single"/>
              </w:rPr>
              <w:t>标阶段采用“有限数量制”评标法，评标委员会对投标文件进行商务文件形式评审、资格评审、商务文件响应性评审、技术文件初步评审，并对通过上述评审的投标单位进行商务文件详细评审、技术文件详细评审、投标报价评审。评标委员会计算各有效投标文件的综合得分，并按照综合得分从高到低排列先后次序（注：综合评分相同的，以技术文件得分高的排前；技术文件得分也相同的，以商务文件得分高的排前；如仍存在相同情况，则对具有相同情况的投标人，由评标委员会采用记名投票方式，确定投标人最终名次的排序），向招标人推荐前3名（不足</w:t>
            </w:r>
            <w:r>
              <w:rPr>
                <w:rFonts w:ascii="宋体" w:hAnsi="宋体" w:eastAsia="宋体" w:cs="宋体"/>
                <w:color w:val="auto"/>
                <w:szCs w:val="21"/>
                <w:highlight w:val="none"/>
                <w:u w:val="single"/>
              </w:rPr>
              <w:t>3名</w:t>
            </w:r>
            <w:r>
              <w:rPr>
                <w:rFonts w:hint="eastAsia" w:ascii="宋体" w:hAnsi="宋体" w:eastAsia="宋体" w:cs="宋体"/>
                <w:color w:val="auto"/>
                <w:szCs w:val="21"/>
                <w:highlight w:val="none"/>
                <w:u w:val="single"/>
              </w:rPr>
              <w:t>的，则本项目招标失败，招标人应依法重新组织招标）不排序的投标人为合格中标候选人进入定标阶段。【进入定标阶段不排序，按统一社会信用代码后4位（除校验码外）大小排位（若为联合体投标的以主办方为准），如统一社会信用代码后4位出现字母情况的，字母以“0”进行代替大小排位；如出现后4位（除校验码外）大小一致的，则随机排位】</w:t>
            </w:r>
            <w:bookmarkEnd w:id="199"/>
            <w:bookmarkEnd w:id="200"/>
          </w:p>
        </w:tc>
      </w:tr>
      <w:tr w14:paraId="2DF1A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7" w:type="dxa"/>
            <w:vMerge w:val="restart"/>
            <w:vAlign w:val="center"/>
          </w:tcPr>
          <w:p w14:paraId="48076807">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2.1.1</w:t>
            </w:r>
          </w:p>
        </w:tc>
        <w:tc>
          <w:tcPr>
            <w:tcW w:w="850" w:type="dxa"/>
            <w:vMerge w:val="restart"/>
            <w:vAlign w:val="center"/>
          </w:tcPr>
          <w:p w14:paraId="5F2EAC95">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商务文件形式评审标准</w:t>
            </w:r>
          </w:p>
        </w:tc>
        <w:tc>
          <w:tcPr>
            <w:tcW w:w="2631" w:type="dxa"/>
            <w:vAlign w:val="center"/>
          </w:tcPr>
          <w:p w14:paraId="1C9FBA61">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投标人名称</w:t>
            </w:r>
          </w:p>
        </w:tc>
        <w:tc>
          <w:tcPr>
            <w:tcW w:w="4988" w:type="dxa"/>
            <w:vAlign w:val="center"/>
          </w:tcPr>
          <w:p w14:paraId="36BDE472">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与营业执照或事业单位登记机构核发的事业单位法人证书、资质证书一致。</w:t>
            </w:r>
          </w:p>
        </w:tc>
      </w:tr>
      <w:tr w14:paraId="62E59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7" w:type="dxa"/>
            <w:vMerge w:val="continue"/>
            <w:vAlign w:val="center"/>
          </w:tcPr>
          <w:p w14:paraId="2BC5E9DA">
            <w:pPr>
              <w:widowControl/>
              <w:wordWrap w:val="0"/>
              <w:spacing w:line="276" w:lineRule="auto"/>
              <w:jc w:val="left"/>
              <w:rPr>
                <w:rFonts w:ascii="宋体" w:hAnsi="宋体" w:eastAsia="宋体" w:cs="宋体"/>
                <w:color w:val="auto"/>
                <w:szCs w:val="21"/>
                <w:highlight w:val="none"/>
              </w:rPr>
            </w:pPr>
          </w:p>
        </w:tc>
        <w:tc>
          <w:tcPr>
            <w:tcW w:w="850" w:type="dxa"/>
            <w:vMerge w:val="continue"/>
            <w:vAlign w:val="center"/>
          </w:tcPr>
          <w:p w14:paraId="62A917FA">
            <w:pPr>
              <w:widowControl/>
              <w:wordWrap w:val="0"/>
              <w:spacing w:line="276" w:lineRule="auto"/>
              <w:jc w:val="left"/>
              <w:rPr>
                <w:rFonts w:ascii="宋体" w:hAnsi="宋体" w:eastAsia="宋体" w:cs="宋体"/>
                <w:color w:val="auto"/>
                <w:szCs w:val="21"/>
                <w:highlight w:val="none"/>
              </w:rPr>
            </w:pPr>
          </w:p>
        </w:tc>
        <w:tc>
          <w:tcPr>
            <w:tcW w:w="2631" w:type="dxa"/>
            <w:vAlign w:val="center"/>
          </w:tcPr>
          <w:p w14:paraId="0C09AC1D">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投标人参加投标的意思表达清楚，投标人代表被授权有效</w:t>
            </w:r>
          </w:p>
        </w:tc>
        <w:tc>
          <w:tcPr>
            <w:tcW w:w="4988" w:type="dxa"/>
            <w:vAlign w:val="center"/>
          </w:tcPr>
          <w:p w14:paraId="6A1C834A">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lang w:bidi="ar"/>
              </w:rPr>
              <w:t>投标人声明、廉洁承诺书、法定代表人身份证明；</w:t>
            </w:r>
            <w:r>
              <w:rPr>
                <w:rFonts w:hint="eastAsia" w:ascii="宋体" w:hAnsi="宋体" w:eastAsia="宋体" w:cs="宋体"/>
                <w:color w:val="auto"/>
                <w:sz w:val="21"/>
                <w:szCs w:val="21"/>
                <w:highlight w:val="none"/>
                <w:u w:val="none"/>
                <w:lang w:val="en-US" w:bidi="ar"/>
              </w:rPr>
              <w:t>委托投标的还应提供法人授权委托证明书扫描件、有效的被授权人身份证正反面扫描件及被授权人</w:t>
            </w:r>
            <w:r>
              <w:rPr>
                <w:rFonts w:hint="eastAsia" w:ascii="宋体" w:hAnsi="宋体" w:eastAsia="宋体" w:cs="宋体"/>
                <w:color w:val="auto"/>
                <w:sz w:val="21"/>
                <w:szCs w:val="21"/>
                <w:highlight w:val="none"/>
                <w:u w:val="none"/>
                <w:lang w:val="en-US" w:eastAsia="zh-CN" w:bidi="ar"/>
              </w:rPr>
              <w:t>2025</w:t>
            </w:r>
            <w:r>
              <w:rPr>
                <w:rFonts w:hint="eastAsia" w:ascii="宋体" w:hAnsi="宋体" w:eastAsia="宋体" w:cs="宋体"/>
                <w:color w:val="auto"/>
                <w:sz w:val="21"/>
                <w:szCs w:val="21"/>
                <w:highlight w:val="none"/>
                <w:u w:val="none"/>
                <w:lang w:val="en-US" w:bidi="ar"/>
              </w:rPr>
              <w:t>年</w:t>
            </w:r>
            <w:r>
              <w:rPr>
                <w:rFonts w:hint="eastAsia" w:ascii="宋体" w:hAnsi="宋体" w:eastAsia="宋体" w:cs="宋体"/>
                <w:color w:val="auto"/>
                <w:sz w:val="21"/>
                <w:szCs w:val="21"/>
                <w:highlight w:val="none"/>
                <w:u w:val="none"/>
                <w:lang w:val="en-US" w:eastAsia="zh-CN" w:bidi="ar"/>
              </w:rPr>
              <w:t>5</w:t>
            </w:r>
            <w:r>
              <w:rPr>
                <w:rFonts w:hint="eastAsia" w:ascii="宋体" w:hAnsi="宋体" w:eastAsia="宋体" w:cs="宋体"/>
                <w:color w:val="auto"/>
                <w:sz w:val="21"/>
                <w:szCs w:val="21"/>
                <w:highlight w:val="none"/>
                <w:u w:val="none"/>
                <w:lang w:val="en-US" w:bidi="ar"/>
              </w:rPr>
              <w:t>月或</w:t>
            </w:r>
            <w:r>
              <w:rPr>
                <w:rFonts w:hint="eastAsia" w:ascii="宋体" w:hAnsi="宋体" w:eastAsia="宋体" w:cs="宋体"/>
                <w:color w:val="auto"/>
                <w:sz w:val="21"/>
                <w:szCs w:val="21"/>
                <w:highlight w:val="none"/>
                <w:u w:val="none"/>
                <w:lang w:val="en-US" w:eastAsia="zh-CN" w:bidi="ar"/>
              </w:rPr>
              <w:t>6</w:t>
            </w:r>
            <w:r>
              <w:rPr>
                <w:rFonts w:hint="eastAsia" w:ascii="宋体" w:hAnsi="宋体" w:eastAsia="宋体" w:cs="宋体"/>
                <w:color w:val="auto"/>
                <w:sz w:val="21"/>
                <w:szCs w:val="21"/>
                <w:highlight w:val="none"/>
                <w:u w:val="none"/>
                <w:lang w:val="en-US" w:bidi="ar"/>
              </w:rPr>
              <w:t>月在本单位缴纳的有效社保证明材料扫描件</w:t>
            </w:r>
            <w:r>
              <w:rPr>
                <w:rFonts w:hint="eastAsia" w:ascii="宋体" w:hAnsi="宋体" w:eastAsia="宋体" w:cs="宋体"/>
                <w:color w:val="auto"/>
                <w:szCs w:val="21"/>
                <w:highlight w:val="none"/>
                <w:lang w:bidi="ar"/>
              </w:rPr>
              <w:t>。</w:t>
            </w:r>
          </w:p>
        </w:tc>
      </w:tr>
      <w:tr w14:paraId="7A927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7" w:type="dxa"/>
            <w:vMerge w:val="continue"/>
            <w:vAlign w:val="center"/>
          </w:tcPr>
          <w:p w14:paraId="1C8E7F1F">
            <w:pPr>
              <w:widowControl/>
              <w:wordWrap w:val="0"/>
              <w:spacing w:line="276" w:lineRule="auto"/>
              <w:jc w:val="left"/>
              <w:rPr>
                <w:rFonts w:ascii="宋体" w:hAnsi="宋体" w:eastAsia="宋体" w:cs="宋体"/>
                <w:color w:val="auto"/>
                <w:szCs w:val="21"/>
                <w:highlight w:val="none"/>
              </w:rPr>
            </w:pPr>
          </w:p>
        </w:tc>
        <w:tc>
          <w:tcPr>
            <w:tcW w:w="850" w:type="dxa"/>
            <w:vMerge w:val="continue"/>
            <w:vAlign w:val="center"/>
          </w:tcPr>
          <w:p w14:paraId="21AF7EE3">
            <w:pPr>
              <w:widowControl/>
              <w:wordWrap w:val="0"/>
              <w:spacing w:line="276" w:lineRule="auto"/>
              <w:jc w:val="left"/>
              <w:rPr>
                <w:rFonts w:ascii="宋体" w:hAnsi="宋体" w:eastAsia="宋体" w:cs="宋体"/>
                <w:color w:val="auto"/>
                <w:szCs w:val="21"/>
                <w:highlight w:val="none"/>
              </w:rPr>
            </w:pPr>
          </w:p>
        </w:tc>
        <w:tc>
          <w:tcPr>
            <w:tcW w:w="2631" w:type="dxa"/>
            <w:vAlign w:val="center"/>
          </w:tcPr>
          <w:p w14:paraId="64A38DE6">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投标函及投标函附录盖章</w:t>
            </w:r>
          </w:p>
        </w:tc>
        <w:tc>
          <w:tcPr>
            <w:tcW w:w="4988" w:type="dxa"/>
            <w:vAlign w:val="center"/>
          </w:tcPr>
          <w:p w14:paraId="71879CAC">
            <w:pPr>
              <w:wordWrap w:val="0"/>
              <w:spacing w:line="276" w:lineRule="auto"/>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有加盖单位章。</w:t>
            </w:r>
          </w:p>
        </w:tc>
      </w:tr>
      <w:tr w14:paraId="254F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7" w:type="dxa"/>
            <w:vMerge w:val="continue"/>
            <w:vAlign w:val="center"/>
          </w:tcPr>
          <w:p w14:paraId="5FE4B4A5">
            <w:pPr>
              <w:widowControl/>
              <w:wordWrap w:val="0"/>
              <w:spacing w:line="276" w:lineRule="auto"/>
              <w:jc w:val="left"/>
              <w:rPr>
                <w:rFonts w:ascii="宋体" w:hAnsi="宋体" w:eastAsia="宋体" w:cs="宋体"/>
                <w:color w:val="auto"/>
                <w:szCs w:val="21"/>
                <w:highlight w:val="none"/>
              </w:rPr>
            </w:pPr>
          </w:p>
        </w:tc>
        <w:tc>
          <w:tcPr>
            <w:tcW w:w="850" w:type="dxa"/>
            <w:vMerge w:val="continue"/>
            <w:vAlign w:val="center"/>
          </w:tcPr>
          <w:p w14:paraId="63F308DD">
            <w:pPr>
              <w:widowControl/>
              <w:wordWrap w:val="0"/>
              <w:spacing w:line="276" w:lineRule="auto"/>
              <w:jc w:val="left"/>
              <w:rPr>
                <w:rFonts w:ascii="宋体" w:hAnsi="宋体" w:eastAsia="宋体" w:cs="宋体"/>
                <w:color w:val="auto"/>
                <w:szCs w:val="21"/>
                <w:highlight w:val="none"/>
              </w:rPr>
            </w:pPr>
          </w:p>
        </w:tc>
        <w:tc>
          <w:tcPr>
            <w:tcW w:w="2631" w:type="dxa"/>
            <w:vAlign w:val="center"/>
          </w:tcPr>
          <w:p w14:paraId="7DA7E7D7">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投标文件格式</w:t>
            </w:r>
          </w:p>
        </w:tc>
        <w:tc>
          <w:tcPr>
            <w:tcW w:w="4988" w:type="dxa"/>
            <w:vAlign w:val="center"/>
          </w:tcPr>
          <w:p w14:paraId="2D760FFA">
            <w:pPr>
              <w:wordWrap w:val="0"/>
              <w:spacing w:line="276" w:lineRule="auto"/>
              <w:rPr>
                <w:rFonts w:ascii="宋体" w:hAnsi="宋体" w:eastAsia="宋体" w:cs="宋体"/>
                <w:color w:val="auto"/>
                <w:szCs w:val="21"/>
                <w:highlight w:val="none"/>
              </w:rPr>
            </w:pPr>
            <w:r>
              <w:rPr>
                <w:rFonts w:hint="eastAsia" w:ascii="宋体" w:hAnsi="宋体" w:eastAsia="宋体" w:cs="Times New Roman"/>
                <w:b/>
                <w:color w:val="auto"/>
                <w:szCs w:val="21"/>
                <w:highlight w:val="none"/>
                <w:u w:val="single"/>
              </w:rPr>
              <w:t>①投标函及投标函附录、②投标人声明</w:t>
            </w:r>
            <w:r>
              <w:rPr>
                <w:rFonts w:hint="eastAsia" w:ascii="宋体" w:hAnsi="宋体" w:eastAsia="宋体" w:cs="Times New Roman"/>
                <w:color w:val="auto"/>
                <w:szCs w:val="21"/>
                <w:highlight w:val="none"/>
              </w:rPr>
              <w:t>符合第六章“投标文件格式”的规定。</w:t>
            </w:r>
          </w:p>
        </w:tc>
      </w:tr>
      <w:tr w14:paraId="10DD8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7" w:type="dxa"/>
            <w:vMerge w:val="continue"/>
            <w:vAlign w:val="center"/>
          </w:tcPr>
          <w:p w14:paraId="7FA4C0FA">
            <w:pPr>
              <w:widowControl/>
              <w:wordWrap w:val="0"/>
              <w:spacing w:line="276" w:lineRule="auto"/>
              <w:jc w:val="left"/>
              <w:rPr>
                <w:rFonts w:ascii="宋体" w:hAnsi="宋体" w:eastAsia="宋体" w:cs="宋体"/>
                <w:color w:val="auto"/>
                <w:szCs w:val="21"/>
                <w:highlight w:val="none"/>
              </w:rPr>
            </w:pPr>
          </w:p>
        </w:tc>
        <w:tc>
          <w:tcPr>
            <w:tcW w:w="850" w:type="dxa"/>
            <w:vMerge w:val="continue"/>
            <w:vAlign w:val="center"/>
          </w:tcPr>
          <w:p w14:paraId="6E8C39B8">
            <w:pPr>
              <w:widowControl/>
              <w:wordWrap w:val="0"/>
              <w:spacing w:line="276" w:lineRule="auto"/>
              <w:jc w:val="left"/>
              <w:rPr>
                <w:rFonts w:ascii="宋体" w:hAnsi="宋体" w:eastAsia="宋体" w:cs="宋体"/>
                <w:color w:val="auto"/>
                <w:szCs w:val="21"/>
                <w:highlight w:val="none"/>
              </w:rPr>
            </w:pPr>
          </w:p>
        </w:tc>
        <w:tc>
          <w:tcPr>
            <w:tcW w:w="2631" w:type="dxa"/>
            <w:vAlign w:val="center"/>
          </w:tcPr>
          <w:p w14:paraId="148F2E46">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spacing w:val="-1"/>
                <w:kern w:val="0"/>
                <w:szCs w:val="21"/>
                <w:highlight w:val="none"/>
              </w:rPr>
              <w:t>联合体投标人</w:t>
            </w:r>
          </w:p>
        </w:tc>
        <w:tc>
          <w:tcPr>
            <w:tcW w:w="4988" w:type="dxa"/>
            <w:vAlign w:val="center"/>
          </w:tcPr>
          <w:p w14:paraId="53EEF298">
            <w:pPr>
              <w:wordWrap w:val="0"/>
              <w:autoSpaceDE w:val="0"/>
              <w:autoSpaceDN w:val="0"/>
              <w:spacing w:line="276" w:lineRule="auto"/>
              <w:jc w:val="left"/>
              <w:rPr>
                <w:rFonts w:ascii="宋体" w:hAnsi="宋体" w:eastAsia="宋体" w:cs="宋体"/>
                <w:color w:val="auto"/>
                <w:kern w:val="0"/>
                <w:szCs w:val="21"/>
                <w:highlight w:val="none"/>
              </w:rPr>
            </w:pPr>
            <w:r>
              <w:rPr>
                <w:rFonts w:hint="eastAsia" w:ascii="宋体" w:hAnsi="宋体" w:eastAsia="宋体" w:cs="宋体"/>
                <w:color w:val="auto"/>
                <w:spacing w:val="1"/>
                <w:kern w:val="0"/>
                <w:szCs w:val="21"/>
                <w:highlight w:val="none"/>
              </w:rPr>
              <w:t>提交符合招标文件要求的联合体协议书，明确各方职责分工、权利义务，并承诺就中标项目向招标人承担连带责任，</w:t>
            </w:r>
            <w:r>
              <w:rPr>
                <w:rFonts w:hint="eastAsia" w:ascii="宋体" w:hAnsi="宋体" w:eastAsia="宋体" w:cs="宋体"/>
                <w:color w:val="auto"/>
                <w:szCs w:val="21"/>
                <w:highlight w:val="none"/>
              </w:rPr>
              <w:t>并明确联合体主办方</w:t>
            </w:r>
            <w:r>
              <w:rPr>
                <w:rFonts w:hint="eastAsia" w:ascii="宋体" w:hAnsi="宋体" w:eastAsia="宋体" w:cs="宋体"/>
                <w:color w:val="auto"/>
                <w:spacing w:val="1"/>
                <w:kern w:val="0"/>
                <w:szCs w:val="21"/>
                <w:highlight w:val="none"/>
              </w:rPr>
              <w:t>。</w:t>
            </w:r>
          </w:p>
        </w:tc>
      </w:tr>
      <w:tr w14:paraId="50F1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7" w:type="dxa"/>
            <w:vMerge w:val="continue"/>
            <w:vAlign w:val="center"/>
          </w:tcPr>
          <w:p w14:paraId="1EE1A7FA">
            <w:pPr>
              <w:widowControl/>
              <w:wordWrap w:val="0"/>
              <w:spacing w:line="276" w:lineRule="auto"/>
              <w:jc w:val="left"/>
              <w:rPr>
                <w:rFonts w:ascii="宋体" w:hAnsi="宋体" w:eastAsia="宋体" w:cs="宋体"/>
                <w:color w:val="auto"/>
                <w:szCs w:val="21"/>
                <w:highlight w:val="none"/>
              </w:rPr>
            </w:pPr>
          </w:p>
        </w:tc>
        <w:tc>
          <w:tcPr>
            <w:tcW w:w="850" w:type="dxa"/>
            <w:vMerge w:val="continue"/>
            <w:vAlign w:val="center"/>
          </w:tcPr>
          <w:p w14:paraId="51F5DDC3">
            <w:pPr>
              <w:widowControl/>
              <w:wordWrap w:val="0"/>
              <w:spacing w:line="276" w:lineRule="auto"/>
              <w:jc w:val="left"/>
              <w:rPr>
                <w:rFonts w:ascii="宋体" w:hAnsi="宋体" w:eastAsia="宋体" w:cs="宋体"/>
                <w:color w:val="auto"/>
                <w:szCs w:val="21"/>
                <w:highlight w:val="none"/>
              </w:rPr>
            </w:pPr>
          </w:p>
        </w:tc>
        <w:tc>
          <w:tcPr>
            <w:tcW w:w="2631" w:type="dxa"/>
            <w:vAlign w:val="center"/>
          </w:tcPr>
          <w:p w14:paraId="604967AA">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spacing w:val="-1"/>
                <w:kern w:val="0"/>
                <w:szCs w:val="21"/>
                <w:highlight w:val="none"/>
              </w:rPr>
              <w:t>备选投标方案</w:t>
            </w:r>
          </w:p>
        </w:tc>
        <w:tc>
          <w:tcPr>
            <w:tcW w:w="4988" w:type="dxa"/>
            <w:vAlign w:val="center"/>
          </w:tcPr>
          <w:p w14:paraId="7B1ADF30">
            <w:pPr>
              <w:wordWrap w:val="0"/>
              <w:autoSpaceDE w:val="0"/>
              <w:autoSpaceDN w:val="0"/>
              <w:spacing w:line="276" w:lineRule="auto"/>
              <w:jc w:val="left"/>
              <w:rPr>
                <w:rFonts w:ascii="宋体" w:hAnsi="宋体" w:eastAsia="宋体" w:cs="宋体"/>
                <w:color w:val="auto"/>
                <w:kern w:val="0"/>
                <w:szCs w:val="21"/>
                <w:highlight w:val="none"/>
              </w:rPr>
            </w:pPr>
            <w:r>
              <w:rPr>
                <w:rFonts w:hint="eastAsia" w:ascii="宋体" w:hAnsi="宋体" w:eastAsia="宋体" w:cs="宋体"/>
                <w:color w:val="auto"/>
                <w:spacing w:val="1"/>
                <w:kern w:val="0"/>
                <w:szCs w:val="21"/>
                <w:highlight w:val="none"/>
              </w:rPr>
              <w:t>除招标文件明确允许提交备选投标方案外，投标人不得提交备选投标方案。</w:t>
            </w:r>
          </w:p>
        </w:tc>
      </w:tr>
      <w:tr w14:paraId="08AC5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7" w:type="dxa"/>
            <w:vMerge w:val="continue"/>
            <w:vAlign w:val="center"/>
          </w:tcPr>
          <w:p w14:paraId="4F581684">
            <w:pPr>
              <w:widowControl/>
              <w:wordWrap w:val="0"/>
              <w:spacing w:line="276" w:lineRule="auto"/>
              <w:jc w:val="left"/>
              <w:rPr>
                <w:rFonts w:ascii="宋体" w:hAnsi="宋体" w:eastAsia="宋体" w:cs="宋体"/>
                <w:color w:val="auto"/>
                <w:szCs w:val="21"/>
                <w:highlight w:val="none"/>
              </w:rPr>
            </w:pPr>
          </w:p>
        </w:tc>
        <w:tc>
          <w:tcPr>
            <w:tcW w:w="850" w:type="dxa"/>
            <w:vMerge w:val="continue"/>
            <w:vAlign w:val="center"/>
          </w:tcPr>
          <w:p w14:paraId="0164A4AB">
            <w:pPr>
              <w:widowControl/>
              <w:wordWrap w:val="0"/>
              <w:spacing w:line="276" w:lineRule="auto"/>
              <w:jc w:val="left"/>
              <w:rPr>
                <w:rFonts w:ascii="宋体" w:hAnsi="宋体" w:eastAsia="宋体" w:cs="宋体"/>
                <w:color w:val="auto"/>
                <w:szCs w:val="21"/>
                <w:highlight w:val="none"/>
              </w:rPr>
            </w:pPr>
          </w:p>
        </w:tc>
        <w:tc>
          <w:tcPr>
            <w:tcW w:w="2631" w:type="dxa"/>
            <w:vAlign w:val="center"/>
          </w:tcPr>
          <w:p w14:paraId="0D0DD804">
            <w:pPr>
              <w:wordWrap w:val="0"/>
              <w:autoSpaceDE w:val="0"/>
              <w:autoSpaceDN w:val="0"/>
              <w:spacing w:line="276" w:lineRule="auto"/>
              <w:jc w:val="center"/>
              <w:rPr>
                <w:rFonts w:ascii="宋体" w:hAnsi="宋体" w:eastAsia="宋体" w:cs="宋体"/>
                <w:color w:val="auto"/>
                <w:spacing w:val="-1"/>
                <w:kern w:val="0"/>
                <w:szCs w:val="21"/>
                <w:highlight w:val="none"/>
              </w:rPr>
            </w:pPr>
            <w:r>
              <w:rPr>
                <w:rFonts w:hint="eastAsia" w:ascii="宋体" w:hAnsi="宋体" w:eastAsia="宋体" w:cs="宋体"/>
                <w:color w:val="auto"/>
                <w:kern w:val="0"/>
                <w:szCs w:val="21"/>
                <w:highlight w:val="none"/>
              </w:rPr>
              <w:t>投标人硬件特征码</w:t>
            </w:r>
          </w:p>
        </w:tc>
        <w:tc>
          <w:tcPr>
            <w:tcW w:w="4988" w:type="dxa"/>
            <w:vAlign w:val="center"/>
          </w:tcPr>
          <w:p w14:paraId="6724C527">
            <w:pPr>
              <w:wordWrap w:val="0"/>
              <w:autoSpaceDE w:val="0"/>
              <w:autoSpaceDN w:val="0"/>
              <w:spacing w:line="276" w:lineRule="auto"/>
              <w:jc w:val="left"/>
              <w:rPr>
                <w:rFonts w:ascii="宋体" w:hAnsi="宋体" w:eastAsia="宋体" w:cs="宋体"/>
                <w:color w:val="auto"/>
                <w:spacing w:val="1"/>
                <w:kern w:val="0"/>
                <w:szCs w:val="21"/>
                <w:highlight w:val="none"/>
              </w:rPr>
            </w:pPr>
            <w:r>
              <w:rPr>
                <w:rFonts w:hint="eastAsia" w:ascii="宋体" w:hAnsi="宋体" w:eastAsia="宋体" w:cs="宋体"/>
                <w:color w:val="auto"/>
                <w:kern w:val="0"/>
                <w:szCs w:val="21"/>
                <w:highlight w:val="none"/>
              </w:rPr>
              <w:t>投标人与其他投标人加密打包投标文件硬件特征码不一致，以</w:t>
            </w:r>
            <w:r>
              <w:rPr>
                <w:rFonts w:hint="eastAsia" w:ascii="宋体" w:hAnsi="宋体" w:eastAsia="宋体" w:cs="宋体"/>
                <w:color w:val="auto"/>
                <w:kern w:val="0"/>
                <w:szCs w:val="21"/>
                <w:highlight w:val="none"/>
                <w:u w:val="single"/>
              </w:rPr>
              <w:t>广州交易集团有限公司（广州公共资源交易中心）</w:t>
            </w:r>
            <w:r>
              <w:rPr>
                <w:rFonts w:hint="eastAsia" w:ascii="宋体" w:hAnsi="宋体" w:eastAsia="宋体" w:cs="宋体"/>
                <w:color w:val="auto"/>
                <w:kern w:val="0"/>
                <w:szCs w:val="21"/>
                <w:highlight w:val="none"/>
              </w:rPr>
              <w:t>交易平台开标系统的检索信息为准。</w:t>
            </w:r>
          </w:p>
        </w:tc>
      </w:tr>
      <w:tr w14:paraId="73F16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7" w:type="dxa"/>
            <w:vMerge w:val="restart"/>
            <w:vAlign w:val="center"/>
          </w:tcPr>
          <w:p w14:paraId="57355B99">
            <w:pPr>
              <w:widowControl/>
              <w:wordWrap w:val="0"/>
              <w:spacing w:line="276"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2.1.2</w:t>
            </w:r>
          </w:p>
        </w:tc>
        <w:tc>
          <w:tcPr>
            <w:tcW w:w="850" w:type="dxa"/>
            <w:vMerge w:val="restart"/>
            <w:vAlign w:val="center"/>
          </w:tcPr>
          <w:p w14:paraId="3507E303">
            <w:pPr>
              <w:widowControl/>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资格评审标准</w:t>
            </w:r>
          </w:p>
        </w:tc>
        <w:tc>
          <w:tcPr>
            <w:tcW w:w="2631" w:type="dxa"/>
            <w:vAlign w:val="center"/>
          </w:tcPr>
          <w:p w14:paraId="0A9CA92F">
            <w:pPr>
              <w:wordWrap w:val="0"/>
              <w:autoSpaceDE w:val="0"/>
              <w:autoSpaceDN w:val="0"/>
              <w:spacing w:line="276" w:lineRule="auto"/>
              <w:jc w:val="center"/>
              <w:rPr>
                <w:rFonts w:ascii="宋体" w:hAnsi="宋体" w:eastAsia="宋体" w:cs="宋体"/>
                <w:color w:val="auto"/>
                <w:spacing w:val="-1"/>
                <w:kern w:val="0"/>
                <w:szCs w:val="21"/>
                <w:highlight w:val="none"/>
              </w:rPr>
            </w:pPr>
            <w:r>
              <w:rPr>
                <w:rFonts w:hint="eastAsia" w:ascii="宋体" w:hAnsi="宋体" w:eastAsia="宋体" w:cs="宋体"/>
                <w:color w:val="auto"/>
                <w:spacing w:val="-1"/>
                <w:kern w:val="0"/>
                <w:szCs w:val="21"/>
                <w:highlight w:val="none"/>
              </w:rPr>
              <w:t>营业执照和组织机构代码证</w:t>
            </w:r>
          </w:p>
        </w:tc>
        <w:tc>
          <w:tcPr>
            <w:tcW w:w="4988" w:type="dxa"/>
            <w:vAlign w:val="center"/>
          </w:tcPr>
          <w:p w14:paraId="3713214E">
            <w:pPr>
              <w:wordWrap w:val="0"/>
              <w:autoSpaceDE w:val="0"/>
              <w:autoSpaceDN w:val="0"/>
              <w:spacing w:line="276" w:lineRule="auto"/>
              <w:jc w:val="left"/>
              <w:rPr>
                <w:rFonts w:ascii="宋体" w:hAnsi="宋体" w:eastAsia="宋体" w:cs="宋体"/>
                <w:color w:val="auto"/>
                <w:spacing w:val="1"/>
                <w:kern w:val="0"/>
                <w:szCs w:val="21"/>
                <w:highlight w:val="none"/>
              </w:rPr>
            </w:pPr>
            <w:r>
              <w:rPr>
                <w:rFonts w:hint="eastAsia" w:ascii="宋体" w:hAnsi="宋体" w:eastAsia="宋体" w:cs="宋体"/>
                <w:color w:val="auto"/>
                <w:kern w:val="0"/>
                <w:szCs w:val="21"/>
                <w:highlight w:val="none"/>
              </w:rPr>
              <w:t>符合第二章“投标人须知”第3.5.1项规定，具备有效的营业执照和组织机构代码证。按照“三证合一”或“五证合一”登记制度进行登记的投标人，可仅提供营业执照或事业单位法人证书。</w:t>
            </w:r>
          </w:p>
        </w:tc>
      </w:tr>
      <w:tr w14:paraId="04B2D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7" w:type="dxa"/>
            <w:vMerge w:val="continue"/>
            <w:vAlign w:val="center"/>
          </w:tcPr>
          <w:p w14:paraId="100D26DD">
            <w:pPr>
              <w:widowControl/>
              <w:wordWrap w:val="0"/>
              <w:spacing w:line="276" w:lineRule="auto"/>
              <w:jc w:val="left"/>
              <w:rPr>
                <w:rFonts w:ascii="宋体" w:hAnsi="宋体" w:eastAsia="宋体" w:cs="宋体"/>
                <w:color w:val="auto"/>
                <w:szCs w:val="21"/>
                <w:highlight w:val="none"/>
              </w:rPr>
            </w:pPr>
          </w:p>
        </w:tc>
        <w:tc>
          <w:tcPr>
            <w:tcW w:w="850" w:type="dxa"/>
            <w:vMerge w:val="continue"/>
            <w:vAlign w:val="center"/>
          </w:tcPr>
          <w:p w14:paraId="6398AF58">
            <w:pPr>
              <w:widowControl/>
              <w:wordWrap w:val="0"/>
              <w:spacing w:line="276" w:lineRule="auto"/>
              <w:jc w:val="left"/>
              <w:rPr>
                <w:rFonts w:ascii="宋体" w:hAnsi="宋体" w:eastAsia="宋体" w:cs="宋体"/>
                <w:color w:val="auto"/>
                <w:szCs w:val="21"/>
                <w:highlight w:val="none"/>
              </w:rPr>
            </w:pPr>
          </w:p>
        </w:tc>
        <w:tc>
          <w:tcPr>
            <w:tcW w:w="2631" w:type="dxa"/>
            <w:vAlign w:val="center"/>
          </w:tcPr>
          <w:p w14:paraId="738BB29C">
            <w:pPr>
              <w:wordWrap w:val="0"/>
              <w:autoSpaceDE w:val="0"/>
              <w:autoSpaceDN w:val="0"/>
              <w:spacing w:line="276" w:lineRule="auto"/>
              <w:jc w:val="center"/>
              <w:rPr>
                <w:rFonts w:ascii="宋体" w:hAnsi="宋体" w:eastAsia="宋体" w:cs="宋体"/>
                <w:color w:val="auto"/>
                <w:spacing w:val="-1"/>
                <w:kern w:val="0"/>
                <w:szCs w:val="21"/>
                <w:highlight w:val="none"/>
              </w:rPr>
            </w:pPr>
            <w:r>
              <w:rPr>
                <w:rFonts w:hint="eastAsia" w:ascii="宋体" w:hAnsi="宋体" w:eastAsia="宋体" w:cs="宋体"/>
                <w:color w:val="auto"/>
                <w:spacing w:val="-1"/>
                <w:kern w:val="0"/>
                <w:szCs w:val="21"/>
                <w:highlight w:val="none"/>
              </w:rPr>
              <w:t>资质要求</w:t>
            </w:r>
          </w:p>
        </w:tc>
        <w:tc>
          <w:tcPr>
            <w:tcW w:w="4988" w:type="dxa"/>
            <w:vAlign w:val="center"/>
          </w:tcPr>
          <w:p w14:paraId="514FFD3D">
            <w:pPr>
              <w:wordWrap w:val="0"/>
              <w:autoSpaceDE w:val="0"/>
              <w:autoSpaceDN w:val="0"/>
              <w:spacing w:line="276" w:lineRule="auto"/>
              <w:jc w:val="left"/>
              <w:rPr>
                <w:rFonts w:ascii="宋体" w:hAnsi="宋体" w:eastAsia="宋体" w:cs="宋体"/>
                <w:color w:val="auto"/>
                <w:spacing w:val="1"/>
                <w:kern w:val="0"/>
                <w:szCs w:val="21"/>
                <w:highlight w:val="none"/>
              </w:rPr>
            </w:pPr>
            <w:r>
              <w:rPr>
                <w:rFonts w:hint="eastAsia" w:ascii="宋体" w:hAnsi="宋体" w:eastAsia="宋体" w:cs="宋体"/>
                <w:color w:val="auto"/>
                <w:kern w:val="0"/>
                <w:szCs w:val="21"/>
                <w:highlight w:val="none"/>
              </w:rPr>
              <w:t>符合第二章“投标人须知”第1.4.1项规定</w:t>
            </w:r>
          </w:p>
        </w:tc>
      </w:tr>
      <w:tr w14:paraId="137FD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7" w:type="dxa"/>
            <w:vMerge w:val="continue"/>
            <w:vAlign w:val="center"/>
          </w:tcPr>
          <w:p w14:paraId="5CC80E84">
            <w:pPr>
              <w:widowControl/>
              <w:wordWrap w:val="0"/>
              <w:spacing w:line="276" w:lineRule="auto"/>
              <w:jc w:val="left"/>
              <w:rPr>
                <w:rFonts w:ascii="宋体" w:hAnsi="宋体" w:eastAsia="宋体" w:cs="宋体"/>
                <w:color w:val="auto"/>
                <w:szCs w:val="21"/>
                <w:highlight w:val="none"/>
              </w:rPr>
            </w:pPr>
          </w:p>
        </w:tc>
        <w:tc>
          <w:tcPr>
            <w:tcW w:w="850" w:type="dxa"/>
            <w:vMerge w:val="continue"/>
            <w:vAlign w:val="center"/>
          </w:tcPr>
          <w:p w14:paraId="01E1D6F7">
            <w:pPr>
              <w:widowControl/>
              <w:wordWrap w:val="0"/>
              <w:spacing w:line="276" w:lineRule="auto"/>
              <w:jc w:val="left"/>
              <w:rPr>
                <w:rFonts w:ascii="宋体" w:hAnsi="宋体" w:eastAsia="宋体" w:cs="宋体"/>
                <w:color w:val="auto"/>
                <w:szCs w:val="21"/>
                <w:highlight w:val="none"/>
              </w:rPr>
            </w:pPr>
          </w:p>
        </w:tc>
        <w:tc>
          <w:tcPr>
            <w:tcW w:w="2631" w:type="dxa"/>
            <w:vAlign w:val="center"/>
          </w:tcPr>
          <w:p w14:paraId="5000829E">
            <w:pPr>
              <w:wordWrap w:val="0"/>
              <w:autoSpaceDE w:val="0"/>
              <w:autoSpaceDN w:val="0"/>
              <w:spacing w:line="276" w:lineRule="auto"/>
              <w:jc w:val="center"/>
              <w:rPr>
                <w:rFonts w:ascii="宋体" w:hAnsi="宋体" w:eastAsia="宋体" w:cs="宋体"/>
                <w:color w:val="auto"/>
                <w:spacing w:val="-1"/>
                <w:kern w:val="0"/>
                <w:szCs w:val="21"/>
                <w:highlight w:val="none"/>
              </w:rPr>
            </w:pPr>
            <w:r>
              <w:rPr>
                <w:rFonts w:hint="eastAsia" w:ascii="宋体" w:hAnsi="宋体" w:eastAsia="宋体" w:cs="宋体"/>
                <w:color w:val="auto"/>
                <w:spacing w:val="-1"/>
                <w:kern w:val="0"/>
                <w:szCs w:val="21"/>
                <w:highlight w:val="none"/>
              </w:rPr>
              <w:t>项目负责人</w:t>
            </w:r>
          </w:p>
        </w:tc>
        <w:tc>
          <w:tcPr>
            <w:tcW w:w="4988" w:type="dxa"/>
            <w:vAlign w:val="center"/>
          </w:tcPr>
          <w:p w14:paraId="3E9FCCC7">
            <w:pPr>
              <w:wordWrap w:val="0"/>
              <w:autoSpaceDE w:val="0"/>
              <w:autoSpaceDN w:val="0"/>
              <w:spacing w:line="276" w:lineRule="auto"/>
              <w:jc w:val="left"/>
              <w:rPr>
                <w:rFonts w:ascii="宋体" w:hAnsi="宋体" w:eastAsia="宋体" w:cs="宋体"/>
                <w:color w:val="auto"/>
                <w:spacing w:val="1"/>
                <w:kern w:val="0"/>
                <w:szCs w:val="21"/>
                <w:highlight w:val="none"/>
              </w:rPr>
            </w:pPr>
            <w:r>
              <w:rPr>
                <w:rFonts w:hint="eastAsia" w:ascii="宋体" w:hAnsi="宋体" w:eastAsia="宋体" w:cs="宋体"/>
                <w:color w:val="auto"/>
                <w:kern w:val="0"/>
                <w:szCs w:val="21"/>
                <w:highlight w:val="none"/>
              </w:rPr>
              <w:t>符合第二章“投标人须知”第1.4.1项规定</w:t>
            </w:r>
          </w:p>
        </w:tc>
      </w:tr>
      <w:tr w14:paraId="743D4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7" w:type="dxa"/>
            <w:vMerge w:val="continue"/>
            <w:vAlign w:val="center"/>
          </w:tcPr>
          <w:p w14:paraId="2A3E7A3B">
            <w:pPr>
              <w:widowControl/>
              <w:wordWrap w:val="0"/>
              <w:spacing w:line="276" w:lineRule="auto"/>
              <w:jc w:val="left"/>
              <w:rPr>
                <w:rFonts w:ascii="宋体" w:hAnsi="宋体" w:eastAsia="宋体" w:cs="宋体"/>
                <w:color w:val="auto"/>
                <w:szCs w:val="21"/>
                <w:highlight w:val="none"/>
              </w:rPr>
            </w:pPr>
          </w:p>
        </w:tc>
        <w:tc>
          <w:tcPr>
            <w:tcW w:w="850" w:type="dxa"/>
            <w:vMerge w:val="continue"/>
            <w:vAlign w:val="center"/>
          </w:tcPr>
          <w:p w14:paraId="39E3E574">
            <w:pPr>
              <w:widowControl/>
              <w:wordWrap w:val="0"/>
              <w:spacing w:line="276" w:lineRule="auto"/>
              <w:jc w:val="left"/>
              <w:rPr>
                <w:rFonts w:ascii="宋体" w:hAnsi="宋体" w:eastAsia="宋体" w:cs="宋体"/>
                <w:color w:val="auto"/>
                <w:szCs w:val="21"/>
                <w:highlight w:val="none"/>
              </w:rPr>
            </w:pPr>
          </w:p>
        </w:tc>
        <w:tc>
          <w:tcPr>
            <w:tcW w:w="2631" w:type="dxa"/>
            <w:vAlign w:val="center"/>
          </w:tcPr>
          <w:p w14:paraId="76E65992">
            <w:pPr>
              <w:wordWrap w:val="0"/>
              <w:autoSpaceDE w:val="0"/>
              <w:autoSpaceDN w:val="0"/>
              <w:spacing w:line="276" w:lineRule="auto"/>
              <w:jc w:val="center"/>
              <w:rPr>
                <w:rFonts w:ascii="宋体" w:hAnsi="宋体" w:eastAsia="宋体" w:cs="宋体"/>
                <w:color w:val="auto"/>
                <w:spacing w:val="-1"/>
                <w:kern w:val="0"/>
                <w:szCs w:val="21"/>
                <w:highlight w:val="none"/>
              </w:rPr>
            </w:pPr>
            <w:r>
              <w:rPr>
                <w:rFonts w:hint="eastAsia" w:ascii="宋体" w:hAnsi="宋体" w:eastAsia="宋体" w:cs="宋体"/>
                <w:color w:val="auto"/>
                <w:spacing w:val="-1"/>
                <w:kern w:val="0"/>
                <w:szCs w:val="21"/>
                <w:highlight w:val="none"/>
              </w:rPr>
              <w:t>其他要求</w:t>
            </w:r>
          </w:p>
        </w:tc>
        <w:tc>
          <w:tcPr>
            <w:tcW w:w="4988" w:type="dxa"/>
            <w:vAlign w:val="center"/>
          </w:tcPr>
          <w:p w14:paraId="7E072C59">
            <w:pPr>
              <w:wordWrap w:val="0"/>
              <w:autoSpaceDE w:val="0"/>
              <w:autoSpaceDN w:val="0"/>
              <w:spacing w:line="276" w:lineRule="auto"/>
              <w:jc w:val="left"/>
              <w:rPr>
                <w:rFonts w:ascii="宋体" w:hAnsi="宋体" w:eastAsia="宋体" w:cs="宋体"/>
                <w:color w:val="auto"/>
                <w:spacing w:val="1"/>
                <w:kern w:val="0"/>
                <w:szCs w:val="21"/>
                <w:highlight w:val="none"/>
              </w:rPr>
            </w:pPr>
            <w:r>
              <w:rPr>
                <w:rFonts w:hint="eastAsia" w:ascii="宋体" w:hAnsi="宋体" w:eastAsia="宋体" w:cs="宋体"/>
                <w:color w:val="auto"/>
                <w:kern w:val="0"/>
                <w:szCs w:val="21"/>
                <w:highlight w:val="none"/>
              </w:rPr>
              <w:t>符合第二章“投标人须知”第1.4.1项规定</w:t>
            </w:r>
          </w:p>
        </w:tc>
      </w:tr>
      <w:tr w14:paraId="36B67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7" w:type="dxa"/>
            <w:vMerge w:val="continue"/>
            <w:vAlign w:val="center"/>
          </w:tcPr>
          <w:p w14:paraId="6E802FEE">
            <w:pPr>
              <w:widowControl/>
              <w:wordWrap w:val="0"/>
              <w:spacing w:line="276" w:lineRule="auto"/>
              <w:jc w:val="left"/>
              <w:rPr>
                <w:rFonts w:ascii="宋体" w:hAnsi="宋体" w:eastAsia="宋体" w:cs="宋体"/>
                <w:color w:val="auto"/>
                <w:szCs w:val="21"/>
                <w:highlight w:val="none"/>
              </w:rPr>
            </w:pPr>
          </w:p>
        </w:tc>
        <w:tc>
          <w:tcPr>
            <w:tcW w:w="850" w:type="dxa"/>
            <w:vMerge w:val="continue"/>
            <w:vAlign w:val="center"/>
          </w:tcPr>
          <w:p w14:paraId="46BBA9E2">
            <w:pPr>
              <w:widowControl/>
              <w:wordWrap w:val="0"/>
              <w:spacing w:line="276" w:lineRule="auto"/>
              <w:jc w:val="left"/>
              <w:rPr>
                <w:rFonts w:ascii="宋体" w:hAnsi="宋体" w:eastAsia="宋体" w:cs="宋体"/>
                <w:color w:val="auto"/>
                <w:szCs w:val="21"/>
                <w:highlight w:val="none"/>
              </w:rPr>
            </w:pPr>
          </w:p>
        </w:tc>
        <w:tc>
          <w:tcPr>
            <w:tcW w:w="2631" w:type="dxa"/>
            <w:vAlign w:val="center"/>
          </w:tcPr>
          <w:p w14:paraId="287116A6">
            <w:pPr>
              <w:wordWrap w:val="0"/>
              <w:autoSpaceDE w:val="0"/>
              <w:autoSpaceDN w:val="0"/>
              <w:spacing w:line="276" w:lineRule="auto"/>
              <w:jc w:val="center"/>
              <w:rPr>
                <w:rFonts w:ascii="宋体" w:hAnsi="宋体" w:eastAsia="宋体" w:cs="宋体"/>
                <w:color w:val="auto"/>
                <w:spacing w:val="-1"/>
                <w:kern w:val="0"/>
                <w:szCs w:val="21"/>
                <w:highlight w:val="none"/>
              </w:rPr>
            </w:pPr>
            <w:r>
              <w:rPr>
                <w:rFonts w:hint="eastAsia" w:ascii="宋体" w:hAnsi="宋体" w:eastAsia="宋体" w:cs="宋体"/>
                <w:color w:val="auto"/>
                <w:spacing w:val="-1"/>
                <w:kern w:val="0"/>
                <w:szCs w:val="21"/>
                <w:highlight w:val="none"/>
              </w:rPr>
              <w:t>联合体投标人</w:t>
            </w:r>
          </w:p>
        </w:tc>
        <w:tc>
          <w:tcPr>
            <w:tcW w:w="4988" w:type="dxa"/>
            <w:vAlign w:val="center"/>
          </w:tcPr>
          <w:p w14:paraId="157EA617">
            <w:pPr>
              <w:wordWrap w:val="0"/>
              <w:autoSpaceDE w:val="0"/>
              <w:autoSpaceDN w:val="0"/>
              <w:spacing w:line="276"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符合第二章“投标人须知”第1.4.2项规定</w:t>
            </w:r>
          </w:p>
        </w:tc>
      </w:tr>
      <w:tr w14:paraId="03812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7" w:type="dxa"/>
            <w:vMerge w:val="continue"/>
            <w:vAlign w:val="center"/>
          </w:tcPr>
          <w:p w14:paraId="1097C347">
            <w:pPr>
              <w:widowControl/>
              <w:wordWrap w:val="0"/>
              <w:spacing w:line="276" w:lineRule="auto"/>
              <w:jc w:val="left"/>
              <w:rPr>
                <w:rFonts w:ascii="宋体" w:hAnsi="宋体" w:eastAsia="宋体" w:cs="宋体"/>
                <w:color w:val="auto"/>
                <w:szCs w:val="21"/>
                <w:highlight w:val="none"/>
              </w:rPr>
            </w:pPr>
          </w:p>
        </w:tc>
        <w:tc>
          <w:tcPr>
            <w:tcW w:w="850" w:type="dxa"/>
            <w:vMerge w:val="continue"/>
            <w:vAlign w:val="center"/>
          </w:tcPr>
          <w:p w14:paraId="292B3B75">
            <w:pPr>
              <w:widowControl/>
              <w:wordWrap w:val="0"/>
              <w:spacing w:line="276" w:lineRule="auto"/>
              <w:jc w:val="left"/>
              <w:rPr>
                <w:rFonts w:ascii="宋体" w:hAnsi="宋体" w:eastAsia="宋体" w:cs="宋体"/>
                <w:color w:val="auto"/>
                <w:szCs w:val="21"/>
                <w:highlight w:val="none"/>
              </w:rPr>
            </w:pPr>
          </w:p>
        </w:tc>
        <w:tc>
          <w:tcPr>
            <w:tcW w:w="2631" w:type="dxa"/>
            <w:vAlign w:val="center"/>
          </w:tcPr>
          <w:p w14:paraId="7A94C7F9">
            <w:pPr>
              <w:wordWrap w:val="0"/>
              <w:autoSpaceDE w:val="0"/>
              <w:autoSpaceDN w:val="0"/>
              <w:spacing w:line="276" w:lineRule="auto"/>
              <w:jc w:val="center"/>
              <w:rPr>
                <w:rFonts w:ascii="宋体" w:hAnsi="宋体" w:eastAsia="宋体" w:cs="宋体"/>
                <w:color w:val="auto"/>
                <w:spacing w:val="-1"/>
                <w:kern w:val="0"/>
                <w:szCs w:val="21"/>
                <w:highlight w:val="none"/>
              </w:rPr>
            </w:pPr>
            <w:r>
              <w:rPr>
                <w:rFonts w:hint="eastAsia" w:ascii="宋体" w:hAnsi="宋体" w:eastAsia="宋体" w:cs="宋体"/>
                <w:color w:val="auto"/>
                <w:spacing w:val="-1"/>
                <w:kern w:val="0"/>
                <w:szCs w:val="21"/>
                <w:highlight w:val="none"/>
              </w:rPr>
              <w:t>不存在禁止投标的情形</w:t>
            </w:r>
          </w:p>
        </w:tc>
        <w:tc>
          <w:tcPr>
            <w:tcW w:w="4988" w:type="dxa"/>
            <w:vAlign w:val="center"/>
          </w:tcPr>
          <w:p w14:paraId="38C89ECF">
            <w:pPr>
              <w:wordWrap w:val="0"/>
              <w:autoSpaceDE w:val="0"/>
              <w:autoSpaceDN w:val="0"/>
              <w:spacing w:line="276"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不存在第二章“投标人须知”第1.4.3项规定的任何一种情形（按投标人提供的《投标人声明》内容进行评审）。</w:t>
            </w:r>
          </w:p>
        </w:tc>
      </w:tr>
      <w:tr w14:paraId="3A7E5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7" w:type="dxa"/>
            <w:vMerge w:val="continue"/>
            <w:vAlign w:val="center"/>
          </w:tcPr>
          <w:p w14:paraId="0DE9C8D9">
            <w:pPr>
              <w:widowControl/>
              <w:wordWrap w:val="0"/>
              <w:spacing w:line="276" w:lineRule="auto"/>
              <w:jc w:val="left"/>
              <w:rPr>
                <w:rFonts w:ascii="宋体" w:hAnsi="宋体" w:eastAsia="宋体" w:cs="宋体"/>
                <w:color w:val="auto"/>
                <w:szCs w:val="21"/>
                <w:highlight w:val="none"/>
              </w:rPr>
            </w:pPr>
          </w:p>
        </w:tc>
        <w:tc>
          <w:tcPr>
            <w:tcW w:w="850" w:type="dxa"/>
            <w:vMerge w:val="continue"/>
            <w:vAlign w:val="center"/>
          </w:tcPr>
          <w:p w14:paraId="5CCAE04E">
            <w:pPr>
              <w:widowControl/>
              <w:wordWrap w:val="0"/>
              <w:spacing w:line="276" w:lineRule="auto"/>
              <w:jc w:val="left"/>
              <w:rPr>
                <w:rFonts w:ascii="宋体" w:hAnsi="宋体" w:eastAsia="宋体" w:cs="宋体"/>
                <w:color w:val="auto"/>
                <w:szCs w:val="21"/>
                <w:highlight w:val="none"/>
              </w:rPr>
            </w:pPr>
          </w:p>
        </w:tc>
        <w:tc>
          <w:tcPr>
            <w:tcW w:w="2631" w:type="dxa"/>
            <w:vAlign w:val="center"/>
          </w:tcPr>
          <w:p w14:paraId="6E0C085E">
            <w:pPr>
              <w:pStyle w:val="127"/>
              <w:kinsoku w:val="0"/>
              <w:overflowPunct w:val="0"/>
              <w:spacing w:before="71" w:line="276" w:lineRule="auto"/>
              <w:jc w:val="both"/>
              <w:rPr>
                <w:rFonts w:ascii="宋体" w:hAnsi="宋体" w:cs="宋体"/>
                <w:color w:val="auto"/>
                <w:spacing w:val="-1"/>
                <w:sz w:val="21"/>
                <w:szCs w:val="21"/>
                <w:highlight w:val="none"/>
              </w:rPr>
            </w:pPr>
            <w:r>
              <w:rPr>
                <w:rFonts w:hint="eastAsia" w:ascii="宋体" w:hAnsi="宋体" w:cs="宋体"/>
                <w:color w:val="auto"/>
                <w:sz w:val="21"/>
                <w:szCs w:val="21"/>
                <w:highlight w:val="none"/>
              </w:rPr>
              <w:t>在投标截止时间前，投标人</w:t>
            </w:r>
            <w:r>
              <w:rPr>
                <w:rFonts w:hint="eastAsia" w:ascii="宋体" w:hAnsi="宋体" w:cs="宋体"/>
                <w:color w:val="auto"/>
                <w:sz w:val="21"/>
                <w:szCs w:val="21"/>
                <w:highlight w:val="none"/>
                <w:u w:val="single"/>
              </w:rPr>
              <w:t>（如为联合体，则联合体各方）</w:t>
            </w:r>
            <w:r>
              <w:rPr>
                <w:rFonts w:hint="eastAsia" w:ascii="宋体" w:hAnsi="宋体" w:cs="宋体"/>
                <w:color w:val="auto"/>
                <w:sz w:val="21"/>
                <w:szCs w:val="21"/>
                <w:highlight w:val="none"/>
              </w:rPr>
              <w:t>未被列入拖欠农民工工资失信联合惩戒对象名单。</w:t>
            </w:r>
          </w:p>
        </w:tc>
        <w:tc>
          <w:tcPr>
            <w:tcW w:w="4988" w:type="dxa"/>
            <w:vAlign w:val="center"/>
          </w:tcPr>
          <w:p w14:paraId="5EA9FDE6">
            <w:pPr>
              <w:pStyle w:val="127"/>
              <w:kinsoku w:val="0"/>
              <w:overflowPunct w:val="0"/>
              <w:spacing w:before="71" w:line="276" w:lineRule="auto"/>
              <w:jc w:val="both"/>
              <w:rPr>
                <w:rFonts w:ascii="宋体" w:hAnsi="宋体" w:cs="宋体"/>
                <w:color w:val="auto"/>
                <w:sz w:val="21"/>
                <w:szCs w:val="21"/>
                <w:highlight w:val="none"/>
              </w:rPr>
            </w:pPr>
            <w:r>
              <w:rPr>
                <w:rFonts w:hint="eastAsia" w:ascii="宋体" w:hAnsi="宋体" w:cs="宋体"/>
                <w:color w:val="auto"/>
                <w:sz w:val="21"/>
                <w:szCs w:val="21"/>
                <w:highlight w:val="none"/>
              </w:rPr>
              <w:t>投标人无需提供资料，按</w:t>
            </w:r>
            <w:r>
              <w:rPr>
                <w:rFonts w:hint="eastAsia" w:ascii="宋体" w:hAnsi="宋体" w:cs="宋体"/>
                <w:color w:val="auto"/>
                <w:sz w:val="21"/>
                <w:szCs w:val="21"/>
                <w:highlight w:val="none"/>
                <w:u w:val="single"/>
              </w:rPr>
              <w:t>投标截止时间</w:t>
            </w:r>
            <w:r>
              <w:rPr>
                <w:rFonts w:hint="eastAsia" w:ascii="宋体" w:hAnsi="宋体" w:cs="宋体"/>
                <w:color w:val="auto"/>
                <w:sz w:val="21"/>
                <w:szCs w:val="21"/>
                <w:highlight w:val="none"/>
              </w:rPr>
              <w:t>交易系统比对的结果进行评审。</w:t>
            </w:r>
          </w:p>
        </w:tc>
      </w:tr>
      <w:tr w14:paraId="4BC1C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7" w:type="dxa"/>
            <w:vMerge w:val="continue"/>
            <w:vAlign w:val="center"/>
          </w:tcPr>
          <w:p w14:paraId="1B981811">
            <w:pPr>
              <w:widowControl/>
              <w:wordWrap w:val="0"/>
              <w:spacing w:line="276" w:lineRule="auto"/>
              <w:jc w:val="left"/>
              <w:rPr>
                <w:rFonts w:ascii="宋体" w:hAnsi="宋体" w:eastAsia="宋体" w:cs="宋体"/>
                <w:color w:val="auto"/>
                <w:szCs w:val="21"/>
                <w:highlight w:val="none"/>
              </w:rPr>
            </w:pPr>
          </w:p>
        </w:tc>
        <w:tc>
          <w:tcPr>
            <w:tcW w:w="850" w:type="dxa"/>
            <w:vMerge w:val="continue"/>
            <w:vAlign w:val="center"/>
          </w:tcPr>
          <w:p w14:paraId="34E00C08">
            <w:pPr>
              <w:widowControl/>
              <w:wordWrap w:val="0"/>
              <w:spacing w:line="276" w:lineRule="auto"/>
              <w:jc w:val="left"/>
              <w:rPr>
                <w:rFonts w:ascii="宋体" w:hAnsi="宋体" w:eastAsia="宋体" w:cs="宋体"/>
                <w:color w:val="auto"/>
                <w:szCs w:val="21"/>
                <w:highlight w:val="none"/>
              </w:rPr>
            </w:pPr>
          </w:p>
        </w:tc>
        <w:tc>
          <w:tcPr>
            <w:tcW w:w="2631" w:type="dxa"/>
            <w:vAlign w:val="center"/>
          </w:tcPr>
          <w:p w14:paraId="123A702B">
            <w:pPr>
              <w:pStyle w:val="127"/>
              <w:kinsoku w:val="0"/>
              <w:overflowPunct w:val="0"/>
              <w:spacing w:before="71" w:line="276" w:lineRule="auto"/>
              <w:jc w:val="both"/>
              <w:rPr>
                <w:rFonts w:ascii="宋体" w:hAnsi="宋体" w:cs="宋体"/>
                <w:color w:val="auto"/>
                <w:spacing w:val="-1"/>
                <w:sz w:val="21"/>
                <w:szCs w:val="21"/>
                <w:highlight w:val="none"/>
              </w:rPr>
            </w:pPr>
            <w:r>
              <w:rPr>
                <w:rFonts w:hint="eastAsia" w:ascii="宋体" w:hAnsi="宋体" w:cs="宋体"/>
                <w:color w:val="auto"/>
                <w:sz w:val="21"/>
                <w:szCs w:val="21"/>
                <w:highlight w:val="none"/>
              </w:rPr>
              <w:t>政府投资项目，在投标截止时间前，投标人</w:t>
            </w:r>
            <w:r>
              <w:rPr>
                <w:rFonts w:hint="eastAsia" w:ascii="宋体" w:hAnsi="宋体" w:cs="宋体"/>
                <w:color w:val="auto"/>
                <w:sz w:val="21"/>
                <w:szCs w:val="21"/>
                <w:highlight w:val="none"/>
                <w:u w:val="single"/>
              </w:rPr>
              <w:t>（如为联合体，则联合体各方）</w:t>
            </w:r>
            <w:r>
              <w:rPr>
                <w:rFonts w:hint="eastAsia" w:ascii="宋体" w:hAnsi="宋体" w:cs="宋体"/>
                <w:color w:val="auto"/>
                <w:sz w:val="21"/>
                <w:szCs w:val="21"/>
                <w:highlight w:val="none"/>
              </w:rPr>
              <w:t>未被列入“失信被执行人”名单。</w:t>
            </w:r>
          </w:p>
        </w:tc>
        <w:tc>
          <w:tcPr>
            <w:tcW w:w="4988" w:type="dxa"/>
            <w:vAlign w:val="center"/>
          </w:tcPr>
          <w:p w14:paraId="66EDCC41">
            <w:pPr>
              <w:pStyle w:val="127"/>
              <w:kinsoku w:val="0"/>
              <w:overflowPunct w:val="0"/>
              <w:spacing w:before="71" w:line="276" w:lineRule="auto"/>
              <w:jc w:val="both"/>
              <w:rPr>
                <w:rFonts w:ascii="宋体" w:hAnsi="宋体" w:cs="宋体"/>
                <w:color w:val="auto"/>
                <w:sz w:val="21"/>
                <w:szCs w:val="21"/>
                <w:highlight w:val="none"/>
              </w:rPr>
            </w:pPr>
            <w:r>
              <w:rPr>
                <w:rFonts w:hint="eastAsia" w:ascii="宋体" w:hAnsi="宋体" w:cs="宋体"/>
                <w:color w:val="auto"/>
                <w:sz w:val="21"/>
                <w:szCs w:val="21"/>
                <w:highlight w:val="none"/>
              </w:rPr>
              <w:t>投标人无需提供资料，按</w:t>
            </w:r>
            <w:r>
              <w:rPr>
                <w:rFonts w:hint="eastAsia" w:ascii="宋体" w:hAnsi="宋体" w:cs="宋体"/>
                <w:color w:val="auto"/>
                <w:sz w:val="21"/>
                <w:szCs w:val="21"/>
                <w:highlight w:val="none"/>
                <w:u w:val="single"/>
              </w:rPr>
              <w:t>投标截止时间</w:t>
            </w:r>
            <w:r>
              <w:rPr>
                <w:rFonts w:hint="eastAsia" w:ascii="宋体" w:hAnsi="宋体" w:cs="宋体"/>
                <w:color w:val="auto"/>
                <w:sz w:val="21"/>
                <w:szCs w:val="21"/>
                <w:highlight w:val="none"/>
              </w:rPr>
              <w:t>交易系统比对的结果进行评审。</w:t>
            </w:r>
          </w:p>
        </w:tc>
      </w:tr>
      <w:tr w14:paraId="5CA07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7" w:type="dxa"/>
            <w:vMerge w:val="continue"/>
            <w:vAlign w:val="center"/>
          </w:tcPr>
          <w:p w14:paraId="63168367">
            <w:pPr>
              <w:widowControl/>
              <w:wordWrap w:val="0"/>
              <w:spacing w:line="276" w:lineRule="auto"/>
              <w:jc w:val="left"/>
              <w:rPr>
                <w:rFonts w:ascii="宋体" w:hAnsi="宋体" w:eastAsia="宋体" w:cs="宋体"/>
                <w:color w:val="auto"/>
                <w:szCs w:val="21"/>
                <w:highlight w:val="none"/>
              </w:rPr>
            </w:pPr>
          </w:p>
        </w:tc>
        <w:tc>
          <w:tcPr>
            <w:tcW w:w="850" w:type="dxa"/>
            <w:vMerge w:val="continue"/>
            <w:vAlign w:val="center"/>
          </w:tcPr>
          <w:p w14:paraId="71BBF529">
            <w:pPr>
              <w:widowControl/>
              <w:wordWrap w:val="0"/>
              <w:spacing w:line="276" w:lineRule="auto"/>
              <w:jc w:val="left"/>
              <w:rPr>
                <w:rFonts w:ascii="宋体" w:hAnsi="宋体" w:eastAsia="宋体" w:cs="宋体"/>
                <w:color w:val="auto"/>
                <w:szCs w:val="21"/>
                <w:highlight w:val="none"/>
              </w:rPr>
            </w:pPr>
          </w:p>
        </w:tc>
        <w:tc>
          <w:tcPr>
            <w:tcW w:w="2631" w:type="dxa"/>
            <w:vAlign w:val="center"/>
          </w:tcPr>
          <w:p w14:paraId="52B91191">
            <w:pPr>
              <w:pStyle w:val="127"/>
              <w:kinsoku w:val="0"/>
              <w:overflowPunct w:val="0"/>
              <w:spacing w:before="71" w:line="276" w:lineRule="auto"/>
              <w:jc w:val="both"/>
              <w:rPr>
                <w:rFonts w:ascii="宋体" w:hAnsi="宋体" w:cs="宋体"/>
                <w:color w:val="auto"/>
                <w:spacing w:val="-1"/>
                <w:sz w:val="21"/>
                <w:szCs w:val="21"/>
                <w:highlight w:val="none"/>
              </w:rPr>
            </w:pPr>
            <w:r>
              <w:rPr>
                <w:rFonts w:hint="eastAsia" w:ascii="宋体" w:hAnsi="宋体" w:cs="宋体"/>
                <w:color w:val="auto"/>
                <w:sz w:val="21"/>
                <w:szCs w:val="21"/>
                <w:highlight w:val="none"/>
              </w:rPr>
              <w:t>投标人</w:t>
            </w:r>
            <w:r>
              <w:rPr>
                <w:rFonts w:hint="eastAsia" w:ascii="宋体" w:hAnsi="宋体" w:cs="宋体"/>
                <w:color w:val="auto"/>
                <w:sz w:val="21"/>
                <w:szCs w:val="21"/>
                <w:highlight w:val="none"/>
                <w:u w:val="single"/>
              </w:rPr>
              <w:t>（如为联合体，则联合体各方）</w:t>
            </w:r>
            <w:r>
              <w:rPr>
                <w:rFonts w:hint="eastAsia" w:ascii="宋体" w:hAnsi="宋体" w:cs="宋体"/>
                <w:color w:val="auto"/>
                <w:sz w:val="21"/>
                <w:szCs w:val="21"/>
                <w:highlight w:val="none"/>
              </w:rPr>
              <w:t>未在以往工程中因不充分履约行为被本项目招标人书面拒绝投标的。</w:t>
            </w:r>
          </w:p>
        </w:tc>
        <w:tc>
          <w:tcPr>
            <w:tcW w:w="4988" w:type="dxa"/>
            <w:vAlign w:val="center"/>
          </w:tcPr>
          <w:p w14:paraId="20E3C244">
            <w:pPr>
              <w:pStyle w:val="127"/>
              <w:kinsoku w:val="0"/>
              <w:overflowPunct w:val="0"/>
              <w:spacing w:before="71" w:line="276" w:lineRule="auto"/>
              <w:jc w:val="both"/>
              <w:rPr>
                <w:rFonts w:ascii="宋体" w:hAnsi="宋体" w:cs="宋体"/>
                <w:color w:val="auto"/>
                <w:sz w:val="21"/>
                <w:szCs w:val="21"/>
                <w:highlight w:val="none"/>
              </w:rPr>
            </w:pPr>
            <w:r>
              <w:rPr>
                <w:rFonts w:hint="eastAsia" w:ascii="宋体" w:hAnsi="宋体" w:cs="宋体"/>
                <w:color w:val="auto"/>
                <w:sz w:val="21"/>
                <w:szCs w:val="21"/>
                <w:highlight w:val="none"/>
              </w:rPr>
              <w:t>投标人无需提供资料，资格审查时，按招标公告附件 《被招标人拒绝投标的企业名单》进行评审。</w:t>
            </w:r>
          </w:p>
        </w:tc>
      </w:tr>
      <w:tr w14:paraId="77AFA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7" w:type="dxa"/>
            <w:vMerge w:val="restart"/>
            <w:vAlign w:val="center"/>
          </w:tcPr>
          <w:p w14:paraId="12C2146D">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2.1.3（1）</w:t>
            </w:r>
          </w:p>
        </w:tc>
        <w:tc>
          <w:tcPr>
            <w:tcW w:w="850" w:type="dxa"/>
            <w:vMerge w:val="restart"/>
            <w:vAlign w:val="center"/>
          </w:tcPr>
          <w:p w14:paraId="3A964535">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商务文件响应性评审标准</w:t>
            </w:r>
          </w:p>
        </w:tc>
        <w:tc>
          <w:tcPr>
            <w:tcW w:w="2631" w:type="dxa"/>
            <w:vAlign w:val="center"/>
          </w:tcPr>
          <w:p w14:paraId="31E9D128">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投标报价</w:t>
            </w:r>
          </w:p>
        </w:tc>
        <w:tc>
          <w:tcPr>
            <w:tcW w:w="4988" w:type="dxa"/>
            <w:vAlign w:val="center"/>
          </w:tcPr>
          <w:p w14:paraId="7209A945">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符合第二章“投标人须知”第3.2款规定，</w:t>
            </w:r>
            <w:bookmarkStart w:id="201" w:name="OLE_LINK16"/>
            <w:r>
              <w:rPr>
                <w:rFonts w:hint="eastAsia" w:ascii="宋体" w:hAnsi="宋体" w:eastAsia="宋体" w:cs="宋体"/>
                <w:b/>
                <w:color w:val="auto"/>
                <w:szCs w:val="21"/>
                <w:highlight w:val="none"/>
                <w:u w:val="single"/>
              </w:rPr>
              <w:t>已按招标文件第六章“六、勘察设计费报价表”规定的格式填写。</w:t>
            </w:r>
            <w:bookmarkEnd w:id="201"/>
          </w:p>
        </w:tc>
      </w:tr>
      <w:tr w14:paraId="3C0CE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7" w:type="dxa"/>
            <w:vMerge w:val="continue"/>
            <w:vAlign w:val="center"/>
          </w:tcPr>
          <w:p w14:paraId="29F38A8B">
            <w:pPr>
              <w:wordWrap w:val="0"/>
              <w:spacing w:line="276" w:lineRule="auto"/>
              <w:jc w:val="center"/>
              <w:rPr>
                <w:rFonts w:ascii="宋体" w:hAnsi="宋体" w:eastAsia="宋体" w:cs="宋体"/>
                <w:color w:val="auto"/>
                <w:szCs w:val="21"/>
                <w:highlight w:val="none"/>
              </w:rPr>
            </w:pPr>
          </w:p>
        </w:tc>
        <w:tc>
          <w:tcPr>
            <w:tcW w:w="850" w:type="dxa"/>
            <w:vMerge w:val="continue"/>
            <w:vAlign w:val="center"/>
          </w:tcPr>
          <w:p w14:paraId="7F16B25C">
            <w:pPr>
              <w:wordWrap w:val="0"/>
              <w:spacing w:line="276" w:lineRule="auto"/>
              <w:jc w:val="center"/>
              <w:rPr>
                <w:rFonts w:ascii="宋体" w:hAnsi="宋体" w:eastAsia="宋体" w:cs="宋体"/>
                <w:color w:val="auto"/>
                <w:szCs w:val="21"/>
                <w:highlight w:val="none"/>
              </w:rPr>
            </w:pPr>
          </w:p>
        </w:tc>
        <w:tc>
          <w:tcPr>
            <w:tcW w:w="2631" w:type="dxa"/>
            <w:vAlign w:val="center"/>
          </w:tcPr>
          <w:p w14:paraId="24C578A5">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投标内容</w:t>
            </w:r>
          </w:p>
        </w:tc>
        <w:tc>
          <w:tcPr>
            <w:tcW w:w="4988" w:type="dxa"/>
            <w:vAlign w:val="center"/>
          </w:tcPr>
          <w:p w14:paraId="46B22A48">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符合第二章“投标人须知”第1.3.1项规定</w:t>
            </w:r>
          </w:p>
        </w:tc>
      </w:tr>
      <w:tr w14:paraId="5814C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87" w:type="dxa"/>
            <w:vMerge w:val="continue"/>
            <w:vAlign w:val="center"/>
          </w:tcPr>
          <w:p w14:paraId="56C34F17">
            <w:pPr>
              <w:widowControl/>
              <w:wordWrap w:val="0"/>
              <w:spacing w:line="276" w:lineRule="auto"/>
              <w:jc w:val="left"/>
              <w:rPr>
                <w:rFonts w:ascii="宋体" w:hAnsi="宋体" w:eastAsia="宋体" w:cs="宋体"/>
                <w:color w:val="auto"/>
                <w:szCs w:val="21"/>
                <w:highlight w:val="none"/>
              </w:rPr>
            </w:pPr>
          </w:p>
        </w:tc>
        <w:tc>
          <w:tcPr>
            <w:tcW w:w="850" w:type="dxa"/>
            <w:vMerge w:val="continue"/>
            <w:vAlign w:val="center"/>
          </w:tcPr>
          <w:p w14:paraId="1DBE1274">
            <w:pPr>
              <w:widowControl/>
              <w:wordWrap w:val="0"/>
              <w:spacing w:line="276" w:lineRule="auto"/>
              <w:jc w:val="left"/>
              <w:rPr>
                <w:rFonts w:ascii="宋体" w:hAnsi="宋体" w:eastAsia="宋体" w:cs="宋体"/>
                <w:color w:val="auto"/>
                <w:szCs w:val="21"/>
                <w:highlight w:val="none"/>
              </w:rPr>
            </w:pPr>
          </w:p>
        </w:tc>
        <w:tc>
          <w:tcPr>
            <w:tcW w:w="2631" w:type="dxa"/>
            <w:vAlign w:val="center"/>
          </w:tcPr>
          <w:p w14:paraId="1FD6B19A">
            <w:pPr>
              <w:wordWrap w:val="0"/>
              <w:autoSpaceDE w:val="0"/>
              <w:autoSpaceDN w:val="0"/>
              <w:spacing w:line="276" w:lineRule="auto"/>
              <w:jc w:val="center"/>
              <w:rPr>
                <w:rFonts w:ascii="宋体" w:hAnsi="宋体" w:eastAsia="宋体" w:cs="宋体"/>
                <w:color w:val="auto"/>
                <w:kern w:val="0"/>
                <w:szCs w:val="21"/>
                <w:highlight w:val="none"/>
              </w:rPr>
            </w:pPr>
            <w:r>
              <w:rPr>
                <w:rFonts w:hint="eastAsia" w:ascii="宋体" w:hAnsi="宋体" w:eastAsia="宋体" w:cs="宋体"/>
                <w:color w:val="auto"/>
                <w:spacing w:val="-1"/>
                <w:kern w:val="0"/>
                <w:szCs w:val="21"/>
                <w:highlight w:val="none"/>
              </w:rPr>
              <w:t>勘察设计服务期限</w:t>
            </w:r>
          </w:p>
        </w:tc>
        <w:tc>
          <w:tcPr>
            <w:tcW w:w="4988" w:type="dxa"/>
            <w:vAlign w:val="center"/>
          </w:tcPr>
          <w:p w14:paraId="0A682309">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符合第二章“投标人须知”第1.3.2项规定</w:t>
            </w:r>
          </w:p>
        </w:tc>
      </w:tr>
      <w:tr w14:paraId="2D7F2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7" w:type="dxa"/>
            <w:vMerge w:val="continue"/>
            <w:vAlign w:val="center"/>
          </w:tcPr>
          <w:p w14:paraId="30D6FA5A">
            <w:pPr>
              <w:widowControl/>
              <w:wordWrap w:val="0"/>
              <w:spacing w:line="276" w:lineRule="auto"/>
              <w:jc w:val="left"/>
              <w:rPr>
                <w:rFonts w:ascii="宋体" w:hAnsi="宋体" w:eastAsia="宋体" w:cs="宋体"/>
                <w:color w:val="auto"/>
                <w:szCs w:val="21"/>
                <w:highlight w:val="none"/>
              </w:rPr>
            </w:pPr>
          </w:p>
        </w:tc>
        <w:tc>
          <w:tcPr>
            <w:tcW w:w="850" w:type="dxa"/>
            <w:vMerge w:val="continue"/>
            <w:vAlign w:val="center"/>
          </w:tcPr>
          <w:p w14:paraId="424F1940">
            <w:pPr>
              <w:widowControl/>
              <w:wordWrap w:val="0"/>
              <w:spacing w:line="276" w:lineRule="auto"/>
              <w:jc w:val="left"/>
              <w:rPr>
                <w:rFonts w:ascii="宋体" w:hAnsi="宋体" w:eastAsia="宋体" w:cs="宋体"/>
                <w:color w:val="auto"/>
                <w:szCs w:val="21"/>
                <w:highlight w:val="none"/>
              </w:rPr>
            </w:pPr>
          </w:p>
        </w:tc>
        <w:tc>
          <w:tcPr>
            <w:tcW w:w="2631" w:type="dxa"/>
            <w:vAlign w:val="center"/>
          </w:tcPr>
          <w:p w14:paraId="6F887BD2">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质量标准</w:t>
            </w:r>
          </w:p>
        </w:tc>
        <w:tc>
          <w:tcPr>
            <w:tcW w:w="4988" w:type="dxa"/>
            <w:vAlign w:val="center"/>
          </w:tcPr>
          <w:p w14:paraId="620323BE">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符合第二章“投标人须知”第1.3.3项规定</w:t>
            </w:r>
          </w:p>
        </w:tc>
      </w:tr>
      <w:tr w14:paraId="7C7C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7" w:type="dxa"/>
            <w:vMerge w:val="continue"/>
            <w:vAlign w:val="center"/>
          </w:tcPr>
          <w:p w14:paraId="01BAC625">
            <w:pPr>
              <w:widowControl/>
              <w:wordWrap w:val="0"/>
              <w:spacing w:line="276" w:lineRule="auto"/>
              <w:jc w:val="left"/>
              <w:rPr>
                <w:rFonts w:ascii="宋体" w:hAnsi="宋体" w:eastAsia="宋体" w:cs="宋体"/>
                <w:color w:val="auto"/>
                <w:szCs w:val="21"/>
                <w:highlight w:val="none"/>
              </w:rPr>
            </w:pPr>
          </w:p>
        </w:tc>
        <w:tc>
          <w:tcPr>
            <w:tcW w:w="850" w:type="dxa"/>
            <w:vMerge w:val="continue"/>
            <w:vAlign w:val="center"/>
          </w:tcPr>
          <w:p w14:paraId="755030CF">
            <w:pPr>
              <w:widowControl/>
              <w:wordWrap w:val="0"/>
              <w:spacing w:line="276" w:lineRule="auto"/>
              <w:jc w:val="left"/>
              <w:rPr>
                <w:rFonts w:ascii="宋体" w:hAnsi="宋体" w:eastAsia="宋体" w:cs="宋体"/>
                <w:color w:val="auto"/>
                <w:szCs w:val="21"/>
                <w:highlight w:val="none"/>
              </w:rPr>
            </w:pPr>
          </w:p>
        </w:tc>
        <w:tc>
          <w:tcPr>
            <w:tcW w:w="2631" w:type="dxa"/>
            <w:vAlign w:val="center"/>
          </w:tcPr>
          <w:p w14:paraId="206D7E53">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投标有效期</w:t>
            </w:r>
          </w:p>
        </w:tc>
        <w:tc>
          <w:tcPr>
            <w:tcW w:w="4988" w:type="dxa"/>
            <w:vAlign w:val="center"/>
          </w:tcPr>
          <w:p w14:paraId="2393E9C8">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符合第二章“投标人须知”第3.3.1项规定</w:t>
            </w:r>
          </w:p>
        </w:tc>
      </w:tr>
      <w:tr w14:paraId="79327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7" w:type="dxa"/>
            <w:vMerge w:val="continue"/>
            <w:vAlign w:val="center"/>
          </w:tcPr>
          <w:p w14:paraId="491EAD11">
            <w:pPr>
              <w:widowControl/>
              <w:wordWrap w:val="0"/>
              <w:spacing w:line="276" w:lineRule="auto"/>
              <w:jc w:val="left"/>
              <w:rPr>
                <w:rFonts w:ascii="宋体" w:hAnsi="宋体" w:eastAsia="宋体" w:cs="宋体"/>
                <w:color w:val="auto"/>
                <w:szCs w:val="21"/>
                <w:highlight w:val="none"/>
              </w:rPr>
            </w:pPr>
          </w:p>
        </w:tc>
        <w:tc>
          <w:tcPr>
            <w:tcW w:w="850" w:type="dxa"/>
            <w:vMerge w:val="continue"/>
            <w:vAlign w:val="center"/>
          </w:tcPr>
          <w:p w14:paraId="38E2343A">
            <w:pPr>
              <w:widowControl/>
              <w:wordWrap w:val="0"/>
              <w:spacing w:line="276" w:lineRule="auto"/>
              <w:jc w:val="left"/>
              <w:rPr>
                <w:rFonts w:ascii="宋体" w:hAnsi="宋体" w:eastAsia="宋体" w:cs="宋体"/>
                <w:color w:val="auto"/>
                <w:szCs w:val="21"/>
                <w:highlight w:val="none"/>
              </w:rPr>
            </w:pPr>
          </w:p>
        </w:tc>
        <w:tc>
          <w:tcPr>
            <w:tcW w:w="2631" w:type="dxa"/>
            <w:vAlign w:val="center"/>
          </w:tcPr>
          <w:p w14:paraId="58FA60BF">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串通投标情形</w:t>
            </w:r>
          </w:p>
        </w:tc>
        <w:tc>
          <w:tcPr>
            <w:tcW w:w="4988" w:type="dxa"/>
            <w:vAlign w:val="center"/>
          </w:tcPr>
          <w:p w14:paraId="185E6AC3">
            <w:pPr>
              <w:wordWrap w:val="0"/>
              <w:spacing w:line="276" w:lineRule="auto"/>
              <w:rPr>
                <w:rFonts w:ascii="宋体" w:hAnsi="宋体" w:eastAsia="宋体" w:cs="宋体"/>
                <w:color w:val="auto"/>
                <w:szCs w:val="21"/>
                <w:highlight w:val="none"/>
                <w:u w:val="single"/>
              </w:rPr>
            </w:pPr>
            <w:r>
              <w:rPr>
                <w:rFonts w:hint="eastAsia" w:ascii="宋体" w:hAnsi="宋体" w:eastAsia="宋体" w:cs="宋体"/>
                <w:color w:val="auto"/>
                <w:szCs w:val="21"/>
                <w:highlight w:val="none"/>
                <w:lang w:bidi="ar"/>
              </w:rPr>
              <w:t>不存在串通投标情形（串通投标情形以《广东省实施〈中华人民共和国招标投标法〉办法》第十六条规定的为准）。</w:t>
            </w:r>
          </w:p>
        </w:tc>
      </w:tr>
      <w:tr w14:paraId="3166B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7" w:type="dxa"/>
            <w:vMerge w:val="continue"/>
            <w:vAlign w:val="center"/>
          </w:tcPr>
          <w:p w14:paraId="206B37D5">
            <w:pPr>
              <w:widowControl/>
              <w:wordWrap w:val="0"/>
              <w:spacing w:line="276" w:lineRule="auto"/>
              <w:jc w:val="left"/>
              <w:rPr>
                <w:rFonts w:ascii="宋体" w:hAnsi="宋体" w:eastAsia="宋体" w:cs="宋体"/>
                <w:color w:val="auto"/>
                <w:szCs w:val="21"/>
                <w:highlight w:val="none"/>
              </w:rPr>
            </w:pPr>
          </w:p>
        </w:tc>
        <w:tc>
          <w:tcPr>
            <w:tcW w:w="850" w:type="dxa"/>
            <w:vMerge w:val="continue"/>
            <w:vAlign w:val="center"/>
          </w:tcPr>
          <w:p w14:paraId="4C499941">
            <w:pPr>
              <w:widowControl/>
              <w:wordWrap w:val="0"/>
              <w:spacing w:line="276" w:lineRule="auto"/>
              <w:jc w:val="left"/>
              <w:rPr>
                <w:rFonts w:ascii="宋体" w:hAnsi="宋体" w:eastAsia="宋体" w:cs="宋体"/>
                <w:color w:val="auto"/>
                <w:szCs w:val="21"/>
                <w:highlight w:val="none"/>
              </w:rPr>
            </w:pPr>
          </w:p>
        </w:tc>
        <w:tc>
          <w:tcPr>
            <w:tcW w:w="7619" w:type="dxa"/>
            <w:gridSpan w:val="2"/>
            <w:vAlign w:val="center"/>
          </w:tcPr>
          <w:p w14:paraId="3E893944">
            <w:pPr>
              <w:wordWrap w:val="0"/>
              <w:spacing w:line="276" w:lineRule="auto"/>
              <w:rPr>
                <w:rFonts w:ascii="宋体" w:hAnsi="宋体" w:eastAsia="宋体" w:cs="宋体"/>
                <w:color w:val="auto"/>
                <w:szCs w:val="21"/>
                <w:highlight w:val="none"/>
                <w:u w:val="single"/>
              </w:rPr>
            </w:pPr>
            <w:r>
              <w:rPr>
                <w:rFonts w:hint="eastAsia" w:ascii="宋体" w:hAnsi="宋体" w:eastAsia="宋体" w:cs="宋体"/>
                <w:color w:val="auto"/>
                <w:szCs w:val="21"/>
                <w:highlight w:val="none"/>
                <w:u w:val="single"/>
              </w:rPr>
              <w:t>商务文件响应性评审标准中“投标内容”、“勘察设计服务期限”、“质量标准”、“投标有效期”，以投标人在投标函附录中的承诺为准。</w:t>
            </w:r>
          </w:p>
        </w:tc>
      </w:tr>
      <w:tr w14:paraId="7A770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7" w:type="dxa"/>
            <w:vMerge w:val="restart"/>
            <w:vAlign w:val="center"/>
          </w:tcPr>
          <w:p w14:paraId="4CEED341">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2.1.3（2）</w:t>
            </w:r>
          </w:p>
        </w:tc>
        <w:tc>
          <w:tcPr>
            <w:tcW w:w="850" w:type="dxa"/>
            <w:vMerge w:val="restart"/>
            <w:vAlign w:val="center"/>
          </w:tcPr>
          <w:p w14:paraId="012B4C8B">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技术文件初步评审标准</w:t>
            </w:r>
          </w:p>
        </w:tc>
        <w:tc>
          <w:tcPr>
            <w:tcW w:w="2631" w:type="dxa"/>
            <w:vAlign w:val="center"/>
          </w:tcPr>
          <w:p w14:paraId="7524217F">
            <w:pPr>
              <w:spacing w:line="276" w:lineRule="auto"/>
              <w:jc w:val="center"/>
              <w:rPr>
                <w:rFonts w:ascii="宋体" w:hAnsi="宋体" w:eastAsia="宋体" w:cs="宋体"/>
                <w:color w:val="auto"/>
                <w:szCs w:val="21"/>
                <w:highlight w:val="none"/>
                <w:u w:val="single"/>
              </w:rPr>
            </w:pPr>
            <w:r>
              <w:rPr>
                <w:rFonts w:hint="eastAsia" w:ascii="宋体" w:hAnsi="宋体" w:eastAsia="宋体" w:cs="Times New Roman"/>
                <w:color w:val="auto"/>
                <w:szCs w:val="21"/>
                <w:highlight w:val="none"/>
              </w:rPr>
              <w:t>编制要求</w:t>
            </w:r>
          </w:p>
        </w:tc>
        <w:tc>
          <w:tcPr>
            <w:tcW w:w="4988" w:type="dxa"/>
            <w:vAlign w:val="center"/>
          </w:tcPr>
          <w:p w14:paraId="0625FD67">
            <w:pPr>
              <w:wordWrap w:val="0"/>
              <w:spacing w:line="276"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未发现投标人在勘察设计方案内标注名称、印章、商标、图形等记认符号，使人辨认出投标人或其专业技术人员的身份。</w:t>
            </w:r>
          </w:p>
        </w:tc>
      </w:tr>
      <w:tr w14:paraId="29FED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7" w:type="dxa"/>
            <w:vMerge w:val="continue"/>
            <w:vAlign w:val="center"/>
          </w:tcPr>
          <w:p w14:paraId="431EACBA">
            <w:pPr>
              <w:widowControl/>
              <w:wordWrap w:val="0"/>
              <w:spacing w:line="276" w:lineRule="auto"/>
              <w:jc w:val="left"/>
              <w:rPr>
                <w:rFonts w:ascii="宋体" w:hAnsi="宋体" w:eastAsia="宋体" w:cs="宋体"/>
                <w:color w:val="auto"/>
                <w:szCs w:val="21"/>
                <w:highlight w:val="none"/>
              </w:rPr>
            </w:pPr>
          </w:p>
        </w:tc>
        <w:tc>
          <w:tcPr>
            <w:tcW w:w="850" w:type="dxa"/>
            <w:vMerge w:val="continue"/>
            <w:vAlign w:val="center"/>
          </w:tcPr>
          <w:p w14:paraId="0AD53603">
            <w:pPr>
              <w:widowControl/>
              <w:wordWrap w:val="0"/>
              <w:spacing w:line="276" w:lineRule="auto"/>
              <w:jc w:val="left"/>
              <w:rPr>
                <w:rFonts w:ascii="宋体" w:hAnsi="宋体" w:eastAsia="宋体" w:cs="宋体"/>
                <w:color w:val="auto"/>
                <w:szCs w:val="21"/>
                <w:highlight w:val="none"/>
              </w:rPr>
            </w:pPr>
          </w:p>
        </w:tc>
        <w:tc>
          <w:tcPr>
            <w:tcW w:w="2631" w:type="dxa"/>
            <w:vAlign w:val="center"/>
          </w:tcPr>
          <w:p w14:paraId="3085CDC8">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未发现互相雷同和串通投标</w:t>
            </w:r>
          </w:p>
        </w:tc>
        <w:tc>
          <w:tcPr>
            <w:tcW w:w="4988" w:type="dxa"/>
            <w:vAlign w:val="center"/>
          </w:tcPr>
          <w:p w14:paraId="18345071">
            <w:pPr>
              <w:wordWrap w:val="0"/>
              <w:spacing w:line="276" w:lineRule="auto"/>
              <w:jc w:val="left"/>
              <w:rPr>
                <w:rFonts w:ascii="宋体" w:hAnsi="宋体" w:eastAsia="宋体" w:cs="宋体"/>
                <w:color w:val="auto"/>
                <w:szCs w:val="21"/>
                <w:highlight w:val="none"/>
                <w:u w:val="single"/>
              </w:rPr>
            </w:pPr>
            <w:r>
              <w:rPr>
                <w:rFonts w:hint="eastAsia" w:ascii="宋体" w:hAnsi="宋体" w:eastAsia="宋体" w:cs="Times New Roman"/>
                <w:color w:val="auto"/>
                <w:szCs w:val="21"/>
                <w:highlight w:val="none"/>
              </w:rPr>
              <w:t>满足左述要求。</w:t>
            </w:r>
          </w:p>
        </w:tc>
      </w:tr>
      <w:tr w14:paraId="2E9A2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7" w:type="dxa"/>
            <w:vMerge w:val="continue"/>
            <w:vAlign w:val="center"/>
          </w:tcPr>
          <w:p w14:paraId="2F88E360">
            <w:pPr>
              <w:widowControl/>
              <w:wordWrap w:val="0"/>
              <w:spacing w:line="276" w:lineRule="auto"/>
              <w:jc w:val="left"/>
              <w:rPr>
                <w:rFonts w:ascii="宋体" w:hAnsi="宋体" w:eastAsia="宋体" w:cs="宋体"/>
                <w:color w:val="auto"/>
                <w:szCs w:val="21"/>
                <w:highlight w:val="none"/>
              </w:rPr>
            </w:pPr>
          </w:p>
        </w:tc>
        <w:tc>
          <w:tcPr>
            <w:tcW w:w="850" w:type="dxa"/>
            <w:vMerge w:val="continue"/>
            <w:vAlign w:val="center"/>
          </w:tcPr>
          <w:p w14:paraId="31879A77">
            <w:pPr>
              <w:widowControl/>
              <w:wordWrap w:val="0"/>
              <w:spacing w:line="276" w:lineRule="auto"/>
              <w:jc w:val="left"/>
              <w:rPr>
                <w:rFonts w:ascii="宋体" w:hAnsi="宋体" w:eastAsia="宋体" w:cs="宋体"/>
                <w:color w:val="auto"/>
                <w:szCs w:val="21"/>
                <w:highlight w:val="none"/>
              </w:rPr>
            </w:pPr>
          </w:p>
        </w:tc>
        <w:tc>
          <w:tcPr>
            <w:tcW w:w="2631" w:type="dxa"/>
            <w:vAlign w:val="center"/>
          </w:tcPr>
          <w:p w14:paraId="3A3D90BC">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未发现明显抄袭行为</w:t>
            </w:r>
          </w:p>
        </w:tc>
        <w:tc>
          <w:tcPr>
            <w:tcW w:w="4988" w:type="dxa"/>
            <w:vAlign w:val="center"/>
          </w:tcPr>
          <w:p w14:paraId="66E65D67">
            <w:pPr>
              <w:wordWrap w:val="0"/>
              <w:spacing w:line="276" w:lineRule="auto"/>
              <w:jc w:val="left"/>
              <w:rPr>
                <w:rFonts w:ascii="宋体" w:hAnsi="宋体" w:eastAsia="宋体" w:cs="宋体"/>
                <w:color w:val="auto"/>
                <w:szCs w:val="21"/>
                <w:highlight w:val="none"/>
                <w:u w:val="single"/>
              </w:rPr>
            </w:pPr>
            <w:r>
              <w:rPr>
                <w:rFonts w:hint="eastAsia" w:ascii="宋体" w:hAnsi="宋体" w:eastAsia="宋体" w:cs="Times New Roman"/>
                <w:color w:val="auto"/>
                <w:szCs w:val="21"/>
                <w:highlight w:val="none"/>
              </w:rPr>
              <w:t>满足左述要求。</w:t>
            </w:r>
          </w:p>
        </w:tc>
      </w:tr>
      <w:tr w14:paraId="2559B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7" w:type="dxa"/>
            <w:vMerge w:val="continue"/>
            <w:vAlign w:val="center"/>
          </w:tcPr>
          <w:p w14:paraId="6A1124BF">
            <w:pPr>
              <w:widowControl/>
              <w:wordWrap w:val="0"/>
              <w:spacing w:line="276" w:lineRule="auto"/>
              <w:jc w:val="left"/>
              <w:rPr>
                <w:rFonts w:ascii="宋体" w:hAnsi="宋体" w:eastAsia="宋体" w:cs="宋体"/>
                <w:color w:val="auto"/>
                <w:szCs w:val="21"/>
                <w:highlight w:val="none"/>
              </w:rPr>
            </w:pPr>
          </w:p>
        </w:tc>
        <w:tc>
          <w:tcPr>
            <w:tcW w:w="850" w:type="dxa"/>
            <w:vMerge w:val="continue"/>
            <w:vAlign w:val="center"/>
          </w:tcPr>
          <w:p w14:paraId="2EBBA5F4">
            <w:pPr>
              <w:widowControl/>
              <w:wordWrap w:val="0"/>
              <w:spacing w:line="276" w:lineRule="auto"/>
              <w:jc w:val="left"/>
              <w:rPr>
                <w:rFonts w:ascii="宋体" w:hAnsi="宋体" w:eastAsia="宋体" w:cs="宋体"/>
                <w:color w:val="auto"/>
                <w:szCs w:val="21"/>
                <w:highlight w:val="none"/>
              </w:rPr>
            </w:pPr>
          </w:p>
        </w:tc>
        <w:tc>
          <w:tcPr>
            <w:tcW w:w="2631" w:type="dxa"/>
            <w:vAlign w:val="center"/>
          </w:tcPr>
          <w:p w14:paraId="6FDA5110">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未发现侵犯他人著作权和特许权</w:t>
            </w:r>
          </w:p>
        </w:tc>
        <w:tc>
          <w:tcPr>
            <w:tcW w:w="4988" w:type="dxa"/>
            <w:vAlign w:val="center"/>
          </w:tcPr>
          <w:p w14:paraId="2564C155">
            <w:pPr>
              <w:wordWrap w:val="0"/>
              <w:spacing w:line="276" w:lineRule="auto"/>
              <w:jc w:val="left"/>
              <w:rPr>
                <w:rFonts w:ascii="宋体" w:hAnsi="宋体" w:eastAsia="宋体" w:cs="宋体"/>
                <w:color w:val="auto"/>
                <w:szCs w:val="21"/>
                <w:highlight w:val="none"/>
                <w:u w:val="single"/>
              </w:rPr>
            </w:pPr>
            <w:r>
              <w:rPr>
                <w:rFonts w:hint="eastAsia" w:ascii="宋体" w:hAnsi="宋体" w:eastAsia="宋体" w:cs="Times New Roman"/>
                <w:color w:val="auto"/>
                <w:szCs w:val="21"/>
                <w:highlight w:val="none"/>
              </w:rPr>
              <w:t>满足左述要求。</w:t>
            </w:r>
          </w:p>
        </w:tc>
      </w:tr>
      <w:tr w14:paraId="3FC04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37" w:type="dxa"/>
            <w:gridSpan w:val="2"/>
            <w:vAlign w:val="center"/>
          </w:tcPr>
          <w:p w14:paraId="7CDD70AF">
            <w:pPr>
              <w:wordWrap w:val="0"/>
              <w:spacing w:line="276" w:lineRule="auto"/>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条款号</w:t>
            </w:r>
          </w:p>
        </w:tc>
        <w:tc>
          <w:tcPr>
            <w:tcW w:w="2631" w:type="dxa"/>
            <w:vAlign w:val="center"/>
          </w:tcPr>
          <w:p w14:paraId="5638F4B7">
            <w:pPr>
              <w:wordWrap w:val="0"/>
              <w:spacing w:line="276" w:lineRule="auto"/>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条款内容</w:t>
            </w:r>
          </w:p>
        </w:tc>
        <w:tc>
          <w:tcPr>
            <w:tcW w:w="4988" w:type="dxa"/>
            <w:vAlign w:val="center"/>
          </w:tcPr>
          <w:p w14:paraId="6210F628">
            <w:pPr>
              <w:wordWrap w:val="0"/>
              <w:spacing w:line="276" w:lineRule="auto"/>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编列内容</w:t>
            </w:r>
          </w:p>
        </w:tc>
      </w:tr>
      <w:tr w14:paraId="54D0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37" w:type="dxa"/>
            <w:gridSpan w:val="2"/>
            <w:vAlign w:val="center"/>
          </w:tcPr>
          <w:p w14:paraId="4EBE6BFB">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2.2.1</w:t>
            </w:r>
          </w:p>
        </w:tc>
        <w:tc>
          <w:tcPr>
            <w:tcW w:w="2631" w:type="dxa"/>
            <w:vAlign w:val="center"/>
          </w:tcPr>
          <w:p w14:paraId="7A415F3C">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分值构成</w:t>
            </w:r>
          </w:p>
        </w:tc>
        <w:tc>
          <w:tcPr>
            <w:tcW w:w="4988" w:type="dxa"/>
            <w:vAlign w:val="center"/>
          </w:tcPr>
          <w:p w14:paraId="38EF85F2">
            <w:pPr>
              <w:wordWrap w:val="0"/>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商务文件部分A：</w:t>
            </w:r>
            <w:r>
              <w:rPr>
                <w:rFonts w:hint="eastAsia" w:ascii="宋体" w:hAnsi="宋体" w:eastAsia="宋体" w:cs="宋体"/>
                <w:color w:val="auto"/>
                <w:szCs w:val="21"/>
                <w:highlight w:val="none"/>
                <w:u w:val="single"/>
              </w:rPr>
              <w:t>100</w:t>
            </w:r>
            <w:r>
              <w:rPr>
                <w:rFonts w:hint="eastAsia" w:ascii="宋体" w:hAnsi="宋体" w:eastAsia="宋体" w:cs="宋体"/>
                <w:color w:val="auto"/>
                <w:szCs w:val="21"/>
                <w:highlight w:val="none"/>
              </w:rPr>
              <w:t>分（权重30%）</w:t>
            </w:r>
          </w:p>
          <w:p w14:paraId="57F26636">
            <w:pPr>
              <w:wordWrap w:val="0"/>
              <w:spacing w:line="276" w:lineRule="auto"/>
              <w:rPr>
                <w:rFonts w:ascii="宋体" w:hAnsi="宋体" w:eastAsia="宋体" w:cs="宋体"/>
                <w:color w:val="auto"/>
                <w:szCs w:val="21"/>
                <w:highlight w:val="none"/>
              </w:rPr>
            </w:pPr>
            <w:r>
              <w:rPr>
                <w:rFonts w:hint="eastAsia" w:ascii="宋体" w:hAnsi="宋体" w:eastAsia="宋体" w:cs="宋体"/>
                <w:color w:val="auto"/>
                <w:spacing w:val="-2"/>
                <w:szCs w:val="21"/>
                <w:highlight w:val="none"/>
              </w:rPr>
              <w:t>技术文件</w:t>
            </w:r>
            <w:r>
              <w:rPr>
                <w:rFonts w:hint="eastAsia" w:ascii="宋体" w:hAnsi="宋体" w:eastAsia="宋体" w:cs="宋体"/>
                <w:color w:val="auto"/>
                <w:szCs w:val="21"/>
                <w:highlight w:val="none"/>
              </w:rPr>
              <w:t>部分B：</w:t>
            </w:r>
            <w:r>
              <w:rPr>
                <w:rFonts w:hint="eastAsia" w:ascii="宋体" w:hAnsi="宋体" w:eastAsia="宋体" w:cs="宋体"/>
                <w:color w:val="auto"/>
                <w:szCs w:val="21"/>
                <w:highlight w:val="none"/>
                <w:u w:val="single"/>
              </w:rPr>
              <w:t>100</w:t>
            </w:r>
            <w:r>
              <w:rPr>
                <w:rFonts w:hint="eastAsia" w:ascii="宋体" w:hAnsi="宋体" w:eastAsia="宋体" w:cs="宋体"/>
                <w:color w:val="auto"/>
                <w:szCs w:val="21"/>
                <w:highlight w:val="none"/>
              </w:rPr>
              <w:t>分（权重60%）</w:t>
            </w:r>
          </w:p>
          <w:p w14:paraId="09480288">
            <w:pPr>
              <w:pStyle w:val="127"/>
              <w:tabs>
                <w:tab w:val="left" w:pos="2308"/>
              </w:tabs>
              <w:kinsoku w:val="0"/>
              <w:overflowPunct w:val="0"/>
              <w:spacing w:before="15" w:line="276" w:lineRule="auto"/>
              <w:jc w:val="both"/>
              <w:rPr>
                <w:rFonts w:ascii="宋体" w:hAnsi="宋体"/>
                <w:color w:val="auto"/>
                <w:sz w:val="21"/>
                <w:szCs w:val="21"/>
                <w:highlight w:val="none"/>
              </w:rPr>
            </w:pPr>
            <w:r>
              <w:rPr>
                <w:rFonts w:hint="eastAsia" w:ascii="宋体" w:hAnsi="宋体" w:cs="宋体"/>
                <w:color w:val="auto"/>
                <w:sz w:val="21"/>
                <w:szCs w:val="21"/>
                <w:highlight w:val="none"/>
              </w:rPr>
              <w:t>投标报价C：</w:t>
            </w:r>
            <w:r>
              <w:rPr>
                <w:rFonts w:hint="eastAsia" w:ascii="宋体" w:hAnsi="宋体" w:cs="宋体"/>
                <w:color w:val="auto"/>
                <w:sz w:val="21"/>
                <w:szCs w:val="21"/>
                <w:highlight w:val="none"/>
                <w:u w:val="single"/>
              </w:rPr>
              <w:t>100</w:t>
            </w:r>
            <w:r>
              <w:rPr>
                <w:rFonts w:hint="eastAsia" w:ascii="宋体" w:hAnsi="宋体" w:cs="宋体"/>
                <w:color w:val="auto"/>
                <w:sz w:val="21"/>
                <w:szCs w:val="21"/>
                <w:highlight w:val="none"/>
              </w:rPr>
              <w:t>分（权重10%）（</w:t>
            </w:r>
            <w:r>
              <w:rPr>
                <w:rFonts w:hint="eastAsia" w:ascii="宋体" w:hAnsi="宋体" w:cs="宋体"/>
                <w:bCs/>
                <w:color w:val="auto"/>
                <w:sz w:val="21"/>
                <w:szCs w:val="21"/>
                <w:highlight w:val="none"/>
                <w:u w:val="single"/>
              </w:rPr>
              <w:t>注：投标人如满足招标文件第二章《投标人须知前附表》规定的投标报价得分评审优惠政策的，若原报价己满分，仍可突破满分上限继续享受加分优惠，以实际计算结果作为最终价格分。</w:t>
            </w:r>
            <w:r>
              <w:rPr>
                <w:rFonts w:hint="eastAsia" w:ascii="宋体" w:hAnsi="宋体" w:cs="宋体"/>
                <w:color w:val="auto"/>
                <w:sz w:val="21"/>
                <w:szCs w:val="21"/>
                <w:highlight w:val="none"/>
              </w:rPr>
              <w:t>）</w:t>
            </w:r>
          </w:p>
          <w:p w14:paraId="2A95D7E0">
            <w:pPr>
              <w:wordWrap w:val="0"/>
              <w:spacing w:line="276" w:lineRule="auto"/>
              <w:rPr>
                <w:rFonts w:ascii="宋体" w:hAnsi="宋体" w:eastAsia="宋体" w:cs="Times New Roman"/>
                <w:b/>
                <w:color w:val="auto"/>
                <w:szCs w:val="21"/>
                <w:highlight w:val="none"/>
                <w:u w:val="single"/>
              </w:rPr>
            </w:pPr>
            <w:r>
              <w:rPr>
                <w:rFonts w:hint="eastAsia" w:ascii="宋体" w:hAnsi="宋体" w:eastAsia="宋体" w:cs="Times New Roman"/>
                <w:bCs/>
                <w:color w:val="auto"/>
                <w:szCs w:val="21"/>
                <w:highlight w:val="none"/>
              </w:rPr>
              <w:t>其他评分因素（信用评价得分）D：</w:t>
            </w:r>
            <w:r>
              <w:rPr>
                <w:rFonts w:hint="eastAsia" w:ascii="宋体" w:hAnsi="宋体" w:eastAsia="宋体" w:cs="Times New Roman"/>
                <w:bCs/>
                <w:color w:val="auto"/>
                <w:szCs w:val="21"/>
                <w:highlight w:val="none"/>
                <w:u w:val="single"/>
              </w:rPr>
              <w:t>/</w:t>
            </w:r>
          </w:p>
          <w:p w14:paraId="51877641">
            <w:pPr>
              <w:wordWrap w:val="0"/>
              <w:spacing w:line="276" w:lineRule="auto"/>
              <w:rPr>
                <w:rFonts w:ascii="宋体" w:hAnsi="宋体" w:eastAsia="宋体" w:cs="Times New Roman"/>
                <w:b/>
                <w:color w:val="auto"/>
                <w:szCs w:val="21"/>
                <w:highlight w:val="none"/>
                <w:u w:val="single"/>
              </w:rPr>
            </w:pPr>
            <w:r>
              <w:rPr>
                <w:rFonts w:hint="eastAsia" w:ascii="宋体" w:hAnsi="宋体" w:eastAsia="宋体" w:cs="Times New Roman"/>
                <w:b/>
                <w:color w:val="auto"/>
                <w:szCs w:val="21"/>
                <w:highlight w:val="none"/>
                <w:u w:val="single"/>
              </w:rPr>
              <w:t>投标人总得分=A×30%+B×60%+C×10%。</w:t>
            </w:r>
          </w:p>
        </w:tc>
      </w:tr>
      <w:tr w14:paraId="52EE4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37" w:type="dxa"/>
            <w:gridSpan w:val="2"/>
            <w:vAlign w:val="center"/>
          </w:tcPr>
          <w:p w14:paraId="5CC66E58">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2.2.2</w:t>
            </w:r>
          </w:p>
        </w:tc>
        <w:tc>
          <w:tcPr>
            <w:tcW w:w="2631" w:type="dxa"/>
            <w:vAlign w:val="center"/>
          </w:tcPr>
          <w:p w14:paraId="4384177C">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评标基准价计算方法</w:t>
            </w:r>
          </w:p>
        </w:tc>
        <w:tc>
          <w:tcPr>
            <w:tcW w:w="4988" w:type="dxa"/>
            <w:vAlign w:val="center"/>
          </w:tcPr>
          <w:p w14:paraId="3D85D101">
            <w:pPr>
              <w:pStyle w:val="43"/>
              <w:spacing w:after="0" w:line="276" w:lineRule="auto"/>
              <w:ind w:firstLine="0" w:firstLineChars="0"/>
              <w:rPr>
                <w:rFonts w:ascii="宋体" w:hAnsi="宋体" w:cs="宋体"/>
                <w:strike/>
                <w:color w:val="auto"/>
                <w:sz w:val="21"/>
                <w:szCs w:val="21"/>
                <w:highlight w:val="none"/>
                <w:u w:val="single"/>
              </w:rPr>
            </w:pPr>
            <w:r>
              <w:rPr>
                <w:rFonts w:hint="eastAsia" w:ascii="宋体" w:hAnsi="宋体" w:cs="宋体"/>
                <w:color w:val="auto"/>
                <w:sz w:val="21"/>
                <w:szCs w:val="21"/>
                <w:highlight w:val="none"/>
                <w:u w:val="single"/>
              </w:rPr>
              <w:t>当通过初步评审且投标报价位于最高投标限价的[80%，100%]的有效投标人大于5名时，该区间内的有效投标价去掉一个最高价和一个最低价，取余下有效投标人的投标价的算术平均值作为评标基准价；</w:t>
            </w:r>
          </w:p>
          <w:p w14:paraId="51AFEEDA">
            <w:pPr>
              <w:spacing w:line="276" w:lineRule="auto"/>
              <w:rPr>
                <w:rFonts w:ascii="宋体" w:hAnsi="宋体" w:eastAsia="宋体" w:cs="宋体"/>
                <w:color w:val="auto"/>
                <w:szCs w:val="21"/>
                <w:highlight w:val="none"/>
                <w:u w:val="single"/>
              </w:rPr>
            </w:pPr>
            <w:r>
              <w:rPr>
                <w:rFonts w:hint="eastAsia" w:ascii="宋体" w:hAnsi="宋体" w:eastAsia="宋体" w:cs="宋体"/>
                <w:color w:val="auto"/>
                <w:szCs w:val="21"/>
                <w:highlight w:val="none"/>
                <w:u w:val="single"/>
              </w:rPr>
              <w:t>当通过初步审查且投标报价位于最高投标限价的[80%，100%]的有效投标人小于或等于5名时，取所有该区间内的有效投标价的算术平均值作为评标基准价；</w:t>
            </w:r>
          </w:p>
          <w:p w14:paraId="656AF2B7">
            <w:pPr>
              <w:spacing w:line="276" w:lineRule="auto"/>
              <w:rPr>
                <w:rFonts w:ascii="宋体" w:hAnsi="宋体" w:eastAsia="宋体" w:cs="宋体"/>
                <w:color w:val="auto"/>
                <w:szCs w:val="21"/>
                <w:highlight w:val="none"/>
                <w:u w:val="single"/>
              </w:rPr>
            </w:pPr>
            <w:r>
              <w:rPr>
                <w:rFonts w:hint="eastAsia" w:ascii="宋体" w:hAnsi="宋体" w:eastAsia="宋体" w:cs="宋体"/>
                <w:color w:val="auto"/>
                <w:szCs w:val="21"/>
                <w:highlight w:val="none"/>
                <w:u w:val="single"/>
              </w:rPr>
              <w:t>若通过初步评审的报价没有位于上述区间内，则以最高投标限价的80%作为评标基准价。</w:t>
            </w:r>
          </w:p>
        </w:tc>
      </w:tr>
      <w:tr w14:paraId="38EA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37" w:type="dxa"/>
            <w:gridSpan w:val="2"/>
            <w:vAlign w:val="center"/>
          </w:tcPr>
          <w:p w14:paraId="1A586214">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2.2.3</w:t>
            </w:r>
          </w:p>
        </w:tc>
        <w:tc>
          <w:tcPr>
            <w:tcW w:w="2631" w:type="dxa"/>
            <w:vAlign w:val="center"/>
          </w:tcPr>
          <w:p w14:paraId="4BB76445">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投标报价的偏差率</w:t>
            </w:r>
          </w:p>
          <w:p w14:paraId="558E7E16">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计算公式</w:t>
            </w:r>
          </w:p>
        </w:tc>
        <w:tc>
          <w:tcPr>
            <w:tcW w:w="4988" w:type="dxa"/>
            <w:vAlign w:val="center"/>
          </w:tcPr>
          <w:p w14:paraId="5687F5B8">
            <w:pPr>
              <w:spacing w:line="276" w:lineRule="auto"/>
              <w:jc w:val="left"/>
              <w:rPr>
                <w:rFonts w:ascii="宋体" w:hAnsi="宋体" w:eastAsia="宋体" w:cs="宋体"/>
                <w:b/>
                <w:bCs/>
                <w:color w:val="auto"/>
                <w:szCs w:val="21"/>
                <w:highlight w:val="none"/>
                <w:u w:val="single"/>
              </w:rPr>
            </w:pPr>
            <w:r>
              <w:rPr>
                <w:rFonts w:hint="eastAsia" w:ascii="宋体" w:hAnsi="宋体" w:eastAsia="宋体" w:cs="宋体"/>
                <w:color w:val="auto"/>
                <w:szCs w:val="21"/>
                <w:highlight w:val="none"/>
                <w:u w:val="single"/>
              </w:rPr>
              <w:t>投标报价的偏差率=（有效投标总报价-评标基准价）/评标基准价×100%（偏差率出现小数点时，保留小数点后</w:t>
            </w:r>
            <w:r>
              <w:rPr>
                <w:rFonts w:hint="eastAsia" w:ascii="宋体" w:hAnsi="宋体" w:eastAsia="宋体" w:cs="宋体"/>
                <w:color w:val="auto"/>
                <w:szCs w:val="21"/>
                <w:highlight w:val="none"/>
                <w:u w:val="single"/>
                <w:lang w:val="en-US" w:eastAsia="zh-CN"/>
              </w:rPr>
              <w:t>二</w:t>
            </w:r>
            <w:r>
              <w:rPr>
                <w:rFonts w:hint="eastAsia" w:ascii="宋体" w:hAnsi="宋体" w:eastAsia="宋体" w:cs="宋体"/>
                <w:color w:val="auto"/>
                <w:szCs w:val="21"/>
                <w:highlight w:val="none"/>
                <w:u w:val="single"/>
              </w:rPr>
              <w:t>位，第三位小数四舍五入）</w:t>
            </w:r>
          </w:p>
        </w:tc>
      </w:tr>
      <w:tr w14:paraId="7EE23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37" w:type="dxa"/>
            <w:gridSpan w:val="2"/>
            <w:vAlign w:val="center"/>
          </w:tcPr>
          <w:p w14:paraId="18E291AF">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2.2.4（1）</w:t>
            </w:r>
          </w:p>
        </w:tc>
        <w:tc>
          <w:tcPr>
            <w:tcW w:w="2631" w:type="dxa"/>
            <w:vAlign w:val="center"/>
          </w:tcPr>
          <w:p w14:paraId="46FB9986">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商务文件评分标准</w:t>
            </w:r>
          </w:p>
        </w:tc>
        <w:tc>
          <w:tcPr>
            <w:tcW w:w="4988" w:type="dxa"/>
            <w:vAlign w:val="center"/>
          </w:tcPr>
          <w:p w14:paraId="3D3D974D">
            <w:pPr>
              <w:wordWrap w:val="0"/>
              <w:spacing w:line="276" w:lineRule="auto"/>
              <w:jc w:val="center"/>
              <w:rPr>
                <w:rFonts w:ascii="宋体" w:hAnsi="宋体" w:eastAsia="宋体" w:cs="宋体"/>
                <w:color w:val="auto"/>
                <w:szCs w:val="21"/>
                <w:highlight w:val="none"/>
                <w:u w:val="single"/>
              </w:rPr>
            </w:pPr>
            <w:r>
              <w:rPr>
                <w:rFonts w:hint="eastAsia" w:ascii="宋体" w:hAnsi="宋体" w:eastAsia="宋体" w:cs="宋体"/>
                <w:color w:val="auto"/>
                <w:szCs w:val="21"/>
                <w:highlight w:val="none"/>
              </w:rPr>
              <w:t>详见附件一</w:t>
            </w:r>
            <w:r>
              <w:rPr>
                <w:rFonts w:hint="eastAsia" w:ascii="宋体" w:hAnsi="宋体" w:eastAsia="宋体"/>
                <w:color w:val="auto"/>
                <w:szCs w:val="21"/>
                <w:highlight w:val="none"/>
              </w:rPr>
              <w:t>《商务文件评分表》</w:t>
            </w:r>
          </w:p>
        </w:tc>
      </w:tr>
      <w:tr w14:paraId="7D05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37" w:type="dxa"/>
            <w:gridSpan w:val="2"/>
            <w:vAlign w:val="center"/>
          </w:tcPr>
          <w:p w14:paraId="4712346F">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2.2.4（2）</w:t>
            </w:r>
          </w:p>
        </w:tc>
        <w:tc>
          <w:tcPr>
            <w:tcW w:w="2631" w:type="dxa"/>
            <w:vAlign w:val="center"/>
          </w:tcPr>
          <w:p w14:paraId="20726ACE">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技术文件评分标准</w:t>
            </w:r>
          </w:p>
        </w:tc>
        <w:tc>
          <w:tcPr>
            <w:tcW w:w="4988" w:type="dxa"/>
            <w:vAlign w:val="center"/>
          </w:tcPr>
          <w:p w14:paraId="60782A90">
            <w:pPr>
              <w:wordWrap w:val="0"/>
              <w:spacing w:line="276" w:lineRule="auto"/>
              <w:jc w:val="center"/>
              <w:rPr>
                <w:rFonts w:ascii="宋体" w:hAnsi="宋体" w:eastAsia="宋体" w:cs="宋体"/>
                <w:color w:val="auto"/>
                <w:szCs w:val="21"/>
                <w:highlight w:val="none"/>
                <w:u w:val="single"/>
              </w:rPr>
            </w:pPr>
            <w:r>
              <w:rPr>
                <w:rFonts w:hint="eastAsia" w:ascii="宋体" w:hAnsi="宋体" w:eastAsia="宋体" w:cs="宋体"/>
                <w:color w:val="auto"/>
                <w:szCs w:val="21"/>
                <w:highlight w:val="none"/>
              </w:rPr>
              <w:t>详见附件二《技术文件评分表》</w:t>
            </w:r>
          </w:p>
        </w:tc>
      </w:tr>
      <w:tr w14:paraId="5501F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37" w:type="dxa"/>
            <w:gridSpan w:val="2"/>
            <w:vAlign w:val="center"/>
          </w:tcPr>
          <w:p w14:paraId="627C6936">
            <w:pPr>
              <w:wordWrap w:val="0"/>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2.2.4（3）</w:t>
            </w:r>
          </w:p>
        </w:tc>
        <w:tc>
          <w:tcPr>
            <w:tcW w:w="2631" w:type="dxa"/>
            <w:vAlign w:val="center"/>
          </w:tcPr>
          <w:p w14:paraId="59DD2D88">
            <w:pPr>
              <w:wordWrap w:val="0"/>
              <w:spacing w:line="276" w:lineRule="auto"/>
              <w:jc w:val="center"/>
              <w:rPr>
                <w:rFonts w:ascii="宋体" w:hAnsi="宋体" w:eastAsia="宋体" w:cs="宋体"/>
                <w:color w:val="auto"/>
                <w:szCs w:val="21"/>
                <w:highlight w:val="none"/>
                <w:u w:val="single"/>
              </w:rPr>
            </w:pPr>
            <w:r>
              <w:rPr>
                <w:rFonts w:hint="eastAsia" w:ascii="宋体" w:hAnsi="宋体" w:eastAsia="宋体" w:cs="宋体"/>
                <w:color w:val="auto"/>
                <w:szCs w:val="21"/>
                <w:highlight w:val="none"/>
              </w:rPr>
              <w:t>投标报价评分标准</w:t>
            </w:r>
          </w:p>
        </w:tc>
        <w:tc>
          <w:tcPr>
            <w:tcW w:w="4988" w:type="dxa"/>
            <w:vAlign w:val="center"/>
          </w:tcPr>
          <w:p w14:paraId="1528B059">
            <w:pPr>
              <w:spacing w:line="276"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以评标基准价作为计算各投标人投标报价得分的基础，当投标报价等于评标基准价时得100分；投标报价偏差率，每上偏1%扣1.5分，下偏1%扣1分，扣至0分为止。</w:t>
            </w:r>
          </w:p>
        </w:tc>
      </w:tr>
    </w:tbl>
    <w:p w14:paraId="47499256">
      <w:pPr>
        <w:wordWrap w:val="0"/>
        <w:rPr>
          <w:rFonts w:ascii="宋体" w:hAnsi="宋体" w:eastAsia="宋体" w:cs="宋体"/>
          <w:color w:val="auto"/>
          <w:szCs w:val="24"/>
          <w:highlight w:val="none"/>
        </w:rPr>
      </w:pPr>
      <w:r>
        <w:rPr>
          <w:rFonts w:hint="eastAsia" w:ascii="宋体" w:hAnsi="宋体" w:eastAsia="宋体" w:cs="宋体"/>
          <w:color w:val="auto"/>
          <w:szCs w:val="24"/>
          <w:highlight w:val="none"/>
        </w:rPr>
        <w:t xml:space="preserve"> </w:t>
      </w:r>
    </w:p>
    <w:p w14:paraId="6C7FD4DE">
      <w:pPr>
        <w:pStyle w:val="8"/>
        <w:widowControl/>
        <w:jc w:val="left"/>
        <w:rPr>
          <w:rFonts w:ascii="宋体" w:hAnsi="宋体"/>
          <w:color w:val="auto"/>
          <w:highlight w:val="none"/>
        </w:rPr>
      </w:pPr>
      <w:r>
        <w:rPr>
          <w:rFonts w:ascii="宋体" w:hAnsi="宋体"/>
          <w:color w:val="auto"/>
          <w:highlight w:val="none"/>
        </w:rPr>
        <w:br w:type="page"/>
      </w:r>
    </w:p>
    <w:p w14:paraId="7F162A80">
      <w:pPr>
        <w:pStyle w:val="4"/>
        <w:rPr>
          <w:rFonts w:ascii="宋体" w:hAnsi="宋体"/>
          <w:color w:val="auto"/>
          <w:sz w:val="32"/>
          <w:szCs w:val="24"/>
          <w:highlight w:val="none"/>
        </w:rPr>
      </w:pPr>
      <w:r>
        <w:rPr>
          <w:rFonts w:hint="eastAsia" w:ascii="宋体" w:hAnsi="宋体"/>
          <w:color w:val="auto"/>
          <w:highlight w:val="none"/>
        </w:rPr>
        <w:t>评标</w:t>
      </w:r>
      <w:r>
        <w:rPr>
          <w:rFonts w:hint="eastAsia" w:ascii="宋体" w:hAnsi="宋体"/>
          <w:color w:val="auto"/>
          <w:highlight w:val="none"/>
          <w:u w:val="single"/>
        </w:rPr>
        <w:t>、定标</w:t>
      </w:r>
      <w:r>
        <w:rPr>
          <w:rFonts w:hint="eastAsia" w:ascii="宋体" w:hAnsi="宋体"/>
          <w:color w:val="auto"/>
          <w:highlight w:val="none"/>
        </w:rPr>
        <w:t>办法修改表</w:t>
      </w:r>
    </w:p>
    <w:p w14:paraId="10697966">
      <w:pPr>
        <w:pStyle w:val="43"/>
        <w:pBdr>
          <w:bottom w:val="single" w:color="auto" w:sz="6" w:space="1"/>
        </w:pBdr>
        <w:wordWrap w:val="0"/>
        <w:spacing w:after="0" w:line="360" w:lineRule="auto"/>
        <w:ind w:firstLine="422" w:firstLineChars="200"/>
        <w:rPr>
          <w:rFonts w:ascii="宋体" w:hAnsi="宋体"/>
          <w:b/>
          <w:color w:val="auto"/>
          <w:sz w:val="21"/>
          <w:szCs w:val="21"/>
          <w:highlight w:val="none"/>
        </w:rPr>
      </w:pPr>
      <w:r>
        <w:rPr>
          <w:rFonts w:hint="eastAsia" w:ascii="宋体" w:hAnsi="宋体"/>
          <w:b/>
          <w:color w:val="auto"/>
          <w:sz w:val="21"/>
          <w:szCs w:val="21"/>
          <w:highlight w:val="none"/>
        </w:rPr>
        <w:t>本投标须知使用GZJTZB2025-1招标文件范本的评标办法条款，与该条款不同之处，均在本表中列明，并以现文为准，原文不再有效。</w:t>
      </w:r>
      <w:r>
        <w:rPr>
          <w:rFonts w:hint="eastAsia" w:ascii="宋体" w:hAnsi="宋体"/>
          <w:bCs/>
          <w:color w:val="auto"/>
          <w:sz w:val="21"/>
          <w:szCs w:val="21"/>
          <w:highlight w:val="none"/>
        </w:rPr>
        <w:t>（注：招标人按《评标办法修改表》修改的内容对应修改通用条款，属于删除的采用“</w:t>
      </w:r>
      <w:r>
        <w:rPr>
          <w:rFonts w:hint="eastAsia" w:ascii="宋体" w:hAnsi="宋体"/>
          <w:bCs/>
          <w:strike/>
          <w:color w:val="auto"/>
          <w:sz w:val="21"/>
          <w:szCs w:val="21"/>
          <w:highlight w:val="none"/>
        </w:rPr>
        <w:t xml:space="preserve">   </w:t>
      </w:r>
      <w:r>
        <w:rPr>
          <w:rFonts w:hint="eastAsia" w:ascii="宋体" w:hAnsi="宋体"/>
          <w:bCs/>
          <w:color w:val="auto"/>
          <w:sz w:val="21"/>
          <w:szCs w:val="21"/>
          <w:highlight w:val="none"/>
        </w:rPr>
        <w:t>”表示，如“</w:t>
      </w:r>
      <w:r>
        <w:rPr>
          <w:rFonts w:hint="eastAsia" w:ascii="宋体" w:hAnsi="宋体"/>
          <w:bCs/>
          <w:strike/>
          <w:color w:val="auto"/>
          <w:sz w:val="21"/>
          <w:szCs w:val="21"/>
          <w:highlight w:val="none"/>
        </w:rPr>
        <w:t>删除</w:t>
      </w:r>
      <w:r>
        <w:rPr>
          <w:rFonts w:hint="eastAsia" w:ascii="宋体" w:hAnsi="宋体"/>
          <w:bCs/>
          <w:color w:val="auto"/>
          <w:sz w:val="21"/>
          <w:szCs w:val="21"/>
          <w:highlight w:val="none"/>
        </w:rPr>
        <w:t>”；属于新增、修改的内容，用</w:t>
      </w:r>
      <w:r>
        <w:rPr>
          <w:rFonts w:hint="eastAsia" w:ascii="宋体" w:hAnsi="宋体"/>
          <w:b/>
          <w:color w:val="auto"/>
          <w:sz w:val="21"/>
          <w:szCs w:val="21"/>
          <w:highlight w:val="none"/>
        </w:rPr>
        <w:t>黑色加粗</w:t>
      </w:r>
      <w:r>
        <w:rPr>
          <w:rFonts w:hint="eastAsia" w:ascii="宋体" w:hAnsi="宋体"/>
          <w:bCs/>
          <w:color w:val="auto"/>
          <w:sz w:val="21"/>
          <w:szCs w:val="21"/>
          <w:highlight w:val="none"/>
        </w:rPr>
        <w:t>字体显示,并加注下划线，如“</w:t>
      </w:r>
      <w:r>
        <w:rPr>
          <w:rFonts w:hint="eastAsia" w:ascii="宋体" w:hAnsi="宋体"/>
          <w:b/>
          <w:color w:val="auto"/>
          <w:sz w:val="21"/>
          <w:szCs w:val="21"/>
          <w:highlight w:val="none"/>
          <w:u w:val="single"/>
        </w:rPr>
        <w:t>新增修改</w:t>
      </w:r>
      <w:r>
        <w:rPr>
          <w:rFonts w:hint="eastAsia" w:ascii="宋体" w:hAnsi="宋体"/>
          <w:bCs/>
          <w:color w:val="auto"/>
          <w:sz w:val="21"/>
          <w:szCs w:val="21"/>
          <w:highlight w:val="none"/>
        </w:rPr>
        <w:t>”。）</w:t>
      </w:r>
    </w:p>
    <w:p w14:paraId="3962EC23">
      <w:pPr>
        <w:spacing w:line="360" w:lineRule="auto"/>
        <w:ind w:firstLine="420" w:firstLineChars="200"/>
        <w:rPr>
          <w:rFonts w:ascii="宋体" w:hAnsi="宋体" w:eastAsia="宋体" w:cs="宋体"/>
          <w:color w:val="auto"/>
          <w:szCs w:val="21"/>
          <w:highlight w:val="none"/>
        </w:rPr>
      </w:pPr>
      <w:bookmarkStart w:id="202" w:name="OLE_LINK26"/>
      <w:r>
        <w:rPr>
          <w:rFonts w:hint="eastAsia" w:ascii="宋体" w:hAnsi="宋体" w:eastAsia="宋体" w:cs="宋体"/>
          <w:color w:val="auto"/>
          <w:szCs w:val="21"/>
          <w:highlight w:val="none"/>
        </w:rPr>
        <w:t>条款号：1.            修改类型：修改</w:t>
      </w:r>
    </w:p>
    <w:p w14:paraId="2309C964">
      <w:pPr>
        <w:pBdr>
          <w:bottom w:val="single" w:color="auto" w:sz="6" w:space="1"/>
        </w:pBd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原文：1.评标方法</w:t>
      </w:r>
    </w:p>
    <w:p w14:paraId="497FD087">
      <w:pPr>
        <w:pBdr>
          <w:bottom w:val="single" w:color="auto" w:sz="6" w:space="1"/>
        </w:pBd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本次评标采用综合评估法。评标委员会对满足招标文件实质性要求的投标文件，按照本章第 2.2 款规定的评分标准进行打分，并按得分由高到低顺序推荐中标候选人，或根据招标人授权直接确定中标人，但投标报价低于其成本的除外。综合评分相等时，按照评标办法前附表的规定确定中标候选人顺序。</w:t>
      </w:r>
    </w:p>
    <w:p w14:paraId="476FA4A8">
      <w:pPr>
        <w:pBdr>
          <w:bottom w:val="single" w:color="auto" w:sz="6" w:space="1"/>
        </w:pBd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现文：1.</w:t>
      </w:r>
      <w:r>
        <w:rPr>
          <w:rFonts w:hint="eastAsia" w:ascii="宋体" w:hAnsi="宋体" w:eastAsia="宋体" w:cs="宋体"/>
          <w:b/>
          <w:bCs/>
          <w:color w:val="auto"/>
          <w:szCs w:val="21"/>
          <w:highlight w:val="none"/>
          <w:u w:val="single"/>
        </w:rPr>
        <w:t>评定分离办法</w:t>
      </w:r>
    </w:p>
    <w:p w14:paraId="210CA42A">
      <w:pPr>
        <w:pBdr>
          <w:bottom w:val="single" w:color="auto" w:sz="6" w:space="1"/>
        </w:pBdr>
        <w:spacing w:line="360" w:lineRule="auto"/>
        <w:ind w:firstLine="422" w:firstLineChars="200"/>
        <w:rPr>
          <w:rFonts w:ascii="宋体" w:hAnsi="宋体" w:eastAsia="宋体" w:cs="宋体"/>
          <w:color w:val="auto"/>
          <w:szCs w:val="21"/>
          <w:highlight w:val="none"/>
        </w:rPr>
      </w:pPr>
      <w:r>
        <w:rPr>
          <w:rFonts w:hint="eastAsia" w:ascii="宋体" w:hAnsi="宋体" w:eastAsia="宋体" w:cs="宋体"/>
          <w:b/>
          <w:bCs/>
          <w:color w:val="auto"/>
          <w:szCs w:val="21"/>
          <w:highlight w:val="none"/>
          <w:u w:val="single"/>
        </w:rPr>
        <w:t>本项目采用评定分离办法。其中，评标阶段采用“有限数量制”评标法，评标委员会对投标文件进行商务文件形式评审、资格评审、商务文件响应性评审、技术文件初步评审，并对通过上述评审的投标单位进行商务文件详细评审、技术文件详细评审、投标报价评审。评标委员会计算各有效投标文件的综合得分，并按照综合得分从高到低排列先后次序（注：综合评分相同的，以技术文件得分高的排前；技术文件得分也相同的，以商务文件得分高的排前；如仍存在相同情况，则对具有相同情况的投标人，由评标委员会采用记名投票方式，确定投标人最终名次的排序），向招标人推荐前3名</w:t>
      </w:r>
      <w:r>
        <w:rPr>
          <w:rFonts w:hint="eastAsia" w:ascii="宋体" w:hAnsi="宋体" w:eastAsia="宋体"/>
          <w:b/>
          <w:color w:val="auto"/>
          <w:szCs w:val="21"/>
          <w:highlight w:val="none"/>
          <w:u w:val="single"/>
        </w:rPr>
        <w:t>（</w:t>
      </w:r>
      <w:r>
        <w:rPr>
          <w:rFonts w:hint="eastAsia" w:ascii="宋体" w:hAnsi="宋体" w:eastAsia="宋体" w:cs="宋体"/>
          <w:b/>
          <w:bCs/>
          <w:color w:val="auto"/>
          <w:szCs w:val="21"/>
          <w:highlight w:val="none"/>
          <w:u w:val="single"/>
        </w:rPr>
        <w:t>不足</w:t>
      </w:r>
      <w:r>
        <w:rPr>
          <w:rFonts w:ascii="宋体" w:hAnsi="宋体" w:eastAsia="宋体" w:cs="宋体"/>
          <w:b/>
          <w:bCs/>
          <w:color w:val="auto"/>
          <w:szCs w:val="21"/>
          <w:highlight w:val="none"/>
          <w:u w:val="single"/>
        </w:rPr>
        <w:t>3名</w:t>
      </w:r>
      <w:r>
        <w:rPr>
          <w:rFonts w:hint="eastAsia" w:ascii="宋体" w:hAnsi="宋体" w:eastAsia="宋体" w:cs="宋体"/>
          <w:b/>
          <w:bCs/>
          <w:color w:val="auto"/>
          <w:szCs w:val="21"/>
          <w:highlight w:val="none"/>
          <w:u w:val="single"/>
        </w:rPr>
        <w:t>的，则本项目招标失败，招标人应依法重新组织招标）不排序的投标人为合格中标候选人进入定标阶段。【进入定标阶段不排序，按统一社会信用代码后4位（除校验码外）大小排位</w:t>
      </w:r>
      <w:r>
        <w:rPr>
          <w:rFonts w:hint="eastAsia" w:ascii="宋体" w:hAnsi="宋体" w:eastAsia="宋体" w:cs="宋体"/>
          <w:b/>
          <w:color w:val="auto"/>
          <w:szCs w:val="21"/>
          <w:highlight w:val="none"/>
          <w:u w:val="single"/>
        </w:rPr>
        <w:t>（若为联合体投标的以主办方为准）</w:t>
      </w:r>
      <w:r>
        <w:rPr>
          <w:rFonts w:hint="eastAsia" w:ascii="宋体" w:hAnsi="宋体" w:eastAsia="宋体" w:cs="宋体"/>
          <w:b/>
          <w:bCs/>
          <w:color w:val="auto"/>
          <w:szCs w:val="21"/>
          <w:highlight w:val="none"/>
          <w:u w:val="single"/>
        </w:rPr>
        <w:t>，如统一社会信用代码后4位出现字母情况的，字母以“0”进行代替大小排位；如出现后4位（除校验码外）大小一致的，则随机排位】</w:t>
      </w:r>
    </w:p>
    <w:bookmarkEnd w:id="202"/>
    <w:p w14:paraId="7D029EA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条款号：3.              修改类型：修改</w:t>
      </w:r>
    </w:p>
    <w:p w14:paraId="688D1367">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原文：3.评标程序</w:t>
      </w:r>
    </w:p>
    <w:p w14:paraId="072E532D">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评标活动按以下六个步骤进行：</w:t>
      </w:r>
    </w:p>
    <w:p w14:paraId="1739A96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（1）商务文件初步评审（含商务文件形式评审、商务文件响应性评审）及资格评审；</w:t>
      </w:r>
    </w:p>
    <w:p w14:paraId="1A23EBBF">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（2）商务文件详细评审；</w:t>
      </w:r>
    </w:p>
    <w:p w14:paraId="6F17BB6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（3）技术文件初步评审；</w:t>
      </w:r>
    </w:p>
    <w:p w14:paraId="7C7C4C87">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（4）技术文件详细评审；</w:t>
      </w:r>
    </w:p>
    <w:p w14:paraId="4790E49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（5）揭晓技术文件评审结果；</w:t>
      </w:r>
    </w:p>
    <w:p w14:paraId="1C9E069E">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（6）汇总投标人总得分；</w:t>
      </w:r>
    </w:p>
    <w:p w14:paraId="757090BF">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（7）推荐中标候选人，提交评标报告。</w:t>
      </w:r>
    </w:p>
    <w:p w14:paraId="7A6DD5CF">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现文：3.评标程序</w:t>
      </w:r>
    </w:p>
    <w:p w14:paraId="62B07217">
      <w:pPr>
        <w:spacing w:line="360" w:lineRule="auto"/>
        <w:ind w:firstLine="422" w:firstLineChars="200"/>
        <w:rPr>
          <w:rFonts w:ascii="宋体" w:hAnsi="宋体" w:eastAsia="宋体" w:cs="宋体"/>
          <w:color w:val="auto"/>
          <w:szCs w:val="21"/>
          <w:highlight w:val="none"/>
        </w:rPr>
      </w:pPr>
      <w:r>
        <w:rPr>
          <w:rFonts w:hint="eastAsia" w:ascii="宋体" w:hAnsi="宋体" w:eastAsia="宋体" w:cs="宋体"/>
          <w:b/>
          <w:bCs/>
          <w:color w:val="auto"/>
          <w:szCs w:val="21"/>
          <w:highlight w:val="none"/>
          <w:u w:val="single"/>
        </w:rPr>
        <w:t>评标委员会在开始评标前，应了解评标专家的职责及守则，认真阅读《评标委员会成员声明》的内容并签名，签字后方可进行评标。</w:t>
      </w:r>
      <w:r>
        <w:rPr>
          <w:rFonts w:hint="eastAsia" w:ascii="宋体" w:hAnsi="宋体" w:eastAsia="宋体" w:cs="宋体"/>
          <w:color w:val="auto"/>
          <w:szCs w:val="21"/>
          <w:highlight w:val="none"/>
        </w:rPr>
        <w:t>评标活动按</w:t>
      </w:r>
      <w:r>
        <w:rPr>
          <w:rFonts w:hint="eastAsia" w:ascii="宋体" w:hAnsi="宋体" w:eastAsia="宋体" w:cs="宋体"/>
          <w:b/>
          <w:bCs/>
          <w:color w:val="auto"/>
          <w:szCs w:val="21"/>
          <w:highlight w:val="none"/>
          <w:u w:val="single"/>
        </w:rPr>
        <w:t>以下步</w:t>
      </w:r>
      <w:r>
        <w:rPr>
          <w:rFonts w:hint="eastAsia" w:ascii="宋体" w:hAnsi="宋体" w:eastAsia="宋体" w:cs="宋体"/>
          <w:color w:val="auto"/>
          <w:szCs w:val="21"/>
          <w:highlight w:val="none"/>
        </w:rPr>
        <w:t>骤进行：</w:t>
      </w:r>
    </w:p>
    <w:p w14:paraId="2615BAFE">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（1）商务文件初步评审（含商务文件形式评审、商务文件响应性评审）及资格评审；</w:t>
      </w:r>
    </w:p>
    <w:p w14:paraId="2AB3659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（2）商务文件详细评审；</w:t>
      </w:r>
    </w:p>
    <w:p w14:paraId="3F4BFD22">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（3）技术文件初步评审；</w:t>
      </w:r>
    </w:p>
    <w:p w14:paraId="613AE78D">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（4）技术文件详细评审；</w:t>
      </w:r>
    </w:p>
    <w:p w14:paraId="2BD2032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（5）揭晓技术文件评审结果；</w:t>
      </w:r>
    </w:p>
    <w:p w14:paraId="32CF134F">
      <w:pPr>
        <w:spacing w:line="360" w:lineRule="auto"/>
        <w:ind w:firstLine="422" w:firstLineChars="200"/>
        <w:rPr>
          <w:rFonts w:ascii="宋体" w:hAnsi="宋体" w:eastAsia="宋体" w:cs="宋体"/>
          <w:b/>
          <w:bCs/>
          <w:color w:val="auto"/>
          <w:szCs w:val="21"/>
          <w:highlight w:val="none"/>
          <w:u w:val="single"/>
        </w:rPr>
      </w:pPr>
      <w:r>
        <w:rPr>
          <w:rFonts w:hint="eastAsia" w:ascii="宋体" w:hAnsi="宋体" w:eastAsia="宋体" w:cs="宋体"/>
          <w:b/>
          <w:bCs/>
          <w:color w:val="auto"/>
          <w:szCs w:val="21"/>
          <w:highlight w:val="none"/>
          <w:u w:val="single"/>
        </w:rPr>
        <w:t>（6）投标报价详细评审；</w:t>
      </w:r>
    </w:p>
    <w:p w14:paraId="4D247D03">
      <w:pPr>
        <w:spacing w:line="360" w:lineRule="auto"/>
        <w:ind w:firstLine="422" w:firstLineChars="200"/>
        <w:rPr>
          <w:rFonts w:ascii="宋体" w:hAnsi="宋体" w:eastAsia="宋体" w:cs="宋体"/>
          <w:color w:val="auto"/>
          <w:szCs w:val="21"/>
          <w:highlight w:val="none"/>
        </w:rPr>
      </w:pPr>
      <w:r>
        <w:rPr>
          <w:rFonts w:hint="eastAsia" w:ascii="宋体" w:hAnsi="宋体" w:eastAsia="宋体" w:cs="宋体"/>
          <w:b/>
          <w:bCs/>
          <w:color w:val="auto"/>
          <w:szCs w:val="21"/>
          <w:highlight w:val="none"/>
          <w:u w:val="single"/>
        </w:rPr>
        <w:t>（7）</w:t>
      </w:r>
      <w:r>
        <w:rPr>
          <w:rFonts w:hint="eastAsia" w:ascii="宋体" w:hAnsi="宋体" w:eastAsia="宋体" w:cs="宋体"/>
          <w:color w:val="auto"/>
          <w:szCs w:val="21"/>
          <w:highlight w:val="none"/>
        </w:rPr>
        <w:t>汇总投标人总得分；</w:t>
      </w:r>
    </w:p>
    <w:p w14:paraId="0BDCC897">
      <w:pPr>
        <w:pBdr>
          <w:bottom w:val="single" w:color="auto" w:sz="6" w:space="1"/>
        </w:pBdr>
        <w:spacing w:line="360" w:lineRule="auto"/>
        <w:ind w:firstLine="422" w:firstLineChars="200"/>
        <w:rPr>
          <w:rFonts w:ascii="宋体" w:hAnsi="宋体" w:eastAsia="宋体" w:cs="宋体"/>
          <w:strike/>
          <w:color w:val="auto"/>
          <w:szCs w:val="21"/>
          <w:highlight w:val="none"/>
        </w:rPr>
      </w:pPr>
      <w:r>
        <w:rPr>
          <w:rFonts w:hint="eastAsia" w:ascii="宋体" w:hAnsi="宋体" w:eastAsia="宋体" w:cs="宋体"/>
          <w:b/>
          <w:bCs/>
          <w:color w:val="auto"/>
          <w:szCs w:val="21"/>
          <w:highlight w:val="none"/>
          <w:u w:val="single"/>
        </w:rPr>
        <w:t>（8）</w:t>
      </w:r>
      <w:r>
        <w:rPr>
          <w:rFonts w:hint="eastAsia" w:ascii="宋体" w:hAnsi="宋体" w:eastAsia="宋体" w:cs="宋体"/>
          <w:color w:val="auto"/>
          <w:szCs w:val="21"/>
          <w:highlight w:val="none"/>
        </w:rPr>
        <w:t>推荐</w:t>
      </w:r>
      <w:r>
        <w:rPr>
          <w:rFonts w:hint="eastAsia" w:ascii="宋体" w:hAnsi="宋体" w:eastAsia="宋体" w:cs="宋体"/>
          <w:b/>
          <w:bCs/>
          <w:color w:val="auto"/>
          <w:szCs w:val="21"/>
          <w:highlight w:val="none"/>
          <w:u w:val="single"/>
        </w:rPr>
        <w:t>合格中标候选人</w:t>
      </w:r>
      <w:r>
        <w:rPr>
          <w:rFonts w:hint="eastAsia" w:ascii="宋体" w:hAnsi="宋体" w:eastAsia="宋体" w:cs="宋体"/>
          <w:color w:val="auto"/>
          <w:szCs w:val="21"/>
          <w:highlight w:val="none"/>
        </w:rPr>
        <w:t>，提交评标报告。</w:t>
      </w:r>
    </w:p>
    <w:p w14:paraId="3007FCEF">
      <w:pPr>
        <w:wordWrap w:val="0"/>
        <w:spacing w:line="360" w:lineRule="auto"/>
        <w:ind w:firstLine="420" w:firstLineChars="200"/>
        <w:rPr>
          <w:rFonts w:ascii="宋体" w:hAnsi="宋体" w:eastAsia="宋体"/>
          <w:bCs/>
          <w:color w:val="auto"/>
          <w:szCs w:val="21"/>
          <w:highlight w:val="none"/>
        </w:rPr>
      </w:pPr>
      <w:r>
        <w:rPr>
          <w:rFonts w:hint="eastAsia" w:ascii="宋体" w:hAnsi="宋体" w:eastAsia="宋体"/>
          <w:bCs/>
          <w:color w:val="auto"/>
          <w:szCs w:val="21"/>
          <w:highlight w:val="none"/>
        </w:rPr>
        <w:t>条款号：3.1          修改类型：修改</w:t>
      </w:r>
    </w:p>
    <w:p w14:paraId="3D7F1984">
      <w:pPr>
        <w:wordWrap w:val="0"/>
        <w:spacing w:line="360" w:lineRule="auto"/>
        <w:ind w:firstLine="420" w:firstLineChars="200"/>
        <w:rPr>
          <w:rFonts w:ascii="宋体" w:hAnsi="宋体" w:eastAsia="宋体"/>
          <w:bCs/>
          <w:color w:val="auto"/>
          <w:szCs w:val="21"/>
          <w:highlight w:val="none"/>
        </w:rPr>
      </w:pPr>
      <w:r>
        <w:rPr>
          <w:rFonts w:hint="eastAsia" w:ascii="宋体" w:hAnsi="宋体" w:eastAsia="宋体"/>
          <w:bCs/>
          <w:color w:val="auto"/>
          <w:szCs w:val="21"/>
          <w:highlight w:val="none"/>
        </w:rPr>
        <w:t>原文：3.1 商务文件初步评审及资格评审</w:t>
      </w:r>
    </w:p>
    <w:p w14:paraId="5002BBBD">
      <w:pPr>
        <w:pBdr>
          <w:bottom w:val="single" w:color="auto" w:sz="6" w:space="1"/>
        </w:pBdr>
        <w:wordWrap w:val="0"/>
        <w:spacing w:line="360" w:lineRule="auto"/>
        <w:ind w:firstLine="420" w:firstLineChars="200"/>
        <w:rPr>
          <w:rFonts w:ascii="宋体" w:hAnsi="宋体" w:eastAsia="宋体"/>
          <w:b/>
          <w:bCs/>
          <w:color w:val="auto"/>
          <w:szCs w:val="21"/>
          <w:highlight w:val="none"/>
          <w:u w:val="single"/>
        </w:rPr>
      </w:pPr>
      <w:r>
        <w:rPr>
          <w:rFonts w:hint="eastAsia" w:ascii="宋体" w:hAnsi="宋体" w:eastAsia="宋体"/>
          <w:bCs/>
          <w:color w:val="auto"/>
          <w:szCs w:val="21"/>
          <w:highlight w:val="none"/>
        </w:rPr>
        <w:t>现文：3.1</w:t>
      </w:r>
      <w:r>
        <w:rPr>
          <w:rFonts w:hint="eastAsia" w:ascii="宋体" w:hAnsi="宋体" w:eastAsia="宋体"/>
          <w:b/>
          <w:bCs/>
          <w:color w:val="auto"/>
          <w:szCs w:val="21"/>
          <w:highlight w:val="none"/>
        </w:rPr>
        <w:t xml:space="preserve"> </w:t>
      </w:r>
      <w:r>
        <w:rPr>
          <w:rFonts w:hint="eastAsia" w:ascii="宋体" w:hAnsi="宋体" w:eastAsia="宋体"/>
          <w:b/>
          <w:bCs/>
          <w:color w:val="auto"/>
          <w:szCs w:val="21"/>
          <w:highlight w:val="none"/>
          <w:u w:val="single"/>
        </w:rPr>
        <w:t>商务文件形式评审、资格评审、商务文件响应性评审</w:t>
      </w:r>
    </w:p>
    <w:p w14:paraId="13E912E3">
      <w:pPr>
        <w:wordWrap w:val="0"/>
        <w:spacing w:line="360" w:lineRule="auto"/>
        <w:ind w:firstLine="420" w:firstLineChars="200"/>
        <w:rPr>
          <w:rFonts w:ascii="宋体" w:hAnsi="宋体" w:eastAsia="宋体"/>
          <w:bCs/>
          <w:color w:val="auto"/>
          <w:szCs w:val="21"/>
          <w:highlight w:val="none"/>
        </w:rPr>
      </w:pPr>
      <w:r>
        <w:rPr>
          <w:rFonts w:hint="eastAsia" w:ascii="宋体" w:hAnsi="宋体" w:eastAsia="宋体"/>
          <w:bCs/>
          <w:color w:val="auto"/>
          <w:szCs w:val="21"/>
          <w:highlight w:val="none"/>
        </w:rPr>
        <w:t>条款号：3.1.1        修改类型：修改</w:t>
      </w:r>
    </w:p>
    <w:p w14:paraId="6F863E0B">
      <w:pPr>
        <w:wordWrap w:val="0"/>
        <w:spacing w:line="360" w:lineRule="auto"/>
        <w:ind w:firstLine="420" w:firstLineChars="200"/>
        <w:rPr>
          <w:rFonts w:ascii="宋体" w:hAnsi="宋体" w:eastAsia="宋体"/>
          <w:color w:val="auto"/>
          <w:szCs w:val="21"/>
          <w:highlight w:val="none"/>
        </w:rPr>
      </w:pPr>
      <w:r>
        <w:rPr>
          <w:rFonts w:hint="eastAsia" w:ascii="宋体" w:hAnsi="宋体" w:eastAsia="宋体"/>
          <w:bCs/>
          <w:color w:val="auto"/>
          <w:szCs w:val="21"/>
          <w:highlight w:val="none"/>
        </w:rPr>
        <w:t>原文：</w:t>
      </w:r>
      <w:r>
        <w:rPr>
          <w:rFonts w:hint="eastAsia" w:ascii="宋体" w:hAnsi="宋体" w:eastAsia="宋体" w:cs="宋体"/>
          <w:color w:val="auto"/>
          <w:szCs w:val="21"/>
          <w:highlight w:val="none"/>
        </w:rPr>
        <w:t>3.1.1 评标委员会如认为有必要，可以要求投标人提交第二章“投标人须知”规定的有关证明和证件的原件，以便核验。评标委员会依据本章第2.1款规定的标准对投标文件进行商务文件、资格审查文件初步评审。有一项不符合评审标准的，评标委员会应当否决其投标，未能通过初步评审的投标人，其投标不再参与后续的评审程序。如果有否决投标提议，则评标委员会成员共同表决，按照少数服从多数的原则决定是否否决其投标。若有效投标不足3个的，或当N个标段同时招标且不允许兼中时，有效投标人不足N+2家的，应当对投标是否明显缺乏竞争和是否需要否决全部投标进行充分论证，并在评标报告中记载论证过程和结果。如评标委员会成员的评审意见不一致时，以评标委员会过半数成员的意见作为评标委员会对该情形的认定结论。</w:t>
      </w:r>
    </w:p>
    <w:p w14:paraId="0C0712F3">
      <w:pPr>
        <w:pBdr>
          <w:bottom w:val="single" w:color="auto" w:sz="6" w:space="1"/>
        </w:pBdr>
        <w:wordWrap w:val="0"/>
        <w:spacing w:line="360" w:lineRule="auto"/>
        <w:ind w:firstLine="420" w:firstLineChars="200"/>
        <w:rPr>
          <w:rFonts w:ascii="宋体" w:hAnsi="宋体" w:eastAsia="宋体" w:cs="宋体"/>
          <w:color w:val="auto"/>
          <w:szCs w:val="21"/>
          <w:highlight w:val="none"/>
        </w:rPr>
      </w:pPr>
      <w:r>
        <w:rPr>
          <w:rFonts w:hint="eastAsia" w:ascii="宋体" w:hAnsi="宋体" w:eastAsia="宋体"/>
          <w:bCs/>
          <w:color w:val="auto"/>
          <w:szCs w:val="21"/>
          <w:highlight w:val="none"/>
        </w:rPr>
        <w:t>现文：</w:t>
      </w:r>
      <w:r>
        <w:rPr>
          <w:rFonts w:hint="eastAsia" w:ascii="宋体" w:hAnsi="宋体" w:eastAsia="宋体" w:cs="宋体"/>
          <w:color w:val="auto"/>
          <w:szCs w:val="21"/>
          <w:highlight w:val="none"/>
        </w:rPr>
        <w:t>3.1.1 评标委员会如认为有必要，可以要求投标人提交第二章“投标人须知”规定的有关证明和证件的原件，以便核验。评标委员会依据本章第2.1款规定的标准对投标文件进行</w:t>
      </w:r>
      <w:r>
        <w:rPr>
          <w:rFonts w:hint="eastAsia" w:ascii="宋体" w:hAnsi="宋体" w:eastAsia="宋体"/>
          <w:b/>
          <w:bCs/>
          <w:color w:val="auto"/>
          <w:szCs w:val="21"/>
          <w:highlight w:val="none"/>
          <w:u w:val="single"/>
        </w:rPr>
        <w:t>商务文件形式评审、资格评审、商务文件响应性评审</w:t>
      </w:r>
      <w:r>
        <w:rPr>
          <w:rFonts w:hint="eastAsia" w:ascii="宋体" w:hAnsi="宋体" w:eastAsia="宋体" w:cs="宋体"/>
          <w:color w:val="auto"/>
          <w:szCs w:val="21"/>
          <w:highlight w:val="none"/>
        </w:rPr>
        <w:t>。有一项不符合评审标准的，评标委员会应当否决其投标，未能通过</w:t>
      </w:r>
      <w:r>
        <w:rPr>
          <w:rFonts w:hint="eastAsia" w:ascii="宋体" w:hAnsi="宋体" w:eastAsia="宋体"/>
          <w:b/>
          <w:bCs/>
          <w:color w:val="auto"/>
          <w:szCs w:val="21"/>
          <w:highlight w:val="none"/>
          <w:u w:val="single"/>
        </w:rPr>
        <w:t>商务文件形式评审、资格评审、商务文件响应性评审</w:t>
      </w:r>
      <w:r>
        <w:rPr>
          <w:rFonts w:hint="eastAsia" w:ascii="宋体" w:hAnsi="宋体" w:eastAsia="宋体" w:cs="宋体"/>
          <w:color w:val="auto"/>
          <w:szCs w:val="21"/>
          <w:highlight w:val="none"/>
        </w:rPr>
        <w:t>的投标人，其投标不再参与后续的评审程序。如果有否决投标提议，则评标委员会成员共同表决，按照少数服从多数的原则决定是否否决其投标。</w:t>
      </w:r>
      <w:r>
        <w:rPr>
          <w:rFonts w:hint="eastAsia" w:ascii="宋体" w:hAnsi="宋体" w:eastAsia="宋体" w:cs="宋体"/>
          <w:strike/>
          <w:color w:val="auto"/>
          <w:szCs w:val="21"/>
          <w:highlight w:val="none"/>
        </w:rPr>
        <w:t>若有效投标不足3个的，或当N个标段同时招标且不允许兼中时，有效投标人不足N+2家的，应当对投标是否明显缺乏竞争和是否需要否决全部投标进行充分论证，并在评标报告中记载论证过程和结果。如评标委员会成员的评审意见不一致时，以评标委员会过半数成员的意见作为评标委员会对该情形的认定结论。</w:t>
      </w:r>
    </w:p>
    <w:p w14:paraId="066EBDF0">
      <w:pPr>
        <w:wordWrap w:val="0"/>
        <w:spacing w:line="360" w:lineRule="auto"/>
        <w:ind w:firstLine="420" w:firstLineChars="200"/>
        <w:rPr>
          <w:rFonts w:ascii="宋体" w:hAnsi="宋体" w:eastAsia="宋体"/>
          <w:bCs/>
          <w:color w:val="auto"/>
          <w:szCs w:val="21"/>
          <w:highlight w:val="none"/>
        </w:rPr>
      </w:pPr>
      <w:r>
        <w:rPr>
          <w:rFonts w:hint="eastAsia" w:ascii="宋体" w:hAnsi="宋体" w:eastAsia="宋体"/>
          <w:bCs/>
          <w:color w:val="auto"/>
          <w:szCs w:val="21"/>
          <w:highlight w:val="none"/>
        </w:rPr>
        <w:t>条款号：3.1.5        修改类型：删除</w:t>
      </w:r>
    </w:p>
    <w:p w14:paraId="61794281">
      <w:pPr>
        <w:pBdr>
          <w:bottom w:val="single" w:color="auto" w:sz="6" w:space="1"/>
        </w:pBdr>
        <w:wordWrap w:val="0"/>
        <w:spacing w:line="360" w:lineRule="auto"/>
        <w:ind w:firstLine="420" w:firstLineChars="200"/>
        <w:rPr>
          <w:rFonts w:ascii="宋体" w:hAnsi="宋体" w:eastAsia="宋体"/>
          <w:color w:val="auto"/>
          <w:szCs w:val="21"/>
          <w:highlight w:val="none"/>
        </w:rPr>
      </w:pPr>
      <w:r>
        <w:rPr>
          <w:rFonts w:hint="eastAsia" w:ascii="宋体" w:hAnsi="宋体" w:eastAsia="宋体"/>
          <w:bCs/>
          <w:color w:val="auto"/>
          <w:szCs w:val="21"/>
          <w:highlight w:val="none"/>
        </w:rPr>
        <w:t>原文：</w:t>
      </w:r>
      <w:r>
        <w:rPr>
          <w:rFonts w:hint="eastAsia" w:ascii="宋体" w:hAnsi="宋体" w:eastAsia="宋体" w:cs="宋体"/>
          <w:color w:val="auto"/>
          <w:szCs w:val="21"/>
          <w:highlight w:val="none"/>
        </w:rPr>
        <w:t>3.1.5 有效投标不足三个的，评标委员会应当对投标是否明显缺乏竞争和是否需要否决全部投标进行充分论证，并在评标报告中记载论证过程和结果。</w:t>
      </w:r>
    </w:p>
    <w:p w14:paraId="03F9300D">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条款号：3.2.2             修改类型：修改</w:t>
      </w:r>
    </w:p>
    <w:p w14:paraId="09B5066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原文：3.2.2 评标委员会按本章第2.2.4（1）款规定的评审因素和分值计算各投标人商务文件的得分A，</w:t>
      </w:r>
      <w:r>
        <w:rPr>
          <w:rFonts w:hint="eastAsia" w:ascii="宋体" w:hAnsi="宋体" w:eastAsia="宋体" w:cs="宋体"/>
          <w:color w:val="auto"/>
          <w:szCs w:val="21"/>
          <w:highlight w:val="none"/>
          <w:u w:val="single"/>
        </w:rPr>
        <w:t>商务文件的评审得分A为各评标专家打分的算术平均值（由招标人自行设置）</w:t>
      </w:r>
      <w:r>
        <w:rPr>
          <w:rFonts w:hint="eastAsia" w:ascii="宋体" w:hAnsi="宋体" w:eastAsia="宋体" w:cs="宋体"/>
          <w:color w:val="auto"/>
          <w:szCs w:val="21"/>
          <w:highlight w:val="none"/>
        </w:rPr>
        <w:t>，分数出现小数点，保留小数点后二位，第三位小数四舍五入。</w:t>
      </w:r>
    </w:p>
    <w:p w14:paraId="00C2EF7E">
      <w:pPr>
        <w:pBdr>
          <w:bottom w:val="single" w:color="auto" w:sz="6" w:space="1"/>
        </w:pBdr>
        <w:spacing w:line="360" w:lineRule="auto"/>
        <w:ind w:firstLine="420" w:firstLineChars="200"/>
        <w:rPr>
          <w:rFonts w:ascii="宋体" w:hAnsi="宋体" w:eastAsia="宋体" w:cs="宋体"/>
          <w:strike/>
          <w:color w:val="auto"/>
          <w:szCs w:val="21"/>
          <w:highlight w:val="none"/>
        </w:rPr>
      </w:pPr>
      <w:r>
        <w:rPr>
          <w:rFonts w:hint="eastAsia" w:ascii="宋体" w:hAnsi="宋体" w:eastAsia="宋体" w:cs="宋体"/>
          <w:color w:val="auto"/>
          <w:szCs w:val="21"/>
          <w:highlight w:val="none"/>
        </w:rPr>
        <w:t>现文：3.2.2 评标委员会按本章第2.2.4（1）款规定的评审因素和分值计算各投标人商务文件的得分A，</w:t>
      </w:r>
      <w:r>
        <w:rPr>
          <w:rFonts w:hint="eastAsia" w:ascii="宋体" w:hAnsi="宋体" w:eastAsia="宋体" w:cs="宋体"/>
          <w:b/>
          <w:bCs/>
          <w:color w:val="auto"/>
          <w:szCs w:val="21"/>
          <w:highlight w:val="none"/>
          <w:u w:val="single"/>
        </w:rPr>
        <w:t>商务文件的评审得分A为各评标专家打分汇总后去掉一个最高分和最低分的算术平均值</w:t>
      </w:r>
      <w:r>
        <w:rPr>
          <w:rFonts w:hint="eastAsia" w:ascii="宋体" w:hAnsi="宋体" w:eastAsia="宋体" w:cs="宋体"/>
          <w:color w:val="auto"/>
          <w:szCs w:val="21"/>
          <w:highlight w:val="none"/>
        </w:rPr>
        <w:t>，分数出现小数点，保留小数点后二位，第三位小数四舍五入。</w:t>
      </w:r>
    </w:p>
    <w:p w14:paraId="516A5AF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条款号：3.3.1             修改类型：修改</w:t>
      </w:r>
    </w:p>
    <w:p w14:paraId="783167D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原文：3.3.1评标委员会依据本章第 2.1.3（2）款规定的标准对投标文件进行技术文件初步评审。有一项不符合评审标准的，评标委员会应当否决其投标，未能通过技术文件初步评审的投标文件不能参加下一阶段评审程序。</w:t>
      </w:r>
    </w:p>
    <w:p w14:paraId="1A687BF1">
      <w:pPr>
        <w:spacing w:line="360" w:lineRule="auto"/>
        <w:ind w:firstLine="420" w:firstLineChars="200"/>
        <w:rPr>
          <w:rFonts w:ascii="宋体" w:hAnsi="宋体" w:eastAsia="宋体"/>
          <w:color w:val="auto"/>
          <w:highlight w:val="none"/>
        </w:rPr>
      </w:pPr>
      <w:r>
        <w:rPr>
          <w:rFonts w:hint="eastAsia" w:ascii="宋体" w:hAnsi="宋体" w:eastAsia="宋体" w:cs="宋体"/>
          <w:color w:val="auto"/>
          <w:szCs w:val="21"/>
          <w:highlight w:val="none"/>
        </w:rPr>
        <w:t>现文：3.3.1评标委员会依据本章第 2.1.3（2）款规定的标准对投标文件进行技术文件初步评审。有一项不符合评审标准的，评标委员会应当否决其投标，未能通过技术文件初步评审的投标文件不能参加下一阶段评审程序。</w:t>
      </w:r>
      <w:r>
        <w:rPr>
          <w:rFonts w:hint="eastAsia" w:ascii="宋体" w:hAnsi="宋体" w:eastAsia="宋体" w:cs="宋体"/>
          <w:b/>
          <w:bCs/>
          <w:color w:val="auto"/>
          <w:szCs w:val="21"/>
          <w:highlight w:val="none"/>
          <w:u w:val="single"/>
        </w:rPr>
        <w:t>如果有否决投标提议，则评标委员会成员共同表决，按照少数服从多数的原则决定是否否决其投标。</w:t>
      </w:r>
    </w:p>
    <w:p w14:paraId="35679D40">
      <w:pPr>
        <w:pBdr>
          <w:top w:val="single" w:color="auto" w:sz="6" w:space="1"/>
          <w:bottom w:val="single" w:color="auto" w:sz="6" w:space="1"/>
        </w:pBdr>
        <w:wordWrap w:val="0"/>
        <w:spacing w:line="360" w:lineRule="auto"/>
        <w:ind w:firstLine="420" w:firstLineChars="200"/>
        <w:rPr>
          <w:rFonts w:ascii="宋体" w:hAnsi="宋体" w:eastAsia="宋体" w:cs="宋体"/>
          <w:bCs/>
          <w:color w:val="auto"/>
          <w:szCs w:val="21"/>
          <w:highlight w:val="none"/>
        </w:rPr>
      </w:pPr>
      <w:r>
        <w:rPr>
          <w:rFonts w:hint="eastAsia" w:ascii="宋体" w:hAnsi="宋体" w:eastAsia="宋体" w:cs="宋体"/>
          <w:bCs/>
          <w:color w:val="auto"/>
          <w:szCs w:val="21"/>
          <w:highlight w:val="none"/>
        </w:rPr>
        <w:t>条款号：3.4.2        修改类型：修改</w:t>
      </w:r>
    </w:p>
    <w:p w14:paraId="63086BC7">
      <w:pPr>
        <w:pBdr>
          <w:top w:val="single" w:color="auto" w:sz="6" w:space="1"/>
          <w:bottom w:val="single" w:color="auto" w:sz="6" w:space="1"/>
        </w:pBdr>
        <w:wordWrap w:val="0"/>
        <w:spacing w:line="360" w:lineRule="auto"/>
        <w:ind w:firstLine="420" w:firstLineChars="200"/>
        <w:rPr>
          <w:rFonts w:ascii="宋体" w:hAnsi="宋体" w:eastAsia="宋体" w:cs="宋体"/>
          <w:color w:val="auto"/>
          <w:szCs w:val="21"/>
          <w:highlight w:val="none"/>
        </w:rPr>
      </w:pPr>
      <w:r>
        <w:rPr>
          <w:rFonts w:hint="eastAsia" w:ascii="宋体" w:hAnsi="宋体" w:eastAsia="宋体" w:cs="宋体"/>
          <w:bCs/>
          <w:color w:val="auto"/>
          <w:szCs w:val="21"/>
          <w:highlight w:val="none"/>
        </w:rPr>
        <w:t>原文：</w:t>
      </w:r>
      <w:r>
        <w:rPr>
          <w:rFonts w:hint="eastAsia" w:ascii="宋体" w:hAnsi="宋体" w:eastAsia="宋体" w:cs="宋体"/>
          <w:color w:val="auto"/>
          <w:szCs w:val="21"/>
          <w:highlight w:val="none"/>
        </w:rPr>
        <w:t>3.4.2 评标委员会按本章第2.2款规定的评审因素计算各投标人技术文件的得分B，（以下两种方法招标人自行选择）①技术文件评审得分B为从各评标专家打分中去掉一个最高分和去掉一个最低分后的剩余评标专家打分的算术平均值；②技术文件评审得分B为各评标专家打分的算术平均值，分数出现小数点，保留小数点后二位，第三位小数四舍五入。</w:t>
      </w:r>
    </w:p>
    <w:p w14:paraId="551B8EBA">
      <w:pPr>
        <w:pBdr>
          <w:top w:val="single" w:color="auto" w:sz="6" w:space="1"/>
          <w:bottom w:val="single" w:color="auto" w:sz="6" w:space="1"/>
        </w:pBdr>
        <w:wordWrap w:val="0"/>
        <w:spacing w:line="360" w:lineRule="auto"/>
        <w:ind w:firstLine="420" w:firstLineChars="200"/>
        <w:rPr>
          <w:rFonts w:ascii="宋体" w:hAnsi="宋体" w:eastAsia="宋体" w:cs="宋体"/>
          <w:b/>
          <w:color w:val="auto"/>
          <w:szCs w:val="21"/>
          <w:highlight w:val="none"/>
          <w:u w:val="single"/>
        </w:rPr>
      </w:pPr>
      <w:r>
        <w:rPr>
          <w:rFonts w:hint="eastAsia" w:ascii="宋体" w:hAnsi="宋体" w:eastAsia="宋体" w:cs="宋体"/>
          <w:color w:val="auto"/>
          <w:szCs w:val="21"/>
          <w:highlight w:val="none"/>
        </w:rPr>
        <w:t>现文：</w:t>
      </w:r>
      <w:r>
        <w:rPr>
          <w:rFonts w:ascii="宋体" w:hAnsi="宋体" w:eastAsia="宋体" w:cs="宋体"/>
          <w:color w:val="auto"/>
          <w:szCs w:val="21"/>
          <w:highlight w:val="none"/>
        </w:rPr>
        <w:t>3.4.2 评标委员会按本章第2.2款规定的评审因素计算各投标人技术文件的得分B，</w:t>
      </w:r>
      <w:r>
        <w:rPr>
          <w:rFonts w:ascii="宋体" w:hAnsi="宋体" w:eastAsia="宋体" w:cs="宋体"/>
          <w:strike/>
          <w:color w:val="auto"/>
          <w:szCs w:val="21"/>
          <w:highlight w:val="none"/>
        </w:rPr>
        <w:t>（以下两种方法招标人自行选择）</w:t>
      </w:r>
      <w:r>
        <w:rPr>
          <w:rFonts w:ascii="宋体" w:hAnsi="宋体" w:eastAsia="宋体" w:cs="宋体"/>
          <w:color w:val="auto"/>
          <w:szCs w:val="21"/>
          <w:highlight w:val="none"/>
        </w:rPr>
        <w:t>①技术文件评审得分B为从各评标专家打分中去掉一个最高分和去掉一个最低分后的剩余评标专家打分的算术平均值</w:t>
      </w:r>
      <w:r>
        <w:rPr>
          <w:rFonts w:ascii="宋体" w:hAnsi="宋体" w:eastAsia="宋体" w:cs="宋体"/>
          <w:strike/>
          <w:color w:val="auto"/>
          <w:szCs w:val="21"/>
          <w:highlight w:val="none"/>
        </w:rPr>
        <w:t>；②技术文件评审得分B为各评标专家打分的算术平均值</w:t>
      </w:r>
      <w:r>
        <w:rPr>
          <w:rFonts w:ascii="宋体" w:hAnsi="宋体" w:eastAsia="宋体" w:cs="宋体"/>
          <w:color w:val="auto"/>
          <w:szCs w:val="21"/>
          <w:highlight w:val="none"/>
        </w:rPr>
        <w:t xml:space="preserve">，分数出现小数点，保留小数点后二位，第三位小数四舍五入。 </w:t>
      </w:r>
      <w:r>
        <w:rPr>
          <w:rFonts w:hint="eastAsia" w:ascii="宋体" w:hAnsi="宋体" w:eastAsia="宋体" w:cs="宋体"/>
          <w:b/>
          <w:color w:val="auto"/>
          <w:szCs w:val="21"/>
          <w:highlight w:val="none"/>
          <w:u w:val="single"/>
        </w:rPr>
        <w:t>在同一主观因素打分中，当评标委员会各成员对同一投标文件同时给出最高档、最低档评分时，评标委员会负责人应及时组织评标委员会各成员集体会商，如会商后有关评标委员会成员仍坚持同时给出最高档、最低档评分的，应各自以书面方式阐述其意见和理由并记录在案。</w:t>
      </w:r>
    </w:p>
    <w:p w14:paraId="1D3F62D1">
      <w:pPr>
        <w:wordWrap w:val="0"/>
        <w:spacing w:line="360" w:lineRule="auto"/>
        <w:ind w:firstLine="420" w:firstLineChars="200"/>
        <w:rPr>
          <w:rFonts w:ascii="宋体" w:hAnsi="宋体" w:eastAsia="宋体"/>
          <w:bCs/>
          <w:color w:val="auto"/>
          <w:szCs w:val="21"/>
          <w:highlight w:val="none"/>
        </w:rPr>
      </w:pPr>
      <w:r>
        <w:rPr>
          <w:rFonts w:hint="eastAsia" w:ascii="宋体" w:hAnsi="宋体" w:eastAsia="宋体"/>
          <w:bCs/>
          <w:color w:val="auto"/>
          <w:szCs w:val="21"/>
          <w:highlight w:val="none"/>
        </w:rPr>
        <w:t>条款号：3.6        修改类型：修改</w:t>
      </w:r>
    </w:p>
    <w:p w14:paraId="23BEBF53">
      <w:pPr>
        <w:wordWrap w:val="0"/>
        <w:spacing w:line="360" w:lineRule="auto"/>
        <w:ind w:firstLine="420" w:firstLineChars="200"/>
        <w:rPr>
          <w:rFonts w:ascii="宋体" w:hAnsi="宋体" w:eastAsia="宋体"/>
          <w:bCs/>
          <w:color w:val="auto"/>
          <w:szCs w:val="21"/>
          <w:highlight w:val="none"/>
        </w:rPr>
      </w:pPr>
      <w:r>
        <w:rPr>
          <w:rFonts w:hint="eastAsia" w:ascii="宋体" w:hAnsi="宋体" w:eastAsia="宋体"/>
          <w:bCs/>
          <w:color w:val="auto"/>
          <w:szCs w:val="21"/>
          <w:highlight w:val="none"/>
        </w:rPr>
        <w:t>原文：3.6 汇总投标人总得分</w:t>
      </w:r>
    </w:p>
    <w:p w14:paraId="67BE8CFF">
      <w:pPr>
        <w:wordWrap w:val="0"/>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3.6.1 评标委员会按本章第2.2款规定的量化因素和分值进行打分，并计算出综合得分。</w:t>
      </w:r>
    </w:p>
    <w:p w14:paraId="1433F52C">
      <w:pPr>
        <w:wordWrap w:val="0"/>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（1）按本章第2.2.4（1）目规定的评审因素和分值对商务文件部分计算出得分A；</w:t>
      </w:r>
    </w:p>
    <w:p w14:paraId="285146FE">
      <w:pPr>
        <w:wordWrap w:val="0"/>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（2）按本章第2.2.4（2）目规定的评审因素和分值对技术文件部分计算出得分B；</w:t>
      </w:r>
    </w:p>
    <w:p w14:paraId="511D45FB">
      <w:pPr>
        <w:wordWrap w:val="0"/>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（3）按本章第2.2.4（3）目规定的评审因素和分值对投标报价计算出得分C；</w:t>
      </w:r>
    </w:p>
    <w:p w14:paraId="6B128180">
      <w:pPr>
        <w:wordWrap w:val="0"/>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（4）按本章第2.2.4（4）目规定的评审因素和分值对其他部分计算出得分D。</w:t>
      </w:r>
    </w:p>
    <w:p w14:paraId="3FFF0B1A">
      <w:pPr>
        <w:wordWrap w:val="0"/>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3.6.2 评分分值计算保留小数点后两位，小数点后第三位“四舍五入”。</w:t>
      </w:r>
    </w:p>
    <w:p w14:paraId="3659CB2C">
      <w:pPr>
        <w:wordWrap w:val="0"/>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3.6.3 投标人得分=A+B+C+D。</w:t>
      </w:r>
    </w:p>
    <w:p w14:paraId="2DD431F3">
      <w:pPr>
        <w:pBdr>
          <w:bottom w:val="single" w:color="auto" w:sz="6" w:space="1"/>
        </w:pBdr>
        <w:wordWrap w:val="0"/>
        <w:spacing w:line="360" w:lineRule="auto"/>
        <w:ind w:firstLine="420" w:firstLineChars="200"/>
        <w:rPr>
          <w:rFonts w:ascii="宋体" w:hAnsi="宋体" w:eastAsia="宋体"/>
          <w:b/>
          <w:bCs/>
          <w:color w:val="auto"/>
          <w:szCs w:val="21"/>
          <w:highlight w:val="none"/>
        </w:rPr>
      </w:pPr>
      <w:r>
        <w:rPr>
          <w:rFonts w:hint="eastAsia" w:ascii="宋体" w:hAnsi="宋体" w:eastAsia="宋体"/>
          <w:bCs/>
          <w:color w:val="auto"/>
          <w:szCs w:val="21"/>
          <w:highlight w:val="none"/>
        </w:rPr>
        <w:t xml:space="preserve">现文：3.6 </w:t>
      </w:r>
      <w:r>
        <w:rPr>
          <w:rFonts w:hint="eastAsia" w:ascii="宋体" w:hAnsi="宋体" w:eastAsia="宋体"/>
          <w:b/>
          <w:color w:val="auto"/>
          <w:szCs w:val="21"/>
          <w:highlight w:val="none"/>
          <w:u w:val="single"/>
        </w:rPr>
        <w:t>投标</w:t>
      </w:r>
      <w:r>
        <w:rPr>
          <w:rFonts w:hint="eastAsia" w:ascii="宋体" w:hAnsi="宋体" w:eastAsia="宋体"/>
          <w:b/>
          <w:bCs/>
          <w:color w:val="auto"/>
          <w:szCs w:val="21"/>
          <w:highlight w:val="none"/>
          <w:u w:val="single"/>
        </w:rPr>
        <w:t>报价评审及</w:t>
      </w:r>
      <w:r>
        <w:rPr>
          <w:rFonts w:hint="eastAsia" w:ascii="宋体" w:hAnsi="宋体" w:eastAsia="宋体"/>
          <w:bCs/>
          <w:color w:val="auto"/>
          <w:szCs w:val="21"/>
          <w:highlight w:val="none"/>
        </w:rPr>
        <w:t>汇总投标人总得分</w:t>
      </w:r>
    </w:p>
    <w:p w14:paraId="408CFE62">
      <w:pPr>
        <w:pBdr>
          <w:bottom w:val="single" w:color="auto" w:sz="6" w:space="1"/>
        </w:pBdr>
        <w:wordWrap w:val="0"/>
        <w:spacing w:line="360" w:lineRule="auto"/>
        <w:ind w:firstLine="420" w:firstLineChars="200"/>
        <w:rPr>
          <w:rFonts w:ascii="宋体" w:hAnsi="宋体" w:eastAsia="宋体"/>
          <w:b/>
          <w:bCs/>
          <w:color w:val="auto"/>
          <w:szCs w:val="21"/>
          <w:highlight w:val="none"/>
          <w:u w:val="single"/>
        </w:rPr>
      </w:pPr>
      <w:r>
        <w:rPr>
          <w:rFonts w:hint="eastAsia" w:ascii="宋体" w:hAnsi="宋体" w:eastAsia="宋体"/>
          <w:color w:val="auto"/>
          <w:szCs w:val="21"/>
          <w:highlight w:val="none"/>
        </w:rPr>
        <w:t xml:space="preserve">3.6.1 </w:t>
      </w:r>
      <w:r>
        <w:rPr>
          <w:rFonts w:hint="eastAsia" w:ascii="宋体" w:hAnsi="宋体" w:eastAsia="宋体"/>
          <w:b/>
          <w:color w:val="auto"/>
          <w:szCs w:val="21"/>
          <w:highlight w:val="none"/>
          <w:u w:val="single"/>
        </w:rPr>
        <w:t>投标</w:t>
      </w:r>
      <w:r>
        <w:rPr>
          <w:rFonts w:hint="eastAsia" w:ascii="宋体" w:hAnsi="宋体" w:eastAsia="宋体"/>
          <w:b/>
          <w:bCs/>
          <w:color w:val="auto"/>
          <w:szCs w:val="21"/>
          <w:highlight w:val="none"/>
          <w:u w:val="single"/>
        </w:rPr>
        <w:t>报价评审，评标委员会按本章第2.2款规定的评审因素计算各投标人</w:t>
      </w:r>
      <w:r>
        <w:rPr>
          <w:rFonts w:hint="eastAsia" w:ascii="宋体" w:hAnsi="宋体" w:eastAsia="宋体"/>
          <w:b/>
          <w:bCs/>
          <w:color w:val="auto"/>
          <w:szCs w:val="21"/>
          <w:highlight w:val="none"/>
          <w:u w:val="single"/>
          <w:lang w:val="en-US" w:eastAsia="zh-CN"/>
        </w:rPr>
        <w:t>报价</w:t>
      </w:r>
      <w:r>
        <w:rPr>
          <w:rFonts w:hint="eastAsia" w:ascii="宋体" w:hAnsi="宋体" w:eastAsia="宋体"/>
          <w:b/>
          <w:bCs/>
          <w:color w:val="auto"/>
          <w:szCs w:val="21"/>
          <w:highlight w:val="none"/>
          <w:u w:val="single"/>
        </w:rPr>
        <w:t>文件的得分C，分数出现小数点，保留小数点后二位，第三位小数四舍五入。</w:t>
      </w:r>
    </w:p>
    <w:p w14:paraId="7C07DDE6">
      <w:pPr>
        <w:pBdr>
          <w:bottom w:val="single" w:color="auto" w:sz="6" w:space="1"/>
        </w:pBdr>
        <w:spacing w:line="360" w:lineRule="auto"/>
        <w:ind w:firstLine="420" w:firstLineChars="200"/>
        <w:rPr>
          <w:rFonts w:ascii="宋体" w:hAnsi="宋体" w:eastAsia="宋体" w:cs="宋体"/>
          <w:color w:val="auto"/>
          <w:szCs w:val="21"/>
          <w:highlight w:val="none"/>
        </w:rPr>
      </w:pPr>
      <w:r>
        <w:rPr>
          <w:rFonts w:hint="eastAsia" w:ascii="宋体" w:hAnsi="宋体" w:eastAsia="宋体"/>
          <w:color w:val="auto"/>
          <w:szCs w:val="21"/>
          <w:highlight w:val="none"/>
        </w:rPr>
        <w:t xml:space="preserve">3.6.2 </w:t>
      </w:r>
      <w:r>
        <w:rPr>
          <w:rFonts w:hint="eastAsia" w:ascii="宋体" w:hAnsi="宋体" w:eastAsia="宋体" w:cs="宋体"/>
          <w:b/>
          <w:bCs/>
          <w:color w:val="auto"/>
          <w:szCs w:val="21"/>
          <w:highlight w:val="none"/>
          <w:u w:val="single"/>
        </w:rPr>
        <w:t>评标委员会按本章第2.2.1款的规定汇总各投标人的总得分。</w:t>
      </w:r>
    </w:p>
    <w:p w14:paraId="54D8BAC3">
      <w:pPr>
        <w:wordWrap w:val="0"/>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条款号：4.          修改类型：增加</w:t>
      </w:r>
    </w:p>
    <w:p w14:paraId="1981AE92">
      <w:pPr>
        <w:spacing w:line="360" w:lineRule="auto"/>
        <w:ind w:firstLine="420" w:firstLineChars="200"/>
        <w:rPr>
          <w:rFonts w:ascii="宋体" w:hAnsi="宋体" w:eastAsia="宋体" w:cs="宋体"/>
          <w:b/>
          <w:bCs/>
          <w:color w:val="auto"/>
          <w:szCs w:val="21"/>
          <w:highlight w:val="none"/>
        </w:rPr>
      </w:pPr>
      <w:r>
        <w:rPr>
          <w:rFonts w:hint="eastAsia" w:ascii="宋体" w:hAnsi="宋体" w:eastAsia="宋体" w:cs="宋体"/>
          <w:color w:val="auto"/>
          <w:szCs w:val="21"/>
          <w:highlight w:val="none"/>
        </w:rPr>
        <w:t>现文：</w:t>
      </w:r>
      <w:bookmarkStart w:id="203" w:name="OLE_LINK31"/>
      <w:r>
        <w:rPr>
          <w:rFonts w:hint="eastAsia" w:ascii="宋体" w:hAnsi="宋体" w:eastAsia="宋体" w:cs="宋体"/>
          <w:b/>
          <w:bCs/>
          <w:color w:val="auto"/>
          <w:szCs w:val="21"/>
          <w:highlight w:val="none"/>
          <w:u w:val="single"/>
        </w:rPr>
        <w:t>4.定标</w:t>
      </w:r>
    </w:p>
    <w:p w14:paraId="1F12E7D0">
      <w:pPr>
        <w:spacing w:line="360" w:lineRule="auto"/>
        <w:ind w:firstLine="422" w:firstLineChars="200"/>
        <w:rPr>
          <w:rFonts w:ascii="宋体" w:hAnsi="宋体" w:eastAsia="宋体" w:cs="宋体"/>
          <w:b/>
          <w:color w:val="auto"/>
          <w:szCs w:val="21"/>
          <w:highlight w:val="none"/>
          <w:u w:val="single"/>
        </w:rPr>
      </w:pPr>
      <w:r>
        <w:rPr>
          <w:rFonts w:hint="eastAsia" w:ascii="宋体" w:hAnsi="宋体" w:eastAsia="宋体" w:cs="宋体"/>
          <w:b/>
          <w:color w:val="auto"/>
          <w:szCs w:val="21"/>
          <w:highlight w:val="none"/>
          <w:u w:val="single"/>
        </w:rPr>
        <w:t>在合格中标候选人公示期间或在定标前，如有合格中标候选人放弃中标候选人资格或者被查实存在影响中标候选人资格的违法行为等情形，且合格中标候选人至少有 1 名的，招标人不再递补其他合格中标候选人，可以继续定标或依法重新招标；如没有合格中标候选人的，则依法重新招标。</w:t>
      </w:r>
    </w:p>
    <w:bookmarkEnd w:id="203"/>
    <w:p w14:paraId="3353E90F">
      <w:pPr>
        <w:wordWrap w:val="0"/>
        <w:spacing w:line="360" w:lineRule="auto"/>
        <w:ind w:firstLine="422" w:firstLineChars="200"/>
        <w:rPr>
          <w:rFonts w:ascii="宋体" w:hAnsi="宋体" w:eastAsia="宋体"/>
          <w:b/>
          <w:bCs/>
          <w:color w:val="auto"/>
          <w:szCs w:val="21"/>
          <w:highlight w:val="none"/>
          <w:u w:val="single"/>
        </w:rPr>
      </w:pPr>
      <w:r>
        <w:rPr>
          <w:rFonts w:hint="eastAsia" w:ascii="宋体" w:hAnsi="宋体" w:eastAsia="宋体"/>
          <w:b/>
          <w:bCs/>
          <w:color w:val="auto"/>
          <w:szCs w:val="21"/>
          <w:highlight w:val="none"/>
          <w:u w:val="single"/>
        </w:rPr>
        <w:t>4.1 定标时间和地点</w:t>
      </w:r>
    </w:p>
    <w:p w14:paraId="3520BDC4">
      <w:pPr>
        <w:wordWrap w:val="0"/>
        <w:spacing w:line="360" w:lineRule="auto"/>
        <w:ind w:firstLine="422" w:firstLineChars="200"/>
        <w:rPr>
          <w:rFonts w:ascii="宋体" w:hAnsi="宋体" w:eastAsia="宋体"/>
          <w:b/>
          <w:bCs/>
          <w:color w:val="auto"/>
          <w:szCs w:val="21"/>
          <w:highlight w:val="none"/>
          <w:u w:val="single"/>
        </w:rPr>
      </w:pPr>
      <w:r>
        <w:rPr>
          <w:rFonts w:hint="eastAsia" w:ascii="宋体" w:hAnsi="宋体" w:eastAsia="宋体"/>
          <w:b/>
          <w:bCs/>
          <w:color w:val="auto"/>
          <w:szCs w:val="21"/>
          <w:highlight w:val="none"/>
          <w:u w:val="single"/>
        </w:rPr>
        <w:t>招标人在合格中标候选人公示结束后5个工作日内在广州交易集团有限公司（广州公共资源交易中心）开展定标工作，招标人按规定程序完成定标工作。</w:t>
      </w:r>
    </w:p>
    <w:p w14:paraId="441CCF76">
      <w:pPr>
        <w:wordWrap w:val="0"/>
        <w:spacing w:line="360" w:lineRule="auto"/>
        <w:ind w:firstLine="422" w:firstLineChars="200"/>
        <w:rPr>
          <w:rFonts w:ascii="宋体" w:hAnsi="宋体" w:eastAsia="宋体"/>
          <w:b/>
          <w:bCs/>
          <w:color w:val="auto"/>
          <w:szCs w:val="21"/>
          <w:highlight w:val="none"/>
          <w:u w:val="single"/>
        </w:rPr>
      </w:pPr>
      <w:r>
        <w:rPr>
          <w:rFonts w:hint="eastAsia" w:ascii="宋体" w:hAnsi="宋体" w:eastAsia="宋体"/>
          <w:b/>
          <w:bCs/>
          <w:color w:val="auto"/>
          <w:szCs w:val="21"/>
          <w:highlight w:val="none"/>
          <w:u w:val="single"/>
        </w:rPr>
        <w:t>4.2 定标委员会</w:t>
      </w:r>
    </w:p>
    <w:p w14:paraId="204FB1BE">
      <w:pPr>
        <w:wordWrap w:val="0"/>
        <w:spacing w:line="360" w:lineRule="auto"/>
        <w:ind w:firstLine="422" w:firstLineChars="200"/>
        <w:rPr>
          <w:rFonts w:ascii="宋体" w:hAnsi="宋体" w:eastAsia="宋体"/>
          <w:b/>
          <w:bCs/>
          <w:color w:val="auto"/>
          <w:szCs w:val="21"/>
          <w:highlight w:val="none"/>
          <w:u w:val="single"/>
        </w:rPr>
      </w:pPr>
      <w:r>
        <w:rPr>
          <w:rFonts w:hint="eastAsia" w:ascii="宋体" w:hAnsi="宋体" w:eastAsia="宋体"/>
          <w:b/>
          <w:bCs/>
          <w:color w:val="auto"/>
          <w:szCs w:val="21"/>
          <w:highlight w:val="none"/>
          <w:u w:val="single"/>
        </w:rPr>
        <w:t>成员数量为5人，由招标人组建。</w:t>
      </w:r>
    </w:p>
    <w:p w14:paraId="2C6291A1">
      <w:pPr>
        <w:wordWrap w:val="0"/>
        <w:spacing w:line="360" w:lineRule="auto"/>
        <w:ind w:firstLine="422" w:firstLineChars="200"/>
        <w:rPr>
          <w:rFonts w:ascii="宋体" w:hAnsi="宋体" w:eastAsia="宋体"/>
          <w:b/>
          <w:bCs/>
          <w:color w:val="auto"/>
          <w:szCs w:val="21"/>
          <w:highlight w:val="none"/>
          <w:u w:val="single"/>
        </w:rPr>
      </w:pPr>
      <w:r>
        <w:rPr>
          <w:rFonts w:hint="eastAsia" w:ascii="宋体" w:hAnsi="宋体" w:eastAsia="宋体"/>
          <w:b/>
          <w:bCs/>
          <w:color w:val="auto"/>
          <w:szCs w:val="21"/>
          <w:highlight w:val="none"/>
          <w:u w:val="single"/>
        </w:rPr>
        <w:t>4.3 监督小组</w:t>
      </w:r>
    </w:p>
    <w:p w14:paraId="5C798B87">
      <w:pPr>
        <w:wordWrap w:val="0"/>
        <w:spacing w:line="360" w:lineRule="auto"/>
        <w:ind w:firstLine="422" w:firstLineChars="200"/>
        <w:rPr>
          <w:rFonts w:ascii="宋体" w:hAnsi="宋体" w:eastAsia="宋体"/>
          <w:b/>
          <w:bCs/>
          <w:color w:val="auto"/>
          <w:szCs w:val="21"/>
          <w:highlight w:val="none"/>
          <w:u w:val="single"/>
        </w:rPr>
      </w:pPr>
      <w:r>
        <w:rPr>
          <w:rFonts w:hint="eastAsia" w:ascii="宋体" w:hAnsi="宋体" w:eastAsia="宋体"/>
          <w:b/>
          <w:bCs/>
          <w:color w:val="auto"/>
          <w:szCs w:val="21"/>
          <w:highlight w:val="none"/>
          <w:u w:val="single"/>
        </w:rPr>
        <w:t>成员数量为2人，由招标人组建。</w:t>
      </w:r>
    </w:p>
    <w:p w14:paraId="3DEAA32B">
      <w:pPr>
        <w:wordWrap w:val="0"/>
        <w:spacing w:line="360" w:lineRule="auto"/>
        <w:ind w:firstLine="422" w:firstLineChars="200"/>
        <w:rPr>
          <w:rFonts w:ascii="宋体" w:hAnsi="宋体" w:eastAsia="宋体"/>
          <w:b/>
          <w:bCs/>
          <w:color w:val="auto"/>
          <w:szCs w:val="21"/>
          <w:highlight w:val="none"/>
          <w:u w:val="single"/>
        </w:rPr>
      </w:pPr>
      <w:r>
        <w:rPr>
          <w:rFonts w:hint="eastAsia" w:ascii="宋体" w:hAnsi="宋体" w:eastAsia="宋体"/>
          <w:b/>
          <w:bCs/>
          <w:color w:val="auto"/>
          <w:szCs w:val="21"/>
          <w:highlight w:val="none"/>
          <w:u w:val="single"/>
        </w:rPr>
        <w:t>4.4 定标办法</w:t>
      </w:r>
    </w:p>
    <w:p w14:paraId="6D827C63">
      <w:pPr>
        <w:wordWrap w:val="0"/>
        <w:spacing w:line="360" w:lineRule="auto"/>
        <w:ind w:firstLine="422" w:firstLineChars="200"/>
        <w:rPr>
          <w:rFonts w:ascii="宋体" w:hAnsi="宋体" w:eastAsia="宋体"/>
          <w:b/>
          <w:color w:val="auto"/>
          <w:szCs w:val="21"/>
          <w:highlight w:val="none"/>
          <w:u w:val="single"/>
        </w:rPr>
      </w:pPr>
      <w:r>
        <w:rPr>
          <w:rFonts w:hint="eastAsia" w:ascii="宋体" w:hAnsi="宋体" w:eastAsia="宋体"/>
          <w:b/>
          <w:color w:val="auto"/>
          <w:szCs w:val="21"/>
          <w:highlight w:val="none"/>
          <w:u w:val="single"/>
        </w:rPr>
        <w:t>4.4.1 定标办法：采用直接票决定标法（记名投票+撰写评语），定标委员会从合格中标候选人当中以“记名投票+撰写评语”方式产生中标人。对进入定标阶段的全部合格中标候选人撰写评语。</w:t>
      </w:r>
    </w:p>
    <w:p w14:paraId="41EAE504">
      <w:pPr>
        <w:spacing w:line="360" w:lineRule="auto"/>
        <w:ind w:firstLine="422" w:firstLineChars="200"/>
        <w:rPr>
          <w:rFonts w:ascii="宋体" w:hAnsi="宋体" w:eastAsia="宋体" w:cs="宋体"/>
          <w:color w:val="auto"/>
          <w:szCs w:val="21"/>
          <w:highlight w:val="none"/>
        </w:rPr>
      </w:pPr>
      <w:r>
        <w:rPr>
          <w:rFonts w:hint="eastAsia" w:ascii="宋体" w:hAnsi="宋体" w:eastAsia="宋体"/>
          <w:b/>
          <w:color w:val="auto"/>
          <w:szCs w:val="21"/>
          <w:highlight w:val="none"/>
          <w:u w:val="single"/>
        </w:rPr>
        <w:t>4.4.2 定标因素：答辩因素，</w:t>
      </w:r>
      <w:r>
        <w:rPr>
          <w:rFonts w:hint="eastAsia" w:ascii="宋体" w:hAnsi="宋体" w:eastAsia="宋体" w:cs="宋体"/>
          <w:b/>
          <w:bCs/>
          <w:color w:val="auto"/>
          <w:szCs w:val="21"/>
          <w:highlight w:val="none"/>
          <w:u w:val="single"/>
        </w:rPr>
        <w:t>具体因素标准详见附表三《定标因素表》</w:t>
      </w:r>
      <w:r>
        <w:rPr>
          <w:rFonts w:hint="eastAsia" w:ascii="宋体" w:hAnsi="宋体" w:eastAsia="宋体"/>
          <w:b/>
          <w:bCs/>
          <w:color w:val="auto"/>
          <w:szCs w:val="21"/>
          <w:highlight w:val="none"/>
          <w:u w:val="single"/>
        </w:rPr>
        <w:t>（定标阶段用表）</w:t>
      </w:r>
      <w:r>
        <w:rPr>
          <w:rFonts w:hint="eastAsia" w:ascii="宋体" w:hAnsi="宋体" w:eastAsia="宋体" w:cs="宋体"/>
          <w:b/>
          <w:bCs/>
          <w:color w:val="auto"/>
          <w:szCs w:val="21"/>
          <w:highlight w:val="none"/>
          <w:u w:val="single"/>
        </w:rPr>
        <w:t>。</w:t>
      </w:r>
    </w:p>
    <w:p w14:paraId="6B609873">
      <w:pPr>
        <w:wordWrap w:val="0"/>
        <w:spacing w:line="360" w:lineRule="auto"/>
        <w:ind w:firstLine="422" w:firstLineChars="200"/>
        <w:rPr>
          <w:rFonts w:ascii="宋体" w:hAnsi="宋体" w:eastAsia="宋体"/>
          <w:b/>
          <w:bCs/>
          <w:color w:val="auto"/>
          <w:szCs w:val="21"/>
          <w:highlight w:val="none"/>
          <w:u w:val="single"/>
        </w:rPr>
      </w:pPr>
      <w:r>
        <w:rPr>
          <w:rFonts w:hint="eastAsia" w:ascii="宋体" w:hAnsi="宋体" w:eastAsia="宋体"/>
          <w:b/>
          <w:bCs/>
          <w:color w:val="auto"/>
          <w:szCs w:val="21"/>
          <w:highlight w:val="none"/>
          <w:u w:val="single"/>
        </w:rPr>
        <w:t>4.5 定标程序</w:t>
      </w:r>
    </w:p>
    <w:p w14:paraId="73C57759">
      <w:pPr>
        <w:wordWrap w:val="0"/>
        <w:spacing w:line="360" w:lineRule="auto"/>
        <w:ind w:firstLine="422" w:firstLineChars="200"/>
        <w:rPr>
          <w:rFonts w:ascii="宋体" w:hAnsi="宋体" w:eastAsia="宋体"/>
          <w:b/>
          <w:color w:val="auto"/>
          <w:szCs w:val="21"/>
          <w:highlight w:val="none"/>
          <w:u w:val="single"/>
        </w:rPr>
      </w:pPr>
      <w:r>
        <w:rPr>
          <w:rFonts w:hint="eastAsia" w:ascii="宋体" w:hAnsi="宋体" w:eastAsia="宋体"/>
          <w:b/>
          <w:color w:val="auto"/>
          <w:szCs w:val="21"/>
          <w:highlight w:val="none"/>
          <w:u w:val="single"/>
        </w:rPr>
        <w:t>招标人或其委托的招标代理机构应安排1名熟悉情况的工作人员在定标会场担任招标项目负责人，按程序组织定标工作：</w:t>
      </w:r>
    </w:p>
    <w:p w14:paraId="79809008">
      <w:pPr>
        <w:wordWrap w:val="0"/>
        <w:spacing w:line="360" w:lineRule="auto"/>
        <w:ind w:firstLine="422" w:firstLineChars="200"/>
        <w:rPr>
          <w:rFonts w:ascii="宋体" w:hAnsi="宋体" w:eastAsia="宋体"/>
          <w:b/>
          <w:color w:val="auto"/>
          <w:szCs w:val="21"/>
          <w:highlight w:val="none"/>
          <w:u w:val="single"/>
        </w:rPr>
      </w:pPr>
      <w:r>
        <w:rPr>
          <w:rFonts w:hint="eastAsia" w:ascii="宋体" w:hAnsi="宋体" w:eastAsia="宋体"/>
          <w:b/>
          <w:bCs/>
          <w:color w:val="auto"/>
          <w:szCs w:val="21"/>
          <w:highlight w:val="none"/>
          <w:u w:val="single"/>
        </w:rPr>
        <w:t xml:space="preserve">4.5.1 </w:t>
      </w:r>
      <w:r>
        <w:rPr>
          <w:rFonts w:hint="eastAsia" w:ascii="宋体" w:hAnsi="宋体" w:eastAsia="宋体"/>
          <w:b/>
          <w:color w:val="auto"/>
          <w:szCs w:val="21"/>
          <w:highlight w:val="none"/>
          <w:u w:val="single"/>
        </w:rPr>
        <w:t>招标项目负责人宣读定标委员会组建情况及成员名单，宣读定标纪律，签订廉政责任书。</w:t>
      </w:r>
    </w:p>
    <w:p w14:paraId="5422891A">
      <w:pPr>
        <w:wordWrap w:val="0"/>
        <w:spacing w:line="360" w:lineRule="auto"/>
        <w:ind w:firstLine="422" w:firstLineChars="200"/>
        <w:rPr>
          <w:rFonts w:ascii="宋体" w:hAnsi="宋体" w:eastAsia="宋体"/>
          <w:b/>
          <w:color w:val="auto"/>
          <w:szCs w:val="21"/>
          <w:highlight w:val="none"/>
          <w:u w:val="single"/>
        </w:rPr>
      </w:pPr>
      <w:r>
        <w:rPr>
          <w:rFonts w:hint="eastAsia" w:ascii="宋体" w:hAnsi="宋体" w:eastAsia="宋体"/>
          <w:b/>
          <w:bCs/>
          <w:color w:val="auto"/>
          <w:szCs w:val="21"/>
          <w:highlight w:val="none"/>
          <w:u w:val="single"/>
        </w:rPr>
        <w:t xml:space="preserve">4.5.2 </w:t>
      </w:r>
      <w:r>
        <w:rPr>
          <w:rFonts w:hint="eastAsia" w:ascii="宋体" w:hAnsi="宋体" w:eastAsia="宋体"/>
          <w:b/>
          <w:color w:val="auto"/>
          <w:szCs w:val="21"/>
          <w:highlight w:val="none"/>
          <w:u w:val="single"/>
        </w:rPr>
        <w:t>定标工作开始后，定标委员会应推荐一人为定标委员会组长，主持当次定标会议。</w:t>
      </w:r>
    </w:p>
    <w:p w14:paraId="4BF29092">
      <w:pPr>
        <w:wordWrap w:val="0"/>
        <w:spacing w:line="360" w:lineRule="auto"/>
        <w:ind w:firstLine="422" w:firstLineChars="200"/>
        <w:rPr>
          <w:rFonts w:ascii="宋体" w:hAnsi="宋体" w:eastAsia="宋体"/>
          <w:b/>
          <w:color w:val="auto"/>
          <w:szCs w:val="21"/>
          <w:highlight w:val="none"/>
          <w:u w:val="single"/>
        </w:rPr>
      </w:pPr>
      <w:r>
        <w:rPr>
          <w:rFonts w:hint="eastAsia" w:ascii="宋体" w:hAnsi="宋体" w:eastAsia="宋体"/>
          <w:b/>
          <w:bCs/>
          <w:color w:val="auto"/>
          <w:szCs w:val="21"/>
          <w:highlight w:val="none"/>
          <w:u w:val="single"/>
        </w:rPr>
        <w:t xml:space="preserve">4.5.3 </w:t>
      </w:r>
      <w:r>
        <w:rPr>
          <w:rFonts w:hint="eastAsia" w:ascii="宋体" w:hAnsi="宋体" w:eastAsia="宋体"/>
          <w:b/>
          <w:color w:val="auto"/>
          <w:szCs w:val="21"/>
          <w:highlight w:val="none"/>
          <w:u w:val="single"/>
        </w:rPr>
        <w:t>发放定标辅助资料：评标阶段的评标报告、合格中标候选人提交的投标文件等，并发放选票。</w:t>
      </w:r>
    </w:p>
    <w:p w14:paraId="33A120FC">
      <w:pPr>
        <w:wordWrap w:val="0"/>
        <w:spacing w:line="360" w:lineRule="auto"/>
        <w:ind w:firstLine="422" w:firstLineChars="200"/>
        <w:rPr>
          <w:rFonts w:ascii="宋体" w:hAnsi="宋体" w:eastAsia="宋体"/>
          <w:b/>
          <w:color w:val="auto"/>
          <w:szCs w:val="21"/>
          <w:highlight w:val="none"/>
          <w:u w:val="single"/>
        </w:rPr>
      </w:pPr>
      <w:r>
        <w:rPr>
          <w:rFonts w:hint="eastAsia" w:ascii="宋体" w:hAnsi="宋体" w:eastAsia="宋体"/>
          <w:b/>
          <w:color w:val="auto"/>
          <w:szCs w:val="21"/>
          <w:highlight w:val="none"/>
          <w:u w:val="single"/>
        </w:rPr>
        <w:t>4.5.4 合格中标候选人答辩程序：</w:t>
      </w:r>
    </w:p>
    <w:p w14:paraId="477B2542">
      <w:pPr>
        <w:pStyle w:val="8"/>
        <w:spacing w:line="360" w:lineRule="auto"/>
        <w:ind w:firstLine="422"/>
        <w:rPr>
          <w:rFonts w:ascii="宋体" w:hAnsi="宋体" w:cs="宋体"/>
          <w:b/>
          <w:bCs/>
          <w:color w:val="auto"/>
          <w:szCs w:val="21"/>
          <w:highlight w:val="none"/>
          <w:u w:val="single"/>
        </w:rPr>
      </w:pPr>
      <w:r>
        <w:rPr>
          <w:rFonts w:hint="eastAsia" w:ascii="宋体" w:hAnsi="宋体"/>
          <w:b/>
          <w:color w:val="auto"/>
          <w:szCs w:val="21"/>
          <w:highlight w:val="none"/>
          <w:u w:val="single"/>
        </w:rPr>
        <w:t>1）答辩签到：招标人或招标代理将《定标会议通知》以</w:t>
      </w:r>
      <w:r>
        <w:rPr>
          <w:rFonts w:hint="eastAsia" w:ascii="宋体" w:hAnsi="宋体"/>
          <w:b/>
          <w:color w:val="auto"/>
          <w:szCs w:val="21"/>
          <w:highlight w:val="none"/>
          <w:u w:val="single"/>
          <w:lang w:val="en-US" w:eastAsia="zh-CN"/>
        </w:rPr>
        <w:t>电子</w:t>
      </w:r>
      <w:r>
        <w:rPr>
          <w:rFonts w:hint="eastAsia" w:ascii="宋体" w:hAnsi="宋体"/>
          <w:b/>
          <w:color w:val="auto"/>
          <w:szCs w:val="21"/>
          <w:highlight w:val="none"/>
          <w:u w:val="single"/>
        </w:rPr>
        <w:t>邮件送达各合格中标候选人，各合格中标候选人收到邮件后需在《定标会议通知》上盖章（联合体投标的，由联合体主办方盖章）后回复邮件。</w:t>
      </w:r>
      <w:bookmarkStart w:id="204" w:name="OLE_LINK37"/>
      <w:r>
        <w:rPr>
          <w:rFonts w:hint="eastAsia" w:ascii="宋体" w:hAnsi="宋体" w:cs="宋体"/>
          <w:b/>
          <w:bCs/>
          <w:color w:val="auto"/>
          <w:szCs w:val="21"/>
          <w:highlight w:val="none"/>
          <w:u w:val="single"/>
        </w:rPr>
        <w:t>各合格中标候选人拟派项目负责人和拟派专业负责人中的1人组成1-2人的答辩小组；2人参加的，由拟派项目负责人作为主答辩人，拟派专业负责人中的1人可作为副答辩人。项目负责人必须出席答辩会，未出席的将被视为放弃答辩资格。</w:t>
      </w:r>
    </w:p>
    <w:p w14:paraId="5A513A47">
      <w:pPr>
        <w:adjustRightInd w:val="0"/>
        <w:snapToGrid w:val="0"/>
        <w:spacing w:line="360" w:lineRule="auto"/>
        <w:ind w:firstLine="422" w:firstLineChars="200"/>
        <w:rPr>
          <w:rFonts w:ascii="宋体" w:hAnsi="宋体" w:eastAsia="宋体" w:cs="宋体"/>
          <w:color w:val="auto"/>
          <w:szCs w:val="21"/>
          <w:highlight w:val="none"/>
        </w:rPr>
      </w:pPr>
      <w:r>
        <w:rPr>
          <w:rFonts w:hint="eastAsia" w:ascii="宋体" w:hAnsi="宋体" w:eastAsia="宋体" w:cs="宋体"/>
          <w:b/>
          <w:bCs/>
          <w:color w:val="auto"/>
          <w:szCs w:val="21"/>
          <w:highlight w:val="none"/>
          <w:u w:val="single"/>
        </w:rPr>
        <w:t>答辩小组须按时携带本单位法定代表人证明书原件、法定代表人授权委托证明书原件、本人身份证原件及身份证正反面复印件、答辩人员2025年5月或6月在本单位缴纳的社保证明复印件（加盖单位公章）到达《定标会议通知》通知的开标室进行签到并递交以U盘为载体的PPT演示文件（如有），签到具体时间以《定标会议通知》为准。签到完成后，拟派答辩小组需签署《答辩纪律》、《答辩人员承诺书》等文件(签署的文件以实际下发的为准)。合格中标候选人拟派答辩小组签到时未能提供上述携带证明资料的,或未能在规定的时候内进行签到的，视为放弃答辩。答辩时，拟派答辩小组需将其所有通讯设备调成关机或静音状态交招标代理保管，待其答辩完成后退还。</w:t>
      </w:r>
    </w:p>
    <w:bookmarkEnd w:id="204"/>
    <w:p w14:paraId="7935A5CF">
      <w:pPr>
        <w:wordWrap w:val="0"/>
        <w:spacing w:line="360" w:lineRule="auto"/>
        <w:ind w:firstLine="422" w:firstLineChars="200"/>
        <w:rPr>
          <w:rFonts w:ascii="宋体" w:hAnsi="宋体" w:eastAsia="宋体"/>
          <w:b/>
          <w:color w:val="auto"/>
          <w:szCs w:val="21"/>
          <w:highlight w:val="none"/>
          <w:u w:val="single"/>
        </w:rPr>
      </w:pPr>
      <w:r>
        <w:rPr>
          <w:rFonts w:hint="eastAsia" w:ascii="宋体" w:hAnsi="宋体" w:eastAsia="宋体"/>
          <w:b/>
          <w:color w:val="auto"/>
          <w:szCs w:val="21"/>
          <w:highlight w:val="none"/>
          <w:u w:val="single"/>
        </w:rPr>
        <w:t>2）答辩进场顺序：按拟派答辩小组签到顺序各自抽取答辩顺序号，按答辩顺序号从小到大依次进场答辩。在规定的签到时间内，如所有合格中标候选人均完成签到后，招标代理即可组织抽取答辩顺序号；在规定的签到时间内如存在合格中标候选人未完成签到的，视为放弃答辩。在签到时间截止后，招标代理组织已完成签到的合格中标候选人抽取答辩顺序。</w:t>
      </w:r>
    </w:p>
    <w:p w14:paraId="1A26E53F">
      <w:pPr>
        <w:wordWrap w:val="0"/>
        <w:spacing w:line="360" w:lineRule="auto"/>
        <w:ind w:firstLine="422" w:firstLineChars="200"/>
        <w:rPr>
          <w:rFonts w:ascii="宋体" w:hAnsi="宋体" w:eastAsia="宋体"/>
          <w:b/>
          <w:color w:val="auto"/>
          <w:szCs w:val="21"/>
          <w:highlight w:val="none"/>
          <w:u w:val="single"/>
        </w:rPr>
      </w:pPr>
      <w:r>
        <w:rPr>
          <w:rFonts w:hint="eastAsia" w:ascii="宋体" w:hAnsi="宋体" w:eastAsia="宋体"/>
          <w:b/>
          <w:color w:val="auto"/>
          <w:szCs w:val="21"/>
          <w:highlight w:val="none"/>
          <w:u w:val="single"/>
        </w:rPr>
        <w:t>3）答辩人员的要求：答辩的人员在参加答辩时，应向招标人（招标代理）出示身份证原件，招标人（招标代理）核对确认身份无误后再进行答辩。答辩人员未能出示前述证明文件的不予参加答辩环节。</w:t>
      </w:r>
    </w:p>
    <w:p w14:paraId="61355CDB">
      <w:pPr>
        <w:wordWrap w:val="0"/>
        <w:spacing w:line="360" w:lineRule="auto"/>
        <w:ind w:firstLine="422" w:firstLineChars="200"/>
        <w:rPr>
          <w:rFonts w:ascii="宋体" w:hAnsi="宋体" w:eastAsia="宋体"/>
          <w:b/>
          <w:color w:val="auto"/>
          <w:szCs w:val="21"/>
          <w:highlight w:val="none"/>
          <w:u w:val="single"/>
        </w:rPr>
      </w:pPr>
      <w:r>
        <w:rPr>
          <w:rFonts w:hint="eastAsia" w:ascii="宋体" w:hAnsi="宋体" w:eastAsia="宋体"/>
          <w:b/>
          <w:color w:val="auto"/>
          <w:szCs w:val="21"/>
          <w:highlight w:val="none"/>
          <w:u w:val="single"/>
        </w:rPr>
        <w:t>4）答辩的要点与时限：答辩的要点与时限详见附表三《定标因素表》</w:t>
      </w:r>
      <w:r>
        <w:rPr>
          <w:rFonts w:hint="eastAsia" w:ascii="宋体" w:hAnsi="宋体" w:eastAsia="宋体"/>
          <w:b/>
          <w:bCs/>
          <w:color w:val="auto"/>
          <w:szCs w:val="21"/>
          <w:highlight w:val="none"/>
          <w:u w:val="single"/>
        </w:rPr>
        <w:t>（定标阶段用表）</w:t>
      </w:r>
      <w:r>
        <w:rPr>
          <w:rFonts w:hint="eastAsia" w:ascii="宋体" w:hAnsi="宋体" w:eastAsia="宋体"/>
          <w:b/>
          <w:color w:val="auto"/>
          <w:szCs w:val="21"/>
          <w:highlight w:val="none"/>
          <w:u w:val="single"/>
        </w:rPr>
        <w:t>。中标候选人拟派项目答辩小组介绍时，可借助广州交易集团有限公司（广州公共资源交易中心）开标室电脑播放事先准备的PPT（如有），并同步至定标室进行介绍，并对定标委员会提出的问题进行答辩。</w:t>
      </w:r>
    </w:p>
    <w:p w14:paraId="57381586">
      <w:pPr>
        <w:wordWrap w:val="0"/>
        <w:spacing w:line="360" w:lineRule="auto"/>
        <w:ind w:firstLine="422" w:firstLineChars="200"/>
        <w:rPr>
          <w:rFonts w:ascii="宋体" w:hAnsi="宋体" w:eastAsia="宋体"/>
          <w:b/>
          <w:color w:val="auto"/>
          <w:szCs w:val="21"/>
          <w:highlight w:val="none"/>
          <w:u w:val="single"/>
        </w:rPr>
      </w:pPr>
      <w:r>
        <w:rPr>
          <w:rFonts w:hint="eastAsia" w:ascii="宋体" w:hAnsi="宋体" w:eastAsia="宋体"/>
          <w:b/>
          <w:bCs/>
          <w:color w:val="auto"/>
          <w:szCs w:val="21"/>
          <w:highlight w:val="none"/>
          <w:u w:val="single"/>
        </w:rPr>
        <w:t xml:space="preserve">4.5.4 </w:t>
      </w:r>
      <w:r>
        <w:rPr>
          <w:rFonts w:hint="eastAsia" w:ascii="宋体" w:hAnsi="宋体" w:eastAsia="宋体"/>
          <w:b/>
          <w:color w:val="auto"/>
          <w:szCs w:val="21"/>
          <w:highlight w:val="none"/>
          <w:u w:val="single"/>
        </w:rPr>
        <w:t>定标委员会按照定标因素对进入定标阶段合格中标候选人进行评审及投票。</w:t>
      </w:r>
    </w:p>
    <w:p w14:paraId="1D9E98F6">
      <w:pPr>
        <w:wordWrap w:val="0"/>
        <w:spacing w:line="360" w:lineRule="auto"/>
        <w:ind w:firstLine="422" w:firstLineChars="200"/>
        <w:rPr>
          <w:rFonts w:ascii="宋体" w:hAnsi="宋体" w:eastAsia="宋体"/>
          <w:b/>
          <w:color w:val="auto"/>
          <w:szCs w:val="21"/>
          <w:highlight w:val="none"/>
          <w:u w:val="single"/>
        </w:rPr>
      </w:pPr>
      <w:r>
        <w:rPr>
          <w:rFonts w:hint="eastAsia" w:ascii="宋体" w:hAnsi="宋体" w:eastAsia="宋体"/>
          <w:b/>
          <w:bCs/>
          <w:color w:val="auto"/>
          <w:szCs w:val="21"/>
          <w:highlight w:val="none"/>
          <w:u w:val="single"/>
        </w:rPr>
        <w:t>4.5.5 投票规则：</w:t>
      </w:r>
      <w:r>
        <w:rPr>
          <w:rFonts w:hint="eastAsia" w:ascii="宋体" w:hAnsi="宋体" w:eastAsia="宋体"/>
          <w:b/>
          <w:color w:val="auto"/>
          <w:szCs w:val="21"/>
          <w:highlight w:val="none"/>
          <w:u w:val="single"/>
        </w:rPr>
        <w:t>定标委员会根据定标因素对各合格中标候选人进行综合评审后，进行一轮一次性票决，每位定标委员会成员只有1票表决权（即只能对其中1家中标候选人投票），得票数最多的合格中标候选人确定为中标人，若出现票数相同且无法决出中标人时，对票数相同的中标候选人再进行一次性票决，直至决出中标人。定标委员会成员投票时，应按照招标文件规定的投票规则独立行使投票权，不得弃权或产生废票。</w:t>
      </w:r>
    </w:p>
    <w:p w14:paraId="685EE2B1">
      <w:pPr>
        <w:wordWrap w:val="0"/>
        <w:spacing w:line="360" w:lineRule="auto"/>
        <w:ind w:firstLine="422" w:firstLineChars="200"/>
        <w:rPr>
          <w:rFonts w:ascii="宋体" w:hAnsi="宋体" w:eastAsia="宋体"/>
          <w:b/>
          <w:bCs/>
          <w:color w:val="auto"/>
          <w:szCs w:val="21"/>
          <w:highlight w:val="none"/>
          <w:u w:val="single"/>
        </w:rPr>
      </w:pPr>
      <w:r>
        <w:rPr>
          <w:rFonts w:hint="eastAsia" w:ascii="宋体" w:hAnsi="宋体" w:eastAsia="宋体"/>
          <w:b/>
          <w:bCs/>
          <w:color w:val="auto"/>
          <w:szCs w:val="21"/>
          <w:highlight w:val="none"/>
          <w:u w:val="single"/>
        </w:rPr>
        <w:t>4.5.4 定标委员会根据选票情况向招标人推荐中标人。</w:t>
      </w:r>
    </w:p>
    <w:p w14:paraId="1B2B8B87">
      <w:pPr>
        <w:wordWrap w:val="0"/>
        <w:spacing w:line="360" w:lineRule="auto"/>
        <w:ind w:firstLine="422" w:firstLineChars="200"/>
        <w:rPr>
          <w:rFonts w:ascii="宋体" w:hAnsi="宋体" w:eastAsia="宋体"/>
          <w:b/>
          <w:bCs/>
          <w:color w:val="auto"/>
          <w:szCs w:val="21"/>
          <w:highlight w:val="none"/>
          <w:u w:val="single"/>
        </w:rPr>
      </w:pPr>
      <w:r>
        <w:rPr>
          <w:rFonts w:hint="eastAsia" w:ascii="宋体" w:hAnsi="宋体" w:eastAsia="宋体"/>
          <w:b/>
          <w:bCs/>
          <w:color w:val="auto"/>
          <w:szCs w:val="21"/>
          <w:highlight w:val="none"/>
          <w:u w:val="single"/>
        </w:rPr>
        <w:t>4.5.5 编写定标报告，定标委员会全体确认后签署定标报告。定标报告由定标委员会全体成员签字。</w:t>
      </w:r>
    </w:p>
    <w:p w14:paraId="70946ABE">
      <w:pPr>
        <w:wordWrap w:val="0"/>
        <w:spacing w:line="360" w:lineRule="auto"/>
        <w:ind w:firstLine="422" w:firstLineChars="200"/>
        <w:rPr>
          <w:rFonts w:ascii="宋体" w:hAnsi="宋体" w:eastAsia="宋体"/>
          <w:b/>
          <w:bCs/>
          <w:color w:val="auto"/>
          <w:szCs w:val="21"/>
          <w:highlight w:val="none"/>
          <w:u w:val="single"/>
        </w:rPr>
      </w:pPr>
      <w:r>
        <w:rPr>
          <w:rFonts w:hint="eastAsia" w:ascii="宋体" w:hAnsi="宋体" w:eastAsia="宋体"/>
          <w:b/>
          <w:bCs/>
          <w:color w:val="auto"/>
          <w:szCs w:val="21"/>
          <w:highlight w:val="none"/>
          <w:u w:val="single"/>
        </w:rPr>
        <w:t>4.6 招标人应当在定标工作完成后3日内公示中标结果。</w:t>
      </w:r>
    </w:p>
    <w:p w14:paraId="08CFFDC7">
      <w:pPr>
        <w:wordWrap w:val="0"/>
        <w:spacing w:line="360" w:lineRule="auto"/>
        <w:ind w:firstLine="422" w:firstLineChars="200"/>
        <w:rPr>
          <w:rFonts w:ascii="宋体" w:hAnsi="宋体" w:eastAsia="宋体"/>
          <w:b/>
          <w:color w:val="auto"/>
          <w:szCs w:val="21"/>
          <w:highlight w:val="none"/>
          <w:u w:val="single"/>
        </w:rPr>
      </w:pPr>
      <w:r>
        <w:rPr>
          <w:rFonts w:hint="eastAsia" w:ascii="宋体" w:hAnsi="宋体" w:eastAsia="宋体"/>
          <w:b/>
          <w:color w:val="auto"/>
          <w:szCs w:val="21"/>
          <w:highlight w:val="none"/>
          <w:u w:val="single"/>
        </w:rPr>
        <w:t>4.7 如出现中标人放弃中标、或者因不可抗力提出不能履行合同、或者被查实存在影响中标结果的违法行为等情形，招标人有权取消其中标人资格或解除合同，且当合格中标候选人至少有1名时,招标人有权不再递补其他合格中标候选人，可采用上述定标办法在其他合格中标候选人中重新票决确定中标人，也可依法重新招标。</w:t>
      </w:r>
    </w:p>
    <w:p w14:paraId="2E476D6C">
      <w:pPr>
        <w:pBdr>
          <w:bottom w:val="single" w:color="auto" w:sz="6" w:space="1"/>
        </w:pBdr>
        <w:wordWrap w:val="0"/>
        <w:spacing w:line="360" w:lineRule="auto"/>
        <w:ind w:firstLine="422" w:firstLineChars="200"/>
        <w:rPr>
          <w:rFonts w:ascii="宋体" w:hAnsi="宋体" w:eastAsia="宋体"/>
          <w:color w:val="auto"/>
          <w:szCs w:val="21"/>
          <w:highlight w:val="none"/>
        </w:rPr>
      </w:pPr>
      <w:r>
        <w:rPr>
          <w:rFonts w:hint="eastAsia" w:ascii="宋体" w:hAnsi="宋体" w:eastAsia="宋体"/>
          <w:b/>
          <w:bCs/>
          <w:color w:val="auto"/>
          <w:szCs w:val="21"/>
          <w:highlight w:val="none"/>
          <w:u w:val="single"/>
        </w:rPr>
        <w:t>4.8 定标表格：</w:t>
      </w:r>
      <w:r>
        <w:rPr>
          <w:rFonts w:hint="eastAsia" w:ascii="宋体" w:hAnsi="宋体" w:eastAsia="宋体" w:cs="宋体"/>
          <w:b/>
          <w:bCs/>
          <w:color w:val="auto"/>
          <w:szCs w:val="21"/>
          <w:highlight w:val="none"/>
          <w:u w:val="single"/>
        </w:rPr>
        <w:t>详见附表三至八。</w:t>
      </w:r>
    </w:p>
    <w:p w14:paraId="053D8F92">
      <w:pPr>
        <w:wordWrap w:val="0"/>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注：以上修改，仅限于本范本中有可供选择条款的情形。</w:t>
      </w:r>
    </w:p>
    <w:p w14:paraId="25B98485">
      <w:pPr>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（以下无正文）</w:t>
      </w:r>
    </w:p>
    <w:p w14:paraId="6C764385">
      <w:pPr>
        <w:wordWrap w:val="0"/>
        <w:autoSpaceDE w:val="0"/>
        <w:autoSpaceDN w:val="0"/>
        <w:spacing w:line="276" w:lineRule="auto"/>
        <w:jc w:val="left"/>
        <w:outlineLvl w:val="3"/>
        <w:rPr>
          <w:rFonts w:ascii="宋体" w:hAnsi="宋体" w:eastAsia="宋体" w:cs="宋体"/>
          <w:color w:val="auto"/>
          <w:kern w:val="0"/>
          <w:sz w:val="28"/>
          <w:szCs w:val="28"/>
          <w:highlight w:val="none"/>
          <w:lang w:val="zh-CN"/>
        </w:rPr>
        <w:sectPr>
          <w:pgSz w:w="11905" w:h="16838"/>
          <w:pgMar w:top="1474" w:right="1701" w:bottom="1474" w:left="1701" w:header="720" w:footer="720" w:gutter="0"/>
          <w:cols w:space="720" w:num="1"/>
        </w:sectPr>
      </w:pPr>
    </w:p>
    <w:p w14:paraId="6207DBE3">
      <w:pPr>
        <w:keepNext/>
        <w:keepLines/>
        <w:wordWrap w:val="0"/>
        <w:spacing w:line="360" w:lineRule="auto"/>
        <w:jc w:val="left"/>
        <w:outlineLvl w:val="1"/>
        <w:rPr>
          <w:rFonts w:ascii="宋体" w:hAnsi="宋体" w:eastAsia="宋体" w:cs="宋体"/>
          <w:b/>
          <w:bCs/>
          <w:color w:val="auto"/>
          <w:kern w:val="0"/>
          <w:sz w:val="30"/>
          <w:szCs w:val="30"/>
          <w:highlight w:val="none"/>
          <w:lang w:val="zh-CN"/>
        </w:rPr>
      </w:pPr>
      <w:r>
        <w:rPr>
          <w:rFonts w:hint="eastAsia" w:ascii="宋体" w:hAnsi="宋体" w:eastAsia="宋体" w:cs="宋体"/>
          <w:b/>
          <w:bCs/>
          <w:color w:val="auto"/>
          <w:kern w:val="0"/>
          <w:sz w:val="30"/>
          <w:szCs w:val="30"/>
          <w:highlight w:val="none"/>
          <w:lang w:val="zh-CN"/>
        </w:rPr>
        <w:t>1. 评标方法</w:t>
      </w:r>
    </w:p>
    <w:p w14:paraId="628B7911">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本次评标采用综合评估法。评标委员会对满足招标文件实质性要求的投标文件，按照本章第2.2款规定的评分标准进行打分，并按得分由高到低顺序推荐中标候选人，或根据招标人授权直接确定中标人，但投标报价低于其成本的除外。综合评分相等时，按照评标办法前附表的规定确定中标候选人顺序。</w:t>
      </w:r>
    </w:p>
    <w:p w14:paraId="1BB066B5">
      <w:pPr>
        <w:wordWrap w:val="0"/>
        <w:spacing w:line="360" w:lineRule="auto"/>
        <w:ind w:firstLine="480" w:firstLineChars="200"/>
        <w:rPr>
          <w:rFonts w:ascii="宋体" w:hAnsi="宋体" w:eastAsia="宋体" w:cs="宋体"/>
          <w:color w:val="auto"/>
          <w:sz w:val="24"/>
          <w:szCs w:val="24"/>
          <w:highlight w:val="none"/>
        </w:rPr>
      </w:pPr>
    </w:p>
    <w:p w14:paraId="5960E5F3">
      <w:pPr>
        <w:keepNext/>
        <w:keepLines/>
        <w:wordWrap w:val="0"/>
        <w:spacing w:line="360" w:lineRule="auto"/>
        <w:jc w:val="left"/>
        <w:outlineLvl w:val="1"/>
        <w:rPr>
          <w:rFonts w:ascii="宋体" w:hAnsi="宋体" w:eastAsia="宋体" w:cs="宋体"/>
          <w:b/>
          <w:bCs/>
          <w:color w:val="auto"/>
          <w:spacing w:val="1"/>
          <w:kern w:val="0"/>
          <w:sz w:val="30"/>
          <w:szCs w:val="30"/>
          <w:highlight w:val="none"/>
          <w:lang w:val="zh-CN"/>
        </w:rPr>
      </w:pPr>
      <w:r>
        <w:rPr>
          <w:rFonts w:hint="eastAsia" w:ascii="宋体" w:hAnsi="宋体" w:eastAsia="宋体" w:cs="宋体"/>
          <w:b/>
          <w:bCs/>
          <w:color w:val="auto"/>
          <w:spacing w:val="1"/>
          <w:kern w:val="0"/>
          <w:sz w:val="30"/>
          <w:szCs w:val="30"/>
          <w:highlight w:val="none"/>
          <w:lang w:val="zh-CN"/>
        </w:rPr>
        <w:t>2. 评审标准</w:t>
      </w:r>
    </w:p>
    <w:p w14:paraId="75627DF4">
      <w:pPr>
        <w:keepNext/>
        <w:keepLines/>
        <w:wordWrap w:val="0"/>
        <w:spacing w:before="260" w:line="416" w:lineRule="auto"/>
        <w:outlineLvl w:val="2"/>
        <w:rPr>
          <w:rFonts w:ascii="宋体" w:hAnsi="宋体" w:eastAsia="宋体" w:cs="宋体"/>
          <w:b/>
          <w:bCs/>
          <w:color w:val="auto"/>
          <w:spacing w:val="1"/>
          <w:sz w:val="28"/>
          <w:szCs w:val="32"/>
          <w:highlight w:val="none"/>
          <w:lang w:val="zh-CN"/>
        </w:rPr>
      </w:pPr>
      <w:r>
        <w:rPr>
          <w:rFonts w:hint="eastAsia" w:ascii="宋体" w:hAnsi="宋体" w:eastAsia="宋体" w:cs="宋体"/>
          <w:b/>
          <w:bCs/>
          <w:color w:val="auto"/>
          <w:spacing w:val="1"/>
          <w:sz w:val="28"/>
          <w:szCs w:val="32"/>
          <w:highlight w:val="none"/>
          <w:lang w:val="zh-CN"/>
        </w:rPr>
        <w:t>2.1 初步评审标准</w:t>
      </w:r>
    </w:p>
    <w:p w14:paraId="5E87024F">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2.1.1 商务文件形式评审标准：见评标办法前附表。</w:t>
      </w:r>
    </w:p>
    <w:p w14:paraId="7C707686">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2.1.2 资格评审标准：见评标办法前附表。</w:t>
      </w:r>
    </w:p>
    <w:p w14:paraId="017FED1E">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2.1.3（1）商务文件响应性评审标准：见评标办法前附表。</w:t>
      </w:r>
    </w:p>
    <w:p w14:paraId="23B843E2">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2.1.3（2）技术文件初步评审标准：见评标办法前附表。</w:t>
      </w:r>
    </w:p>
    <w:p w14:paraId="6F11007A">
      <w:pPr>
        <w:wordWrap w:val="0"/>
        <w:spacing w:line="360" w:lineRule="auto"/>
        <w:ind w:firstLine="480" w:firstLineChars="200"/>
        <w:rPr>
          <w:rFonts w:ascii="宋体" w:hAnsi="宋体" w:eastAsia="宋体" w:cs="宋体"/>
          <w:color w:val="auto"/>
          <w:sz w:val="24"/>
          <w:szCs w:val="24"/>
          <w:highlight w:val="none"/>
        </w:rPr>
      </w:pPr>
    </w:p>
    <w:p w14:paraId="7A4C49AE">
      <w:pPr>
        <w:keepNext/>
        <w:keepLines/>
        <w:wordWrap w:val="0"/>
        <w:spacing w:before="260" w:line="416" w:lineRule="auto"/>
        <w:outlineLvl w:val="2"/>
        <w:rPr>
          <w:rFonts w:ascii="宋体" w:hAnsi="宋体" w:eastAsia="宋体" w:cs="宋体"/>
          <w:b/>
          <w:bCs/>
          <w:color w:val="auto"/>
          <w:spacing w:val="1"/>
          <w:sz w:val="28"/>
          <w:szCs w:val="32"/>
          <w:highlight w:val="none"/>
          <w:lang w:val="zh-CN"/>
        </w:rPr>
      </w:pPr>
      <w:r>
        <w:rPr>
          <w:rFonts w:hint="eastAsia" w:ascii="宋体" w:hAnsi="宋体" w:eastAsia="宋体" w:cs="宋体"/>
          <w:b/>
          <w:bCs/>
          <w:color w:val="auto"/>
          <w:spacing w:val="1"/>
          <w:sz w:val="28"/>
          <w:szCs w:val="32"/>
          <w:highlight w:val="none"/>
          <w:lang w:val="zh-CN"/>
        </w:rPr>
        <w:t>2.2 分值构成与评分标准</w:t>
      </w:r>
    </w:p>
    <w:p w14:paraId="5BB39C75">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2.2.1 分值构成</w:t>
      </w:r>
    </w:p>
    <w:p w14:paraId="14862546">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（1）商务文件部分：见评标办法前附表；</w:t>
      </w:r>
    </w:p>
    <w:p w14:paraId="7950B010">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（2）技术文件部分：见评标办法前附表；</w:t>
      </w:r>
    </w:p>
    <w:p w14:paraId="277F5A83">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（3）投标报价：见评标办法前附表；</w:t>
      </w:r>
    </w:p>
    <w:p w14:paraId="5BC02170">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（4）其他评分因素：见评标办法前附表。</w:t>
      </w:r>
    </w:p>
    <w:p w14:paraId="74CFBB52">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2.2.2 评标基准价计算</w:t>
      </w:r>
    </w:p>
    <w:p w14:paraId="60523FBC">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评标基准价计算方法：见评标办法前附表。</w:t>
      </w:r>
    </w:p>
    <w:p w14:paraId="4E63EE61">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2.2.3 投标报价的偏差率计算</w:t>
      </w:r>
    </w:p>
    <w:p w14:paraId="6ABCEC55">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投标报价的偏差率计算公式：见评标办法前附表。</w:t>
      </w:r>
    </w:p>
    <w:p w14:paraId="6CC364B3">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2.2.4 评分标准</w:t>
      </w:r>
    </w:p>
    <w:p w14:paraId="1EFB0F7B">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（1）商务文件评分标准：见评标办法前附表；</w:t>
      </w:r>
    </w:p>
    <w:p w14:paraId="208D9D41">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（2）技术文件评分标准：见评标办法前附表；</w:t>
      </w:r>
    </w:p>
    <w:p w14:paraId="73D68999">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（3）投标报价评分标准：见评标办法前附表；</w:t>
      </w:r>
    </w:p>
    <w:p w14:paraId="08699B43">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（4）其他因素评分标准：见评标办法前附表。</w:t>
      </w:r>
    </w:p>
    <w:p w14:paraId="56760360">
      <w:pPr>
        <w:wordWrap w:val="0"/>
        <w:spacing w:line="360" w:lineRule="auto"/>
        <w:ind w:firstLine="480" w:firstLineChars="200"/>
        <w:rPr>
          <w:rFonts w:ascii="宋体" w:hAnsi="宋体" w:eastAsia="宋体" w:cs="宋体"/>
          <w:strike/>
          <w:color w:val="auto"/>
          <w:sz w:val="24"/>
          <w:szCs w:val="24"/>
          <w:highlight w:val="none"/>
        </w:rPr>
      </w:pPr>
    </w:p>
    <w:p w14:paraId="086C4FE5">
      <w:pPr>
        <w:keepNext/>
        <w:keepLines/>
        <w:wordWrap w:val="0"/>
        <w:spacing w:line="360" w:lineRule="auto"/>
        <w:jc w:val="left"/>
        <w:outlineLvl w:val="1"/>
        <w:rPr>
          <w:rFonts w:ascii="宋体" w:hAnsi="宋体" w:eastAsia="宋体" w:cs="宋体"/>
          <w:b/>
          <w:bCs/>
          <w:color w:val="auto"/>
          <w:spacing w:val="1"/>
          <w:kern w:val="0"/>
          <w:sz w:val="30"/>
          <w:szCs w:val="30"/>
          <w:highlight w:val="none"/>
          <w:lang w:val="zh-CN"/>
        </w:rPr>
      </w:pPr>
      <w:r>
        <w:rPr>
          <w:rFonts w:hint="eastAsia" w:ascii="宋体" w:hAnsi="宋体" w:eastAsia="宋体" w:cs="宋体"/>
          <w:b/>
          <w:bCs/>
          <w:color w:val="auto"/>
          <w:spacing w:val="1"/>
          <w:kern w:val="0"/>
          <w:sz w:val="30"/>
          <w:szCs w:val="30"/>
          <w:highlight w:val="none"/>
          <w:lang w:val="zh-CN"/>
        </w:rPr>
        <w:t>3. 评标程序</w:t>
      </w:r>
    </w:p>
    <w:p w14:paraId="3E41CBC0">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评标活动按以下六个步骤进行：</w:t>
      </w:r>
    </w:p>
    <w:p w14:paraId="7D324A21">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（1）商务文件初步评审（含商务文件形式评审、商务文件响应性评审）及资格评审；</w:t>
      </w:r>
    </w:p>
    <w:p w14:paraId="0D52DBD6">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（2）商务文件详细评审；</w:t>
      </w:r>
    </w:p>
    <w:p w14:paraId="3EC8605B">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（3）技术文件初步评审；</w:t>
      </w:r>
    </w:p>
    <w:p w14:paraId="28256511">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（4）技术文件详细评审；</w:t>
      </w:r>
    </w:p>
    <w:p w14:paraId="3DA30721">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（5）揭晓技术文件评审结果；</w:t>
      </w:r>
    </w:p>
    <w:p w14:paraId="3255618B">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（6）汇总投标人总得分；</w:t>
      </w:r>
    </w:p>
    <w:p w14:paraId="108BE232">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（7）推荐中标候选人，提交评标报告。</w:t>
      </w:r>
    </w:p>
    <w:p w14:paraId="617163B1">
      <w:pPr>
        <w:wordWrap w:val="0"/>
        <w:spacing w:line="360" w:lineRule="auto"/>
        <w:ind w:firstLine="480" w:firstLineChars="200"/>
        <w:rPr>
          <w:rFonts w:ascii="宋体" w:hAnsi="宋体" w:eastAsia="宋体" w:cs="宋体"/>
          <w:color w:val="auto"/>
          <w:sz w:val="24"/>
          <w:szCs w:val="24"/>
          <w:highlight w:val="none"/>
        </w:rPr>
      </w:pPr>
    </w:p>
    <w:p w14:paraId="560A5ABC">
      <w:pPr>
        <w:keepNext/>
        <w:keepLines/>
        <w:wordWrap w:val="0"/>
        <w:spacing w:before="260" w:line="416" w:lineRule="auto"/>
        <w:outlineLvl w:val="2"/>
        <w:rPr>
          <w:rFonts w:ascii="宋体" w:hAnsi="宋体" w:eastAsia="宋体" w:cs="宋体"/>
          <w:b/>
          <w:bCs/>
          <w:color w:val="auto"/>
          <w:spacing w:val="1"/>
          <w:sz w:val="28"/>
          <w:szCs w:val="32"/>
          <w:highlight w:val="none"/>
          <w:lang w:val="zh-CN"/>
        </w:rPr>
      </w:pPr>
      <w:r>
        <w:rPr>
          <w:rFonts w:hint="eastAsia" w:ascii="宋体" w:hAnsi="宋体" w:eastAsia="宋体" w:cs="宋体"/>
          <w:b/>
          <w:bCs/>
          <w:color w:val="auto"/>
          <w:spacing w:val="1"/>
          <w:sz w:val="28"/>
          <w:szCs w:val="32"/>
          <w:highlight w:val="none"/>
          <w:lang w:val="zh-CN"/>
        </w:rPr>
        <w:t>3.1 商务文件初步评审及资格评审</w:t>
      </w:r>
    </w:p>
    <w:p w14:paraId="6647CB8A">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3.1.1 评标委员会如认为有必要，可以要求投标人提交第二章“投标人须知”规定的有关证明和证件的原件，以便核验。评标委员会依据本章第2.1款规定的标准对投标文件进行商务文件、资格审查文件初步评审。有一项不符合评审标准的，评标委员会应当否决其投标，未能通过初步评审的投标人，其投标不再参与后续的评审程序。如果有否决投标提议，则评标委员会成员共同表决，按照少数服从多数的原则决定是否否决其投标。若有效投标不足3个的，或当N个标段同时招标且不允许兼中时，有效投标人不足N+2家的，应当对投标是否明显缺乏竞争和是否需要否决全部投标进行充分论证，并在评标报告中记载论证过程和结果。如评标委员会成员的评审意见不一致时，以评标委员会过半数成员的意见作为评标委员会对该情形的认定结论。</w:t>
      </w:r>
    </w:p>
    <w:p w14:paraId="6B5866E4">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3.1.1.1 商务文件形式评审：</w:t>
      </w:r>
    </w:p>
    <w:p w14:paraId="39701909">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评标委员会根据评标办法前附表中规定的评审因素和评审标准，对投标人的商务文件进行形式评审。通过商务文件形式评审的投标文件方可参加下一阶段评审程序。</w:t>
      </w:r>
    </w:p>
    <w:p w14:paraId="1C7D50CD">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3.1.1.2 资格评审：</w:t>
      </w:r>
    </w:p>
    <w:p w14:paraId="0E919CD8">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评标委员会根据评标办法前附表中的规定的评审因素和评审标准，对投标人的资格审查文件进行资格评审。通过资格评审的投标文件方可参加下一阶段评审程序。</w:t>
      </w:r>
    </w:p>
    <w:p w14:paraId="033AD22E">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3.1.1.3 商务文件响应性评审：</w:t>
      </w:r>
    </w:p>
    <w:p w14:paraId="029DDBAC">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评标委员会根据评标办法前附表中规定的评审因素和评审标准，对投标人的商务文件进行响应性评审。通过商务文件响应性评审的投标文件方可参加下一阶段评审程序。</w:t>
      </w:r>
    </w:p>
    <w:p w14:paraId="7D01085C">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3.1.2 投标人有以下情形之一的，评标委员会应当否决其投标：</w:t>
      </w:r>
    </w:p>
    <w:p w14:paraId="2BAAAF13">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（1）投标文件没有对招标文件的实质性要求和条件作出响应，或者对招标文件的偏差超出招标文件规定的偏差范围或最高项数；</w:t>
      </w:r>
    </w:p>
    <w:p w14:paraId="4E0B2F43">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（2）有串通投标、弄虚作假、行贿等违法行为。</w:t>
      </w:r>
    </w:p>
    <w:p w14:paraId="1E21027F">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招标人设置了成本警示价的，对于低于成本警示价的投标报价，投标人必须提供详细的单价、措施等分析供评标委员会评审，由评标委员会判定其是否低于企业自身成本。在评标过程中，评标委员会发现投标人的报价明显低于其他投标报价或者低于成本警示价，使得其投标报价可能低于个别成本的，应当要求该投标人作出书面说明并提供相关证明材料。投标人不能合理说明或者不能提供相关说明材料的，由评标委员会认定该投标人以低于成本报价竞标，应当否决其投标。</w:t>
      </w:r>
    </w:p>
    <w:p w14:paraId="73697DDA">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（4）评标办法规定的其他应当否决其投标的情形。</w:t>
      </w:r>
    </w:p>
    <w:p w14:paraId="310E0B7B">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3.1.3 投标报价有算术错误及其他错误的，评标委员会按以下原则要求投标人对投标报价进行修正，并要求投标人书面澄清确认。投标人拒不澄清确认的，投标人拒不接受的，评标委员会应当否决其投标：</w:t>
      </w:r>
    </w:p>
    <w:p w14:paraId="02DB4E1F">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（1）投标文件中的大写金额与小写金额不一致的，以大写金额为准；</w:t>
      </w:r>
    </w:p>
    <w:p w14:paraId="3250A5F9">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当单价与数量均符合招标文件要求时，若单价与数量的乘积与合价不一致时，按就低不就高原则确定修改单价或是合价。当单价与数量的乘积小于合价，以单价为准，修改合价，除非评标委员会认为单价有明显的小数点错误，此时应以标出的合价为准，并修改单价；当单价与数量的乘积大于合价，以合价为准，修改单价。</w:t>
      </w:r>
    </w:p>
    <w:p w14:paraId="5AFC0977">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3.1.4 评标委员会不得将文件顺序、明显文字错误等列为否决投标的情形，评标委员会发现投标文件含义不明确、对同类问题表述不一致、有明显格式或文字、计算错误、投标报价可能低于成本影响履约的，应当要求投标人作必要的澄清、说明或补正后再判定投标人是否通过审查，不得直接否决投标。评标委员会不接受投标人主动提出的澄清、说明或补正。</w:t>
      </w:r>
    </w:p>
    <w:p w14:paraId="1203FA11">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3.1.5 有效投标不足三个的，评标委员会应当对投标是否明显缺乏竞争和是否需要否决全部投标进行充分论证，并在评标报告中记载论证过程和结果。</w:t>
      </w:r>
    </w:p>
    <w:p w14:paraId="3D9D1DDE">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3.1.6 若评标委员会各成员对否决投标意见不一致时，则按少数服从多数的原则作出评审结论。持有不同意见的评标委员会成员应书面记录本人意见后上传至评标系统，招标人应对评标委员会的意见合法、合理性进行确认。</w:t>
      </w:r>
    </w:p>
    <w:p w14:paraId="4F8F9042">
      <w:pPr>
        <w:wordWrap w:val="0"/>
        <w:spacing w:line="360" w:lineRule="auto"/>
        <w:ind w:firstLine="480" w:firstLineChars="200"/>
        <w:rPr>
          <w:rFonts w:ascii="宋体" w:hAnsi="宋体" w:eastAsia="宋体" w:cs="宋体"/>
          <w:color w:val="auto"/>
          <w:sz w:val="24"/>
          <w:szCs w:val="24"/>
          <w:highlight w:val="none"/>
        </w:rPr>
      </w:pPr>
    </w:p>
    <w:p w14:paraId="519E202C">
      <w:pPr>
        <w:keepNext/>
        <w:keepLines/>
        <w:wordWrap w:val="0"/>
        <w:spacing w:before="260" w:line="416" w:lineRule="auto"/>
        <w:outlineLvl w:val="2"/>
        <w:rPr>
          <w:rFonts w:ascii="宋体" w:hAnsi="宋体" w:eastAsia="宋体" w:cs="宋体"/>
          <w:b/>
          <w:bCs/>
          <w:color w:val="auto"/>
          <w:spacing w:val="1"/>
          <w:sz w:val="28"/>
          <w:szCs w:val="32"/>
          <w:highlight w:val="none"/>
          <w:lang w:val="zh-CN"/>
        </w:rPr>
      </w:pPr>
      <w:r>
        <w:rPr>
          <w:rFonts w:hint="eastAsia" w:ascii="宋体" w:hAnsi="宋体" w:eastAsia="宋体" w:cs="宋体"/>
          <w:b/>
          <w:bCs/>
          <w:color w:val="auto"/>
          <w:spacing w:val="1"/>
          <w:sz w:val="28"/>
          <w:szCs w:val="32"/>
          <w:highlight w:val="none"/>
          <w:lang w:val="zh-CN"/>
        </w:rPr>
        <w:t>3.2 商务文件详细评审</w:t>
      </w:r>
    </w:p>
    <w:p w14:paraId="3A451CEA">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3.2.1 评标委员会按本章第2.2款规定的量化因素和分值进行打分，并计算出综合得分。</w:t>
      </w:r>
    </w:p>
    <w:p w14:paraId="08730A30">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3.2.2 评标委员会按本章第2.2.4（1）款规定的评审因素和分值计算各投标人商务文件的得分A，商务文件的评审得分A为各评标专家打分的算术平均值（由招标人自行设置），分数出现小数点，保留小数点后二位，第三位小数四舍五入。</w:t>
      </w:r>
    </w:p>
    <w:p w14:paraId="405A8A5C">
      <w:pPr>
        <w:wordWrap w:val="0"/>
        <w:spacing w:line="360" w:lineRule="auto"/>
        <w:ind w:firstLine="480" w:firstLineChars="200"/>
        <w:rPr>
          <w:rFonts w:ascii="宋体" w:hAnsi="宋体" w:eastAsia="宋体" w:cs="宋体"/>
          <w:color w:val="auto"/>
          <w:sz w:val="24"/>
          <w:szCs w:val="24"/>
          <w:highlight w:val="none"/>
          <w:u w:val="single"/>
        </w:rPr>
      </w:pPr>
    </w:p>
    <w:p w14:paraId="6C7ACABA">
      <w:pPr>
        <w:keepNext/>
        <w:keepLines/>
        <w:wordWrap w:val="0"/>
        <w:spacing w:before="260" w:line="416" w:lineRule="auto"/>
        <w:outlineLvl w:val="2"/>
        <w:rPr>
          <w:rFonts w:ascii="宋体" w:hAnsi="宋体" w:eastAsia="宋体" w:cs="宋体"/>
          <w:b/>
          <w:bCs/>
          <w:color w:val="auto"/>
          <w:spacing w:val="1"/>
          <w:sz w:val="28"/>
          <w:szCs w:val="32"/>
          <w:highlight w:val="none"/>
          <w:lang w:val="zh-CN"/>
        </w:rPr>
      </w:pPr>
      <w:r>
        <w:rPr>
          <w:rFonts w:hint="eastAsia" w:ascii="宋体" w:hAnsi="宋体" w:eastAsia="宋体" w:cs="宋体"/>
          <w:b/>
          <w:bCs/>
          <w:color w:val="auto"/>
          <w:spacing w:val="1"/>
          <w:sz w:val="28"/>
          <w:szCs w:val="32"/>
          <w:highlight w:val="none"/>
        </w:rPr>
        <w:t xml:space="preserve">3.3 </w:t>
      </w:r>
      <w:r>
        <w:rPr>
          <w:rFonts w:hint="eastAsia" w:ascii="宋体" w:hAnsi="宋体" w:eastAsia="宋体" w:cs="宋体"/>
          <w:b/>
          <w:bCs/>
          <w:color w:val="auto"/>
          <w:spacing w:val="1"/>
          <w:sz w:val="28"/>
          <w:szCs w:val="32"/>
          <w:highlight w:val="none"/>
          <w:lang w:val="zh-CN"/>
        </w:rPr>
        <w:t>技术文件初步评审</w:t>
      </w:r>
    </w:p>
    <w:p w14:paraId="3DC04392">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3.3.1 评标委员会依据本章第2.1.3（2）款规定的标准对投标文件进行技术文件初步评审。有一项不符合评审标准的，评标委员会应当否决其投标，未能通过技术文件初步评审的投标文件不能参加下一阶段评审程序。</w:t>
      </w:r>
    </w:p>
    <w:p w14:paraId="13ED1793">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3.3.2 评标时若遇不可抗力发生（如：网络瘫痪、服务器损坏、交易系统故障短期无法恢复等因素），由评标委员会开启现场递交的全部备用投标文件光盘，并按备用光盘内容进行评审。</w:t>
      </w:r>
    </w:p>
    <w:p w14:paraId="09AE2C96">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3.3.3 技术文件光盘、保密文件光盘接收时不得启封，当符合上款条件需要对技术文件进行评审时，由交易服务机构见证人对技术文件光盘启封密封袋并编号，参与开标、评标的其他人员应当回避，完成编号后送交评标委员会进行评审。评标结果揭晓前，负责编号的工作人员不得向他人透露投标文件编号的情况。在完成技术文件评审后，由交易服务机构见证人和评标委员会共同开启保密文件光盘密封袋揭晓投标人身份。</w:t>
      </w:r>
    </w:p>
    <w:p w14:paraId="79F12339">
      <w:pPr>
        <w:wordWrap w:val="0"/>
        <w:spacing w:line="360" w:lineRule="auto"/>
        <w:ind w:firstLine="480" w:firstLineChars="200"/>
        <w:rPr>
          <w:rFonts w:ascii="宋体" w:hAnsi="宋体" w:eastAsia="宋体" w:cs="宋体"/>
          <w:color w:val="auto"/>
          <w:sz w:val="24"/>
          <w:szCs w:val="24"/>
          <w:highlight w:val="none"/>
          <w:u w:val="single"/>
        </w:rPr>
      </w:pPr>
    </w:p>
    <w:p w14:paraId="32E12C68">
      <w:pPr>
        <w:keepNext/>
        <w:keepLines/>
        <w:wordWrap w:val="0"/>
        <w:spacing w:before="260" w:line="416" w:lineRule="auto"/>
        <w:outlineLvl w:val="2"/>
        <w:rPr>
          <w:rFonts w:ascii="宋体" w:hAnsi="宋体" w:eastAsia="宋体" w:cs="宋体"/>
          <w:b/>
          <w:bCs/>
          <w:color w:val="auto"/>
          <w:spacing w:val="1"/>
          <w:sz w:val="28"/>
          <w:szCs w:val="32"/>
          <w:highlight w:val="none"/>
        </w:rPr>
      </w:pPr>
      <w:r>
        <w:rPr>
          <w:rFonts w:hint="eastAsia" w:ascii="宋体" w:hAnsi="宋体" w:eastAsia="宋体" w:cs="宋体"/>
          <w:b/>
          <w:bCs/>
          <w:color w:val="auto"/>
          <w:spacing w:val="1"/>
          <w:sz w:val="28"/>
          <w:szCs w:val="32"/>
          <w:highlight w:val="none"/>
        </w:rPr>
        <w:t>3.4 技术文件详细评审</w:t>
      </w:r>
    </w:p>
    <w:p w14:paraId="03715E70">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3.4.1 评标委员会按本章第2.2款规定的量化因素和分值进行打分，并计算出综合得分。</w:t>
      </w:r>
    </w:p>
    <w:p w14:paraId="2F409B32">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3.4.2 评标委员会按本章第2.2款规定的评审因素计算各投标人技术文件的得分B，（以下两种方法招标人自行选择）①技术文件评审得分B为从各评标专家打分中去掉一个最高分和去掉一个最低分后的剩余评标专家打分的算术平均值；②技术文件评审得分B为各评标专家打分的算术平均值，分数出现小数点，保留小数点后二位，第三位小数四舍五入。</w:t>
      </w:r>
    </w:p>
    <w:p w14:paraId="5C8EA2F5">
      <w:pPr>
        <w:wordWrap w:val="0"/>
        <w:spacing w:line="360" w:lineRule="auto"/>
        <w:ind w:firstLine="480" w:firstLineChars="200"/>
        <w:rPr>
          <w:rFonts w:ascii="宋体" w:hAnsi="宋体" w:eastAsia="宋体" w:cs="宋体"/>
          <w:color w:val="auto"/>
          <w:sz w:val="24"/>
          <w:szCs w:val="24"/>
          <w:highlight w:val="none"/>
          <w:u w:val="single"/>
        </w:rPr>
      </w:pPr>
    </w:p>
    <w:p w14:paraId="670E6A04">
      <w:pPr>
        <w:keepNext/>
        <w:keepLines/>
        <w:wordWrap w:val="0"/>
        <w:spacing w:before="260" w:line="416" w:lineRule="auto"/>
        <w:outlineLvl w:val="2"/>
        <w:rPr>
          <w:rFonts w:ascii="宋体" w:hAnsi="宋体" w:eastAsia="宋体" w:cs="宋体"/>
          <w:b/>
          <w:bCs/>
          <w:color w:val="auto"/>
          <w:spacing w:val="1"/>
          <w:sz w:val="28"/>
          <w:szCs w:val="32"/>
          <w:highlight w:val="none"/>
        </w:rPr>
      </w:pPr>
      <w:r>
        <w:rPr>
          <w:rFonts w:hint="eastAsia" w:ascii="宋体" w:hAnsi="宋体" w:eastAsia="宋体" w:cs="宋体"/>
          <w:b/>
          <w:bCs/>
          <w:color w:val="auto"/>
          <w:spacing w:val="1"/>
          <w:sz w:val="28"/>
          <w:szCs w:val="32"/>
          <w:highlight w:val="none"/>
        </w:rPr>
        <w:t>3.5 揭晓技术文件评审结果</w:t>
      </w:r>
    </w:p>
    <w:p w14:paraId="2F061391">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3.5.1 由评标委员会在</w:t>
      </w:r>
      <w:r>
        <w:rPr>
          <w:rFonts w:hint="eastAsia" w:ascii="宋体" w:hAnsi="宋体" w:eastAsia="宋体" w:cs="宋体"/>
          <w:color w:val="auto"/>
          <w:sz w:val="24"/>
          <w:szCs w:val="24"/>
          <w:highlight w:val="none"/>
          <w:u w:val="single"/>
        </w:rPr>
        <w:t>广州交易集团有限公司（广州公共资源交易中心）</w:t>
      </w:r>
      <w:r>
        <w:rPr>
          <w:rFonts w:hint="eastAsia" w:ascii="宋体" w:hAnsi="宋体" w:eastAsia="宋体" w:cs="宋体"/>
          <w:color w:val="auto"/>
          <w:sz w:val="24"/>
          <w:szCs w:val="24"/>
          <w:highlight w:val="none"/>
        </w:rPr>
        <w:t>电子交易系统揭晓，系统自动形成暗标编码表显示各投标单位对应的编码，并由评标委员会确认投标人技术文件的评审得分。</w:t>
      </w:r>
    </w:p>
    <w:p w14:paraId="17295BAC">
      <w:pPr>
        <w:keepNext/>
        <w:keepLines/>
        <w:wordWrap w:val="0"/>
        <w:spacing w:before="260" w:line="416" w:lineRule="auto"/>
        <w:outlineLvl w:val="2"/>
        <w:rPr>
          <w:rFonts w:ascii="宋体" w:hAnsi="宋体" w:eastAsia="宋体" w:cs="宋体"/>
          <w:b/>
          <w:bCs/>
          <w:color w:val="auto"/>
          <w:spacing w:val="1"/>
          <w:sz w:val="28"/>
          <w:szCs w:val="32"/>
          <w:highlight w:val="none"/>
        </w:rPr>
      </w:pPr>
      <w:r>
        <w:rPr>
          <w:rFonts w:hint="eastAsia" w:ascii="宋体" w:hAnsi="宋体" w:eastAsia="宋体" w:cs="宋体"/>
          <w:b/>
          <w:bCs/>
          <w:color w:val="auto"/>
          <w:spacing w:val="1"/>
          <w:sz w:val="28"/>
          <w:szCs w:val="32"/>
          <w:highlight w:val="none"/>
        </w:rPr>
        <w:t>3.6 汇总投标人总得分</w:t>
      </w:r>
    </w:p>
    <w:p w14:paraId="28AE9F97">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3.6.1 评标委员会按本章第2.2款规定的量化因素和分值进行打分，并计算出综合得分。</w:t>
      </w:r>
    </w:p>
    <w:p w14:paraId="4E2D2FFB">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（1）按本章第2.2.4（1）目规定的评审因素和分值对商务文件部分计算出得分A；</w:t>
      </w:r>
    </w:p>
    <w:p w14:paraId="36969F01">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（2）按本章第2.2.4（2）目规定的评审因素和分值对技术文件部分计算出得分B；</w:t>
      </w:r>
    </w:p>
    <w:p w14:paraId="4B5EB5A4">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（3）按本章第2.2.4（3）目规定的评审因素和分值对投标报价计算出得分C；</w:t>
      </w:r>
    </w:p>
    <w:p w14:paraId="0B6B2AF9">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（4）按本章第2.2.4（4）目规定的评审因素和分值对其他部分计算出得分D。</w:t>
      </w:r>
    </w:p>
    <w:p w14:paraId="295C567E">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3.6.2 评分分值计算保留小数点后两位，小数点后第三位“四舍五入”。</w:t>
      </w:r>
    </w:p>
    <w:p w14:paraId="566EF6EA">
      <w:pPr>
        <w:wordWrap w:val="0"/>
        <w:spacing w:line="360" w:lineRule="auto"/>
        <w:ind w:firstLine="480" w:firstLineChars="200"/>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3.6.3 投标人得分=A+B+C+D。</w:t>
      </w:r>
    </w:p>
    <w:p w14:paraId="7A03525C">
      <w:pPr>
        <w:keepNext/>
        <w:keepLines/>
        <w:wordWrap w:val="0"/>
        <w:spacing w:before="260" w:line="416" w:lineRule="auto"/>
        <w:outlineLvl w:val="2"/>
        <w:rPr>
          <w:rFonts w:ascii="宋体" w:hAnsi="宋体" w:eastAsia="宋体" w:cs="宋体"/>
          <w:b/>
          <w:bCs/>
          <w:color w:val="auto"/>
          <w:spacing w:val="1"/>
          <w:sz w:val="28"/>
          <w:szCs w:val="32"/>
          <w:highlight w:val="none"/>
        </w:rPr>
      </w:pPr>
      <w:r>
        <w:rPr>
          <w:rFonts w:hint="eastAsia" w:ascii="宋体" w:hAnsi="宋体" w:eastAsia="宋体" w:cs="宋体"/>
          <w:b/>
          <w:bCs/>
          <w:color w:val="auto"/>
          <w:spacing w:val="1"/>
          <w:sz w:val="28"/>
          <w:szCs w:val="32"/>
          <w:highlight w:val="none"/>
        </w:rPr>
        <w:t>3.7 投标文件的澄清</w:t>
      </w:r>
    </w:p>
    <w:p w14:paraId="6C7B8E14">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3.7.1 在评标过程中，经评标委员会中两人以上（含两人）以书面形式提出动议，评标委员会可以书面形式要求投标人对投标文件中含义不明确、对同类问题表述不一致或者有明显文字和计算错误的内容作必要的澄清、说明或补正。澄清、说明 或补正应以书面方式进行。评标委员会不接受投标人主动提出的澄清、说明或补正。</w:t>
      </w:r>
    </w:p>
    <w:p w14:paraId="5B067C71">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3.7.2 澄清、说明或补正不得超出投标文件的范围且不得改变投标文件实质性内容，并构成投标文件的组成部分。</w:t>
      </w:r>
    </w:p>
    <w:p w14:paraId="22E0D98A">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3.7.3 评标委员会对投标人提交的澄清、说明或补正有疑问的，可以要求投标人进一步澄清、说明或补正，直到满足评标委员会的要求。</w:t>
      </w:r>
    </w:p>
    <w:p w14:paraId="2706387C">
      <w:pPr>
        <w:wordWrap w:val="0"/>
        <w:spacing w:line="360" w:lineRule="auto"/>
        <w:ind w:firstLine="480" w:firstLineChars="200"/>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3.7.4 评标委员会发现投标人的报价明显低于其他投标报价，使得其投标报价可能低于其个别成本的，应当要求该投标人作出书面说明并提供相应的证明材料。投标人不能合理说明或者不能提供相应证明材料的，评标委员会应当认定该投标人以低于成本报价竞标，并否决其投标。</w:t>
      </w:r>
    </w:p>
    <w:p w14:paraId="34B1AD1D">
      <w:pPr>
        <w:wordWrap w:val="0"/>
        <w:spacing w:line="360" w:lineRule="auto"/>
        <w:ind w:firstLine="480" w:firstLineChars="200"/>
        <w:rPr>
          <w:rFonts w:ascii="宋体" w:hAnsi="宋体" w:eastAsia="宋体" w:cs="宋体"/>
          <w:color w:val="auto"/>
          <w:sz w:val="24"/>
          <w:szCs w:val="24"/>
          <w:highlight w:val="none"/>
        </w:rPr>
      </w:pPr>
    </w:p>
    <w:p w14:paraId="1F4AF0A1">
      <w:pPr>
        <w:keepNext/>
        <w:keepLines/>
        <w:wordWrap w:val="0"/>
        <w:spacing w:before="260" w:line="416" w:lineRule="auto"/>
        <w:outlineLvl w:val="2"/>
        <w:rPr>
          <w:rFonts w:ascii="宋体" w:hAnsi="宋体" w:eastAsia="宋体" w:cs="宋体"/>
          <w:b/>
          <w:bCs/>
          <w:color w:val="auto"/>
          <w:spacing w:val="1"/>
          <w:sz w:val="28"/>
          <w:szCs w:val="32"/>
          <w:highlight w:val="none"/>
          <w:lang w:val="zh-CN"/>
        </w:rPr>
      </w:pPr>
      <w:r>
        <w:rPr>
          <w:rFonts w:hint="eastAsia" w:ascii="宋体" w:hAnsi="宋体" w:eastAsia="宋体" w:cs="宋体"/>
          <w:b/>
          <w:bCs/>
          <w:color w:val="auto"/>
          <w:spacing w:val="1"/>
          <w:sz w:val="28"/>
          <w:szCs w:val="32"/>
          <w:highlight w:val="none"/>
          <w:lang w:val="zh-CN"/>
        </w:rPr>
        <w:t>3.</w:t>
      </w:r>
      <w:r>
        <w:rPr>
          <w:rFonts w:hint="eastAsia" w:ascii="宋体" w:hAnsi="宋体" w:eastAsia="宋体" w:cs="宋体"/>
          <w:b/>
          <w:bCs/>
          <w:color w:val="auto"/>
          <w:spacing w:val="1"/>
          <w:sz w:val="28"/>
          <w:szCs w:val="32"/>
          <w:highlight w:val="none"/>
        </w:rPr>
        <w:t>8</w:t>
      </w:r>
      <w:r>
        <w:rPr>
          <w:rFonts w:hint="eastAsia" w:ascii="宋体" w:hAnsi="宋体" w:eastAsia="宋体" w:cs="宋体"/>
          <w:b/>
          <w:bCs/>
          <w:color w:val="auto"/>
          <w:spacing w:val="1"/>
          <w:sz w:val="28"/>
          <w:szCs w:val="32"/>
          <w:highlight w:val="none"/>
          <w:lang w:val="zh-CN"/>
        </w:rPr>
        <w:t xml:space="preserve"> 评标结果</w:t>
      </w:r>
    </w:p>
    <w:p w14:paraId="18FE01B8">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3.8.1 除第二章“投标人须知”前附表授权直接确定中标人外，评标委员会按照得分由高到低的顺序推荐中标候选人，并标明排序。</w:t>
      </w:r>
    </w:p>
    <w:p w14:paraId="6394B048">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3.8.2 评标委员会完成评标后，应当向招标人提交书面评标报告和中标候选人名单。</w:t>
      </w:r>
    </w:p>
    <w:p w14:paraId="5A3B9C16">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3.8.3 如采用评标定标分离方法的，按相关规定执行。</w:t>
      </w:r>
    </w:p>
    <w:p w14:paraId="71CEA98B">
      <w:pPr>
        <w:wordWrap w:val="0"/>
        <w:autoSpaceDE w:val="0"/>
        <w:autoSpaceDN w:val="0"/>
        <w:spacing w:line="276" w:lineRule="auto"/>
        <w:jc w:val="left"/>
        <w:outlineLvl w:val="3"/>
        <w:rPr>
          <w:rFonts w:ascii="宋体" w:hAnsi="宋体" w:eastAsia="宋体" w:cs="宋体"/>
          <w:color w:val="auto"/>
          <w:kern w:val="0"/>
          <w:sz w:val="28"/>
          <w:szCs w:val="28"/>
          <w:highlight w:val="none"/>
          <w:lang w:val="zh-CN"/>
        </w:rPr>
        <w:sectPr>
          <w:pgSz w:w="11905" w:h="16838"/>
          <w:pgMar w:top="1474" w:right="1701" w:bottom="1474" w:left="1701" w:header="720" w:footer="720" w:gutter="0"/>
          <w:cols w:space="720" w:num="1"/>
        </w:sectPr>
      </w:pPr>
    </w:p>
    <w:p w14:paraId="16D4AF48">
      <w:pPr>
        <w:wordWrap w:val="0"/>
        <w:autoSpaceDE w:val="0"/>
        <w:autoSpaceDN w:val="0"/>
        <w:spacing w:line="276" w:lineRule="auto"/>
        <w:jc w:val="left"/>
        <w:outlineLvl w:val="3"/>
        <w:rPr>
          <w:rFonts w:ascii="宋体" w:hAnsi="宋体" w:eastAsia="宋体" w:cs="宋体"/>
          <w:color w:val="auto"/>
          <w:kern w:val="0"/>
          <w:sz w:val="28"/>
          <w:szCs w:val="28"/>
          <w:highlight w:val="none"/>
          <w:lang w:val="zh-CN"/>
        </w:rPr>
      </w:pPr>
      <w:r>
        <w:rPr>
          <w:rFonts w:hint="eastAsia" w:ascii="宋体" w:hAnsi="宋体" w:eastAsia="宋体" w:cs="宋体"/>
          <w:color w:val="auto"/>
          <w:kern w:val="0"/>
          <w:sz w:val="28"/>
          <w:szCs w:val="28"/>
          <w:highlight w:val="none"/>
          <w:lang w:val="zh-CN"/>
        </w:rPr>
        <w:t>附</w:t>
      </w:r>
      <w:r>
        <w:rPr>
          <w:rFonts w:hint="eastAsia" w:ascii="宋体" w:hAnsi="宋体" w:eastAsia="宋体" w:cs="宋体"/>
          <w:color w:val="auto"/>
          <w:kern w:val="0"/>
          <w:sz w:val="28"/>
          <w:szCs w:val="28"/>
          <w:highlight w:val="none"/>
        </w:rPr>
        <w:t>表</w:t>
      </w:r>
      <w:r>
        <w:rPr>
          <w:rFonts w:hint="eastAsia" w:ascii="宋体" w:hAnsi="宋体" w:eastAsia="宋体" w:cs="宋体"/>
          <w:color w:val="auto"/>
          <w:kern w:val="0"/>
          <w:sz w:val="28"/>
          <w:szCs w:val="28"/>
          <w:highlight w:val="none"/>
          <w:lang w:val="zh-CN"/>
        </w:rPr>
        <w:t>一：</w:t>
      </w:r>
    </w:p>
    <w:p w14:paraId="78552D7A">
      <w:pPr>
        <w:wordWrap w:val="0"/>
        <w:jc w:val="center"/>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商务文件评分表</w:t>
      </w:r>
    </w:p>
    <w:tbl>
      <w:tblPr>
        <w:tblStyle w:val="46"/>
        <w:tblW w:w="14309" w:type="dxa"/>
        <w:jc w:val="center"/>
        <w:tblLayout w:type="fixed"/>
        <w:tblCellMar>
          <w:top w:w="0" w:type="dxa"/>
          <w:left w:w="108" w:type="dxa"/>
          <w:bottom w:w="0" w:type="dxa"/>
          <w:right w:w="108" w:type="dxa"/>
        </w:tblCellMar>
      </w:tblPr>
      <w:tblGrid>
        <w:gridCol w:w="741"/>
        <w:gridCol w:w="900"/>
        <w:gridCol w:w="1856"/>
        <w:gridCol w:w="10144"/>
        <w:gridCol w:w="668"/>
      </w:tblGrid>
      <w:tr w14:paraId="69F16B1A">
        <w:tblPrEx>
          <w:tblCellMar>
            <w:top w:w="0" w:type="dxa"/>
            <w:left w:w="108" w:type="dxa"/>
            <w:bottom w:w="0" w:type="dxa"/>
            <w:right w:w="108" w:type="dxa"/>
          </w:tblCellMar>
        </w:tblPrEx>
        <w:trPr>
          <w:trHeight w:val="20" w:hRule="atLeast"/>
          <w:jc w:val="center"/>
        </w:trPr>
        <w:tc>
          <w:tcPr>
            <w:tcW w:w="741" w:type="dxa"/>
            <w:tcBorders>
              <w:top w:val="single" w:color="auto" w:sz="6" w:space="0"/>
              <w:left w:val="single" w:color="auto" w:sz="6" w:space="0"/>
              <w:bottom w:val="single" w:color="auto" w:sz="6" w:space="0"/>
              <w:right w:val="single" w:color="auto" w:sz="6" w:space="0"/>
            </w:tcBorders>
            <w:vAlign w:val="center"/>
          </w:tcPr>
          <w:p w14:paraId="76BE96BB">
            <w:pPr>
              <w:wordWrap w:val="0"/>
              <w:topLinePunct/>
              <w:adjustRightInd w:val="0"/>
              <w:jc w:val="center"/>
              <w:rPr>
                <w:rFonts w:ascii="宋体" w:hAnsi="宋体" w:eastAsia="宋体" w:cs="Times New Roman"/>
                <w:b/>
                <w:color w:val="auto"/>
                <w:szCs w:val="21"/>
                <w:highlight w:val="none"/>
              </w:rPr>
            </w:pPr>
            <w:r>
              <w:rPr>
                <w:rFonts w:hint="eastAsia" w:ascii="宋体" w:hAnsi="宋体" w:eastAsia="宋体" w:cs="宋体"/>
                <w:b/>
                <w:color w:val="auto"/>
                <w:szCs w:val="21"/>
                <w:highlight w:val="none"/>
                <w:lang w:val="zh-CN"/>
              </w:rPr>
              <w:t>序号</w:t>
            </w:r>
          </w:p>
        </w:tc>
        <w:tc>
          <w:tcPr>
            <w:tcW w:w="900" w:type="dxa"/>
            <w:tcBorders>
              <w:top w:val="single" w:color="auto" w:sz="6" w:space="0"/>
              <w:left w:val="single" w:color="auto" w:sz="6" w:space="0"/>
              <w:bottom w:val="single" w:color="auto" w:sz="6" w:space="0"/>
              <w:right w:val="single" w:color="auto" w:sz="6" w:space="0"/>
            </w:tcBorders>
            <w:vAlign w:val="center"/>
          </w:tcPr>
          <w:p w14:paraId="08A9760E">
            <w:pPr>
              <w:wordWrap w:val="0"/>
              <w:topLinePunct/>
              <w:adjustRightInd w:val="0"/>
              <w:jc w:val="center"/>
              <w:rPr>
                <w:rFonts w:ascii="宋体" w:hAnsi="宋体" w:eastAsia="宋体" w:cs="Times New Roman"/>
                <w:b/>
                <w:color w:val="auto"/>
                <w:szCs w:val="21"/>
                <w:highlight w:val="none"/>
              </w:rPr>
            </w:pPr>
            <w:r>
              <w:rPr>
                <w:rFonts w:hint="eastAsia" w:ascii="宋体" w:hAnsi="宋体" w:eastAsia="宋体" w:cs="宋体"/>
                <w:b/>
                <w:color w:val="auto"/>
                <w:szCs w:val="21"/>
                <w:highlight w:val="none"/>
                <w:lang w:val="zh-CN"/>
              </w:rPr>
              <w:t>项目</w:t>
            </w:r>
          </w:p>
        </w:tc>
        <w:tc>
          <w:tcPr>
            <w:tcW w:w="1856" w:type="dxa"/>
            <w:tcBorders>
              <w:top w:val="single" w:color="auto" w:sz="6" w:space="0"/>
              <w:left w:val="single" w:color="auto" w:sz="6" w:space="0"/>
              <w:bottom w:val="single" w:color="auto" w:sz="6" w:space="0"/>
              <w:right w:val="single" w:color="auto" w:sz="6" w:space="0"/>
            </w:tcBorders>
            <w:vAlign w:val="center"/>
          </w:tcPr>
          <w:p w14:paraId="68229CC6">
            <w:pPr>
              <w:wordWrap w:val="0"/>
              <w:topLinePunct/>
              <w:adjustRightInd w:val="0"/>
              <w:jc w:val="center"/>
              <w:rPr>
                <w:rFonts w:ascii="宋体" w:hAnsi="宋体" w:eastAsia="宋体" w:cs="Times New Roman"/>
                <w:b/>
                <w:color w:val="auto"/>
                <w:szCs w:val="21"/>
                <w:highlight w:val="none"/>
              </w:rPr>
            </w:pPr>
            <w:r>
              <w:rPr>
                <w:rFonts w:hint="eastAsia" w:ascii="宋体" w:hAnsi="宋体" w:eastAsia="宋体" w:cs="宋体"/>
                <w:b/>
                <w:color w:val="auto"/>
                <w:szCs w:val="21"/>
                <w:highlight w:val="none"/>
                <w:lang w:val="zh-CN"/>
              </w:rPr>
              <w:t>分值分配</w:t>
            </w:r>
          </w:p>
        </w:tc>
        <w:tc>
          <w:tcPr>
            <w:tcW w:w="10144" w:type="dxa"/>
            <w:tcBorders>
              <w:top w:val="single" w:color="auto" w:sz="6" w:space="0"/>
              <w:left w:val="single" w:color="auto" w:sz="6" w:space="0"/>
              <w:bottom w:val="single" w:color="auto" w:sz="6" w:space="0"/>
              <w:right w:val="single" w:color="auto" w:sz="6" w:space="0"/>
            </w:tcBorders>
            <w:vAlign w:val="center"/>
          </w:tcPr>
          <w:p w14:paraId="12E53FC9">
            <w:pPr>
              <w:wordWrap w:val="0"/>
              <w:topLinePunct/>
              <w:adjustRightInd w:val="0"/>
              <w:jc w:val="center"/>
              <w:rPr>
                <w:rFonts w:ascii="宋体" w:hAnsi="宋体" w:eastAsia="宋体" w:cs="Times New Roman"/>
                <w:b/>
                <w:color w:val="auto"/>
                <w:szCs w:val="21"/>
                <w:highlight w:val="none"/>
              </w:rPr>
            </w:pPr>
            <w:r>
              <w:rPr>
                <w:rFonts w:hint="eastAsia" w:ascii="宋体" w:hAnsi="宋体" w:eastAsia="宋体" w:cs="宋体"/>
                <w:b/>
                <w:color w:val="auto"/>
                <w:szCs w:val="21"/>
                <w:highlight w:val="none"/>
                <w:lang w:val="zh-CN"/>
              </w:rPr>
              <w:t>内</w:t>
            </w:r>
            <w:r>
              <w:rPr>
                <w:rFonts w:hint="eastAsia" w:ascii="宋体" w:hAnsi="宋体" w:eastAsia="宋体" w:cs="Times New Roman"/>
                <w:b/>
                <w:color w:val="auto"/>
                <w:szCs w:val="21"/>
                <w:highlight w:val="none"/>
              </w:rPr>
              <w:t xml:space="preserve">     </w:t>
            </w:r>
            <w:r>
              <w:rPr>
                <w:rFonts w:hint="eastAsia" w:ascii="宋体" w:hAnsi="宋体" w:eastAsia="宋体" w:cs="宋体"/>
                <w:b/>
                <w:color w:val="auto"/>
                <w:szCs w:val="21"/>
                <w:highlight w:val="none"/>
                <w:lang w:val="zh-CN"/>
              </w:rPr>
              <w:t>容</w:t>
            </w:r>
          </w:p>
        </w:tc>
        <w:tc>
          <w:tcPr>
            <w:tcW w:w="668" w:type="dxa"/>
            <w:tcBorders>
              <w:top w:val="single" w:color="auto" w:sz="6" w:space="0"/>
              <w:left w:val="single" w:color="auto" w:sz="6" w:space="0"/>
              <w:bottom w:val="single" w:color="auto" w:sz="6" w:space="0"/>
              <w:right w:val="single" w:color="auto" w:sz="6" w:space="0"/>
            </w:tcBorders>
            <w:vAlign w:val="center"/>
          </w:tcPr>
          <w:p w14:paraId="7FCCAC0D">
            <w:pPr>
              <w:wordWrap w:val="0"/>
              <w:topLinePunct/>
              <w:adjustRightInd w:val="0"/>
              <w:jc w:val="center"/>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lang w:val="zh-CN"/>
              </w:rPr>
              <w:t>得分</w:t>
            </w:r>
          </w:p>
        </w:tc>
      </w:tr>
      <w:tr w14:paraId="123236F3">
        <w:tblPrEx>
          <w:tblCellMar>
            <w:top w:w="0" w:type="dxa"/>
            <w:left w:w="108" w:type="dxa"/>
            <w:bottom w:w="0" w:type="dxa"/>
            <w:right w:w="108" w:type="dxa"/>
          </w:tblCellMar>
        </w:tblPrEx>
        <w:trPr>
          <w:trHeight w:val="20" w:hRule="atLeast"/>
          <w:jc w:val="center"/>
        </w:trPr>
        <w:tc>
          <w:tcPr>
            <w:tcW w:w="741" w:type="dxa"/>
            <w:tcBorders>
              <w:top w:val="single" w:color="auto" w:sz="6" w:space="0"/>
              <w:left w:val="single" w:color="auto" w:sz="6" w:space="0"/>
              <w:bottom w:val="single" w:color="auto" w:sz="6" w:space="0"/>
              <w:right w:val="single" w:color="auto" w:sz="6" w:space="0"/>
            </w:tcBorders>
            <w:vAlign w:val="center"/>
          </w:tcPr>
          <w:p w14:paraId="6DA6B25D">
            <w:pPr>
              <w:wordWrap w:val="0"/>
              <w:topLinePunct/>
              <w:adjustRightInd w:val="0"/>
              <w:jc w:val="center"/>
              <w:rPr>
                <w:rFonts w:ascii="宋体" w:hAnsi="宋体" w:eastAsia="宋体" w:cs="宋体"/>
                <w:color w:val="auto"/>
                <w:szCs w:val="21"/>
                <w:highlight w:val="none"/>
              </w:rPr>
            </w:pPr>
            <w:r>
              <w:rPr>
                <w:rFonts w:hint="eastAsia" w:ascii="宋体" w:hAnsi="宋体" w:eastAsia="宋体" w:cs="宋体"/>
                <w:color w:val="auto"/>
                <w:szCs w:val="21"/>
                <w:highlight w:val="none"/>
                <w:lang w:val="zh-CN"/>
              </w:rPr>
              <w:t>一</w:t>
            </w:r>
          </w:p>
        </w:tc>
        <w:tc>
          <w:tcPr>
            <w:tcW w:w="900" w:type="dxa"/>
            <w:tcBorders>
              <w:top w:val="single" w:color="auto" w:sz="6" w:space="0"/>
              <w:left w:val="single" w:color="auto" w:sz="6" w:space="0"/>
              <w:bottom w:val="single" w:color="auto" w:sz="6" w:space="0"/>
              <w:right w:val="single" w:color="auto" w:sz="6" w:space="0"/>
            </w:tcBorders>
            <w:vAlign w:val="center"/>
          </w:tcPr>
          <w:p w14:paraId="2F158589">
            <w:pPr>
              <w:wordWrap w:val="0"/>
              <w:topLinePunct/>
              <w:adjustRightInd w:val="0"/>
              <w:jc w:val="center"/>
              <w:rPr>
                <w:rFonts w:ascii="宋体" w:hAnsi="宋体" w:eastAsia="宋体" w:cs="宋体"/>
                <w:color w:val="auto"/>
                <w:szCs w:val="21"/>
                <w:highlight w:val="none"/>
              </w:rPr>
            </w:pPr>
            <w:r>
              <w:rPr>
                <w:rFonts w:hint="eastAsia" w:ascii="宋体" w:hAnsi="宋体" w:eastAsia="宋体" w:cs="宋体"/>
                <w:color w:val="auto"/>
                <w:szCs w:val="21"/>
                <w:highlight w:val="none"/>
                <w:lang w:val="zh-CN"/>
              </w:rPr>
              <w:t>企业类似业绩</w:t>
            </w:r>
          </w:p>
        </w:tc>
        <w:tc>
          <w:tcPr>
            <w:tcW w:w="1856" w:type="dxa"/>
            <w:tcBorders>
              <w:top w:val="single" w:color="auto" w:sz="6" w:space="0"/>
              <w:left w:val="single" w:color="auto" w:sz="6" w:space="0"/>
              <w:bottom w:val="single" w:color="auto" w:sz="6" w:space="0"/>
              <w:right w:val="single" w:color="auto" w:sz="6" w:space="0"/>
            </w:tcBorders>
            <w:vAlign w:val="center"/>
          </w:tcPr>
          <w:p w14:paraId="419931F8">
            <w:pPr>
              <w:wordWrap w:val="0"/>
              <w:topLinePunct/>
              <w:adjustRightInd w:val="0"/>
              <w:jc w:val="center"/>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[35]</w:t>
            </w:r>
          </w:p>
        </w:tc>
        <w:tc>
          <w:tcPr>
            <w:tcW w:w="10144" w:type="dxa"/>
            <w:tcBorders>
              <w:top w:val="single" w:color="auto" w:sz="6" w:space="0"/>
              <w:left w:val="single" w:color="auto" w:sz="6" w:space="0"/>
              <w:bottom w:val="single" w:color="auto" w:sz="6" w:space="0"/>
              <w:right w:val="single" w:color="auto" w:sz="6" w:space="0"/>
            </w:tcBorders>
            <w:vAlign w:val="center"/>
          </w:tcPr>
          <w:p w14:paraId="2D1EC5FF">
            <w:pPr>
              <w:wordWrap w:val="0"/>
              <w:topLinePunct/>
              <w:adjustRightInd w:val="0"/>
              <w:rPr>
                <w:rFonts w:ascii="宋体" w:hAnsi="宋体" w:eastAsia="宋体" w:cs="宋体"/>
                <w:color w:val="auto"/>
                <w:szCs w:val="21"/>
                <w:highlight w:val="none"/>
                <w:lang w:val="zh-CN"/>
              </w:rPr>
            </w:pPr>
            <w:r>
              <w:rPr>
                <w:rFonts w:hint="eastAsia" w:ascii="宋体" w:hAnsi="宋体" w:eastAsia="宋体" w:cs="宋体"/>
                <w:b/>
                <w:bCs/>
                <w:color w:val="auto"/>
                <w:szCs w:val="21"/>
                <w:highlight w:val="none"/>
                <w:lang w:val="zh-CN"/>
              </w:rPr>
              <w:t>近</w:t>
            </w:r>
            <w:r>
              <w:rPr>
                <w:rFonts w:ascii="宋体" w:hAnsi="宋体" w:eastAsia="宋体" w:cs="宋体"/>
                <w:b/>
                <w:bCs/>
                <w:color w:val="auto"/>
                <w:szCs w:val="21"/>
                <w:highlight w:val="none"/>
                <w:u w:val="single"/>
              </w:rPr>
              <w:t>5</w:t>
            </w:r>
            <w:r>
              <w:rPr>
                <w:rFonts w:hint="eastAsia" w:ascii="宋体" w:hAnsi="宋体" w:eastAsia="宋体" w:cs="宋体"/>
                <w:b/>
                <w:bCs/>
                <w:color w:val="auto"/>
                <w:szCs w:val="21"/>
                <w:highlight w:val="none"/>
                <w:lang w:val="zh-CN"/>
              </w:rPr>
              <w:t>年内勘察对应类似业绩：</w:t>
            </w:r>
            <w:r>
              <w:rPr>
                <w:rFonts w:hint="eastAsia" w:ascii="宋体" w:hAnsi="宋体" w:eastAsia="宋体" w:cs="宋体"/>
                <w:color w:val="auto"/>
                <w:szCs w:val="21"/>
                <w:highlight w:val="none"/>
                <w:lang w:val="zh-CN"/>
              </w:rPr>
              <w:t>有类似</w:t>
            </w:r>
            <w:r>
              <w:rPr>
                <w:rFonts w:hint="eastAsia" w:ascii="宋体" w:hAnsi="宋体" w:eastAsia="宋体" w:cs="宋体"/>
                <w:color w:val="auto"/>
                <w:szCs w:val="21"/>
                <w:highlight w:val="none"/>
              </w:rPr>
              <w:t>勘察</w:t>
            </w:r>
            <w:r>
              <w:rPr>
                <w:rFonts w:hint="eastAsia" w:ascii="宋体" w:hAnsi="宋体" w:eastAsia="宋体" w:cs="宋体"/>
                <w:color w:val="auto"/>
                <w:szCs w:val="21"/>
                <w:highlight w:val="none"/>
                <w:lang w:val="zh-CN"/>
              </w:rPr>
              <w:t>业绩的，每项得</w:t>
            </w:r>
            <w:r>
              <w:rPr>
                <w:rFonts w:hint="eastAsia" w:ascii="宋体" w:hAnsi="宋体" w:eastAsia="宋体" w:cs="宋体"/>
                <w:color w:val="auto"/>
                <w:szCs w:val="21"/>
                <w:highlight w:val="none"/>
                <w:u w:val="single"/>
                <w:lang w:val="zh-CN"/>
              </w:rPr>
              <w:t xml:space="preserve">  </w:t>
            </w:r>
            <w:r>
              <w:rPr>
                <w:rFonts w:ascii="宋体" w:hAnsi="宋体" w:eastAsia="宋体" w:cs="宋体"/>
                <w:color w:val="auto"/>
                <w:szCs w:val="21"/>
                <w:highlight w:val="none"/>
                <w:u w:val="single"/>
              </w:rPr>
              <w:t>1</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lang w:val="zh-CN"/>
              </w:rPr>
              <w:t>分，最高得</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u w:val="single"/>
              </w:rPr>
              <w:t>5</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lang w:val="zh-CN"/>
              </w:rPr>
              <w:t>分；</w:t>
            </w:r>
          </w:p>
          <w:p w14:paraId="109E8561">
            <w:pPr>
              <w:wordWrap w:val="0"/>
              <w:topLinePunct/>
              <w:adjustRightInd w:val="0"/>
              <w:rPr>
                <w:rFonts w:ascii="宋体" w:hAnsi="宋体" w:eastAsia="宋体" w:cs="宋体"/>
                <w:color w:val="auto"/>
                <w:szCs w:val="21"/>
                <w:highlight w:val="none"/>
                <w:lang w:val="zh-CN"/>
              </w:rPr>
            </w:pPr>
            <w:r>
              <w:rPr>
                <w:rFonts w:hint="eastAsia" w:ascii="宋体" w:hAnsi="宋体" w:eastAsia="宋体" w:cs="宋体"/>
                <w:b/>
                <w:bCs/>
                <w:color w:val="auto"/>
                <w:szCs w:val="21"/>
                <w:highlight w:val="none"/>
                <w:lang w:val="zh-CN"/>
              </w:rPr>
              <w:t>近</w:t>
            </w:r>
            <w:r>
              <w:rPr>
                <w:rFonts w:ascii="宋体" w:hAnsi="宋体" w:eastAsia="宋体" w:cs="宋体"/>
                <w:b/>
                <w:bCs/>
                <w:color w:val="auto"/>
                <w:szCs w:val="21"/>
                <w:highlight w:val="none"/>
                <w:u w:val="single"/>
              </w:rPr>
              <w:t>5</w:t>
            </w:r>
            <w:r>
              <w:rPr>
                <w:rFonts w:hint="eastAsia" w:ascii="宋体" w:hAnsi="宋体" w:eastAsia="宋体" w:cs="宋体"/>
                <w:b/>
                <w:bCs/>
                <w:color w:val="auto"/>
                <w:szCs w:val="21"/>
                <w:highlight w:val="none"/>
                <w:lang w:val="zh-CN"/>
              </w:rPr>
              <w:t>年内设计对应类似业绩：</w:t>
            </w:r>
            <w:r>
              <w:rPr>
                <w:rFonts w:hint="eastAsia" w:ascii="宋体" w:hAnsi="宋体" w:eastAsia="宋体" w:cs="宋体"/>
                <w:color w:val="auto"/>
                <w:szCs w:val="21"/>
                <w:highlight w:val="none"/>
                <w:lang w:val="zh-CN"/>
              </w:rPr>
              <w:t>有类似</w:t>
            </w:r>
            <w:r>
              <w:rPr>
                <w:rFonts w:hint="eastAsia" w:ascii="宋体" w:hAnsi="宋体" w:eastAsia="宋体" w:cs="宋体"/>
                <w:color w:val="auto"/>
                <w:szCs w:val="21"/>
                <w:highlight w:val="none"/>
              </w:rPr>
              <w:t>设计</w:t>
            </w:r>
            <w:r>
              <w:rPr>
                <w:rFonts w:hint="eastAsia" w:ascii="宋体" w:hAnsi="宋体" w:eastAsia="宋体" w:cs="宋体"/>
                <w:color w:val="auto"/>
                <w:szCs w:val="21"/>
                <w:highlight w:val="none"/>
                <w:lang w:val="zh-CN"/>
              </w:rPr>
              <w:t>业绩的，每项得</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u w:val="single"/>
              </w:rPr>
              <w:t>6</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lang w:val="zh-CN"/>
              </w:rPr>
              <w:t>分，最高得</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u w:val="single"/>
              </w:rPr>
              <w:t>30</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lang w:val="zh-CN"/>
              </w:rPr>
              <w:t>分。</w:t>
            </w:r>
          </w:p>
          <w:p w14:paraId="2C6FA77E">
            <w:pPr>
              <w:wordWrap w:val="0"/>
              <w:topLinePunct/>
              <w:adjustRightInd w:val="0"/>
              <w:rPr>
                <w:rFonts w:ascii="宋体" w:hAnsi="宋体" w:eastAsia="宋体" w:cs="宋体"/>
                <w:color w:val="auto"/>
                <w:szCs w:val="21"/>
                <w:highlight w:val="none"/>
              </w:rPr>
            </w:pPr>
            <w:r>
              <w:rPr>
                <w:rFonts w:hint="eastAsia" w:ascii="宋体" w:hAnsi="宋体" w:eastAsia="宋体" w:cs="宋体"/>
                <w:color w:val="auto"/>
                <w:szCs w:val="21"/>
                <w:highlight w:val="none"/>
              </w:rPr>
              <w:t>注：以上合计最多得</w:t>
            </w:r>
            <w:r>
              <w:rPr>
                <w:rFonts w:hint="eastAsia" w:ascii="宋体" w:hAnsi="宋体" w:eastAsia="宋体" w:cs="宋体"/>
                <w:color w:val="auto"/>
                <w:szCs w:val="21"/>
                <w:highlight w:val="none"/>
                <w:u w:val="single"/>
              </w:rPr>
              <w:t>35</w:t>
            </w:r>
            <w:r>
              <w:rPr>
                <w:rFonts w:hint="eastAsia" w:ascii="宋体" w:hAnsi="宋体" w:eastAsia="宋体" w:cs="宋体"/>
                <w:color w:val="auto"/>
                <w:szCs w:val="21"/>
                <w:highlight w:val="none"/>
              </w:rPr>
              <w:t>分。</w:t>
            </w:r>
          </w:p>
        </w:tc>
        <w:tc>
          <w:tcPr>
            <w:tcW w:w="668" w:type="dxa"/>
            <w:tcBorders>
              <w:top w:val="single" w:color="auto" w:sz="6" w:space="0"/>
              <w:left w:val="single" w:color="auto" w:sz="6" w:space="0"/>
              <w:bottom w:val="single" w:color="auto" w:sz="6" w:space="0"/>
              <w:right w:val="single" w:color="auto" w:sz="6" w:space="0"/>
            </w:tcBorders>
            <w:vAlign w:val="center"/>
          </w:tcPr>
          <w:p w14:paraId="52794AAA">
            <w:pPr>
              <w:wordWrap w:val="0"/>
              <w:topLinePunct/>
              <w:adjustRightInd w:val="0"/>
              <w:jc w:val="center"/>
              <w:rPr>
                <w:rFonts w:ascii="宋体" w:hAnsi="宋体" w:eastAsia="宋体" w:cs="Times New Roman"/>
                <w:color w:val="auto"/>
                <w:szCs w:val="21"/>
                <w:highlight w:val="none"/>
              </w:rPr>
            </w:pPr>
          </w:p>
        </w:tc>
      </w:tr>
      <w:tr w14:paraId="1B6802B6">
        <w:tblPrEx>
          <w:tblCellMar>
            <w:top w:w="0" w:type="dxa"/>
            <w:left w:w="108" w:type="dxa"/>
            <w:bottom w:w="0" w:type="dxa"/>
            <w:right w:w="108" w:type="dxa"/>
          </w:tblCellMar>
        </w:tblPrEx>
        <w:trPr>
          <w:trHeight w:val="20" w:hRule="atLeast"/>
          <w:jc w:val="center"/>
        </w:trPr>
        <w:tc>
          <w:tcPr>
            <w:tcW w:w="741" w:type="dxa"/>
            <w:tcBorders>
              <w:top w:val="single" w:color="auto" w:sz="6" w:space="0"/>
              <w:left w:val="single" w:color="auto" w:sz="6" w:space="0"/>
              <w:bottom w:val="single" w:color="auto" w:sz="6" w:space="0"/>
              <w:right w:val="single" w:color="auto" w:sz="6" w:space="0"/>
            </w:tcBorders>
            <w:vAlign w:val="center"/>
          </w:tcPr>
          <w:p w14:paraId="2B72BDED">
            <w:pPr>
              <w:wordWrap w:val="0"/>
              <w:topLinePunct/>
              <w:adjustRightInd w:val="0"/>
              <w:jc w:val="center"/>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二</w:t>
            </w:r>
          </w:p>
        </w:tc>
        <w:tc>
          <w:tcPr>
            <w:tcW w:w="900" w:type="dxa"/>
            <w:tcBorders>
              <w:top w:val="single" w:color="auto" w:sz="6" w:space="0"/>
              <w:left w:val="single" w:color="auto" w:sz="6" w:space="0"/>
              <w:bottom w:val="single" w:color="auto" w:sz="6" w:space="0"/>
              <w:right w:val="single" w:color="auto" w:sz="6" w:space="0"/>
            </w:tcBorders>
            <w:vAlign w:val="center"/>
          </w:tcPr>
          <w:p w14:paraId="6BED0908">
            <w:pPr>
              <w:wordWrap w:val="0"/>
              <w:topLinePunct/>
              <w:adjustRightInd w:val="0"/>
              <w:jc w:val="center"/>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企业业绩获奖</w:t>
            </w:r>
          </w:p>
        </w:tc>
        <w:tc>
          <w:tcPr>
            <w:tcW w:w="1856" w:type="dxa"/>
            <w:tcBorders>
              <w:top w:val="single" w:color="auto" w:sz="6" w:space="0"/>
              <w:left w:val="single" w:color="auto" w:sz="6" w:space="0"/>
              <w:bottom w:val="single" w:color="auto" w:sz="6" w:space="0"/>
              <w:right w:val="single" w:color="auto" w:sz="6" w:space="0"/>
            </w:tcBorders>
            <w:vAlign w:val="center"/>
          </w:tcPr>
          <w:p w14:paraId="736863C7">
            <w:pPr>
              <w:wordWrap w:val="0"/>
              <w:topLinePunct/>
              <w:adjustRightInd w:val="0"/>
              <w:jc w:val="center"/>
              <w:rPr>
                <w:rFonts w:ascii="宋体" w:hAnsi="宋体" w:eastAsia="宋体" w:cs="宋体"/>
                <w:color w:val="auto"/>
                <w:szCs w:val="21"/>
                <w:highlight w:val="none"/>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zh-CN"/>
              </w:rPr>
              <w:t>5]</w:t>
            </w:r>
          </w:p>
        </w:tc>
        <w:tc>
          <w:tcPr>
            <w:tcW w:w="10144" w:type="dxa"/>
            <w:tcBorders>
              <w:top w:val="single" w:color="auto" w:sz="6" w:space="0"/>
              <w:left w:val="single" w:color="auto" w:sz="6" w:space="0"/>
              <w:bottom w:val="single" w:color="auto" w:sz="6" w:space="0"/>
              <w:right w:val="single" w:color="auto" w:sz="6" w:space="0"/>
            </w:tcBorders>
            <w:vAlign w:val="center"/>
          </w:tcPr>
          <w:p w14:paraId="06C8CAB3">
            <w:pPr>
              <w:wordWrap w:val="0"/>
              <w:topLinePunct/>
              <w:adjustRightInd w:val="0"/>
              <w:rPr>
                <w:rFonts w:ascii="宋体" w:hAnsi="宋体" w:eastAsia="宋体" w:cs="宋体"/>
                <w:color w:val="auto"/>
                <w:szCs w:val="21"/>
                <w:highlight w:val="none"/>
                <w:lang w:val="zh-CN"/>
              </w:rPr>
            </w:pPr>
            <w:r>
              <w:rPr>
                <w:rFonts w:hint="eastAsia" w:ascii="宋体" w:hAnsi="宋体" w:eastAsia="宋体" w:cs="宋体"/>
                <w:b/>
                <w:bCs/>
                <w:color w:val="auto"/>
                <w:szCs w:val="21"/>
                <w:highlight w:val="none"/>
              </w:rPr>
              <w:t>近</w:t>
            </w:r>
            <w:r>
              <w:rPr>
                <w:rFonts w:hint="eastAsia" w:ascii="宋体" w:hAnsi="宋体" w:eastAsia="宋体" w:cs="宋体"/>
                <w:b/>
                <w:bCs/>
                <w:color w:val="auto"/>
                <w:szCs w:val="21"/>
                <w:highlight w:val="none"/>
                <w:u w:val="single"/>
              </w:rPr>
              <w:t xml:space="preserve"> </w:t>
            </w:r>
            <w:r>
              <w:rPr>
                <w:rFonts w:ascii="宋体" w:hAnsi="宋体" w:eastAsia="宋体" w:cs="宋体"/>
                <w:b/>
                <w:bCs/>
                <w:color w:val="auto"/>
                <w:szCs w:val="21"/>
                <w:highlight w:val="none"/>
                <w:u w:val="single"/>
              </w:rPr>
              <w:t>5</w:t>
            </w:r>
            <w:r>
              <w:rPr>
                <w:rFonts w:hint="eastAsia" w:ascii="宋体" w:hAnsi="宋体" w:eastAsia="宋体" w:cs="宋体"/>
                <w:b/>
                <w:bCs/>
                <w:color w:val="auto"/>
                <w:szCs w:val="21"/>
                <w:highlight w:val="none"/>
                <w:u w:val="single"/>
              </w:rPr>
              <w:t xml:space="preserve"> </w:t>
            </w:r>
            <w:r>
              <w:rPr>
                <w:rFonts w:hint="eastAsia" w:ascii="宋体" w:hAnsi="宋体" w:eastAsia="宋体" w:cs="宋体"/>
                <w:b/>
                <w:bCs/>
                <w:color w:val="auto"/>
                <w:szCs w:val="21"/>
                <w:highlight w:val="none"/>
              </w:rPr>
              <w:t>年内投标人获得过勘察类或设计类奖项：</w:t>
            </w:r>
            <w:r>
              <w:rPr>
                <w:rFonts w:hint="eastAsia" w:ascii="宋体" w:hAnsi="宋体" w:eastAsia="宋体" w:cs="宋体"/>
                <w:color w:val="auto"/>
                <w:szCs w:val="21"/>
                <w:highlight w:val="none"/>
                <w:lang w:val="zh-CN"/>
              </w:rPr>
              <w:t>获国家级奖项，每项得</w:t>
            </w:r>
            <w:r>
              <w:rPr>
                <w:rFonts w:hint="eastAsia" w:ascii="宋体" w:hAnsi="宋体" w:eastAsia="宋体" w:cs="宋体"/>
                <w:color w:val="auto"/>
                <w:szCs w:val="21"/>
                <w:highlight w:val="none"/>
                <w:u w:val="single"/>
              </w:rPr>
              <w:t xml:space="preserve"> 25 </w:t>
            </w:r>
            <w:r>
              <w:rPr>
                <w:rFonts w:hint="eastAsia" w:ascii="宋体" w:hAnsi="宋体" w:eastAsia="宋体" w:cs="宋体"/>
                <w:color w:val="auto"/>
                <w:szCs w:val="21"/>
                <w:highlight w:val="none"/>
                <w:lang w:val="zh-CN"/>
              </w:rPr>
              <w:t>分</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zh-CN"/>
              </w:rPr>
              <w:t>获省级（</w:t>
            </w:r>
            <w:r>
              <w:rPr>
                <w:rFonts w:hint="eastAsia" w:ascii="宋体" w:hAnsi="宋体" w:eastAsia="宋体" w:cs="宋体"/>
                <w:color w:val="auto"/>
                <w:szCs w:val="21"/>
                <w:highlight w:val="none"/>
              </w:rPr>
              <w:t>含自治区、直辖市</w:t>
            </w:r>
            <w:r>
              <w:rPr>
                <w:rFonts w:hint="eastAsia" w:ascii="宋体" w:hAnsi="宋体" w:eastAsia="宋体" w:cs="宋体"/>
                <w:color w:val="auto"/>
                <w:szCs w:val="21"/>
                <w:highlight w:val="none"/>
                <w:lang w:val="zh-CN"/>
              </w:rPr>
              <w:t>）奖项，每项得</w:t>
            </w:r>
            <w:r>
              <w:rPr>
                <w:rFonts w:hint="eastAsia" w:ascii="宋体" w:hAnsi="宋体" w:eastAsia="宋体" w:cs="宋体"/>
                <w:color w:val="auto"/>
                <w:szCs w:val="21"/>
                <w:highlight w:val="none"/>
                <w:u w:val="single"/>
              </w:rPr>
              <w:t xml:space="preserve"> 12.5 </w:t>
            </w:r>
            <w:r>
              <w:rPr>
                <w:rFonts w:hint="eastAsia" w:ascii="宋体" w:hAnsi="宋体" w:eastAsia="宋体" w:cs="宋体"/>
                <w:color w:val="auto"/>
                <w:szCs w:val="21"/>
                <w:highlight w:val="none"/>
                <w:lang w:val="zh-CN"/>
              </w:rPr>
              <w:t>分</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zh-CN"/>
              </w:rPr>
              <w:t>获市级奖项</w:t>
            </w:r>
            <w:r>
              <w:rPr>
                <w:rFonts w:hint="eastAsia" w:ascii="宋体" w:hAnsi="宋体" w:eastAsia="宋体" w:cs="宋体"/>
                <w:color w:val="auto"/>
                <w:szCs w:val="21"/>
                <w:highlight w:val="none"/>
              </w:rPr>
              <w:t>（含副省级）</w:t>
            </w:r>
            <w:r>
              <w:rPr>
                <w:rFonts w:hint="eastAsia" w:ascii="宋体" w:hAnsi="宋体" w:eastAsia="宋体" w:cs="宋体"/>
                <w:color w:val="auto"/>
                <w:szCs w:val="21"/>
                <w:highlight w:val="none"/>
                <w:lang w:val="zh-CN"/>
              </w:rPr>
              <w:t>，每项得</w:t>
            </w:r>
            <w:r>
              <w:rPr>
                <w:rFonts w:hint="eastAsia" w:ascii="宋体" w:hAnsi="宋体" w:eastAsia="宋体" w:cs="宋体"/>
                <w:color w:val="auto"/>
                <w:szCs w:val="21"/>
                <w:highlight w:val="none"/>
                <w:u w:val="single"/>
              </w:rPr>
              <w:t xml:space="preserve"> 5 </w:t>
            </w:r>
            <w:r>
              <w:rPr>
                <w:rFonts w:hint="eastAsia" w:ascii="宋体" w:hAnsi="宋体" w:eastAsia="宋体" w:cs="宋体"/>
                <w:color w:val="auto"/>
                <w:szCs w:val="21"/>
                <w:highlight w:val="none"/>
                <w:lang w:val="zh-CN"/>
              </w:rPr>
              <w:t>分</w:t>
            </w:r>
            <w:r>
              <w:rPr>
                <w:rFonts w:hint="eastAsia" w:ascii="宋体" w:hAnsi="宋体" w:eastAsia="宋体" w:cs="宋体"/>
                <w:color w:val="auto"/>
                <w:szCs w:val="21"/>
                <w:highlight w:val="none"/>
              </w:rPr>
              <w:t>。以上奖项合计最多得</w:t>
            </w:r>
            <w:r>
              <w:rPr>
                <w:rFonts w:hint="eastAsia" w:ascii="宋体" w:hAnsi="宋体" w:eastAsia="宋体" w:cs="宋体"/>
                <w:color w:val="auto"/>
                <w:szCs w:val="21"/>
                <w:highlight w:val="none"/>
                <w:u w:val="single"/>
              </w:rPr>
              <w:t xml:space="preserve"> 25 </w:t>
            </w:r>
            <w:r>
              <w:rPr>
                <w:rFonts w:hint="eastAsia" w:ascii="宋体" w:hAnsi="宋体" w:eastAsia="宋体" w:cs="宋体"/>
                <w:color w:val="auto"/>
                <w:szCs w:val="21"/>
                <w:highlight w:val="none"/>
              </w:rPr>
              <w:t>分。</w:t>
            </w:r>
          </w:p>
        </w:tc>
        <w:tc>
          <w:tcPr>
            <w:tcW w:w="668" w:type="dxa"/>
            <w:tcBorders>
              <w:top w:val="single" w:color="auto" w:sz="6" w:space="0"/>
              <w:left w:val="single" w:color="auto" w:sz="6" w:space="0"/>
              <w:bottom w:val="single" w:color="auto" w:sz="6" w:space="0"/>
              <w:right w:val="single" w:color="auto" w:sz="6" w:space="0"/>
            </w:tcBorders>
            <w:vAlign w:val="center"/>
          </w:tcPr>
          <w:p w14:paraId="6014DCD0">
            <w:pPr>
              <w:wordWrap w:val="0"/>
              <w:topLinePunct/>
              <w:adjustRightInd w:val="0"/>
              <w:jc w:val="center"/>
              <w:rPr>
                <w:rFonts w:ascii="宋体" w:hAnsi="宋体" w:eastAsia="宋体" w:cs="Times New Roman"/>
                <w:color w:val="auto"/>
                <w:szCs w:val="21"/>
                <w:highlight w:val="none"/>
                <w:lang w:val="zh-CN"/>
              </w:rPr>
            </w:pPr>
          </w:p>
        </w:tc>
      </w:tr>
      <w:tr w14:paraId="4AE90BD3">
        <w:tblPrEx>
          <w:tblCellMar>
            <w:top w:w="0" w:type="dxa"/>
            <w:left w:w="108" w:type="dxa"/>
            <w:bottom w:w="0" w:type="dxa"/>
            <w:right w:w="108" w:type="dxa"/>
          </w:tblCellMar>
        </w:tblPrEx>
        <w:trPr>
          <w:trHeight w:val="20" w:hRule="atLeast"/>
          <w:jc w:val="center"/>
        </w:trPr>
        <w:tc>
          <w:tcPr>
            <w:tcW w:w="741" w:type="dxa"/>
            <w:vMerge w:val="restart"/>
            <w:tcBorders>
              <w:top w:val="single" w:color="auto" w:sz="6" w:space="0"/>
              <w:left w:val="single" w:color="auto" w:sz="6" w:space="0"/>
              <w:bottom w:val="single" w:color="auto" w:sz="6" w:space="0"/>
              <w:right w:val="single" w:color="auto" w:sz="6" w:space="0"/>
            </w:tcBorders>
            <w:vAlign w:val="center"/>
          </w:tcPr>
          <w:p w14:paraId="003CD038">
            <w:pPr>
              <w:wordWrap w:val="0"/>
              <w:topLinePunct/>
              <w:adjustRightInd w:val="0"/>
              <w:jc w:val="center"/>
              <w:rPr>
                <w:rFonts w:ascii="宋体" w:hAnsi="宋体" w:eastAsia="宋体" w:cs="宋体"/>
                <w:color w:val="auto"/>
                <w:szCs w:val="21"/>
                <w:highlight w:val="none"/>
                <w:lang w:val="zh-CN"/>
              </w:rPr>
            </w:pPr>
            <w:r>
              <w:rPr>
                <w:rFonts w:hint="eastAsia" w:ascii="宋体" w:hAnsi="宋体" w:eastAsia="宋体" w:cs="宋体"/>
                <w:color w:val="auto"/>
                <w:szCs w:val="21"/>
                <w:highlight w:val="none"/>
              </w:rPr>
              <w:t>三</w:t>
            </w:r>
          </w:p>
        </w:tc>
        <w:tc>
          <w:tcPr>
            <w:tcW w:w="900" w:type="dxa"/>
            <w:vMerge w:val="restart"/>
            <w:tcBorders>
              <w:top w:val="single" w:color="auto" w:sz="6" w:space="0"/>
              <w:left w:val="single" w:color="auto" w:sz="6" w:space="0"/>
              <w:bottom w:val="single" w:color="auto" w:sz="6" w:space="0"/>
              <w:right w:val="single" w:color="auto" w:sz="6" w:space="0"/>
            </w:tcBorders>
            <w:vAlign w:val="center"/>
          </w:tcPr>
          <w:p w14:paraId="380CAE7D">
            <w:pPr>
              <w:wordWrap w:val="0"/>
              <w:topLinePunct/>
              <w:adjustRightInd w:val="0"/>
              <w:jc w:val="center"/>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人员配备及技术水平</w:t>
            </w:r>
          </w:p>
        </w:tc>
        <w:tc>
          <w:tcPr>
            <w:tcW w:w="1856" w:type="dxa"/>
            <w:vMerge w:val="restart"/>
            <w:tcBorders>
              <w:top w:val="single" w:color="auto" w:sz="6" w:space="0"/>
              <w:left w:val="single" w:color="auto" w:sz="6" w:space="0"/>
              <w:bottom w:val="single" w:color="auto" w:sz="6" w:space="0"/>
              <w:right w:val="single" w:color="auto" w:sz="6" w:space="0"/>
            </w:tcBorders>
            <w:vAlign w:val="center"/>
          </w:tcPr>
          <w:p w14:paraId="598EC973">
            <w:pPr>
              <w:wordWrap w:val="0"/>
              <w:topLinePunct/>
              <w:adjustRightInd w:val="0"/>
              <w:jc w:val="center"/>
              <w:rPr>
                <w:rFonts w:ascii="宋体" w:hAnsi="宋体" w:eastAsia="宋体" w:cs="宋体"/>
                <w:color w:val="auto"/>
                <w:szCs w:val="21"/>
                <w:highlight w:val="none"/>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30</w:t>
            </w:r>
            <w:r>
              <w:rPr>
                <w:rFonts w:hint="eastAsia" w:ascii="宋体" w:hAnsi="宋体" w:eastAsia="宋体" w:cs="宋体"/>
                <w:color w:val="auto"/>
                <w:szCs w:val="21"/>
                <w:highlight w:val="none"/>
                <w:lang w:val="zh-CN"/>
              </w:rPr>
              <w:t>]</w:t>
            </w:r>
          </w:p>
        </w:tc>
        <w:tc>
          <w:tcPr>
            <w:tcW w:w="10144" w:type="dxa"/>
            <w:tcBorders>
              <w:top w:val="single" w:color="auto" w:sz="6" w:space="0"/>
              <w:left w:val="single" w:color="auto" w:sz="6" w:space="0"/>
              <w:bottom w:val="single" w:color="auto" w:sz="6" w:space="0"/>
              <w:right w:val="single" w:color="auto" w:sz="6" w:space="0"/>
            </w:tcBorders>
            <w:vAlign w:val="center"/>
          </w:tcPr>
          <w:p w14:paraId="55D33969">
            <w:pPr>
              <w:wordWrap w:val="0"/>
              <w:topLinePunct/>
              <w:adjustRightInd w:val="0"/>
              <w:rPr>
                <w:rFonts w:ascii="宋体" w:hAnsi="宋体" w:eastAsia="宋体" w:cs="宋体"/>
                <w:color w:val="auto"/>
                <w:szCs w:val="21"/>
                <w:highlight w:val="none"/>
                <w:lang w:val="zh-CN"/>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zh-CN"/>
              </w:rPr>
              <w:t>、项目负责人设计经历及业务能力：</w:t>
            </w:r>
          </w:p>
          <w:p w14:paraId="234E5BEB">
            <w:pPr>
              <w:wordWrap w:val="0"/>
              <w:topLinePunct/>
              <w:adjustRightInd w:val="0"/>
              <w:rPr>
                <w:rFonts w:ascii="宋体" w:hAnsi="宋体" w:eastAsia="宋体" w:cs="宋体"/>
                <w:strike/>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zh-CN"/>
              </w:rPr>
              <w:t>）设计经历在</w:t>
            </w:r>
            <w:r>
              <w:rPr>
                <w:rFonts w:hint="eastAsia" w:ascii="宋体" w:hAnsi="宋体" w:eastAsia="宋体" w:cs="宋体"/>
                <w:color w:val="auto"/>
                <w:szCs w:val="21"/>
                <w:highlight w:val="none"/>
                <w:u w:val="single"/>
              </w:rPr>
              <w:t xml:space="preserve"> 15</w:t>
            </w:r>
            <w:r>
              <w:rPr>
                <w:rFonts w:ascii="宋体" w:hAnsi="宋体" w:eastAsia="宋体" w:cs="宋体"/>
                <w:color w:val="auto"/>
                <w:szCs w:val="21"/>
                <w:highlight w:val="none"/>
                <w:u w:val="single"/>
              </w:rPr>
              <w:t xml:space="preserve"> </w:t>
            </w:r>
            <w:r>
              <w:rPr>
                <w:rFonts w:hint="eastAsia" w:ascii="宋体" w:hAnsi="宋体" w:eastAsia="宋体" w:cs="宋体"/>
                <w:color w:val="auto"/>
                <w:szCs w:val="21"/>
                <w:highlight w:val="none"/>
                <w:lang w:val="zh-CN"/>
              </w:rPr>
              <w:t>年（</w:t>
            </w:r>
            <w:r>
              <w:rPr>
                <w:rFonts w:hint="eastAsia" w:ascii="宋体" w:hAnsi="宋体" w:eastAsia="宋体" w:cs="宋体"/>
                <w:color w:val="auto"/>
                <w:szCs w:val="21"/>
                <w:highlight w:val="none"/>
              </w:rPr>
              <w:t>含15年</w:t>
            </w:r>
            <w:r>
              <w:rPr>
                <w:rFonts w:hint="eastAsia" w:ascii="宋体" w:hAnsi="宋体" w:eastAsia="宋体" w:cs="宋体"/>
                <w:color w:val="auto"/>
                <w:szCs w:val="21"/>
                <w:highlight w:val="none"/>
                <w:lang w:val="zh-CN"/>
              </w:rPr>
              <w:t>）以上：</w:t>
            </w:r>
            <w:r>
              <w:rPr>
                <w:rFonts w:hint="eastAsia" w:ascii="宋体" w:hAnsi="宋体" w:eastAsia="宋体" w:cs="Times New Roman"/>
                <w:color w:val="auto"/>
                <w:szCs w:val="21"/>
                <w:highlight w:val="none"/>
              </w:rPr>
              <w:t>副高级或以上技术职称的得</w:t>
            </w:r>
            <w:r>
              <w:rPr>
                <w:rFonts w:hint="eastAsia" w:ascii="宋体" w:hAnsi="宋体" w:eastAsia="宋体" w:cs="Times New Roman"/>
                <w:color w:val="auto"/>
                <w:szCs w:val="21"/>
                <w:highlight w:val="none"/>
                <w:u w:val="single"/>
              </w:rPr>
              <w:t xml:space="preserve"> 5 </w:t>
            </w:r>
            <w:r>
              <w:rPr>
                <w:rFonts w:hint="eastAsia" w:ascii="宋体" w:hAnsi="宋体" w:eastAsia="宋体" w:cs="Times New Roman"/>
                <w:color w:val="auto"/>
                <w:szCs w:val="21"/>
                <w:highlight w:val="none"/>
              </w:rPr>
              <w:t>分</w:t>
            </w:r>
            <w:r>
              <w:rPr>
                <w:rFonts w:hint="eastAsia" w:ascii="宋体" w:hAnsi="宋体" w:eastAsia="宋体" w:cs="Times New Roman"/>
                <w:color w:val="auto"/>
                <w:szCs w:val="21"/>
                <w:highlight w:val="none"/>
                <w:lang w:val="zh-CN"/>
              </w:rPr>
              <w:t>，</w:t>
            </w:r>
            <w:r>
              <w:rPr>
                <w:rFonts w:hint="eastAsia" w:ascii="宋体" w:hAnsi="宋体" w:eastAsia="宋体" w:cs="Times New Roman"/>
                <w:color w:val="auto"/>
                <w:szCs w:val="21"/>
                <w:highlight w:val="none"/>
              </w:rPr>
              <w:t>中级技术职称的得</w:t>
            </w:r>
            <w:r>
              <w:rPr>
                <w:rFonts w:hint="eastAsia" w:ascii="宋体" w:hAnsi="宋体" w:eastAsia="宋体" w:cs="Times New Roman"/>
                <w:color w:val="auto"/>
                <w:szCs w:val="21"/>
                <w:highlight w:val="none"/>
                <w:u w:val="single"/>
              </w:rPr>
              <w:t xml:space="preserve"> 2 </w:t>
            </w:r>
            <w:r>
              <w:rPr>
                <w:rFonts w:hint="eastAsia" w:ascii="宋体" w:hAnsi="宋体" w:eastAsia="宋体" w:cs="Times New Roman"/>
                <w:color w:val="auto"/>
                <w:szCs w:val="21"/>
                <w:highlight w:val="none"/>
              </w:rPr>
              <w:t>分，</w:t>
            </w:r>
            <w:r>
              <w:rPr>
                <w:rFonts w:hint="eastAsia" w:ascii="宋体" w:hAnsi="宋体" w:eastAsia="宋体" w:cs="Times New Roman"/>
                <w:color w:val="auto"/>
                <w:szCs w:val="21"/>
                <w:highlight w:val="none"/>
                <w:lang w:val="zh-CN"/>
              </w:rPr>
              <w:t>其它</w:t>
            </w:r>
            <w:r>
              <w:rPr>
                <w:rFonts w:hint="eastAsia" w:ascii="宋体" w:hAnsi="宋体" w:eastAsia="宋体" w:cs="Times New Roman"/>
                <w:color w:val="auto"/>
                <w:szCs w:val="21"/>
                <w:highlight w:val="none"/>
              </w:rPr>
              <w:t>不得</w:t>
            </w:r>
            <w:r>
              <w:rPr>
                <w:rFonts w:hint="eastAsia" w:ascii="宋体" w:hAnsi="宋体" w:eastAsia="宋体" w:cs="Times New Roman"/>
                <w:color w:val="auto"/>
                <w:szCs w:val="21"/>
                <w:highlight w:val="none"/>
                <w:lang w:val="zh-CN"/>
              </w:rPr>
              <w:t>分。</w:t>
            </w:r>
            <w:r>
              <w:rPr>
                <w:rFonts w:hint="eastAsia" w:ascii="宋体" w:hAnsi="宋体" w:eastAsia="宋体" w:cs="宋体"/>
                <w:color w:val="auto"/>
                <w:szCs w:val="21"/>
                <w:highlight w:val="none"/>
                <w:lang w:val="zh-CN"/>
              </w:rPr>
              <w:t>本项不累计计分，本小项最高得</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u w:val="single"/>
              </w:rPr>
              <w:t>5</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lang w:val="zh-CN"/>
              </w:rPr>
              <w:t>分</w:t>
            </w:r>
            <w:r>
              <w:rPr>
                <w:rFonts w:hint="eastAsia" w:ascii="宋体" w:hAnsi="宋体" w:eastAsia="宋体" w:cs="宋体"/>
                <w:color w:val="auto"/>
                <w:szCs w:val="21"/>
                <w:highlight w:val="none"/>
              </w:rPr>
              <w:t>。</w:t>
            </w:r>
          </w:p>
          <w:p w14:paraId="102919FF">
            <w:pPr>
              <w:wordWrap w:val="0"/>
              <w:topLinePunct/>
              <w:adjustRightInd w:val="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zh-CN"/>
              </w:rPr>
              <w:t>）</w:t>
            </w:r>
            <w:r>
              <w:rPr>
                <w:rFonts w:hint="eastAsia" w:ascii="宋体" w:hAnsi="宋体" w:eastAsia="宋体" w:cs="宋体"/>
                <w:b/>
                <w:color w:val="auto"/>
                <w:szCs w:val="21"/>
                <w:highlight w:val="none"/>
                <w:lang w:val="zh-CN"/>
              </w:rPr>
              <w:t>近</w:t>
            </w:r>
            <w:r>
              <w:rPr>
                <w:rFonts w:ascii="宋体" w:hAnsi="宋体" w:eastAsia="宋体" w:cs="宋体"/>
                <w:b/>
                <w:color w:val="auto"/>
                <w:szCs w:val="21"/>
                <w:highlight w:val="none"/>
                <w:u w:val="single"/>
              </w:rPr>
              <w:t>5</w:t>
            </w:r>
            <w:r>
              <w:rPr>
                <w:rFonts w:hint="eastAsia" w:ascii="宋体" w:hAnsi="宋体" w:eastAsia="宋体" w:cs="宋体"/>
                <w:b/>
                <w:color w:val="auto"/>
                <w:szCs w:val="21"/>
                <w:highlight w:val="none"/>
                <w:lang w:val="zh-CN"/>
              </w:rPr>
              <w:t>年内</w:t>
            </w:r>
            <w:r>
              <w:rPr>
                <w:rFonts w:hint="eastAsia" w:ascii="宋体" w:hAnsi="宋体" w:eastAsia="宋体" w:cs="宋体"/>
                <w:color w:val="auto"/>
                <w:szCs w:val="21"/>
                <w:highlight w:val="none"/>
                <w:lang w:val="zh-CN"/>
              </w:rPr>
              <w:t>作为项目负责人完成过</w:t>
            </w:r>
            <w:r>
              <w:rPr>
                <w:rFonts w:hint="eastAsia" w:ascii="宋体" w:hAnsi="宋体" w:eastAsia="宋体" w:cs="宋体"/>
                <w:b/>
                <w:bCs/>
                <w:color w:val="auto"/>
                <w:szCs w:val="21"/>
                <w:highlight w:val="none"/>
                <w:lang w:val="zh-CN"/>
              </w:rPr>
              <w:t>类似设计业绩</w:t>
            </w:r>
            <w:r>
              <w:rPr>
                <w:rFonts w:hint="eastAsia" w:ascii="宋体" w:hAnsi="宋体" w:eastAsia="宋体" w:cs="宋体"/>
                <w:color w:val="auto"/>
                <w:szCs w:val="21"/>
                <w:highlight w:val="none"/>
                <w:lang w:val="zh-CN"/>
              </w:rPr>
              <w:t>，每项得</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u w:val="single"/>
              </w:rPr>
              <w:t>5</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lang w:val="zh-CN"/>
              </w:rPr>
              <w:t>分，本小项最高得</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u w:val="single"/>
              </w:rPr>
              <w:t>5</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lang w:val="zh-CN"/>
              </w:rPr>
              <w:t>分。</w:t>
            </w:r>
          </w:p>
          <w:p w14:paraId="13D6F407">
            <w:pPr>
              <w:wordWrap w:val="0"/>
              <w:topLinePunct/>
              <w:adjustRightInd w:val="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以上合计最多得</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u w:val="single"/>
              </w:rPr>
              <w:t>10</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lang w:val="zh-CN"/>
              </w:rPr>
              <w:t>分。</w:t>
            </w:r>
          </w:p>
        </w:tc>
        <w:tc>
          <w:tcPr>
            <w:tcW w:w="668" w:type="dxa"/>
            <w:tcBorders>
              <w:top w:val="single" w:color="auto" w:sz="6" w:space="0"/>
              <w:left w:val="single" w:color="auto" w:sz="6" w:space="0"/>
              <w:bottom w:val="single" w:color="auto" w:sz="6" w:space="0"/>
              <w:right w:val="single" w:color="auto" w:sz="6" w:space="0"/>
            </w:tcBorders>
            <w:vAlign w:val="center"/>
          </w:tcPr>
          <w:p w14:paraId="385C6059">
            <w:pPr>
              <w:wordWrap w:val="0"/>
              <w:topLinePunct/>
              <w:adjustRightInd w:val="0"/>
              <w:jc w:val="center"/>
              <w:rPr>
                <w:rFonts w:ascii="宋体" w:hAnsi="宋体" w:eastAsia="宋体" w:cs="Times New Roman"/>
                <w:color w:val="auto"/>
                <w:szCs w:val="21"/>
                <w:highlight w:val="none"/>
                <w:lang w:val="zh-CN"/>
              </w:rPr>
            </w:pPr>
          </w:p>
        </w:tc>
      </w:tr>
      <w:tr w14:paraId="0B7EE77B">
        <w:tblPrEx>
          <w:tblCellMar>
            <w:top w:w="0" w:type="dxa"/>
            <w:left w:w="108" w:type="dxa"/>
            <w:bottom w:w="0" w:type="dxa"/>
            <w:right w:w="108" w:type="dxa"/>
          </w:tblCellMar>
        </w:tblPrEx>
        <w:trPr>
          <w:trHeight w:val="20" w:hRule="atLeast"/>
          <w:jc w:val="center"/>
        </w:trPr>
        <w:tc>
          <w:tcPr>
            <w:tcW w:w="741" w:type="dxa"/>
            <w:vMerge w:val="continue"/>
            <w:tcBorders>
              <w:top w:val="single" w:color="auto" w:sz="6" w:space="0"/>
              <w:left w:val="single" w:color="auto" w:sz="6" w:space="0"/>
              <w:bottom w:val="single" w:color="auto" w:sz="6" w:space="0"/>
              <w:right w:val="single" w:color="auto" w:sz="6" w:space="0"/>
            </w:tcBorders>
            <w:vAlign w:val="center"/>
          </w:tcPr>
          <w:p w14:paraId="69778128">
            <w:pPr>
              <w:wordWrap w:val="0"/>
              <w:topLinePunct/>
              <w:adjustRightInd w:val="0"/>
              <w:jc w:val="center"/>
              <w:rPr>
                <w:rFonts w:ascii="宋体" w:hAnsi="宋体" w:eastAsia="宋体" w:cs="宋体"/>
                <w:color w:val="auto"/>
                <w:szCs w:val="21"/>
                <w:highlight w:val="none"/>
                <w:lang w:val="zh-CN"/>
              </w:rPr>
            </w:pPr>
          </w:p>
        </w:tc>
        <w:tc>
          <w:tcPr>
            <w:tcW w:w="900" w:type="dxa"/>
            <w:vMerge w:val="continue"/>
            <w:tcBorders>
              <w:top w:val="single" w:color="auto" w:sz="6" w:space="0"/>
              <w:left w:val="single" w:color="auto" w:sz="6" w:space="0"/>
              <w:bottom w:val="single" w:color="auto" w:sz="6" w:space="0"/>
              <w:right w:val="single" w:color="auto" w:sz="6" w:space="0"/>
            </w:tcBorders>
            <w:vAlign w:val="center"/>
          </w:tcPr>
          <w:p w14:paraId="28A2BDC4">
            <w:pPr>
              <w:wordWrap w:val="0"/>
              <w:topLinePunct/>
              <w:adjustRightInd w:val="0"/>
              <w:jc w:val="center"/>
              <w:rPr>
                <w:rFonts w:ascii="宋体" w:hAnsi="宋体" w:eastAsia="宋体" w:cs="宋体"/>
                <w:color w:val="auto"/>
                <w:szCs w:val="21"/>
                <w:highlight w:val="none"/>
                <w:lang w:val="zh-CN"/>
              </w:rPr>
            </w:pPr>
          </w:p>
        </w:tc>
        <w:tc>
          <w:tcPr>
            <w:tcW w:w="1856" w:type="dxa"/>
            <w:vMerge w:val="continue"/>
            <w:tcBorders>
              <w:top w:val="single" w:color="auto" w:sz="6" w:space="0"/>
              <w:left w:val="single" w:color="auto" w:sz="6" w:space="0"/>
              <w:bottom w:val="single" w:color="auto" w:sz="6" w:space="0"/>
              <w:right w:val="single" w:color="auto" w:sz="6" w:space="0"/>
            </w:tcBorders>
            <w:vAlign w:val="center"/>
          </w:tcPr>
          <w:p w14:paraId="0656C0B4">
            <w:pPr>
              <w:wordWrap w:val="0"/>
              <w:topLinePunct/>
              <w:adjustRightInd w:val="0"/>
              <w:jc w:val="center"/>
              <w:rPr>
                <w:rFonts w:ascii="宋体" w:hAnsi="宋体" w:eastAsia="宋体" w:cs="宋体"/>
                <w:color w:val="auto"/>
                <w:szCs w:val="21"/>
                <w:highlight w:val="none"/>
              </w:rPr>
            </w:pPr>
          </w:p>
        </w:tc>
        <w:tc>
          <w:tcPr>
            <w:tcW w:w="10144" w:type="dxa"/>
            <w:tcBorders>
              <w:top w:val="single" w:color="auto" w:sz="6" w:space="0"/>
              <w:left w:val="single" w:color="auto" w:sz="6" w:space="0"/>
              <w:bottom w:val="single" w:color="auto" w:sz="6" w:space="0"/>
              <w:right w:val="single" w:color="auto" w:sz="6" w:space="0"/>
            </w:tcBorders>
            <w:vAlign w:val="center"/>
          </w:tcPr>
          <w:p w14:paraId="492B6B38">
            <w:pPr>
              <w:wordWrap w:val="0"/>
              <w:topLinePunct/>
              <w:adjustRightInd w:val="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2、各专业负责人设计经历：</w:t>
            </w:r>
          </w:p>
          <w:p w14:paraId="21BD152B">
            <w:pPr>
              <w:wordWrap w:val="0"/>
              <w:topLinePunct/>
              <w:adjustRightInd w:val="0"/>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各专业负责人每1名为</w:t>
            </w:r>
            <w:r>
              <w:rPr>
                <w:rFonts w:hint="eastAsia" w:ascii="宋体" w:hAnsi="宋体" w:eastAsia="宋体" w:cs="宋体"/>
                <w:b/>
                <w:bCs/>
                <w:color w:val="auto"/>
                <w:szCs w:val="21"/>
                <w:highlight w:val="none"/>
                <w:lang w:val="zh-CN"/>
              </w:rPr>
              <w:t>注册（岩土）工程师或</w:t>
            </w:r>
            <w:r>
              <w:rPr>
                <w:rFonts w:hint="eastAsia" w:ascii="宋体" w:hAnsi="宋体" w:eastAsia="宋体" w:cs="宋体"/>
                <w:b/>
                <w:color w:val="auto"/>
                <w:szCs w:val="21"/>
                <w:highlight w:val="none"/>
                <w:lang w:val="zh-CN"/>
              </w:rPr>
              <w:t>注册结构工程师或注册公用设备工程师或高级职称</w:t>
            </w:r>
            <w:r>
              <w:rPr>
                <w:rFonts w:hint="eastAsia" w:ascii="宋体" w:hAnsi="宋体" w:eastAsia="宋体" w:cs="宋体"/>
                <w:color w:val="auto"/>
                <w:szCs w:val="21"/>
                <w:highlight w:val="none"/>
                <w:lang w:val="zh-CN"/>
              </w:rPr>
              <w:t>得</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u w:val="single"/>
              </w:rPr>
              <w:t>4</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lang w:val="zh-CN"/>
              </w:rPr>
              <w:t>分，每1名为中级职称得</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u w:val="single"/>
              </w:rPr>
              <w:t>2</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lang w:val="zh-CN"/>
              </w:rPr>
              <w:t>分，本项最高得</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u w:val="single"/>
              </w:rPr>
              <w:t>20</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lang w:val="zh-CN"/>
              </w:rPr>
              <w:t>分。</w:t>
            </w:r>
          </w:p>
        </w:tc>
        <w:tc>
          <w:tcPr>
            <w:tcW w:w="668" w:type="dxa"/>
            <w:tcBorders>
              <w:top w:val="single" w:color="auto" w:sz="6" w:space="0"/>
              <w:left w:val="single" w:color="auto" w:sz="6" w:space="0"/>
              <w:bottom w:val="single" w:color="auto" w:sz="6" w:space="0"/>
              <w:right w:val="single" w:color="auto" w:sz="6" w:space="0"/>
            </w:tcBorders>
            <w:vAlign w:val="center"/>
          </w:tcPr>
          <w:p w14:paraId="6DE1D395">
            <w:pPr>
              <w:wordWrap w:val="0"/>
              <w:topLinePunct/>
              <w:adjustRightInd w:val="0"/>
              <w:jc w:val="center"/>
              <w:rPr>
                <w:rFonts w:ascii="宋体" w:hAnsi="宋体" w:eastAsia="宋体" w:cs="Times New Roman"/>
                <w:color w:val="auto"/>
                <w:szCs w:val="21"/>
                <w:highlight w:val="none"/>
                <w:lang w:val="zh-CN"/>
              </w:rPr>
            </w:pPr>
          </w:p>
        </w:tc>
      </w:tr>
      <w:tr w14:paraId="05598612">
        <w:tblPrEx>
          <w:tblCellMar>
            <w:top w:w="0" w:type="dxa"/>
            <w:left w:w="108" w:type="dxa"/>
            <w:bottom w:w="0" w:type="dxa"/>
            <w:right w:w="108" w:type="dxa"/>
          </w:tblCellMar>
        </w:tblPrEx>
        <w:trPr>
          <w:trHeight w:val="20" w:hRule="atLeast"/>
          <w:jc w:val="center"/>
        </w:trPr>
        <w:tc>
          <w:tcPr>
            <w:tcW w:w="741" w:type="dxa"/>
            <w:tcBorders>
              <w:top w:val="single" w:color="auto" w:sz="6" w:space="0"/>
              <w:left w:val="single" w:color="auto" w:sz="6" w:space="0"/>
              <w:bottom w:val="single" w:color="auto" w:sz="6" w:space="0"/>
              <w:right w:val="single" w:color="auto" w:sz="6" w:space="0"/>
            </w:tcBorders>
            <w:vAlign w:val="center"/>
          </w:tcPr>
          <w:p w14:paraId="1E82FFF9">
            <w:pPr>
              <w:wordWrap w:val="0"/>
              <w:topLinePunct/>
              <w:adjustRightInd w:val="0"/>
              <w:jc w:val="center"/>
              <w:rPr>
                <w:rFonts w:ascii="宋体" w:hAnsi="宋体" w:eastAsia="宋体" w:cs="宋体"/>
                <w:color w:val="auto"/>
                <w:szCs w:val="21"/>
                <w:highlight w:val="none"/>
                <w:lang w:val="zh-CN"/>
              </w:rPr>
            </w:pPr>
            <w:r>
              <w:rPr>
                <w:rFonts w:hint="eastAsia" w:ascii="宋体" w:hAnsi="宋体" w:eastAsia="宋体" w:cs="宋体"/>
                <w:color w:val="auto"/>
                <w:szCs w:val="21"/>
                <w:highlight w:val="none"/>
              </w:rPr>
              <w:t>四</w:t>
            </w:r>
          </w:p>
        </w:tc>
        <w:tc>
          <w:tcPr>
            <w:tcW w:w="900" w:type="dxa"/>
            <w:tcBorders>
              <w:top w:val="single" w:color="auto" w:sz="6" w:space="0"/>
              <w:left w:val="single" w:color="auto" w:sz="6" w:space="0"/>
              <w:bottom w:val="single" w:color="auto" w:sz="6" w:space="0"/>
              <w:right w:val="single" w:color="auto" w:sz="6" w:space="0"/>
            </w:tcBorders>
            <w:vAlign w:val="center"/>
          </w:tcPr>
          <w:p w14:paraId="22A2C654">
            <w:pPr>
              <w:wordWrap w:val="0"/>
              <w:topLinePunct/>
              <w:adjustRightInd w:val="0"/>
              <w:jc w:val="center"/>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信誉</w:t>
            </w:r>
          </w:p>
        </w:tc>
        <w:tc>
          <w:tcPr>
            <w:tcW w:w="1856" w:type="dxa"/>
            <w:tcBorders>
              <w:top w:val="single" w:color="auto" w:sz="6" w:space="0"/>
              <w:left w:val="single" w:color="auto" w:sz="6" w:space="0"/>
              <w:bottom w:val="single" w:color="auto" w:sz="6" w:space="0"/>
              <w:right w:val="single" w:color="auto" w:sz="6" w:space="0"/>
            </w:tcBorders>
            <w:vAlign w:val="center"/>
          </w:tcPr>
          <w:p w14:paraId="599F5A4F">
            <w:pPr>
              <w:wordWrap w:val="0"/>
              <w:topLinePunct/>
              <w:adjustRightInd w:val="0"/>
              <w:jc w:val="center"/>
              <w:rPr>
                <w:rFonts w:ascii="宋体" w:hAnsi="宋体" w:eastAsia="宋体" w:cs="宋体"/>
                <w:color w:val="auto"/>
                <w:szCs w:val="21"/>
                <w:highlight w:val="none"/>
              </w:rPr>
            </w:pP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rPr>
              <w:t>0</w:t>
            </w:r>
            <w:r>
              <w:rPr>
                <w:rFonts w:hint="eastAsia" w:ascii="宋体" w:hAnsi="宋体" w:eastAsia="宋体" w:cs="宋体"/>
                <w:color w:val="auto"/>
                <w:szCs w:val="21"/>
                <w:highlight w:val="none"/>
                <w:lang w:val="zh-CN"/>
              </w:rPr>
              <w:t>]</w:t>
            </w:r>
          </w:p>
        </w:tc>
        <w:tc>
          <w:tcPr>
            <w:tcW w:w="10144" w:type="dxa"/>
            <w:tcBorders>
              <w:top w:val="single" w:color="auto" w:sz="6" w:space="0"/>
              <w:left w:val="single" w:color="auto" w:sz="6" w:space="0"/>
              <w:bottom w:val="single" w:color="auto" w:sz="6" w:space="0"/>
              <w:right w:val="single" w:color="auto" w:sz="6" w:space="0"/>
            </w:tcBorders>
            <w:vAlign w:val="center"/>
          </w:tcPr>
          <w:p w14:paraId="515861B7">
            <w:pPr>
              <w:wordWrap w:val="0"/>
              <w:topLinePunct/>
              <w:adjustRightInd w:val="0"/>
              <w:rPr>
                <w:rFonts w:ascii="宋体" w:hAnsi="宋体" w:eastAsia="宋体" w:cs="宋体"/>
                <w:color w:val="auto"/>
                <w:kern w:val="0"/>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kern w:val="0"/>
                <w:szCs w:val="21"/>
                <w:highlight w:val="none"/>
              </w:rPr>
              <w:t>获得环境管理体系认证的得</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u w:val="single"/>
              </w:rPr>
              <w:t>2</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kern w:val="0"/>
                <w:szCs w:val="21"/>
                <w:highlight w:val="none"/>
              </w:rPr>
              <w:t>分、职业健康安全管理体系认证的得</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u w:val="single"/>
              </w:rPr>
              <w:t>2</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kern w:val="0"/>
                <w:szCs w:val="21"/>
                <w:highlight w:val="none"/>
              </w:rPr>
              <w:t>分、质量管理体系认证的得</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u w:val="single"/>
              </w:rPr>
              <w:t>2</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kern w:val="0"/>
                <w:szCs w:val="21"/>
                <w:highlight w:val="none"/>
              </w:rPr>
              <w:t>分。</w:t>
            </w:r>
            <w:r>
              <w:rPr>
                <w:rFonts w:hint="eastAsia" w:ascii="宋体" w:hAnsi="宋体" w:eastAsia="宋体" w:cs="宋体"/>
                <w:color w:val="auto"/>
                <w:szCs w:val="21"/>
                <w:highlight w:val="none"/>
                <w:lang w:val="zh-CN"/>
              </w:rPr>
              <w:t>本小项最高得</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u w:val="single"/>
              </w:rPr>
              <w:t>6</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lang w:val="zh-CN"/>
              </w:rPr>
              <w:t>分。</w:t>
            </w:r>
            <w:r>
              <w:rPr>
                <w:rFonts w:hint="eastAsia" w:ascii="宋体" w:hAnsi="宋体" w:eastAsia="宋体" w:cs="宋体"/>
                <w:color w:val="auto"/>
                <w:kern w:val="0"/>
                <w:szCs w:val="21"/>
                <w:highlight w:val="none"/>
              </w:rPr>
              <w:t xml:space="preserve"> </w:t>
            </w:r>
          </w:p>
          <w:p w14:paraId="46A97B3A">
            <w:pPr>
              <w:wordWrap w:val="0"/>
              <w:topLinePunct/>
              <w:adjustRightInd w:val="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2、自</w:t>
            </w:r>
            <w:r>
              <w:rPr>
                <w:rFonts w:hint="eastAsia" w:ascii="宋体" w:hAnsi="宋体" w:eastAsia="宋体" w:cs="宋体"/>
                <w:color w:val="auto"/>
                <w:kern w:val="0"/>
                <w:szCs w:val="21"/>
                <w:highlight w:val="none"/>
                <w:u w:val="single"/>
              </w:rPr>
              <w:t xml:space="preserve">  202</w:t>
            </w:r>
            <w:r>
              <w:rPr>
                <w:rFonts w:hint="eastAsia" w:ascii="宋体" w:hAnsi="宋体" w:eastAsia="宋体" w:cs="宋体"/>
                <w:color w:val="auto"/>
                <w:kern w:val="0"/>
                <w:szCs w:val="21"/>
                <w:highlight w:val="none"/>
                <w:u w:val="single"/>
                <w:lang w:eastAsia="zh-CN"/>
              </w:rPr>
              <w:t>2</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年至</w:t>
            </w:r>
            <w:r>
              <w:rPr>
                <w:rFonts w:hint="eastAsia" w:ascii="宋体" w:hAnsi="宋体" w:eastAsia="宋体" w:cs="宋体"/>
                <w:color w:val="auto"/>
                <w:kern w:val="0"/>
                <w:szCs w:val="21"/>
                <w:highlight w:val="none"/>
                <w:u w:val="single"/>
              </w:rPr>
              <w:t xml:space="preserve">  202</w:t>
            </w:r>
            <w:r>
              <w:rPr>
                <w:rFonts w:hint="eastAsia" w:ascii="宋体" w:hAnsi="宋体" w:eastAsia="宋体" w:cs="宋体"/>
                <w:color w:val="auto"/>
                <w:kern w:val="0"/>
                <w:szCs w:val="21"/>
                <w:highlight w:val="none"/>
                <w:u w:val="single"/>
                <w:lang w:eastAsia="zh-CN"/>
              </w:rPr>
              <w:t>4</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年（按可查到最新近三年）至今获得过税务机关评定的“A级纳税人”称号得</w:t>
            </w:r>
            <w:r>
              <w:rPr>
                <w:rFonts w:hint="eastAsia" w:ascii="宋体" w:hAnsi="宋体" w:eastAsia="宋体" w:cs="宋体"/>
                <w:color w:val="auto"/>
                <w:kern w:val="0"/>
                <w:szCs w:val="21"/>
                <w:highlight w:val="none"/>
                <w:u w:val="single"/>
              </w:rPr>
              <w:t xml:space="preserve"> 4  </w:t>
            </w:r>
            <w:r>
              <w:rPr>
                <w:rFonts w:hint="eastAsia" w:ascii="宋体" w:hAnsi="宋体" w:eastAsia="宋体" w:cs="宋体"/>
                <w:color w:val="auto"/>
                <w:kern w:val="0"/>
                <w:szCs w:val="21"/>
                <w:highlight w:val="none"/>
              </w:rPr>
              <w:t>分；获得过税务机关评定的“B级纳税人”称号得</w:t>
            </w:r>
            <w:r>
              <w:rPr>
                <w:rFonts w:hint="eastAsia" w:ascii="宋体" w:hAnsi="宋体" w:eastAsia="宋体" w:cs="宋体"/>
                <w:color w:val="auto"/>
                <w:kern w:val="0"/>
                <w:szCs w:val="21"/>
                <w:highlight w:val="none"/>
                <w:u w:val="single"/>
              </w:rPr>
              <w:t xml:space="preserve">2 </w:t>
            </w:r>
            <w:r>
              <w:rPr>
                <w:rFonts w:hint="eastAsia" w:ascii="宋体" w:hAnsi="宋体" w:eastAsia="宋体" w:cs="宋体"/>
                <w:color w:val="auto"/>
                <w:kern w:val="0"/>
                <w:szCs w:val="21"/>
                <w:highlight w:val="none"/>
              </w:rPr>
              <w:t>分；获得过税务机关评定的“M级纳税人”称号得</w:t>
            </w:r>
            <w:r>
              <w:rPr>
                <w:rFonts w:hint="eastAsia" w:ascii="宋体" w:hAnsi="宋体" w:eastAsia="宋体" w:cs="宋体"/>
                <w:color w:val="auto"/>
                <w:kern w:val="0"/>
                <w:szCs w:val="21"/>
                <w:highlight w:val="none"/>
                <w:u w:val="single"/>
              </w:rPr>
              <w:t xml:space="preserve"> 1 </w:t>
            </w:r>
            <w:r>
              <w:rPr>
                <w:rFonts w:hint="eastAsia" w:ascii="宋体" w:hAnsi="宋体" w:eastAsia="宋体" w:cs="宋体"/>
                <w:color w:val="auto"/>
                <w:kern w:val="0"/>
                <w:szCs w:val="21"/>
                <w:highlight w:val="none"/>
              </w:rPr>
              <w:t>分。</w:t>
            </w:r>
            <w:r>
              <w:rPr>
                <w:rFonts w:hint="eastAsia" w:ascii="宋体" w:hAnsi="宋体" w:eastAsia="宋体" w:cs="宋体"/>
                <w:color w:val="auto"/>
                <w:szCs w:val="21"/>
                <w:highlight w:val="none"/>
                <w:lang w:val="zh-CN"/>
              </w:rPr>
              <w:t>本小项最高得</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u w:val="single"/>
              </w:rPr>
              <w:t>4</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lang w:val="zh-CN"/>
              </w:rPr>
              <w:t>分。</w:t>
            </w:r>
          </w:p>
        </w:tc>
        <w:tc>
          <w:tcPr>
            <w:tcW w:w="668" w:type="dxa"/>
            <w:tcBorders>
              <w:top w:val="single" w:color="auto" w:sz="6" w:space="0"/>
              <w:left w:val="single" w:color="auto" w:sz="6" w:space="0"/>
              <w:bottom w:val="single" w:color="auto" w:sz="6" w:space="0"/>
              <w:right w:val="single" w:color="auto" w:sz="6" w:space="0"/>
            </w:tcBorders>
            <w:vAlign w:val="center"/>
          </w:tcPr>
          <w:p w14:paraId="6EE9406D">
            <w:pPr>
              <w:wordWrap w:val="0"/>
              <w:topLinePunct/>
              <w:adjustRightInd w:val="0"/>
              <w:jc w:val="center"/>
              <w:rPr>
                <w:rFonts w:ascii="宋体" w:hAnsi="宋体" w:eastAsia="宋体" w:cs="Times New Roman"/>
                <w:color w:val="auto"/>
                <w:szCs w:val="21"/>
                <w:highlight w:val="none"/>
              </w:rPr>
            </w:pPr>
          </w:p>
        </w:tc>
      </w:tr>
      <w:tr w14:paraId="1C6504AE">
        <w:tblPrEx>
          <w:tblCellMar>
            <w:top w:w="0" w:type="dxa"/>
            <w:left w:w="108" w:type="dxa"/>
            <w:bottom w:w="0" w:type="dxa"/>
            <w:right w:w="108" w:type="dxa"/>
          </w:tblCellMar>
        </w:tblPrEx>
        <w:trPr>
          <w:trHeight w:val="20" w:hRule="atLeast"/>
          <w:jc w:val="center"/>
        </w:trPr>
        <w:tc>
          <w:tcPr>
            <w:tcW w:w="1641" w:type="dxa"/>
            <w:gridSpan w:val="2"/>
            <w:tcBorders>
              <w:top w:val="single" w:color="auto" w:sz="6" w:space="0"/>
              <w:left w:val="single" w:color="auto" w:sz="6" w:space="0"/>
              <w:bottom w:val="single" w:color="auto" w:sz="6" w:space="0"/>
              <w:right w:val="single" w:color="auto" w:sz="6" w:space="0"/>
            </w:tcBorders>
            <w:vAlign w:val="center"/>
          </w:tcPr>
          <w:p w14:paraId="56790660">
            <w:pPr>
              <w:wordWrap w:val="0"/>
              <w:topLinePunct/>
              <w:adjustRightInd w:val="0"/>
              <w:rPr>
                <w:rFonts w:ascii="宋体" w:hAnsi="宋体" w:eastAsia="宋体" w:cs="Times New Roman"/>
                <w:color w:val="auto"/>
                <w:szCs w:val="21"/>
                <w:highlight w:val="none"/>
              </w:rPr>
            </w:pPr>
            <w:r>
              <w:rPr>
                <w:rFonts w:hint="eastAsia" w:ascii="宋体" w:hAnsi="宋体" w:eastAsia="宋体" w:cs="宋体"/>
                <w:color w:val="auto"/>
                <w:szCs w:val="21"/>
                <w:highlight w:val="none"/>
                <w:lang w:val="zh-CN"/>
              </w:rPr>
              <w:t>总计</w:t>
            </w:r>
          </w:p>
        </w:tc>
        <w:tc>
          <w:tcPr>
            <w:tcW w:w="1856" w:type="dxa"/>
            <w:tcBorders>
              <w:top w:val="single" w:color="auto" w:sz="6" w:space="0"/>
              <w:left w:val="single" w:color="auto" w:sz="6" w:space="0"/>
              <w:bottom w:val="single" w:color="auto" w:sz="6" w:space="0"/>
              <w:right w:val="single" w:color="auto" w:sz="6" w:space="0"/>
            </w:tcBorders>
            <w:vAlign w:val="center"/>
          </w:tcPr>
          <w:p w14:paraId="7BF686A9">
            <w:pPr>
              <w:wordWrap w:val="0"/>
              <w:topLinePunct/>
              <w:adjustRightInd w:val="0"/>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100</w:t>
            </w:r>
          </w:p>
        </w:tc>
        <w:tc>
          <w:tcPr>
            <w:tcW w:w="10144" w:type="dxa"/>
            <w:tcBorders>
              <w:top w:val="single" w:color="auto" w:sz="6" w:space="0"/>
              <w:left w:val="single" w:color="auto" w:sz="6" w:space="0"/>
              <w:bottom w:val="single" w:color="auto" w:sz="6" w:space="0"/>
              <w:right w:val="single" w:color="auto" w:sz="6" w:space="0"/>
            </w:tcBorders>
            <w:vAlign w:val="center"/>
          </w:tcPr>
          <w:p w14:paraId="3B98EFEA">
            <w:pPr>
              <w:wordWrap w:val="0"/>
              <w:topLinePunct/>
              <w:adjustRightInd w:val="0"/>
              <w:rPr>
                <w:rFonts w:ascii="宋体" w:hAnsi="宋体" w:eastAsia="宋体" w:cs="Times New Roman"/>
                <w:color w:val="auto"/>
                <w:szCs w:val="21"/>
                <w:highlight w:val="none"/>
              </w:rPr>
            </w:pPr>
          </w:p>
        </w:tc>
        <w:tc>
          <w:tcPr>
            <w:tcW w:w="668" w:type="dxa"/>
            <w:tcBorders>
              <w:top w:val="single" w:color="auto" w:sz="6" w:space="0"/>
              <w:left w:val="single" w:color="auto" w:sz="6" w:space="0"/>
              <w:bottom w:val="single" w:color="auto" w:sz="6" w:space="0"/>
              <w:right w:val="single" w:color="auto" w:sz="6" w:space="0"/>
            </w:tcBorders>
            <w:vAlign w:val="center"/>
          </w:tcPr>
          <w:p w14:paraId="7538BAD9">
            <w:pPr>
              <w:wordWrap w:val="0"/>
              <w:topLinePunct/>
              <w:adjustRightInd w:val="0"/>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100</w:t>
            </w:r>
          </w:p>
        </w:tc>
      </w:tr>
    </w:tbl>
    <w:p w14:paraId="6A7145C6">
      <w:pPr>
        <w:rPr>
          <w:rFonts w:ascii="宋体" w:hAnsi="宋体" w:eastAsia="宋体" w:cs="Times New Roman"/>
          <w:b/>
          <w:color w:val="auto"/>
          <w:szCs w:val="24"/>
          <w:highlight w:val="none"/>
        </w:rPr>
      </w:pPr>
      <w:r>
        <w:rPr>
          <w:rFonts w:hint="eastAsia" w:ascii="宋体" w:hAnsi="宋体" w:eastAsia="宋体" w:cs="Times New Roman"/>
          <w:b/>
          <w:color w:val="auto"/>
          <w:szCs w:val="24"/>
          <w:highlight w:val="none"/>
        </w:rPr>
        <w:t>备注：</w:t>
      </w:r>
    </w:p>
    <w:p w14:paraId="168EB079">
      <w:pPr>
        <w:spacing w:line="276" w:lineRule="auto"/>
        <w:ind w:firstLine="424" w:firstLineChars="201"/>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一、</w:t>
      </w:r>
      <w:r>
        <w:rPr>
          <w:rFonts w:hint="eastAsia" w:ascii="宋体" w:hAnsi="宋体" w:eastAsia="宋体" w:cs="宋体"/>
          <w:b/>
          <w:color w:val="auto"/>
          <w:szCs w:val="21"/>
          <w:highlight w:val="none"/>
          <w:lang w:val="zh-CN"/>
        </w:rPr>
        <w:t>近</w:t>
      </w:r>
      <w:r>
        <w:rPr>
          <w:rFonts w:hint="eastAsia" w:ascii="宋体" w:hAnsi="宋体" w:eastAsia="宋体" w:cs="宋体"/>
          <w:b/>
          <w:color w:val="auto"/>
          <w:szCs w:val="21"/>
          <w:highlight w:val="none"/>
          <w:u w:val="single"/>
        </w:rPr>
        <w:t xml:space="preserve">   </w:t>
      </w:r>
      <w:r>
        <w:rPr>
          <w:rFonts w:ascii="宋体" w:hAnsi="宋体" w:eastAsia="宋体" w:cs="宋体"/>
          <w:b/>
          <w:color w:val="auto"/>
          <w:szCs w:val="21"/>
          <w:highlight w:val="none"/>
          <w:u w:val="single"/>
        </w:rPr>
        <w:t>5</w:t>
      </w:r>
      <w:r>
        <w:rPr>
          <w:rFonts w:hint="eastAsia" w:ascii="宋体" w:hAnsi="宋体" w:eastAsia="宋体" w:cs="宋体"/>
          <w:b/>
          <w:color w:val="auto"/>
          <w:szCs w:val="21"/>
          <w:highlight w:val="none"/>
          <w:u w:val="single"/>
        </w:rPr>
        <w:t xml:space="preserve">   </w:t>
      </w:r>
      <w:r>
        <w:rPr>
          <w:rFonts w:hint="eastAsia" w:ascii="宋体" w:hAnsi="宋体" w:eastAsia="宋体" w:cs="宋体"/>
          <w:b/>
          <w:color w:val="auto"/>
          <w:szCs w:val="21"/>
          <w:highlight w:val="none"/>
          <w:lang w:val="zh-CN"/>
        </w:rPr>
        <w:t>年内是指</w:t>
      </w:r>
      <w:r>
        <w:rPr>
          <w:rFonts w:hint="eastAsia" w:ascii="宋体" w:hAnsi="宋体" w:eastAsia="宋体" w:cs="宋体"/>
          <w:b/>
          <w:color w:val="auto"/>
          <w:szCs w:val="21"/>
          <w:highlight w:val="none"/>
          <w:u w:val="single"/>
        </w:rPr>
        <w:t>202</w:t>
      </w:r>
      <w:r>
        <w:rPr>
          <w:rFonts w:ascii="宋体" w:hAnsi="宋体" w:eastAsia="宋体" w:cs="宋体"/>
          <w:b/>
          <w:color w:val="auto"/>
          <w:szCs w:val="21"/>
          <w:highlight w:val="none"/>
          <w:u w:val="single"/>
        </w:rPr>
        <w:t>0</w:t>
      </w:r>
      <w:r>
        <w:rPr>
          <w:rFonts w:hint="eastAsia" w:ascii="宋体" w:hAnsi="宋体" w:eastAsia="宋体" w:cs="宋体"/>
          <w:b/>
          <w:color w:val="auto"/>
          <w:szCs w:val="21"/>
          <w:highlight w:val="none"/>
          <w:lang w:val="zh-CN"/>
        </w:rPr>
        <w:t>年1月1日至投标截止日。</w:t>
      </w:r>
    </w:p>
    <w:p w14:paraId="7B14C8E0">
      <w:pPr>
        <w:spacing w:line="276" w:lineRule="auto"/>
        <w:ind w:firstLine="424" w:firstLineChars="201"/>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二、类似业绩</w:t>
      </w:r>
    </w:p>
    <w:p w14:paraId="676B3F0C">
      <w:pPr>
        <w:spacing w:line="276" w:lineRule="auto"/>
        <w:ind w:firstLine="424" w:firstLineChars="201"/>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1.类似勘察业绩：</w:t>
      </w:r>
    </w:p>
    <w:p w14:paraId="185E8B00">
      <w:pPr>
        <w:spacing w:line="276" w:lineRule="auto"/>
        <w:ind w:firstLine="422" w:firstLineChars="201"/>
        <w:rPr>
          <w:rFonts w:ascii="宋体" w:hAnsi="宋体" w:eastAsia="宋体" w:cs="宋体"/>
          <w:color w:val="auto"/>
          <w:szCs w:val="21"/>
          <w:highlight w:val="none"/>
        </w:rPr>
      </w:pPr>
      <w:r>
        <w:rPr>
          <w:rFonts w:hint="eastAsia" w:ascii="宋体" w:hAnsi="宋体" w:eastAsia="宋体" w:cs="Times New Roman"/>
          <w:color w:val="auto"/>
          <w:szCs w:val="21"/>
          <w:highlight w:val="none"/>
        </w:rPr>
        <w:t>（1）</w:t>
      </w:r>
      <w:r>
        <w:rPr>
          <w:rFonts w:hint="eastAsia" w:ascii="宋体" w:hAnsi="宋体" w:eastAsia="宋体" w:cs="宋体"/>
          <w:color w:val="auto"/>
          <w:szCs w:val="21"/>
          <w:highlight w:val="none"/>
        </w:rPr>
        <w:t>需同时提供的证明材料：</w:t>
      </w:r>
    </w:p>
    <w:p w14:paraId="7E073818">
      <w:pPr>
        <w:spacing w:line="276" w:lineRule="auto"/>
        <w:ind w:firstLine="422" w:firstLineChars="201"/>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u w:val="single"/>
        </w:rPr>
        <w:t>①</w:t>
      </w:r>
      <w:r>
        <w:rPr>
          <w:rFonts w:hint="eastAsia" w:ascii="宋体" w:hAnsi="宋体" w:eastAsia="宋体" w:cs="Times New Roman"/>
          <w:color w:val="auto"/>
          <w:szCs w:val="21"/>
          <w:highlight w:val="none"/>
          <w:u w:val="single"/>
        </w:rPr>
        <w:t>中标通知书（或免招标证明）扫描件；</w:t>
      </w:r>
    </w:p>
    <w:p w14:paraId="75FFDA4A">
      <w:pPr>
        <w:spacing w:line="276" w:lineRule="auto"/>
        <w:ind w:firstLine="422" w:firstLineChars="201"/>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u w:val="single"/>
        </w:rPr>
        <w:t>②勘察合同关键页扫描件；</w:t>
      </w:r>
    </w:p>
    <w:p w14:paraId="73664689">
      <w:pPr>
        <w:spacing w:line="276" w:lineRule="auto"/>
        <w:ind w:firstLine="422" w:firstLineChars="201"/>
        <w:rPr>
          <w:rFonts w:ascii="宋体" w:hAnsi="宋体" w:eastAsia="宋体" w:cs="宋体"/>
          <w:color w:val="auto"/>
          <w:szCs w:val="21"/>
          <w:highlight w:val="none"/>
          <w:u w:val="single"/>
        </w:rPr>
      </w:pPr>
      <w:r>
        <w:rPr>
          <w:rFonts w:hint="eastAsia" w:ascii="宋体" w:hAnsi="宋体" w:eastAsia="宋体" w:cs="宋体"/>
          <w:color w:val="auto"/>
          <w:szCs w:val="21"/>
          <w:highlight w:val="none"/>
          <w:u w:val="single"/>
        </w:rPr>
        <w:t>③勘察报告盖章签字页及勘察报告成果审查合格证明文件（如勘察报告成果评审会议纪要、施工图审查报告等）清晰扫描件。</w:t>
      </w:r>
    </w:p>
    <w:p w14:paraId="35ACE723">
      <w:pPr>
        <w:spacing w:line="276" w:lineRule="auto"/>
        <w:ind w:firstLine="422" w:firstLineChars="201"/>
        <w:rPr>
          <w:rFonts w:ascii="宋体" w:hAnsi="宋体" w:eastAsia="宋体" w:cs="宋体"/>
          <w:color w:val="auto"/>
          <w:szCs w:val="21"/>
          <w:highlight w:val="none"/>
        </w:rPr>
      </w:pPr>
      <w:r>
        <w:rPr>
          <w:rFonts w:hint="eastAsia" w:ascii="宋体" w:hAnsi="宋体" w:eastAsia="宋体" w:cs="宋体"/>
          <w:color w:val="auto"/>
          <w:szCs w:val="21"/>
          <w:highlight w:val="none"/>
        </w:rPr>
        <w:t>（2）业绩时间以合同签订的时间为准。</w:t>
      </w:r>
    </w:p>
    <w:p w14:paraId="452BFCCF">
      <w:pPr>
        <w:spacing w:line="276" w:lineRule="auto"/>
        <w:ind w:firstLine="422" w:firstLineChars="201"/>
        <w:rPr>
          <w:rFonts w:ascii="宋体" w:hAnsi="宋体" w:eastAsia="宋体" w:cs="Times New Roman"/>
          <w:b/>
          <w:color w:val="auto"/>
          <w:szCs w:val="21"/>
          <w:highlight w:val="none"/>
        </w:rPr>
      </w:pPr>
      <w:r>
        <w:rPr>
          <w:rFonts w:hint="eastAsia" w:ascii="宋体" w:hAnsi="宋体" w:eastAsia="宋体" w:cs="Times New Roman"/>
          <w:color w:val="auto"/>
          <w:szCs w:val="21"/>
          <w:highlight w:val="none"/>
        </w:rPr>
        <w:t>（3）</w:t>
      </w:r>
      <w:r>
        <w:rPr>
          <w:rFonts w:hint="eastAsia" w:ascii="宋体" w:hAnsi="宋体" w:eastAsia="宋体" w:cs="宋体"/>
          <w:color w:val="auto"/>
          <w:szCs w:val="21"/>
          <w:highlight w:val="none"/>
        </w:rPr>
        <w:t>如参与评审的勘察类似业绩为联合体形式完成的，须提供合同及联合体协议书，投标人必须为承担勘察业绩工作的一方，否则不得分。</w:t>
      </w:r>
    </w:p>
    <w:p w14:paraId="438E7BE6">
      <w:pPr>
        <w:snapToGrid w:val="0"/>
        <w:spacing w:line="276" w:lineRule="auto"/>
        <w:ind w:firstLine="422" w:firstLineChars="201"/>
        <w:rPr>
          <w:rFonts w:ascii="宋体" w:hAnsi="宋体" w:eastAsia="宋体" w:cs="宋体"/>
          <w:color w:val="auto"/>
          <w:szCs w:val="21"/>
          <w:highlight w:val="none"/>
        </w:rPr>
      </w:pPr>
      <w:r>
        <w:rPr>
          <w:rFonts w:hint="eastAsia" w:ascii="宋体" w:hAnsi="宋体" w:eastAsia="宋体" w:cs="Times New Roman"/>
          <w:color w:val="auto"/>
          <w:szCs w:val="21"/>
          <w:highlight w:val="none"/>
        </w:rPr>
        <w:t>（4）</w:t>
      </w:r>
      <w:r>
        <w:rPr>
          <w:rFonts w:hint="eastAsia" w:ascii="宋体" w:hAnsi="宋体" w:eastAsia="宋体" w:cs="宋体"/>
          <w:color w:val="auto"/>
          <w:szCs w:val="21"/>
          <w:highlight w:val="none"/>
        </w:rPr>
        <w:t>同一项目含设计和勘察的按分别满足要求的各计算一次类似设计业绩和类似勘察业绩。</w:t>
      </w:r>
    </w:p>
    <w:p w14:paraId="4C33F335">
      <w:pPr>
        <w:spacing w:line="276" w:lineRule="auto"/>
        <w:ind w:firstLine="422" w:firstLineChars="201"/>
        <w:rPr>
          <w:rFonts w:ascii="宋体" w:hAnsi="宋体" w:eastAsia="宋体" w:cs="Times New Roman"/>
          <w:color w:val="auto"/>
          <w:szCs w:val="21"/>
          <w:highlight w:val="none"/>
        </w:rPr>
      </w:pPr>
      <w:r>
        <w:rPr>
          <w:rFonts w:hint="eastAsia" w:ascii="宋体" w:hAnsi="宋体" w:eastAsia="宋体" w:cs="宋体"/>
          <w:color w:val="auto"/>
          <w:szCs w:val="21"/>
          <w:highlight w:val="none"/>
        </w:rPr>
        <w:t>（5）未符合以上内容或未按要求提供相关证明材料不得分。</w:t>
      </w:r>
    </w:p>
    <w:p w14:paraId="00060B21">
      <w:pPr>
        <w:spacing w:line="276" w:lineRule="auto"/>
        <w:ind w:firstLine="424" w:firstLineChars="201"/>
        <w:jc w:val="left"/>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2.企业及人员类似设计业绩：</w:t>
      </w:r>
    </w:p>
    <w:p w14:paraId="02E5A06C">
      <w:pPr>
        <w:spacing w:line="276" w:lineRule="auto"/>
        <w:ind w:firstLine="422" w:firstLineChars="201"/>
        <w:rPr>
          <w:rFonts w:ascii="宋体" w:hAnsi="宋体" w:eastAsia="宋体" w:cs="Times New Roman"/>
          <w:b/>
          <w:color w:val="auto"/>
          <w:szCs w:val="21"/>
          <w:highlight w:val="none"/>
        </w:rPr>
      </w:pPr>
      <w:r>
        <w:rPr>
          <w:rFonts w:hint="eastAsia" w:ascii="宋体" w:hAnsi="宋体" w:eastAsia="宋体" w:cs="Times New Roman"/>
          <w:color w:val="auto"/>
          <w:szCs w:val="21"/>
          <w:highlight w:val="none"/>
        </w:rPr>
        <w:t>（1）类似设计业绩是指【</w:t>
      </w:r>
      <w:r>
        <w:rPr>
          <w:rFonts w:hint="eastAsia" w:ascii="宋体" w:hAnsi="宋体" w:eastAsia="宋体" w:cs="宋体"/>
          <w:b/>
          <w:bCs/>
          <w:color w:val="auto"/>
          <w:szCs w:val="21"/>
          <w:highlight w:val="none"/>
        </w:rPr>
        <w:t>市政道路工程</w:t>
      </w:r>
      <w:r>
        <w:rPr>
          <w:rFonts w:hint="eastAsia" w:ascii="宋体" w:hAnsi="宋体" w:eastAsia="宋体" w:cs="宋体"/>
          <w:b/>
          <w:bCs/>
          <w:color w:val="auto"/>
          <w:szCs w:val="21"/>
          <w:highlight w:val="none"/>
          <w:lang w:val="en-US" w:eastAsia="zh-CN"/>
        </w:rPr>
        <w:t>或市政桥梁工程</w:t>
      </w:r>
      <w:r>
        <w:rPr>
          <w:rFonts w:hint="eastAsia" w:ascii="宋体" w:hAnsi="宋体" w:eastAsia="宋体" w:cs="宋体"/>
          <w:b/>
          <w:bCs/>
          <w:color w:val="auto"/>
          <w:szCs w:val="21"/>
          <w:highlight w:val="none"/>
        </w:rPr>
        <w:t>】设计项目。</w:t>
      </w:r>
    </w:p>
    <w:p w14:paraId="3E4801E3">
      <w:pPr>
        <w:spacing w:line="276" w:lineRule="auto"/>
        <w:ind w:firstLine="422" w:firstLineChars="201"/>
        <w:rPr>
          <w:rFonts w:ascii="宋体" w:hAnsi="宋体" w:eastAsia="宋体" w:cs="宋体"/>
          <w:color w:val="auto"/>
          <w:szCs w:val="21"/>
          <w:highlight w:val="none"/>
        </w:rPr>
      </w:pPr>
      <w:r>
        <w:rPr>
          <w:rFonts w:hint="eastAsia" w:ascii="宋体" w:hAnsi="宋体" w:eastAsia="宋体" w:cs="Times New Roman"/>
          <w:color w:val="auto"/>
          <w:szCs w:val="21"/>
          <w:highlight w:val="none"/>
        </w:rPr>
        <w:t>（2）</w:t>
      </w:r>
      <w:r>
        <w:rPr>
          <w:rFonts w:hint="eastAsia" w:ascii="宋体" w:hAnsi="宋体" w:eastAsia="宋体" w:cs="宋体"/>
          <w:color w:val="auto"/>
          <w:szCs w:val="21"/>
          <w:highlight w:val="none"/>
        </w:rPr>
        <w:t>需同时提供的证明材料：</w:t>
      </w:r>
    </w:p>
    <w:p w14:paraId="6B7D40DD">
      <w:pPr>
        <w:spacing w:line="276" w:lineRule="auto"/>
        <w:ind w:firstLine="422" w:firstLineChars="201"/>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u w:val="single"/>
        </w:rPr>
        <w:t>①</w:t>
      </w:r>
      <w:r>
        <w:rPr>
          <w:rFonts w:hint="eastAsia" w:ascii="宋体" w:hAnsi="宋体" w:eastAsia="宋体" w:cs="Times New Roman"/>
          <w:color w:val="auto"/>
          <w:szCs w:val="21"/>
          <w:highlight w:val="none"/>
          <w:u w:val="single"/>
        </w:rPr>
        <w:t>中标通知书（或免招标证明）扫描件；</w:t>
      </w:r>
    </w:p>
    <w:p w14:paraId="3F2E5F63">
      <w:pPr>
        <w:spacing w:line="276" w:lineRule="auto"/>
        <w:ind w:firstLine="422" w:firstLineChars="201"/>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u w:val="single"/>
        </w:rPr>
        <w:t>②设计合同关键页扫描件；</w:t>
      </w:r>
    </w:p>
    <w:p w14:paraId="710E319A">
      <w:pPr>
        <w:spacing w:line="276" w:lineRule="auto"/>
        <w:ind w:firstLine="422" w:firstLineChars="201"/>
        <w:rPr>
          <w:rFonts w:ascii="宋体" w:hAnsi="宋体" w:eastAsia="宋体" w:cs="宋体"/>
          <w:color w:val="auto"/>
          <w:szCs w:val="21"/>
          <w:highlight w:val="none"/>
          <w:u w:val="single"/>
        </w:rPr>
      </w:pPr>
      <w:r>
        <w:rPr>
          <w:rFonts w:hint="eastAsia" w:ascii="宋体" w:hAnsi="宋体" w:eastAsia="宋体" w:cs="宋体"/>
          <w:color w:val="auto"/>
          <w:szCs w:val="21"/>
          <w:highlight w:val="none"/>
          <w:u w:val="single"/>
        </w:rPr>
        <w:t>③初步设计审查证明材料或初步设计会议评审纪要（或批复）或施工图审查证明材料或项目业主对其履约情况的证明材料</w:t>
      </w:r>
      <w:r>
        <w:rPr>
          <w:rFonts w:hint="eastAsia" w:ascii="宋体" w:hAnsi="宋体" w:eastAsia="宋体" w:cs="Times New Roman"/>
          <w:color w:val="auto"/>
          <w:szCs w:val="21"/>
          <w:highlight w:val="none"/>
          <w:u w:val="single"/>
        </w:rPr>
        <w:t>扫描件</w:t>
      </w:r>
      <w:r>
        <w:rPr>
          <w:rFonts w:hint="eastAsia" w:ascii="宋体" w:hAnsi="宋体" w:eastAsia="宋体" w:cs="宋体"/>
          <w:color w:val="auto"/>
          <w:szCs w:val="21"/>
          <w:highlight w:val="none"/>
          <w:u w:val="single"/>
        </w:rPr>
        <w:t>。</w:t>
      </w:r>
    </w:p>
    <w:p w14:paraId="4891DC94">
      <w:pPr>
        <w:spacing w:line="276" w:lineRule="auto"/>
        <w:ind w:firstLine="422" w:firstLineChars="201"/>
        <w:jc w:val="left"/>
        <w:rPr>
          <w:rFonts w:ascii="宋体" w:hAnsi="宋体" w:eastAsia="宋体" w:cs="宋体"/>
          <w:color w:val="auto"/>
          <w:szCs w:val="21"/>
          <w:highlight w:val="none"/>
          <w:lang w:val="zh-CN"/>
        </w:rPr>
      </w:pPr>
      <w:r>
        <w:rPr>
          <w:rFonts w:hint="eastAsia" w:ascii="宋体" w:hAnsi="宋体" w:eastAsia="宋体" w:cs="宋体"/>
          <w:color w:val="auto"/>
          <w:szCs w:val="21"/>
          <w:highlight w:val="none"/>
        </w:rPr>
        <w:t>（3）业绩时间以合同签订的时间为准。</w:t>
      </w:r>
      <w:r>
        <w:rPr>
          <w:rFonts w:hint="eastAsia" w:ascii="宋体" w:hAnsi="宋体" w:eastAsia="宋体" w:cs="宋体"/>
          <w:b/>
          <w:color w:val="auto"/>
          <w:szCs w:val="21"/>
          <w:highlight w:val="none"/>
        </w:rPr>
        <w:t>人员类似设计业绩证明材料需体现相应人员的名字。</w:t>
      </w:r>
    </w:p>
    <w:p w14:paraId="1EC7E885">
      <w:pPr>
        <w:spacing w:line="276" w:lineRule="auto"/>
        <w:ind w:firstLine="422" w:firstLineChars="201"/>
        <w:rPr>
          <w:rFonts w:ascii="宋体" w:hAnsi="宋体" w:eastAsia="宋体" w:cs="Times New Roman"/>
          <w:b/>
          <w:color w:val="auto"/>
          <w:szCs w:val="21"/>
          <w:highlight w:val="none"/>
        </w:rPr>
      </w:pPr>
      <w:r>
        <w:rPr>
          <w:rFonts w:hint="eastAsia" w:ascii="宋体" w:hAnsi="宋体" w:eastAsia="宋体" w:cs="Times New Roman"/>
          <w:color w:val="auto"/>
          <w:szCs w:val="21"/>
          <w:highlight w:val="none"/>
        </w:rPr>
        <w:t>（4）</w:t>
      </w:r>
      <w:r>
        <w:rPr>
          <w:rFonts w:hint="eastAsia" w:ascii="宋体" w:hAnsi="宋体" w:eastAsia="宋体" w:cs="宋体"/>
          <w:color w:val="auto"/>
          <w:szCs w:val="21"/>
          <w:highlight w:val="none"/>
        </w:rPr>
        <w:t>如参与评审的设计类似业绩为联合体形式完成的，须提供合同及联合体协议书，投标人必须为承担设计业绩工作的一方，否则不得分。</w:t>
      </w:r>
    </w:p>
    <w:p w14:paraId="762FE61E">
      <w:pPr>
        <w:snapToGrid w:val="0"/>
        <w:spacing w:line="276" w:lineRule="auto"/>
        <w:ind w:firstLine="422" w:firstLineChars="201"/>
        <w:rPr>
          <w:rFonts w:ascii="宋体" w:hAnsi="宋体" w:eastAsia="宋体" w:cs="宋体"/>
          <w:color w:val="auto"/>
          <w:szCs w:val="21"/>
          <w:highlight w:val="none"/>
        </w:rPr>
      </w:pPr>
      <w:r>
        <w:rPr>
          <w:rFonts w:hint="eastAsia" w:ascii="宋体" w:hAnsi="宋体" w:eastAsia="宋体" w:cs="Times New Roman"/>
          <w:color w:val="auto"/>
          <w:szCs w:val="21"/>
          <w:highlight w:val="none"/>
        </w:rPr>
        <w:t>（5）</w:t>
      </w:r>
      <w:r>
        <w:rPr>
          <w:rFonts w:hint="eastAsia" w:ascii="宋体" w:hAnsi="宋体" w:eastAsia="宋体" w:cs="宋体"/>
          <w:color w:val="auto"/>
          <w:szCs w:val="21"/>
          <w:highlight w:val="none"/>
        </w:rPr>
        <w:t>同一项目含设计和勘察的按分别满足要求的各计算一次类似设计业绩和类似勘察业绩。</w:t>
      </w:r>
    </w:p>
    <w:p w14:paraId="269C08C2">
      <w:pPr>
        <w:spacing w:line="276" w:lineRule="auto"/>
        <w:ind w:firstLine="422" w:firstLineChars="201"/>
        <w:rPr>
          <w:rFonts w:ascii="宋体" w:hAnsi="宋体" w:eastAsia="宋体" w:cs="Times New Roman"/>
          <w:color w:val="auto"/>
          <w:szCs w:val="21"/>
          <w:highlight w:val="none"/>
        </w:rPr>
      </w:pPr>
      <w:r>
        <w:rPr>
          <w:rFonts w:hint="eastAsia" w:ascii="宋体" w:hAnsi="宋体" w:eastAsia="宋体" w:cs="宋体"/>
          <w:color w:val="auto"/>
          <w:szCs w:val="21"/>
          <w:highlight w:val="none"/>
        </w:rPr>
        <w:t>（6）未符合以上内容或未按要求提供相关证明材料不得分。</w:t>
      </w:r>
    </w:p>
    <w:p w14:paraId="4B08B7B1">
      <w:pPr>
        <w:spacing w:line="276" w:lineRule="auto"/>
        <w:ind w:firstLine="424" w:firstLineChars="201"/>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三、业绩获奖</w:t>
      </w:r>
    </w:p>
    <w:p w14:paraId="287BEA80">
      <w:pPr>
        <w:spacing w:line="276" w:lineRule="auto"/>
        <w:ind w:firstLine="424" w:firstLineChars="201"/>
        <w:rPr>
          <w:rFonts w:ascii="宋体" w:hAnsi="宋体" w:eastAsia="宋体" w:cs="Times New Roman"/>
          <w:b/>
          <w:color w:val="auto"/>
          <w:szCs w:val="21"/>
          <w:highlight w:val="none"/>
        </w:rPr>
      </w:pPr>
      <w:r>
        <w:rPr>
          <w:rFonts w:hint="eastAsia" w:ascii="宋体" w:hAnsi="宋体" w:eastAsia="宋体" w:cs="宋体"/>
          <w:b/>
          <w:bCs/>
          <w:color w:val="auto"/>
          <w:szCs w:val="21"/>
          <w:highlight w:val="none"/>
        </w:rPr>
        <w:t>勘察类或设计类奖项</w:t>
      </w:r>
      <w:r>
        <w:rPr>
          <w:rFonts w:hint="eastAsia" w:ascii="宋体" w:hAnsi="宋体" w:eastAsia="宋体" w:cs="Times New Roman"/>
          <w:b/>
          <w:color w:val="auto"/>
          <w:szCs w:val="21"/>
          <w:highlight w:val="none"/>
        </w:rPr>
        <w:t>：</w:t>
      </w:r>
    </w:p>
    <w:p w14:paraId="34E00B3D">
      <w:pPr>
        <w:wordWrap w:val="0"/>
        <w:topLinePunct/>
        <w:adjustRightInd w:val="0"/>
        <w:spacing w:line="276" w:lineRule="auto"/>
        <w:ind w:firstLine="422" w:firstLineChars="201"/>
        <w:rPr>
          <w:rFonts w:ascii="宋体" w:hAnsi="宋体" w:eastAsia="宋体" w:cs="宋体"/>
          <w:color w:val="auto"/>
          <w:szCs w:val="21"/>
          <w:highlight w:val="none"/>
        </w:rPr>
      </w:pPr>
      <w:r>
        <w:rPr>
          <w:rFonts w:hint="eastAsia" w:ascii="宋体" w:hAnsi="宋体" w:eastAsia="宋体" w:cs="宋体"/>
          <w:color w:val="auto"/>
          <w:szCs w:val="21"/>
          <w:highlight w:val="none"/>
        </w:rPr>
        <w:t>（1）勘察类奖项是指投标人承接的勘察项目</w:t>
      </w:r>
      <w:r>
        <w:rPr>
          <w:rFonts w:hint="eastAsia" w:ascii="宋体" w:hAnsi="宋体" w:eastAsia="宋体" w:cs="宋体"/>
          <w:bCs/>
          <w:color w:val="auto"/>
          <w:szCs w:val="21"/>
          <w:highlight w:val="none"/>
        </w:rPr>
        <w:t>所</w:t>
      </w:r>
      <w:r>
        <w:rPr>
          <w:rFonts w:hint="eastAsia" w:ascii="宋体" w:hAnsi="宋体" w:eastAsia="宋体" w:cs="宋体"/>
          <w:color w:val="auto"/>
          <w:szCs w:val="21"/>
          <w:highlight w:val="none"/>
        </w:rPr>
        <w:t>获得的</w:t>
      </w:r>
      <w:r>
        <w:rPr>
          <w:rFonts w:hint="eastAsia" w:ascii="宋体" w:hAnsi="宋体" w:eastAsia="宋体" w:cs="宋体"/>
          <w:b/>
          <w:color w:val="auto"/>
          <w:szCs w:val="21"/>
          <w:highlight w:val="none"/>
        </w:rPr>
        <w:t>勘察类奖项</w:t>
      </w:r>
      <w:r>
        <w:rPr>
          <w:rFonts w:hint="eastAsia" w:ascii="宋体" w:hAnsi="宋体" w:eastAsia="宋体" w:cs="宋体"/>
          <w:b/>
          <w:bCs/>
          <w:color w:val="auto"/>
          <w:szCs w:val="21"/>
          <w:highlight w:val="none"/>
        </w:rPr>
        <w:t>（不含技术类获奖）</w:t>
      </w:r>
      <w:r>
        <w:rPr>
          <w:rFonts w:hint="eastAsia" w:ascii="宋体" w:hAnsi="宋体" w:eastAsia="宋体" w:cs="宋体"/>
          <w:color w:val="auto"/>
          <w:szCs w:val="21"/>
          <w:highlight w:val="none"/>
        </w:rPr>
        <w:t>；设计类奖项是指投标人承接的</w:t>
      </w:r>
      <w:r>
        <w:rPr>
          <w:rFonts w:hint="eastAsia" w:ascii="宋体" w:hAnsi="宋体" w:eastAsia="宋体" w:cs="宋体"/>
          <w:b/>
          <w:bCs/>
          <w:color w:val="auto"/>
          <w:szCs w:val="21"/>
          <w:highlight w:val="none"/>
        </w:rPr>
        <w:t>市政道路工程</w:t>
      </w:r>
      <w:r>
        <w:rPr>
          <w:rFonts w:hint="eastAsia" w:ascii="宋体" w:hAnsi="宋体" w:eastAsia="宋体" w:cs="宋体"/>
          <w:b/>
          <w:bCs/>
          <w:color w:val="auto"/>
          <w:szCs w:val="21"/>
          <w:highlight w:val="none"/>
          <w:lang w:val="en-US" w:eastAsia="zh-CN"/>
        </w:rPr>
        <w:t>或市政桥梁工程</w:t>
      </w:r>
      <w:r>
        <w:rPr>
          <w:rFonts w:hint="eastAsia" w:ascii="宋体" w:hAnsi="宋体" w:eastAsia="宋体" w:cs="宋体"/>
          <w:bCs/>
          <w:color w:val="auto"/>
          <w:szCs w:val="21"/>
          <w:highlight w:val="none"/>
        </w:rPr>
        <w:t>所</w:t>
      </w:r>
      <w:r>
        <w:rPr>
          <w:rFonts w:hint="eastAsia" w:ascii="宋体" w:hAnsi="宋体" w:eastAsia="宋体" w:cs="宋体"/>
          <w:color w:val="auto"/>
          <w:szCs w:val="21"/>
          <w:highlight w:val="none"/>
        </w:rPr>
        <w:t>获得的</w:t>
      </w:r>
      <w:r>
        <w:rPr>
          <w:rFonts w:hint="eastAsia" w:ascii="宋体" w:hAnsi="宋体" w:eastAsia="宋体" w:cs="宋体"/>
          <w:b/>
          <w:bCs/>
          <w:color w:val="auto"/>
          <w:szCs w:val="21"/>
          <w:highlight w:val="none"/>
        </w:rPr>
        <w:t>设计类奖项（不含技术类获奖）</w:t>
      </w:r>
      <w:r>
        <w:rPr>
          <w:rFonts w:hint="eastAsia" w:ascii="宋体" w:hAnsi="宋体" w:eastAsia="宋体" w:cs="宋体"/>
          <w:color w:val="auto"/>
          <w:szCs w:val="21"/>
          <w:highlight w:val="none"/>
        </w:rPr>
        <w:t>。若为联合体投标，勘察类奖项由联合体中承担工程勘察工作的单位提供，设计类奖项由联合体中承担工程设计工作的单位提供。</w:t>
      </w:r>
    </w:p>
    <w:p w14:paraId="121BFBBB">
      <w:pPr>
        <w:wordWrap w:val="0"/>
        <w:topLinePunct/>
        <w:adjustRightInd w:val="0"/>
        <w:spacing w:line="276" w:lineRule="auto"/>
        <w:ind w:firstLine="422" w:firstLineChars="201"/>
        <w:rPr>
          <w:rFonts w:ascii="宋体" w:hAnsi="宋体" w:eastAsia="宋体" w:cs="宋体"/>
          <w:color w:val="auto"/>
          <w:szCs w:val="21"/>
          <w:highlight w:val="none"/>
        </w:rPr>
      </w:pPr>
      <w:r>
        <w:rPr>
          <w:rFonts w:hint="eastAsia" w:ascii="宋体" w:hAnsi="宋体" w:eastAsia="宋体" w:cs="宋体"/>
          <w:color w:val="auto"/>
          <w:szCs w:val="21"/>
          <w:highlight w:val="none"/>
        </w:rPr>
        <w:t>（2）国家级奖项为国家级行业协会（学会）颁发的奖项；省级奖项为省级</w:t>
      </w: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含自治区、直辖市</w:t>
      </w:r>
      <w:r>
        <w:rPr>
          <w:rFonts w:hint="eastAsia" w:ascii="宋体" w:hAnsi="宋体" w:eastAsia="宋体" w:cs="宋体"/>
          <w:color w:val="auto"/>
          <w:szCs w:val="21"/>
          <w:highlight w:val="none"/>
          <w:lang w:val="zh-CN"/>
        </w:rPr>
        <w:t>）的</w:t>
      </w:r>
      <w:r>
        <w:rPr>
          <w:rFonts w:hint="eastAsia" w:ascii="宋体" w:hAnsi="宋体" w:eastAsia="宋体" w:cs="宋体"/>
          <w:color w:val="auto"/>
          <w:szCs w:val="21"/>
          <w:highlight w:val="none"/>
        </w:rPr>
        <w:t>建设行政主管部门或行业协会（学会）颁发的奖项，市级奖项为市级（含副省级）的建设行政主管部门或行业协会（学会）颁发的奖项。</w:t>
      </w:r>
    </w:p>
    <w:p w14:paraId="5694DCDF">
      <w:pPr>
        <w:wordWrap w:val="0"/>
        <w:topLinePunct/>
        <w:adjustRightInd w:val="0"/>
        <w:spacing w:line="276" w:lineRule="auto"/>
        <w:ind w:firstLine="422" w:firstLineChars="201"/>
        <w:rPr>
          <w:rFonts w:ascii="宋体" w:hAnsi="宋体" w:eastAsia="宋体" w:cs="宋体"/>
          <w:color w:val="auto"/>
          <w:szCs w:val="21"/>
          <w:highlight w:val="none"/>
        </w:rPr>
      </w:pPr>
      <w:r>
        <w:rPr>
          <w:rFonts w:hint="eastAsia" w:ascii="宋体" w:hAnsi="宋体" w:eastAsia="宋体" w:cs="宋体"/>
          <w:color w:val="auto"/>
          <w:szCs w:val="21"/>
          <w:highlight w:val="none"/>
        </w:rPr>
        <w:t>（3）需提供的证明材料：</w:t>
      </w:r>
    </w:p>
    <w:p w14:paraId="27EA29BC">
      <w:pPr>
        <w:wordWrap w:val="0"/>
        <w:topLinePunct/>
        <w:adjustRightInd w:val="0"/>
        <w:spacing w:line="276" w:lineRule="auto"/>
        <w:ind w:firstLine="422" w:firstLineChars="201"/>
        <w:rPr>
          <w:rFonts w:ascii="宋体" w:hAnsi="宋体" w:eastAsia="宋体" w:cs="宋体"/>
          <w:color w:val="auto"/>
          <w:szCs w:val="21"/>
          <w:highlight w:val="none"/>
          <w:u w:val="single"/>
        </w:rPr>
      </w:pPr>
      <w:r>
        <w:rPr>
          <w:rFonts w:hint="eastAsia" w:ascii="宋体" w:hAnsi="宋体" w:eastAsia="宋体" w:cs="宋体"/>
          <w:color w:val="auto"/>
          <w:szCs w:val="21"/>
          <w:highlight w:val="none"/>
          <w:u w:val="single"/>
        </w:rPr>
        <w:t>①</w:t>
      </w:r>
      <w:r>
        <w:rPr>
          <w:rFonts w:hint="eastAsia" w:ascii="宋体" w:hAnsi="宋体" w:eastAsia="宋体" w:cs="宋体"/>
          <w:b/>
          <w:color w:val="auto"/>
          <w:szCs w:val="21"/>
          <w:highlight w:val="none"/>
          <w:u w:val="single"/>
        </w:rPr>
        <w:t>获奖证书</w:t>
      </w:r>
      <w:r>
        <w:rPr>
          <w:rFonts w:hint="eastAsia" w:ascii="宋体" w:hAnsi="宋体" w:eastAsia="宋体" w:cs="宋体"/>
          <w:color w:val="auto"/>
          <w:szCs w:val="21"/>
          <w:highlight w:val="none"/>
          <w:u w:val="single"/>
        </w:rPr>
        <w:t>扫描件（若该奖项不颁发获奖证书，则提供</w:t>
      </w:r>
      <w:r>
        <w:rPr>
          <w:rFonts w:hint="eastAsia" w:ascii="宋体" w:hAnsi="宋体" w:eastAsia="宋体" w:cs="宋体"/>
          <w:b/>
          <w:color w:val="auto"/>
          <w:szCs w:val="21"/>
          <w:highlight w:val="none"/>
          <w:u w:val="single"/>
        </w:rPr>
        <w:t>获奖证明</w:t>
      </w:r>
      <w:r>
        <w:rPr>
          <w:rFonts w:hint="eastAsia" w:ascii="宋体" w:hAnsi="宋体" w:eastAsia="宋体" w:cs="宋体"/>
          <w:color w:val="auto"/>
          <w:szCs w:val="21"/>
          <w:highlight w:val="none"/>
          <w:u w:val="single"/>
        </w:rPr>
        <w:t>扫描件）；</w:t>
      </w:r>
    </w:p>
    <w:p w14:paraId="5D4FD927">
      <w:pPr>
        <w:wordWrap w:val="0"/>
        <w:topLinePunct/>
        <w:adjustRightInd w:val="0"/>
        <w:spacing w:line="276" w:lineRule="auto"/>
        <w:ind w:firstLine="422" w:firstLineChars="201"/>
        <w:rPr>
          <w:rFonts w:ascii="宋体" w:hAnsi="宋体" w:eastAsia="宋体" w:cs="宋体"/>
          <w:color w:val="auto"/>
          <w:szCs w:val="21"/>
          <w:highlight w:val="none"/>
          <w:u w:val="single"/>
        </w:rPr>
      </w:pPr>
      <w:r>
        <w:rPr>
          <w:rFonts w:hint="eastAsia" w:ascii="宋体" w:hAnsi="宋体" w:eastAsia="宋体" w:cs="宋体"/>
          <w:color w:val="auto"/>
          <w:szCs w:val="21"/>
          <w:highlight w:val="none"/>
          <w:u w:val="single"/>
        </w:rPr>
        <w:t>②如颁奖单位为协会（学会）的，还需提供颁奖单位在“中国社会组织政务服务平台（全国社会组织信用信息公示平台）”网站（</w:t>
      </w:r>
      <w:r>
        <w:rPr>
          <w:rFonts w:ascii="宋体" w:hAnsi="宋体" w:eastAsia="宋体" w:cs="宋体"/>
          <w:color w:val="auto"/>
          <w:szCs w:val="21"/>
          <w:highlight w:val="none"/>
          <w:u w:val="single"/>
        </w:rPr>
        <w:t>https://xxgs.chinanpo.mca.gov.cn/gsxt/newList）（注：平台名称及网址若有更新，以最新发布的为准。）</w:t>
      </w:r>
      <w:r>
        <w:rPr>
          <w:rFonts w:hint="eastAsia" w:ascii="宋体" w:hAnsi="宋体" w:eastAsia="宋体" w:cs="宋体"/>
          <w:b/>
          <w:bCs/>
          <w:color w:val="auto"/>
          <w:szCs w:val="21"/>
          <w:highlight w:val="none"/>
          <w:u w:val="single"/>
        </w:rPr>
        <w:t>“社会组织”</w:t>
      </w:r>
      <w:r>
        <w:rPr>
          <w:rFonts w:hint="eastAsia" w:ascii="宋体" w:hAnsi="宋体" w:eastAsia="宋体" w:cs="宋体"/>
          <w:color w:val="auto"/>
          <w:szCs w:val="21"/>
          <w:highlight w:val="none"/>
          <w:u w:val="single"/>
        </w:rPr>
        <w:t>栏查询结果</w:t>
      </w:r>
      <w:r>
        <w:rPr>
          <w:rFonts w:hint="eastAsia" w:ascii="宋体" w:hAnsi="宋体" w:eastAsia="宋体" w:cs="宋体"/>
          <w:b/>
          <w:bCs/>
          <w:color w:val="auto"/>
          <w:szCs w:val="21"/>
          <w:highlight w:val="none"/>
          <w:u w:val="single"/>
        </w:rPr>
        <w:t>网页</w:t>
      </w:r>
      <w:r>
        <w:rPr>
          <w:rFonts w:hint="eastAsia" w:ascii="宋体" w:hAnsi="宋体" w:eastAsia="宋体" w:cs="宋体"/>
          <w:color w:val="auto"/>
          <w:szCs w:val="21"/>
          <w:highlight w:val="none"/>
          <w:u w:val="single"/>
        </w:rPr>
        <w:t>截图（需显示网址），</w:t>
      </w:r>
      <w:r>
        <w:rPr>
          <w:rFonts w:hint="eastAsia" w:ascii="宋体" w:hAnsi="宋体" w:eastAsia="宋体" w:cs="宋体"/>
          <w:b/>
          <w:bCs/>
          <w:color w:val="auto"/>
          <w:szCs w:val="21"/>
          <w:highlight w:val="none"/>
          <w:u w:val="single"/>
        </w:rPr>
        <w:t>同时须提供其查询结果必须为“正常”</w:t>
      </w:r>
      <w:r>
        <w:rPr>
          <w:rFonts w:hint="eastAsia" w:ascii="宋体" w:hAnsi="宋体" w:eastAsia="宋体" w:cs="宋体"/>
          <w:color w:val="auto"/>
          <w:szCs w:val="21"/>
          <w:highlight w:val="none"/>
          <w:u w:val="single"/>
        </w:rPr>
        <w:t>。</w:t>
      </w:r>
    </w:p>
    <w:p w14:paraId="5B4A8E6C">
      <w:pPr>
        <w:wordWrap w:val="0"/>
        <w:topLinePunct/>
        <w:adjustRightInd w:val="0"/>
        <w:spacing w:line="276" w:lineRule="auto"/>
        <w:ind w:firstLine="422" w:firstLineChars="201"/>
        <w:rPr>
          <w:rFonts w:ascii="宋体" w:hAnsi="宋体" w:eastAsia="宋体" w:cs="宋体"/>
          <w:color w:val="auto"/>
          <w:szCs w:val="21"/>
          <w:highlight w:val="none"/>
        </w:rPr>
      </w:pPr>
      <w:r>
        <w:rPr>
          <w:rFonts w:hint="eastAsia" w:ascii="宋体" w:hAnsi="宋体" w:eastAsia="宋体" w:cs="宋体"/>
          <w:color w:val="auto"/>
          <w:szCs w:val="21"/>
          <w:highlight w:val="none"/>
        </w:rPr>
        <w:t>（4）时间以获奖证书</w:t>
      </w:r>
      <w:r>
        <w:rPr>
          <w:rFonts w:hint="eastAsia" w:ascii="宋体" w:hAnsi="宋体" w:eastAsia="宋体" w:cs="宋体"/>
          <w:color w:val="auto"/>
          <w:szCs w:val="21"/>
          <w:highlight w:val="none"/>
          <w:lang w:val="zh-CN"/>
        </w:rPr>
        <w:t>中</w:t>
      </w:r>
      <w:r>
        <w:rPr>
          <w:rFonts w:hint="eastAsia" w:ascii="宋体" w:hAnsi="宋体" w:eastAsia="宋体" w:cs="宋体"/>
          <w:color w:val="auto"/>
          <w:szCs w:val="21"/>
          <w:highlight w:val="none"/>
        </w:rPr>
        <w:t>载明的日期为准（若该奖项不颁发获奖证书，则以提供的获奖证明为准）。同一设计项目获奖的只按最高奖项计算一次，不重复计算。</w:t>
      </w:r>
    </w:p>
    <w:p w14:paraId="5646BC98">
      <w:pPr>
        <w:wordWrap w:val="0"/>
        <w:topLinePunct/>
        <w:adjustRightInd w:val="0"/>
        <w:spacing w:line="276" w:lineRule="auto"/>
        <w:ind w:firstLine="422" w:firstLineChars="201"/>
        <w:rPr>
          <w:rFonts w:ascii="宋体" w:hAnsi="宋体" w:eastAsia="宋体" w:cs="Times New Roman"/>
          <w:b/>
          <w:color w:val="auto"/>
          <w:szCs w:val="21"/>
          <w:highlight w:val="none"/>
        </w:rPr>
      </w:pPr>
      <w:r>
        <w:rPr>
          <w:rFonts w:hint="eastAsia" w:ascii="宋体" w:hAnsi="宋体" w:eastAsia="宋体" w:cs="宋体"/>
          <w:color w:val="auto"/>
          <w:szCs w:val="21"/>
          <w:highlight w:val="none"/>
        </w:rPr>
        <w:t>（5）未符合以上内容或未按要求提供相关证明材料不得分。</w:t>
      </w:r>
    </w:p>
    <w:p w14:paraId="72BDFA9E">
      <w:pPr>
        <w:spacing w:line="276" w:lineRule="auto"/>
        <w:ind w:firstLine="424" w:firstLineChars="201"/>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四、项目拟投入人员</w:t>
      </w:r>
    </w:p>
    <w:p w14:paraId="7D4472B6">
      <w:pPr>
        <w:spacing w:line="276" w:lineRule="auto"/>
        <w:ind w:firstLine="422" w:firstLineChars="201"/>
        <w:rPr>
          <w:rFonts w:ascii="宋体" w:hAnsi="宋体" w:eastAsia="宋体" w:cs="宋体"/>
          <w:color w:val="auto"/>
          <w:szCs w:val="21"/>
          <w:highlight w:val="none"/>
        </w:rPr>
      </w:pPr>
      <w:r>
        <w:rPr>
          <w:rFonts w:hint="eastAsia" w:ascii="宋体" w:hAnsi="宋体" w:eastAsia="宋体" w:cs="Times New Roman"/>
          <w:color w:val="auto"/>
          <w:szCs w:val="21"/>
          <w:highlight w:val="none"/>
        </w:rPr>
        <w:t>（1）</w:t>
      </w:r>
      <w:r>
        <w:rPr>
          <w:rFonts w:hint="eastAsia" w:ascii="宋体" w:hAnsi="宋体" w:eastAsia="宋体" w:cs="宋体"/>
          <w:color w:val="auto"/>
          <w:szCs w:val="21"/>
          <w:highlight w:val="none"/>
        </w:rPr>
        <w:t>需提供的证明材料：</w:t>
      </w:r>
    </w:p>
    <w:p w14:paraId="45F19EF0">
      <w:pPr>
        <w:spacing w:line="276" w:lineRule="auto"/>
        <w:ind w:firstLine="422" w:firstLineChars="201"/>
        <w:rPr>
          <w:rFonts w:ascii="宋体" w:hAnsi="宋体" w:eastAsia="宋体" w:cs="Times New Roman"/>
          <w:color w:val="auto"/>
          <w:szCs w:val="21"/>
          <w:highlight w:val="none"/>
          <w:u w:val="single"/>
        </w:rPr>
      </w:pPr>
      <w:r>
        <w:rPr>
          <w:rFonts w:hint="eastAsia" w:ascii="宋体" w:hAnsi="宋体" w:eastAsia="宋体" w:cs="宋体"/>
          <w:color w:val="auto"/>
          <w:szCs w:val="21"/>
          <w:highlight w:val="none"/>
          <w:u w:val="single"/>
        </w:rPr>
        <w:t>①按评分要求提供相应的职称证、注册证、身份证、毕业证等</w:t>
      </w:r>
      <w:r>
        <w:rPr>
          <w:rFonts w:hint="eastAsia" w:ascii="宋体" w:hAnsi="宋体" w:eastAsia="宋体" w:cs="Times New Roman"/>
          <w:color w:val="auto"/>
          <w:szCs w:val="21"/>
          <w:highlight w:val="none"/>
          <w:u w:val="single"/>
        </w:rPr>
        <w:t>扫描件；</w:t>
      </w:r>
    </w:p>
    <w:p w14:paraId="616B298A">
      <w:pPr>
        <w:spacing w:line="276" w:lineRule="auto"/>
        <w:ind w:firstLine="422" w:firstLineChars="201"/>
        <w:rPr>
          <w:rFonts w:ascii="宋体" w:hAnsi="宋体" w:eastAsia="宋体" w:cs="Times New Roman"/>
          <w:b/>
          <w:color w:val="auto"/>
          <w:szCs w:val="21"/>
          <w:highlight w:val="none"/>
        </w:rPr>
      </w:pPr>
      <w:r>
        <w:rPr>
          <w:rFonts w:hint="eastAsia" w:ascii="宋体" w:hAnsi="宋体" w:eastAsia="宋体" w:cs="Times New Roman"/>
          <w:color w:val="auto"/>
          <w:szCs w:val="21"/>
          <w:highlight w:val="none"/>
          <w:u w:val="single"/>
        </w:rPr>
        <w:t>②近1个月（2025年 5月或6月）社保证明（含分公司或分支机构社保缴纳记录）。</w:t>
      </w:r>
    </w:p>
    <w:p w14:paraId="6725707E">
      <w:pPr>
        <w:spacing w:line="276" w:lineRule="auto"/>
        <w:ind w:firstLine="422" w:firstLineChars="201"/>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w:t>
      </w:r>
      <w:r>
        <w:rPr>
          <w:rFonts w:hint="eastAsia" w:ascii="宋体" w:hAnsi="宋体" w:eastAsia="宋体" w:cs="宋体"/>
          <w:color w:val="auto"/>
          <w:szCs w:val="21"/>
          <w:highlight w:val="none"/>
        </w:rPr>
        <w:t>注册类人员包括在广东省住房和城乡建设主管部门备案且备案的业务范围符合上述注册人员要求的香港专业人士。</w:t>
      </w:r>
    </w:p>
    <w:p w14:paraId="2259780D">
      <w:pPr>
        <w:spacing w:line="276" w:lineRule="auto"/>
        <w:ind w:firstLine="422" w:firstLineChars="201"/>
        <w:rPr>
          <w:rFonts w:ascii="宋体" w:hAnsi="宋体" w:eastAsia="宋体" w:cs="宋体"/>
          <w:color w:val="auto"/>
          <w:szCs w:val="21"/>
          <w:highlight w:val="none"/>
        </w:rPr>
      </w:pPr>
      <w:r>
        <w:rPr>
          <w:rFonts w:hint="eastAsia" w:ascii="宋体" w:hAnsi="宋体" w:eastAsia="宋体" w:cs="Times New Roman"/>
          <w:color w:val="auto"/>
          <w:szCs w:val="21"/>
          <w:highlight w:val="none"/>
        </w:rPr>
        <w:t>（3）设计经历从毕业证书的核发时</w:t>
      </w:r>
      <w:r>
        <w:rPr>
          <w:rFonts w:hint="eastAsia" w:ascii="宋体" w:hAnsi="宋体" w:eastAsia="宋体" w:cs="宋体"/>
          <w:color w:val="auto"/>
          <w:szCs w:val="21"/>
          <w:highlight w:val="none"/>
        </w:rPr>
        <w:t>间[大学专科（或以上）学历]起计。</w:t>
      </w:r>
    </w:p>
    <w:p w14:paraId="5D5F623D">
      <w:pPr>
        <w:spacing w:line="276" w:lineRule="auto"/>
        <w:ind w:firstLine="424" w:firstLineChars="201"/>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五、信誉</w:t>
      </w:r>
    </w:p>
    <w:p w14:paraId="2F489DFF">
      <w:pPr>
        <w:spacing w:line="276" w:lineRule="auto"/>
        <w:ind w:firstLine="422" w:firstLineChars="201"/>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w:t>
      </w:r>
      <w:r>
        <w:rPr>
          <w:rFonts w:hint="eastAsia" w:ascii="宋体" w:hAnsi="宋体" w:eastAsia="宋体" w:cs="宋体"/>
          <w:color w:val="auto"/>
          <w:szCs w:val="21"/>
          <w:highlight w:val="none"/>
        </w:rPr>
        <w:t>管理体系认证证书须在有效期内，并需提供证书扫描件及全国认证认可信息公共服务平台（http://cx.cnca.cn/CertECloud/index/index/page）网页查询信息截图，不符合条件或无提交上述证明材料的不计分。</w:t>
      </w:r>
    </w:p>
    <w:p w14:paraId="0FE1FF54">
      <w:pPr>
        <w:spacing w:line="276" w:lineRule="auto"/>
        <w:ind w:firstLine="422" w:firstLineChars="201"/>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（2）纳税信用等级：</w:t>
      </w:r>
    </w:p>
    <w:p w14:paraId="6C0CFC20">
      <w:pPr>
        <w:spacing w:line="276" w:lineRule="auto"/>
        <w:ind w:firstLine="422" w:firstLineChars="201"/>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u w:val="single"/>
        </w:rPr>
        <w:t>①“纳税信用A级纳税人”需提供省级</w:t>
      </w:r>
      <w:r>
        <w:rPr>
          <w:rFonts w:hint="eastAsia" w:ascii="宋体" w:hAnsi="宋体" w:eastAsia="宋体" w:cs="宋体"/>
          <w:b/>
          <w:bCs/>
          <w:color w:val="auto"/>
          <w:szCs w:val="21"/>
          <w:highlight w:val="none"/>
          <w:u w:val="single"/>
        </w:rPr>
        <w:t>（含自治区、直辖市）</w:t>
      </w:r>
      <w:r>
        <w:rPr>
          <w:rFonts w:hint="eastAsia" w:ascii="宋体" w:hAnsi="宋体" w:eastAsia="宋体" w:cs="Times New Roman"/>
          <w:color w:val="auto"/>
          <w:szCs w:val="21"/>
          <w:highlight w:val="none"/>
          <w:u w:val="single"/>
        </w:rPr>
        <w:t>税务局官网“纳税信用A级纳税人名单公布栏”</w:t>
      </w:r>
      <w:r>
        <w:rPr>
          <w:rFonts w:hint="eastAsia" w:ascii="宋体" w:hAnsi="宋体" w:eastAsia="宋体" w:cs="Times New Roman"/>
          <w:b/>
          <w:color w:val="auto"/>
          <w:szCs w:val="21"/>
          <w:highlight w:val="none"/>
          <w:u w:val="single"/>
        </w:rPr>
        <w:t>查询结果网页截图</w:t>
      </w:r>
      <w:r>
        <w:rPr>
          <w:rFonts w:hint="eastAsia" w:ascii="宋体" w:hAnsi="宋体" w:eastAsia="宋体" w:cs="Times New Roman"/>
          <w:color w:val="auto"/>
          <w:szCs w:val="21"/>
          <w:highlight w:val="none"/>
          <w:u w:val="single"/>
        </w:rPr>
        <w:t>，时间以省级</w:t>
      </w:r>
      <w:r>
        <w:rPr>
          <w:rFonts w:hint="eastAsia" w:ascii="宋体" w:hAnsi="宋体" w:eastAsia="宋体" w:cs="宋体"/>
          <w:b/>
          <w:bCs/>
          <w:color w:val="auto"/>
          <w:szCs w:val="21"/>
          <w:highlight w:val="none"/>
          <w:u w:val="single"/>
        </w:rPr>
        <w:t>（含自治区、直辖市）</w:t>
      </w:r>
      <w:r>
        <w:rPr>
          <w:rFonts w:hint="eastAsia" w:ascii="宋体" w:hAnsi="宋体" w:eastAsia="宋体" w:cs="Times New Roman"/>
          <w:color w:val="auto"/>
          <w:szCs w:val="21"/>
          <w:highlight w:val="none"/>
          <w:u w:val="single"/>
        </w:rPr>
        <w:t>税务局网站纳税信用信息查询结果的网页截图公布的评价年度为准。</w:t>
      </w:r>
    </w:p>
    <w:p w14:paraId="493143D2">
      <w:pPr>
        <w:spacing w:line="276" w:lineRule="auto"/>
        <w:ind w:firstLine="422" w:firstLineChars="201"/>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u w:val="single"/>
        </w:rPr>
        <w:t>②“B级纳税人”和“M级纳税人”需提供证书扫描件或在电子税务局系统上查询的年度纳税信用证明信息</w:t>
      </w:r>
      <w:r>
        <w:rPr>
          <w:rFonts w:hint="eastAsia" w:ascii="宋体" w:hAnsi="宋体" w:eastAsia="宋体" w:cs="Times New Roman"/>
          <w:b/>
          <w:color w:val="auto"/>
          <w:szCs w:val="21"/>
          <w:highlight w:val="none"/>
          <w:u w:val="single"/>
        </w:rPr>
        <w:t>网页截图</w:t>
      </w:r>
      <w:r>
        <w:rPr>
          <w:rFonts w:hint="eastAsia" w:ascii="宋体" w:hAnsi="宋体" w:eastAsia="宋体" w:cs="Times New Roman"/>
          <w:color w:val="auto"/>
          <w:szCs w:val="21"/>
          <w:highlight w:val="none"/>
          <w:u w:val="single"/>
        </w:rPr>
        <w:t>，时间以证书或网页截图公布的评价年度为准。</w:t>
      </w:r>
    </w:p>
    <w:p w14:paraId="0203B439">
      <w:pPr>
        <w:spacing w:line="276" w:lineRule="auto"/>
        <w:ind w:firstLine="422" w:firstLineChars="201"/>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u w:val="single"/>
        </w:rPr>
        <w:t>③若投标人满足多个档次的，按最高档计分一次，不累计；上述材料显示的纳税人全称须与投标人名称一致。</w:t>
      </w:r>
    </w:p>
    <w:p w14:paraId="63259585">
      <w:pPr>
        <w:spacing w:line="276" w:lineRule="auto"/>
        <w:ind w:firstLine="422" w:firstLineChars="201"/>
        <w:rPr>
          <w:rFonts w:ascii="宋体" w:hAnsi="宋体" w:eastAsia="宋体" w:cs="Times New Roman"/>
          <w:b/>
          <w:color w:val="auto"/>
          <w:szCs w:val="21"/>
          <w:highlight w:val="none"/>
        </w:rPr>
      </w:pPr>
      <w:r>
        <w:rPr>
          <w:rFonts w:hint="eastAsia" w:ascii="宋体" w:hAnsi="宋体" w:eastAsia="宋体" w:cs="Times New Roman"/>
          <w:color w:val="auto"/>
          <w:szCs w:val="21"/>
          <w:highlight w:val="none"/>
          <w:u w:val="single"/>
        </w:rPr>
        <w:t>④未符合以上内容或未按要求提供相关证明材料不得分。</w:t>
      </w:r>
    </w:p>
    <w:p w14:paraId="33E5EC9B">
      <w:pPr>
        <w:spacing w:line="276" w:lineRule="auto"/>
        <w:ind w:firstLine="424" w:firstLineChars="201"/>
        <w:jc w:val="left"/>
        <w:rPr>
          <w:rFonts w:ascii="宋体" w:hAnsi="宋体" w:eastAsia="宋体" w:cs="宋体"/>
          <w:color w:val="auto"/>
          <w:szCs w:val="21"/>
          <w:highlight w:val="none"/>
          <w:u w:val="single"/>
        </w:rPr>
      </w:pPr>
      <w:r>
        <w:rPr>
          <w:rFonts w:hint="eastAsia" w:ascii="宋体" w:hAnsi="宋体" w:eastAsia="宋体" w:cs="Times New Roman"/>
          <w:b/>
          <w:color w:val="auto"/>
          <w:szCs w:val="21"/>
          <w:highlight w:val="none"/>
        </w:rPr>
        <w:t>六、以联合体方式投标的，勘察专业负责人及企业类似勘察业绩、企业类似勘察业绩获奖按联合体共同投标协议中承担勘察工作的联合体成员的证明材料计算得分；其他各项评分内容仅按联合体主办方的证明材料计算得分。</w:t>
      </w:r>
    </w:p>
    <w:p w14:paraId="16B2C643">
      <w:pPr>
        <w:widowControl/>
        <w:jc w:val="left"/>
        <w:rPr>
          <w:rFonts w:ascii="宋体" w:hAnsi="宋体" w:eastAsia="宋体" w:cs="Times New Roman"/>
          <w:color w:val="auto"/>
          <w:kern w:val="0"/>
          <w:sz w:val="20"/>
          <w:szCs w:val="20"/>
          <w:highlight w:val="none"/>
          <w:lang w:val="zh-CN"/>
        </w:rPr>
      </w:pPr>
      <w:r>
        <w:rPr>
          <w:rFonts w:hint="eastAsia" w:ascii="宋体" w:hAnsi="宋体" w:eastAsia="宋体"/>
          <w:color w:val="auto"/>
          <w:highlight w:val="none"/>
          <w:lang w:val="zh-CN"/>
        </w:rPr>
        <w:br w:type="page"/>
      </w:r>
    </w:p>
    <w:p w14:paraId="636CA48C">
      <w:pPr>
        <w:wordWrap w:val="0"/>
        <w:autoSpaceDE w:val="0"/>
        <w:autoSpaceDN w:val="0"/>
        <w:spacing w:line="276" w:lineRule="auto"/>
        <w:jc w:val="left"/>
        <w:outlineLvl w:val="3"/>
        <w:rPr>
          <w:rFonts w:ascii="宋体" w:hAnsi="宋体" w:eastAsia="宋体" w:cs="宋体"/>
          <w:color w:val="auto"/>
          <w:kern w:val="0"/>
          <w:sz w:val="28"/>
          <w:szCs w:val="28"/>
          <w:highlight w:val="none"/>
          <w:lang w:val="zh-CN"/>
        </w:rPr>
      </w:pPr>
      <w:r>
        <w:rPr>
          <w:rFonts w:hint="eastAsia" w:ascii="宋体" w:hAnsi="宋体" w:eastAsia="宋体" w:cs="宋体"/>
          <w:color w:val="auto"/>
          <w:kern w:val="0"/>
          <w:sz w:val="28"/>
          <w:szCs w:val="28"/>
          <w:highlight w:val="none"/>
          <w:lang w:val="zh-CN"/>
        </w:rPr>
        <w:t>附</w:t>
      </w:r>
      <w:r>
        <w:rPr>
          <w:rFonts w:hint="eastAsia" w:ascii="宋体" w:hAnsi="宋体" w:eastAsia="宋体" w:cs="宋体"/>
          <w:color w:val="auto"/>
          <w:kern w:val="0"/>
          <w:sz w:val="28"/>
          <w:szCs w:val="28"/>
          <w:highlight w:val="none"/>
        </w:rPr>
        <w:t>表</w:t>
      </w:r>
      <w:r>
        <w:rPr>
          <w:rFonts w:hint="eastAsia" w:ascii="宋体" w:hAnsi="宋体" w:eastAsia="宋体" w:cs="宋体"/>
          <w:color w:val="auto"/>
          <w:kern w:val="0"/>
          <w:sz w:val="28"/>
          <w:szCs w:val="28"/>
          <w:highlight w:val="none"/>
          <w:lang w:val="zh-CN"/>
        </w:rPr>
        <w:t>二：</w:t>
      </w:r>
    </w:p>
    <w:p w14:paraId="59F16F24">
      <w:pPr>
        <w:wordWrap w:val="0"/>
        <w:jc w:val="center"/>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技术文件评分表</w:t>
      </w:r>
    </w:p>
    <w:tbl>
      <w:tblPr>
        <w:tblStyle w:val="46"/>
        <w:tblW w:w="1422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44"/>
        <w:gridCol w:w="1025"/>
        <w:gridCol w:w="812"/>
        <w:gridCol w:w="2389"/>
        <w:gridCol w:w="1997"/>
        <w:gridCol w:w="6633"/>
        <w:gridCol w:w="723"/>
      </w:tblGrid>
      <w:tr w14:paraId="59C1D0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481" w:type="dxa"/>
            <w:gridSpan w:val="3"/>
            <w:tcBorders>
              <w:top w:val="single" w:color="auto" w:sz="6" w:space="0"/>
              <w:left w:val="single" w:color="auto" w:sz="6" w:space="0"/>
              <w:bottom w:val="single" w:color="auto" w:sz="6" w:space="0"/>
              <w:right w:val="single" w:color="auto" w:sz="6" w:space="0"/>
            </w:tcBorders>
            <w:vAlign w:val="center"/>
          </w:tcPr>
          <w:p w14:paraId="1E41A194">
            <w:pPr>
              <w:topLinePunct/>
              <w:spacing w:line="276" w:lineRule="auto"/>
              <w:jc w:val="center"/>
              <w:rPr>
                <w:rFonts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投标方案编号</w:t>
            </w:r>
          </w:p>
        </w:tc>
        <w:tc>
          <w:tcPr>
            <w:tcW w:w="2389" w:type="dxa"/>
            <w:tcBorders>
              <w:top w:val="single" w:color="auto" w:sz="6" w:space="0"/>
              <w:left w:val="single" w:color="auto" w:sz="6" w:space="0"/>
              <w:bottom w:val="single" w:color="auto" w:sz="6" w:space="0"/>
              <w:right w:val="single" w:color="auto" w:sz="6" w:space="0"/>
            </w:tcBorders>
            <w:vAlign w:val="center"/>
          </w:tcPr>
          <w:p w14:paraId="56E07B03">
            <w:pPr>
              <w:wordWrap w:val="0"/>
              <w:topLinePunct/>
              <w:spacing w:line="276" w:lineRule="auto"/>
              <w:jc w:val="center"/>
              <w:rPr>
                <w:rFonts w:ascii="宋体" w:hAnsi="宋体" w:eastAsia="宋体" w:cs="宋体"/>
                <w:b/>
                <w:color w:val="auto"/>
                <w:szCs w:val="21"/>
                <w:highlight w:val="none"/>
              </w:rPr>
            </w:pPr>
          </w:p>
        </w:tc>
        <w:tc>
          <w:tcPr>
            <w:tcW w:w="1997" w:type="dxa"/>
            <w:tcBorders>
              <w:top w:val="single" w:color="auto" w:sz="6" w:space="0"/>
              <w:left w:val="single" w:color="auto" w:sz="6" w:space="0"/>
              <w:bottom w:val="single" w:color="auto" w:sz="6" w:space="0"/>
              <w:right w:val="single" w:color="auto" w:sz="4" w:space="0"/>
            </w:tcBorders>
            <w:vAlign w:val="center"/>
          </w:tcPr>
          <w:p w14:paraId="7CDC1088">
            <w:pPr>
              <w:wordWrap w:val="0"/>
              <w:topLinePunct/>
              <w:spacing w:line="276" w:lineRule="auto"/>
              <w:jc w:val="center"/>
              <w:rPr>
                <w:rFonts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评标专家（签名）</w:t>
            </w:r>
          </w:p>
        </w:tc>
        <w:tc>
          <w:tcPr>
            <w:tcW w:w="7356" w:type="dxa"/>
            <w:gridSpan w:val="2"/>
            <w:tcBorders>
              <w:top w:val="single" w:color="auto" w:sz="6" w:space="0"/>
              <w:left w:val="single" w:color="auto" w:sz="4" w:space="0"/>
              <w:bottom w:val="single" w:color="auto" w:sz="6" w:space="0"/>
              <w:right w:val="single" w:color="auto" w:sz="6" w:space="0"/>
            </w:tcBorders>
            <w:vAlign w:val="center"/>
          </w:tcPr>
          <w:p w14:paraId="21732792">
            <w:pPr>
              <w:wordWrap w:val="0"/>
              <w:topLinePunct/>
              <w:spacing w:line="276" w:lineRule="auto"/>
              <w:jc w:val="center"/>
              <w:rPr>
                <w:rFonts w:ascii="宋体" w:hAnsi="宋体" w:eastAsia="宋体" w:cs="宋体"/>
                <w:b/>
                <w:color w:val="auto"/>
                <w:szCs w:val="21"/>
                <w:highlight w:val="none"/>
              </w:rPr>
            </w:pPr>
          </w:p>
        </w:tc>
      </w:tr>
      <w:tr w14:paraId="22E4AF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44" w:type="dxa"/>
            <w:vAlign w:val="center"/>
          </w:tcPr>
          <w:p w14:paraId="7B721EE0">
            <w:pPr>
              <w:wordWrap w:val="0"/>
              <w:topLinePunct/>
              <w:spacing w:line="276"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lang w:val="zh-CN"/>
              </w:rPr>
              <w:t>序号</w:t>
            </w:r>
          </w:p>
        </w:tc>
        <w:tc>
          <w:tcPr>
            <w:tcW w:w="1025" w:type="dxa"/>
            <w:vAlign w:val="center"/>
          </w:tcPr>
          <w:p w14:paraId="6417825D">
            <w:pPr>
              <w:wordWrap w:val="0"/>
              <w:topLinePunct/>
              <w:spacing w:line="276"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lang w:val="zh-CN"/>
              </w:rPr>
              <w:t>项</w:t>
            </w:r>
            <w:r>
              <w:rPr>
                <w:rFonts w:hint="eastAsia" w:ascii="宋体" w:hAnsi="宋体" w:eastAsia="宋体" w:cs="宋体"/>
                <w:b/>
                <w:color w:val="auto"/>
                <w:szCs w:val="21"/>
                <w:highlight w:val="none"/>
              </w:rPr>
              <w:t xml:space="preserve">   </w:t>
            </w:r>
            <w:r>
              <w:rPr>
                <w:rFonts w:hint="eastAsia" w:ascii="宋体" w:hAnsi="宋体" w:eastAsia="宋体" w:cs="宋体"/>
                <w:b/>
                <w:color w:val="auto"/>
                <w:szCs w:val="21"/>
                <w:highlight w:val="none"/>
                <w:lang w:val="zh-CN"/>
              </w:rPr>
              <w:t>目</w:t>
            </w:r>
          </w:p>
        </w:tc>
        <w:tc>
          <w:tcPr>
            <w:tcW w:w="812" w:type="dxa"/>
            <w:vAlign w:val="center"/>
          </w:tcPr>
          <w:p w14:paraId="74F127E3">
            <w:pPr>
              <w:wordWrap w:val="0"/>
              <w:topLinePunct/>
              <w:spacing w:line="276"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lang w:val="zh-CN"/>
              </w:rPr>
              <w:t>分值分配</w:t>
            </w:r>
          </w:p>
        </w:tc>
        <w:tc>
          <w:tcPr>
            <w:tcW w:w="11019" w:type="dxa"/>
            <w:gridSpan w:val="3"/>
            <w:vAlign w:val="center"/>
          </w:tcPr>
          <w:p w14:paraId="62942434">
            <w:pPr>
              <w:wordWrap w:val="0"/>
              <w:topLinePunct/>
              <w:spacing w:line="276"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lang w:val="zh-CN"/>
              </w:rPr>
              <w:t>内</w:t>
            </w:r>
            <w:r>
              <w:rPr>
                <w:rFonts w:hint="eastAsia" w:ascii="宋体" w:hAnsi="宋体" w:eastAsia="宋体" w:cs="宋体"/>
                <w:b/>
                <w:color w:val="auto"/>
                <w:szCs w:val="21"/>
                <w:highlight w:val="none"/>
              </w:rPr>
              <w:t xml:space="preserve">    </w:t>
            </w:r>
            <w:r>
              <w:rPr>
                <w:rFonts w:hint="eastAsia" w:ascii="宋体" w:hAnsi="宋体" w:eastAsia="宋体" w:cs="宋体"/>
                <w:b/>
                <w:color w:val="auto"/>
                <w:szCs w:val="21"/>
                <w:highlight w:val="none"/>
                <w:lang w:val="zh-CN"/>
              </w:rPr>
              <w:t>容</w:t>
            </w:r>
          </w:p>
        </w:tc>
        <w:tc>
          <w:tcPr>
            <w:tcW w:w="723" w:type="dxa"/>
            <w:vAlign w:val="center"/>
          </w:tcPr>
          <w:p w14:paraId="683DB8BA">
            <w:pPr>
              <w:wordWrap w:val="0"/>
              <w:topLinePunct/>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val="zh-CN"/>
              </w:rPr>
              <w:t>得分</w:t>
            </w:r>
          </w:p>
        </w:tc>
      </w:tr>
      <w:tr w14:paraId="6EBCBA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44" w:type="dxa"/>
            <w:vAlign w:val="center"/>
          </w:tcPr>
          <w:p w14:paraId="3A31A6B3">
            <w:pPr>
              <w:wordWrap w:val="0"/>
              <w:topLinePunct/>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val="zh-CN"/>
              </w:rPr>
              <w:t>一</w:t>
            </w:r>
          </w:p>
        </w:tc>
        <w:tc>
          <w:tcPr>
            <w:tcW w:w="1025" w:type="dxa"/>
            <w:vAlign w:val="center"/>
          </w:tcPr>
          <w:p w14:paraId="1DD4EF41">
            <w:pPr>
              <w:wordWrap w:val="0"/>
              <w:topLinePunct/>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val="zh-CN"/>
              </w:rPr>
              <w:t>投标文件的符合性</w:t>
            </w:r>
          </w:p>
        </w:tc>
        <w:tc>
          <w:tcPr>
            <w:tcW w:w="812" w:type="dxa"/>
            <w:vAlign w:val="center"/>
          </w:tcPr>
          <w:p w14:paraId="0CEB5C5F">
            <w:pPr>
              <w:wordWrap w:val="0"/>
              <w:topLinePunct/>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val="zh-CN"/>
              </w:rPr>
              <w:t>10</w:t>
            </w:r>
          </w:p>
        </w:tc>
        <w:tc>
          <w:tcPr>
            <w:tcW w:w="11019" w:type="dxa"/>
            <w:gridSpan w:val="3"/>
            <w:vAlign w:val="center"/>
          </w:tcPr>
          <w:p w14:paraId="3C434E20">
            <w:pPr>
              <w:topLinePunct/>
              <w:spacing w:line="276" w:lineRule="auto"/>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整个设计内容符合招标文件要求，内容全面，设计总说明书文字表达清楚、思路清晰、重点和难点突出、图纸及文卷质量高。</w:t>
            </w:r>
          </w:p>
          <w:p w14:paraId="7D190281">
            <w:pPr>
              <w:topLinePunct/>
              <w:spacing w:line="276" w:lineRule="auto"/>
              <w:rPr>
                <w:rFonts w:ascii="宋体" w:hAnsi="宋体" w:eastAsia="宋体" w:cs="宋体"/>
                <w:bCs/>
                <w:color w:val="auto"/>
                <w:szCs w:val="21"/>
                <w:highlight w:val="none"/>
              </w:rPr>
            </w:pPr>
            <w:r>
              <w:rPr>
                <w:rFonts w:hint="eastAsia" w:ascii="宋体" w:hAnsi="宋体" w:eastAsia="宋体" w:cs="宋体"/>
                <w:color w:val="auto"/>
                <w:szCs w:val="21"/>
                <w:highlight w:val="none"/>
              </w:rPr>
              <w:t>优得10~9分，良得9~8分，中得8~7分,无得0分。</w:t>
            </w:r>
          </w:p>
        </w:tc>
        <w:tc>
          <w:tcPr>
            <w:tcW w:w="723" w:type="dxa"/>
            <w:vAlign w:val="center"/>
          </w:tcPr>
          <w:p w14:paraId="438209BF">
            <w:pPr>
              <w:wordWrap w:val="0"/>
              <w:topLinePunct/>
              <w:spacing w:line="276" w:lineRule="auto"/>
              <w:jc w:val="center"/>
              <w:rPr>
                <w:rFonts w:ascii="宋体" w:hAnsi="宋体" w:eastAsia="宋体" w:cs="宋体"/>
                <w:color w:val="auto"/>
                <w:szCs w:val="21"/>
                <w:highlight w:val="none"/>
              </w:rPr>
            </w:pPr>
          </w:p>
        </w:tc>
      </w:tr>
      <w:tr w14:paraId="3A7E60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44" w:type="dxa"/>
            <w:vMerge w:val="restart"/>
            <w:vAlign w:val="center"/>
          </w:tcPr>
          <w:p w14:paraId="59398FFC">
            <w:pPr>
              <w:wordWrap w:val="0"/>
              <w:topLinePunct/>
              <w:spacing w:line="276" w:lineRule="auto"/>
              <w:jc w:val="center"/>
              <w:rPr>
                <w:rFonts w:ascii="宋体" w:hAnsi="宋体" w:eastAsia="宋体" w:cs="宋体"/>
                <w:color w:val="auto"/>
                <w:szCs w:val="21"/>
                <w:highlight w:val="none"/>
                <w:lang w:val="zh-CN"/>
              </w:rPr>
            </w:pPr>
            <w:r>
              <w:rPr>
                <w:rFonts w:hint="eastAsia" w:ascii="宋体" w:hAnsi="宋体" w:eastAsia="宋体" w:cs="宋体"/>
                <w:color w:val="auto"/>
                <w:szCs w:val="21"/>
                <w:highlight w:val="none"/>
              </w:rPr>
              <w:t>二</w:t>
            </w:r>
          </w:p>
        </w:tc>
        <w:tc>
          <w:tcPr>
            <w:tcW w:w="1025" w:type="dxa"/>
            <w:vMerge w:val="restart"/>
            <w:vAlign w:val="center"/>
          </w:tcPr>
          <w:p w14:paraId="105590B0">
            <w:pPr>
              <w:wordWrap w:val="0"/>
              <w:topLinePunct/>
              <w:spacing w:line="276" w:lineRule="auto"/>
              <w:jc w:val="center"/>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设计方案及勘察大纲</w:t>
            </w:r>
          </w:p>
        </w:tc>
        <w:tc>
          <w:tcPr>
            <w:tcW w:w="812" w:type="dxa"/>
            <w:vMerge w:val="restart"/>
            <w:vAlign w:val="center"/>
          </w:tcPr>
          <w:p w14:paraId="3D9C771F">
            <w:pPr>
              <w:wordWrap w:val="0"/>
              <w:topLinePunct/>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80</w:t>
            </w:r>
          </w:p>
        </w:tc>
        <w:tc>
          <w:tcPr>
            <w:tcW w:w="11019" w:type="dxa"/>
            <w:gridSpan w:val="3"/>
            <w:vAlign w:val="center"/>
          </w:tcPr>
          <w:p w14:paraId="3692A92B">
            <w:pPr>
              <w:tabs>
                <w:tab w:val="left" w:pos="315"/>
              </w:tabs>
              <w:topLinePunct/>
              <w:spacing w:line="276" w:lineRule="auto"/>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rPr>
              <w:t>设计方案符合我区相关设计指引，</w:t>
            </w:r>
            <w:r>
              <w:rPr>
                <w:rFonts w:hint="eastAsia" w:ascii="宋体" w:hAnsi="宋体" w:eastAsia="宋体" w:cs="宋体"/>
                <w:color w:val="auto"/>
                <w:szCs w:val="21"/>
                <w:highlight w:val="none"/>
                <w:lang w:val="zh-CN"/>
              </w:rPr>
              <w:t>正确理解并执行规划建设意图，与周边路网、管网规划协调一致</w:t>
            </w:r>
            <w:r>
              <w:rPr>
                <w:rFonts w:hint="eastAsia" w:ascii="宋体" w:hAnsi="宋体" w:eastAsia="宋体" w:cs="宋体"/>
                <w:color w:val="auto"/>
                <w:szCs w:val="21"/>
                <w:highlight w:val="none"/>
              </w:rPr>
              <w:t>,与周边既有道路、管线衔接得当</w:t>
            </w:r>
            <w:r>
              <w:rPr>
                <w:rFonts w:hint="eastAsia" w:ascii="宋体" w:hAnsi="宋体" w:eastAsia="宋体" w:cs="宋体"/>
                <w:color w:val="auto"/>
                <w:szCs w:val="21"/>
                <w:highlight w:val="none"/>
                <w:lang w:val="zh-CN"/>
              </w:rPr>
              <w:t>；对区域内路网的交通组织完善合理，总体思路清晰；路线平、纵、横等设计科学合理；道路、</w:t>
            </w:r>
            <w:r>
              <w:rPr>
                <w:rFonts w:hint="eastAsia" w:ascii="宋体" w:hAnsi="宋体" w:eastAsia="宋体" w:cs="宋体"/>
                <w:color w:val="auto"/>
                <w:szCs w:val="21"/>
                <w:highlight w:val="none"/>
              </w:rPr>
              <w:t>桥涵</w:t>
            </w:r>
            <w:r>
              <w:rPr>
                <w:rFonts w:hint="eastAsia" w:ascii="宋体" w:hAnsi="宋体" w:eastAsia="宋体" w:cs="宋体"/>
                <w:color w:val="auto"/>
                <w:szCs w:val="21"/>
                <w:highlight w:val="none"/>
                <w:lang w:val="zh-CN"/>
              </w:rPr>
              <w:t>、排水之间的关系处理得当。</w:t>
            </w:r>
          </w:p>
          <w:p w14:paraId="3370A659">
            <w:pPr>
              <w:topLinePunct/>
              <w:spacing w:line="276" w:lineRule="auto"/>
              <w:rPr>
                <w:rFonts w:ascii="宋体" w:hAnsi="宋体" w:eastAsia="宋体" w:cs="宋体"/>
                <w:bCs/>
                <w:color w:val="auto"/>
                <w:szCs w:val="21"/>
                <w:highlight w:val="none"/>
              </w:rPr>
            </w:pPr>
            <w:r>
              <w:rPr>
                <w:rFonts w:hint="eastAsia" w:ascii="宋体" w:hAnsi="宋体" w:eastAsia="宋体" w:cs="宋体"/>
                <w:color w:val="auto"/>
                <w:szCs w:val="21"/>
                <w:highlight w:val="none"/>
              </w:rPr>
              <w:t>优得10~9分，良得9~8分，中得8~7分,无得0分。</w:t>
            </w:r>
          </w:p>
        </w:tc>
        <w:tc>
          <w:tcPr>
            <w:tcW w:w="723" w:type="dxa"/>
            <w:vAlign w:val="center"/>
          </w:tcPr>
          <w:p w14:paraId="03AA6201">
            <w:pPr>
              <w:wordWrap w:val="0"/>
              <w:topLinePunct/>
              <w:spacing w:line="276" w:lineRule="auto"/>
              <w:jc w:val="center"/>
              <w:rPr>
                <w:rFonts w:ascii="宋体" w:hAnsi="宋体" w:eastAsia="宋体" w:cs="宋体"/>
                <w:color w:val="auto"/>
                <w:szCs w:val="21"/>
                <w:highlight w:val="none"/>
                <w:lang w:val="zh-CN"/>
              </w:rPr>
            </w:pPr>
          </w:p>
        </w:tc>
      </w:tr>
      <w:tr w14:paraId="5C208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44" w:type="dxa"/>
            <w:vMerge w:val="continue"/>
            <w:vAlign w:val="center"/>
          </w:tcPr>
          <w:p w14:paraId="1D409289">
            <w:pPr>
              <w:wordWrap w:val="0"/>
              <w:topLinePunct/>
              <w:spacing w:line="276" w:lineRule="auto"/>
              <w:jc w:val="center"/>
              <w:rPr>
                <w:rFonts w:ascii="宋体" w:hAnsi="宋体" w:eastAsia="宋体" w:cs="宋体"/>
                <w:color w:val="auto"/>
                <w:szCs w:val="21"/>
                <w:highlight w:val="none"/>
                <w:lang w:val="zh-CN"/>
              </w:rPr>
            </w:pPr>
          </w:p>
        </w:tc>
        <w:tc>
          <w:tcPr>
            <w:tcW w:w="1025" w:type="dxa"/>
            <w:vMerge w:val="continue"/>
            <w:textDirection w:val="tbRlV"/>
            <w:vAlign w:val="center"/>
          </w:tcPr>
          <w:p w14:paraId="51424638">
            <w:pPr>
              <w:wordWrap w:val="0"/>
              <w:topLinePunct/>
              <w:spacing w:line="276" w:lineRule="auto"/>
              <w:ind w:left="113" w:right="113"/>
              <w:jc w:val="center"/>
              <w:rPr>
                <w:rFonts w:ascii="宋体" w:hAnsi="宋体" w:eastAsia="宋体" w:cs="宋体"/>
                <w:color w:val="auto"/>
                <w:szCs w:val="21"/>
                <w:highlight w:val="none"/>
                <w:lang w:val="zh-CN"/>
              </w:rPr>
            </w:pPr>
          </w:p>
        </w:tc>
        <w:tc>
          <w:tcPr>
            <w:tcW w:w="812" w:type="dxa"/>
            <w:vMerge w:val="continue"/>
            <w:vAlign w:val="center"/>
          </w:tcPr>
          <w:p w14:paraId="768CB1E0">
            <w:pPr>
              <w:wordWrap w:val="0"/>
              <w:topLinePunct/>
              <w:spacing w:line="276" w:lineRule="auto"/>
              <w:jc w:val="center"/>
              <w:rPr>
                <w:rFonts w:ascii="宋体" w:hAnsi="宋体" w:eastAsia="宋体" w:cs="宋体"/>
                <w:color w:val="auto"/>
                <w:szCs w:val="21"/>
                <w:highlight w:val="none"/>
              </w:rPr>
            </w:pPr>
          </w:p>
        </w:tc>
        <w:tc>
          <w:tcPr>
            <w:tcW w:w="11019" w:type="dxa"/>
            <w:gridSpan w:val="3"/>
            <w:vAlign w:val="center"/>
          </w:tcPr>
          <w:p w14:paraId="0E90CEEC">
            <w:pPr>
              <w:tabs>
                <w:tab w:val="left" w:pos="315"/>
              </w:tabs>
              <w:topLinePunct/>
              <w:spacing w:line="276" w:lineRule="auto"/>
              <w:rPr>
                <w:rFonts w:ascii="宋体" w:hAnsi="宋体" w:eastAsia="宋体" w:cs="宋体"/>
                <w:color w:val="auto"/>
                <w:szCs w:val="21"/>
                <w:highlight w:val="none"/>
                <w:lang w:val="zh-CN"/>
              </w:rPr>
            </w:pPr>
            <w:r>
              <w:rPr>
                <w:rFonts w:hint="eastAsia" w:ascii="宋体" w:hAnsi="宋体" w:eastAsia="宋体" w:cs="宋体"/>
                <w:color w:val="auto"/>
                <w:szCs w:val="21"/>
                <w:highlight w:val="none"/>
              </w:rPr>
              <w:t>2、设计方案思路清晰，方案比选充分。结合片区交通出行需求充分考虑与现状道路的相交节点方案；平、纵、横等设计指标符合规范且标准较高，技术措施优良。</w:t>
            </w:r>
          </w:p>
          <w:p w14:paraId="645EE09D">
            <w:pPr>
              <w:topLinePunct/>
              <w:spacing w:line="276" w:lineRule="auto"/>
              <w:rPr>
                <w:rFonts w:ascii="宋体" w:hAnsi="宋体" w:eastAsia="宋体" w:cs="宋体"/>
                <w:bCs/>
                <w:color w:val="auto"/>
                <w:szCs w:val="21"/>
                <w:highlight w:val="none"/>
              </w:rPr>
            </w:pPr>
            <w:r>
              <w:rPr>
                <w:rFonts w:hint="eastAsia" w:ascii="宋体" w:hAnsi="宋体" w:eastAsia="宋体" w:cs="宋体"/>
                <w:color w:val="auto"/>
                <w:szCs w:val="21"/>
                <w:highlight w:val="none"/>
              </w:rPr>
              <w:t>优得10~9分，良得9~8分，中得8~7分,无得0分。</w:t>
            </w:r>
          </w:p>
        </w:tc>
        <w:tc>
          <w:tcPr>
            <w:tcW w:w="723" w:type="dxa"/>
            <w:vAlign w:val="center"/>
          </w:tcPr>
          <w:p w14:paraId="26DBDFAC">
            <w:pPr>
              <w:wordWrap w:val="0"/>
              <w:topLinePunct/>
              <w:spacing w:line="276" w:lineRule="auto"/>
              <w:jc w:val="center"/>
              <w:rPr>
                <w:rFonts w:ascii="宋体" w:hAnsi="宋体" w:eastAsia="宋体" w:cs="宋体"/>
                <w:color w:val="auto"/>
                <w:szCs w:val="21"/>
                <w:highlight w:val="none"/>
              </w:rPr>
            </w:pPr>
          </w:p>
        </w:tc>
      </w:tr>
      <w:tr w14:paraId="024A4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44" w:type="dxa"/>
            <w:vMerge w:val="continue"/>
            <w:vAlign w:val="center"/>
          </w:tcPr>
          <w:p w14:paraId="67F05DCF">
            <w:pPr>
              <w:wordWrap w:val="0"/>
              <w:topLinePunct/>
              <w:spacing w:line="276" w:lineRule="auto"/>
              <w:jc w:val="center"/>
              <w:rPr>
                <w:rFonts w:ascii="宋体" w:hAnsi="宋体" w:eastAsia="宋体" w:cs="宋体"/>
                <w:color w:val="auto"/>
                <w:szCs w:val="21"/>
                <w:highlight w:val="none"/>
              </w:rPr>
            </w:pPr>
          </w:p>
        </w:tc>
        <w:tc>
          <w:tcPr>
            <w:tcW w:w="1025" w:type="dxa"/>
            <w:vMerge w:val="continue"/>
            <w:textDirection w:val="tbRlV"/>
            <w:vAlign w:val="center"/>
          </w:tcPr>
          <w:p w14:paraId="0B4BC351">
            <w:pPr>
              <w:wordWrap w:val="0"/>
              <w:topLinePunct/>
              <w:spacing w:line="276" w:lineRule="auto"/>
              <w:ind w:left="113" w:right="113"/>
              <w:jc w:val="center"/>
              <w:rPr>
                <w:rFonts w:ascii="宋体" w:hAnsi="宋体" w:eastAsia="宋体" w:cs="宋体"/>
                <w:color w:val="auto"/>
                <w:szCs w:val="21"/>
                <w:highlight w:val="none"/>
              </w:rPr>
            </w:pPr>
          </w:p>
        </w:tc>
        <w:tc>
          <w:tcPr>
            <w:tcW w:w="812" w:type="dxa"/>
            <w:vMerge w:val="continue"/>
            <w:vAlign w:val="center"/>
          </w:tcPr>
          <w:p w14:paraId="7490AA3A">
            <w:pPr>
              <w:wordWrap w:val="0"/>
              <w:topLinePunct/>
              <w:spacing w:line="276" w:lineRule="auto"/>
              <w:jc w:val="center"/>
              <w:rPr>
                <w:rFonts w:ascii="宋体" w:hAnsi="宋体" w:eastAsia="宋体" w:cs="宋体"/>
                <w:color w:val="auto"/>
                <w:szCs w:val="21"/>
                <w:highlight w:val="none"/>
              </w:rPr>
            </w:pPr>
          </w:p>
        </w:tc>
        <w:tc>
          <w:tcPr>
            <w:tcW w:w="11019" w:type="dxa"/>
            <w:gridSpan w:val="3"/>
            <w:vAlign w:val="center"/>
          </w:tcPr>
          <w:p w14:paraId="6CDF6EED">
            <w:pPr>
              <w:wordWrap w:val="0"/>
              <w:topLinePunct/>
              <w:spacing w:line="276" w:lineRule="auto"/>
              <w:rPr>
                <w:rFonts w:ascii="宋体" w:hAnsi="宋体" w:eastAsia="宋体" w:cs="宋体"/>
                <w:color w:val="auto"/>
                <w:szCs w:val="21"/>
                <w:highlight w:val="none"/>
                <w:lang w:val="zh-CN"/>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对拟建道路的周边现状条件调查充分，根据现状地形地质条件、土地利用条件、现状管线分布及征地拆迁等条件，提出经济合理、可实施的总体设计方案。</w:t>
            </w:r>
          </w:p>
          <w:p w14:paraId="52AF5DAD">
            <w:pPr>
              <w:spacing w:line="276" w:lineRule="auto"/>
              <w:rPr>
                <w:rFonts w:ascii="宋体" w:hAnsi="宋体" w:eastAsia="宋体" w:cs="Times New Roman"/>
                <w:color w:val="auto"/>
                <w:szCs w:val="21"/>
                <w:highlight w:val="none"/>
              </w:rPr>
            </w:pPr>
            <w:r>
              <w:rPr>
                <w:rFonts w:hint="eastAsia" w:ascii="宋体" w:hAnsi="宋体" w:eastAsia="宋体" w:cs="宋体"/>
                <w:color w:val="auto"/>
                <w:szCs w:val="21"/>
                <w:highlight w:val="none"/>
              </w:rPr>
              <w:t>优得10~9分，良得9~8分，中得8~7分,无得0分。</w:t>
            </w:r>
          </w:p>
        </w:tc>
        <w:tc>
          <w:tcPr>
            <w:tcW w:w="723" w:type="dxa"/>
            <w:vAlign w:val="center"/>
          </w:tcPr>
          <w:p w14:paraId="2CA99F20">
            <w:pPr>
              <w:wordWrap w:val="0"/>
              <w:topLinePunct/>
              <w:spacing w:line="276" w:lineRule="auto"/>
              <w:jc w:val="center"/>
              <w:rPr>
                <w:rFonts w:ascii="宋体" w:hAnsi="宋体" w:eastAsia="宋体" w:cs="宋体"/>
                <w:color w:val="auto"/>
                <w:szCs w:val="21"/>
                <w:highlight w:val="none"/>
              </w:rPr>
            </w:pPr>
          </w:p>
        </w:tc>
      </w:tr>
      <w:tr w14:paraId="1B1610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44" w:type="dxa"/>
            <w:vMerge w:val="continue"/>
            <w:vAlign w:val="center"/>
          </w:tcPr>
          <w:p w14:paraId="77048389">
            <w:pPr>
              <w:wordWrap w:val="0"/>
              <w:topLinePunct/>
              <w:spacing w:line="276" w:lineRule="auto"/>
              <w:jc w:val="center"/>
              <w:rPr>
                <w:rFonts w:ascii="宋体" w:hAnsi="宋体" w:eastAsia="宋体" w:cs="宋体"/>
                <w:color w:val="auto"/>
                <w:szCs w:val="21"/>
                <w:highlight w:val="none"/>
              </w:rPr>
            </w:pPr>
          </w:p>
        </w:tc>
        <w:tc>
          <w:tcPr>
            <w:tcW w:w="1025" w:type="dxa"/>
            <w:vMerge w:val="continue"/>
            <w:textDirection w:val="tbRlV"/>
            <w:vAlign w:val="center"/>
          </w:tcPr>
          <w:p w14:paraId="033713D0">
            <w:pPr>
              <w:wordWrap w:val="0"/>
              <w:topLinePunct/>
              <w:spacing w:line="276" w:lineRule="auto"/>
              <w:ind w:left="113" w:right="113"/>
              <w:jc w:val="center"/>
              <w:rPr>
                <w:rFonts w:ascii="宋体" w:hAnsi="宋体" w:eastAsia="宋体" w:cs="宋体"/>
                <w:color w:val="auto"/>
                <w:szCs w:val="21"/>
                <w:highlight w:val="none"/>
              </w:rPr>
            </w:pPr>
          </w:p>
        </w:tc>
        <w:tc>
          <w:tcPr>
            <w:tcW w:w="812" w:type="dxa"/>
            <w:vMerge w:val="continue"/>
            <w:vAlign w:val="center"/>
          </w:tcPr>
          <w:p w14:paraId="72FFD279">
            <w:pPr>
              <w:wordWrap w:val="0"/>
              <w:topLinePunct/>
              <w:spacing w:line="276" w:lineRule="auto"/>
              <w:jc w:val="center"/>
              <w:rPr>
                <w:rFonts w:ascii="宋体" w:hAnsi="宋体" w:eastAsia="宋体" w:cs="宋体"/>
                <w:color w:val="auto"/>
                <w:szCs w:val="21"/>
                <w:highlight w:val="none"/>
              </w:rPr>
            </w:pPr>
          </w:p>
        </w:tc>
        <w:tc>
          <w:tcPr>
            <w:tcW w:w="11019" w:type="dxa"/>
            <w:gridSpan w:val="3"/>
            <w:vAlign w:val="center"/>
          </w:tcPr>
          <w:p w14:paraId="5B3A69D6">
            <w:pPr>
              <w:topLinePunct/>
              <w:spacing w:line="276" w:lineRule="auto"/>
              <w:rPr>
                <w:rFonts w:ascii="宋体" w:hAnsi="宋体" w:eastAsia="宋体" w:cs="宋体"/>
                <w:color w:val="auto"/>
                <w:szCs w:val="21"/>
                <w:highlight w:val="none"/>
                <w:lang w:val="zh-CN"/>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zh-CN"/>
              </w:rPr>
              <w:t>、路基路面、不良地基处理、护坡等基础工程的设计安全、合理、经济且能满足工期的要求，采用合理的地基处理方案确保安全；道路新材料运用合理。</w:t>
            </w:r>
          </w:p>
          <w:p w14:paraId="6AFB2DA7">
            <w:pPr>
              <w:topLinePunct/>
              <w:spacing w:line="276" w:lineRule="auto"/>
              <w:rPr>
                <w:rFonts w:ascii="宋体" w:hAnsi="宋体" w:eastAsia="宋体" w:cs="宋体"/>
                <w:bCs/>
                <w:color w:val="auto"/>
                <w:szCs w:val="21"/>
                <w:highlight w:val="none"/>
              </w:rPr>
            </w:pPr>
            <w:r>
              <w:rPr>
                <w:rFonts w:hint="eastAsia" w:ascii="宋体" w:hAnsi="宋体" w:eastAsia="宋体" w:cs="宋体"/>
                <w:color w:val="auto"/>
                <w:szCs w:val="21"/>
                <w:highlight w:val="none"/>
              </w:rPr>
              <w:t>优得10~9分，良得9~8分，中得8~7分,无得0分。</w:t>
            </w:r>
          </w:p>
        </w:tc>
        <w:tc>
          <w:tcPr>
            <w:tcW w:w="723" w:type="dxa"/>
            <w:vAlign w:val="center"/>
          </w:tcPr>
          <w:p w14:paraId="4113439F">
            <w:pPr>
              <w:wordWrap w:val="0"/>
              <w:topLinePunct/>
              <w:spacing w:line="276" w:lineRule="auto"/>
              <w:jc w:val="center"/>
              <w:rPr>
                <w:rFonts w:ascii="宋体" w:hAnsi="宋体" w:eastAsia="宋体" w:cs="宋体"/>
                <w:color w:val="auto"/>
                <w:szCs w:val="21"/>
                <w:highlight w:val="none"/>
              </w:rPr>
            </w:pPr>
          </w:p>
        </w:tc>
      </w:tr>
      <w:tr w14:paraId="3EF627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44" w:type="dxa"/>
            <w:vMerge w:val="continue"/>
            <w:vAlign w:val="center"/>
          </w:tcPr>
          <w:p w14:paraId="388744ED">
            <w:pPr>
              <w:wordWrap w:val="0"/>
              <w:topLinePunct/>
              <w:spacing w:line="276" w:lineRule="auto"/>
              <w:jc w:val="center"/>
              <w:rPr>
                <w:rFonts w:ascii="宋体" w:hAnsi="宋体" w:eastAsia="宋体" w:cs="宋体"/>
                <w:color w:val="auto"/>
                <w:szCs w:val="21"/>
                <w:highlight w:val="none"/>
              </w:rPr>
            </w:pPr>
          </w:p>
        </w:tc>
        <w:tc>
          <w:tcPr>
            <w:tcW w:w="1025" w:type="dxa"/>
            <w:vMerge w:val="continue"/>
            <w:textDirection w:val="tbRlV"/>
            <w:vAlign w:val="center"/>
          </w:tcPr>
          <w:p w14:paraId="386C0A4B">
            <w:pPr>
              <w:wordWrap w:val="0"/>
              <w:topLinePunct/>
              <w:spacing w:line="276" w:lineRule="auto"/>
              <w:ind w:left="113" w:right="113"/>
              <w:jc w:val="center"/>
              <w:rPr>
                <w:rFonts w:ascii="宋体" w:hAnsi="宋体" w:eastAsia="宋体" w:cs="宋体"/>
                <w:color w:val="auto"/>
                <w:szCs w:val="21"/>
                <w:highlight w:val="none"/>
              </w:rPr>
            </w:pPr>
          </w:p>
        </w:tc>
        <w:tc>
          <w:tcPr>
            <w:tcW w:w="812" w:type="dxa"/>
            <w:vMerge w:val="continue"/>
            <w:vAlign w:val="center"/>
          </w:tcPr>
          <w:p w14:paraId="23D3C30D">
            <w:pPr>
              <w:wordWrap w:val="0"/>
              <w:topLinePunct/>
              <w:spacing w:line="276" w:lineRule="auto"/>
              <w:jc w:val="center"/>
              <w:rPr>
                <w:rFonts w:ascii="宋体" w:hAnsi="宋体" w:eastAsia="宋体" w:cs="宋体"/>
                <w:color w:val="auto"/>
                <w:szCs w:val="21"/>
                <w:highlight w:val="none"/>
              </w:rPr>
            </w:pPr>
          </w:p>
        </w:tc>
        <w:tc>
          <w:tcPr>
            <w:tcW w:w="11019" w:type="dxa"/>
            <w:gridSpan w:val="3"/>
            <w:vAlign w:val="center"/>
          </w:tcPr>
          <w:p w14:paraId="0DEEA178">
            <w:pPr>
              <w:topLinePunct/>
              <w:spacing w:line="276" w:lineRule="auto"/>
              <w:rPr>
                <w:rFonts w:ascii="宋体" w:hAnsi="宋体" w:eastAsia="宋体" w:cs="宋体"/>
                <w:color w:val="auto"/>
                <w:szCs w:val="21"/>
                <w:highlight w:val="none"/>
                <w:lang w:val="zh-CN"/>
              </w:rPr>
            </w:pP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val="zh-CN"/>
              </w:rPr>
              <w:t>、道路公用设施（公共交通站点布置、绿化照明、行人设施、道路全要素等）设计科学合理、处理得当、特点鲜明。</w:t>
            </w:r>
          </w:p>
          <w:p w14:paraId="16B5209C">
            <w:pPr>
              <w:topLinePunct/>
              <w:spacing w:line="276" w:lineRule="auto"/>
              <w:rPr>
                <w:rFonts w:ascii="宋体" w:hAnsi="宋体" w:eastAsia="宋体" w:cs="宋体"/>
                <w:bCs/>
                <w:color w:val="auto"/>
                <w:szCs w:val="21"/>
                <w:highlight w:val="none"/>
              </w:rPr>
            </w:pPr>
            <w:r>
              <w:rPr>
                <w:rFonts w:hint="eastAsia" w:ascii="宋体" w:hAnsi="宋体" w:eastAsia="宋体" w:cs="宋体"/>
                <w:color w:val="auto"/>
                <w:szCs w:val="21"/>
                <w:highlight w:val="none"/>
              </w:rPr>
              <w:t>优得5~4分，良得4~3分，一般得3~2分,无得0分。</w:t>
            </w:r>
          </w:p>
        </w:tc>
        <w:tc>
          <w:tcPr>
            <w:tcW w:w="723" w:type="dxa"/>
            <w:vAlign w:val="center"/>
          </w:tcPr>
          <w:p w14:paraId="3DB0B400">
            <w:pPr>
              <w:wordWrap w:val="0"/>
              <w:topLinePunct/>
              <w:spacing w:line="276" w:lineRule="auto"/>
              <w:jc w:val="center"/>
              <w:rPr>
                <w:rFonts w:ascii="宋体" w:hAnsi="宋体" w:eastAsia="宋体" w:cs="宋体"/>
                <w:color w:val="auto"/>
                <w:szCs w:val="21"/>
                <w:highlight w:val="none"/>
              </w:rPr>
            </w:pPr>
          </w:p>
        </w:tc>
      </w:tr>
      <w:tr w14:paraId="5CA854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44" w:type="dxa"/>
            <w:vMerge w:val="continue"/>
            <w:vAlign w:val="center"/>
          </w:tcPr>
          <w:p w14:paraId="045F38EF">
            <w:pPr>
              <w:wordWrap w:val="0"/>
              <w:topLinePunct/>
              <w:spacing w:line="276" w:lineRule="auto"/>
              <w:jc w:val="center"/>
              <w:rPr>
                <w:rFonts w:ascii="宋体" w:hAnsi="宋体" w:eastAsia="宋体" w:cs="宋体"/>
                <w:color w:val="auto"/>
                <w:szCs w:val="21"/>
                <w:highlight w:val="none"/>
              </w:rPr>
            </w:pPr>
          </w:p>
        </w:tc>
        <w:tc>
          <w:tcPr>
            <w:tcW w:w="1025" w:type="dxa"/>
            <w:vMerge w:val="continue"/>
            <w:vAlign w:val="center"/>
          </w:tcPr>
          <w:p w14:paraId="5417CFF0">
            <w:pPr>
              <w:wordWrap w:val="0"/>
              <w:topLinePunct/>
              <w:spacing w:line="276" w:lineRule="auto"/>
              <w:jc w:val="center"/>
              <w:rPr>
                <w:rFonts w:ascii="宋体" w:hAnsi="宋体" w:eastAsia="宋体" w:cs="宋体"/>
                <w:color w:val="auto"/>
                <w:szCs w:val="21"/>
                <w:highlight w:val="none"/>
              </w:rPr>
            </w:pPr>
          </w:p>
        </w:tc>
        <w:tc>
          <w:tcPr>
            <w:tcW w:w="812" w:type="dxa"/>
            <w:vMerge w:val="continue"/>
            <w:vAlign w:val="center"/>
          </w:tcPr>
          <w:p w14:paraId="3090FCFC">
            <w:pPr>
              <w:wordWrap w:val="0"/>
              <w:topLinePunct/>
              <w:spacing w:line="276" w:lineRule="auto"/>
              <w:jc w:val="center"/>
              <w:rPr>
                <w:rFonts w:ascii="宋体" w:hAnsi="宋体" w:eastAsia="宋体" w:cs="宋体"/>
                <w:color w:val="auto"/>
                <w:szCs w:val="21"/>
                <w:highlight w:val="none"/>
              </w:rPr>
            </w:pPr>
          </w:p>
        </w:tc>
        <w:tc>
          <w:tcPr>
            <w:tcW w:w="11019" w:type="dxa"/>
            <w:gridSpan w:val="3"/>
            <w:vAlign w:val="center"/>
          </w:tcPr>
          <w:p w14:paraId="45461E5F">
            <w:pPr>
              <w:topLinePunct/>
              <w:spacing w:line="276" w:lineRule="auto"/>
              <w:ind w:hanging="10"/>
              <w:rPr>
                <w:rFonts w:ascii="宋体" w:hAnsi="宋体" w:eastAsia="宋体" w:cs="宋体"/>
                <w:color w:val="auto"/>
                <w:szCs w:val="21"/>
                <w:highlight w:val="none"/>
              </w:rPr>
            </w:pPr>
            <w:r>
              <w:rPr>
                <w:rFonts w:hint="eastAsia" w:ascii="宋体" w:hAnsi="宋体" w:eastAsia="宋体" w:cs="宋体"/>
                <w:color w:val="auto"/>
                <w:szCs w:val="21"/>
                <w:highlight w:val="none"/>
              </w:rPr>
              <w:t>6、充分考虑已建排水设施及规划水泵，科学经济合理设置桥涵结构，结合现状及规划污水处理需求，综合考虑近远期结合的要求；排水管道系统总体布局充分利用地形，尽量采用自流，尽量避免穿越河道，缩短管线长度，减小主干管管径，充分考虑其可实施性和可操作性。</w:t>
            </w:r>
          </w:p>
          <w:p w14:paraId="2E07FFA6">
            <w:pPr>
              <w:topLinePunct/>
              <w:spacing w:line="276" w:lineRule="auto"/>
              <w:rPr>
                <w:rFonts w:ascii="宋体" w:hAnsi="宋体" w:eastAsia="宋体" w:cs="宋体"/>
                <w:bCs/>
                <w:color w:val="auto"/>
                <w:szCs w:val="21"/>
                <w:highlight w:val="none"/>
              </w:rPr>
            </w:pPr>
            <w:r>
              <w:rPr>
                <w:rFonts w:hint="eastAsia" w:ascii="宋体" w:hAnsi="宋体" w:eastAsia="宋体" w:cs="宋体"/>
                <w:color w:val="auto"/>
                <w:szCs w:val="21"/>
                <w:highlight w:val="none"/>
              </w:rPr>
              <w:t>优得10~9分，良得9~8分，中得8~7分,无得0分。</w:t>
            </w:r>
          </w:p>
        </w:tc>
        <w:tc>
          <w:tcPr>
            <w:tcW w:w="723" w:type="dxa"/>
            <w:vAlign w:val="center"/>
          </w:tcPr>
          <w:p w14:paraId="03E754AE">
            <w:pPr>
              <w:wordWrap w:val="0"/>
              <w:topLinePunct/>
              <w:spacing w:line="276" w:lineRule="auto"/>
              <w:jc w:val="center"/>
              <w:rPr>
                <w:rFonts w:ascii="宋体" w:hAnsi="宋体" w:eastAsia="宋体" w:cs="宋体"/>
                <w:color w:val="auto"/>
                <w:szCs w:val="21"/>
                <w:highlight w:val="none"/>
              </w:rPr>
            </w:pPr>
          </w:p>
        </w:tc>
      </w:tr>
      <w:tr w14:paraId="34FF21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44" w:type="dxa"/>
            <w:vMerge w:val="continue"/>
            <w:vAlign w:val="center"/>
          </w:tcPr>
          <w:p w14:paraId="40C74248">
            <w:pPr>
              <w:wordWrap w:val="0"/>
              <w:topLinePunct/>
              <w:spacing w:line="276" w:lineRule="auto"/>
              <w:jc w:val="center"/>
              <w:rPr>
                <w:rFonts w:ascii="宋体" w:hAnsi="宋体" w:eastAsia="宋体" w:cs="宋体"/>
                <w:color w:val="auto"/>
                <w:szCs w:val="21"/>
                <w:highlight w:val="none"/>
              </w:rPr>
            </w:pPr>
          </w:p>
        </w:tc>
        <w:tc>
          <w:tcPr>
            <w:tcW w:w="1025" w:type="dxa"/>
            <w:vMerge w:val="continue"/>
            <w:vAlign w:val="center"/>
          </w:tcPr>
          <w:p w14:paraId="37468E69">
            <w:pPr>
              <w:wordWrap w:val="0"/>
              <w:topLinePunct/>
              <w:spacing w:line="276" w:lineRule="auto"/>
              <w:jc w:val="center"/>
              <w:rPr>
                <w:rFonts w:ascii="宋体" w:hAnsi="宋体" w:eastAsia="宋体" w:cs="宋体"/>
                <w:color w:val="auto"/>
                <w:szCs w:val="21"/>
                <w:highlight w:val="none"/>
              </w:rPr>
            </w:pPr>
          </w:p>
        </w:tc>
        <w:tc>
          <w:tcPr>
            <w:tcW w:w="812" w:type="dxa"/>
            <w:vMerge w:val="continue"/>
            <w:vAlign w:val="center"/>
          </w:tcPr>
          <w:p w14:paraId="28D22C36">
            <w:pPr>
              <w:wordWrap w:val="0"/>
              <w:topLinePunct/>
              <w:spacing w:line="276" w:lineRule="auto"/>
              <w:jc w:val="center"/>
              <w:rPr>
                <w:rFonts w:ascii="宋体" w:hAnsi="宋体" w:eastAsia="宋体" w:cs="宋体"/>
                <w:color w:val="auto"/>
                <w:szCs w:val="21"/>
                <w:highlight w:val="none"/>
              </w:rPr>
            </w:pPr>
          </w:p>
        </w:tc>
        <w:tc>
          <w:tcPr>
            <w:tcW w:w="11019" w:type="dxa"/>
            <w:gridSpan w:val="3"/>
            <w:vAlign w:val="center"/>
          </w:tcPr>
          <w:p w14:paraId="21F6D3D5">
            <w:pPr>
              <w:topLinePunct/>
              <w:spacing w:line="276" w:lineRule="auto"/>
              <w:rPr>
                <w:rFonts w:ascii="宋体" w:hAnsi="宋体" w:eastAsia="宋体" w:cs="宋体"/>
                <w:color w:val="auto"/>
                <w:szCs w:val="21"/>
                <w:highlight w:val="none"/>
                <w:lang w:val="zh-CN"/>
              </w:rPr>
            </w:pPr>
            <w:r>
              <w:rPr>
                <w:rFonts w:hint="eastAsia" w:ascii="宋体" w:hAnsi="宋体" w:eastAsia="宋体" w:cs="宋体"/>
                <w:color w:val="auto"/>
                <w:szCs w:val="21"/>
                <w:highlight w:val="none"/>
              </w:rPr>
              <w:t>7、</w:t>
            </w:r>
            <w:r>
              <w:rPr>
                <w:rFonts w:hint="eastAsia" w:ascii="宋体" w:hAnsi="宋体" w:eastAsia="宋体" w:cs="宋体"/>
                <w:color w:val="auto"/>
                <w:szCs w:val="21"/>
                <w:highlight w:val="none"/>
                <w:lang w:val="zh-CN"/>
              </w:rPr>
              <w:t>综合管线的布置形式系统、合理、经济、实用；管理模式先进合理；能充分考虑与市政道路的衔接与协调。</w:t>
            </w:r>
          </w:p>
          <w:p w14:paraId="15295F68">
            <w:pPr>
              <w:topLinePunct/>
              <w:spacing w:line="276" w:lineRule="auto"/>
              <w:rPr>
                <w:rFonts w:ascii="宋体" w:hAnsi="宋体" w:eastAsia="宋体" w:cs="宋体"/>
                <w:bCs/>
                <w:color w:val="auto"/>
                <w:szCs w:val="21"/>
                <w:highlight w:val="none"/>
              </w:rPr>
            </w:pPr>
            <w:r>
              <w:rPr>
                <w:rFonts w:hint="eastAsia" w:ascii="宋体" w:hAnsi="宋体" w:eastAsia="宋体" w:cs="宋体"/>
                <w:color w:val="auto"/>
                <w:szCs w:val="21"/>
                <w:highlight w:val="none"/>
              </w:rPr>
              <w:t>优得5~4分，良得4~3分，一般得3~2分,无得0分。</w:t>
            </w:r>
          </w:p>
        </w:tc>
        <w:tc>
          <w:tcPr>
            <w:tcW w:w="723" w:type="dxa"/>
            <w:vAlign w:val="center"/>
          </w:tcPr>
          <w:p w14:paraId="6F3DE821">
            <w:pPr>
              <w:wordWrap w:val="0"/>
              <w:topLinePunct/>
              <w:spacing w:line="276" w:lineRule="auto"/>
              <w:jc w:val="center"/>
              <w:rPr>
                <w:rFonts w:ascii="宋体" w:hAnsi="宋体" w:eastAsia="宋体" w:cs="宋体"/>
                <w:color w:val="auto"/>
                <w:szCs w:val="21"/>
                <w:highlight w:val="none"/>
              </w:rPr>
            </w:pPr>
          </w:p>
        </w:tc>
      </w:tr>
      <w:tr w14:paraId="665957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44" w:type="dxa"/>
            <w:vMerge w:val="continue"/>
            <w:vAlign w:val="center"/>
          </w:tcPr>
          <w:p w14:paraId="3AB6862C">
            <w:pPr>
              <w:wordWrap w:val="0"/>
              <w:topLinePunct/>
              <w:spacing w:line="276" w:lineRule="auto"/>
              <w:jc w:val="center"/>
              <w:rPr>
                <w:rFonts w:ascii="宋体" w:hAnsi="宋体" w:eastAsia="宋体" w:cs="宋体"/>
                <w:color w:val="auto"/>
                <w:szCs w:val="21"/>
                <w:highlight w:val="none"/>
              </w:rPr>
            </w:pPr>
          </w:p>
        </w:tc>
        <w:tc>
          <w:tcPr>
            <w:tcW w:w="1025" w:type="dxa"/>
            <w:vMerge w:val="continue"/>
            <w:vAlign w:val="center"/>
          </w:tcPr>
          <w:p w14:paraId="07461410">
            <w:pPr>
              <w:wordWrap w:val="0"/>
              <w:topLinePunct/>
              <w:spacing w:line="276" w:lineRule="auto"/>
              <w:jc w:val="center"/>
              <w:rPr>
                <w:rFonts w:ascii="宋体" w:hAnsi="宋体" w:eastAsia="宋体" w:cs="宋体"/>
                <w:color w:val="auto"/>
                <w:szCs w:val="21"/>
                <w:highlight w:val="none"/>
              </w:rPr>
            </w:pPr>
          </w:p>
        </w:tc>
        <w:tc>
          <w:tcPr>
            <w:tcW w:w="812" w:type="dxa"/>
            <w:vMerge w:val="continue"/>
            <w:vAlign w:val="center"/>
          </w:tcPr>
          <w:p w14:paraId="267C67A1">
            <w:pPr>
              <w:wordWrap w:val="0"/>
              <w:topLinePunct/>
              <w:spacing w:line="276" w:lineRule="auto"/>
              <w:jc w:val="center"/>
              <w:rPr>
                <w:rFonts w:ascii="宋体" w:hAnsi="宋体" w:eastAsia="宋体" w:cs="宋体"/>
                <w:color w:val="auto"/>
                <w:szCs w:val="21"/>
                <w:highlight w:val="none"/>
              </w:rPr>
            </w:pPr>
          </w:p>
        </w:tc>
        <w:tc>
          <w:tcPr>
            <w:tcW w:w="11019" w:type="dxa"/>
            <w:gridSpan w:val="3"/>
            <w:vAlign w:val="center"/>
          </w:tcPr>
          <w:p w14:paraId="0DA05FB6">
            <w:pPr>
              <w:topLinePunct/>
              <w:spacing w:line="276" w:lineRule="auto"/>
              <w:rPr>
                <w:rFonts w:ascii="宋体" w:hAnsi="宋体" w:eastAsia="宋体" w:cs="宋体"/>
                <w:color w:val="auto"/>
                <w:szCs w:val="21"/>
                <w:highlight w:val="none"/>
                <w:lang w:val="zh-CN"/>
              </w:rPr>
            </w:pPr>
            <w:r>
              <w:rPr>
                <w:rFonts w:hint="eastAsia" w:ascii="宋体" w:hAnsi="宋体" w:eastAsia="宋体" w:cs="宋体"/>
                <w:color w:val="auto"/>
                <w:szCs w:val="21"/>
                <w:highlight w:val="none"/>
              </w:rPr>
              <w:t>8</w:t>
            </w:r>
            <w:r>
              <w:rPr>
                <w:rFonts w:hint="eastAsia" w:ascii="宋体" w:hAnsi="宋体" w:eastAsia="宋体" w:cs="宋体"/>
                <w:color w:val="auto"/>
                <w:szCs w:val="21"/>
                <w:highlight w:val="none"/>
                <w:lang w:val="zh-CN"/>
              </w:rPr>
              <w:t>、施工期间交通组织、施工实施方案切合实际。</w:t>
            </w:r>
          </w:p>
          <w:p w14:paraId="5C8482E3">
            <w:pPr>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优得5~4分，良得4~3分，一般得3~2分,无得0分。</w:t>
            </w:r>
          </w:p>
        </w:tc>
        <w:tc>
          <w:tcPr>
            <w:tcW w:w="723" w:type="dxa"/>
            <w:vAlign w:val="center"/>
          </w:tcPr>
          <w:p w14:paraId="629E1A07">
            <w:pPr>
              <w:wordWrap w:val="0"/>
              <w:topLinePunct/>
              <w:spacing w:line="276" w:lineRule="auto"/>
              <w:jc w:val="center"/>
              <w:rPr>
                <w:rFonts w:ascii="宋体" w:hAnsi="宋体" w:eastAsia="宋体" w:cs="宋体"/>
                <w:color w:val="auto"/>
                <w:szCs w:val="21"/>
                <w:highlight w:val="none"/>
              </w:rPr>
            </w:pPr>
          </w:p>
        </w:tc>
      </w:tr>
      <w:tr w14:paraId="6D708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44" w:type="dxa"/>
            <w:vMerge w:val="continue"/>
            <w:vAlign w:val="center"/>
          </w:tcPr>
          <w:p w14:paraId="0C6CBB9B">
            <w:pPr>
              <w:wordWrap w:val="0"/>
              <w:topLinePunct/>
              <w:spacing w:line="276" w:lineRule="auto"/>
              <w:jc w:val="center"/>
              <w:rPr>
                <w:rFonts w:ascii="宋体" w:hAnsi="宋体" w:eastAsia="宋体" w:cs="宋体"/>
                <w:color w:val="auto"/>
                <w:szCs w:val="21"/>
                <w:highlight w:val="none"/>
              </w:rPr>
            </w:pPr>
          </w:p>
        </w:tc>
        <w:tc>
          <w:tcPr>
            <w:tcW w:w="1025" w:type="dxa"/>
            <w:vMerge w:val="continue"/>
            <w:vAlign w:val="center"/>
          </w:tcPr>
          <w:p w14:paraId="4265D9CA">
            <w:pPr>
              <w:wordWrap w:val="0"/>
              <w:topLinePunct/>
              <w:spacing w:line="276" w:lineRule="auto"/>
              <w:jc w:val="center"/>
              <w:rPr>
                <w:rFonts w:ascii="宋体" w:hAnsi="宋体" w:eastAsia="宋体" w:cs="宋体"/>
                <w:color w:val="auto"/>
                <w:szCs w:val="21"/>
                <w:highlight w:val="none"/>
              </w:rPr>
            </w:pPr>
          </w:p>
        </w:tc>
        <w:tc>
          <w:tcPr>
            <w:tcW w:w="812" w:type="dxa"/>
            <w:vMerge w:val="continue"/>
            <w:vAlign w:val="center"/>
          </w:tcPr>
          <w:p w14:paraId="5860E1DD">
            <w:pPr>
              <w:wordWrap w:val="0"/>
              <w:topLinePunct/>
              <w:spacing w:line="276" w:lineRule="auto"/>
              <w:jc w:val="center"/>
              <w:rPr>
                <w:rFonts w:ascii="宋体" w:hAnsi="宋体" w:eastAsia="宋体" w:cs="宋体"/>
                <w:color w:val="auto"/>
                <w:szCs w:val="21"/>
                <w:highlight w:val="none"/>
              </w:rPr>
            </w:pPr>
          </w:p>
        </w:tc>
        <w:tc>
          <w:tcPr>
            <w:tcW w:w="11019" w:type="dxa"/>
            <w:gridSpan w:val="3"/>
            <w:vAlign w:val="center"/>
          </w:tcPr>
          <w:p w14:paraId="17C5C011">
            <w:pPr>
              <w:topLinePunct/>
              <w:spacing w:line="276" w:lineRule="auto"/>
              <w:rPr>
                <w:rFonts w:ascii="宋体" w:hAnsi="宋体" w:eastAsia="宋体" w:cs="宋体"/>
                <w:color w:val="auto"/>
                <w:szCs w:val="21"/>
                <w:highlight w:val="none"/>
                <w:lang w:val="zh-CN"/>
              </w:rPr>
            </w:pP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zh-CN"/>
              </w:rPr>
              <w:t>、工程建设和使用的重点、难点分析透彻，解决措施合理。</w:t>
            </w:r>
          </w:p>
          <w:p w14:paraId="18660B6B">
            <w:pPr>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优得10~9分，良得9~8分，中得8~7分,无得0分。</w:t>
            </w:r>
          </w:p>
        </w:tc>
        <w:tc>
          <w:tcPr>
            <w:tcW w:w="723" w:type="dxa"/>
            <w:vAlign w:val="center"/>
          </w:tcPr>
          <w:p w14:paraId="1DD0C70A">
            <w:pPr>
              <w:wordWrap w:val="0"/>
              <w:topLinePunct/>
              <w:spacing w:line="276" w:lineRule="auto"/>
              <w:jc w:val="center"/>
              <w:rPr>
                <w:rFonts w:ascii="宋体" w:hAnsi="宋体" w:eastAsia="宋体" w:cs="宋体"/>
                <w:color w:val="auto"/>
                <w:szCs w:val="21"/>
                <w:highlight w:val="none"/>
              </w:rPr>
            </w:pPr>
          </w:p>
        </w:tc>
      </w:tr>
      <w:tr w14:paraId="449D64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44" w:type="dxa"/>
            <w:vMerge w:val="continue"/>
            <w:vAlign w:val="center"/>
          </w:tcPr>
          <w:p w14:paraId="1057E1B3">
            <w:pPr>
              <w:wordWrap w:val="0"/>
              <w:topLinePunct/>
              <w:spacing w:line="276" w:lineRule="auto"/>
              <w:rPr>
                <w:rFonts w:ascii="宋体" w:hAnsi="宋体" w:eastAsia="宋体" w:cs="Times New Roman"/>
                <w:color w:val="auto"/>
                <w:szCs w:val="21"/>
                <w:highlight w:val="none"/>
              </w:rPr>
            </w:pPr>
          </w:p>
        </w:tc>
        <w:tc>
          <w:tcPr>
            <w:tcW w:w="1025" w:type="dxa"/>
            <w:vMerge w:val="continue"/>
            <w:vAlign w:val="center"/>
          </w:tcPr>
          <w:p w14:paraId="167A4C0C">
            <w:pPr>
              <w:wordWrap w:val="0"/>
              <w:topLinePunct/>
              <w:spacing w:line="276" w:lineRule="auto"/>
              <w:rPr>
                <w:rFonts w:ascii="宋体" w:hAnsi="宋体" w:eastAsia="宋体" w:cs="Times New Roman"/>
                <w:color w:val="auto"/>
                <w:szCs w:val="21"/>
                <w:highlight w:val="none"/>
              </w:rPr>
            </w:pPr>
          </w:p>
        </w:tc>
        <w:tc>
          <w:tcPr>
            <w:tcW w:w="812" w:type="dxa"/>
            <w:vMerge w:val="continue"/>
            <w:vAlign w:val="center"/>
          </w:tcPr>
          <w:p w14:paraId="6CC42ECA">
            <w:pPr>
              <w:wordWrap w:val="0"/>
              <w:topLinePunct/>
              <w:spacing w:line="276" w:lineRule="auto"/>
              <w:rPr>
                <w:rFonts w:ascii="宋体" w:hAnsi="宋体" w:eastAsia="宋体" w:cs="Times New Roman"/>
                <w:color w:val="auto"/>
                <w:szCs w:val="21"/>
                <w:highlight w:val="none"/>
              </w:rPr>
            </w:pPr>
          </w:p>
        </w:tc>
        <w:tc>
          <w:tcPr>
            <w:tcW w:w="11019" w:type="dxa"/>
            <w:gridSpan w:val="3"/>
            <w:vAlign w:val="center"/>
          </w:tcPr>
          <w:p w14:paraId="3D43F1B2">
            <w:pPr>
              <w:topLinePunct/>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10、勘察方案合理可行，勘察的重点、难点理解准确，建议合理可行；勘察工作流程规范，工期进度计划合理可行。</w:t>
            </w:r>
          </w:p>
          <w:p w14:paraId="729C0C4F">
            <w:pPr>
              <w:spacing w:line="276" w:lineRule="auto"/>
              <w:rPr>
                <w:rFonts w:ascii="宋体" w:hAnsi="宋体" w:eastAsia="宋体" w:cs="宋体"/>
                <w:bCs/>
                <w:color w:val="auto"/>
                <w:szCs w:val="21"/>
                <w:highlight w:val="none"/>
              </w:rPr>
            </w:pPr>
            <w:r>
              <w:rPr>
                <w:rFonts w:hint="eastAsia" w:ascii="宋体" w:hAnsi="宋体" w:eastAsia="宋体" w:cs="宋体"/>
                <w:color w:val="auto"/>
                <w:szCs w:val="21"/>
                <w:highlight w:val="none"/>
              </w:rPr>
              <w:t>优得5~4分，良得4~3分，一般得3~2分,无得0分。</w:t>
            </w:r>
          </w:p>
        </w:tc>
        <w:tc>
          <w:tcPr>
            <w:tcW w:w="723" w:type="dxa"/>
            <w:vAlign w:val="center"/>
          </w:tcPr>
          <w:p w14:paraId="679119F3">
            <w:pPr>
              <w:wordWrap w:val="0"/>
              <w:topLinePunct/>
              <w:spacing w:line="276" w:lineRule="auto"/>
              <w:rPr>
                <w:rFonts w:ascii="宋体" w:hAnsi="宋体" w:eastAsia="宋体" w:cs="宋体"/>
                <w:color w:val="auto"/>
                <w:szCs w:val="21"/>
                <w:highlight w:val="none"/>
              </w:rPr>
            </w:pPr>
          </w:p>
        </w:tc>
      </w:tr>
      <w:tr w14:paraId="122C9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44" w:type="dxa"/>
            <w:vAlign w:val="center"/>
          </w:tcPr>
          <w:p w14:paraId="65311165">
            <w:pPr>
              <w:wordWrap w:val="0"/>
              <w:topLinePunct/>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三</w:t>
            </w:r>
          </w:p>
        </w:tc>
        <w:tc>
          <w:tcPr>
            <w:tcW w:w="1025" w:type="dxa"/>
            <w:vAlign w:val="center"/>
          </w:tcPr>
          <w:p w14:paraId="26753260">
            <w:pPr>
              <w:wordWrap w:val="0"/>
              <w:topLinePunct/>
              <w:adjustRightInd w:val="0"/>
              <w:spacing w:line="276" w:lineRule="auto"/>
              <w:jc w:val="center"/>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服务及措施</w:t>
            </w:r>
          </w:p>
        </w:tc>
        <w:tc>
          <w:tcPr>
            <w:tcW w:w="812" w:type="dxa"/>
            <w:vAlign w:val="center"/>
          </w:tcPr>
          <w:p w14:paraId="791A48D1">
            <w:pPr>
              <w:wordWrap w:val="0"/>
              <w:topLinePunct/>
              <w:adjustRightInd w:val="0"/>
              <w:spacing w:line="276" w:lineRule="auto"/>
              <w:jc w:val="center"/>
              <w:rPr>
                <w:rFonts w:ascii="宋体" w:hAnsi="宋体" w:eastAsia="宋体" w:cs="宋体"/>
                <w:color w:val="auto"/>
                <w:szCs w:val="21"/>
                <w:highlight w:val="none"/>
                <w:lang w:val="zh-CN"/>
              </w:rPr>
            </w:pPr>
            <w:r>
              <w:rPr>
                <w:rFonts w:hint="eastAsia" w:ascii="宋体" w:hAnsi="宋体" w:eastAsia="宋体" w:cs="宋体"/>
                <w:color w:val="auto"/>
                <w:szCs w:val="21"/>
                <w:highlight w:val="none"/>
              </w:rPr>
              <w:t>10</w:t>
            </w:r>
          </w:p>
        </w:tc>
        <w:tc>
          <w:tcPr>
            <w:tcW w:w="11019" w:type="dxa"/>
            <w:gridSpan w:val="3"/>
            <w:vAlign w:val="center"/>
          </w:tcPr>
          <w:p w14:paraId="00685FC2">
            <w:pPr>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有针对本项目所制定的设计进度安排、质量保证措施、协助业主确保工程质量、控制工程规模、降低工程造价、减少设计变更等措施。</w:t>
            </w:r>
          </w:p>
          <w:p w14:paraId="3F2E4342">
            <w:pPr>
              <w:spacing w:line="276" w:lineRule="auto"/>
              <w:rPr>
                <w:rFonts w:ascii="宋体" w:hAnsi="宋体" w:eastAsia="宋体" w:cs="宋体"/>
                <w:color w:val="auto"/>
                <w:szCs w:val="21"/>
                <w:highlight w:val="none"/>
              </w:rPr>
            </w:pPr>
            <w:r>
              <w:rPr>
                <w:rFonts w:hint="eastAsia" w:ascii="宋体" w:hAnsi="宋体" w:eastAsia="宋体" w:cs="宋体"/>
                <w:color w:val="auto"/>
                <w:szCs w:val="21"/>
                <w:highlight w:val="none"/>
              </w:rPr>
              <w:t>优得10~9分，良得9~8分，中得8~7分,无得0分。</w:t>
            </w:r>
          </w:p>
        </w:tc>
        <w:tc>
          <w:tcPr>
            <w:tcW w:w="723" w:type="dxa"/>
            <w:vAlign w:val="center"/>
          </w:tcPr>
          <w:p w14:paraId="6CD71424">
            <w:pPr>
              <w:wordWrap w:val="0"/>
              <w:topLinePunct/>
              <w:spacing w:line="276" w:lineRule="auto"/>
              <w:rPr>
                <w:rFonts w:ascii="宋体" w:hAnsi="宋体" w:eastAsia="宋体" w:cs="宋体"/>
                <w:color w:val="auto"/>
                <w:szCs w:val="21"/>
                <w:highlight w:val="none"/>
              </w:rPr>
            </w:pPr>
          </w:p>
        </w:tc>
      </w:tr>
      <w:tr w14:paraId="69EB24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69" w:type="dxa"/>
            <w:gridSpan w:val="2"/>
            <w:vAlign w:val="center"/>
          </w:tcPr>
          <w:p w14:paraId="53AF6033">
            <w:pPr>
              <w:wordWrap w:val="0"/>
              <w:topLinePunct/>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val="zh-CN"/>
              </w:rPr>
              <w:t>总计</w:t>
            </w:r>
          </w:p>
        </w:tc>
        <w:tc>
          <w:tcPr>
            <w:tcW w:w="812" w:type="dxa"/>
            <w:vAlign w:val="center"/>
          </w:tcPr>
          <w:p w14:paraId="0A0A64BD">
            <w:pPr>
              <w:wordWrap w:val="0"/>
              <w:topLinePunct/>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11019" w:type="dxa"/>
            <w:gridSpan w:val="3"/>
            <w:vAlign w:val="center"/>
          </w:tcPr>
          <w:p w14:paraId="4BC762D4">
            <w:pPr>
              <w:wordWrap w:val="0"/>
              <w:topLinePunct/>
              <w:spacing w:line="276" w:lineRule="auto"/>
              <w:jc w:val="center"/>
              <w:rPr>
                <w:rFonts w:ascii="宋体" w:hAnsi="宋体" w:eastAsia="宋体" w:cs="宋体"/>
                <w:color w:val="auto"/>
                <w:szCs w:val="21"/>
                <w:highlight w:val="none"/>
              </w:rPr>
            </w:pPr>
          </w:p>
        </w:tc>
        <w:tc>
          <w:tcPr>
            <w:tcW w:w="723" w:type="dxa"/>
            <w:vAlign w:val="center"/>
          </w:tcPr>
          <w:p w14:paraId="3B273363">
            <w:pPr>
              <w:wordWrap w:val="0"/>
              <w:topLinePunct/>
              <w:spacing w:line="276"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100</w:t>
            </w:r>
          </w:p>
        </w:tc>
      </w:tr>
    </w:tbl>
    <w:p w14:paraId="7CEAADCD">
      <w:pPr>
        <w:rPr>
          <w:rFonts w:ascii="宋体" w:hAnsi="宋体" w:eastAsia="宋体" w:cs="Times New Roman"/>
          <w:color w:val="auto"/>
          <w:szCs w:val="24"/>
          <w:highlight w:val="none"/>
        </w:rPr>
      </w:pPr>
      <w:r>
        <w:rPr>
          <w:rFonts w:hint="eastAsia" w:ascii="宋体" w:hAnsi="宋体" w:eastAsia="宋体" w:cs="Times New Roman"/>
          <w:b/>
          <w:bCs/>
          <w:color w:val="auto"/>
          <w:szCs w:val="24"/>
          <w:highlight w:val="none"/>
        </w:rPr>
        <w:t>备注：分值范围的解释，评标委员会对技术标详细审查评分时，允许以0.5分的倍数进行评分（如1.0、1.5、2.0、2.5等，以此类推）。</w:t>
      </w:r>
    </w:p>
    <w:p w14:paraId="521A9113">
      <w:pPr>
        <w:widowControl/>
        <w:wordWrap w:val="0"/>
        <w:jc w:val="left"/>
        <w:rPr>
          <w:rFonts w:ascii="宋体" w:hAnsi="宋体" w:eastAsia="宋体" w:cs="宋体"/>
          <w:color w:val="auto"/>
          <w:szCs w:val="24"/>
          <w:highlight w:val="none"/>
        </w:rPr>
      </w:pPr>
    </w:p>
    <w:p w14:paraId="70B0765F">
      <w:pPr>
        <w:widowControl/>
        <w:jc w:val="left"/>
        <w:rPr>
          <w:rFonts w:ascii="宋体" w:hAnsi="宋体" w:eastAsia="宋体" w:cs="宋体"/>
          <w:color w:val="auto"/>
          <w:szCs w:val="24"/>
          <w:highlight w:val="none"/>
        </w:rPr>
        <w:sectPr>
          <w:pgSz w:w="16838" w:h="11905" w:orient="landscape"/>
          <w:pgMar w:top="1701" w:right="1474" w:bottom="1701" w:left="1474" w:header="720" w:footer="720" w:gutter="0"/>
          <w:cols w:space="720" w:num="1"/>
        </w:sectPr>
      </w:pPr>
    </w:p>
    <w:p w14:paraId="09203774">
      <w:pPr>
        <w:wordWrap w:val="0"/>
        <w:autoSpaceDE w:val="0"/>
        <w:autoSpaceDN w:val="0"/>
        <w:spacing w:line="276" w:lineRule="auto"/>
        <w:jc w:val="left"/>
        <w:outlineLvl w:val="3"/>
        <w:rPr>
          <w:rFonts w:ascii="宋体" w:hAnsi="宋体" w:eastAsia="宋体" w:cs="宋体"/>
          <w:color w:val="auto"/>
          <w:kern w:val="0"/>
          <w:sz w:val="28"/>
          <w:szCs w:val="28"/>
          <w:highlight w:val="none"/>
          <w:lang w:val="zh-CN"/>
        </w:rPr>
      </w:pPr>
      <w:r>
        <w:rPr>
          <w:rFonts w:hint="eastAsia" w:ascii="宋体" w:hAnsi="宋体" w:eastAsia="宋体" w:cs="宋体"/>
          <w:color w:val="auto"/>
          <w:kern w:val="0"/>
          <w:sz w:val="28"/>
          <w:szCs w:val="28"/>
          <w:highlight w:val="none"/>
        </w:rPr>
        <w:t>附表三</w:t>
      </w:r>
      <w:r>
        <w:rPr>
          <w:rFonts w:hint="eastAsia" w:ascii="宋体" w:hAnsi="宋体" w:eastAsia="宋体" w:cs="宋体"/>
          <w:color w:val="auto"/>
          <w:kern w:val="0"/>
          <w:sz w:val="28"/>
          <w:szCs w:val="28"/>
          <w:highlight w:val="none"/>
          <w:lang w:val="zh-CN"/>
        </w:rPr>
        <w:t>：</w:t>
      </w:r>
    </w:p>
    <w:p w14:paraId="33FC2440">
      <w:pPr>
        <w:autoSpaceDE w:val="0"/>
        <w:autoSpaceDN w:val="0"/>
        <w:spacing w:line="360" w:lineRule="auto"/>
        <w:jc w:val="center"/>
        <w:rPr>
          <w:rFonts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定标因素表（定标阶段）</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1"/>
        <w:gridCol w:w="7268"/>
      </w:tblGrid>
      <w:tr w14:paraId="41691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32" w:type="pct"/>
            <w:vAlign w:val="center"/>
          </w:tcPr>
          <w:p w14:paraId="6B076D2F">
            <w:pPr>
              <w:autoSpaceDE w:val="0"/>
              <w:autoSpaceDN w:val="0"/>
              <w:adjustRightInd w:val="0"/>
              <w:spacing w:line="276" w:lineRule="auto"/>
              <w:jc w:val="center"/>
              <w:textAlignment w:val="baseline"/>
              <w:outlineLvl w:val="0"/>
              <w:rPr>
                <w:rFonts w:ascii="宋体" w:hAnsi="宋体" w:eastAsia="宋体" w:cs="宋体"/>
                <w:b/>
                <w:color w:val="auto"/>
                <w:kern w:val="0"/>
                <w:szCs w:val="21"/>
                <w:highlight w:val="none"/>
                <w:lang w:val="zh-CN"/>
              </w:rPr>
            </w:pPr>
            <w:r>
              <w:rPr>
                <w:rFonts w:hint="eastAsia" w:ascii="宋体" w:hAnsi="宋体" w:eastAsia="宋体" w:cs="宋体"/>
                <w:b/>
                <w:color w:val="auto"/>
                <w:kern w:val="0"/>
                <w:szCs w:val="21"/>
                <w:highlight w:val="none"/>
                <w:lang w:val="zh-CN"/>
              </w:rPr>
              <w:t>评价项目</w:t>
            </w:r>
          </w:p>
        </w:tc>
        <w:tc>
          <w:tcPr>
            <w:tcW w:w="4168" w:type="pct"/>
            <w:vAlign w:val="center"/>
          </w:tcPr>
          <w:p w14:paraId="16F49E49">
            <w:pPr>
              <w:autoSpaceDE w:val="0"/>
              <w:autoSpaceDN w:val="0"/>
              <w:adjustRightInd w:val="0"/>
              <w:spacing w:line="276" w:lineRule="auto"/>
              <w:jc w:val="center"/>
              <w:textAlignment w:val="baseline"/>
              <w:outlineLvl w:val="0"/>
              <w:rPr>
                <w:rFonts w:ascii="宋体" w:hAnsi="宋体" w:eastAsia="宋体" w:cs="宋体"/>
                <w:b/>
                <w:color w:val="auto"/>
                <w:kern w:val="0"/>
                <w:szCs w:val="21"/>
                <w:highlight w:val="none"/>
                <w:lang w:val="zh-CN"/>
              </w:rPr>
            </w:pPr>
            <w:r>
              <w:rPr>
                <w:rFonts w:hint="eastAsia" w:ascii="宋体" w:hAnsi="宋体" w:eastAsia="宋体" w:cs="宋体"/>
                <w:b/>
                <w:color w:val="auto"/>
                <w:kern w:val="0"/>
                <w:szCs w:val="21"/>
                <w:highlight w:val="none"/>
                <w:lang w:val="zh-CN"/>
              </w:rPr>
              <w:t>定标评价的内容</w:t>
            </w:r>
          </w:p>
        </w:tc>
      </w:tr>
      <w:tr w14:paraId="1F270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832" w:type="pct"/>
            <w:vAlign w:val="center"/>
          </w:tcPr>
          <w:p w14:paraId="772CBC3C">
            <w:pPr>
              <w:autoSpaceDE w:val="0"/>
              <w:autoSpaceDN w:val="0"/>
              <w:adjustRightInd w:val="0"/>
              <w:spacing w:line="276" w:lineRule="auto"/>
              <w:jc w:val="center"/>
              <w:textAlignment w:val="baseline"/>
              <w:outlineLvl w:val="0"/>
              <w:rPr>
                <w:rFonts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rPr>
              <w:t>答辩</w:t>
            </w:r>
            <w:r>
              <w:rPr>
                <w:rFonts w:hint="eastAsia" w:ascii="宋体" w:hAnsi="宋体" w:eastAsia="宋体" w:cs="宋体"/>
                <w:bCs/>
                <w:color w:val="auto"/>
                <w:kern w:val="0"/>
                <w:szCs w:val="21"/>
                <w:highlight w:val="none"/>
                <w:lang w:val="zh-CN"/>
              </w:rPr>
              <w:t>因素</w:t>
            </w:r>
          </w:p>
        </w:tc>
        <w:tc>
          <w:tcPr>
            <w:tcW w:w="4168" w:type="pct"/>
            <w:vAlign w:val="center"/>
          </w:tcPr>
          <w:p w14:paraId="0A3E42A9">
            <w:pPr>
              <w:autoSpaceDE w:val="0"/>
              <w:autoSpaceDN w:val="0"/>
              <w:adjustRightInd w:val="0"/>
              <w:spacing w:line="276" w:lineRule="auto"/>
              <w:textAlignment w:val="baseline"/>
              <w:outlineLvl w:val="0"/>
              <w:rPr>
                <w:rFonts w:ascii="宋体" w:hAnsi="宋体" w:eastAsia="宋体" w:cs="Times New Roman"/>
                <w:color w:val="auto"/>
                <w:kern w:val="0"/>
                <w:szCs w:val="21"/>
                <w:highlight w:val="none"/>
              </w:rPr>
            </w:pPr>
            <w:r>
              <w:rPr>
                <w:rFonts w:hint="eastAsia" w:ascii="宋体" w:hAnsi="宋体" w:eastAsia="宋体" w:cs="微软雅黑"/>
                <w:color w:val="auto"/>
                <w:kern w:val="0"/>
                <w:szCs w:val="21"/>
                <w:highlight w:val="none"/>
              </w:rPr>
              <w:t>一、合格中标候选人拟派的</w:t>
            </w:r>
            <w:bookmarkStart w:id="205" w:name="OLE_LINK49"/>
            <w:r>
              <w:rPr>
                <w:rFonts w:hint="eastAsia" w:ascii="宋体" w:hAnsi="宋体" w:eastAsia="宋体" w:cs="微软雅黑"/>
                <w:color w:val="auto"/>
                <w:kern w:val="0"/>
                <w:szCs w:val="21"/>
                <w:highlight w:val="none"/>
              </w:rPr>
              <w:t>答辩小组</w:t>
            </w:r>
            <w:bookmarkEnd w:id="205"/>
            <w:r>
              <w:rPr>
                <w:rFonts w:hint="eastAsia" w:ascii="宋体" w:hAnsi="宋体" w:eastAsia="宋体" w:cs="微软雅黑"/>
                <w:color w:val="auto"/>
                <w:kern w:val="0"/>
                <w:szCs w:val="21"/>
                <w:highlight w:val="none"/>
              </w:rPr>
              <w:t>先进行现场陈述</w:t>
            </w:r>
            <w:r>
              <w:rPr>
                <w:rFonts w:hint="eastAsia" w:ascii="宋体" w:hAnsi="宋体" w:eastAsia="宋体" w:cs="Times New Roman"/>
                <w:color w:val="auto"/>
                <w:kern w:val="0"/>
                <w:szCs w:val="21"/>
                <w:highlight w:val="none"/>
              </w:rPr>
              <w:t>，陈述内容</w:t>
            </w:r>
            <w:r>
              <w:rPr>
                <w:rFonts w:hint="eastAsia" w:ascii="宋体" w:hAnsi="宋体" w:eastAsia="宋体" w:cs="微软雅黑"/>
                <w:color w:val="auto"/>
                <w:kern w:val="0"/>
                <w:szCs w:val="21"/>
                <w:highlight w:val="none"/>
              </w:rPr>
              <w:t>包括但不限于：</w:t>
            </w:r>
          </w:p>
          <w:p w14:paraId="1190006D">
            <w:pPr>
              <w:autoSpaceDE w:val="0"/>
              <w:autoSpaceDN w:val="0"/>
              <w:adjustRightInd w:val="0"/>
              <w:spacing w:line="276" w:lineRule="auto"/>
              <w:textAlignment w:val="baseline"/>
              <w:outlineLvl w:val="0"/>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w:t>
            </w:r>
            <w:r>
              <w:rPr>
                <w:rFonts w:hint="eastAsia" w:ascii="宋体" w:hAnsi="宋体" w:eastAsia="宋体" w:cs="微软雅黑"/>
                <w:color w:val="auto"/>
                <w:kern w:val="0"/>
                <w:szCs w:val="21"/>
                <w:highlight w:val="none"/>
              </w:rPr>
              <w:t>、本项目在中心城区连接知识城快速通道中的作用；</w:t>
            </w:r>
          </w:p>
          <w:p w14:paraId="5C6CFD75">
            <w:pPr>
              <w:autoSpaceDE w:val="0"/>
              <w:autoSpaceDN w:val="0"/>
              <w:adjustRightInd w:val="0"/>
              <w:spacing w:line="276" w:lineRule="auto"/>
              <w:textAlignment w:val="baseline"/>
              <w:outlineLvl w:val="0"/>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2</w:t>
            </w:r>
            <w:r>
              <w:rPr>
                <w:rFonts w:hint="eastAsia" w:ascii="宋体" w:hAnsi="宋体" w:eastAsia="宋体" w:cs="微软雅黑"/>
                <w:color w:val="auto"/>
                <w:kern w:val="0"/>
                <w:szCs w:val="21"/>
                <w:highlight w:val="none"/>
              </w:rPr>
              <w:t>、活力创新轴与中九快速路交叉口节点远期向西衔接白云区的方案的考虑；</w:t>
            </w:r>
          </w:p>
          <w:p w14:paraId="5C44639E">
            <w:pPr>
              <w:autoSpaceDE w:val="0"/>
              <w:autoSpaceDN w:val="0"/>
              <w:adjustRightInd w:val="0"/>
              <w:spacing w:line="276" w:lineRule="auto"/>
              <w:textAlignment w:val="baseline"/>
              <w:outlineLvl w:val="0"/>
              <w:rPr>
                <w:rFonts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3、主专业的设计思路、设计方法、设计方案讲解；</w:t>
            </w:r>
          </w:p>
          <w:p w14:paraId="46AE96BD">
            <w:pPr>
              <w:autoSpaceDE w:val="0"/>
              <w:autoSpaceDN w:val="0"/>
              <w:adjustRightInd w:val="0"/>
              <w:spacing w:line="276" w:lineRule="auto"/>
              <w:textAlignment w:val="baseline"/>
              <w:outlineLvl w:val="0"/>
              <w:rPr>
                <w:rFonts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4、对设计进度、质量保证、投资节约措施等方面讲解。</w:t>
            </w:r>
          </w:p>
          <w:p w14:paraId="32D9B18B">
            <w:pPr>
              <w:autoSpaceDE w:val="0"/>
              <w:autoSpaceDN w:val="0"/>
              <w:spacing w:line="276" w:lineRule="auto"/>
              <w:rPr>
                <w:rFonts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二、</w:t>
            </w:r>
            <w:r>
              <w:rPr>
                <w:rFonts w:hint="eastAsia" w:ascii="宋体" w:hAnsi="宋体" w:eastAsia="宋体" w:cs="Times New Roman"/>
                <w:color w:val="auto"/>
                <w:kern w:val="0"/>
                <w:szCs w:val="21"/>
                <w:highlight w:val="none"/>
              </w:rPr>
              <w:t>定标委员会对答辩小组的陈述内容对其进行提问，再由答辩小组进行回答。</w:t>
            </w:r>
          </w:p>
          <w:p w14:paraId="647CF603">
            <w:pPr>
              <w:autoSpaceDE w:val="0"/>
              <w:autoSpaceDN w:val="0"/>
              <w:spacing w:line="276" w:lineRule="auto"/>
              <w:rPr>
                <w:rFonts w:ascii="宋体" w:hAnsi="宋体" w:eastAsia="宋体" w:cs="宋体"/>
                <w:b/>
                <w:color w:val="auto"/>
                <w:kern w:val="0"/>
                <w:szCs w:val="21"/>
                <w:highlight w:val="none"/>
                <w:u w:val="single"/>
              </w:rPr>
            </w:pPr>
          </w:p>
          <w:p w14:paraId="28F6CD19">
            <w:pPr>
              <w:autoSpaceDE w:val="0"/>
              <w:autoSpaceDN w:val="0"/>
              <w:spacing w:line="276" w:lineRule="auto"/>
              <w:rPr>
                <w:rFonts w:ascii="宋体" w:hAnsi="宋体" w:eastAsia="宋体" w:cs="宋体"/>
                <w:bCs/>
                <w:color w:val="auto"/>
                <w:kern w:val="0"/>
                <w:szCs w:val="21"/>
                <w:highlight w:val="none"/>
              </w:rPr>
            </w:pPr>
            <w:r>
              <w:rPr>
                <w:rFonts w:hint="eastAsia" w:ascii="宋体" w:hAnsi="宋体" w:eastAsia="宋体" w:cs="宋体"/>
                <w:b/>
                <w:color w:val="auto"/>
                <w:kern w:val="0"/>
                <w:szCs w:val="21"/>
                <w:highlight w:val="none"/>
                <w:u w:val="single"/>
              </w:rPr>
              <w:t>备注：</w:t>
            </w:r>
            <w:r>
              <w:rPr>
                <w:rFonts w:hint="eastAsia" w:ascii="宋体" w:hAnsi="宋体" w:eastAsia="宋体" w:cs="宋体"/>
                <w:bCs/>
                <w:color w:val="auto"/>
                <w:kern w:val="0"/>
                <w:szCs w:val="21"/>
                <w:highlight w:val="none"/>
                <w:u w:val="single"/>
              </w:rPr>
              <w:t>答辩时长控制，</w:t>
            </w:r>
            <w:r>
              <w:rPr>
                <w:rFonts w:hint="eastAsia" w:ascii="宋体" w:hAnsi="宋体" w:eastAsia="宋体" w:cs="宋体"/>
                <w:bCs/>
                <w:color w:val="auto"/>
                <w:kern w:val="0"/>
                <w:szCs w:val="21"/>
                <w:highlight w:val="none"/>
                <w:u w:val="single"/>
                <w:lang w:val="zh-CN"/>
              </w:rPr>
              <w:t>每组答辩人员的</w:t>
            </w:r>
            <w:r>
              <w:rPr>
                <w:rFonts w:hint="eastAsia" w:ascii="宋体" w:hAnsi="宋体" w:eastAsia="宋体" w:cs="宋体"/>
                <w:b/>
                <w:bCs/>
                <w:color w:val="auto"/>
                <w:kern w:val="0"/>
                <w:szCs w:val="21"/>
                <w:highlight w:val="none"/>
                <w:u w:val="single"/>
              </w:rPr>
              <w:t>陈述及答辩总时间不超过20分钟</w:t>
            </w:r>
            <w:r>
              <w:rPr>
                <w:rFonts w:hint="eastAsia" w:ascii="宋体" w:hAnsi="宋体" w:eastAsia="宋体" w:cs="宋体"/>
                <w:bCs/>
                <w:color w:val="auto"/>
                <w:kern w:val="0"/>
                <w:szCs w:val="21"/>
                <w:highlight w:val="none"/>
                <w:u w:val="single"/>
                <w:lang w:val="zh-CN"/>
              </w:rPr>
              <w:t>，其中</w:t>
            </w:r>
            <w:r>
              <w:rPr>
                <w:rFonts w:hint="eastAsia" w:ascii="宋体" w:hAnsi="宋体" w:eastAsia="宋体" w:cs="宋体"/>
                <w:bCs/>
                <w:color w:val="auto"/>
                <w:kern w:val="0"/>
                <w:szCs w:val="21"/>
                <w:highlight w:val="none"/>
                <w:u w:val="single"/>
              </w:rPr>
              <w:t>陈述</w:t>
            </w:r>
            <w:r>
              <w:rPr>
                <w:rFonts w:hint="eastAsia" w:ascii="宋体" w:hAnsi="宋体" w:eastAsia="宋体" w:cs="宋体"/>
                <w:bCs/>
                <w:color w:val="auto"/>
                <w:kern w:val="0"/>
                <w:szCs w:val="21"/>
                <w:highlight w:val="none"/>
                <w:u w:val="single"/>
                <w:lang w:val="zh-CN"/>
              </w:rPr>
              <w:t>时间不超过</w:t>
            </w:r>
            <w:r>
              <w:rPr>
                <w:rFonts w:hint="eastAsia" w:ascii="宋体" w:hAnsi="宋体" w:eastAsia="宋体" w:cs="宋体"/>
                <w:bCs/>
                <w:color w:val="auto"/>
                <w:kern w:val="0"/>
                <w:szCs w:val="21"/>
                <w:highlight w:val="none"/>
                <w:u w:val="single"/>
              </w:rPr>
              <w:t>10分钟。</w:t>
            </w:r>
          </w:p>
        </w:tc>
      </w:tr>
    </w:tbl>
    <w:p w14:paraId="36B115E2">
      <w:pPr>
        <w:rPr>
          <w:rFonts w:ascii="宋体" w:hAnsi="宋体" w:eastAsia="宋体"/>
          <w:color w:val="auto"/>
          <w:highlight w:val="none"/>
        </w:rPr>
      </w:pPr>
    </w:p>
    <w:p w14:paraId="42A15EB6">
      <w:pPr>
        <w:pStyle w:val="2"/>
        <w:rPr>
          <w:rFonts w:ascii="宋体" w:hAnsi="宋体"/>
          <w:color w:val="auto"/>
          <w:highlight w:val="none"/>
        </w:rPr>
      </w:pPr>
      <w:r>
        <w:rPr>
          <w:rFonts w:hint="eastAsia" w:ascii="宋体" w:hAnsi="宋体"/>
          <w:color w:val="auto"/>
          <w:highlight w:val="none"/>
        </w:rPr>
        <w:br w:type="page"/>
      </w:r>
    </w:p>
    <w:p w14:paraId="43BB3D44">
      <w:pPr>
        <w:wordWrap w:val="0"/>
        <w:autoSpaceDE w:val="0"/>
        <w:autoSpaceDN w:val="0"/>
        <w:spacing w:line="276" w:lineRule="auto"/>
        <w:jc w:val="left"/>
        <w:outlineLvl w:val="3"/>
        <w:rPr>
          <w:rFonts w:ascii="宋体" w:hAnsi="宋体" w:eastAsia="宋体" w:cs="宋体"/>
          <w:color w:val="auto"/>
          <w:kern w:val="0"/>
          <w:sz w:val="28"/>
          <w:szCs w:val="28"/>
          <w:highlight w:val="none"/>
          <w:lang w:val="zh-CN"/>
        </w:rPr>
      </w:pPr>
      <w:r>
        <w:rPr>
          <w:rFonts w:hint="eastAsia" w:ascii="宋体" w:hAnsi="宋体" w:eastAsia="宋体" w:cs="宋体"/>
          <w:color w:val="auto"/>
          <w:kern w:val="0"/>
          <w:sz w:val="28"/>
          <w:szCs w:val="28"/>
          <w:highlight w:val="none"/>
        </w:rPr>
        <w:t>附表四</w:t>
      </w:r>
      <w:r>
        <w:rPr>
          <w:rFonts w:hint="eastAsia" w:ascii="宋体" w:hAnsi="宋体" w:eastAsia="宋体" w:cs="宋体"/>
          <w:color w:val="auto"/>
          <w:kern w:val="0"/>
          <w:sz w:val="28"/>
          <w:szCs w:val="28"/>
          <w:highlight w:val="none"/>
          <w:lang w:val="zh-CN"/>
        </w:rPr>
        <w:t>：</w:t>
      </w:r>
    </w:p>
    <w:p w14:paraId="012A28AF">
      <w:pPr>
        <w:autoSpaceDE w:val="0"/>
        <w:autoSpaceDN w:val="0"/>
        <w:spacing w:line="360" w:lineRule="auto"/>
        <w:jc w:val="center"/>
        <w:rPr>
          <w:rFonts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直接票决定标选票表（定标阶段）</w:t>
      </w:r>
    </w:p>
    <w:p w14:paraId="49675FEC">
      <w:pPr>
        <w:autoSpaceDE w:val="0"/>
        <w:autoSpaceDN w:val="0"/>
        <w:adjustRightInd w:val="0"/>
        <w:snapToGrid w:val="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项目名称：</w:t>
      </w:r>
    </w:p>
    <w:tbl>
      <w:tblPr>
        <w:tblStyle w:val="46"/>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8"/>
        <w:gridCol w:w="2432"/>
      </w:tblGrid>
      <w:tr w14:paraId="0E031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068" w:type="dxa"/>
            <w:tcBorders>
              <w:top w:val="single" w:color="auto" w:sz="4" w:space="0"/>
              <w:left w:val="single" w:color="auto" w:sz="4" w:space="0"/>
              <w:bottom w:val="single" w:color="auto" w:sz="4" w:space="0"/>
              <w:right w:val="single" w:color="auto" w:sz="4" w:space="0"/>
            </w:tcBorders>
            <w:noWrap/>
            <w:vAlign w:val="center"/>
          </w:tcPr>
          <w:p w14:paraId="1DD7A9DE">
            <w:pPr>
              <w:autoSpaceDE w:val="0"/>
              <w:autoSpaceDN w:val="0"/>
              <w:adjustRightInd w:val="0"/>
              <w:snapToGrid w:val="0"/>
              <w:spacing w:line="360" w:lineRule="auto"/>
              <w:jc w:val="center"/>
              <w:rPr>
                <w:rFonts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支持的合格中标候选人名称</w:t>
            </w:r>
          </w:p>
        </w:tc>
        <w:tc>
          <w:tcPr>
            <w:tcW w:w="2432" w:type="dxa"/>
            <w:tcBorders>
              <w:top w:val="single" w:color="auto" w:sz="4" w:space="0"/>
              <w:left w:val="nil"/>
              <w:bottom w:val="single" w:color="auto" w:sz="4" w:space="0"/>
              <w:right w:val="single" w:color="auto" w:sz="4" w:space="0"/>
            </w:tcBorders>
            <w:noWrap/>
            <w:vAlign w:val="center"/>
          </w:tcPr>
          <w:p w14:paraId="759C7360">
            <w:pPr>
              <w:autoSpaceDE w:val="0"/>
              <w:autoSpaceDN w:val="0"/>
              <w:adjustRightInd w:val="0"/>
              <w:snapToGrid w:val="0"/>
              <w:spacing w:line="360" w:lineRule="auto"/>
              <w:jc w:val="center"/>
              <w:rPr>
                <w:rFonts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备注</w:t>
            </w:r>
          </w:p>
        </w:tc>
      </w:tr>
      <w:tr w14:paraId="61547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6" w:hRule="atLeast"/>
        </w:trPr>
        <w:tc>
          <w:tcPr>
            <w:tcW w:w="6068" w:type="dxa"/>
            <w:tcBorders>
              <w:top w:val="single" w:color="auto" w:sz="4" w:space="0"/>
              <w:left w:val="single" w:color="auto" w:sz="4" w:space="0"/>
              <w:bottom w:val="single" w:color="auto" w:sz="4" w:space="0"/>
              <w:right w:val="single" w:color="auto" w:sz="4" w:space="0"/>
            </w:tcBorders>
            <w:noWrap/>
            <w:vAlign w:val="center"/>
          </w:tcPr>
          <w:p w14:paraId="28EB249A">
            <w:pPr>
              <w:autoSpaceDE w:val="0"/>
              <w:autoSpaceDN w:val="0"/>
              <w:adjustRightInd w:val="0"/>
              <w:snapToGrid w:val="0"/>
              <w:spacing w:line="360" w:lineRule="auto"/>
              <w:jc w:val="center"/>
              <w:rPr>
                <w:rFonts w:ascii="宋体" w:hAnsi="宋体" w:eastAsia="宋体" w:cs="宋体"/>
                <w:color w:val="auto"/>
                <w:kern w:val="0"/>
                <w:sz w:val="24"/>
                <w:szCs w:val="24"/>
                <w:highlight w:val="none"/>
              </w:rPr>
            </w:pPr>
          </w:p>
        </w:tc>
        <w:tc>
          <w:tcPr>
            <w:tcW w:w="2432" w:type="dxa"/>
            <w:tcBorders>
              <w:top w:val="single" w:color="auto" w:sz="4" w:space="0"/>
              <w:left w:val="nil"/>
              <w:bottom w:val="single" w:color="auto" w:sz="4" w:space="0"/>
              <w:right w:val="single" w:color="auto" w:sz="4" w:space="0"/>
            </w:tcBorders>
            <w:noWrap/>
            <w:vAlign w:val="center"/>
          </w:tcPr>
          <w:p w14:paraId="5FE7F951">
            <w:pPr>
              <w:autoSpaceDE w:val="0"/>
              <w:autoSpaceDN w:val="0"/>
              <w:adjustRightInd w:val="0"/>
              <w:snapToGrid w:val="0"/>
              <w:spacing w:line="360" w:lineRule="auto"/>
              <w:jc w:val="center"/>
              <w:rPr>
                <w:rFonts w:ascii="宋体" w:hAnsi="宋体" w:eastAsia="宋体" w:cs="宋体"/>
                <w:color w:val="auto"/>
                <w:kern w:val="0"/>
                <w:sz w:val="24"/>
                <w:szCs w:val="24"/>
                <w:highlight w:val="none"/>
              </w:rPr>
            </w:pPr>
          </w:p>
        </w:tc>
      </w:tr>
    </w:tbl>
    <w:p w14:paraId="01319B0D">
      <w:pPr>
        <w:autoSpaceDE w:val="0"/>
        <w:autoSpaceDN w:val="0"/>
        <w:jc w:val="left"/>
        <w:rPr>
          <w:rFonts w:ascii="宋体" w:hAnsi="宋体" w:eastAsia="宋体" w:cs="宋体"/>
          <w:color w:val="auto"/>
          <w:kern w:val="0"/>
          <w:sz w:val="24"/>
          <w:szCs w:val="24"/>
          <w:highlight w:val="none"/>
        </w:rPr>
      </w:pPr>
    </w:p>
    <w:p w14:paraId="6715E59C">
      <w:pPr>
        <w:autoSpaceDE w:val="0"/>
        <w:autoSpaceDN w:val="0"/>
        <w:adjustRightInd w:val="0"/>
        <w:snapToGrid w:val="0"/>
        <w:spacing w:line="360" w:lineRule="auto"/>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定标委员签名：                                  日期：</w:t>
      </w:r>
    </w:p>
    <w:p w14:paraId="4E169219">
      <w:pPr>
        <w:autoSpaceDE w:val="0"/>
        <w:autoSpaceDN w:val="0"/>
        <w:adjustRightInd w:val="0"/>
        <w:snapToGrid w:val="0"/>
        <w:spacing w:line="360" w:lineRule="auto"/>
        <w:jc w:val="left"/>
        <w:rPr>
          <w:rFonts w:ascii="宋体" w:hAnsi="宋体" w:eastAsia="宋体" w:cs="宋体"/>
          <w:color w:val="auto"/>
          <w:kern w:val="0"/>
          <w:sz w:val="24"/>
          <w:szCs w:val="24"/>
          <w:highlight w:val="none"/>
        </w:rPr>
      </w:pPr>
    </w:p>
    <w:p w14:paraId="52EFBB1F">
      <w:pPr>
        <w:autoSpaceDE w:val="0"/>
        <w:autoSpaceDN w:val="0"/>
        <w:adjustRightInd w:val="0"/>
        <w:snapToGrid w:val="0"/>
        <w:spacing w:line="360" w:lineRule="auto"/>
        <w:jc w:val="left"/>
        <w:rPr>
          <w:rFonts w:ascii="宋体" w:hAnsi="宋体" w:eastAsia="宋体" w:cs="宋体"/>
          <w:b/>
          <w:color w:val="auto"/>
          <w:kern w:val="0"/>
          <w:sz w:val="20"/>
          <w:szCs w:val="20"/>
          <w:highlight w:val="none"/>
        </w:rPr>
      </w:pPr>
      <w:r>
        <w:rPr>
          <w:rFonts w:hint="eastAsia" w:ascii="宋体" w:hAnsi="宋体" w:eastAsia="宋体" w:cs="宋体"/>
          <w:b/>
          <w:color w:val="auto"/>
          <w:kern w:val="0"/>
          <w:sz w:val="24"/>
          <w:szCs w:val="24"/>
          <w:highlight w:val="none"/>
        </w:rPr>
        <w:t>注：由定标委员会成员进行投票，各定标委员会成员只能投票一家合格中标候选人。</w:t>
      </w:r>
    </w:p>
    <w:p w14:paraId="51EA7FA2">
      <w:pPr>
        <w:widowControl/>
        <w:jc w:val="left"/>
        <w:rPr>
          <w:rFonts w:ascii="宋体" w:hAnsi="宋体" w:eastAsia="宋体"/>
          <w:color w:val="auto"/>
          <w:highlight w:val="none"/>
        </w:rPr>
      </w:pPr>
      <w:r>
        <w:rPr>
          <w:rFonts w:hint="eastAsia" w:ascii="宋体" w:hAnsi="宋体" w:eastAsia="宋体"/>
          <w:color w:val="auto"/>
          <w:highlight w:val="none"/>
        </w:rPr>
        <w:br w:type="page"/>
      </w:r>
    </w:p>
    <w:p w14:paraId="2C2F4EDB">
      <w:pPr>
        <w:wordWrap w:val="0"/>
        <w:autoSpaceDE w:val="0"/>
        <w:autoSpaceDN w:val="0"/>
        <w:spacing w:line="276" w:lineRule="auto"/>
        <w:jc w:val="left"/>
        <w:outlineLvl w:val="3"/>
        <w:rPr>
          <w:rFonts w:ascii="宋体" w:hAnsi="宋体" w:eastAsia="宋体" w:cs="宋体"/>
          <w:color w:val="auto"/>
          <w:kern w:val="0"/>
          <w:sz w:val="28"/>
          <w:szCs w:val="28"/>
          <w:highlight w:val="none"/>
          <w:lang w:val="zh-CN"/>
        </w:rPr>
      </w:pPr>
      <w:r>
        <w:rPr>
          <w:rFonts w:hint="eastAsia" w:ascii="宋体" w:hAnsi="宋体" w:eastAsia="宋体" w:cs="宋体"/>
          <w:color w:val="auto"/>
          <w:kern w:val="0"/>
          <w:sz w:val="28"/>
          <w:szCs w:val="28"/>
          <w:highlight w:val="none"/>
        </w:rPr>
        <w:t>附表五</w:t>
      </w:r>
      <w:r>
        <w:rPr>
          <w:rFonts w:hint="eastAsia" w:ascii="宋体" w:hAnsi="宋体" w:eastAsia="宋体" w:cs="宋体"/>
          <w:color w:val="auto"/>
          <w:kern w:val="0"/>
          <w:sz w:val="28"/>
          <w:szCs w:val="28"/>
          <w:highlight w:val="none"/>
          <w:lang w:val="zh-CN"/>
        </w:rPr>
        <w:t>：</w:t>
      </w:r>
    </w:p>
    <w:p w14:paraId="2DF0FBB4">
      <w:pPr>
        <w:autoSpaceDE w:val="0"/>
        <w:autoSpaceDN w:val="0"/>
        <w:spacing w:line="360" w:lineRule="auto"/>
        <w:jc w:val="center"/>
        <w:rPr>
          <w:rFonts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直接票决定标选票汇总表（定标阶段）</w:t>
      </w:r>
    </w:p>
    <w:p w14:paraId="10F5018F">
      <w:pPr>
        <w:autoSpaceDE w:val="0"/>
        <w:autoSpaceDN w:val="0"/>
        <w:adjustRightInd w:val="0"/>
        <w:snapToGrid w:val="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项目名称：</w:t>
      </w:r>
    </w:p>
    <w:tbl>
      <w:tblPr>
        <w:tblStyle w:val="46"/>
        <w:tblW w:w="49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3578"/>
        <w:gridCol w:w="1146"/>
        <w:gridCol w:w="1500"/>
        <w:gridCol w:w="1488"/>
      </w:tblGrid>
      <w:tr w14:paraId="49F8C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38" w:type="pct"/>
            <w:tcBorders>
              <w:top w:val="single" w:color="auto" w:sz="4" w:space="0"/>
              <w:left w:val="single" w:color="auto" w:sz="4" w:space="0"/>
              <w:bottom w:val="single" w:color="auto" w:sz="4" w:space="0"/>
              <w:right w:val="single" w:color="auto" w:sz="4" w:space="0"/>
            </w:tcBorders>
            <w:vAlign w:val="center"/>
          </w:tcPr>
          <w:p w14:paraId="22498446">
            <w:pPr>
              <w:jc w:val="center"/>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rPr>
              <w:t>序号</w:t>
            </w:r>
          </w:p>
        </w:tc>
        <w:tc>
          <w:tcPr>
            <w:tcW w:w="2070" w:type="pct"/>
            <w:tcBorders>
              <w:top w:val="single" w:color="auto" w:sz="4" w:space="0"/>
              <w:left w:val="nil"/>
              <w:bottom w:val="single" w:color="auto" w:sz="4" w:space="0"/>
              <w:right w:val="single" w:color="auto" w:sz="4" w:space="0"/>
            </w:tcBorders>
            <w:vAlign w:val="center"/>
          </w:tcPr>
          <w:p w14:paraId="7964232E">
            <w:pPr>
              <w:jc w:val="center"/>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rPr>
              <w:t>合格中标候选人名称</w:t>
            </w:r>
          </w:p>
        </w:tc>
        <w:tc>
          <w:tcPr>
            <w:tcW w:w="663" w:type="pct"/>
            <w:tcBorders>
              <w:top w:val="single" w:color="auto" w:sz="4" w:space="0"/>
              <w:left w:val="nil"/>
              <w:bottom w:val="single" w:color="auto" w:sz="4" w:space="0"/>
              <w:right w:val="single" w:color="auto" w:sz="4" w:space="0"/>
            </w:tcBorders>
            <w:vAlign w:val="center"/>
          </w:tcPr>
          <w:p w14:paraId="11A68CEE">
            <w:pPr>
              <w:jc w:val="center"/>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rPr>
              <w:t>得票数</w:t>
            </w:r>
          </w:p>
        </w:tc>
        <w:tc>
          <w:tcPr>
            <w:tcW w:w="868" w:type="pct"/>
            <w:tcBorders>
              <w:top w:val="single" w:color="auto" w:sz="4" w:space="0"/>
              <w:left w:val="nil"/>
              <w:bottom w:val="single" w:color="auto" w:sz="4" w:space="0"/>
              <w:right w:val="single" w:color="auto" w:sz="4" w:space="0"/>
            </w:tcBorders>
            <w:vAlign w:val="center"/>
          </w:tcPr>
          <w:p w14:paraId="3D794B9F">
            <w:pPr>
              <w:jc w:val="center"/>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rPr>
              <w:t>附加投票（如有）</w:t>
            </w:r>
          </w:p>
        </w:tc>
        <w:tc>
          <w:tcPr>
            <w:tcW w:w="861" w:type="pct"/>
            <w:tcBorders>
              <w:top w:val="single" w:color="auto" w:sz="4" w:space="0"/>
              <w:left w:val="nil"/>
              <w:bottom w:val="single" w:color="auto" w:sz="4" w:space="0"/>
              <w:right w:val="single" w:color="auto" w:sz="4" w:space="0"/>
            </w:tcBorders>
            <w:vAlign w:val="center"/>
          </w:tcPr>
          <w:p w14:paraId="7156DF56">
            <w:pPr>
              <w:jc w:val="center"/>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rPr>
              <w:t>是否被推荐</w:t>
            </w:r>
          </w:p>
          <w:p w14:paraId="2CC2D882">
            <w:pPr>
              <w:jc w:val="center"/>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rPr>
              <w:t>为中标人</w:t>
            </w:r>
          </w:p>
        </w:tc>
      </w:tr>
      <w:tr w14:paraId="17BE3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538" w:type="pct"/>
            <w:tcBorders>
              <w:top w:val="single" w:color="auto" w:sz="4" w:space="0"/>
              <w:left w:val="single" w:color="auto" w:sz="4" w:space="0"/>
              <w:bottom w:val="single" w:color="auto" w:sz="4" w:space="0"/>
              <w:right w:val="single" w:color="auto" w:sz="4" w:space="0"/>
            </w:tcBorders>
            <w:vAlign w:val="center"/>
          </w:tcPr>
          <w:p w14:paraId="68E59696">
            <w:pPr>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2070" w:type="pct"/>
            <w:tcBorders>
              <w:top w:val="single" w:color="auto" w:sz="4" w:space="0"/>
              <w:left w:val="nil"/>
              <w:bottom w:val="single" w:color="auto" w:sz="4" w:space="0"/>
              <w:right w:val="single" w:color="auto" w:sz="4" w:space="0"/>
            </w:tcBorders>
            <w:vAlign w:val="center"/>
          </w:tcPr>
          <w:p w14:paraId="4ACEF001">
            <w:pPr>
              <w:spacing w:line="360" w:lineRule="exact"/>
              <w:textAlignment w:val="center"/>
              <w:rPr>
                <w:rFonts w:ascii="宋体" w:hAnsi="宋体" w:eastAsia="宋体" w:cs="宋体"/>
                <w:color w:val="auto"/>
                <w:kern w:val="0"/>
                <w:sz w:val="24"/>
                <w:highlight w:val="none"/>
              </w:rPr>
            </w:pPr>
          </w:p>
        </w:tc>
        <w:tc>
          <w:tcPr>
            <w:tcW w:w="663" w:type="pct"/>
            <w:tcBorders>
              <w:top w:val="single" w:color="auto" w:sz="4" w:space="0"/>
              <w:left w:val="nil"/>
              <w:bottom w:val="single" w:color="auto" w:sz="4" w:space="0"/>
              <w:right w:val="single" w:color="auto" w:sz="4" w:space="0"/>
            </w:tcBorders>
            <w:vAlign w:val="center"/>
          </w:tcPr>
          <w:p w14:paraId="7FDA2556">
            <w:pPr>
              <w:jc w:val="center"/>
              <w:rPr>
                <w:rFonts w:ascii="宋体" w:hAnsi="宋体" w:eastAsia="宋体" w:cs="宋体"/>
                <w:color w:val="auto"/>
                <w:kern w:val="0"/>
                <w:sz w:val="24"/>
                <w:highlight w:val="none"/>
              </w:rPr>
            </w:pPr>
          </w:p>
        </w:tc>
        <w:tc>
          <w:tcPr>
            <w:tcW w:w="868" w:type="pct"/>
            <w:tcBorders>
              <w:top w:val="single" w:color="auto" w:sz="4" w:space="0"/>
              <w:left w:val="nil"/>
              <w:bottom w:val="single" w:color="auto" w:sz="4" w:space="0"/>
              <w:right w:val="single" w:color="auto" w:sz="4" w:space="0"/>
            </w:tcBorders>
            <w:vAlign w:val="center"/>
          </w:tcPr>
          <w:p w14:paraId="6ED73F50">
            <w:pPr>
              <w:jc w:val="center"/>
              <w:rPr>
                <w:rFonts w:ascii="宋体" w:hAnsi="宋体" w:eastAsia="宋体" w:cs="宋体"/>
                <w:color w:val="auto"/>
                <w:kern w:val="0"/>
                <w:sz w:val="24"/>
                <w:highlight w:val="none"/>
              </w:rPr>
            </w:pPr>
          </w:p>
        </w:tc>
        <w:tc>
          <w:tcPr>
            <w:tcW w:w="861" w:type="pct"/>
            <w:tcBorders>
              <w:top w:val="single" w:color="auto" w:sz="4" w:space="0"/>
              <w:left w:val="nil"/>
              <w:bottom w:val="single" w:color="auto" w:sz="4" w:space="0"/>
              <w:right w:val="single" w:color="auto" w:sz="4" w:space="0"/>
            </w:tcBorders>
            <w:vAlign w:val="center"/>
          </w:tcPr>
          <w:p w14:paraId="52A4CFA1">
            <w:pPr>
              <w:jc w:val="center"/>
              <w:rPr>
                <w:rFonts w:ascii="宋体" w:hAnsi="宋体" w:eastAsia="宋体" w:cs="宋体"/>
                <w:color w:val="auto"/>
                <w:kern w:val="0"/>
                <w:sz w:val="24"/>
                <w:highlight w:val="none"/>
              </w:rPr>
            </w:pPr>
          </w:p>
        </w:tc>
      </w:tr>
      <w:tr w14:paraId="6F74A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538" w:type="pct"/>
            <w:tcBorders>
              <w:top w:val="single" w:color="auto" w:sz="4" w:space="0"/>
              <w:left w:val="single" w:color="auto" w:sz="4" w:space="0"/>
              <w:bottom w:val="single" w:color="auto" w:sz="4" w:space="0"/>
              <w:right w:val="single" w:color="auto" w:sz="4" w:space="0"/>
            </w:tcBorders>
            <w:vAlign w:val="center"/>
          </w:tcPr>
          <w:p w14:paraId="7889E268">
            <w:pPr>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2070" w:type="pct"/>
            <w:tcBorders>
              <w:top w:val="single" w:color="auto" w:sz="4" w:space="0"/>
              <w:left w:val="nil"/>
              <w:bottom w:val="single" w:color="auto" w:sz="4" w:space="0"/>
              <w:right w:val="single" w:color="auto" w:sz="4" w:space="0"/>
            </w:tcBorders>
            <w:vAlign w:val="center"/>
          </w:tcPr>
          <w:p w14:paraId="5CBF99CE">
            <w:pPr>
              <w:spacing w:line="360" w:lineRule="exact"/>
              <w:textAlignment w:val="center"/>
              <w:rPr>
                <w:rFonts w:ascii="宋体" w:hAnsi="宋体" w:eastAsia="宋体" w:cs="宋体"/>
                <w:color w:val="auto"/>
                <w:kern w:val="0"/>
                <w:sz w:val="24"/>
                <w:highlight w:val="none"/>
              </w:rPr>
            </w:pPr>
          </w:p>
        </w:tc>
        <w:tc>
          <w:tcPr>
            <w:tcW w:w="663" w:type="pct"/>
            <w:tcBorders>
              <w:top w:val="single" w:color="auto" w:sz="4" w:space="0"/>
              <w:left w:val="nil"/>
              <w:bottom w:val="single" w:color="auto" w:sz="4" w:space="0"/>
              <w:right w:val="single" w:color="auto" w:sz="4" w:space="0"/>
            </w:tcBorders>
            <w:vAlign w:val="center"/>
          </w:tcPr>
          <w:p w14:paraId="3D7C4E93">
            <w:pPr>
              <w:jc w:val="center"/>
              <w:rPr>
                <w:rFonts w:ascii="宋体" w:hAnsi="宋体" w:eastAsia="宋体" w:cs="宋体"/>
                <w:color w:val="auto"/>
                <w:kern w:val="0"/>
                <w:sz w:val="24"/>
                <w:highlight w:val="none"/>
              </w:rPr>
            </w:pPr>
          </w:p>
        </w:tc>
        <w:tc>
          <w:tcPr>
            <w:tcW w:w="868" w:type="pct"/>
            <w:tcBorders>
              <w:top w:val="single" w:color="auto" w:sz="4" w:space="0"/>
              <w:left w:val="nil"/>
              <w:bottom w:val="single" w:color="auto" w:sz="4" w:space="0"/>
              <w:right w:val="single" w:color="auto" w:sz="4" w:space="0"/>
            </w:tcBorders>
            <w:vAlign w:val="center"/>
          </w:tcPr>
          <w:p w14:paraId="64DF35F7">
            <w:pPr>
              <w:jc w:val="center"/>
              <w:rPr>
                <w:rFonts w:ascii="宋体" w:hAnsi="宋体" w:eastAsia="宋体" w:cs="宋体"/>
                <w:color w:val="auto"/>
                <w:kern w:val="0"/>
                <w:sz w:val="24"/>
                <w:highlight w:val="none"/>
              </w:rPr>
            </w:pPr>
          </w:p>
        </w:tc>
        <w:tc>
          <w:tcPr>
            <w:tcW w:w="861" w:type="pct"/>
            <w:tcBorders>
              <w:top w:val="single" w:color="auto" w:sz="4" w:space="0"/>
              <w:left w:val="nil"/>
              <w:bottom w:val="single" w:color="auto" w:sz="4" w:space="0"/>
              <w:right w:val="single" w:color="auto" w:sz="4" w:space="0"/>
            </w:tcBorders>
            <w:vAlign w:val="center"/>
          </w:tcPr>
          <w:p w14:paraId="62263964">
            <w:pPr>
              <w:jc w:val="center"/>
              <w:rPr>
                <w:rFonts w:ascii="宋体" w:hAnsi="宋体" w:eastAsia="宋体" w:cs="宋体"/>
                <w:color w:val="auto"/>
                <w:kern w:val="0"/>
                <w:sz w:val="24"/>
                <w:highlight w:val="none"/>
              </w:rPr>
            </w:pPr>
          </w:p>
        </w:tc>
      </w:tr>
      <w:tr w14:paraId="540C6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538" w:type="pct"/>
            <w:tcBorders>
              <w:top w:val="single" w:color="auto" w:sz="4" w:space="0"/>
              <w:left w:val="single" w:color="auto" w:sz="4" w:space="0"/>
              <w:bottom w:val="single" w:color="auto" w:sz="4" w:space="0"/>
              <w:right w:val="single" w:color="auto" w:sz="4" w:space="0"/>
            </w:tcBorders>
            <w:vAlign w:val="center"/>
          </w:tcPr>
          <w:p w14:paraId="69BA6C5D">
            <w:pPr>
              <w:jc w:val="center"/>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2070" w:type="pct"/>
            <w:tcBorders>
              <w:top w:val="single" w:color="auto" w:sz="4" w:space="0"/>
              <w:left w:val="nil"/>
              <w:bottom w:val="single" w:color="auto" w:sz="4" w:space="0"/>
              <w:right w:val="single" w:color="auto" w:sz="4" w:space="0"/>
            </w:tcBorders>
            <w:vAlign w:val="center"/>
          </w:tcPr>
          <w:p w14:paraId="2FDC0D1E">
            <w:pPr>
              <w:spacing w:line="360" w:lineRule="exact"/>
              <w:textAlignment w:val="center"/>
              <w:rPr>
                <w:rFonts w:ascii="宋体" w:hAnsi="宋体" w:eastAsia="宋体" w:cs="宋体"/>
                <w:color w:val="auto"/>
                <w:kern w:val="0"/>
                <w:sz w:val="24"/>
                <w:highlight w:val="none"/>
              </w:rPr>
            </w:pPr>
          </w:p>
        </w:tc>
        <w:tc>
          <w:tcPr>
            <w:tcW w:w="663" w:type="pct"/>
            <w:tcBorders>
              <w:top w:val="single" w:color="auto" w:sz="4" w:space="0"/>
              <w:left w:val="nil"/>
              <w:bottom w:val="single" w:color="auto" w:sz="4" w:space="0"/>
              <w:right w:val="single" w:color="auto" w:sz="4" w:space="0"/>
            </w:tcBorders>
            <w:vAlign w:val="center"/>
          </w:tcPr>
          <w:p w14:paraId="27F00FDE">
            <w:pPr>
              <w:jc w:val="center"/>
              <w:rPr>
                <w:rFonts w:ascii="宋体" w:hAnsi="宋体" w:eastAsia="宋体" w:cs="宋体"/>
                <w:color w:val="auto"/>
                <w:kern w:val="0"/>
                <w:sz w:val="24"/>
                <w:highlight w:val="none"/>
              </w:rPr>
            </w:pPr>
          </w:p>
        </w:tc>
        <w:tc>
          <w:tcPr>
            <w:tcW w:w="868" w:type="pct"/>
            <w:tcBorders>
              <w:top w:val="single" w:color="auto" w:sz="4" w:space="0"/>
              <w:left w:val="nil"/>
              <w:bottom w:val="single" w:color="auto" w:sz="4" w:space="0"/>
              <w:right w:val="single" w:color="auto" w:sz="4" w:space="0"/>
            </w:tcBorders>
            <w:vAlign w:val="center"/>
          </w:tcPr>
          <w:p w14:paraId="3F9D7491">
            <w:pPr>
              <w:jc w:val="center"/>
              <w:rPr>
                <w:rFonts w:ascii="宋体" w:hAnsi="宋体" w:eastAsia="宋体" w:cs="宋体"/>
                <w:color w:val="auto"/>
                <w:kern w:val="0"/>
                <w:sz w:val="24"/>
                <w:highlight w:val="none"/>
              </w:rPr>
            </w:pPr>
          </w:p>
        </w:tc>
        <w:tc>
          <w:tcPr>
            <w:tcW w:w="861" w:type="pct"/>
            <w:tcBorders>
              <w:top w:val="single" w:color="auto" w:sz="4" w:space="0"/>
              <w:left w:val="nil"/>
              <w:bottom w:val="single" w:color="auto" w:sz="4" w:space="0"/>
              <w:right w:val="single" w:color="auto" w:sz="4" w:space="0"/>
            </w:tcBorders>
            <w:vAlign w:val="center"/>
          </w:tcPr>
          <w:p w14:paraId="168DAC01">
            <w:pPr>
              <w:jc w:val="center"/>
              <w:rPr>
                <w:rFonts w:ascii="宋体" w:hAnsi="宋体" w:eastAsia="宋体" w:cs="宋体"/>
                <w:color w:val="auto"/>
                <w:kern w:val="0"/>
                <w:sz w:val="24"/>
                <w:highlight w:val="none"/>
              </w:rPr>
            </w:pPr>
          </w:p>
        </w:tc>
      </w:tr>
    </w:tbl>
    <w:p w14:paraId="7AE0CCC5">
      <w:pPr>
        <w:adjustRightInd w:val="0"/>
        <w:snapToGrid w:val="0"/>
        <w:spacing w:line="360" w:lineRule="auto"/>
        <w:rPr>
          <w:rFonts w:ascii="宋体" w:hAnsi="宋体" w:eastAsia="宋体" w:cs="宋体"/>
          <w:color w:val="auto"/>
          <w:kern w:val="0"/>
          <w:sz w:val="24"/>
          <w:szCs w:val="24"/>
          <w:highlight w:val="none"/>
        </w:rPr>
      </w:pPr>
    </w:p>
    <w:p w14:paraId="1D1CA452">
      <w:pPr>
        <w:adjustRightInd w:val="0"/>
        <w:snapToGrid w:val="0"/>
        <w:spacing w:line="360" w:lineRule="auto"/>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全体定标委员签名：                                         日期：</w:t>
      </w:r>
    </w:p>
    <w:p w14:paraId="5989C4A2">
      <w:pPr>
        <w:pStyle w:val="8"/>
        <w:rPr>
          <w:rFonts w:ascii="宋体" w:hAnsi="宋体"/>
          <w:color w:val="auto"/>
          <w:highlight w:val="none"/>
        </w:rPr>
        <w:sectPr>
          <w:pgSz w:w="11905" w:h="16838"/>
          <w:pgMar w:top="1474" w:right="1701" w:bottom="1474" w:left="1701" w:header="720" w:footer="720" w:gutter="0"/>
          <w:cols w:space="720" w:num="1"/>
        </w:sectPr>
      </w:pPr>
    </w:p>
    <w:p w14:paraId="0515F1B5">
      <w:pPr>
        <w:wordWrap w:val="0"/>
        <w:autoSpaceDE w:val="0"/>
        <w:autoSpaceDN w:val="0"/>
        <w:spacing w:line="276" w:lineRule="auto"/>
        <w:jc w:val="left"/>
        <w:outlineLvl w:val="3"/>
        <w:rPr>
          <w:rFonts w:ascii="宋体" w:hAnsi="宋体" w:eastAsia="宋体"/>
          <w:b/>
          <w:color w:val="auto"/>
          <w:sz w:val="24"/>
          <w:szCs w:val="24"/>
          <w:highlight w:val="none"/>
        </w:rPr>
      </w:pPr>
      <w:r>
        <w:rPr>
          <w:rFonts w:hint="eastAsia" w:ascii="宋体" w:hAnsi="宋体" w:eastAsia="宋体" w:cs="宋体"/>
          <w:color w:val="auto"/>
          <w:kern w:val="0"/>
          <w:sz w:val="28"/>
          <w:szCs w:val="28"/>
          <w:highlight w:val="none"/>
        </w:rPr>
        <w:t>附表六</w:t>
      </w:r>
      <w:r>
        <w:rPr>
          <w:rFonts w:hint="eastAsia" w:ascii="宋体" w:hAnsi="宋体" w:eastAsia="宋体" w:cs="宋体"/>
          <w:color w:val="auto"/>
          <w:kern w:val="0"/>
          <w:sz w:val="28"/>
          <w:szCs w:val="28"/>
          <w:highlight w:val="none"/>
          <w:lang w:val="zh-CN"/>
        </w:rPr>
        <w:t>：</w:t>
      </w:r>
    </w:p>
    <w:p w14:paraId="35E65D3C">
      <w:pPr>
        <w:autoSpaceDE w:val="0"/>
        <w:autoSpaceDN w:val="0"/>
        <w:spacing w:line="360" w:lineRule="auto"/>
        <w:jc w:val="center"/>
        <w:rPr>
          <w:rFonts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定标阶段-票数相同时定标委员会个人用表</w:t>
      </w:r>
    </w:p>
    <w:p w14:paraId="61938E47">
      <w:pPr>
        <w:autoSpaceDE w:val="0"/>
        <w:autoSpaceDN w:val="0"/>
        <w:adjustRightInd w:val="0"/>
        <w:snapToGrid w:val="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项目名称：</w:t>
      </w:r>
    </w:p>
    <w:tbl>
      <w:tblPr>
        <w:tblStyle w:val="46"/>
        <w:tblW w:w="89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4"/>
        <w:gridCol w:w="2100"/>
        <w:gridCol w:w="2150"/>
        <w:gridCol w:w="2133"/>
      </w:tblGrid>
      <w:tr w14:paraId="64EE3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544" w:type="dxa"/>
            <w:tcBorders>
              <w:top w:val="single" w:color="auto" w:sz="4" w:space="0"/>
              <w:left w:val="single" w:color="auto" w:sz="4" w:space="0"/>
              <w:bottom w:val="single" w:color="auto" w:sz="4" w:space="0"/>
              <w:right w:val="single" w:color="auto" w:sz="4" w:space="0"/>
            </w:tcBorders>
            <w:noWrap/>
            <w:vAlign w:val="center"/>
          </w:tcPr>
          <w:p w14:paraId="74C61E92">
            <w:pPr>
              <w:autoSpaceDE w:val="0"/>
              <w:autoSpaceDN w:val="0"/>
              <w:spacing w:line="360" w:lineRule="auto"/>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合格中标候选人名称</w:t>
            </w:r>
          </w:p>
        </w:tc>
        <w:tc>
          <w:tcPr>
            <w:tcW w:w="2100" w:type="dxa"/>
            <w:tcBorders>
              <w:top w:val="single" w:color="auto" w:sz="4" w:space="0"/>
              <w:left w:val="single" w:color="auto" w:sz="4" w:space="0"/>
              <w:bottom w:val="single" w:color="auto" w:sz="4" w:space="0"/>
              <w:right w:val="single" w:color="auto" w:sz="4" w:space="0"/>
            </w:tcBorders>
            <w:noWrap/>
            <w:vAlign w:val="center"/>
          </w:tcPr>
          <w:p w14:paraId="6F8FACA4">
            <w:pPr>
              <w:autoSpaceDE w:val="0"/>
              <w:autoSpaceDN w:val="0"/>
              <w:spacing w:line="360" w:lineRule="auto"/>
              <w:jc w:val="center"/>
              <w:rPr>
                <w:rFonts w:ascii="宋体" w:hAnsi="宋体" w:eastAsia="宋体" w:cs="宋体"/>
                <w:color w:val="auto"/>
                <w:kern w:val="0"/>
                <w:sz w:val="24"/>
                <w:szCs w:val="24"/>
                <w:highlight w:val="none"/>
              </w:rPr>
            </w:pPr>
          </w:p>
        </w:tc>
        <w:tc>
          <w:tcPr>
            <w:tcW w:w="2150" w:type="dxa"/>
            <w:tcBorders>
              <w:top w:val="single" w:color="auto" w:sz="4" w:space="0"/>
              <w:left w:val="single" w:color="auto" w:sz="4" w:space="0"/>
              <w:bottom w:val="single" w:color="auto" w:sz="4" w:space="0"/>
              <w:right w:val="single" w:color="auto" w:sz="4" w:space="0"/>
            </w:tcBorders>
            <w:noWrap/>
            <w:vAlign w:val="center"/>
          </w:tcPr>
          <w:p w14:paraId="75DEF51A">
            <w:pPr>
              <w:autoSpaceDE w:val="0"/>
              <w:autoSpaceDN w:val="0"/>
              <w:spacing w:line="360" w:lineRule="auto"/>
              <w:jc w:val="center"/>
              <w:rPr>
                <w:rFonts w:ascii="宋体" w:hAnsi="宋体" w:eastAsia="宋体" w:cs="宋体"/>
                <w:color w:val="auto"/>
                <w:kern w:val="0"/>
                <w:sz w:val="24"/>
                <w:szCs w:val="24"/>
                <w:highlight w:val="none"/>
              </w:rPr>
            </w:pPr>
          </w:p>
        </w:tc>
        <w:tc>
          <w:tcPr>
            <w:tcW w:w="2133" w:type="dxa"/>
            <w:tcBorders>
              <w:top w:val="single" w:color="auto" w:sz="4" w:space="0"/>
              <w:left w:val="single" w:color="auto" w:sz="4" w:space="0"/>
              <w:bottom w:val="single" w:color="auto" w:sz="4" w:space="0"/>
              <w:right w:val="single" w:color="auto" w:sz="4" w:space="0"/>
            </w:tcBorders>
            <w:noWrap/>
            <w:vAlign w:val="center"/>
          </w:tcPr>
          <w:p w14:paraId="056DEB72">
            <w:pPr>
              <w:autoSpaceDE w:val="0"/>
              <w:autoSpaceDN w:val="0"/>
              <w:spacing w:line="360" w:lineRule="auto"/>
              <w:jc w:val="center"/>
              <w:rPr>
                <w:rFonts w:ascii="宋体" w:hAnsi="宋体" w:eastAsia="宋体" w:cs="宋体"/>
                <w:color w:val="auto"/>
                <w:kern w:val="0"/>
                <w:sz w:val="24"/>
                <w:szCs w:val="24"/>
                <w:highlight w:val="none"/>
              </w:rPr>
            </w:pPr>
          </w:p>
        </w:tc>
      </w:tr>
      <w:tr w14:paraId="28C9B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544" w:type="dxa"/>
            <w:tcBorders>
              <w:top w:val="single" w:color="auto" w:sz="4" w:space="0"/>
              <w:left w:val="single" w:color="auto" w:sz="4" w:space="0"/>
              <w:bottom w:val="single" w:color="auto" w:sz="4" w:space="0"/>
              <w:right w:val="single" w:color="auto" w:sz="4" w:space="0"/>
            </w:tcBorders>
            <w:noWrap/>
            <w:vAlign w:val="center"/>
          </w:tcPr>
          <w:p w14:paraId="21DE8C16">
            <w:pPr>
              <w:autoSpaceDE w:val="0"/>
              <w:autoSpaceDN w:val="0"/>
              <w:spacing w:line="360" w:lineRule="auto"/>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票决意见</w:t>
            </w:r>
          </w:p>
        </w:tc>
        <w:tc>
          <w:tcPr>
            <w:tcW w:w="2100" w:type="dxa"/>
            <w:tcBorders>
              <w:top w:val="single" w:color="auto" w:sz="4" w:space="0"/>
              <w:left w:val="single" w:color="auto" w:sz="4" w:space="0"/>
              <w:bottom w:val="single" w:color="auto" w:sz="4" w:space="0"/>
              <w:right w:val="single" w:color="auto" w:sz="4" w:space="0"/>
            </w:tcBorders>
            <w:noWrap/>
            <w:vAlign w:val="center"/>
          </w:tcPr>
          <w:p w14:paraId="71B0E3B5">
            <w:pPr>
              <w:autoSpaceDE w:val="0"/>
              <w:autoSpaceDN w:val="0"/>
              <w:spacing w:line="360" w:lineRule="auto"/>
              <w:jc w:val="center"/>
              <w:rPr>
                <w:rFonts w:ascii="宋体" w:hAnsi="宋体" w:eastAsia="宋体" w:cs="宋体"/>
                <w:color w:val="auto"/>
                <w:kern w:val="0"/>
                <w:sz w:val="24"/>
                <w:szCs w:val="24"/>
                <w:highlight w:val="none"/>
              </w:rPr>
            </w:pPr>
          </w:p>
        </w:tc>
        <w:tc>
          <w:tcPr>
            <w:tcW w:w="2150" w:type="dxa"/>
            <w:tcBorders>
              <w:top w:val="single" w:color="auto" w:sz="4" w:space="0"/>
              <w:left w:val="single" w:color="auto" w:sz="4" w:space="0"/>
              <w:bottom w:val="single" w:color="auto" w:sz="4" w:space="0"/>
              <w:right w:val="single" w:color="auto" w:sz="4" w:space="0"/>
            </w:tcBorders>
            <w:noWrap/>
            <w:vAlign w:val="center"/>
          </w:tcPr>
          <w:p w14:paraId="2A1C8E0B">
            <w:pPr>
              <w:autoSpaceDE w:val="0"/>
              <w:autoSpaceDN w:val="0"/>
              <w:spacing w:line="360" w:lineRule="auto"/>
              <w:jc w:val="center"/>
              <w:rPr>
                <w:rFonts w:ascii="宋体" w:hAnsi="宋体" w:eastAsia="宋体" w:cs="宋体"/>
                <w:color w:val="auto"/>
                <w:kern w:val="0"/>
                <w:sz w:val="24"/>
                <w:szCs w:val="24"/>
                <w:highlight w:val="none"/>
              </w:rPr>
            </w:pPr>
          </w:p>
        </w:tc>
        <w:tc>
          <w:tcPr>
            <w:tcW w:w="2133" w:type="dxa"/>
            <w:tcBorders>
              <w:top w:val="single" w:color="auto" w:sz="4" w:space="0"/>
              <w:left w:val="single" w:color="auto" w:sz="4" w:space="0"/>
              <w:bottom w:val="single" w:color="auto" w:sz="4" w:space="0"/>
              <w:right w:val="single" w:color="auto" w:sz="4" w:space="0"/>
            </w:tcBorders>
            <w:noWrap/>
            <w:vAlign w:val="center"/>
          </w:tcPr>
          <w:p w14:paraId="2481F611">
            <w:pPr>
              <w:autoSpaceDE w:val="0"/>
              <w:autoSpaceDN w:val="0"/>
              <w:spacing w:line="360" w:lineRule="auto"/>
              <w:jc w:val="center"/>
              <w:rPr>
                <w:rFonts w:ascii="宋体" w:hAnsi="宋体" w:eastAsia="宋体" w:cs="宋体"/>
                <w:color w:val="auto"/>
                <w:kern w:val="0"/>
                <w:sz w:val="24"/>
                <w:szCs w:val="24"/>
                <w:highlight w:val="none"/>
              </w:rPr>
            </w:pPr>
          </w:p>
        </w:tc>
      </w:tr>
    </w:tbl>
    <w:p w14:paraId="5E214E41">
      <w:pPr>
        <w:autoSpaceDE w:val="0"/>
        <w:autoSpaceDN w:val="0"/>
        <w:jc w:val="left"/>
        <w:rPr>
          <w:rFonts w:ascii="宋体" w:hAnsi="宋体" w:eastAsia="宋体" w:cs="宋体"/>
          <w:color w:val="auto"/>
          <w:kern w:val="0"/>
          <w:sz w:val="24"/>
          <w:szCs w:val="24"/>
          <w:highlight w:val="none"/>
        </w:rPr>
      </w:pPr>
    </w:p>
    <w:p w14:paraId="3EC402CF">
      <w:pPr>
        <w:autoSpaceDE w:val="0"/>
        <w:autoSpaceDN w:val="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定标委员签名：                                日期：</w:t>
      </w:r>
    </w:p>
    <w:p w14:paraId="00AC87F5">
      <w:pPr>
        <w:autoSpaceDE w:val="0"/>
        <w:autoSpaceDN w:val="0"/>
        <w:jc w:val="left"/>
        <w:rPr>
          <w:rFonts w:ascii="宋体" w:hAnsi="宋体" w:eastAsia="宋体" w:cs="宋体"/>
          <w:color w:val="auto"/>
          <w:kern w:val="0"/>
          <w:sz w:val="24"/>
          <w:szCs w:val="24"/>
          <w:highlight w:val="none"/>
        </w:rPr>
      </w:pPr>
    </w:p>
    <w:p w14:paraId="75E883CA">
      <w:pPr>
        <w:autoSpaceDE w:val="0"/>
        <w:autoSpaceDN w:val="0"/>
        <w:spacing w:line="360" w:lineRule="auto"/>
        <w:jc w:val="left"/>
        <w:rPr>
          <w:rFonts w:ascii="宋体" w:hAnsi="宋体" w:eastAsia="宋体" w:cs="宋体"/>
          <w:b/>
          <w:color w:val="auto"/>
          <w:kern w:val="0"/>
          <w:sz w:val="24"/>
          <w:szCs w:val="24"/>
          <w:highlight w:val="none"/>
        </w:rPr>
      </w:pPr>
    </w:p>
    <w:p w14:paraId="7414C8A7">
      <w:pPr>
        <w:autoSpaceDE w:val="0"/>
        <w:autoSpaceDN w:val="0"/>
        <w:spacing w:line="360" w:lineRule="auto"/>
        <w:jc w:val="left"/>
        <w:rPr>
          <w:rFonts w:ascii="宋体" w:hAnsi="宋体" w:eastAsia="宋体" w:cs="宋体"/>
          <w:b/>
          <w:color w:val="auto"/>
          <w:kern w:val="0"/>
          <w:sz w:val="24"/>
          <w:szCs w:val="24"/>
          <w:highlight w:val="none"/>
        </w:rPr>
      </w:pPr>
    </w:p>
    <w:p w14:paraId="5C62A62D">
      <w:pPr>
        <w:autoSpaceDE w:val="0"/>
        <w:autoSpaceDN w:val="0"/>
        <w:spacing w:line="360" w:lineRule="auto"/>
        <w:jc w:val="left"/>
        <w:rPr>
          <w:rFonts w:ascii="宋体" w:hAnsi="宋体" w:eastAsia="宋体" w:cs="宋体"/>
          <w:b/>
          <w:color w:val="auto"/>
          <w:kern w:val="0"/>
          <w:sz w:val="24"/>
          <w:szCs w:val="24"/>
          <w:highlight w:val="none"/>
        </w:rPr>
      </w:pPr>
    </w:p>
    <w:p w14:paraId="4F8E01C2">
      <w:pPr>
        <w:autoSpaceDE w:val="0"/>
        <w:autoSpaceDN w:val="0"/>
        <w:spacing w:line="360" w:lineRule="auto"/>
        <w:jc w:val="left"/>
        <w:rPr>
          <w:rFonts w:ascii="宋体" w:hAnsi="宋体" w:eastAsia="宋体" w:cs="宋体"/>
          <w:b/>
          <w:color w:val="auto"/>
          <w:kern w:val="0"/>
          <w:sz w:val="24"/>
          <w:szCs w:val="24"/>
          <w:highlight w:val="none"/>
        </w:rPr>
      </w:pPr>
    </w:p>
    <w:p w14:paraId="15E66185">
      <w:pPr>
        <w:autoSpaceDE w:val="0"/>
        <w:autoSpaceDN w:val="0"/>
        <w:spacing w:line="360" w:lineRule="auto"/>
        <w:jc w:val="left"/>
        <w:rPr>
          <w:rFonts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注：</w:t>
      </w:r>
    </w:p>
    <w:p w14:paraId="4237F053">
      <w:pPr>
        <w:autoSpaceDE w:val="0"/>
        <w:autoSpaceDN w:val="0"/>
        <w:spacing w:line="360" w:lineRule="auto"/>
        <w:jc w:val="left"/>
        <w:rPr>
          <w:rFonts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1、本表用于投票出现票数相同的情况。</w:t>
      </w:r>
    </w:p>
    <w:p w14:paraId="770B8527">
      <w:pPr>
        <w:widowControl/>
        <w:spacing w:line="360" w:lineRule="auto"/>
        <w:jc w:val="left"/>
        <w:rPr>
          <w:rFonts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2、由定标委员会成员进行附加投票，票决意见分别为“投票”或“不投票”，各定标委员会成员只有1票表决权（即只能对其中一名合格中标候选人“投票”），票决意见为“投票”的，用“○”表示；票决意见为“不投票”，用“×”表示。</w:t>
      </w:r>
    </w:p>
    <w:p w14:paraId="100023AE">
      <w:pPr>
        <w:widowControl/>
        <w:jc w:val="left"/>
        <w:rPr>
          <w:rFonts w:ascii="宋体" w:hAnsi="宋体" w:eastAsia="宋体"/>
          <w:color w:val="auto"/>
          <w:highlight w:val="none"/>
        </w:rPr>
      </w:pPr>
      <w:r>
        <w:rPr>
          <w:rFonts w:hint="eastAsia" w:ascii="宋体" w:hAnsi="宋体" w:eastAsia="宋体"/>
          <w:color w:val="auto"/>
          <w:highlight w:val="none"/>
        </w:rPr>
        <w:br w:type="page"/>
      </w:r>
    </w:p>
    <w:p w14:paraId="70657D16">
      <w:pPr>
        <w:wordWrap w:val="0"/>
        <w:autoSpaceDE w:val="0"/>
        <w:autoSpaceDN w:val="0"/>
        <w:spacing w:line="276" w:lineRule="auto"/>
        <w:jc w:val="left"/>
        <w:outlineLvl w:val="3"/>
        <w:rPr>
          <w:rFonts w:ascii="宋体" w:hAnsi="宋体" w:eastAsia="宋体" w:cs="宋体"/>
          <w:color w:val="auto"/>
          <w:kern w:val="0"/>
          <w:sz w:val="28"/>
          <w:szCs w:val="28"/>
          <w:highlight w:val="none"/>
          <w:lang w:val="zh-CN"/>
        </w:rPr>
      </w:pPr>
      <w:r>
        <w:rPr>
          <w:rFonts w:hint="eastAsia" w:ascii="宋体" w:hAnsi="宋体" w:eastAsia="宋体" w:cs="宋体"/>
          <w:color w:val="auto"/>
          <w:kern w:val="0"/>
          <w:sz w:val="28"/>
          <w:szCs w:val="28"/>
          <w:highlight w:val="none"/>
        </w:rPr>
        <w:t>附表七</w:t>
      </w:r>
      <w:r>
        <w:rPr>
          <w:rFonts w:hint="eastAsia" w:ascii="宋体" w:hAnsi="宋体" w:eastAsia="宋体" w:cs="宋体"/>
          <w:color w:val="auto"/>
          <w:kern w:val="0"/>
          <w:sz w:val="28"/>
          <w:szCs w:val="28"/>
          <w:highlight w:val="none"/>
          <w:lang w:val="zh-CN"/>
        </w:rPr>
        <w:t>：</w:t>
      </w:r>
    </w:p>
    <w:p w14:paraId="007C9BA6">
      <w:pPr>
        <w:autoSpaceDE w:val="0"/>
        <w:autoSpaceDN w:val="0"/>
        <w:spacing w:line="360" w:lineRule="auto"/>
        <w:jc w:val="center"/>
        <w:rPr>
          <w:rFonts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定标阶段-票数相同时定标委员会汇总用表</w:t>
      </w:r>
    </w:p>
    <w:p w14:paraId="476BDD16">
      <w:pPr>
        <w:autoSpaceDE w:val="0"/>
        <w:autoSpaceDN w:val="0"/>
        <w:adjustRightInd w:val="0"/>
        <w:snapToGrid w:val="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项目名称：</w:t>
      </w:r>
    </w:p>
    <w:tbl>
      <w:tblPr>
        <w:tblStyle w:val="46"/>
        <w:tblW w:w="50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9"/>
        <w:gridCol w:w="4071"/>
        <w:gridCol w:w="3695"/>
      </w:tblGrid>
      <w:tr w14:paraId="44FC4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80" w:type="pct"/>
            <w:tcBorders>
              <w:top w:val="single" w:color="auto" w:sz="4" w:space="0"/>
              <w:left w:val="single" w:color="auto" w:sz="4" w:space="0"/>
              <w:bottom w:val="single" w:color="auto" w:sz="4" w:space="0"/>
              <w:right w:val="single" w:color="auto" w:sz="4" w:space="0"/>
            </w:tcBorders>
            <w:noWrap/>
            <w:vAlign w:val="center"/>
          </w:tcPr>
          <w:p w14:paraId="100D6E29">
            <w:pPr>
              <w:autoSpaceDE w:val="0"/>
              <w:autoSpaceDN w:val="0"/>
              <w:adjustRightInd w:val="0"/>
              <w:snapToGrid w:val="0"/>
              <w:spacing w:line="360" w:lineRule="auto"/>
              <w:jc w:val="center"/>
              <w:rPr>
                <w:rFonts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序号</w:t>
            </w:r>
          </w:p>
        </w:tc>
        <w:tc>
          <w:tcPr>
            <w:tcW w:w="2317" w:type="pct"/>
            <w:tcBorders>
              <w:top w:val="single" w:color="auto" w:sz="4" w:space="0"/>
              <w:left w:val="single" w:color="auto" w:sz="4" w:space="0"/>
              <w:bottom w:val="single" w:color="auto" w:sz="6" w:space="0"/>
              <w:right w:val="single" w:color="auto" w:sz="6" w:space="0"/>
            </w:tcBorders>
            <w:noWrap/>
            <w:vAlign w:val="center"/>
          </w:tcPr>
          <w:p w14:paraId="6E47DFAD">
            <w:pPr>
              <w:autoSpaceDE w:val="0"/>
              <w:autoSpaceDN w:val="0"/>
              <w:adjustRightInd w:val="0"/>
              <w:snapToGrid w:val="0"/>
              <w:spacing w:line="360" w:lineRule="auto"/>
              <w:jc w:val="center"/>
              <w:rPr>
                <w:rFonts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合格中标候选人名称</w:t>
            </w:r>
          </w:p>
        </w:tc>
        <w:tc>
          <w:tcPr>
            <w:tcW w:w="2103" w:type="pct"/>
            <w:tcBorders>
              <w:top w:val="single" w:color="auto" w:sz="4" w:space="0"/>
              <w:left w:val="single" w:color="auto" w:sz="6" w:space="0"/>
              <w:bottom w:val="single" w:color="auto" w:sz="6" w:space="0"/>
              <w:right w:val="single" w:color="auto" w:sz="6" w:space="0"/>
            </w:tcBorders>
            <w:noWrap/>
            <w:vAlign w:val="center"/>
          </w:tcPr>
          <w:p w14:paraId="565CE64F">
            <w:pPr>
              <w:autoSpaceDE w:val="0"/>
              <w:autoSpaceDN w:val="0"/>
              <w:adjustRightInd w:val="0"/>
              <w:snapToGrid w:val="0"/>
              <w:spacing w:line="360" w:lineRule="auto"/>
              <w:jc w:val="center"/>
              <w:rPr>
                <w:rFonts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得票数</w:t>
            </w:r>
          </w:p>
        </w:tc>
      </w:tr>
      <w:tr w14:paraId="4A389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80" w:type="pct"/>
            <w:tcBorders>
              <w:top w:val="single" w:color="auto" w:sz="4" w:space="0"/>
              <w:left w:val="single" w:color="auto" w:sz="4" w:space="0"/>
              <w:bottom w:val="single" w:color="auto" w:sz="4" w:space="0"/>
              <w:right w:val="single" w:color="auto" w:sz="4" w:space="0"/>
            </w:tcBorders>
            <w:noWrap/>
            <w:vAlign w:val="center"/>
          </w:tcPr>
          <w:p w14:paraId="1CFABA2B">
            <w:pPr>
              <w:autoSpaceDE w:val="0"/>
              <w:autoSpaceDN w:val="0"/>
              <w:adjustRightInd w:val="0"/>
              <w:snapToGrid w:val="0"/>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2317" w:type="pct"/>
            <w:tcBorders>
              <w:top w:val="single" w:color="auto" w:sz="6" w:space="0"/>
              <w:left w:val="single" w:color="auto" w:sz="4" w:space="0"/>
              <w:bottom w:val="single" w:color="auto" w:sz="6" w:space="0"/>
              <w:right w:val="single" w:color="auto" w:sz="6" w:space="0"/>
            </w:tcBorders>
            <w:noWrap/>
            <w:vAlign w:val="center"/>
          </w:tcPr>
          <w:p w14:paraId="59C4C362">
            <w:pPr>
              <w:autoSpaceDE w:val="0"/>
              <w:autoSpaceDN w:val="0"/>
              <w:adjustRightInd w:val="0"/>
              <w:snapToGrid w:val="0"/>
              <w:spacing w:line="360" w:lineRule="auto"/>
              <w:jc w:val="center"/>
              <w:rPr>
                <w:rFonts w:ascii="宋体" w:hAnsi="宋体" w:eastAsia="宋体" w:cs="宋体"/>
                <w:color w:val="auto"/>
                <w:kern w:val="0"/>
                <w:sz w:val="24"/>
                <w:szCs w:val="24"/>
                <w:highlight w:val="none"/>
              </w:rPr>
            </w:pPr>
          </w:p>
        </w:tc>
        <w:tc>
          <w:tcPr>
            <w:tcW w:w="2103" w:type="pct"/>
            <w:tcBorders>
              <w:top w:val="single" w:color="auto" w:sz="6" w:space="0"/>
              <w:left w:val="single" w:color="auto" w:sz="6" w:space="0"/>
              <w:bottom w:val="single" w:color="auto" w:sz="6" w:space="0"/>
              <w:right w:val="single" w:color="auto" w:sz="6" w:space="0"/>
            </w:tcBorders>
            <w:noWrap/>
            <w:vAlign w:val="center"/>
          </w:tcPr>
          <w:p w14:paraId="6C88768B">
            <w:pPr>
              <w:autoSpaceDE w:val="0"/>
              <w:autoSpaceDN w:val="0"/>
              <w:adjustRightInd w:val="0"/>
              <w:snapToGrid w:val="0"/>
              <w:spacing w:line="360" w:lineRule="auto"/>
              <w:jc w:val="center"/>
              <w:rPr>
                <w:rFonts w:ascii="宋体" w:hAnsi="宋体" w:eastAsia="宋体" w:cs="宋体"/>
                <w:color w:val="auto"/>
                <w:kern w:val="0"/>
                <w:sz w:val="24"/>
                <w:szCs w:val="24"/>
                <w:highlight w:val="none"/>
              </w:rPr>
            </w:pPr>
          </w:p>
        </w:tc>
      </w:tr>
      <w:tr w14:paraId="2D61A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80" w:type="pct"/>
            <w:tcBorders>
              <w:top w:val="single" w:color="auto" w:sz="4" w:space="0"/>
              <w:left w:val="single" w:color="auto" w:sz="4" w:space="0"/>
              <w:bottom w:val="single" w:color="auto" w:sz="4" w:space="0"/>
              <w:right w:val="single" w:color="auto" w:sz="4" w:space="0"/>
            </w:tcBorders>
            <w:noWrap/>
            <w:vAlign w:val="center"/>
          </w:tcPr>
          <w:p w14:paraId="788EB86A">
            <w:pPr>
              <w:autoSpaceDE w:val="0"/>
              <w:autoSpaceDN w:val="0"/>
              <w:adjustRightInd w:val="0"/>
              <w:snapToGrid w:val="0"/>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2317" w:type="pct"/>
            <w:tcBorders>
              <w:top w:val="single" w:color="auto" w:sz="6" w:space="0"/>
              <w:left w:val="single" w:color="auto" w:sz="4" w:space="0"/>
              <w:bottom w:val="single" w:color="auto" w:sz="6" w:space="0"/>
              <w:right w:val="single" w:color="auto" w:sz="6" w:space="0"/>
            </w:tcBorders>
            <w:noWrap/>
            <w:vAlign w:val="center"/>
          </w:tcPr>
          <w:p w14:paraId="1645B17F">
            <w:pPr>
              <w:autoSpaceDE w:val="0"/>
              <w:autoSpaceDN w:val="0"/>
              <w:adjustRightInd w:val="0"/>
              <w:snapToGrid w:val="0"/>
              <w:spacing w:line="360" w:lineRule="auto"/>
              <w:jc w:val="center"/>
              <w:rPr>
                <w:rFonts w:ascii="宋体" w:hAnsi="宋体" w:eastAsia="宋体" w:cs="宋体"/>
                <w:color w:val="auto"/>
                <w:kern w:val="0"/>
                <w:sz w:val="24"/>
                <w:szCs w:val="24"/>
                <w:highlight w:val="none"/>
              </w:rPr>
            </w:pPr>
          </w:p>
        </w:tc>
        <w:tc>
          <w:tcPr>
            <w:tcW w:w="2103" w:type="pct"/>
            <w:tcBorders>
              <w:top w:val="single" w:color="auto" w:sz="6" w:space="0"/>
              <w:left w:val="single" w:color="auto" w:sz="6" w:space="0"/>
              <w:bottom w:val="single" w:color="auto" w:sz="6" w:space="0"/>
              <w:right w:val="single" w:color="auto" w:sz="6" w:space="0"/>
            </w:tcBorders>
            <w:noWrap/>
            <w:vAlign w:val="center"/>
          </w:tcPr>
          <w:p w14:paraId="0AB719B3">
            <w:pPr>
              <w:autoSpaceDE w:val="0"/>
              <w:autoSpaceDN w:val="0"/>
              <w:adjustRightInd w:val="0"/>
              <w:snapToGrid w:val="0"/>
              <w:spacing w:line="360" w:lineRule="auto"/>
              <w:jc w:val="center"/>
              <w:rPr>
                <w:rFonts w:ascii="宋体" w:hAnsi="宋体" w:eastAsia="宋体" w:cs="宋体"/>
                <w:color w:val="auto"/>
                <w:kern w:val="0"/>
                <w:sz w:val="24"/>
                <w:szCs w:val="24"/>
                <w:highlight w:val="none"/>
              </w:rPr>
            </w:pPr>
          </w:p>
        </w:tc>
      </w:tr>
      <w:tr w14:paraId="65EBD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80" w:type="pct"/>
            <w:tcBorders>
              <w:top w:val="single" w:color="auto" w:sz="4" w:space="0"/>
              <w:left w:val="single" w:color="auto" w:sz="4" w:space="0"/>
              <w:bottom w:val="single" w:color="auto" w:sz="4" w:space="0"/>
              <w:right w:val="single" w:color="auto" w:sz="4" w:space="0"/>
            </w:tcBorders>
            <w:noWrap/>
            <w:vAlign w:val="center"/>
          </w:tcPr>
          <w:p w14:paraId="15BF8838">
            <w:pPr>
              <w:autoSpaceDE w:val="0"/>
              <w:autoSpaceDN w:val="0"/>
              <w:adjustRightInd w:val="0"/>
              <w:snapToGrid w:val="0"/>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2317" w:type="pct"/>
            <w:tcBorders>
              <w:top w:val="single" w:color="auto" w:sz="6" w:space="0"/>
              <w:left w:val="single" w:color="auto" w:sz="4" w:space="0"/>
              <w:bottom w:val="single" w:color="auto" w:sz="6" w:space="0"/>
              <w:right w:val="single" w:color="auto" w:sz="6" w:space="0"/>
            </w:tcBorders>
            <w:noWrap/>
            <w:vAlign w:val="center"/>
          </w:tcPr>
          <w:p w14:paraId="6FD97CE5">
            <w:pPr>
              <w:autoSpaceDE w:val="0"/>
              <w:autoSpaceDN w:val="0"/>
              <w:adjustRightInd w:val="0"/>
              <w:snapToGrid w:val="0"/>
              <w:spacing w:line="360" w:lineRule="auto"/>
              <w:jc w:val="center"/>
              <w:rPr>
                <w:rFonts w:ascii="宋体" w:hAnsi="宋体" w:eastAsia="宋体" w:cs="宋体"/>
                <w:color w:val="auto"/>
                <w:kern w:val="0"/>
                <w:sz w:val="24"/>
                <w:szCs w:val="24"/>
                <w:highlight w:val="none"/>
              </w:rPr>
            </w:pPr>
          </w:p>
        </w:tc>
        <w:tc>
          <w:tcPr>
            <w:tcW w:w="2103" w:type="pct"/>
            <w:tcBorders>
              <w:top w:val="single" w:color="auto" w:sz="6" w:space="0"/>
              <w:left w:val="single" w:color="auto" w:sz="6" w:space="0"/>
              <w:bottom w:val="single" w:color="auto" w:sz="6" w:space="0"/>
              <w:right w:val="single" w:color="auto" w:sz="6" w:space="0"/>
            </w:tcBorders>
            <w:noWrap/>
            <w:vAlign w:val="center"/>
          </w:tcPr>
          <w:p w14:paraId="05995202">
            <w:pPr>
              <w:autoSpaceDE w:val="0"/>
              <w:autoSpaceDN w:val="0"/>
              <w:adjustRightInd w:val="0"/>
              <w:snapToGrid w:val="0"/>
              <w:spacing w:line="360" w:lineRule="auto"/>
              <w:jc w:val="center"/>
              <w:rPr>
                <w:rFonts w:ascii="宋体" w:hAnsi="宋体" w:eastAsia="宋体" w:cs="宋体"/>
                <w:color w:val="auto"/>
                <w:kern w:val="0"/>
                <w:sz w:val="24"/>
                <w:szCs w:val="24"/>
                <w:highlight w:val="none"/>
              </w:rPr>
            </w:pPr>
          </w:p>
        </w:tc>
      </w:tr>
    </w:tbl>
    <w:p w14:paraId="22C172AB">
      <w:pPr>
        <w:autoSpaceDE w:val="0"/>
        <w:autoSpaceDN w:val="0"/>
        <w:jc w:val="left"/>
        <w:rPr>
          <w:rFonts w:ascii="宋体" w:hAnsi="宋体" w:eastAsia="宋体" w:cs="宋体"/>
          <w:color w:val="auto"/>
          <w:kern w:val="0"/>
          <w:sz w:val="24"/>
          <w:szCs w:val="24"/>
          <w:highlight w:val="none"/>
        </w:rPr>
      </w:pPr>
    </w:p>
    <w:p w14:paraId="7258C1A4">
      <w:pPr>
        <w:autoSpaceDE w:val="0"/>
        <w:autoSpaceDN w:val="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全体定标委员签名：                                         日期：</w:t>
      </w:r>
    </w:p>
    <w:p w14:paraId="2ABE9DE3">
      <w:pPr>
        <w:keepNext/>
        <w:keepLines/>
        <w:wordWrap w:val="0"/>
        <w:spacing w:before="260" w:line="416" w:lineRule="auto"/>
        <w:outlineLvl w:val="2"/>
        <w:rPr>
          <w:rFonts w:ascii="宋体" w:hAnsi="宋体" w:eastAsia="宋体" w:cs="宋体"/>
          <w:b/>
          <w:bCs/>
          <w:color w:val="auto"/>
          <w:spacing w:val="1"/>
          <w:sz w:val="28"/>
          <w:szCs w:val="32"/>
          <w:highlight w:val="none"/>
          <w:lang w:val="zh-CN"/>
        </w:rPr>
        <w:sectPr>
          <w:pgSz w:w="11905" w:h="16838"/>
          <w:pgMar w:top="1474" w:right="1701" w:bottom="1474" w:left="1701" w:header="720" w:footer="720" w:gutter="0"/>
          <w:cols w:space="720" w:num="1"/>
        </w:sectPr>
      </w:pPr>
    </w:p>
    <w:p w14:paraId="19FFF4C0">
      <w:pPr>
        <w:widowControl/>
        <w:wordWrap w:val="0"/>
        <w:jc w:val="left"/>
        <w:rPr>
          <w:rFonts w:ascii="宋体" w:hAnsi="宋体" w:eastAsia="宋体" w:cs="宋体"/>
          <w:b/>
          <w:bCs/>
          <w:color w:val="auto"/>
          <w:kern w:val="0"/>
          <w:sz w:val="24"/>
          <w:szCs w:val="24"/>
          <w:highlight w:val="none"/>
          <w:lang w:val="zh-CN"/>
        </w:rPr>
        <w:sectPr>
          <w:type w:val="continuous"/>
          <w:pgSz w:w="11905" w:h="16838"/>
          <w:pgMar w:top="1474" w:right="1701" w:bottom="1474" w:left="1701" w:header="720" w:footer="720" w:gutter="0"/>
          <w:cols w:space="720" w:num="1"/>
        </w:sectPr>
      </w:pPr>
      <w:r>
        <w:rPr>
          <w:rFonts w:hint="eastAsia" w:ascii="宋体" w:hAnsi="宋体" w:eastAsia="宋体" w:cs="宋体"/>
          <w:b/>
          <w:bCs/>
          <w:color w:val="auto"/>
          <w:kern w:val="0"/>
          <w:sz w:val="24"/>
          <w:szCs w:val="24"/>
          <w:highlight w:val="none"/>
          <w:lang w:val="zh-CN"/>
        </w:rPr>
        <w:br w:type="page"/>
      </w:r>
    </w:p>
    <w:p w14:paraId="093C628B">
      <w:pPr>
        <w:wordWrap w:val="0"/>
        <w:autoSpaceDE w:val="0"/>
        <w:autoSpaceDN w:val="0"/>
        <w:spacing w:line="276" w:lineRule="auto"/>
        <w:jc w:val="left"/>
        <w:outlineLvl w:val="3"/>
        <w:rPr>
          <w:rFonts w:ascii="宋体" w:hAnsi="宋体" w:eastAsia="宋体" w:cs="宋体"/>
          <w:color w:val="auto"/>
          <w:kern w:val="0"/>
          <w:sz w:val="28"/>
          <w:szCs w:val="28"/>
          <w:highlight w:val="none"/>
        </w:rPr>
      </w:pPr>
      <w:bookmarkStart w:id="206" w:name="_Toc27736"/>
      <w:r>
        <w:rPr>
          <w:rFonts w:hint="eastAsia" w:ascii="宋体" w:hAnsi="宋体" w:eastAsia="宋体" w:cs="宋体"/>
          <w:color w:val="auto"/>
          <w:kern w:val="0"/>
          <w:sz w:val="28"/>
          <w:szCs w:val="28"/>
          <w:highlight w:val="none"/>
        </w:rPr>
        <w:t>附表八：</w:t>
      </w:r>
    </w:p>
    <w:p w14:paraId="6C9D1588">
      <w:pPr>
        <w:autoSpaceDE w:val="0"/>
        <w:autoSpaceDN w:val="0"/>
        <w:spacing w:line="360" w:lineRule="auto"/>
        <w:jc w:val="center"/>
        <w:rPr>
          <w:rFonts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定标阶段各合格中标候选人评语</w:t>
      </w:r>
      <w:bookmarkEnd w:id="206"/>
    </w:p>
    <w:p w14:paraId="614FF498">
      <w:pPr>
        <w:autoSpaceDE w:val="0"/>
        <w:autoSpaceDN w:val="0"/>
        <w:adjustRightInd w:val="0"/>
        <w:snapToGrid w:val="0"/>
        <w:jc w:val="left"/>
        <w:rPr>
          <w:rFonts w:ascii="宋体" w:hAnsi="宋体" w:eastAsia="宋体"/>
          <w:color w:val="auto"/>
          <w:sz w:val="24"/>
          <w:szCs w:val="24"/>
          <w:highlight w:val="none"/>
        </w:rPr>
      </w:pPr>
      <w:r>
        <w:rPr>
          <w:rFonts w:hint="eastAsia" w:ascii="宋体" w:hAnsi="宋体" w:eastAsia="宋体"/>
          <w:color w:val="auto"/>
          <w:sz w:val="24"/>
          <w:szCs w:val="24"/>
          <w:highlight w:val="none"/>
        </w:rPr>
        <w:t>项目名称：</w:t>
      </w:r>
    </w:p>
    <w:tbl>
      <w:tblPr>
        <w:tblStyle w:val="46"/>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5528"/>
      </w:tblGrid>
      <w:tr w14:paraId="4C9C9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2972" w:type="dxa"/>
            <w:tcBorders>
              <w:top w:val="single" w:color="auto" w:sz="4" w:space="0"/>
              <w:left w:val="single" w:color="auto" w:sz="4" w:space="0"/>
              <w:bottom w:val="single" w:color="auto" w:sz="4" w:space="0"/>
              <w:right w:val="single" w:color="auto" w:sz="4" w:space="0"/>
            </w:tcBorders>
            <w:noWrap/>
            <w:vAlign w:val="center"/>
          </w:tcPr>
          <w:p w14:paraId="53676487">
            <w:pPr>
              <w:spacing w:line="360" w:lineRule="auto"/>
              <w:jc w:val="center"/>
              <w:rPr>
                <w:rFonts w:ascii="宋体" w:hAnsi="宋体" w:eastAsia="宋体"/>
                <w:b/>
                <w:color w:val="auto"/>
                <w:sz w:val="24"/>
                <w:szCs w:val="24"/>
                <w:highlight w:val="none"/>
              </w:rPr>
            </w:pPr>
            <w:r>
              <w:rPr>
                <w:rFonts w:hint="eastAsia" w:ascii="宋体" w:hAnsi="宋体" w:eastAsia="宋体" w:cs="宋体"/>
                <w:b/>
                <w:color w:val="auto"/>
                <w:kern w:val="0"/>
                <w:sz w:val="24"/>
                <w:szCs w:val="24"/>
                <w:highlight w:val="none"/>
              </w:rPr>
              <w:t>合格中标候选人</w:t>
            </w:r>
            <w:r>
              <w:rPr>
                <w:rFonts w:hint="eastAsia" w:ascii="宋体" w:hAnsi="宋体" w:eastAsia="宋体"/>
                <w:b/>
                <w:color w:val="auto"/>
                <w:sz w:val="24"/>
                <w:szCs w:val="24"/>
                <w:highlight w:val="none"/>
              </w:rPr>
              <w:t>名称</w:t>
            </w:r>
          </w:p>
        </w:tc>
        <w:tc>
          <w:tcPr>
            <w:tcW w:w="5528" w:type="dxa"/>
            <w:tcBorders>
              <w:top w:val="single" w:color="auto" w:sz="4" w:space="0"/>
              <w:left w:val="single" w:color="auto" w:sz="4" w:space="0"/>
              <w:bottom w:val="single" w:color="auto" w:sz="4" w:space="0"/>
              <w:right w:val="single" w:color="auto" w:sz="4" w:space="0"/>
            </w:tcBorders>
            <w:noWrap/>
            <w:vAlign w:val="center"/>
          </w:tcPr>
          <w:p w14:paraId="40886BCE">
            <w:pPr>
              <w:spacing w:line="360" w:lineRule="auto"/>
              <w:jc w:val="center"/>
              <w:rPr>
                <w:rFonts w:ascii="宋体" w:hAnsi="宋体" w:eastAsia="宋体"/>
                <w:b/>
                <w:color w:val="auto"/>
                <w:sz w:val="24"/>
                <w:szCs w:val="24"/>
                <w:highlight w:val="none"/>
              </w:rPr>
            </w:pPr>
            <w:r>
              <w:rPr>
                <w:rFonts w:hint="eastAsia" w:ascii="宋体" w:hAnsi="宋体" w:eastAsia="宋体"/>
                <w:b/>
                <w:color w:val="auto"/>
                <w:sz w:val="24"/>
                <w:szCs w:val="24"/>
                <w:highlight w:val="none"/>
              </w:rPr>
              <w:t>评语</w:t>
            </w:r>
          </w:p>
        </w:tc>
      </w:tr>
      <w:tr w14:paraId="71A5A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2972" w:type="dxa"/>
            <w:tcBorders>
              <w:top w:val="single" w:color="auto" w:sz="4" w:space="0"/>
              <w:left w:val="single" w:color="auto" w:sz="4" w:space="0"/>
              <w:bottom w:val="single" w:color="auto" w:sz="4" w:space="0"/>
              <w:right w:val="single" w:color="auto" w:sz="4" w:space="0"/>
            </w:tcBorders>
            <w:noWrap/>
            <w:vAlign w:val="center"/>
          </w:tcPr>
          <w:p w14:paraId="2DB5E20E">
            <w:pPr>
              <w:spacing w:line="360" w:lineRule="auto"/>
              <w:jc w:val="center"/>
              <w:rPr>
                <w:rFonts w:ascii="宋体" w:hAnsi="宋体" w:eastAsia="宋体"/>
                <w:color w:val="auto"/>
                <w:sz w:val="24"/>
                <w:szCs w:val="24"/>
                <w:highlight w:val="none"/>
                <w:u w:val="single"/>
              </w:rPr>
            </w:pPr>
          </w:p>
        </w:tc>
        <w:tc>
          <w:tcPr>
            <w:tcW w:w="5528" w:type="dxa"/>
            <w:tcBorders>
              <w:top w:val="single" w:color="auto" w:sz="4" w:space="0"/>
              <w:left w:val="single" w:color="auto" w:sz="4" w:space="0"/>
              <w:bottom w:val="single" w:color="auto" w:sz="4" w:space="0"/>
              <w:right w:val="single" w:color="auto" w:sz="4" w:space="0"/>
            </w:tcBorders>
            <w:noWrap/>
            <w:vAlign w:val="center"/>
          </w:tcPr>
          <w:p w14:paraId="35AE0FEC">
            <w:pPr>
              <w:spacing w:line="360" w:lineRule="auto"/>
              <w:jc w:val="center"/>
              <w:rPr>
                <w:rFonts w:ascii="宋体" w:hAnsi="宋体" w:eastAsia="宋体"/>
                <w:color w:val="auto"/>
                <w:sz w:val="24"/>
                <w:szCs w:val="24"/>
                <w:highlight w:val="none"/>
                <w:u w:val="single"/>
              </w:rPr>
            </w:pPr>
          </w:p>
        </w:tc>
      </w:tr>
      <w:tr w14:paraId="4FE4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2972" w:type="dxa"/>
            <w:tcBorders>
              <w:top w:val="single" w:color="auto" w:sz="4" w:space="0"/>
              <w:left w:val="single" w:color="auto" w:sz="4" w:space="0"/>
              <w:bottom w:val="single" w:color="auto" w:sz="4" w:space="0"/>
              <w:right w:val="single" w:color="auto" w:sz="4" w:space="0"/>
            </w:tcBorders>
            <w:noWrap/>
            <w:vAlign w:val="center"/>
          </w:tcPr>
          <w:p w14:paraId="7BDB3794">
            <w:pPr>
              <w:spacing w:line="360" w:lineRule="auto"/>
              <w:jc w:val="center"/>
              <w:rPr>
                <w:rFonts w:ascii="宋体" w:hAnsi="宋体" w:eastAsia="宋体"/>
                <w:color w:val="auto"/>
                <w:sz w:val="24"/>
                <w:szCs w:val="24"/>
                <w:highlight w:val="none"/>
                <w:u w:val="single"/>
              </w:rPr>
            </w:pPr>
          </w:p>
        </w:tc>
        <w:tc>
          <w:tcPr>
            <w:tcW w:w="5528" w:type="dxa"/>
            <w:tcBorders>
              <w:top w:val="single" w:color="auto" w:sz="4" w:space="0"/>
              <w:left w:val="single" w:color="auto" w:sz="4" w:space="0"/>
              <w:bottom w:val="single" w:color="auto" w:sz="4" w:space="0"/>
              <w:right w:val="single" w:color="auto" w:sz="4" w:space="0"/>
            </w:tcBorders>
            <w:noWrap/>
            <w:vAlign w:val="center"/>
          </w:tcPr>
          <w:p w14:paraId="23F02C6B">
            <w:pPr>
              <w:spacing w:line="360" w:lineRule="auto"/>
              <w:jc w:val="center"/>
              <w:rPr>
                <w:rFonts w:ascii="宋体" w:hAnsi="宋体" w:eastAsia="宋体"/>
                <w:color w:val="auto"/>
                <w:sz w:val="24"/>
                <w:szCs w:val="24"/>
                <w:highlight w:val="none"/>
                <w:u w:val="single"/>
              </w:rPr>
            </w:pPr>
          </w:p>
        </w:tc>
      </w:tr>
      <w:tr w14:paraId="27148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2972" w:type="dxa"/>
            <w:tcBorders>
              <w:top w:val="single" w:color="auto" w:sz="4" w:space="0"/>
              <w:left w:val="single" w:color="auto" w:sz="4" w:space="0"/>
              <w:bottom w:val="single" w:color="auto" w:sz="4" w:space="0"/>
              <w:right w:val="single" w:color="auto" w:sz="4" w:space="0"/>
            </w:tcBorders>
            <w:noWrap/>
            <w:vAlign w:val="center"/>
          </w:tcPr>
          <w:p w14:paraId="1555B670">
            <w:pPr>
              <w:spacing w:line="360" w:lineRule="auto"/>
              <w:jc w:val="center"/>
              <w:rPr>
                <w:rFonts w:ascii="宋体" w:hAnsi="宋体" w:eastAsia="宋体"/>
                <w:color w:val="auto"/>
                <w:sz w:val="24"/>
                <w:szCs w:val="24"/>
                <w:highlight w:val="none"/>
                <w:u w:val="single"/>
              </w:rPr>
            </w:pPr>
          </w:p>
        </w:tc>
        <w:tc>
          <w:tcPr>
            <w:tcW w:w="5528" w:type="dxa"/>
            <w:tcBorders>
              <w:top w:val="single" w:color="auto" w:sz="4" w:space="0"/>
              <w:left w:val="single" w:color="auto" w:sz="4" w:space="0"/>
              <w:bottom w:val="single" w:color="auto" w:sz="4" w:space="0"/>
              <w:right w:val="single" w:color="auto" w:sz="4" w:space="0"/>
            </w:tcBorders>
            <w:noWrap/>
            <w:vAlign w:val="center"/>
          </w:tcPr>
          <w:p w14:paraId="14449BAA">
            <w:pPr>
              <w:spacing w:line="360" w:lineRule="auto"/>
              <w:jc w:val="center"/>
              <w:rPr>
                <w:rFonts w:ascii="宋体" w:hAnsi="宋体" w:eastAsia="宋体"/>
                <w:color w:val="auto"/>
                <w:sz w:val="24"/>
                <w:szCs w:val="24"/>
                <w:highlight w:val="none"/>
                <w:u w:val="single"/>
              </w:rPr>
            </w:pPr>
          </w:p>
        </w:tc>
      </w:tr>
    </w:tbl>
    <w:p w14:paraId="5A58DFAA">
      <w:pPr>
        <w:adjustRightInd w:val="0"/>
        <w:snapToGrid w:val="0"/>
        <w:spacing w:line="360" w:lineRule="auto"/>
        <w:ind w:right="624" w:rightChars="297"/>
        <w:rPr>
          <w:rFonts w:ascii="宋体" w:hAnsi="宋体" w:eastAsia="宋体"/>
          <w:color w:val="auto"/>
          <w:sz w:val="24"/>
          <w:szCs w:val="24"/>
          <w:highlight w:val="none"/>
        </w:rPr>
      </w:pPr>
    </w:p>
    <w:p w14:paraId="1E89527A">
      <w:pPr>
        <w:adjustRightInd w:val="0"/>
        <w:snapToGrid w:val="0"/>
        <w:spacing w:line="360" w:lineRule="auto"/>
        <w:ind w:right="624" w:rightChars="297"/>
        <w:rPr>
          <w:rFonts w:ascii="宋体" w:hAnsi="宋体" w:eastAsia="宋体" w:cs="宋体"/>
          <w:b/>
          <w:bCs/>
          <w:color w:val="auto"/>
          <w:kern w:val="0"/>
          <w:sz w:val="24"/>
          <w:szCs w:val="24"/>
          <w:highlight w:val="none"/>
        </w:rPr>
      </w:pPr>
      <w:r>
        <w:rPr>
          <w:rFonts w:hint="eastAsia" w:ascii="宋体" w:hAnsi="宋体" w:eastAsia="宋体" w:cs="宋体"/>
          <w:color w:val="auto"/>
          <w:kern w:val="0"/>
          <w:sz w:val="24"/>
          <w:szCs w:val="24"/>
          <w:highlight w:val="none"/>
        </w:rPr>
        <w:t>定标委员签名：                                日期：</w:t>
      </w:r>
    </w:p>
    <w:p w14:paraId="152DE45F">
      <w:pPr>
        <w:adjustRightInd w:val="0"/>
        <w:snapToGrid w:val="0"/>
        <w:spacing w:line="360" w:lineRule="auto"/>
        <w:ind w:right="-84" w:rightChars="-40"/>
        <w:rPr>
          <w:rFonts w:ascii="宋体" w:hAnsi="宋体" w:eastAsia="宋体" w:cs="宋体"/>
          <w:b/>
          <w:color w:val="auto"/>
          <w:kern w:val="0"/>
          <w:sz w:val="24"/>
          <w:szCs w:val="24"/>
          <w:highlight w:val="none"/>
          <w:u w:val="single"/>
        </w:rPr>
      </w:pPr>
    </w:p>
    <w:p w14:paraId="1C9EC005">
      <w:pPr>
        <w:widowControl/>
        <w:wordWrap w:val="0"/>
        <w:jc w:val="left"/>
        <w:rPr>
          <w:rFonts w:ascii="宋体" w:hAnsi="宋体" w:eastAsia="宋体" w:cs="宋体"/>
          <w:b/>
          <w:bCs/>
          <w:color w:val="auto"/>
          <w:kern w:val="0"/>
          <w:sz w:val="24"/>
          <w:szCs w:val="24"/>
          <w:highlight w:val="none"/>
          <w:lang w:val="zh-CN"/>
        </w:rPr>
      </w:pPr>
      <w:bookmarkStart w:id="207" w:name="_Toc32277"/>
      <w:r>
        <w:rPr>
          <w:rFonts w:hint="eastAsia" w:ascii="宋体" w:hAnsi="宋体" w:eastAsia="宋体" w:cs="宋体"/>
          <w:b/>
          <w:color w:val="auto"/>
          <w:kern w:val="0"/>
          <w:sz w:val="24"/>
          <w:szCs w:val="24"/>
          <w:highlight w:val="none"/>
        </w:rPr>
        <w:t>注：由定标委员会各成员依据招标文件中列出的各定标因素，给予进入定标环节的各合格中标候选人客观实际的评语，并作为投票依据。</w:t>
      </w:r>
      <w:bookmarkEnd w:id="207"/>
      <w:r>
        <w:rPr>
          <w:rFonts w:hint="eastAsia" w:ascii="宋体" w:hAnsi="宋体" w:eastAsia="宋体"/>
          <w:color w:val="auto"/>
          <w:sz w:val="24"/>
          <w:szCs w:val="24"/>
          <w:highlight w:val="none"/>
        </w:rPr>
        <w:br w:type="page"/>
      </w:r>
    </w:p>
    <w:p w14:paraId="71363FED">
      <w:pPr>
        <w:keepNext/>
        <w:keepLines/>
        <w:wordWrap w:val="0"/>
        <w:spacing w:line="360" w:lineRule="auto"/>
        <w:ind w:firstLine="482" w:firstLineChars="200"/>
        <w:jc w:val="center"/>
        <w:outlineLvl w:val="1"/>
        <w:rPr>
          <w:rFonts w:ascii="宋体" w:hAnsi="宋体" w:eastAsia="宋体" w:cs="宋体"/>
          <w:b/>
          <w:bCs/>
          <w:color w:val="auto"/>
          <w:kern w:val="0"/>
          <w:sz w:val="24"/>
          <w:szCs w:val="24"/>
          <w:highlight w:val="none"/>
          <w:lang w:val="zh-CN"/>
        </w:rPr>
        <w:sectPr>
          <w:pgSz w:w="11905" w:h="16838"/>
          <w:pgMar w:top="1474" w:right="1701" w:bottom="1474" w:left="1701" w:header="720" w:footer="720" w:gutter="0"/>
          <w:cols w:space="720" w:num="1"/>
        </w:sectPr>
      </w:pPr>
    </w:p>
    <w:p w14:paraId="5B5D4B50">
      <w:pPr>
        <w:wordWrap w:val="0"/>
        <w:autoSpaceDE w:val="0"/>
        <w:autoSpaceDN w:val="0"/>
        <w:spacing w:line="276" w:lineRule="auto"/>
        <w:jc w:val="left"/>
        <w:outlineLvl w:val="3"/>
        <w:rPr>
          <w:rFonts w:ascii="宋体" w:hAnsi="宋体" w:eastAsia="宋体" w:cs="宋体"/>
          <w:color w:val="auto"/>
          <w:kern w:val="0"/>
          <w:sz w:val="28"/>
          <w:szCs w:val="28"/>
          <w:highlight w:val="none"/>
        </w:rPr>
      </w:pPr>
      <w:bookmarkStart w:id="208" w:name="_Toc193358019"/>
      <w:bookmarkStart w:id="209" w:name="_Toc111186799"/>
      <w:r>
        <w:rPr>
          <w:rFonts w:hint="eastAsia" w:ascii="宋体" w:hAnsi="宋体" w:eastAsia="宋体" w:cs="宋体"/>
          <w:color w:val="auto"/>
          <w:kern w:val="0"/>
          <w:sz w:val="28"/>
          <w:szCs w:val="28"/>
          <w:highlight w:val="none"/>
        </w:rPr>
        <w:t>附件九：</w:t>
      </w:r>
    </w:p>
    <w:p w14:paraId="251F1CCC">
      <w:pPr>
        <w:jc w:val="center"/>
        <w:rPr>
          <w:rFonts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评标委员会成员声明</w:t>
      </w:r>
    </w:p>
    <w:p w14:paraId="35A084B1">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本项目招标人</w:t>
      </w:r>
      <w:r>
        <w:rPr>
          <w:rFonts w:hint="eastAsia" w:ascii="宋体" w:hAnsi="宋体" w:eastAsia="宋体" w:cs="宋体"/>
          <w:color w:val="auto"/>
          <w:sz w:val="24"/>
          <w:szCs w:val="24"/>
          <w:highlight w:val="none"/>
        </w:rPr>
        <w:t>：</w:t>
      </w:r>
    </w:p>
    <w:p w14:paraId="6A0F582F">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本人就参与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项目的评标工作，作出郑重声明：</w:t>
      </w:r>
    </w:p>
    <w:p w14:paraId="69B6F3C4">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一、本人严格遵守评标场所管理规定，服从评标场所现场管理。本人完全知悉并自愿在评审过程中通过电子手写签名板产生电子形式的签名，并认同由此方式产生的签名与本人手写、电子签名具有同等效力；本人使用该签名所签署的评标（审）材料及内容均为本人充分理解并符合本人真实意思表示。</w:t>
      </w:r>
    </w:p>
    <w:p w14:paraId="2AB2873D">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二、在本项目评标开始前，本人不存在以下需要向招标人提出回避的情形：（一）接收到任何单位或者个人授意本人倾向或者排斥本项目特定投标人的电话、短信、微信等；（二）私下接触本项目投标人；（三）收受本项目投标人、中介人、其他利害关系人的财物或者其他好处；（四）法律法规等规定的回避情形。</w:t>
      </w:r>
    </w:p>
    <w:p w14:paraId="1DFAEB41">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三、本人将按照本项目招标文件规定的评标标准和方法，客观、公正地对投标文件提出评审意见，不故意拖延评标时间，或者敷衍塞责随意评标，不透露本项目评标委员会成员身份，不透露对本项目投标文件的评审和比较、中标候选人的推荐情况、在评标过程中知悉的国家秘密和商业秘密以及与评标有关的其他情况。在本项目评标过程中，本人不对评标委员会其他成员的独立评审施加不当影响；不接受任何单位或者个人明示或者暗示提出的倾向或者排斥本项目特定投标人的要求；不对评标委员会其他成员或者其他人员发表带有倾向性、误导性的言论或者暗示性的意见建议。</w:t>
      </w:r>
    </w:p>
    <w:p w14:paraId="3E1FEA04">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四、评标结束后，如果本项目需要复核或者存在异议的，本人理解招标人将暂缓支付评审酬劳。本人保证在招标人要求的时间内配合招标人进行复核或者异议处理工作，也保证在规定时间内配合招标监督机构依法对本项目评审情况进行的调查。如果本人存在评审错误的，本人将主动改正错误，配合招标人挽回损失。</w:t>
      </w:r>
    </w:p>
    <w:p w14:paraId="69616747">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招标监督机构依法处理本项目投诉、信访或者举报时，经调查后确认本人存在评审错误的，本人接受招标人不支付本项目评审酬劳、将本人列入招标人评标专家回避名单等相关处理措施，本人也接受本项目招标监督机构依法对本人进行的处理。</w:t>
      </w:r>
    </w:p>
    <w:p w14:paraId="58C4081A">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如果本人违反上述声明内容，造成的后果由本人自行承担。</w:t>
      </w:r>
    </w:p>
    <w:p w14:paraId="0D8E2848">
      <w:pPr>
        <w:pStyle w:val="26"/>
        <w:rPr>
          <w:rFonts w:hAnsi="宋体"/>
          <w:color w:val="auto"/>
          <w:highlight w:val="none"/>
        </w:rPr>
        <w:sectPr>
          <w:type w:val="continuous"/>
          <w:pgSz w:w="11905" w:h="16838"/>
          <w:pgMar w:top="1474" w:right="1701" w:bottom="1474" w:left="1701" w:header="720" w:footer="720" w:gutter="0"/>
          <w:cols w:space="720" w:num="1"/>
          <w:docGrid w:linePitch="286" w:charSpace="0"/>
        </w:sectPr>
      </w:pPr>
      <w:r>
        <w:rPr>
          <w:rFonts w:hint="eastAsia" w:hAnsi="宋体" w:cs="宋体"/>
          <w:color w:val="auto"/>
          <w:sz w:val="24"/>
          <w:szCs w:val="24"/>
          <w:highlight w:val="none"/>
        </w:rPr>
        <w:t xml:space="preserve">                       </w:t>
      </w:r>
      <w:r>
        <w:rPr>
          <w:rFonts w:hint="eastAsia" w:hAnsi="宋体" w:cs="宋体"/>
          <w:color w:val="auto"/>
          <w:sz w:val="24"/>
          <w:szCs w:val="24"/>
          <w:highlight w:val="none"/>
          <w:lang w:val="en-US"/>
        </w:rPr>
        <w:t xml:space="preserve">                        </w:t>
      </w:r>
      <w:r>
        <w:rPr>
          <w:rFonts w:hint="eastAsia" w:hAnsi="宋体" w:cs="宋体"/>
          <w:color w:val="auto"/>
          <w:sz w:val="24"/>
          <w:szCs w:val="24"/>
          <w:highlight w:val="none"/>
        </w:rPr>
        <w:t xml:space="preserve">    声明人：</w:t>
      </w:r>
      <w:r>
        <w:rPr>
          <w:rFonts w:hint="eastAsia" w:hAnsi="宋体" w:cs="宋体"/>
          <w:color w:val="auto"/>
          <w:sz w:val="24"/>
          <w:szCs w:val="24"/>
          <w:highlight w:val="none"/>
          <w:u w:val="single"/>
        </w:rPr>
        <w:t xml:space="preserve">（签名）  </w:t>
      </w:r>
    </w:p>
    <w:p w14:paraId="50C98826">
      <w:pPr>
        <w:pStyle w:val="2"/>
        <w:rPr>
          <w:rFonts w:ascii="宋体" w:hAnsi="宋体"/>
          <w:color w:val="auto"/>
          <w:highlight w:val="none"/>
        </w:rPr>
      </w:pPr>
      <w:r>
        <w:rPr>
          <w:rFonts w:hint="eastAsia" w:ascii="宋体" w:hAnsi="宋体"/>
          <w:color w:val="auto"/>
          <w:highlight w:val="none"/>
          <w:lang w:val="en-US"/>
        </w:rPr>
        <w:drawing>
          <wp:anchor distT="0" distB="0" distL="114300" distR="114300" simplePos="0" relativeHeight="251659264" behindDoc="1" locked="0" layoutInCell="1" allowOverlap="1">
            <wp:simplePos x="0" y="0"/>
            <wp:positionH relativeFrom="column">
              <wp:posOffset>-726440</wp:posOffset>
            </wp:positionH>
            <wp:positionV relativeFrom="paragraph">
              <wp:posOffset>341630</wp:posOffset>
            </wp:positionV>
            <wp:extent cx="4730115" cy="1774190"/>
            <wp:effectExtent l="0" t="0" r="0" b="0"/>
            <wp:wrapNone/>
            <wp:docPr id="44967105" name="图片 6" descr="说明: D:\我的文档\Documents\Tencent Files\294312491\FileRecv\SSGKC Inline_Col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7105" name="图片 6" descr="说明: D:\我的文档\Documents\Tencent Files\294312491\FileRecv\SSGKC Inline_Colour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30115" cy="1774190"/>
                    </a:xfrm>
                    <a:prstGeom prst="rect">
                      <a:avLst/>
                    </a:prstGeom>
                    <a:noFill/>
                    <a:ln>
                      <a:noFill/>
                    </a:ln>
                  </pic:spPr>
                </pic:pic>
              </a:graphicData>
            </a:graphic>
          </wp:anchor>
        </w:drawing>
      </w:r>
      <w:r>
        <w:rPr>
          <w:rFonts w:hint="eastAsia" w:ascii="宋体" w:hAnsi="宋体"/>
          <w:color w:val="auto"/>
          <w:highlight w:val="none"/>
        </w:rPr>
        <w:t>第四章  合同条款及格式</w:t>
      </w:r>
      <w:bookmarkEnd w:id="208"/>
      <w:bookmarkEnd w:id="209"/>
    </w:p>
    <w:p w14:paraId="5E78EC00">
      <w:pPr>
        <w:spacing w:line="0" w:lineRule="atLeast"/>
        <w:jc w:val="center"/>
        <w:rPr>
          <w:rFonts w:ascii="宋体" w:hAnsi="宋体" w:eastAsia="宋体"/>
          <w:color w:val="auto"/>
          <w:sz w:val="24"/>
          <w:highlight w:val="none"/>
        </w:rPr>
      </w:pPr>
      <w:r>
        <w:rPr>
          <w:rFonts w:hint="eastAsia" w:ascii="宋体" w:hAnsi="宋体" w:eastAsia="宋体"/>
          <w:color w:val="auto"/>
          <w:highlight w:val="none"/>
        </w:rPr>
        <w:t xml:space="preserve"> </w:t>
      </w:r>
    </w:p>
    <w:p w14:paraId="60029FCE">
      <w:pPr>
        <w:spacing w:line="0" w:lineRule="atLeast"/>
        <w:jc w:val="center"/>
        <w:rPr>
          <w:rFonts w:ascii="宋体" w:hAnsi="宋体" w:eastAsia="宋体"/>
          <w:color w:val="auto"/>
          <w:sz w:val="24"/>
          <w:highlight w:val="none"/>
        </w:rPr>
      </w:pPr>
    </w:p>
    <w:p w14:paraId="5FB97993">
      <w:pPr>
        <w:spacing w:line="0" w:lineRule="atLeast"/>
        <w:jc w:val="center"/>
        <w:rPr>
          <w:rFonts w:ascii="宋体" w:hAnsi="宋体" w:eastAsia="宋体"/>
          <w:color w:val="auto"/>
          <w:sz w:val="24"/>
          <w:highlight w:val="none"/>
        </w:rPr>
      </w:pPr>
    </w:p>
    <w:p w14:paraId="6979F123">
      <w:pPr>
        <w:ind w:firstLine="5565" w:firstLineChars="2650"/>
        <w:rPr>
          <w:rFonts w:ascii="宋体" w:hAnsi="宋体" w:eastAsia="宋体"/>
          <w:color w:val="auto"/>
          <w:highlight w:val="none"/>
        </w:rPr>
      </w:pPr>
      <w:r>
        <w:rPr>
          <w:rFonts w:hint="eastAsia" w:ascii="宋体" w:hAnsi="宋体" w:eastAsia="宋体"/>
          <w:color w:val="auto"/>
          <w:highlight w:val="none"/>
        </w:rPr>
        <w:t xml:space="preserve">     </w:t>
      </w:r>
    </w:p>
    <w:p w14:paraId="0624CBC5">
      <w:pPr>
        <w:ind w:firstLine="5565" w:firstLineChars="2650"/>
        <w:rPr>
          <w:rFonts w:ascii="宋体" w:hAnsi="宋体" w:eastAsia="宋体"/>
          <w:color w:val="auto"/>
          <w:highlight w:val="none"/>
        </w:rPr>
      </w:pPr>
    </w:p>
    <w:p w14:paraId="4CAA084D">
      <w:pPr>
        <w:ind w:firstLine="5565" w:firstLineChars="2650"/>
        <w:rPr>
          <w:rFonts w:ascii="宋体" w:hAnsi="宋体" w:eastAsia="宋体"/>
          <w:color w:val="auto"/>
          <w:highlight w:val="none"/>
        </w:rPr>
      </w:pPr>
    </w:p>
    <w:p w14:paraId="320D539B">
      <w:pPr>
        <w:ind w:firstLine="5565" w:firstLineChars="2650"/>
        <w:rPr>
          <w:rFonts w:ascii="宋体" w:hAnsi="宋体" w:eastAsia="宋体"/>
          <w:color w:val="auto"/>
          <w:highlight w:val="none"/>
        </w:rPr>
      </w:pPr>
    </w:p>
    <w:p w14:paraId="444D2EC9">
      <w:pPr>
        <w:ind w:firstLine="4393" w:firstLineChars="1997"/>
        <w:rPr>
          <w:rFonts w:ascii="宋体" w:hAnsi="宋体" w:eastAsia="宋体"/>
          <w:color w:val="auto"/>
          <w:sz w:val="22"/>
          <w:szCs w:val="21"/>
          <w:highlight w:val="none"/>
        </w:rPr>
      </w:pPr>
    </w:p>
    <w:p w14:paraId="6008A7D0">
      <w:pPr>
        <w:ind w:firstLine="4393" w:firstLineChars="1997"/>
        <w:rPr>
          <w:rFonts w:ascii="宋体" w:hAnsi="宋体" w:eastAsia="宋体"/>
          <w:color w:val="auto"/>
          <w:sz w:val="22"/>
          <w:highlight w:val="none"/>
        </w:rPr>
      </w:pPr>
      <w:r>
        <w:rPr>
          <w:rFonts w:hint="eastAsia" w:ascii="宋体" w:hAnsi="宋体" w:eastAsia="宋体"/>
          <w:color w:val="auto"/>
          <w:sz w:val="22"/>
          <w:szCs w:val="21"/>
          <w:highlight w:val="none"/>
        </w:rPr>
        <w:t>合同编号：中新知建管设[20  ]  号//</w:t>
      </w:r>
    </w:p>
    <w:p w14:paraId="471ACBC0">
      <w:pPr>
        <w:ind w:firstLine="7350" w:firstLineChars="3500"/>
        <w:rPr>
          <w:rFonts w:ascii="宋体" w:hAnsi="宋体" w:eastAsia="宋体"/>
          <w:color w:val="auto"/>
          <w:highlight w:val="none"/>
        </w:rPr>
      </w:pPr>
      <w:r>
        <w:rPr>
          <w:rFonts w:hint="eastAsia" w:ascii="宋体" w:hAnsi="宋体" w:eastAsia="宋体"/>
          <w:color w:val="auto"/>
          <w:highlight w:val="none"/>
        </w:rPr>
        <w:t xml:space="preserve">               </w:t>
      </w:r>
    </w:p>
    <w:p w14:paraId="6A0761E2">
      <w:pPr>
        <w:ind w:firstLine="840" w:firstLineChars="400"/>
        <w:rPr>
          <w:rFonts w:ascii="宋体" w:hAnsi="宋体" w:eastAsia="宋体"/>
          <w:color w:val="auto"/>
          <w:highlight w:val="none"/>
        </w:rPr>
      </w:pPr>
    </w:p>
    <w:p w14:paraId="384312D6">
      <w:pPr>
        <w:ind w:firstLine="840" w:firstLineChars="400"/>
        <w:rPr>
          <w:rFonts w:ascii="宋体" w:hAnsi="宋体" w:eastAsia="宋体"/>
          <w:color w:val="auto"/>
          <w:highlight w:val="none"/>
        </w:rPr>
      </w:pPr>
      <w:r>
        <w:rPr>
          <w:rFonts w:hint="eastAsia" w:ascii="宋体" w:hAnsi="宋体" w:eastAsia="宋体"/>
          <w:color w:val="auto"/>
          <w:highlight w:val="none"/>
        </w:rPr>
        <w:t xml:space="preserve">                                                              </w:t>
      </w:r>
    </w:p>
    <w:p w14:paraId="00367FA0">
      <w:pPr>
        <w:ind w:firstLine="840" w:firstLineChars="400"/>
        <w:rPr>
          <w:rFonts w:ascii="宋体" w:hAnsi="宋体" w:eastAsia="宋体"/>
          <w:color w:val="auto"/>
          <w:highlight w:val="none"/>
        </w:rPr>
      </w:pPr>
      <w:r>
        <w:rPr>
          <w:rFonts w:hint="eastAsia" w:ascii="宋体" w:hAnsi="宋体" w:eastAsia="宋体"/>
          <w:color w:val="auto"/>
          <w:highlight w:val="none"/>
        </w:rPr>
        <w:t xml:space="preserve">                     </w:t>
      </w:r>
      <w:r>
        <w:rPr>
          <w:rFonts w:hint="eastAsia" w:ascii="宋体" w:hAnsi="宋体" w:eastAsia="宋体"/>
          <w:color w:val="auto"/>
          <w:highlight w:val="none"/>
        </w:rPr>
        <w:drawing>
          <wp:anchor distT="0" distB="0" distL="114300" distR="114300" simplePos="0" relativeHeight="251661312" behindDoc="0" locked="0" layoutInCell="1" allowOverlap="1">
            <wp:simplePos x="0" y="0"/>
            <wp:positionH relativeFrom="margin">
              <wp:align>right</wp:align>
            </wp:positionH>
            <wp:positionV relativeFrom="paragraph">
              <wp:posOffset>323215</wp:posOffset>
            </wp:positionV>
            <wp:extent cx="5399405" cy="472440"/>
            <wp:effectExtent l="0" t="0" r="0" b="3810"/>
            <wp:wrapSquare wrapText="bothSides"/>
            <wp:docPr id="6066948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694826"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399405" cy="472440"/>
                    </a:xfrm>
                    <a:prstGeom prst="rect">
                      <a:avLst/>
                    </a:prstGeom>
                    <a:noFill/>
                    <a:ln>
                      <a:noFill/>
                    </a:ln>
                  </pic:spPr>
                </pic:pic>
              </a:graphicData>
            </a:graphic>
          </wp:anchor>
        </w:drawing>
      </w:r>
    </w:p>
    <w:p w14:paraId="45CAD579">
      <w:pPr>
        <w:snapToGrid w:val="0"/>
        <w:spacing w:line="440" w:lineRule="exact"/>
        <w:ind w:left="-197" w:leftChars="-94"/>
        <w:jc w:val="center"/>
        <w:rPr>
          <w:rFonts w:ascii="宋体" w:hAnsi="宋体" w:eastAsia="宋体"/>
          <w:color w:val="auto"/>
          <w:highlight w:val="none"/>
        </w:rPr>
      </w:pPr>
    </w:p>
    <w:p w14:paraId="116C4D37">
      <w:pPr>
        <w:spacing w:line="480" w:lineRule="exact"/>
        <w:jc w:val="center"/>
        <w:rPr>
          <w:rFonts w:ascii="宋体" w:hAnsi="宋体" w:eastAsia="宋体"/>
          <w:color w:val="auto"/>
          <w:sz w:val="28"/>
          <w:szCs w:val="28"/>
          <w:highlight w:val="none"/>
        </w:rPr>
      </w:pPr>
    </w:p>
    <w:p w14:paraId="02DAF912">
      <w:pPr>
        <w:spacing w:line="480" w:lineRule="exact"/>
        <w:ind w:firstLine="991" w:firstLineChars="354"/>
        <w:rPr>
          <w:rFonts w:ascii="宋体" w:hAnsi="宋体" w:eastAsia="宋体"/>
          <w:color w:val="auto"/>
          <w:sz w:val="28"/>
          <w:szCs w:val="28"/>
          <w:highlight w:val="none"/>
          <w:u w:val="single"/>
        </w:rPr>
      </w:pPr>
      <w:r>
        <w:rPr>
          <w:rFonts w:hint="eastAsia" w:ascii="宋体" w:hAnsi="宋体" w:eastAsia="宋体"/>
          <w:color w:val="auto"/>
          <w:sz w:val="28"/>
          <w:szCs w:val="28"/>
          <w:highlight w:val="none"/>
        </w:rPr>
        <w:t>项目名称：</w:t>
      </w:r>
      <w:r>
        <w:rPr>
          <w:rFonts w:hint="eastAsia" w:ascii="宋体" w:hAnsi="宋体" w:eastAsia="宋体"/>
          <w:color w:val="auto"/>
          <w:sz w:val="28"/>
          <w:szCs w:val="28"/>
          <w:highlight w:val="none"/>
          <w:u w:val="single"/>
        </w:rPr>
        <w:t xml:space="preserve">                                      </w:t>
      </w:r>
    </w:p>
    <w:p w14:paraId="2591E2F6">
      <w:pPr>
        <w:spacing w:line="480" w:lineRule="exact"/>
        <w:ind w:firstLine="991" w:firstLineChars="354"/>
        <w:rPr>
          <w:rFonts w:ascii="宋体" w:hAnsi="宋体" w:eastAsia="宋体"/>
          <w:color w:val="auto"/>
          <w:sz w:val="28"/>
          <w:szCs w:val="28"/>
          <w:highlight w:val="none"/>
          <w:u w:val="single"/>
        </w:rPr>
      </w:pPr>
      <w:r>
        <w:rPr>
          <w:rFonts w:hint="eastAsia" w:ascii="宋体" w:hAnsi="宋体" w:eastAsia="宋体"/>
          <w:color w:val="auto"/>
          <w:sz w:val="28"/>
          <w:szCs w:val="28"/>
          <w:highlight w:val="none"/>
        </w:rPr>
        <w:t>发包人：</w:t>
      </w:r>
      <w:r>
        <w:rPr>
          <w:rFonts w:hint="eastAsia" w:ascii="宋体" w:hAnsi="宋体" w:eastAsia="宋体"/>
          <w:color w:val="auto"/>
          <w:sz w:val="28"/>
          <w:szCs w:val="28"/>
          <w:highlight w:val="none"/>
          <w:u w:val="single"/>
        </w:rPr>
        <w:t>中新广州知识城财政投资建设项目管理中心</w:t>
      </w:r>
    </w:p>
    <w:p w14:paraId="68BCAC6B">
      <w:pPr>
        <w:snapToGrid w:val="0"/>
        <w:spacing w:line="440" w:lineRule="exact"/>
        <w:ind w:firstLine="991" w:firstLineChars="354"/>
        <w:rPr>
          <w:rFonts w:ascii="宋体" w:hAnsi="宋体" w:eastAsia="宋体"/>
          <w:color w:val="auto"/>
          <w:sz w:val="28"/>
          <w:szCs w:val="28"/>
          <w:highlight w:val="none"/>
          <w:u w:val="single"/>
        </w:rPr>
      </w:pPr>
      <w:r>
        <w:rPr>
          <w:rFonts w:hint="eastAsia" w:ascii="宋体" w:hAnsi="宋体" w:eastAsia="宋体"/>
          <w:color w:val="auto"/>
          <w:sz w:val="28"/>
          <w:szCs w:val="28"/>
          <w:highlight w:val="none"/>
        </w:rPr>
        <w:t>勘察、设计人：</w:t>
      </w:r>
      <w:r>
        <w:rPr>
          <w:rFonts w:hint="eastAsia" w:ascii="宋体" w:hAnsi="宋体" w:eastAsia="宋体"/>
          <w:color w:val="auto"/>
          <w:sz w:val="28"/>
          <w:szCs w:val="28"/>
          <w:highlight w:val="none"/>
          <w:u w:val="single"/>
        </w:rPr>
        <w:t xml:space="preserve">                                  </w:t>
      </w:r>
    </w:p>
    <w:p w14:paraId="292F666E">
      <w:pPr>
        <w:spacing w:line="480" w:lineRule="exact"/>
        <w:ind w:firstLine="991" w:firstLineChars="354"/>
        <w:rPr>
          <w:rFonts w:ascii="宋体" w:hAnsi="宋体" w:eastAsia="宋体"/>
          <w:color w:val="auto"/>
          <w:sz w:val="28"/>
          <w:szCs w:val="28"/>
          <w:highlight w:val="none"/>
          <w:u w:val="single"/>
        </w:rPr>
      </w:pPr>
      <w:r>
        <w:rPr>
          <w:rFonts w:hint="eastAsia" w:ascii="宋体" w:hAnsi="宋体" w:eastAsia="宋体"/>
          <w:color w:val="auto"/>
          <w:sz w:val="28"/>
          <w:szCs w:val="28"/>
          <w:highlight w:val="none"/>
        </w:rPr>
        <w:t>合同签订日期：</w:t>
      </w:r>
      <w:r>
        <w:rPr>
          <w:rFonts w:hint="eastAsia" w:ascii="宋体" w:hAnsi="宋体" w:eastAsia="宋体"/>
          <w:color w:val="auto"/>
          <w:sz w:val="28"/>
          <w:szCs w:val="28"/>
          <w:highlight w:val="none"/>
          <w:u w:val="single"/>
        </w:rPr>
        <w:t xml:space="preserve">         年    月    日         </w:t>
      </w:r>
    </w:p>
    <w:p w14:paraId="1A795079">
      <w:pPr>
        <w:spacing w:line="480" w:lineRule="exact"/>
        <w:ind w:firstLine="991" w:firstLineChars="354"/>
        <w:rPr>
          <w:rFonts w:ascii="宋体" w:hAnsi="宋体" w:eastAsia="宋体"/>
          <w:color w:val="auto"/>
          <w:sz w:val="28"/>
          <w:szCs w:val="28"/>
          <w:highlight w:val="none"/>
          <w:u w:val="single"/>
        </w:rPr>
      </w:pPr>
      <w:r>
        <w:rPr>
          <w:rFonts w:hint="eastAsia" w:ascii="宋体" w:hAnsi="宋体" w:eastAsia="宋体"/>
          <w:color w:val="auto"/>
          <w:sz w:val="28"/>
          <w:szCs w:val="28"/>
          <w:highlight w:val="none"/>
        </w:rPr>
        <w:drawing>
          <wp:anchor distT="0" distB="0" distL="114300" distR="114300" simplePos="0" relativeHeight="251660288" behindDoc="0" locked="0" layoutInCell="1" allowOverlap="0">
            <wp:simplePos x="0" y="0"/>
            <wp:positionH relativeFrom="margin">
              <wp:align>center</wp:align>
            </wp:positionH>
            <wp:positionV relativeFrom="paragraph">
              <wp:posOffset>450215</wp:posOffset>
            </wp:positionV>
            <wp:extent cx="7001510" cy="2438400"/>
            <wp:effectExtent l="0" t="0" r="8890" b="0"/>
            <wp:wrapSquare wrapText="bothSides"/>
            <wp:docPr id="18075719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71919"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7001796" cy="2438400"/>
                    </a:xfrm>
                    <a:prstGeom prst="rect">
                      <a:avLst/>
                    </a:prstGeom>
                    <a:noFill/>
                    <a:ln>
                      <a:noFill/>
                    </a:ln>
                  </pic:spPr>
                </pic:pic>
              </a:graphicData>
            </a:graphic>
          </wp:anchor>
        </w:drawing>
      </w:r>
      <w:r>
        <w:rPr>
          <w:rFonts w:hint="eastAsia" w:ascii="宋体" w:hAnsi="宋体" w:eastAsia="宋体"/>
          <w:color w:val="auto"/>
          <w:sz w:val="28"/>
          <w:szCs w:val="28"/>
          <w:highlight w:val="none"/>
        </w:rPr>
        <w:t>签订地点：</w:t>
      </w:r>
      <w:r>
        <w:rPr>
          <w:rFonts w:hint="eastAsia" w:ascii="宋体" w:hAnsi="宋体" w:eastAsia="宋体"/>
          <w:color w:val="auto"/>
          <w:sz w:val="28"/>
          <w:szCs w:val="28"/>
          <w:highlight w:val="none"/>
          <w:u w:val="single"/>
        </w:rPr>
        <w:t xml:space="preserve">           广州市黄埔区           </w:t>
      </w:r>
    </w:p>
    <w:p w14:paraId="3B10E283">
      <w:pPr>
        <w:widowControl/>
        <w:jc w:val="left"/>
        <w:rPr>
          <w:rFonts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u w:val="single"/>
        </w:rPr>
        <w:br w:type="page"/>
      </w:r>
    </w:p>
    <w:p w14:paraId="11CE8A0B">
      <w:pPr>
        <w:widowControl/>
        <w:wordWrap w:val="0"/>
        <w:topLinePunct/>
        <w:adjustRightInd w:val="0"/>
        <w:snapToGrid w:val="0"/>
        <w:spacing w:line="360" w:lineRule="auto"/>
        <w:jc w:val="center"/>
        <w:rPr>
          <w:rFonts w:ascii="宋体" w:hAnsi="宋体" w:eastAsia="宋体" w:cs="Times New Roman"/>
          <w:b/>
          <w:bCs/>
          <w:color w:val="auto"/>
          <w:spacing w:val="110"/>
          <w:sz w:val="44"/>
          <w:szCs w:val="44"/>
          <w:highlight w:val="none"/>
        </w:rPr>
      </w:pPr>
      <w:r>
        <w:rPr>
          <w:rFonts w:hint="eastAsia" w:ascii="宋体" w:hAnsi="宋体" w:eastAsia="宋体" w:cs="Times New Roman"/>
          <w:b/>
          <w:bCs/>
          <w:color w:val="auto"/>
          <w:spacing w:val="110"/>
          <w:sz w:val="44"/>
          <w:szCs w:val="44"/>
          <w:highlight w:val="none"/>
        </w:rPr>
        <w:t>一、协议书</w:t>
      </w:r>
    </w:p>
    <w:p w14:paraId="3B92824A">
      <w:pPr>
        <w:widowControl/>
        <w:wordWrap w:val="0"/>
        <w:topLinePunct/>
        <w:adjustRightInd w:val="0"/>
        <w:snapToGrid w:val="0"/>
        <w:spacing w:line="360" w:lineRule="auto"/>
        <w:jc w:val="center"/>
        <w:rPr>
          <w:rFonts w:ascii="宋体" w:hAnsi="宋体" w:eastAsia="宋体" w:cs="Times New Roman"/>
          <w:color w:val="auto"/>
          <w:szCs w:val="24"/>
          <w:highlight w:val="none"/>
        </w:rPr>
      </w:pPr>
    </w:p>
    <w:p w14:paraId="7E9D36DB">
      <w:pPr>
        <w:widowControl/>
        <w:wordWrap w:val="0"/>
        <w:topLinePunct/>
        <w:adjustRightInd w:val="0"/>
        <w:snapToGrid w:val="0"/>
        <w:spacing w:line="360" w:lineRule="auto"/>
        <w:rPr>
          <w:rFonts w:ascii="宋体" w:hAnsi="宋体" w:eastAsia="宋体" w:cs="Times New Roman"/>
          <w:color w:val="auto"/>
          <w:szCs w:val="24"/>
          <w:highlight w:val="none"/>
        </w:rPr>
      </w:pPr>
    </w:p>
    <w:p w14:paraId="704E77ED">
      <w:pPr>
        <w:widowControl/>
        <w:wordWrap w:val="0"/>
        <w:topLinePunct/>
        <w:adjustRightInd w:val="0"/>
        <w:snapToGrid w:val="0"/>
        <w:spacing w:line="360" w:lineRule="auto"/>
        <w:ind w:left="2" w:leftChars="1"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发包人</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与勘察、设计人</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经过双方协商一致，签订本合同。</w:t>
      </w:r>
    </w:p>
    <w:p w14:paraId="0D5BAF6B">
      <w:pPr>
        <w:widowControl/>
        <w:wordWrap w:val="0"/>
        <w:topLinePunct/>
        <w:adjustRightInd w:val="0"/>
        <w:snapToGrid w:val="0"/>
        <w:spacing w:line="360" w:lineRule="auto"/>
        <w:ind w:firstLine="360" w:firstLineChars="15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一、下列文件均为本合同的组成部分。</w:t>
      </w:r>
    </w:p>
    <w:p w14:paraId="11655A24">
      <w:pPr>
        <w:widowControl/>
        <w:wordWrap w:val="0"/>
        <w:topLinePunct/>
        <w:adjustRightInd w:val="0"/>
        <w:snapToGrid w:val="0"/>
        <w:spacing w:line="360" w:lineRule="auto"/>
        <w:ind w:firstLine="360" w:firstLineChars="15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（1）中标通知书；</w:t>
      </w:r>
    </w:p>
    <w:p w14:paraId="783FC861">
      <w:pPr>
        <w:widowControl/>
        <w:wordWrap w:val="0"/>
        <w:topLinePunct/>
        <w:adjustRightInd w:val="0"/>
        <w:snapToGrid w:val="0"/>
        <w:spacing w:line="360" w:lineRule="auto"/>
        <w:ind w:firstLine="360" w:firstLineChars="15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（2）协议书；</w:t>
      </w:r>
    </w:p>
    <w:p w14:paraId="41F71F02">
      <w:pPr>
        <w:widowControl/>
        <w:wordWrap w:val="0"/>
        <w:topLinePunct/>
        <w:adjustRightInd w:val="0"/>
        <w:snapToGrid w:val="0"/>
        <w:spacing w:line="360" w:lineRule="auto"/>
        <w:ind w:firstLine="360" w:firstLineChars="15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（3）勘察合同；</w:t>
      </w:r>
    </w:p>
    <w:p w14:paraId="406D6D9D">
      <w:pPr>
        <w:widowControl/>
        <w:wordWrap w:val="0"/>
        <w:topLinePunct/>
        <w:adjustRightInd w:val="0"/>
        <w:snapToGrid w:val="0"/>
        <w:spacing w:line="360" w:lineRule="auto"/>
        <w:ind w:firstLine="360" w:firstLineChars="15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（4）设计合同；</w:t>
      </w:r>
    </w:p>
    <w:p w14:paraId="4112EA5D">
      <w:pPr>
        <w:widowControl/>
        <w:wordWrap w:val="0"/>
        <w:topLinePunct/>
        <w:adjustRightInd w:val="0"/>
        <w:snapToGrid w:val="0"/>
        <w:spacing w:line="360" w:lineRule="auto"/>
        <w:ind w:firstLine="360" w:firstLineChars="15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（5）在实施过程中双方共同签署的补充与修正文件。</w:t>
      </w:r>
    </w:p>
    <w:p w14:paraId="0DB5D2D2">
      <w:pPr>
        <w:widowControl/>
        <w:adjustRightInd w:val="0"/>
        <w:snapToGrid w:val="0"/>
        <w:spacing w:line="560" w:lineRule="exact"/>
        <w:ind w:right="11"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二、工程总投资约</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万元，本合同暂定价款</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万元，其中勘察合同暂定价款</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万元，设计合同暂定价款</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Times New Roman"/>
          <w:color w:val="auto"/>
          <w:sz w:val="24"/>
          <w:szCs w:val="24"/>
          <w:highlight w:val="none"/>
        </w:rPr>
        <w:t>万元。</w:t>
      </w:r>
    </w:p>
    <w:p w14:paraId="13657E62">
      <w:pPr>
        <w:widowControl/>
        <w:adjustRightInd w:val="0"/>
        <w:snapToGrid w:val="0"/>
        <w:spacing w:line="560" w:lineRule="exact"/>
        <w:ind w:right="11"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最终结算的勘察、设计费以广州开发区财政局或其授权委托单位审定为准。如遇审计部门审计发现本合同结算价款存在超付的情形，发包人有权据实要求勘察、设计人返还该部分款项。</w:t>
      </w:r>
    </w:p>
    <w:p w14:paraId="37AE4301">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三、如本合同需缴纳合同印花税，勘察、设计人需在有关税务部门规定期限及结清本合同费用前，代缴按规定属发包人缴纳的部分，代缴后发包人按代缴金额实报实销。勘察、设计人未按规定期限代缴印花税的，因此产生的滞纳金由勘察、设计人承担。</w:t>
      </w:r>
    </w:p>
    <w:p w14:paraId="334D4931">
      <w:pPr>
        <w:topLinePunct/>
        <w:adjustRightInd w:val="0"/>
        <w:snapToGrid w:val="0"/>
        <w:spacing w:line="44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四、勘察、设计人向一家或者多家小微勘察、设计企业分包的合同份额为合同总金额   %（其中：向 XXXX公司分包工程本合同金额占比为   %、向 XXXX公司分包工程本合同金额占比为   %...）（按《中小企业声明函》执行）。经查实，该分包企业若不具备承接分包工作任务相应资质的，勘察、设计人需另行分包给具备承接分包工作任务资质的小微企业，分包给小微企业的总分包合同（含专业工程分包和劳务分包）金额占比不得低于《中小企业声明函》执行,且发包人予以勘察、设计人中标价的千分之五的处罚，并限制其一定期限内参与招标人后续项目投标。（本条适用于勘察、设计人为大中型企业，且其投标出具《中小企业声明函》，并享受中小企业扶持政策，否则签订合同做删除）勘察、设计人需建立分包管理台账，定期报监理、发包人审核和检查。</w:t>
      </w:r>
    </w:p>
    <w:p w14:paraId="36FDAFBF">
      <w:pPr>
        <w:wordWrap w:val="0"/>
        <w:topLinePunct/>
        <w:adjustRightInd w:val="0"/>
        <w:snapToGrid w:val="0"/>
        <w:spacing w:line="560" w:lineRule="exact"/>
        <w:ind w:firstLine="480" w:firstLineChars="200"/>
        <w:rPr>
          <w:rFonts w:ascii="宋体" w:hAnsi="宋体" w:eastAsia="宋体" w:cs="Times New Roman"/>
          <w:color w:val="auto"/>
          <w:szCs w:val="24"/>
          <w:highlight w:val="none"/>
        </w:rPr>
      </w:pPr>
      <w:r>
        <w:rPr>
          <w:rFonts w:hint="eastAsia" w:ascii="宋体" w:hAnsi="宋体" w:eastAsia="宋体" w:cs="Times New Roman"/>
          <w:color w:val="auto"/>
          <w:sz w:val="24"/>
          <w:szCs w:val="24"/>
          <w:highlight w:val="none"/>
          <w:u w:val="single"/>
        </w:rPr>
        <w:t>五、如勘察、设计人为联合体的，联合体协议经发包人确认后作为合同附件。在履行合同过程中，不得变更联合体成员和其负责的工作范围，或者修改联合体协议中与本合同履行相关的内容。本合同协议书由联合体共同签订，勘察合同、设计合同分别由承担相应工作的联合体方签订。 勘察费、设计费分别由承担相应工作的联合体方负责收取，开具相应合同价款全额发票。（若出现多家勘察单位或者多家设计单位组成的联合体中标人，则由承担主要勘察任务的一家联合体成员单位负责收取勘察费，承担主要设计任务的一家联合体成员单位负责收取设计费）</w:t>
      </w:r>
    </w:p>
    <w:p w14:paraId="3D4C0F26">
      <w:pPr>
        <w:widowControl/>
        <w:wordWrap w:val="0"/>
        <w:topLinePunct/>
        <w:adjustRightInd w:val="0"/>
        <w:snapToGrid w:val="0"/>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六、本合同自发包人及勘察、设计人签字盖章后生效，发包人及勘察、设计人履行完合同约定的义务后，本合同终止。</w:t>
      </w:r>
    </w:p>
    <w:p w14:paraId="29EDF9B3">
      <w:pPr>
        <w:widowControl/>
        <w:wordWrap w:val="0"/>
        <w:topLinePunct/>
        <w:adjustRightInd w:val="0"/>
        <w:snapToGrid w:val="0"/>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七、本合同正本一式</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份，发包人执一份，勘察设计人执</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份，副本九份，发包人执五份，勘察设计人执</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份。</w:t>
      </w:r>
    </w:p>
    <w:tbl>
      <w:tblPr>
        <w:tblStyle w:val="46"/>
        <w:tblW w:w="0" w:type="auto"/>
        <w:tblInd w:w="0" w:type="dxa"/>
        <w:tblLayout w:type="fixed"/>
        <w:tblCellMar>
          <w:top w:w="0" w:type="dxa"/>
          <w:left w:w="108" w:type="dxa"/>
          <w:bottom w:w="0" w:type="dxa"/>
          <w:right w:w="108" w:type="dxa"/>
        </w:tblCellMar>
      </w:tblPr>
      <w:tblGrid>
        <w:gridCol w:w="1668"/>
        <w:gridCol w:w="2596"/>
        <w:gridCol w:w="1656"/>
        <w:gridCol w:w="2608"/>
      </w:tblGrid>
      <w:tr w14:paraId="447A9FEF">
        <w:tblPrEx>
          <w:tblCellMar>
            <w:top w:w="0" w:type="dxa"/>
            <w:left w:w="108" w:type="dxa"/>
            <w:bottom w:w="0" w:type="dxa"/>
            <w:right w:w="108" w:type="dxa"/>
          </w:tblCellMar>
        </w:tblPrEx>
        <w:trPr>
          <w:trHeight w:val="1021" w:hRule="atLeast"/>
        </w:trPr>
        <w:tc>
          <w:tcPr>
            <w:tcW w:w="1668" w:type="dxa"/>
            <w:vAlign w:val="center"/>
          </w:tcPr>
          <w:p w14:paraId="29911A27">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发  包  人：</w:t>
            </w:r>
          </w:p>
        </w:tc>
        <w:tc>
          <w:tcPr>
            <w:tcW w:w="2596" w:type="dxa"/>
            <w:vAlign w:val="center"/>
          </w:tcPr>
          <w:p w14:paraId="3EA500A4">
            <w:pPr>
              <w:widowControl/>
              <w:wordWrap w:val="0"/>
              <w:topLinePunct/>
              <w:adjustRightInd w:val="0"/>
              <w:snapToGrid w:val="0"/>
              <w:spacing w:line="480" w:lineRule="exac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（公章）</w:t>
            </w:r>
          </w:p>
        </w:tc>
        <w:tc>
          <w:tcPr>
            <w:tcW w:w="1656" w:type="dxa"/>
            <w:vAlign w:val="center"/>
          </w:tcPr>
          <w:p w14:paraId="5B166F70">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勘察设计人：</w:t>
            </w:r>
          </w:p>
        </w:tc>
        <w:tc>
          <w:tcPr>
            <w:tcW w:w="2608" w:type="dxa"/>
            <w:vAlign w:val="center"/>
          </w:tcPr>
          <w:p w14:paraId="06BE100E">
            <w:pPr>
              <w:widowControl/>
              <w:wordWrap w:val="0"/>
              <w:topLinePunct/>
              <w:adjustRightInd w:val="0"/>
              <w:snapToGrid w:val="0"/>
              <w:spacing w:line="480" w:lineRule="exac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（公章）</w:t>
            </w:r>
          </w:p>
        </w:tc>
      </w:tr>
      <w:tr w14:paraId="01B2691C">
        <w:tblPrEx>
          <w:tblCellMar>
            <w:top w:w="0" w:type="dxa"/>
            <w:left w:w="108" w:type="dxa"/>
            <w:bottom w:w="0" w:type="dxa"/>
            <w:right w:w="108" w:type="dxa"/>
          </w:tblCellMar>
        </w:tblPrEx>
        <w:trPr>
          <w:trHeight w:val="1021" w:hRule="atLeast"/>
        </w:trPr>
        <w:tc>
          <w:tcPr>
            <w:tcW w:w="1668" w:type="dxa"/>
            <w:vAlign w:val="center"/>
          </w:tcPr>
          <w:p w14:paraId="2F566C2B">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地 址：</w:t>
            </w:r>
          </w:p>
        </w:tc>
        <w:tc>
          <w:tcPr>
            <w:tcW w:w="2596" w:type="dxa"/>
            <w:vAlign w:val="center"/>
          </w:tcPr>
          <w:p w14:paraId="21806705">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1656" w:type="dxa"/>
            <w:vAlign w:val="center"/>
          </w:tcPr>
          <w:p w14:paraId="55FCE389">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地 址：</w:t>
            </w:r>
          </w:p>
        </w:tc>
        <w:tc>
          <w:tcPr>
            <w:tcW w:w="2608" w:type="dxa"/>
            <w:vAlign w:val="center"/>
          </w:tcPr>
          <w:p w14:paraId="61B1EBDD">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14:paraId="5D81D39C">
        <w:tblPrEx>
          <w:tblCellMar>
            <w:top w:w="0" w:type="dxa"/>
            <w:left w:w="108" w:type="dxa"/>
            <w:bottom w:w="0" w:type="dxa"/>
            <w:right w:w="108" w:type="dxa"/>
          </w:tblCellMar>
        </w:tblPrEx>
        <w:trPr>
          <w:trHeight w:val="1021" w:hRule="atLeast"/>
        </w:trPr>
        <w:tc>
          <w:tcPr>
            <w:tcW w:w="1668" w:type="dxa"/>
            <w:vAlign w:val="center"/>
          </w:tcPr>
          <w:p w14:paraId="34771942">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法定代表人：</w:t>
            </w:r>
          </w:p>
        </w:tc>
        <w:tc>
          <w:tcPr>
            <w:tcW w:w="2596" w:type="dxa"/>
            <w:vAlign w:val="center"/>
          </w:tcPr>
          <w:p w14:paraId="5810DAC2">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1656" w:type="dxa"/>
            <w:vAlign w:val="center"/>
          </w:tcPr>
          <w:p w14:paraId="19A536E5">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法定代表人：</w:t>
            </w:r>
          </w:p>
        </w:tc>
        <w:tc>
          <w:tcPr>
            <w:tcW w:w="2608" w:type="dxa"/>
            <w:vAlign w:val="center"/>
          </w:tcPr>
          <w:p w14:paraId="7237B0AD">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14:paraId="3D0D0F33">
        <w:tblPrEx>
          <w:tblCellMar>
            <w:top w:w="0" w:type="dxa"/>
            <w:left w:w="108" w:type="dxa"/>
            <w:bottom w:w="0" w:type="dxa"/>
            <w:right w:w="108" w:type="dxa"/>
          </w:tblCellMar>
        </w:tblPrEx>
        <w:trPr>
          <w:trHeight w:val="1021" w:hRule="atLeast"/>
        </w:trPr>
        <w:tc>
          <w:tcPr>
            <w:tcW w:w="1668" w:type="dxa"/>
            <w:vAlign w:val="center"/>
          </w:tcPr>
          <w:p w14:paraId="589FDDC3">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委托代理人：</w:t>
            </w:r>
          </w:p>
        </w:tc>
        <w:tc>
          <w:tcPr>
            <w:tcW w:w="2596" w:type="dxa"/>
            <w:vAlign w:val="center"/>
          </w:tcPr>
          <w:p w14:paraId="080B76BB">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1656" w:type="dxa"/>
            <w:vAlign w:val="center"/>
          </w:tcPr>
          <w:p w14:paraId="3AD6A532">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委托代理人：</w:t>
            </w:r>
          </w:p>
        </w:tc>
        <w:tc>
          <w:tcPr>
            <w:tcW w:w="2608" w:type="dxa"/>
            <w:vAlign w:val="center"/>
          </w:tcPr>
          <w:p w14:paraId="578C5105">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14:paraId="5F0849DE">
        <w:tblPrEx>
          <w:tblCellMar>
            <w:top w:w="0" w:type="dxa"/>
            <w:left w:w="108" w:type="dxa"/>
            <w:bottom w:w="0" w:type="dxa"/>
            <w:right w:w="108" w:type="dxa"/>
          </w:tblCellMar>
        </w:tblPrEx>
        <w:trPr>
          <w:trHeight w:val="1021" w:hRule="atLeast"/>
        </w:trPr>
        <w:tc>
          <w:tcPr>
            <w:tcW w:w="1668" w:type="dxa"/>
            <w:vAlign w:val="center"/>
          </w:tcPr>
          <w:p w14:paraId="390CDDF6">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电    话：</w:t>
            </w:r>
          </w:p>
        </w:tc>
        <w:tc>
          <w:tcPr>
            <w:tcW w:w="2596" w:type="dxa"/>
            <w:vAlign w:val="center"/>
          </w:tcPr>
          <w:p w14:paraId="3DABF651">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1656" w:type="dxa"/>
            <w:vAlign w:val="center"/>
          </w:tcPr>
          <w:p w14:paraId="09155400">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电    话：</w:t>
            </w:r>
          </w:p>
        </w:tc>
        <w:tc>
          <w:tcPr>
            <w:tcW w:w="2608" w:type="dxa"/>
            <w:vAlign w:val="center"/>
          </w:tcPr>
          <w:p w14:paraId="12443DEC">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14:paraId="44EA2071">
        <w:tblPrEx>
          <w:tblCellMar>
            <w:top w:w="0" w:type="dxa"/>
            <w:left w:w="108" w:type="dxa"/>
            <w:bottom w:w="0" w:type="dxa"/>
            <w:right w:w="108" w:type="dxa"/>
          </w:tblCellMar>
        </w:tblPrEx>
        <w:trPr>
          <w:trHeight w:val="1021" w:hRule="atLeast"/>
        </w:trPr>
        <w:tc>
          <w:tcPr>
            <w:tcW w:w="1668" w:type="dxa"/>
            <w:vAlign w:val="center"/>
          </w:tcPr>
          <w:p w14:paraId="5C06C042">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传    真：</w:t>
            </w:r>
          </w:p>
        </w:tc>
        <w:tc>
          <w:tcPr>
            <w:tcW w:w="2596" w:type="dxa"/>
            <w:vAlign w:val="center"/>
          </w:tcPr>
          <w:p w14:paraId="0A0A926D">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1656" w:type="dxa"/>
            <w:vAlign w:val="center"/>
          </w:tcPr>
          <w:p w14:paraId="52A00908">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传    真：</w:t>
            </w:r>
          </w:p>
        </w:tc>
        <w:tc>
          <w:tcPr>
            <w:tcW w:w="2608" w:type="dxa"/>
            <w:vAlign w:val="center"/>
          </w:tcPr>
          <w:p w14:paraId="608762E7">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14:paraId="51401745">
        <w:tblPrEx>
          <w:tblCellMar>
            <w:top w:w="0" w:type="dxa"/>
            <w:left w:w="108" w:type="dxa"/>
            <w:bottom w:w="0" w:type="dxa"/>
            <w:right w:w="108" w:type="dxa"/>
          </w:tblCellMar>
        </w:tblPrEx>
        <w:trPr>
          <w:trHeight w:val="1021" w:hRule="atLeast"/>
        </w:trPr>
        <w:tc>
          <w:tcPr>
            <w:tcW w:w="1668" w:type="dxa"/>
            <w:vAlign w:val="center"/>
          </w:tcPr>
          <w:p w14:paraId="64EB77CC">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开户银行：</w:t>
            </w:r>
          </w:p>
        </w:tc>
        <w:tc>
          <w:tcPr>
            <w:tcW w:w="2596" w:type="dxa"/>
            <w:vAlign w:val="center"/>
          </w:tcPr>
          <w:p w14:paraId="385FCAC4">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1656" w:type="dxa"/>
            <w:vAlign w:val="center"/>
          </w:tcPr>
          <w:p w14:paraId="4DF28C22">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开户银行：</w:t>
            </w:r>
          </w:p>
        </w:tc>
        <w:tc>
          <w:tcPr>
            <w:tcW w:w="2608" w:type="dxa"/>
            <w:vAlign w:val="center"/>
          </w:tcPr>
          <w:p w14:paraId="6CF6C067">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14:paraId="19418D5A">
        <w:tblPrEx>
          <w:tblCellMar>
            <w:top w:w="0" w:type="dxa"/>
            <w:left w:w="108" w:type="dxa"/>
            <w:bottom w:w="0" w:type="dxa"/>
            <w:right w:w="108" w:type="dxa"/>
          </w:tblCellMar>
        </w:tblPrEx>
        <w:trPr>
          <w:trHeight w:val="1021" w:hRule="atLeast"/>
        </w:trPr>
        <w:tc>
          <w:tcPr>
            <w:tcW w:w="1668" w:type="dxa"/>
            <w:vAlign w:val="center"/>
          </w:tcPr>
          <w:p w14:paraId="22C9829E">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账    号：</w:t>
            </w:r>
          </w:p>
        </w:tc>
        <w:tc>
          <w:tcPr>
            <w:tcW w:w="2596" w:type="dxa"/>
            <w:vAlign w:val="center"/>
          </w:tcPr>
          <w:p w14:paraId="27A4A4FE">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1656" w:type="dxa"/>
            <w:vAlign w:val="center"/>
          </w:tcPr>
          <w:p w14:paraId="725A6396">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账    号：</w:t>
            </w:r>
          </w:p>
        </w:tc>
        <w:tc>
          <w:tcPr>
            <w:tcW w:w="2608" w:type="dxa"/>
            <w:vAlign w:val="center"/>
          </w:tcPr>
          <w:p w14:paraId="10AB5DFE">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14:paraId="138CD24E">
        <w:tblPrEx>
          <w:tblCellMar>
            <w:top w:w="0" w:type="dxa"/>
            <w:left w:w="108" w:type="dxa"/>
            <w:bottom w:w="0" w:type="dxa"/>
            <w:right w:w="108" w:type="dxa"/>
          </w:tblCellMar>
        </w:tblPrEx>
        <w:trPr>
          <w:trHeight w:val="1021" w:hRule="atLeast"/>
        </w:trPr>
        <w:tc>
          <w:tcPr>
            <w:tcW w:w="1668" w:type="dxa"/>
            <w:vAlign w:val="center"/>
          </w:tcPr>
          <w:p w14:paraId="02D87264">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邮政编码：</w:t>
            </w:r>
          </w:p>
        </w:tc>
        <w:tc>
          <w:tcPr>
            <w:tcW w:w="2596" w:type="dxa"/>
            <w:vAlign w:val="center"/>
          </w:tcPr>
          <w:p w14:paraId="44A91EC0">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1656" w:type="dxa"/>
            <w:vAlign w:val="center"/>
          </w:tcPr>
          <w:p w14:paraId="270D7CFA">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邮政编码：</w:t>
            </w:r>
          </w:p>
        </w:tc>
        <w:tc>
          <w:tcPr>
            <w:tcW w:w="2608" w:type="dxa"/>
            <w:vAlign w:val="center"/>
          </w:tcPr>
          <w:p w14:paraId="4B804967">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bl>
    <w:p w14:paraId="1C6CC4AB">
      <w:pPr>
        <w:widowControl/>
        <w:wordWrap w:val="0"/>
        <w:topLinePunct/>
        <w:adjustRightInd w:val="0"/>
        <w:snapToGrid w:val="0"/>
        <w:spacing w:line="480" w:lineRule="exact"/>
        <w:ind w:left="5520" w:hanging="5520" w:hangingChars="2300"/>
        <w:rPr>
          <w:rFonts w:ascii="宋体" w:hAnsi="宋体" w:eastAsia="宋体" w:cs="Times New Roman"/>
          <w:color w:val="auto"/>
          <w:sz w:val="24"/>
          <w:szCs w:val="24"/>
          <w:highlight w:val="none"/>
        </w:rPr>
      </w:pPr>
    </w:p>
    <w:p w14:paraId="7C54BE7C">
      <w:pPr>
        <w:widowControl/>
        <w:wordWrap w:val="0"/>
        <w:topLinePunct/>
        <w:adjustRightInd w:val="0"/>
        <w:snapToGrid w:val="0"/>
        <w:spacing w:line="480" w:lineRule="exact"/>
        <w:ind w:left="4772" w:leftChars="444" w:hanging="3840" w:hangingChars="1600"/>
        <w:rPr>
          <w:rFonts w:ascii="宋体" w:hAnsi="宋体" w:eastAsia="宋体" w:cs="Times New Roman"/>
          <w:color w:val="auto"/>
          <w:sz w:val="24"/>
          <w:szCs w:val="24"/>
          <w:highlight w:val="none"/>
        </w:rPr>
        <w:sectPr>
          <w:footerReference r:id="rId5" w:type="default"/>
          <w:pgSz w:w="11906" w:h="16838"/>
          <w:pgMar w:top="1418" w:right="1418" w:bottom="1418" w:left="1418" w:header="851" w:footer="992" w:gutter="0"/>
          <w:cols w:space="720" w:num="1"/>
          <w:docGrid w:type="linesAndChars" w:linePitch="312" w:charSpace="0"/>
        </w:sectPr>
      </w:pPr>
      <w:r>
        <w:rPr>
          <w:rFonts w:hint="eastAsia" w:ascii="宋体" w:hAnsi="宋体" w:eastAsia="宋体" w:cs="Times New Roman"/>
          <w:color w:val="auto"/>
          <w:sz w:val="24"/>
          <w:szCs w:val="24"/>
          <w:highlight w:val="none"/>
        </w:rPr>
        <w:t>订立时间：</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年</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月</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日，签订地点：广州市黄埔区</w:t>
      </w:r>
    </w:p>
    <w:p w14:paraId="038FBDD8">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联合体协议书（扫描件）</w:t>
      </w:r>
    </w:p>
    <w:p w14:paraId="3C72AE82">
      <w:pPr>
        <w:wordWrap w:val="0"/>
        <w:spacing w:line="360" w:lineRule="auto"/>
        <w:rPr>
          <w:rFonts w:ascii="宋体" w:hAnsi="宋体" w:eastAsia="宋体" w:cs="宋体"/>
          <w:bCs/>
          <w:color w:val="auto"/>
          <w:sz w:val="24"/>
          <w:szCs w:val="24"/>
          <w:highlight w:val="none"/>
          <w:u w:val="single"/>
        </w:rPr>
      </w:pPr>
      <w:r>
        <w:rPr>
          <w:rFonts w:hint="eastAsia" w:ascii="宋体" w:hAnsi="宋体" w:eastAsia="宋体" w:cs="Times New Roman"/>
          <w:b/>
          <w:color w:val="auto"/>
          <w:sz w:val="24"/>
          <w:szCs w:val="24"/>
          <w:highlight w:val="none"/>
        </w:rPr>
        <w:t>（如有）</w:t>
      </w:r>
    </w:p>
    <w:p w14:paraId="169D7D0F">
      <w:pPr>
        <w:widowControl/>
        <w:jc w:val="left"/>
        <w:rPr>
          <w:rFonts w:ascii="宋体" w:hAnsi="宋体" w:eastAsia="宋体" w:cs="宋体"/>
          <w:color w:val="auto"/>
          <w:szCs w:val="24"/>
          <w:highlight w:val="none"/>
        </w:rPr>
      </w:pPr>
      <w:r>
        <w:rPr>
          <w:rFonts w:hint="eastAsia" w:ascii="宋体" w:hAnsi="宋体" w:eastAsia="宋体" w:cs="宋体"/>
          <w:color w:val="auto"/>
          <w:szCs w:val="24"/>
          <w:highlight w:val="none"/>
        </w:rPr>
        <w:br w:type="page"/>
      </w:r>
    </w:p>
    <w:p w14:paraId="32D35508">
      <w:pPr>
        <w:widowControl/>
        <w:wordWrap w:val="0"/>
        <w:topLinePunct/>
        <w:adjustRightInd w:val="0"/>
        <w:snapToGrid w:val="0"/>
        <w:spacing w:line="480" w:lineRule="exact"/>
        <w:jc w:val="center"/>
        <w:rPr>
          <w:rFonts w:ascii="宋体" w:hAnsi="宋体" w:eastAsia="宋体" w:cs="Times New Roman"/>
          <w:b/>
          <w:bCs/>
          <w:color w:val="auto"/>
          <w:spacing w:val="110"/>
          <w:sz w:val="44"/>
          <w:szCs w:val="44"/>
          <w:highlight w:val="none"/>
        </w:rPr>
      </w:pPr>
      <w:r>
        <w:rPr>
          <w:rFonts w:hint="eastAsia" w:ascii="宋体" w:hAnsi="宋体" w:eastAsia="宋体" w:cs="Times New Roman"/>
          <w:b/>
          <w:bCs/>
          <w:color w:val="auto"/>
          <w:spacing w:val="110"/>
          <w:sz w:val="44"/>
          <w:szCs w:val="44"/>
          <w:highlight w:val="none"/>
        </w:rPr>
        <w:t>二、勘察合同</w:t>
      </w:r>
    </w:p>
    <w:p w14:paraId="7071F0AA">
      <w:pPr>
        <w:widowControl/>
        <w:wordWrap w:val="0"/>
        <w:topLinePunct/>
        <w:adjustRightInd w:val="0"/>
        <w:snapToGrid w:val="0"/>
        <w:spacing w:line="480" w:lineRule="exact"/>
        <w:rPr>
          <w:rFonts w:ascii="宋体" w:hAnsi="宋体" w:eastAsia="宋体" w:cs="Times New Roman"/>
          <w:color w:val="auto"/>
          <w:szCs w:val="21"/>
          <w:highlight w:val="none"/>
        </w:rPr>
      </w:pPr>
    </w:p>
    <w:p w14:paraId="5E2AA503">
      <w:pPr>
        <w:widowControl/>
        <w:wordWrap w:val="0"/>
        <w:topLinePunct/>
        <w:adjustRightInd w:val="0"/>
        <w:snapToGrid w:val="0"/>
        <w:spacing w:line="480" w:lineRule="exact"/>
        <w:rPr>
          <w:rFonts w:ascii="宋体" w:hAnsi="宋体" w:eastAsia="宋体" w:cs="Times New Roman"/>
          <w:color w:val="auto"/>
          <w:szCs w:val="21"/>
          <w:highlight w:val="none"/>
        </w:rPr>
      </w:pPr>
    </w:p>
    <w:p w14:paraId="25095CA7">
      <w:pPr>
        <w:widowControl/>
        <w:wordWrap w:val="0"/>
        <w:topLinePunct/>
        <w:adjustRightInd w:val="0"/>
        <w:snapToGrid w:val="0"/>
        <w:spacing w:line="480" w:lineRule="exact"/>
        <w:rPr>
          <w:rFonts w:ascii="宋体" w:hAnsi="宋体" w:eastAsia="宋体" w:cs="Times New Roman"/>
          <w:color w:val="auto"/>
          <w:szCs w:val="21"/>
          <w:highlight w:val="none"/>
        </w:rPr>
      </w:pPr>
    </w:p>
    <w:p w14:paraId="7334301B">
      <w:pPr>
        <w:widowControl/>
        <w:wordWrap w:val="0"/>
        <w:topLinePunct/>
        <w:adjustRightInd w:val="0"/>
        <w:snapToGrid w:val="0"/>
        <w:spacing w:line="480" w:lineRule="exact"/>
        <w:rPr>
          <w:rFonts w:ascii="宋体" w:hAnsi="宋体" w:eastAsia="宋体" w:cs="Times New Roman"/>
          <w:color w:val="auto"/>
          <w:szCs w:val="21"/>
          <w:highlight w:val="none"/>
        </w:rPr>
      </w:pPr>
    </w:p>
    <w:p w14:paraId="342679EA">
      <w:pPr>
        <w:widowControl/>
        <w:wordWrap w:val="0"/>
        <w:topLinePunct/>
        <w:adjustRightInd w:val="0"/>
        <w:snapToGrid w:val="0"/>
        <w:spacing w:line="480" w:lineRule="exact"/>
        <w:rPr>
          <w:rFonts w:ascii="宋体" w:hAnsi="宋体" w:eastAsia="宋体" w:cs="Times New Roman"/>
          <w:color w:val="auto"/>
          <w:szCs w:val="21"/>
          <w:highlight w:val="none"/>
        </w:rPr>
      </w:pPr>
    </w:p>
    <w:p w14:paraId="431FD475">
      <w:pPr>
        <w:widowControl/>
        <w:wordWrap w:val="0"/>
        <w:topLinePunct/>
        <w:adjustRightInd w:val="0"/>
        <w:snapToGrid w:val="0"/>
        <w:spacing w:line="480" w:lineRule="exact"/>
        <w:rPr>
          <w:rFonts w:ascii="宋体" w:hAnsi="宋体" w:eastAsia="宋体" w:cs="Times New Roman"/>
          <w:color w:val="auto"/>
          <w:szCs w:val="21"/>
          <w:highlight w:val="none"/>
        </w:rPr>
      </w:pPr>
    </w:p>
    <w:p w14:paraId="37266D2A">
      <w:pPr>
        <w:widowControl/>
        <w:wordWrap w:val="0"/>
        <w:topLinePunct/>
        <w:adjustRightInd w:val="0"/>
        <w:snapToGrid w:val="0"/>
        <w:spacing w:line="480" w:lineRule="exact"/>
        <w:rPr>
          <w:rFonts w:ascii="宋体" w:hAnsi="宋体" w:eastAsia="宋体" w:cs="Times New Roman"/>
          <w:color w:val="auto"/>
          <w:szCs w:val="21"/>
          <w:highlight w:val="none"/>
        </w:rPr>
      </w:pPr>
    </w:p>
    <w:tbl>
      <w:tblPr>
        <w:tblStyle w:val="46"/>
        <w:tblW w:w="0" w:type="auto"/>
        <w:jc w:val="center"/>
        <w:tblLayout w:type="fixed"/>
        <w:tblCellMar>
          <w:top w:w="0" w:type="dxa"/>
          <w:left w:w="108" w:type="dxa"/>
          <w:bottom w:w="0" w:type="dxa"/>
          <w:right w:w="108" w:type="dxa"/>
        </w:tblCellMar>
      </w:tblPr>
      <w:tblGrid>
        <w:gridCol w:w="2093"/>
        <w:gridCol w:w="5670"/>
      </w:tblGrid>
      <w:tr w14:paraId="108A7DC6">
        <w:tblPrEx>
          <w:tblCellMar>
            <w:top w:w="0" w:type="dxa"/>
            <w:left w:w="108" w:type="dxa"/>
            <w:bottom w:w="0" w:type="dxa"/>
            <w:right w:w="108" w:type="dxa"/>
          </w:tblCellMar>
        </w:tblPrEx>
        <w:trPr>
          <w:trHeight w:val="1134" w:hRule="atLeast"/>
          <w:jc w:val="center"/>
        </w:trPr>
        <w:tc>
          <w:tcPr>
            <w:tcW w:w="2093" w:type="dxa"/>
            <w:vAlign w:val="center"/>
          </w:tcPr>
          <w:p w14:paraId="5836A3DF">
            <w:pPr>
              <w:widowControl/>
              <w:wordWrap w:val="0"/>
              <w:topLinePunct/>
              <w:adjustRightInd w:val="0"/>
              <w:snapToGrid w:val="0"/>
              <w:spacing w:line="480" w:lineRule="exact"/>
              <w:rPr>
                <w:rFonts w:ascii="宋体" w:hAnsi="宋体" w:eastAsia="宋体" w:cs="Times New Roman"/>
                <w:color w:val="auto"/>
                <w:szCs w:val="21"/>
                <w:highlight w:val="none"/>
              </w:rPr>
            </w:pPr>
            <w:r>
              <w:rPr>
                <w:rFonts w:hint="eastAsia" w:ascii="宋体" w:hAnsi="宋体" w:eastAsia="宋体" w:cs="Times New Roman"/>
                <w:color w:val="auto"/>
                <w:sz w:val="28"/>
                <w:szCs w:val="24"/>
                <w:highlight w:val="none"/>
              </w:rPr>
              <w:t>工程名称：</w:t>
            </w:r>
          </w:p>
        </w:tc>
        <w:tc>
          <w:tcPr>
            <w:tcW w:w="5670" w:type="dxa"/>
            <w:vAlign w:val="center"/>
          </w:tcPr>
          <w:p w14:paraId="43398405">
            <w:pPr>
              <w:widowControl/>
              <w:wordWrap w:val="0"/>
              <w:topLinePunct/>
              <w:adjustRightInd w:val="0"/>
              <w:snapToGrid w:val="0"/>
              <w:spacing w:line="4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w:t>
            </w:r>
          </w:p>
        </w:tc>
      </w:tr>
      <w:tr w14:paraId="4DD2D4E5">
        <w:tblPrEx>
          <w:tblCellMar>
            <w:top w:w="0" w:type="dxa"/>
            <w:left w:w="108" w:type="dxa"/>
            <w:bottom w:w="0" w:type="dxa"/>
            <w:right w:w="108" w:type="dxa"/>
          </w:tblCellMar>
        </w:tblPrEx>
        <w:trPr>
          <w:trHeight w:val="1134" w:hRule="atLeast"/>
          <w:jc w:val="center"/>
        </w:trPr>
        <w:tc>
          <w:tcPr>
            <w:tcW w:w="2093" w:type="dxa"/>
            <w:vAlign w:val="center"/>
          </w:tcPr>
          <w:p w14:paraId="2C07D31F">
            <w:pPr>
              <w:widowControl/>
              <w:wordWrap w:val="0"/>
              <w:topLinePunct/>
              <w:adjustRightInd w:val="0"/>
              <w:snapToGrid w:val="0"/>
              <w:spacing w:line="480" w:lineRule="exact"/>
              <w:rPr>
                <w:rFonts w:ascii="宋体" w:hAnsi="宋体" w:eastAsia="宋体" w:cs="Times New Roman"/>
                <w:color w:val="auto"/>
                <w:szCs w:val="21"/>
                <w:highlight w:val="none"/>
              </w:rPr>
            </w:pPr>
            <w:r>
              <w:rPr>
                <w:rFonts w:hint="eastAsia" w:ascii="宋体" w:hAnsi="宋体" w:eastAsia="宋体" w:cs="Times New Roman"/>
                <w:color w:val="auto"/>
                <w:sz w:val="28"/>
                <w:szCs w:val="24"/>
                <w:highlight w:val="none"/>
              </w:rPr>
              <w:t>工程地点:</w:t>
            </w:r>
          </w:p>
        </w:tc>
        <w:tc>
          <w:tcPr>
            <w:tcW w:w="5670" w:type="dxa"/>
            <w:vAlign w:val="center"/>
          </w:tcPr>
          <w:p w14:paraId="433B1CF6">
            <w:pPr>
              <w:widowControl/>
              <w:wordWrap w:val="0"/>
              <w:topLinePunct/>
              <w:adjustRightInd w:val="0"/>
              <w:snapToGrid w:val="0"/>
              <w:spacing w:line="4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w:t>
            </w:r>
          </w:p>
        </w:tc>
      </w:tr>
      <w:tr w14:paraId="0A09707E">
        <w:tblPrEx>
          <w:tblCellMar>
            <w:top w:w="0" w:type="dxa"/>
            <w:left w:w="108" w:type="dxa"/>
            <w:bottom w:w="0" w:type="dxa"/>
            <w:right w:w="108" w:type="dxa"/>
          </w:tblCellMar>
        </w:tblPrEx>
        <w:trPr>
          <w:trHeight w:val="1134" w:hRule="atLeast"/>
          <w:jc w:val="center"/>
        </w:trPr>
        <w:tc>
          <w:tcPr>
            <w:tcW w:w="2093" w:type="dxa"/>
            <w:vAlign w:val="center"/>
          </w:tcPr>
          <w:p w14:paraId="2C3E32A1">
            <w:pPr>
              <w:widowControl/>
              <w:wordWrap w:val="0"/>
              <w:topLinePunct/>
              <w:adjustRightInd w:val="0"/>
              <w:snapToGrid w:val="0"/>
              <w:spacing w:line="480" w:lineRule="exact"/>
              <w:rPr>
                <w:rFonts w:ascii="宋体" w:hAnsi="宋体" w:eastAsia="宋体" w:cs="Times New Roman"/>
                <w:color w:val="auto"/>
                <w:sz w:val="28"/>
                <w:szCs w:val="24"/>
                <w:highlight w:val="none"/>
              </w:rPr>
            </w:pPr>
            <w:r>
              <w:rPr>
                <w:rFonts w:hint="eastAsia" w:ascii="宋体" w:hAnsi="宋体" w:eastAsia="宋体" w:cs="Times New Roman"/>
                <w:color w:val="auto"/>
                <w:sz w:val="28"/>
                <w:szCs w:val="24"/>
                <w:highlight w:val="none"/>
              </w:rPr>
              <w:t>合同编号：</w:t>
            </w:r>
          </w:p>
          <w:p w14:paraId="6929115E">
            <w:pPr>
              <w:widowControl/>
              <w:wordWrap w:val="0"/>
              <w:topLinePunct/>
              <w:adjustRightInd w:val="0"/>
              <w:snapToGrid w:val="0"/>
              <w:spacing w:line="4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（由勘察人编填）</w:t>
            </w:r>
          </w:p>
        </w:tc>
        <w:tc>
          <w:tcPr>
            <w:tcW w:w="5670" w:type="dxa"/>
            <w:vAlign w:val="center"/>
          </w:tcPr>
          <w:p w14:paraId="678C3CE8">
            <w:pPr>
              <w:widowControl/>
              <w:wordWrap w:val="0"/>
              <w:topLinePunct/>
              <w:adjustRightInd w:val="0"/>
              <w:snapToGrid w:val="0"/>
              <w:spacing w:line="4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w:t>
            </w:r>
          </w:p>
        </w:tc>
      </w:tr>
      <w:tr w14:paraId="67282770">
        <w:tblPrEx>
          <w:tblCellMar>
            <w:top w:w="0" w:type="dxa"/>
            <w:left w:w="108" w:type="dxa"/>
            <w:bottom w:w="0" w:type="dxa"/>
            <w:right w:w="108" w:type="dxa"/>
          </w:tblCellMar>
        </w:tblPrEx>
        <w:trPr>
          <w:trHeight w:val="1134" w:hRule="atLeast"/>
          <w:jc w:val="center"/>
        </w:trPr>
        <w:tc>
          <w:tcPr>
            <w:tcW w:w="2093" w:type="dxa"/>
            <w:vAlign w:val="center"/>
          </w:tcPr>
          <w:p w14:paraId="272D4DF1">
            <w:pPr>
              <w:widowControl/>
              <w:wordWrap w:val="0"/>
              <w:topLinePunct/>
              <w:adjustRightInd w:val="0"/>
              <w:snapToGrid w:val="0"/>
              <w:spacing w:line="480" w:lineRule="exact"/>
              <w:rPr>
                <w:rFonts w:ascii="宋体" w:hAnsi="宋体" w:eastAsia="宋体" w:cs="Times New Roman"/>
                <w:color w:val="auto"/>
                <w:szCs w:val="21"/>
                <w:highlight w:val="none"/>
              </w:rPr>
            </w:pPr>
            <w:r>
              <w:rPr>
                <w:rFonts w:hint="eastAsia" w:ascii="宋体" w:hAnsi="宋体" w:eastAsia="宋体" w:cs="Times New Roman"/>
                <w:color w:val="auto"/>
                <w:sz w:val="28"/>
                <w:szCs w:val="24"/>
                <w:highlight w:val="none"/>
              </w:rPr>
              <w:t>勘察证书等级：</w:t>
            </w:r>
          </w:p>
        </w:tc>
        <w:tc>
          <w:tcPr>
            <w:tcW w:w="5670" w:type="dxa"/>
            <w:vAlign w:val="center"/>
          </w:tcPr>
          <w:p w14:paraId="1013EAEC">
            <w:pPr>
              <w:widowControl/>
              <w:wordWrap w:val="0"/>
              <w:topLinePunct/>
              <w:adjustRightInd w:val="0"/>
              <w:snapToGrid w:val="0"/>
              <w:spacing w:line="4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w:t>
            </w:r>
          </w:p>
        </w:tc>
      </w:tr>
      <w:tr w14:paraId="00F66268">
        <w:tblPrEx>
          <w:tblCellMar>
            <w:top w:w="0" w:type="dxa"/>
            <w:left w:w="108" w:type="dxa"/>
            <w:bottom w:w="0" w:type="dxa"/>
            <w:right w:w="108" w:type="dxa"/>
          </w:tblCellMar>
        </w:tblPrEx>
        <w:trPr>
          <w:trHeight w:val="1134" w:hRule="atLeast"/>
          <w:jc w:val="center"/>
        </w:trPr>
        <w:tc>
          <w:tcPr>
            <w:tcW w:w="2093" w:type="dxa"/>
            <w:vAlign w:val="center"/>
          </w:tcPr>
          <w:p w14:paraId="0A7DED60">
            <w:pPr>
              <w:widowControl/>
              <w:wordWrap w:val="0"/>
              <w:topLinePunct/>
              <w:adjustRightInd w:val="0"/>
              <w:snapToGrid w:val="0"/>
              <w:spacing w:line="480" w:lineRule="exact"/>
              <w:rPr>
                <w:rFonts w:ascii="宋体" w:hAnsi="宋体" w:eastAsia="宋体" w:cs="Times New Roman"/>
                <w:color w:val="auto"/>
                <w:szCs w:val="21"/>
                <w:highlight w:val="none"/>
              </w:rPr>
            </w:pPr>
            <w:r>
              <w:rPr>
                <w:rFonts w:hint="eastAsia" w:ascii="宋体" w:hAnsi="宋体" w:eastAsia="宋体" w:cs="Times New Roman"/>
                <w:color w:val="auto"/>
                <w:sz w:val="28"/>
                <w:szCs w:val="24"/>
                <w:highlight w:val="none"/>
              </w:rPr>
              <w:t>发包人：</w:t>
            </w:r>
          </w:p>
        </w:tc>
        <w:tc>
          <w:tcPr>
            <w:tcW w:w="5670" w:type="dxa"/>
            <w:vAlign w:val="center"/>
          </w:tcPr>
          <w:p w14:paraId="1C082EC1">
            <w:pPr>
              <w:widowControl/>
              <w:wordWrap w:val="0"/>
              <w:topLinePunct/>
              <w:adjustRightInd w:val="0"/>
              <w:snapToGrid w:val="0"/>
              <w:spacing w:line="4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w:t>
            </w:r>
          </w:p>
        </w:tc>
      </w:tr>
      <w:tr w14:paraId="21497DBA">
        <w:tblPrEx>
          <w:tblCellMar>
            <w:top w:w="0" w:type="dxa"/>
            <w:left w:w="108" w:type="dxa"/>
            <w:bottom w:w="0" w:type="dxa"/>
            <w:right w:w="108" w:type="dxa"/>
          </w:tblCellMar>
        </w:tblPrEx>
        <w:trPr>
          <w:trHeight w:val="1134" w:hRule="atLeast"/>
          <w:jc w:val="center"/>
        </w:trPr>
        <w:tc>
          <w:tcPr>
            <w:tcW w:w="2093" w:type="dxa"/>
            <w:vAlign w:val="center"/>
          </w:tcPr>
          <w:p w14:paraId="0729DD6B">
            <w:pPr>
              <w:widowControl/>
              <w:wordWrap w:val="0"/>
              <w:topLinePunct/>
              <w:adjustRightInd w:val="0"/>
              <w:snapToGrid w:val="0"/>
              <w:spacing w:line="480" w:lineRule="exact"/>
              <w:rPr>
                <w:rFonts w:ascii="宋体" w:hAnsi="宋体" w:eastAsia="宋体" w:cs="Times New Roman"/>
                <w:color w:val="auto"/>
                <w:szCs w:val="21"/>
                <w:highlight w:val="none"/>
              </w:rPr>
            </w:pPr>
            <w:r>
              <w:rPr>
                <w:rFonts w:hint="eastAsia" w:ascii="宋体" w:hAnsi="宋体" w:eastAsia="宋体" w:cs="Times New Roman"/>
                <w:color w:val="auto"/>
                <w:sz w:val="28"/>
                <w:szCs w:val="24"/>
                <w:highlight w:val="none"/>
              </w:rPr>
              <w:t>勘察人：</w:t>
            </w:r>
          </w:p>
        </w:tc>
        <w:tc>
          <w:tcPr>
            <w:tcW w:w="5670" w:type="dxa"/>
            <w:vAlign w:val="center"/>
          </w:tcPr>
          <w:p w14:paraId="6C1FF6BC">
            <w:pPr>
              <w:widowControl/>
              <w:wordWrap w:val="0"/>
              <w:topLinePunct/>
              <w:adjustRightInd w:val="0"/>
              <w:snapToGrid w:val="0"/>
              <w:spacing w:line="4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rPr>
              <w:t>。</w:t>
            </w:r>
          </w:p>
        </w:tc>
      </w:tr>
    </w:tbl>
    <w:p w14:paraId="1B690856">
      <w:pPr>
        <w:widowControl/>
        <w:wordWrap w:val="0"/>
        <w:topLinePunct/>
        <w:adjustRightInd w:val="0"/>
        <w:snapToGrid w:val="0"/>
        <w:spacing w:line="480" w:lineRule="exact"/>
        <w:rPr>
          <w:rFonts w:ascii="宋体" w:hAnsi="宋体" w:eastAsia="宋体" w:cs="Times New Roman"/>
          <w:color w:val="auto"/>
          <w:sz w:val="24"/>
          <w:szCs w:val="24"/>
          <w:highlight w:val="none"/>
        </w:rPr>
      </w:pPr>
    </w:p>
    <w:p w14:paraId="277194D3">
      <w:pPr>
        <w:widowControl/>
        <w:wordWrap w:val="0"/>
        <w:topLinePunct/>
        <w:adjustRightInd w:val="0"/>
        <w:snapToGrid w:val="0"/>
        <w:spacing w:line="480" w:lineRule="exac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br w:type="page"/>
      </w:r>
      <w:r>
        <w:rPr>
          <w:rFonts w:hint="eastAsia" w:ascii="宋体" w:hAnsi="宋体" w:eastAsia="宋体" w:cs="Times New Roman"/>
          <w:b/>
          <w:color w:val="auto"/>
          <w:sz w:val="24"/>
          <w:szCs w:val="24"/>
          <w:highlight w:val="none"/>
        </w:rPr>
        <w:t>发包人：</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w:t>
      </w:r>
    </w:p>
    <w:p w14:paraId="4B67245D">
      <w:pPr>
        <w:widowControl/>
        <w:wordWrap w:val="0"/>
        <w:topLinePunct/>
        <w:adjustRightInd w:val="0"/>
        <w:snapToGrid w:val="0"/>
        <w:spacing w:line="480" w:lineRule="exact"/>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勘察人：</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w:t>
      </w:r>
    </w:p>
    <w:p w14:paraId="4EEAE916">
      <w:pPr>
        <w:widowControl/>
        <w:wordWrap w:val="0"/>
        <w:topLinePunct/>
        <w:adjustRightInd w:val="0"/>
        <w:snapToGrid w:val="0"/>
        <w:spacing w:line="480" w:lineRule="exact"/>
        <w:ind w:firstLine="480"/>
        <w:rPr>
          <w:rFonts w:ascii="宋体" w:hAnsi="宋体" w:eastAsia="宋体" w:cs="Times New Roman"/>
          <w:color w:val="auto"/>
          <w:sz w:val="24"/>
          <w:szCs w:val="24"/>
          <w:highlight w:val="none"/>
        </w:rPr>
      </w:pPr>
    </w:p>
    <w:p w14:paraId="24FCE103">
      <w:pPr>
        <w:widowControl/>
        <w:wordWrap w:val="0"/>
        <w:topLinePunct/>
        <w:adjustRightInd w:val="0"/>
        <w:snapToGrid w:val="0"/>
        <w:spacing w:line="480" w:lineRule="exact"/>
        <w:ind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发包人委托勘察人承担</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任务。</w:t>
      </w:r>
    </w:p>
    <w:p w14:paraId="1450F8C6">
      <w:pPr>
        <w:widowControl/>
        <w:wordWrap w:val="0"/>
        <w:topLinePunct/>
        <w:adjustRightInd w:val="0"/>
        <w:snapToGrid w:val="0"/>
        <w:spacing w:line="480" w:lineRule="exact"/>
        <w:ind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根据《中华人民共和国民法典》及国家有关法律、法规规定，结合本工程的具体情况，为明确责任，协作配合，确保工程勘察质量，经发包人、勘察人协商一致，签订本合同，共同遵守。</w:t>
      </w:r>
    </w:p>
    <w:p w14:paraId="01647EC1">
      <w:pPr>
        <w:widowControl/>
        <w:wordWrap w:val="0"/>
        <w:topLinePunct/>
        <w:adjustRightInd w:val="0"/>
        <w:snapToGrid w:val="0"/>
        <w:spacing w:line="480" w:lineRule="exact"/>
        <w:ind w:firstLine="470" w:firstLineChars="196"/>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第一条</w:t>
      </w:r>
      <w:r>
        <w:rPr>
          <w:rFonts w:hint="eastAsia" w:ascii="宋体" w:hAnsi="宋体" w:eastAsia="宋体" w:cs="Times New Roman"/>
          <w:color w:val="auto"/>
          <w:sz w:val="24"/>
          <w:szCs w:val="24"/>
          <w:highlight w:val="none"/>
        </w:rPr>
        <w:t>：工程概况：</w:t>
      </w:r>
    </w:p>
    <w:p w14:paraId="075F55C8">
      <w:pPr>
        <w:widowControl/>
        <w:wordWrap w:val="0"/>
        <w:topLinePunct/>
        <w:adjustRightInd w:val="0"/>
        <w:snapToGrid w:val="0"/>
        <w:spacing w:line="480" w:lineRule="exact"/>
        <w:ind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1.1工程名称:</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w:t>
      </w:r>
    </w:p>
    <w:p w14:paraId="6F6A9ED0">
      <w:pPr>
        <w:widowControl/>
        <w:wordWrap w:val="0"/>
        <w:topLinePunct/>
        <w:adjustRightInd w:val="0"/>
        <w:snapToGrid w:val="0"/>
        <w:spacing w:line="480" w:lineRule="exact"/>
        <w:ind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1.2工程建设地点:</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w:t>
      </w:r>
    </w:p>
    <w:p w14:paraId="685B9000">
      <w:pPr>
        <w:widowControl/>
        <w:wordWrap w:val="0"/>
        <w:topLinePunct/>
        <w:adjustRightInd w:val="0"/>
        <w:snapToGrid w:val="0"/>
        <w:spacing w:line="480" w:lineRule="exact"/>
        <w:ind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1.3工程规模、特征:</w:t>
      </w:r>
      <w:r>
        <w:rPr>
          <w:rFonts w:hint="eastAsia" w:ascii="宋体" w:hAnsi="宋体" w:eastAsia="宋体" w:cs="Times New Roman"/>
          <w:color w:val="auto"/>
          <w:sz w:val="24"/>
          <w:szCs w:val="24"/>
          <w:highlight w:val="none"/>
          <w:u w:val="single"/>
        </w:rPr>
        <w:t xml:space="preserve">            ，</w:t>
      </w:r>
      <w:r>
        <w:rPr>
          <w:rFonts w:hint="eastAsia" w:ascii="宋体" w:hAnsi="宋体" w:eastAsia="宋体" w:cs="宋体"/>
          <w:color w:val="auto"/>
          <w:sz w:val="24"/>
          <w:szCs w:val="24"/>
          <w:highlight w:val="none"/>
          <w:u w:val="single"/>
        </w:rPr>
        <w:t>最终以可研批复为准</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w:t>
      </w:r>
    </w:p>
    <w:p w14:paraId="1BB050F4">
      <w:pPr>
        <w:widowControl/>
        <w:wordWrap w:val="0"/>
        <w:topLinePunct/>
        <w:adjustRightInd w:val="0"/>
        <w:snapToGrid w:val="0"/>
        <w:spacing w:line="480" w:lineRule="exact"/>
        <w:ind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1.4工程勘察任务委托文号、日期:</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w:t>
      </w:r>
    </w:p>
    <w:p w14:paraId="561E6B45">
      <w:pPr>
        <w:widowControl/>
        <w:wordWrap w:val="0"/>
        <w:topLinePunct/>
        <w:adjustRightInd w:val="0"/>
        <w:snapToGrid w:val="0"/>
        <w:spacing w:line="480" w:lineRule="exact"/>
        <w:ind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1.5工程勘察任务（内容）与技术要求:</w:t>
      </w:r>
      <w:r>
        <w:rPr>
          <w:rFonts w:hint="eastAsia" w:ascii="宋体" w:hAnsi="宋体" w:eastAsia="宋体" w:cs="Times New Roman"/>
          <w:color w:val="auto"/>
          <w:sz w:val="24"/>
          <w:szCs w:val="24"/>
          <w:highlight w:val="none"/>
          <w:u w:val="single"/>
        </w:rPr>
        <w:t>满足设计要求</w:t>
      </w:r>
      <w:r>
        <w:rPr>
          <w:rFonts w:hint="eastAsia" w:ascii="宋体" w:hAnsi="宋体" w:eastAsia="宋体" w:cs="Times New Roman"/>
          <w:color w:val="auto"/>
          <w:sz w:val="24"/>
          <w:szCs w:val="24"/>
          <w:highlight w:val="none"/>
        </w:rPr>
        <w:t>。</w:t>
      </w:r>
    </w:p>
    <w:p w14:paraId="68060C9B">
      <w:pPr>
        <w:widowControl/>
        <w:wordWrap w:val="0"/>
        <w:topLinePunct/>
        <w:adjustRightInd w:val="0"/>
        <w:snapToGrid w:val="0"/>
        <w:spacing w:line="480" w:lineRule="exact"/>
        <w:ind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1.6承接方式:</w:t>
      </w:r>
      <w:r>
        <w:rPr>
          <w:rFonts w:hint="eastAsia" w:ascii="宋体" w:hAnsi="宋体" w:eastAsia="宋体" w:cs="Times New Roman"/>
          <w:color w:val="auto"/>
          <w:sz w:val="24"/>
          <w:szCs w:val="24"/>
          <w:highlight w:val="none"/>
          <w:u w:val="single"/>
        </w:rPr>
        <w:t>按招标文件的要求</w:t>
      </w:r>
      <w:r>
        <w:rPr>
          <w:rFonts w:hint="eastAsia" w:ascii="宋体" w:hAnsi="宋体" w:eastAsia="宋体" w:cs="Times New Roman"/>
          <w:color w:val="auto"/>
          <w:sz w:val="24"/>
          <w:szCs w:val="24"/>
          <w:highlight w:val="none"/>
        </w:rPr>
        <w:t>。</w:t>
      </w:r>
    </w:p>
    <w:p w14:paraId="4B1E8EA5">
      <w:pPr>
        <w:widowControl/>
        <w:wordWrap w:val="0"/>
        <w:topLinePunct/>
        <w:adjustRightInd w:val="0"/>
        <w:snapToGrid w:val="0"/>
        <w:spacing w:line="480" w:lineRule="exact"/>
        <w:ind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1.7预计勘察工作量:</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w:t>
      </w:r>
    </w:p>
    <w:p w14:paraId="6E531ED7">
      <w:pPr>
        <w:widowControl/>
        <w:wordWrap w:val="0"/>
        <w:topLinePunct/>
        <w:adjustRightInd w:val="0"/>
        <w:snapToGrid w:val="0"/>
        <w:spacing w:line="480" w:lineRule="exact"/>
        <w:ind w:firstLine="48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第二条</w:t>
      </w:r>
      <w:r>
        <w:rPr>
          <w:rFonts w:hint="eastAsia" w:ascii="宋体" w:hAnsi="宋体" w:eastAsia="宋体" w:cs="Times New Roman"/>
          <w:color w:val="auto"/>
          <w:sz w:val="24"/>
          <w:szCs w:val="24"/>
          <w:highlight w:val="none"/>
        </w:rPr>
        <w:t>：发包人应及时向勘察人提供下列文件资料，并对其准确性、可靠性负责。</w:t>
      </w:r>
    </w:p>
    <w:p w14:paraId="05D30237">
      <w:pPr>
        <w:widowControl/>
        <w:wordWrap w:val="0"/>
        <w:topLinePunct/>
        <w:adjustRightInd w:val="0"/>
        <w:snapToGrid w:val="0"/>
        <w:spacing w:line="480" w:lineRule="exact"/>
        <w:ind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2.1提供本工程批准文件（复印件），以及用地（附红线范围）。</w:t>
      </w:r>
    </w:p>
    <w:p w14:paraId="0B089EDF">
      <w:pPr>
        <w:widowControl/>
        <w:wordWrap w:val="0"/>
        <w:topLinePunct/>
        <w:adjustRightInd w:val="0"/>
        <w:snapToGrid w:val="0"/>
        <w:spacing w:line="480" w:lineRule="exact"/>
        <w:ind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2.2提供工程勘察任务委托书、技术要求和工作范围的地形图、建筑总平面布置图。</w:t>
      </w:r>
    </w:p>
    <w:p w14:paraId="64C38EE7">
      <w:pPr>
        <w:widowControl/>
        <w:wordWrap w:val="0"/>
        <w:topLinePunct/>
        <w:adjustRightInd w:val="0"/>
        <w:snapToGrid w:val="0"/>
        <w:spacing w:line="480" w:lineRule="exact"/>
        <w:ind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2.3如发包人不能提供上述资料，由勘察人自行收集，费用已包含在本合同价款中。</w:t>
      </w:r>
    </w:p>
    <w:p w14:paraId="3D4E0F1B">
      <w:pPr>
        <w:widowControl/>
        <w:wordWrap w:val="0"/>
        <w:topLinePunct/>
        <w:adjustRightInd w:val="0"/>
        <w:snapToGrid w:val="0"/>
        <w:spacing w:line="480" w:lineRule="exact"/>
        <w:ind w:firstLine="48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第三条</w:t>
      </w:r>
      <w:r>
        <w:rPr>
          <w:rFonts w:hint="eastAsia" w:ascii="宋体" w:hAnsi="宋体" w:eastAsia="宋体" w:cs="Times New Roman"/>
          <w:color w:val="auto"/>
          <w:sz w:val="24"/>
          <w:szCs w:val="24"/>
          <w:highlight w:val="none"/>
        </w:rPr>
        <w:t>：勘察人向发包人提交勘察成果资料并对其质量负责。</w:t>
      </w:r>
    </w:p>
    <w:p w14:paraId="76A65AD1">
      <w:pPr>
        <w:widowControl/>
        <w:wordWrap w:val="0"/>
        <w:topLinePunct/>
        <w:adjustRightInd w:val="0"/>
        <w:snapToGrid w:val="0"/>
        <w:spacing w:line="480" w:lineRule="exact"/>
        <w:ind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勘察人负责向发包人提交勘察成果资料</w:t>
      </w:r>
      <w:r>
        <w:rPr>
          <w:rFonts w:hint="eastAsia" w:ascii="宋体" w:hAnsi="宋体" w:eastAsia="宋体" w:cs="Times New Roman"/>
          <w:color w:val="auto"/>
          <w:sz w:val="24"/>
          <w:szCs w:val="24"/>
          <w:highlight w:val="none"/>
          <w:u w:val="single"/>
        </w:rPr>
        <w:t>壹拾伍</w:t>
      </w:r>
      <w:r>
        <w:rPr>
          <w:rFonts w:hint="eastAsia" w:ascii="宋体" w:hAnsi="宋体" w:eastAsia="宋体" w:cs="Times New Roman"/>
          <w:color w:val="auto"/>
          <w:sz w:val="24"/>
          <w:szCs w:val="24"/>
          <w:highlight w:val="none"/>
        </w:rPr>
        <w:t>份、电子文件一套，发包人要求增加的份数另行收费。</w:t>
      </w:r>
    </w:p>
    <w:p w14:paraId="66F70639">
      <w:pPr>
        <w:widowControl/>
        <w:wordWrap w:val="0"/>
        <w:topLinePunct/>
        <w:adjustRightInd w:val="0"/>
        <w:snapToGrid w:val="0"/>
        <w:spacing w:line="480" w:lineRule="exact"/>
        <w:ind w:firstLine="48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第四条</w:t>
      </w:r>
      <w:r>
        <w:rPr>
          <w:rFonts w:hint="eastAsia" w:ascii="宋体" w:hAnsi="宋体" w:eastAsia="宋体" w:cs="Times New Roman"/>
          <w:color w:val="auto"/>
          <w:sz w:val="24"/>
          <w:szCs w:val="24"/>
          <w:highlight w:val="none"/>
        </w:rPr>
        <w:t>：开工及提交勘察成果资料的时间和收费标准及付费方式。</w:t>
      </w:r>
    </w:p>
    <w:p w14:paraId="2DB6B41E">
      <w:pPr>
        <w:widowControl/>
        <w:wordWrap w:val="0"/>
        <w:topLinePunct/>
        <w:adjustRightInd w:val="0"/>
        <w:snapToGrid w:val="0"/>
        <w:spacing w:line="480" w:lineRule="exact"/>
        <w:ind w:firstLine="482"/>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4.1开工及提交勘察成果资料的时间。</w:t>
      </w:r>
    </w:p>
    <w:p w14:paraId="55289C98">
      <w:pPr>
        <w:widowControl/>
        <w:wordWrap w:val="0"/>
        <w:topLinePunct/>
        <w:adjustRightInd w:val="0"/>
        <w:snapToGrid w:val="0"/>
        <w:spacing w:line="480" w:lineRule="exact"/>
        <w:ind w:firstLine="482"/>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4.1.1本工程的具体勘察工作开工日期为</w:t>
      </w:r>
      <w:r>
        <w:rPr>
          <w:rFonts w:hint="eastAsia" w:ascii="宋体" w:hAnsi="宋体" w:eastAsia="宋体" w:cs="宋体"/>
          <w:color w:val="auto"/>
          <w:sz w:val="24"/>
          <w:szCs w:val="24"/>
          <w:highlight w:val="none"/>
        </w:rPr>
        <w:t>合同签订后，承包人收到发包人对该项目勘察工作大纲批复之日起计</w:t>
      </w:r>
      <w:r>
        <w:rPr>
          <w:rFonts w:hint="eastAsia" w:ascii="宋体" w:hAnsi="宋体" w:eastAsia="宋体" w:cs="宋体"/>
          <w:color w:val="auto"/>
          <w:sz w:val="24"/>
          <w:szCs w:val="24"/>
          <w:highlight w:val="none"/>
          <w:u w:val="single"/>
        </w:rPr>
        <w:t xml:space="preserve"> 30 </w:t>
      </w:r>
      <w:r>
        <w:rPr>
          <w:rFonts w:hint="eastAsia" w:ascii="宋体" w:hAnsi="宋体" w:eastAsia="宋体" w:cs="宋体"/>
          <w:color w:val="auto"/>
          <w:sz w:val="24"/>
          <w:szCs w:val="24"/>
          <w:highlight w:val="none"/>
        </w:rPr>
        <w:t>日内提交勘察成果文件</w:t>
      </w:r>
      <w:r>
        <w:rPr>
          <w:rFonts w:hint="eastAsia" w:ascii="宋体" w:hAnsi="宋体" w:eastAsia="宋体" w:cs="Times New Roman"/>
          <w:color w:val="auto"/>
          <w:sz w:val="24"/>
          <w:szCs w:val="24"/>
          <w:highlight w:val="none"/>
        </w:rPr>
        <w:t>，由于发包人或勘察人的原因未能按期开工或提交成果资料时，按第六条约定办理。</w:t>
      </w:r>
    </w:p>
    <w:p w14:paraId="120C47D1">
      <w:pPr>
        <w:widowControl/>
        <w:wordWrap w:val="0"/>
        <w:topLinePunct/>
        <w:adjustRightInd w:val="0"/>
        <w:snapToGrid w:val="0"/>
        <w:spacing w:line="480" w:lineRule="exact"/>
        <w:ind w:firstLine="482"/>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4.1.2勘察工作有效期限以发包人下达的开工通知书或合同约定的时间为准，如遇特殊情况（设计变更、工作量变化、不可抗力影响以及非勘察人原因造成的停、窝工等）时，工期顺延。</w:t>
      </w:r>
    </w:p>
    <w:p w14:paraId="7C2BD32C">
      <w:pPr>
        <w:widowControl/>
        <w:wordWrap w:val="0"/>
        <w:topLinePunct/>
        <w:adjustRightInd w:val="0"/>
        <w:snapToGrid w:val="0"/>
        <w:spacing w:line="480" w:lineRule="exact"/>
        <w:ind w:firstLine="482"/>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4.1.3所有勘察项目（含岩土、测量、物探）均需报发包人根据现场实际情况确认同意后方可实施。</w:t>
      </w:r>
    </w:p>
    <w:p w14:paraId="38512C4E">
      <w:pPr>
        <w:widowControl/>
        <w:wordWrap w:val="0"/>
        <w:topLinePunct/>
        <w:adjustRightInd w:val="0"/>
        <w:snapToGrid w:val="0"/>
        <w:spacing w:line="480" w:lineRule="exact"/>
        <w:ind w:firstLine="482"/>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4.2收费标准及付费方式：</w:t>
      </w:r>
      <w:r>
        <w:rPr>
          <w:rFonts w:hint="eastAsia" w:ascii="宋体" w:hAnsi="宋体" w:eastAsia="宋体"/>
          <w:color w:val="auto"/>
          <w:sz w:val="24"/>
          <w:highlight w:val="none"/>
        </w:rPr>
        <w:t>按以下收费标准计算后，并乘以（</w:t>
      </w:r>
      <w:r>
        <w:rPr>
          <w:rFonts w:ascii="宋体" w:hAnsi="宋体" w:eastAsia="宋体"/>
          <w:color w:val="auto"/>
          <w:sz w:val="24"/>
          <w:highlight w:val="none"/>
        </w:rPr>
        <w:t>1-</w:t>
      </w:r>
      <w:r>
        <w:rPr>
          <w:rFonts w:hint="eastAsia" w:ascii="宋体" w:hAnsi="宋体" w:eastAsia="宋体"/>
          <w:color w:val="auto"/>
          <w:sz w:val="24"/>
          <w:highlight w:val="none"/>
        </w:rPr>
        <w:t>中标</w:t>
      </w:r>
      <w:r>
        <w:rPr>
          <w:rFonts w:ascii="宋体" w:hAnsi="宋体" w:eastAsia="宋体"/>
          <w:color w:val="auto"/>
          <w:sz w:val="24"/>
          <w:highlight w:val="none"/>
        </w:rPr>
        <w:t>下浮率）</w:t>
      </w:r>
    </w:p>
    <w:p w14:paraId="1D1D86C7">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4.2.1该收费含岩土工程勘察费、工程测量费(含文物、坟墓等重要构、建筑物测量）、工程物探费</w:t>
      </w:r>
      <w:r>
        <w:rPr>
          <w:rFonts w:hint="eastAsia" w:ascii="宋体" w:hAnsi="宋体" w:eastAsia="宋体"/>
          <w:color w:val="auto"/>
          <w:sz w:val="24"/>
          <w:highlight w:val="none"/>
        </w:rPr>
        <w:t>、地形图测量费</w:t>
      </w:r>
      <w:r>
        <w:rPr>
          <w:rFonts w:hint="eastAsia" w:ascii="宋体" w:hAnsi="宋体" w:eastAsia="宋体" w:cs="Times New Roman"/>
          <w:color w:val="auto"/>
          <w:sz w:val="24"/>
          <w:szCs w:val="24"/>
          <w:highlight w:val="none"/>
        </w:rPr>
        <w:t>。其中，岩土工程勘探费综合单价包干按国家发展计划委员会、建设部2002年颁布的《工程勘察设计收费标准》、《关于印发广州市黄埔区 广州开发区政府投资建设项目资金管理办法的通知》（穗埔财〔2020〕373 号）、《广州开发区财政投资建设项目管理中心咨询服务类合同结算编审指引（2021年修订版）》（穗开建管〔2021〕33号）、广州开发区财政局《关于调整我区岩土工程勘察费取费标准的复函》（穗开财函[2013]615号）及《关于印发&lt;广州开发区、萝岗区政府投资建设项目岩土工程勘探综合费取费标准&gt;的通知》（穗开建管【2014】1号）文计取；工程测量费、工程物探费，按国家发展计划委员会、建设部2002年颁布的《工程勘察设计收费标准》、《关于印发广州市黄埔区 广州开发区政府投资建设项目资金管理办法的通知》（穗埔财〔2020〕373 号）及《广州开发区财政投资建设项目管理中心咨询服务类合同结算编审指引（2021年修订版）》（穗开建管〔2021〕33号）计算，浮动幅度为下浮30%。用于办理规划报建用地预审、规划国土等手续的1:500地形测量收费标准按国家测绘局颁发的国家测绘产品价格收费标准计取并下浮30%。按国测财字[2002]3号文计取单价的项目，不予计取技术工作费。在合同实施期间工程测量费、物探费按实际完成工作量调整，但费率浮动幅度不变。</w:t>
      </w:r>
    </w:p>
    <w:p w14:paraId="10C83CFD">
      <w:pPr>
        <w:widowControl/>
        <w:wordWrap w:val="0"/>
        <w:topLinePunct/>
        <w:adjustRightInd w:val="0"/>
        <w:snapToGrid w:val="0"/>
        <w:spacing w:line="480" w:lineRule="exact"/>
        <w:ind w:firstLine="480" w:firstLineChars="200"/>
        <w:rPr>
          <w:rFonts w:ascii="宋体" w:hAnsi="宋体" w:eastAsia="宋体" w:cs="Times New Roman"/>
          <w:strike/>
          <w:color w:val="auto"/>
          <w:sz w:val="24"/>
          <w:szCs w:val="24"/>
          <w:highlight w:val="none"/>
        </w:rPr>
      </w:pPr>
      <w:r>
        <w:rPr>
          <w:rFonts w:hint="eastAsia" w:ascii="宋体" w:hAnsi="宋体" w:eastAsia="宋体" w:cs="Times New Roman"/>
          <w:color w:val="auto"/>
          <w:sz w:val="24"/>
          <w:szCs w:val="24"/>
          <w:highlight w:val="none"/>
        </w:rPr>
        <w:t>4.2.2本工程勘察费（含岩土、测量、物探）暂定为</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万元（大写：</w:t>
      </w:r>
      <w:r>
        <w:rPr>
          <w:rFonts w:hint="eastAsia" w:ascii="宋体" w:hAnsi="宋体" w:eastAsia="宋体" w:cs="Times New Roman"/>
          <w:color w:val="auto"/>
          <w:sz w:val="24"/>
          <w:szCs w:val="24"/>
          <w:highlight w:val="none"/>
          <w:u w:val="single"/>
        </w:rPr>
        <w:t xml:space="preserve">      整</w:t>
      </w:r>
      <w:r>
        <w:rPr>
          <w:rFonts w:hint="eastAsia" w:ascii="宋体" w:hAnsi="宋体" w:eastAsia="宋体" w:cs="Times New Roman"/>
          <w:color w:val="auto"/>
          <w:sz w:val="24"/>
          <w:szCs w:val="24"/>
          <w:highlight w:val="none"/>
        </w:rPr>
        <w:t>）</w:t>
      </w:r>
      <w:r>
        <w:rPr>
          <w:rFonts w:hint="eastAsia" w:ascii="宋体" w:hAnsi="宋体" w:eastAsia="宋体"/>
          <w:color w:val="auto"/>
          <w:sz w:val="24"/>
          <w:highlight w:val="none"/>
        </w:rPr>
        <w:t>，投标下浮率为：</w:t>
      </w:r>
      <w:r>
        <w:rPr>
          <w:rFonts w:ascii="宋体" w:hAnsi="宋体" w:eastAsia="宋体"/>
          <w:color w:val="auto"/>
          <w:sz w:val="24"/>
          <w:highlight w:val="none"/>
          <w:u w:val="single"/>
        </w:rPr>
        <w:t xml:space="preserve">     </w:t>
      </w:r>
      <w:r>
        <w:rPr>
          <w:rFonts w:hint="eastAsia" w:ascii="宋体" w:hAnsi="宋体" w:eastAsia="宋体"/>
          <w:color w:val="auto"/>
          <w:sz w:val="24"/>
          <w:highlight w:val="none"/>
        </w:rPr>
        <w:t>。</w:t>
      </w:r>
      <w:r>
        <w:rPr>
          <w:rFonts w:hint="eastAsia" w:ascii="宋体" w:hAnsi="宋体" w:eastAsia="宋体" w:cs="Times New Roman"/>
          <w:color w:val="auto"/>
          <w:sz w:val="24"/>
          <w:szCs w:val="24"/>
          <w:highlight w:val="none"/>
        </w:rPr>
        <w:t>勘察费结算以广州开发区财政局或其授权委托单位审定为准。合同生效后15天内且财政拨款到位后，发包人向勘察人支付本合同勘察费暂定价的20％作为定金，计</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万元（本合同履行后，定金抵作勘察费）；提交勘察成果资料后30天内，勘察成果资料通过发包人验收，</w:t>
      </w:r>
      <w:r>
        <w:rPr>
          <w:rFonts w:hint="eastAsia" w:ascii="宋体" w:hAnsi="宋体" w:eastAsia="宋体" w:cs="Times New Roman"/>
          <w:color w:val="auto"/>
          <w:spacing w:val="10"/>
          <w:sz w:val="24"/>
          <w:szCs w:val="24"/>
          <w:highlight w:val="none"/>
        </w:rPr>
        <w:t>发包人累计支付至按本合同约定的计费标准及实际完成勘察工程量计取的对应勘察费的70%</w:t>
      </w:r>
      <w:r>
        <w:rPr>
          <w:rFonts w:hint="eastAsia" w:ascii="宋体" w:hAnsi="宋体" w:eastAsia="宋体" w:cs="Times New Roman"/>
          <w:color w:val="auto"/>
          <w:sz w:val="24"/>
          <w:szCs w:val="24"/>
          <w:highlight w:val="none"/>
        </w:rPr>
        <w:t>；本工程项目完成施工图审查（或完成施工招标），勘察费结算经广州开发区财政局或其授权委托单位审定后，发包人向勘察人支付勘察费至结算价的90%；剩余的勘察费待工程完工后发包人一次结清（不计利息）。以上勘察费必须待财政拨款到位后方能支付。如遇审计部门审计发现本合同结算价款存在超付的情形，甲方有权据实要求乙方返还该部分款项。</w:t>
      </w:r>
    </w:p>
    <w:p w14:paraId="6CD86E54">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岩土勘察费计算依据表：（根据项目实际填）</w:t>
      </w:r>
    </w:p>
    <w:p w14:paraId="460D841A">
      <w:pPr>
        <w:widowControl/>
        <w:wordWrap w:val="0"/>
        <w:topLinePunct/>
        <w:adjustRightInd w:val="0"/>
        <w:snapToGrid w:val="0"/>
        <w:spacing w:line="480" w:lineRule="exact"/>
        <w:ind w:firstLine="480" w:firstLineChars="200"/>
        <w:rPr>
          <w:rFonts w:ascii="宋体" w:hAnsi="宋体" w:eastAsia="宋体"/>
          <w:color w:val="auto"/>
          <w:sz w:val="24"/>
          <w:highlight w:val="none"/>
        </w:rPr>
      </w:pPr>
      <w:r>
        <w:rPr>
          <w:rFonts w:hint="eastAsia" w:ascii="宋体" w:hAnsi="宋体" w:eastAsia="宋体" w:cs="Times New Roman"/>
          <w:color w:val="auto"/>
          <w:sz w:val="24"/>
          <w:szCs w:val="24"/>
          <w:highlight w:val="none"/>
        </w:rPr>
        <w:t>测量费计算依据表：（根据项目实际填）</w:t>
      </w:r>
    </w:p>
    <w:p w14:paraId="6AC0B3E0">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4.2.3在签订合同或结算阶段，如发包人发现勘察人的投标报价不符合招标文件规定的，可进行修正，勘察人不得有异议。</w:t>
      </w:r>
    </w:p>
    <w:p w14:paraId="7DC1797B">
      <w:pPr>
        <w:topLinePunct/>
        <w:adjustRightInd w:val="0"/>
        <w:snapToGrid w:val="0"/>
        <w:spacing w:line="500" w:lineRule="exact"/>
        <w:ind w:firstLine="472" w:firstLineChars="197"/>
        <w:rPr>
          <w:rFonts w:ascii="宋体" w:hAnsi="宋体" w:eastAsia="宋体" w:cs="Times New Roman"/>
          <w:strike/>
          <w:color w:val="auto"/>
          <w:sz w:val="24"/>
          <w:szCs w:val="24"/>
          <w:highlight w:val="none"/>
        </w:rPr>
      </w:pPr>
      <w:r>
        <w:rPr>
          <w:rFonts w:hint="eastAsia" w:ascii="宋体" w:hAnsi="宋体" w:eastAsia="宋体" w:cs="Times New Roman"/>
          <w:color w:val="auto"/>
          <w:sz w:val="24"/>
          <w:szCs w:val="24"/>
          <w:highlight w:val="none"/>
        </w:rPr>
        <w:t>4.2.4 勘察人为联合体的，勘察费的分配按本合同联合体协议书的</w:t>
      </w:r>
      <w:r>
        <w:rPr>
          <w:rFonts w:hint="eastAsia" w:ascii="宋体" w:hAnsi="宋体" w:eastAsia="宋体" w:cs="Times New Roman"/>
          <w:color w:val="auto"/>
          <w:sz w:val="24"/>
          <w:szCs w:val="24"/>
          <w:highlight w:val="none"/>
          <w:lang w:bidi="ar"/>
        </w:rPr>
        <w:t>工作量分摊，</w:t>
      </w:r>
      <w:r>
        <w:rPr>
          <w:rFonts w:hint="eastAsia" w:ascii="宋体" w:hAnsi="宋体" w:eastAsia="宋体" w:cs="Times New Roman"/>
          <w:color w:val="auto"/>
          <w:sz w:val="24"/>
          <w:szCs w:val="24"/>
          <w:highlight w:val="none"/>
          <w:u w:val="single"/>
        </w:rPr>
        <w:t>在履行合同过程中，不得变更联合体成员和其负责的工作范围</w:t>
      </w:r>
      <w:r>
        <w:rPr>
          <w:rFonts w:hint="eastAsia" w:ascii="宋体" w:hAnsi="宋体" w:eastAsia="宋体" w:cs="Times New Roman"/>
          <w:color w:val="auto"/>
          <w:sz w:val="24"/>
          <w:szCs w:val="24"/>
          <w:highlight w:val="none"/>
        </w:rPr>
        <w:t>。</w:t>
      </w:r>
    </w:p>
    <w:p w14:paraId="025E4D1D">
      <w:pPr>
        <w:topLinePunct/>
        <w:adjustRightInd w:val="0"/>
        <w:snapToGrid w:val="0"/>
        <w:spacing w:line="480" w:lineRule="exact"/>
        <w:ind w:firstLine="480" w:firstLineChars="200"/>
        <w:rPr>
          <w:rFonts w:ascii="宋体" w:hAnsi="宋体" w:eastAsia="宋体" w:cs="Times New Roman"/>
          <w:color w:val="auto"/>
          <w:szCs w:val="24"/>
          <w:highlight w:val="none"/>
        </w:rPr>
      </w:pPr>
      <w:r>
        <w:rPr>
          <w:rFonts w:hint="eastAsia" w:ascii="宋体" w:hAnsi="宋体" w:eastAsia="宋体" w:cs="仿宋"/>
          <w:color w:val="auto"/>
          <w:sz w:val="24"/>
          <w:szCs w:val="24"/>
          <w:highlight w:val="none"/>
        </w:rPr>
        <w:t>4.2.5</w:t>
      </w:r>
      <w:r>
        <w:rPr>
          <w:rFonts w:hint="eastAsia" w:ascii="宋体" w:hAnsi="宋体" w:eastAsia="宋体" w:cs="Times New Roman"/>
          <w:color w:val="auto"/>
          <w:sz w:val="24"/>
          <w:szCs w:val="24"/>
          <w:highlight w:val="none"/>
        </w:rPr>
        <w:t>由</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（承担主要勘察任务的一方</w:t>
      </w:r>
      <w:r>
        <w:rPr>
          <w:rFonts w:hint="eastAsia" w:ascii="宋体" w:hAnsi="宋体" w:eastAsia="宋体" w:cs="Times New Roman"/>
          <w:color w:val="auto"/>
          <w:sz w:val="24"/>
          <w:szCs w:val="24"/>
          <w:highlight w:val="none"/>
          <w:lang w:bidi="ar"/>
        </w:rPr>
        <w:t>名称</w:t>
      </w:r>
      <w:r>
        <w:rPr>
          <w:rFonts w:hint="eastAsia" w:ascii="宋体" w:hAnsi="宋体" w:eastAsia="宋体" w:cs="Times New Roman"/>
          <w:color w:val="auto"/>
          <w:sz w:val="24"/>
          <w:szCs w:val="24"/>
          <w:highlight w:val="none"/>
        </w:rPr>
        <w:t>）负责收取全额勘察费并开具对应价款的全额发票，收款账户名为：</w:t>
      </w:r>
      <w:r>
        <w:rPr>
          <w:rFonts w:hint="eastAsia" w:ascii="宋体" w:hAnsi="宋体" w:eastAsia="宋体" w:cs="Times New Roman"/>
          <w:color w:val="auto"/>
          <w:sz w:val="24"/>
          <w:szCs w:val="24"/>
          <w:highlight w:val="none"/>
          <w:u w:val="single"/>
        </w:rPr>
        <w:t xml:space="preserve">     ，开票人为：     </w:t>
      </w:r>
      <w:r>
        <w:rPr>
          <w:rFonts w:hint="eastAsia" w:ascii="宋体" w:hAnsi="宋体" w:eastAsia="宋体" w:cs="Times New Roman"/>
          <w:color w:val="auto"/>
          <w:sz w:val="24"/>
          <w:szCs w:val="24"/>
          <w:highlight w:val="none"/>
        </w:rPr>
        <w:t>，未经发包人同意，合同履行过程中不得擅自更改收款账户名。</w:t>
      </w:r>
    </w:p>
    <w:p w14:paraId="76C0F486">
      <w:pPr>
        <w:widowControl/>
        <w:wordWrap w:val="0"/>
        <w:topLinePunct/>
        <w:adjustRightInd w:val="0"/>
        <w:snapToGrid w:val="0"/>
        <w:spacing w:line="480" w:lineRule="exact"/>
        <w:ind w:firstLine="482"/>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第五条：</w:t>
      </w:r>
      <w:r>
        <w:rPr>
          <w:rFonts w:hint="eastAsia" w:ascii="宋体" w:hAnsi="宋体" w:eastAsia="宋体" w:cs="Times New Roman"/>
          <w:color w:val="auto"/>
          <w:sz w:val="24"/>
          <w:szCs w:val="24"/>
          <w:highlight w:val="none"/>
        </w:rPr>
        <w:t>发包人、勘察人责任</w:t>
      </w:r>
    </w:p>
    <w:p w14:paraId="6371B237">
      <w:pPr>
        <w:widowControl/>
        <w:wordWrap w:val="0"/>
        <w:topLinePunct/>
        <w:adjustRightInd w:val="0"/>
        <w:snapToGrid w:val="0"/>
        <w:spacing w:line="480" w:lineRule="exact"/>
        <w:ind w:firstLine="482"/>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5.1发包人责任</w:t>
      </w:r>
    </w:p>
    <w:p w14:paraId="1BCECA5D">
      <w:pPr>
        <w:widowControl/>
        <w:wordWrap w:val="0"/>
        <w:topLinePunct/>
        <w:adjustRightInd w:val="0"/>
        <w:snapToGrid w:val="0"/>
        <w:spacing w:line="480" w:lineRule="exact"/>
        <w:ind w:firstLine="482"/>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5.1.1发包人委托任务时，必须以书面形式向勘察人明确勘察任务及技术要求，并按第二条约定提供文件资料。</w:t>
      </w:r>
    </w:p>
    <w:p w14:paraId="67361837">
      <w:pPr>
        <w:widowControl/>
        <w:wordWrap w:val="0"/>
        <w:topLinePunct/>
        <w:adjustRightInd w:val="0"/>
        <w:snapToGrid w:val="0"/>
        <w:spacing w:line="480" w:lineRule="exact"/>
        <w:ind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5.1.2勘察过程中的任何变更、签证，经办理正式变更签证手续后，发包人应按实际发生的工作量支付勘察费。</w:t>
      </w:r>
    </w:p>
    <w:p w14:paraId="214BEC4B">
      <w:pPr>
        <w:widowControl/>
        <w:wordWrap w:val="0"/>
        <w:topLinePunct/>
        <w:adjustRightInd w:val="0"/>
        <w:snapToGrid w:val="0"/>
        <w:spacing w:line="480" w:lineRule="exact"/>
        <w:ind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5.1.3由于发包人原因或规划调整原因造成的勘察人停、窝工，工期顺延。停工6个月以上的，双方同意按已实际完成的勘察工作量对应勘察费的90%进行支付。</w:t>
      </w:r>
    </w:p>
    <w:p w14:paraId="78B4CBD0">
      <w:pPr>
        <w:widowControl/>
        <w:wordWrap w:val="0"/>
        <w:topLinePunct/>
        <w:adjustRightInd w:val="0"/>
        <w:snapToGrid w:val="0"/>
        <w:spacing w:line="480" w:lineRule="exact"/>
        <w:ind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5.1.4发包人应保护勘察人的投标书、勘察方案、报告书、文件、资料图纸、数据、特殊工艺(方法)、专利技术和合理化建议，未经勘察人同意，发包人不得泄露、不得擅自修改、传送或向第三人转让或用于本合同外的项目；如发生上述情况，发包人应负法律责任，勘察人有权索赔。</w:t>
      </w:r>
    </w:p>
    <w:p w14:paraId="4AFBF135">
      <w:pPr>
        <w:widowControl/>
        <w:wordWrap w:val="0"/>
        <w:topLinePunct/>
        <w:adjustRightInd w:val="0"/>
        <w:snapToGrid w:val="0"/>
        <w:spacing w:line="480" w:lineRule="exact"/>
        <w:ind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5.1.5本合同有关条款中约定的发包人应负的其它责任。</w:t>
      </w:r>
    </w:p>
    <w:p w14:paraId="3E6167D4">
      <w:pPr>
        <w:widowControl/>
        <w:wordWrap w:val="0"/>
        <w:topLinePunct/>
        <w:adjustRightInd w:val="0"/>
        <w:snapToGrid w:val="0"/>
        <w:spacing w:line="480" w:lineRule="exact"/>
        <w:ind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5.2勘察人责任</w:t>
      </w:r>
    </w:p>
    <w:p w14:paraId="39D9073C">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5.2.1勘察人应按国家技术规范、标准、规程和发包人的任务委托书及技术要求进行工程勘察，按本合同规定的时间提交质量合格的勘察成果资料，并对其负责。勘察人所提交的地形图测量等成果资料需满足规划报建、办理用地预审手续及规划国土部门的审批要求，否则勘察人应将地形图测量工作分包给具备相应资质并能办理上述手续的勘察测量单位负责实施，如果因为资料不合格而导致的返工测量、补充测量、完善资料、修改资料等工作及费用由勘察人承担。</w:t>
      </w:r>
    </w:p>
    <w:p w14:paraId="55F74CC1">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5.2.2由于勘察人提供的勘察成果资料质量不合格，勘察人应负责无偿给予补充完善使其达到质量合格；若勘察人无力补充完善，需另委托其他单位时，勘察人应承担全部勘察费用；因勘察质量造成重大经济损失或工程事故时，勘察人</w:t>
      </w:r>
      <w:r>
        <w:rPr>
          <w:rFonts w:hint="eastAsia" w:ascii="宋体" w:hAnsi="宋体" w:eastAsia="宋体" w:cs="Times New Roman"/>
          <w:color w:val="auto"/>
          <w:spacing w:val="10"/>
          <w:sz w:val="24"/>
          <w:szCs w:val="24"/>
          <w:highlight w:val="none"/>
        </w:rPr>
        <w:t>除应</w:t>
      </w:r>
      <w:r>
        <w:rPr>
          <w:rFonts w:hint="eastAsia" w:ascii="宋体" w:hAnsi="宋体" w:eastAsia="宋体" w:cs="Times New Roman"/>
          <w:color w:val="auto"/>
          <w:sz w:val="24"/>
          <w:szCs w:val="24"/>
          <w:highlight w:val="none"/>
        </w:rPr>
        <w:t>负责采取补救措施，按勘察收费的30%向发包人支付违约金外，还应按《中华人民共和国建筑法》、《建设工程质量管理条例》、《建设工程勘察设计管理条例》及有关法律法规规定承担相应法律责任。</w:t>
      </w:r>
    </w:p>
    <w:p w14:paraId="0B487EA7">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5.2.3在工程勘察前，提出勘察纲要或勘察组织设计，派人与发包人的人员一起验收发包人提供的材料。</w:t>
      </w:r>
    </w:p>
    <w:p w14:paraId="772F8DC7">
      <w:pPr>
        <w:widowControl/>
        <w:wordWrap w:val="0"/>
        <w:topLinePunct/>
        <w:adjustRightInd w:val="0"/>
        <w:snapToGrid w:val="0"/>
        <w:spacing w:line="480" w:lineRule="exact"/>
        <w:ind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5.2.4勘察过程中，根据工程的岩土工程条件(或工作现场地形地貌、地质和水文地质条件)及技术规范要求，向发包人提出增减工作量或修改勘察工作的意见。并办理正式变更手续。</w:t>
      </w:r>
    </w:p>
    <w:p w14:paraId="765F0593">
      <w:pPr>
        <w:widowControl/>
        <w:wordWrap w:val="0"/>
        <w:topLinePunct/>
        <w:adjustRightInd w:val="0"/>
        <w:snapToGrid w:val="0"/>
        <w:spacing w:line="480" w:lineRule="exact"/>
        <w:ind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5.2.5在现场工作的勘察人的人员应遵守发包人的安全保卫及其它有关的规章制度，承担其有关资料保密义务。</w:t>
      </w:r>
    </w:p>
    <w:p w14:paraId="3665C307">
      <w:pPr>
        <w:widowControl/>
        <w:wordWrap w:val="0"/>
        <w:topLinePunct/>
        <w:adjustRightInd w:val="0"/>
        <w:snapToGrid w:val="0"/>
        <w:spacing w:line="480" w:lineRule="exact"/>
        <w:ind w:firstLine="482"/>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5.2.6在勘察工作范围内，没有资料、图纸的地区（段），勘察人应负责查清地下埋藏物，勘察单位未探明地下埋藏物即进行钻探的，发生人身伤害或造成经济损失时，由勘察人承担民事责任。</w:t>
      </w:r>
    </w:p>
    <w:p w14:paraId="78F7A94C">
      <w:pPr>
        <w:widowControl/>
        <w:wordWrap w:val="0"/>
        <w:topLinePunct/>
        <w:adjustRightInd w:val="0"/>
        <w:snapToGrid w:val="0"/>
        <w:spacing w:line="480" w:lineRule="exact"/>
        <w:ind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5.2.7勘察人应当根据工程实际及工程周边环境资料，在勘察文件中说明地质条件可能造成的工程风险。  </w:t>
      </w:r>
    </w:p>
    <w:p w14:paraId="5026CCEF">
      <w:pPr>
        <w:widowControl/>
        <w:wordWrap w:val="0"/>
        <w:topLinePunct/>
        <w:adjustRightInd w:val="0"/>
        <w:snapToGrid w:val="0"/>
        <w:spacing w:line="480" w:lineRule="exact"/>
        <w:ind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5.2.8本合同有关条款规定中约定的勘察人应负的其它责任。</w:t>
      </w:r>
    </w:p>
    <w:p w14:paraId="7B90BE45">
      <w:pPr>
        <w:widowControl/>
        <w:wordWrap w:val="0"/>
        <w:topLinePunct/>
        <w:adjustRightInd w:val="0"/>
        <w:snapToGrid w:val="0"/>
        <w:spacing w:line="480" w:lineRule="exact"/>
        <w:ind w:firstLine="480"/>
        <w:rPr>
          <w:rFonts w:ascii="宋体" w:hAnsi="宋体" w:eastAsia="宋体" w:cs="Times New Roman"/>
          <w:color w:val="auto"/>
          <w:sz w:val="24"/>
          <w:szCs w:val="24"/>
          <w:highlight w:val="none"/>
        </w:rPr>
      </w:pPr>
    </w:p>
    <w:p w14:paraId="7AE047E9">
      <w:pPr>
        <w:widowControl/>
        <w:wordWrap w:val="0"/>
        <w:topLinePunct/>
        <w:adjustRightInd w:val="0"/>
        <w:snapToGrid w:val="0"/>
        <w:spacing w:line="480" w:lineRule="exact"/>
        <w:ind w:firstLine="48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第六条：</w:t>
      </w:r>
      <w:r>
        <w:rPr>
          <w:rFonts w:hint="eastAsia" w:ascii="宋体" w:hAnsi="宋体" w:eastAsia="宋体" w:cs="Times New Roman"/>
          <w:color w:val="auto"/>
          <w:sz w:val="24"/>
          <w:szCs w:val="24"/>
          <w:highlight w:val="none"/>
        </w:rPr>
        <w:t>违约责任</w:t>
      </w:r>
    </w:p>
    <w:p w14:paraId="0933B6C0">
      <w:pPr>
        <w:widowControl/>
        <w:wordWrap w:val="0"/>
        <w:topLinePunct/>
        <w:adjustRightInd w:val="0"/>
        <w:snapToGrid w:val="0"/>
        <w:spacing w:line="480" w:lineRule="exact"/>
        <w:ind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6.1由于勘察人原因造成勘察成果资料质量不合格，不能满足技术要求时，勘察人应按发包人要求期限返工，其返工勘察费用由勘察人承担。</w:t>
      </w:r>
    </w:p>
    <w:p w14:paraId="1FF69607">
      <w:pPr>
        <w:widowControl/>
        <w:wordWrap w:val="0"/>
        <w:topLinePunct/>
        <w:adjustRightInd w:val="0"/>
        <w:snapToGrid w:val="0"/>
        <w:spacing w:line="480" w:lineRule="exact"/>
        <w:ind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6.2合同履行期间，由于工程停建或其他发包人责任，发包人解除合同的，勘察人已完成的工作量相应勘察费金额不超过定金的，不退还发包人已付定金；勘察人已完成的工作量相应勘察费金额超过定金的，按勘察人实际完成工作量结算及支付勘察费（定金抵扣勘察费）。</w:t>
      </w:r>
    </w:p>
    <w:p w14:paraId="51E65FD0">
      <w:pPr>
        <w:widowControl/>
        <w:wordWrap w:val="0"/>
        <w:topLinePunct/>
        <w:adjustRightInd w:val="0"/>
        <w:snapToGrid w:val="0"/>
        <w:spacing w:line="480" w:lineRule="exact"/>
        <w:ind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6.3发包人未按合同约定时间（日期）拨付勘察费，每超过一日，应偿付应付未付勘察费的千分之一逾期违约金。</w:t>
      </w:r>
    </w:p>
    <w:p w14:paraId="0DF67D2A">
      <w:pPr>
        <w:wordWrap w:val="0"/>
        <w:topLinePunct/>
        <w:spacing w:line="400" w:lineRule="exact"/>
        <w:ind w:hanging="821"/>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6.4由于勘察人原因未按合同约定时间（日期）提交勘察成果资料，每超过一日，应减收勘察费千分之三，误期损害赔偿费的最高限额为最终勘察合同价格的30%。</w:t>
      </w:r>
    </w:p>
    <w:p w14:paraId="442C7C7D">
      <w:pPr>
        <w:wordWrap w:val="0"/>
        <w:topLinePunct/>
        <w:spacing w:line="400" w:lineRule="exact"/>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6.5本合同签订后，发包人不履行合同时，无权要求退还定金；勘察人不履行合同时，双倍返还定金。</w:t>
      </w:r>
    </w:p>
    <w:p w14:paraId="79B0A524">
      <w:pPr>
        <w:wordWrap w:val="0"/>
        <w:topLinePunct/>
        <w:spacing w:line="400" w:lineRule="exact"/>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6.6合同履行期间，因勘察人未按相关规范执行勘探施工或勘探成果失实或分析不准确，而造成基础、基坑、边坡、地下等工程提供的技术参数严重失实或在施工过程中的地质情况与勘察成果出现差异较大的，发包人将按相关规定上报主管部门，由主管部门对勘察人进行动态扣分、通报批评并以列入我区建设领域“黑名单”等方式进行处罚，追究相关单位的经济责任。</w:t>
      </w:r>
    </w:p>
    <w:p w14:paraId="08BC5F33">
      <w:pPr>
        <w:widowControl/>
        <w:wordWrap w:val="0"/>
        <w:topLinePunct/>
        <w:adjustRightInd w:val="0"/>
        <w:snapToGrid w:val="0"/>
        <w:spacing w:line="480" w:lineRule="exact"/>
        <w:ind w:firstLine="48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第七条：</w:t>
      </w:r>
      <w:r>
        <w:rPr>
          <w:rFonts w:hint="eastAsia" w:ascii="宋体" w:hAnsi="宋体" w:eastAsia="宋体" w:cs="Times New Roman"/>
          <w:color w:val="auto"/>
          <w:sz w:val="24"/>
          <w:szCs w:val="24"/>
          <w:highlight w:val="none"/>
        </w:rPr>
        <w:t>本合同未尽事宜，经发包人与勘察人协商一致，签订补充协议，补充协议与本合同具有同等效力。</w:t>
      </w:r>
    </w:p>
    <w:p w14:paraId="3D9CEA97">
      <w:pPr>
        <w:widowControl/>
        <w:wordWrap w:val="0"/>
        <w:topLinePunct/>
        <w:adjustRightInd w:val="0"/>
        <w:snapToGrid w:val="0"/>
        <w:spacing w:line="480" w:lineRule="exact"/>
        <w:ind w:firstLine="48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第八条：</w:t>
      </w:r>
      <w:r>
        <w:rPr>
          <w:rFonts w:hint="eastAsia" w:ascii="宋体" w:hAnsi="宋体" w:eastAsia="宋体" w:cs="Times New Roman"/>
          <w:color w:val="auto"/>
          <w:sz w:val="24"/>
          <w:szCs w:val="24"/>
          <w:highlight w:val="none"/>
        </w:rPr>
        <w:t>其它约定事项</w:t>
      </w:r>
    </w:p>
    <w:p w14:paraId="47E06C23">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8.1 勘察人不得将本工程转包给他人。</w:t>
      </w:r>
    </w:p>
    <w:p w14:paraId="07A146EC">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8.2 勘察人在勘察过程中发现地下不明物体及发生突发事故应及时报告发包人。</w:t>
      </w:r>
    </w:p>
    <w:p w14:paraId="512A74CB">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8.3 发包人不提供施工及生活用水、用电，由勘察人自行解决。</w:t>
      </w:r>
    </w:p>
    <w:p w14:paraId="64CF7E43">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8.4发包人在初步设计阶段对勘察成果组织初验收。</w:t>
      </w:r>
    </w:p>
    <w:p w14:paraId="072BCD79">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8.5如本工程实行代建制管理的，合同由代建单位与勘察人签订的，发票抬头为中新广州知识城财政投资建设项目管理中心（选择性条款）。</w:t>
      </w:r>
    </w:p>
    <w:p w14:paraId="36765B79">
      <w:pPr>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8.6《广州开发区财政投资建设项目管理中心勘察单位质量管理办法（2023年试行版）》（下称《质量管理办法》）为本合同的组成部分，勘察人在签订本合同时已清楚该《质量管理办法》规定。勘察人违反合同约定及《质量管理办法》规定，本合同其他条款未约定相关责任的，勘察人应按《质量管理办法》规定承担违约责任。</w:t>
      </w:r>
    </w:p>
    <w:p w14:paraId="759FF37E">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p>
    <w:p w14:paraId="144D0E01">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第九条：</w:t>
      </w:r>
      <w:r>
        <w:rPr>
          <w:rFonts w:hint="eastAsia" w:ascii="宋体" w:hAnsi="宋体" w:eastAsia="宋体" w:cs="Times New Roman"/>
          <w:color w:val="auto"/>
          <w:sz w:val="24"/>
          <w:szCs w:val="24"/>
          <w:highlight w:val="none"/>
        </w:rPr>
        <w:t xml:space="preserve"> 本合同在履行过程中发生的争议，由双方当事人协商解决，协商不成的按下列第</w:t>
      </w:r>
      <w:r>
        <w:rPr>
          <w:rFonts w:hint="eastAsia" w:ascii="宋体" w:hAnsi="宋体" w:eastAsia="宋体" w:cs="Times New Roman"/>
          <w:color w:val="auto"/>
          <w:sz w:val="24"/>
          <w:szCs w:val="24"/>
          <w:highlight w:val="none"/>
          <w:u w:val="single"/>
        </w:rPr>
        <w:t xml:space="preserve"> 二  </w:t>
      </w:r>
      <w:r>
        <w:rPr>
          <w:rFonts w:hint="eastAsia" w:ascii="宋体" w:hAnsi="宋体" w:eastAsia="宋体" w:cs="Times New Roman"/>
          <w:color w:val="auto"/>
          <w:sz w:val="24"/>
          <w:szCs w:val="24"/>
          <w:highlight w:val="none"/>
        </w:rPr>
        <w:t>种方式解决：</w:t>
      </w:r>
    </w:p>
    <w:p w14:paraId="6B1EFF1F">
      <w:pPr>
        <w:widowControl/>
        <w:wordWrap w:val="0"/>
        <w:topLinePunct/>
        <w:adjustRightInd w:val="0"/>
        <w:snapToGrid w:val="0"/>
        <w:spacing w:line="480" w:lineRule="exact"/>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（一）提交</w:t>
      </w:r>
      <w:r>
        <w:rPr>
          <w:rFonts w:hint="eastAsia" w:ascii="宋体" w:hAnsi="宋体" w:eastAsia="宋体" w:cs="Times New Roman"/>
          <w:color w:val="auto"/>
          <w:kern w:val="0"/>
          <w:sz w:val="24"/>
          <w:szCs w:val="24"/>
          <w:highlight w:val="none"/>
          <w:u w:val="single"/>
        </w:rPr>
        <w:t xml:space="preserve">  /  </w:t>
      </w:r>
      <w:r>
        <w:rPr>
          <w:rFonts w:hint="eastAsia" w:ascii="宋体" w:hAnsi="宋体" w:eastAsia="宋体" w:cs="Times New Roman"/>
          <w:color w:val="auto"/>
          <w:kern w:val="0"/>
          <w:sz w:val="24"/>
          <w:szCs w:val="24"/>
          <w:highlight w:val="none"/>
        </w:rPr>
        <w:t>仲裁；</w:t>
      </w:r>
    </w:p>
    <w:p w14:paraId="1F2E4266">
      <w:pPr>
        <w:widowControl/>
        <w:wordWrap w:val="0"/>
        <w:topLinePunct/>
        <w:adjustRightInd w:val="0"/>
        <w:snapToGrid w:val="0"/>
        <w:spacing w:line="480" w:lineRule="exact"/>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（二）依法向工程所在地人民法院起诉。</w:t>
      </w:r>
    </w:p>
    <w:p w14:paraId="4CB5F987">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 xml:space="preserve"> 第十条：</w:t>
      </w:r>
      <w:r>
        <w:rPr>
          <w:rFonts w:hint="eastAsia" w:ascii="宋体" w:hAnsi="宋体" w:eastAsia="宋体" w:cs="Times New Roman"/>
          <w:color w:val="auto"/>
          <w:sz w:val="24"/>
          <w:szCs w:val="24"/>
          <w:highlight w:val="none"/>
        </w:rPr>
        <w:t>本合同自发包人、勘察人签字盖章后生效；发包人、勘察人认为必要时，到项目所在地工商行政管理部门申请鉴证。发包人、勘察人履行完合同规定的义务后，本合同终止。</w:t>
      </w:r>
    </w:p>
    <w:p w14:paraId="7C328BE7">
      <w:pPr>
        <w:widowControl/>
        <w:wordWrap w:val="0"/>
        <w:topLinePunct/>
        <w:adjustRightInd w:val="0"/>
        <w:snapToGrid w:val="0"/>
        <w:spacing w:line="480" w:lineRule="exact"/>
        <w:ind w:firstLine="420"/>
        <w:rPr>
          <w:rFonts w:ascii="宋体" w:hAnsi="宋体" w:eastAsia="宋体" w:cs="Times New Roman"/>
          <w:color w:val="auto"/>
          <w:sz w:val="24"/>
          <w:szCs w:val="24"/>
          <w:highlight w:val="none"/>
        </w:rPr>
      </w:pPr>
    </w:p>
    <w:p w14:paraId="3A2E1148">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附件：1.廉政责任书；</w:t>
      </w:r>
    </w:p>
    <w:p w14:paraId="1459D472">
      <w:pPr>
        <w:widowControl/>
        <w:wordWrap w:val="0"/>
        <w:topLinePunct/>
        <w:adjustRightInd w:val="0"/>
        <w:snapToGrid w:val="0"/>
        <w:spacing w:line="480" w:lineRule="exact"/>
        <w:ind w:firstLine="1200" w:firstLineChars="5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2.勘察单位投入人员架构表；</w:t>
      </w:r>
    </w:p>
    <w:p w14:paraId="336FF41A">
      <w:pPr>
        <w:widowControl/>
        <w:wordWrap w:val="0"/>
        <w:topLinePunct/>
        <w:adjustRightInd w:val="0"/>
        <w:snapToGrid w:val="0"/>
        <w:spacing w:line="480" w:lineRule="exact"/>
        <w:ind w:firstLine="1200" w:firstLineChars="500"/>
        <w:rPr>
          <w:rFonts w:ascii="宋体" w:hAnsi="宋体" w:eastAsia="宋体" w:cs="Times New Roman"/>
          <w:color w:val="auto"/>
          <w:sz w:val="24"/>
          <w:szCs w:val="24"/>
          <w:highlight w:val="none"/>
        </w:rPr>
        <w:sectPr>
          <w:pgSz w:w="11906" w:h="16838"/>
          <w:pgMar w:top="1418" w:right="1418" w:bottom="1418" w:left="1418" w:header="851" w:footer="992" w:gutter="0"/>
          <w:cols w:space="720" w:num="1"/>
          <w:docGrid w:type="linesAndChars" w:linePitch="312" w:charSpace="0"/>
        </w:sectPr>
      </w:pPr>
      <w:r>
        <w:rPr>
          <w:rFonts w:hint="eastAsia" w:ascii="宋体" w:hAnsi="宋体" w:eastAsia="宋体" w:cs="Times New Roman"/>
          <w:color w:val="auto"/>
          <w:sz w:val="24"/>
          <w:szCs w:val="24"/>
          <w:highlight w:val="none"/>
        </w:rPr>
        <w:t>3.《广州开发区财政投资建设项目管理中心勘察单位质量管理办法（2023年试行版）》（另册）</w:t>
      </w:r>
    </w:p>
    <w:tbl>
      <w:tblPr>
        <w:tblStyle w:val="46"/>
        <w:tblW w:w="0" w:type="auto"/>
        <w:tblInd w:w="0" w:type="dxa"/>
        <w:tblLayout w:type="fixed"/>
        <w:tblCellMar>
          <w:top w:w="0" w:type="dxa"/>
          <w:left w:w="108" w:type="dxa"/>
          <w:bottom w:w="0" w:type="dxa"/>
          <w:right w:w="108" w:type="dxa"/>
        </w:tblCellMar>
      </w:tblPr>
      <w:tblGrid>
        <w:gridCol w:w="1668"/>
        <w:gridCol w:w="2596"/>
        <w:gridCol w:w="1656"/>
        <w:gridCol w:w="2608"/>
      </w:tblGrid>
      <w:tr w14:paraId="089D2842">
        <w:tblPrEx>
          <w:tblCellMar>
            <w:top w:w="0" w:type="dxa"/>
            <w:left w:w="108" w:type="dxa"/>
            <w:bottom w:w="0" w:type="dxa"/>
            <w:right w:w="108" w:type="dxa"/>
          </w:tblCellMar>
        </w:tblPrEx>
        <w:trPr>
          <w:trHeight w:val="1021" w:hRule="atLeast"/>
        </w:trPr>
        <w:tc>
          <w:tcPr>
            <w:tcW w:w="1668" w:type="dxa"/>
            <w:vAlign w:val="center"/>
          </w:tcPr>
          <w:p w14:paraId="598DEF0F">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发包人：</w:t>
            </w:r>
          </w:p>
        </w:tc>
        <w:tc>
          <w:tcPr>
            <w:tcW w:w="2596" w:type="dxa"/>
            <w:vAlign w:val="center"/>
          </w:tcPr>
          <w:p w14:paraId="3518F1E9">
            <w:pPr>
              <w:widowControl/>
              <w:wordWrap w:val="0"/>
              <w:topLinePunct/>
              <w:adjustRightInd w:val="0"/>
              <w:snapToGrid w:val="0"/>
              <w:spacing w:line="480" w:lineRule="exac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（公章）</w:t>
            </w:r>
          </w:p>
        </w:tc>
        <w:tc>
          <w:tcPr>
            <w:tcW w:w="1656" w:type="dxa"/>
            <w:vAlign w:val="center"/>
          </w:tcPr>
          <w:p w14:paraId="19053ADC">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勘察人：</w:t>
            </w:r>
          </w:p>
        </w:tc>
        <w:tc>
          <w:tcPr>
            <w:tcW w:w="2608" w:type="dxa"/>
            <w:vAlign w:val="center"/>
          </w:tcPr>
          <w:p w14:paraId="78AFBAC6">
            <w:pPr>
              <w:widowControl/>
              <w:wordWrap w:val="0"/>
              <w:topLinePunct/>
              <w:adjustRightInd w:val="0"/>
              <w:snapToGrid w:val="0"/>
              <w:spacing w:line="480" w:lineRule="exac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（公章）</w:t>
            </w:r>
          </w:p>
        </w:tc>
      </w:tr>
      <w:tr w14:paraId="1FAAD90B">
        <w:tblPrEx>
          <w:tblCellMar>
            <w:top w:w="0" w:type="dxa"/>
            <w:left w:w="108" w:type="dxa"/>
            <w:bottom w:w="0" w:type="dxa"/>
            <w:right w:w="108" w:type="dxa"/>
          </w:tblCellMar>
        </w:tblPrEx>
        <w:trPr>
          <w:trHeight w:val="1021" w:hRule="atLeast"/>
        </w:trPr>
        <w:tc>
          <w:tcPr>
            <w:tcW w:w="1668" w:type="dxa"/>
            <w:vAlign w:val="center"/>
          </w:tcPr>
          <w:p w14:paraId="101E15DD">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地 址    ：</w:t>
            </w:r>
          </w:p>
        </w:tc>
        <w:tc>
          <w:tcPr>
            <w:tcW w:w="2596" w:type="dxa"/>
            <w:vAlign w:val="center"/>
          </w:tcPr>
          <w:p w14:paraId="6D39875D">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1656" w:type="dxa"/>
            <w:vAlign w:val="center"/>
          </w:tcPr>
          <w:p w14:paraId="530AF0F2">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地 址    ：</w:t>
            </w:r>
          </w:p>
        </w:tc>
        <w:tc>
          <w:tcPr>
            <w:tcW w:w="2608" w:type="dxa"/>
            <w:vAlign w:val="center"/>
          </w:tcPr>
          <w:p w14:paraId="65CA5EFC">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14:paraId="1E3AC746">
        <w:tblPrEx>
          <w:tblCellMar>
            <w:top w:w="0" w:type="dxa"/>
            <w:left w:w="108" w:type="dxa"/>
            <w:bottom w:w="0" w:type="dxa"/>
            <w:right w:w="108" w:type="dxa"/>
          </w:tblCellMar>
        </w:tblPrEx>
        <w:trPr>
          <w:trHeight w:val="1021" w:hRule="atLeast"/>
        </w:trPr>
        <w:tc>
          <w:tcPr>
            <w:tcW w:w="1668" w:type="dxa"/>
            <w:vAlign w:val="center"/>
          </w:tcPr>
          <w:p w14:paraId="78553942">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法定代表人：</w:t>
            </w:r>
          </w:p>
        </w:tc>
        <w:tc>
          <w:tcPr>
            <w:tcW w:w="2596" w:type="dxa"/>
            <w:vAlign w:val="center"/>
          </w:tcPr>
          <w:p w14:paraId="78829701">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1656" w:type="dxa"/>
            <w:vAlign w:val="center"/>
          </w:tcPr>
          <w:p w14:paraId="44E7EF48">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法定代表人：</w:t>
            </w:r>
          </w:p>
        </w:tc>
        <w:tc>
          <w:tcPr>
            <w:tcW w:w="2608" w:type="dxa"/>
            <w:vAlign w:val="center"/>
          </w:tcPr>
          <w:p w14:paraId="10D388FB">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14:paraId="0B1ADC2B">
        <w:tblPrEx>
          <w:tblCellMar>
            <w:top w:w="0" w:type="dxa"/>
            <w:left w:w="108" w:type="dxa"/>
            <w:bottom w:w="0" w:type="dxa"/>
            <w:right w:w="108" w:type="dxa"/>
          </w:tblCellMar>
        </w:tblPrEx>
        <w:trPr>
          <w:trHeight w:val="1021" w:hRule="atLeast"/>
        </w:trPr>
        <w:tc>
          <w:tcPr>
            <w:tcW w:w="1668" w:type="dxa"/>
            <w:vAlign w:val="center"/>
          </w:tcPr>
          <w:p w14:paraId="4FFB83D9">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委托代理人：</w:t>
            </w:r>
          </w:p>
        </w:tc>
        <w:tc>
          <w:tcPr>
            <w:tcW w:w="2596" w:type="dxa"/>
            <w:vAlign w:val="center"/>
          </w:tcPr>
          <w:p w14:paraId="7EFDF73E">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1656" w:type="dxa"/>
            <w:vAlign w:val="center"/>
          </w:tcPr>
          <w:p w14:paraId="7002F670">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委托代理人：</w:t>
            </w:r>
          </w:p>
        </w:tc>
        <w:tc>
          <w:tcPr>
            <w:tcW w:w="2608" w:type="dxa"/>
            <w:vAlign w:val="center"/>
          </w:tcPr>
          <w:p w14:paraId="3CB51CB3">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14:paraId="12F1426A">
        <w:tblPrEx>
          <w:tblCellMar>
            <w:top w:w="0" w:type="dxa"/>
            <w:left w:w="108" w:type="dxa"/>
            <w:bottom w:w="0" w:type="dxa"/>
            <w:right w:w="108" w:type="dxa"/>
          </w:tblCellMar>
        </w:tblPrEx>
        <w:trPr>
          <w:trHeight w:val="1021" w:hRule="atLeast"/>
        </w:trPr>
        <w:tc>
          <w:tcPr>
            <w:tcW w:w="1668" w:type="dxa"/>
            <w:vAlign w:val="center"/>
          </w:tcPr>
          <w:p w14:paraId="207D08A2">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电    话：</w:t>
            </w:r>
          </w:p>
        </w:tc>
        <w:tc>
          <w:tcPr>
            <w:tcW w:w="2596" w:type="dxa"/>
            <w:vAlign w:val="center"/>
          </w:tcPr>
          <w:p w14:paraId="77C0EC5D">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1656" w:type="dxa"/>
            <w:vAlign w:val="center"/>
          </w:tcPr>
          <w:p w14:paraId="3F38B0DC">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电    话：</w:t>
            </w:r>
          </w:p>
        </w:tc>
        <w:tc>
          <w:tcPr>
            <w:tcW w:w="2608" w:type="dxa"/>
            <w:vAlign w:val="center"/>
          </w:tcPr>
          <w:p w14:paraId="7CE5B22C">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14:paraId="2668D2C6">
        <w:tblPrEx>
          <w:tblCellMar>
            <w:top w:w="0" w:type="dxa"/>
            <w:left w:w="108" w:type="dxa"/>
            <w:bottom w:w="0" w:type="dxa"/>
            <w:right w:w="108" w:type="dxa"/>
          </w:tblCellMar>
        </w:tblPrEx>
        <w:trPr>
          <w:trHeight w:val="1021" w:hRule="atLeast"/>
        </w:trPr>
        <w:tc>
          <w:tcPr>
            <w:tcW w:w="1668" w:type="dxa"/>
            <w:vAlign w:val="center"/>
          </w:tcPr>
          <w:p w14:paraId="4C8D9CDF">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传    真：</w:t>
            </w:r>
          </w:p>
        </w:tc>
        <w:tc>
          <w:tcPr>
            <w:tcW w:w="2596" w:type="dxa"/>
            <w:vAlign w:val="center"/>
          </w:tcPr>
          <w:p w14:paraId="6FC7F1F9">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1656" w:type="dxa"/>
            <w:vAlign w:val="center"/>
          </w:tcPr>
          <w:p w14:paraId="649ACAED">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传    真：</w:t>
            </w:r>
          </w:p>
        </w:tc>
        <w:tc>
          <w:tcPr>
            <w:tcW w:w="2608" w:type="dxa"/>
            <w:vAlign w:val="center"/>
          </w:tcPr>
          <w:p w14:paraId="2167CE7A">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14:paraId="78544484">
        <w:tblPrEx>
          <w:tblCellMar>
            <w:top w:w="0" w:type="dxa"/>
            <w:left w:w="108" w:type="dxa"/>
            <w:bottom w:w="0" w:type="dxa"/>
            <w:right w:w="108" w:type="dxa"/>
          </w:tblCellMar>
        </w:tblPrEx>
        <w:trPr>
          <w:trHeight w:val="1021" w:hRule="atLeast"/>
        </w:trPr>
        <w:tc>
          <w:tcPr>
            <w:tcW w:w="1668" w:type="dxa"/>
            <w:vAlign w:val="center"/>
          </w:tcPr>
          <w:p w14:paraId="1E6AAF1A">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开户银行：</w:t>
            </w:r>
          </w:p>
        </w:tc>
        <w:tc>
          <w:tcPr>
            <w:tcW w:w="2596" w:type="dxa"/>
            <w:vAlign w:val="center"/>
          </w:tcPr>
          <w:p w14:paraId="7DCC429F">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1656" w:type="dxa"/>
            <w:vAlign w:val="center"/>
          </w:tcPr>
          <w:p w14:paraId="2024C739">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开户银行：</w:t>
            </w:r>
          </w:p>
        </w:tc>
        <w:tc>
          <w:tcPr>
            <w:tcW w:w="2608" w:type="dxa"/>
            <w:vAlign w:val="center"/>
          </w:tcPr>
          <w:p w14:paraId="3DFB9A1E">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14:paraId="7DE29104">
        <w:tblPrEx>
          <w:tblCellMar>
            <w:top w:w="0" w:type="dxa"/>
            <w:left w:w="108" w:type="dxa"/>
            <w:bottom w:w="0" w:type="dxa"/>
            <w:right w:w="108" w:type="dxa"/>
          </w:tblCellMar>
        </w:tblPrEx>
        <w:trPr>
          <w:trHeight w:val="1021" w:hRule="atLeast"/>
        </w:trPr>
        <w:tc>
          <w:tcPr>
            <w:tcW w:w="1668" w:type="dxa"/>
            <w:vAlign w:val="center"/>
          </w:tcPr>
          <w:p w14:paraId="53D57111">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账    号：</w:t>
            </w:r>
          </w:p>
        </w:tc>
        <w:tc>
          <w:tcPr>
            <w:tcW w:w="2596" w:type="dxa"/>
            <w:vAlign w:val="center"/>
          </w:tcPr>
          <w:p w14:paraId="3E5F6F6B">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1656" w:type="dxa"/>
            <w:vAlign w:val="center"/>
          </w:tcPr>
          <w:p w14:paraId="6E423855">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账    号：</w:t>
            </w:r>
          </w:p>
        </w:tc>
        <w:tc>
          <w:tcPr>
            <w:tcW w:w="2608" w:type="dxa"/>
            <w:vAlign w:val="center"/>
          </w:tcPr>
          <w:p w14:paraId="7D77F442">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14:paraId="58B03803">
        <w:tblPrEx>
          <w:tblCellMar>
            <w:top w:w="0" w:type="dxa"/>
            <w:left w:w="108" w:type="dxa"/>
            <w:bottom w:w="0" w:type="dxa"/>
            <w:right w:w="108" w:type="dxa"/>
          </w:tblCellMar>
        </w:tblPrEx>
        <w:trPr>
          <w:trHeight w:val="1021" w:hRule="atLeast"/>
        </w:trPr>
        <w:tc>
          <w:tcPr>
            <w:tcW w:w="1668" w:type="dxa"/>
            <w:vAlign w:val="center"/>
          </w:tcPr>
          <w:p w14:paraId="77E24F32">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邮政编码：</w:t>
            </w:r>
          </w:p>
        </w:tc>
        <w:tc>
          <w:tcPr>
            <w:tcW w:w="2596" w:type="dxa"/>
            <w:vAlign w:val="center"/>
          </w:tcPr>
          <w:p w14:paraId="40051E09">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1656" w:type="dxa"/>
            <w:vAlign w:val="center"/>
          </w:tcPr>
          <w:p w14:paraId="1F5E1643">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邮政编码：</w:t>
            </w:r>
          </w:p>
        </w:tc>
        <w:tc>
          <w:tcPr>
            <w:tcW w:w="2608" w:type="dxa"/>
            <w:vAlign w:val="center"/>
          </w:tcPr>
          <w:p w14:paraId="7788DDC1">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bl>
    <w:p w14:paraId="7B61B183">
      <w:pPr>
        <w:widowControl/>
        <w:wordWrap w:val="0"/>
        <w:topLinePunct/>
        <w:adjustRightInd w:val="0"/>
        <w:snapToGrid w:val="0"/>
        <w:spacing w:line="480" w:lineRule="exact"/>
        <w:rPr>
          <w:rFonts w:ascii="宋体" w:hAnsi="宋体" w:eastAsia="宋体" w:cs="Times New Roman"/>
          <w:color w:val="auto"/>
          <w:sz w:val="24"/>
          <w:szCs w:val="24"/>
          <w:highlight w:val="none"/>
        </w:rPr>
      </w:pPr>
    </w:p>
    <w:p w14:paraId="6DE3FA67">
      <w:pPr>
        <w:widowControl/>
        <w:wordWrap w:val="0"/>
        <w:topLinePunct/>
        <w:adjustRightInd w:val="0"/>
        <w:snapToGrid w:val="0"/>
        <w:spacing w:line="480" w:lineRule="exact"/>
        <w:ind w:left="5933" w:leftChars="997" w:hanging="3840" w:hangingChars="16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订立时间：</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年</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月</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日</w:t>
      </w:r>
    </w:p>
    <w:p w14:paraId="5E0A3F85">
      <w:pPr>
        <w:widowControl/>
        <w:wordWrap w:val="0"/>
        <w:topLinePunct/>
        <w:adjustRightInd w:val="0"/>
        <w:snapToGrid w:val="0"/>
        <w:spacing w:line="480" w:lineRule="exact"/>
        <w:rPr>
          <w:rFonts w:ascii="宋体" w:hAnsi="宋体" w:eastAsia="宋体" w:cs="Times New Roman"/>
          <w:b/>
          <w:color w:val="auto"/>
          <w:sz w:val="24"/>
          <w:szCs w:val="24"/>
          <w:highlight w:val="none"/>
        </w:rPr>
      </w:pPr>
    </w:p>
    <w:p w14:paraId="4A33C621">
      <w:pPr>
        <w:widowControl/>
        <w:wordWrap w:val="0"/>
        <w:topLinePunct/>
        <w:adjustRightInd w:val="0"/>
        <w:snapToGrid w:val="0"/>
        <w:spacing w:line="480" w:lineRule="exact"/>
        <w:rPr>
          <w:rFonts w:ascii="宋体" w:hAnsi="宋体" w:eastAsia="宋体" w:cs="Times New Roman"/>
          <w:b/>
          <w:color w:val="auto"/>
          <w:sz w:val="24"/>
          <w:szCs w:val="24"/>
          <w:highlight w:val="none"/>
        </w:rPr>
      </w:pPr>
    </w:p>
    <w:p w14:paraId="3F44C0A5">
      <w:pPr>
        <w:widowControl/>
        <w:wordWrap w:val="0"/>
        <w:topLinePunct/>
        <w:adjustRightInd w:val="0"/>
        <w:snapToGrid w:val="0"/>
        <w:spacing w:line="480" w:lineRule="exact"/>
        <w:rPr>
          <w:rFonts w:ascii="宋体" w:hAnsi="宋体" w:eastAsia="宋体" w:cs="Times New Roman"/>
          <w:b/>
          <w:color w:val="auto"/>
          <w:sz w:val="24"/>
          <w:szCs w:val="24"/>
          <w:highlight w:val="none"/>
        </w:rPr>
      </w:pPr>
    </w:p>
    <w:p w14:paraId="7440C859">
      <w:pPr>
        <w:widowControl/>
        <w:wordWrap w:val="0"/>
        <w:topLinePunct/>
        <w:adjustRightInd w:val="0"/>
        <w:snapToGrid w:val="0"/>
        <w:spacing w:line="360" w:lineRule="auto"/>
        <w:rPr>
          <w:rFonts w:ascii="宋体" w:hAnsi="宋体" w:eastAsia="宋体" w:cs="Times New Roman"/>
          <w:b/>
          <w:bCs/>
          <w:color w:val="auto"/>
          <w:sz w:val="24"/>
          <w:szCs w:val="24"/>
          <w:highlight w:val="none"/>
        </w:rPr>
        <w:sectPr>
          <w:pgSz w:w="11906" w:h="16838"/>
          <w:pgMar w:top="1418" w:right="1418" w:bottom="1418" w:left="1418" w:header="851" w:footer="992" w:gutter="0"/>
          <w:cols w:space="720" w:num="1"/>
          <w:docGrid w:type="linesAndChars" w:linePitch="312" w:charSpace="0"/>
        </w:sectPr>
      </w:pPr>
    </w:p>
    <w:p w14:paraId="3C2F9C61">
      <w:pPr>
        <w:widowControl/>
        <w:wordWrap w:val="0"/>
        <w:topLinePunct/>
        <w:adjustRightInd w:val="0"/>
        <w:snapToGrid w:val="0"/>
        <w:spacing w:line="360" w:lineRule="auto"/>
        <w:rPr>
          <w:rFonts w:ascii="宋体" w:hAnsi="宋体" w:eastAsia="宋体" w:cs="Times New Roman"/>
          <w:color w:val="auto"/>
          <w:sz w:val="24"/>
          <w:szCs w:val="24"/>
          <w:highlight w:val="none"/>
        </w:rPr>
      </w:pPr>
      <w:r>
        <w:rPr>
          <w:rFonts w:hint="eastAsia" w:ascii="宋体" w:hAnsi="宋体" w:eastAsia="宋体" w:cs="Times New Roman"/>
          <w:b/>
          <w:bCs/>
          <w:color w:val="auto"/>
          <w:sz w:val="24"/>
          <w:szCs w:val="24"/>
          <w:highlight w:val="none"/>
        </w:rPr>
        <w:t>附件1：廉政责任书</w:t>
      </w:r>
    </w:p>
    <w:p w14:paraId="098EFF32">
      <w:pPr>
        <w:snapToGrid w:val="0"/>
        <w:spacing w:line="360" w:lineRule="auto"/>
        <w:jc w:val="center"/>
        <w:rPr>
          <w:rFonts w:ascii="宋体" w:hAnsi="宋体" w:eastAsia="宋体" w:cs="Times New Roman"/>
          <w:b/>
          <w:color w:val="auto"/>
          <w:kern w:val="0"/>
          <w:sz w:val="24"/>
          <w:szCs w:val="24"/>
          <w:highlight w:val="none"/>
        </w:rPr>
      </w:pPr>
      <w:r>
        <w:rPr>
          <w:rFonts w:hint="eastAsia" w:ascii="宋体" w:hAnsi="宋体" w:eastAsia="宋体" w:cs="Times New Roman"/>
          <w:b/>
          <w:color w:val="auto"/>
          <w:kern w:val="0"/>
          <w:sz w:val="24"/>
          <w:szCs w:val="24"/>
          <w:highlight w:val="none"/>
        </w:rPr>
        <w:t>廉政责任书</w:t>
      </w:r>
    </w:p>
    <w:p w14:paraId="4DE0DF5B">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项目名称：</w:t>
      </w:r>
      <w:r>
        <w:rPr>
          <w:rFonts w:hint="eastAsia" w:ascii="宋体" w:hAnsi="宋体" w:eastAsia="宋体" w:cs="Times New Roman"/>
          <w:color w:val="auto"/>
          <w:sz w:val="24"/>
          <w:szCs w:val="24"/>
          <w:highlight w:val="none"/>
          <w:u w:val="single"/>
        </w:rPr>
        <w:t xml:space="preserve"> </w:t>
      </w:r>
    </w:p>
    <w:p w14:paraId="46E576C2">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项目地址：</w:t>
      </w:r>
      <w:r>
        <w:rPr>
          <w:rFonts w:hint="eastAsia" w:ascii="宋体" w:hAnsi="宋体" w:eastAsia="宋体" w:cs="Times New Roman"/>
          <w:color w:val="auto"/>
          <w:sz w:val="24"/>
          <w:szCs w:val="24"/>
          <w:highlight w:val="none"/>
          <w:u w:val="single"/>
        </w:rPr>
        <w:t xml:space="preserve">广州市黄埔区中新广州知识城 </w:t>
      </w:r>
    </w:p>
    <w:p w14:paraId="6C09BC00">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建设单位（甲方）：</w:t>
      </w:r>
      <w:r>
        <w:rPr>
          <w:rFonts w:hint="eastAsia" w:ascii="宋体" w:hAnsi="宋体" w:eastAsia="宋体" w:cs="Times New Roman"/>
          <w:color w:val="auto"/>
          <w:sz w:val="24"/>
          <w:szCs w:val="24"/>
          <w:highlight w:val="none"/>
          <w:u w:val="single"/>
        </w:rPr>
        <w:t>中新广州知识城财政投资建设项目管理中心</w:t>
      </w:r>
      <w:r>
        <w:rPr>
          <w:rFonts w:hint="eastAsia" w:ascii="宋体" w:hAnsi="宋体" w:eastAsia="宋体" w:cs="Times New Roman"/>
          <w:color w:val="auto"/>
          <w:sz w:val="24"/>
          <w:szCs w:val="24"/>
          <w:highlight w:val="none"/>
        </w:rPr>
        <w:t xml:space="preserve"> </w:t>
      </w:r>
    </w:p>
    <w:p w14:paraId="4C7E4FCC">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设计单位（乙方）：</w:t>
      </w:r>
    </w:p>
    <w:p w14:paraId="24C8326F">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为加强工程建设中的廉政建设，规范工程建设项目的各项活动，防止发生各种谋取不正当利益的违法违纪行为，保护国家、集体和当事人的合法权益，根据国家有关工程建设的法律法规和廉政建设责任制规定，特订立本廉政责任书。</w:t>
      </w:r>
    </w:p>
    <w:p w14:paraId="2F438053">
      <w:pPr>
        <w:adjustRightInd w:val="0"/>
        <w:snapToGrid w:val="0"/>
        <w:spacing w:line="360" w:lineRule="auto"/>
        <w:ind w:firstLine="482"/>
        <w:rPr>
          <w:rFonts w:ascii="宋体" w:hAnsi="宋体" w:eastAsia="宋体" w:cs="Times New Roman"/>
          <w:b/>
          <w:snapToGrid w:val="0"/>
          <w:color w:val="auto"/>
          <w:kern w:val="0"/>
          <w:sz w:val="24"/>
          <w:szCs w:val="24"/>
          <w:highlight w:val="none"/>
        </w:rPr>
      </w:pPr>
      <w:r>
        <w:rPr>
          <w:rFonts w:hint="eastAsia" w:ascii="宋体" w:hAnsi="宋体" w:eastAsia="宋体" w:cs="Times New Roman"/>
          <w:b/>
          <w:snapToGrid w:val="0"/>
          <w:color w:val="auto"/>
          <w:kern w:val="0"/>
          <w:sz w:val="24"/>
          <w:szCs w:val="24"/>
          <w:highlight w:val="none"/>
        </w:rPr>
        <w:t xml:space="preserve">第一条 </w:t>
      </w:r>
      <w:r>
        <w:rPr>
          <w:rFonts w:hint="eastAsia" w:ascii="宋体" w:hAnsi="宋体" w:eastAsia="宋体" w:cs="Times New Roman"/>
          <w:snapToGrid w:val="0"/>
          <w:color w:val="auto"/>
          <w:kern w:val="0"/>
          <w:sz w:val="24"/>
          <w:szCs w:val="24"/>
          <w:highlight w:val="none"/>
        </w:rPr>
        <w:t>甲、乙双方的责任</w:t>
      </w:r>
    </w:p>
    <w:p w14:paraId="4B9ECC3D">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（一）应严格遵守国家关于市场准入、项目招标投标、工程建设和市场活动等有关法律、法规、相关政策，以及廉政建设的各项规定。</w:t>
      </w:r>
    </w:p>
    <w:p w14:paraId="260E2311">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（二）严格执行建设工程项目承发包合同文件，自觉按合同办事。</w:t>
      </w:r>
    </w:p>
    <w:p w14:paraId="07641407">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（三）业务活动必须坚持公开、公平、公正、诚信、透明的原则（除法律法规另有规定者外），不得为获取不正当的利益，损害国家、集体和对方利益，不得违反工程建设过程管理的规章制度。</w:t>
      </w:r>
    </w:p>
    <w:p w14:paraId="256103A5">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（四）发现对方在业务活动中有违规、违纪、违法行为的，应及时提醒对方，情节严重的，应向其上级主管部门或纪检监察、司法等有关机关举报。</w:t>
      </w:r>
    </w:p>
    <w:p w14:paraId="15D5A623">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b/>
          <w:snapToGrid w:val="0"/>
          <w:color w:val="auto"/>
          <w:kern w:val="0"/>
          <w:sz w:val="24"/>
          <w:szCs w:val="24"/>
          <w:highlight w:val="none"/>
        </w:rPr>
        <w:t xml:space="preserve">第二条 </w:t>
      </w:r>
      <w:r>
        <w:rPr>
          <w:rFonts w:hint="eastAsia" w:ascii="宋体" w:hAnsi="宋体" w:eastAsia="宋体" w:cs="Times New Roman"/>
          <w:snapToGrid w:val="0"/>
          <w:color w:val="auto"/>
          <w:kern w:val="0"/>
          <w:sz w:val="24"/>
          <w:szCs w:val="24"/>
          <w:highlight w:val="none"/>
        </w:rPr>
        <w:t>甲方的责任</w:t>
      </w:r>
    </w:p>
    <w:p w14:paraId="40535459">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甲方的领导和从事本建设工程项目的工作人员，在工程建设的事前、事中、事后应遵守以下规定：</w:t>
      </w:r>
    </w:p>
    <w:p w14:paraId="57D7A6AF">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（一）不准向乙方和相关单位索要或接受回扣、礼金、有价证券、贵重物品和好处费、感谢费等。</w:t>
      </w:r>
    </w:p>
    <w:p w14:paraId="072264F0">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（二）不准在乙方和相关单位报销任何应由甲方或个人支付的费用。</w:t>
      </w:r>
    </w:p>
    <w:p w14:paraId="4D870B1A">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（三）不准要求、暗示或接受乙方和相关单位为个人装修住房、婚丧嫁娶、配偶子女的工作安排以及出国（境）、旅游等提供方便。</w:t>
      </w:r>
    </w:p>
    <w:p w14:paraId="50C1BBF6">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（四）不准参加有可能影响公正执行公务的乙方和相关单位的宴请、健身、娱乐等活动。</w:t>
      </w:r>
    </w:p>
    <w:p w14:paraId="3354AC34">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（五）不准向乙方介绍或为配偶、子女、亲属参与同甲方项目工程合同有关的设备、材料、工程分包、劳务等经济活动。不得以任何理由向乙方和相关单位推荐分包单位。</w:t>
      </w:r>
    </w:p>
    <w:p w14:paraId="525F0694">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b/>
          <w:snapToGrid w:val="0"/>
          <w:color w:val="auto"/>
          <w:kern w:val="0"/>
          <w:sz w:val="24"/>
          <w:szCs w:val="24"/>
          <w:highlight w:val="none"/>
        </w:rPr>
        <w:t xml:space="preserve">第三条 </w:t>
      </w:r>
      <w:r>
        <w:rPr>
          <w:rFonts w:hint="eastAsia" w:ascii="宋体" w:hAnsi="宋体" w:eastAsia="宋体" w:cs="Times New Roman"/>
          <w:snapToGrid w:val="0"/>
          <w:color w:val="auto"/>
          <w:kern w:val="0"/>
          <w:sz w:val="24"/>
          <w:szCs w:val="24"/>
          <w:highlight w:val="none"/>
        </w:rPr>
        <w:t>乙方的责任</w:t>
      </w:r>
    </w:p>
    <w:p w14:paraId="228C44BE">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应与甲方保持正常的业务交往，按照有关法律法规和程序开展业务工作，严格执行工程建设过程管理的有关方针、政策，尤其是强制性标准和规范，并遵守以下规定：</w:t>
      </w:r>
    </w:p>
    <w:p w14:paraId="7A35F2DA">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（一）不准以任何理由向甲方、相关单位及其工作人员索要、接受或赠送礼金、有价证券、贵重物品及回扣、好处费、感谢费等。</w:t>
      </w:r>
    </w:p>
    <w:p w14:paraId="02B2A07E">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（二）不准以任何理由为甲方和相关单位报销应由对方或个人支付的费用。</w:t>
      </w:r>
    </w:p>
    <w:p w14:paraId="19C3A8AA">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（三）不准接受或暗示为甲方、相关单位或个人装修住房、婚丧嫁娶、配偶子女的工作安排以及出国（境）、旅游等提供方便。</w:t>
      </w:r>
    </w:p>
    <w:p w14:paraId="022A3FA8">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（四）不准以任何理由为甲方、相关单位或个人组织有可能影响公正执行公务的宴请、健身、娱乐等活动。</w:t>
      </w:r>
    </w:p>
    <w:p w14:paraId="29D8B57F">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b/>
          <w:snapToGrid w:val="0"/>
          <w:color w:val="auto"/>
          <w:kern w:val="0"/>
          <w:sz w:val="24"/>
          <w:szCs w:val="24"/>
          <w:highlight w:val="none"/>
        </w:rPr>
        <w:t xml:space="preserve">第四条 </w:t>
      </w:r>
      <w:r>
        <w:rPr>
          <w:rFonts w:hint="eastAsia" w:ascii="宋体" w:hAnsi="宋体" w:eastAsia="宋体" w:cs="Times New Roman"/>
          <w:snapToGrid w:val="0"/>
          <w:color w:val="auto"/>
          <w:kern w:val="0"/>
          <w:sz w:val="24"/>
          <w:szCs w:val="24"/>
          <w:highlight w:val="none"/>
        </w:rPr>
        <w:t>违约责任</w:t>
      </w:r>
    </w:p>
    <w:p w14:paraId="79B79C15">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一）甲方工作人员有违反本廉政责任书第一、第二条责任行为的，按照管理权限，依据有关法律法规和规定给予党纪、政纪处分或组织处理；涉嫌犯罪的，移交司法机关追究刑事责任；给乙方单位造成经济损失的，应予以赔偿。</w:t>
      </w:r>
    </w:p>
    <w:p w14:paraId="13EBC565">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二）乙方工作人员有违反本廉政责任书第一、三条责任行为的，按照管理权限，依据有关法律法规和规定给予党纪、政纪处分或组织处理；涉嫌犯罪的，移交司法机关追究刑事责任；给甲方单位造成经济损失的，应予以赔偿。</w:t>
      </w:r>
    </w:p>
    <w:p w14:paraId="57007F98">
      <w:pPr>
        <w:adjustRightInd w:val="0"/>
        <w:snapToGrid w:val="0"/>
        <w:spacing w:line="360" w:lineRule="auto"/>
        <w:ind w:firstLine="482"/>
        <w:rPr>
          <w:rFonts w:ascii="宋体" w:hAnsi="宋体" w:eastAsia="宋体" w:cs="Times New Roman"/>
          <w:b/>
          <w:snapToGrid w:val="0"/>
          <w:color w:val="auto"/>
          <w:kern w:val="0"/>
          <w:sz w:val="24"/>
          <w:szCs w:val="24"/>
          <w:highlight w:val="none"/>
        </w:rPr>
      </w:pPr>
      <w:r>
        <w:rPr>
          <w:rFonts w:hint="eastAsia" w:ascii="宋体" w:hAnsi="宋体" w:eastAsia="宋体" w:cs="Times New Roman"/>
          <w:b/>
          <w:snapToGrid w:val="0"/>
          <w:color w:val="auto"/>
          <w:kern w:val="0"/>
          <w:sz w:val="24"/>
          <w:szCs w:val="24"/>
          <w:highlight w:val="none"/>
        </w:rPr>
        <w:t xml:space="preserve">第五条 </w:t>
      </w:r>
      <w:r>
        <w:rPr>
          <w:rFonts w:hint="eastAsia" w:ascii="宋体" w:hAnsi="宋体" w:eastAsia="宋体" w:cs="Times New Roman"/>
          <w:snapToGrid w:val="0"/>
          <w:color w:val="auto"/>
          <w:kern w:val="0"/>
          <w:sz w:val="24"/>
          <w:szCs w:val="24"/>
          <w:highlight w:val="none"/>
        </w:rPr>
        <w:t>本廉政责任书作为合同的附件，与合同具有同等法律效力。经双方签署后立即生效。</w:t>
      </w:r>
    </w:p>
    <w:p w14:paraId="492BC422">
      <w:pPr>
        <w:adjustRightInd w:val="0"/>
        <w:snapToGrid w:val="0"/>
        <w:spacing w:line="360" w:lineRule="auto"/>
        <w:ind w:firstLine="482"/>
        <w:rPr>
          <w:rFonts w:ascii="宋体" w:hAnsi="宋体" w:eastAsia="宋体" w:cs="Times New Roman"/>
          <w:b/>
          <w:snapToGrid w:val="0"/>
          <w:color w:val="auto"/>
          <w:kern w:val="0"/>
          <w:sz w:val="24"/>
          <w:szCs w:val="24"/>
          <w:highlight w:val="none"/>
        </w:rPr>
      </w:pPr>
      <w:r>
        <w:rPr>
          <w:rFonts w:hint="eastAsia" w:ascii="宋体" w:hAnsi="宋体" w:eastAsia="宋体" w:cs="Times New Roman"/>
          <w:b/>
          <w:snapToGrid w:val="0"/>
          <w:color w:val="auto"/>
          <w:kern w:val="0"/>
          <w:sz w:val="24"/>
          <w:szCs w:val="24"/>
          <w:highlight w:val="none"/>
        </w:rPr>
        <w:t xml:space="preserve">第六条 </w:t>
      </w:r>
      <w:r>
        <w:rPr>
          <w:rFonts w:hint="eastAsia" w:ascii="宋体" w:hAnsi="宋体" w:eastAsia="宋体" w:cs="Times New Roman"/>
          <w:snapToGrid w:val="0"/>
          <w:color w:val="auto"/>
          <w:kern w:val="0"/>
          <w:sz w:val="24"/>
          <w:szCs w:val="24"/>
          <w:highlight w:val="none"/>
        </w:rPr>
        <w:t>本廉政责任书的有效期与合同的有效期相同。</w:t>
      </w:r>
    </w:p>
    <w:p w14:paraId="2F1024FE">
      <w:pPr>
        <w:adjustRightInd w:val="0"/>
        <w:snapToGrid w:val="0"/>
        <w:spacing w:line="400" w:lineRule="exact"/>
        <w:ind w:firstLine="480" w:firstLineChars="200"/>
        <w:rPr>
          <w:rFonts w:ascii="宋体" w:hAnsi="宋体" w:eastAsia="宋体" w:cs="宋体"/>
          <w:color w:val="auto"/>
          <w:kern w:val="0"/>
          <w:sz w:val="24"/>
          <w:szCs w:val="24"/>
          <w:highlight w:val="none"/>
        </w:rPr>
      </w:pPr>
      <w:r>
        <w:rPr>
          <w:rFonts w:hint="eastAsia" w:ascii="宋体" w:hAnsi="宋体" w:eastAsia="宋体" w:cs="Times New Roman"/>
          <w:b/>
          <w:snapToGrid w:val="0"/>
          <w:color w:val="auto"/>
          <w:kern w:val="0"/>
          <w:sz w:val="24"/>
          <w:szCs w:val="24"/>
          <w:highlight w:val="none"/>
        </w:rPr>
        <w:t>第七条</w:t>
      </w:r>
      <w:r>
        <w:rPr>
          <w:rFonts w:hint="eastAsia" w:ascii="宋体" w:hAnsi="宋体" w:eastAsia="宋体" w:cs="Times New Roman"/>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lang w:bidi="ar"/>
        </w:rPr>
        <w:t>本廉政责任书的</w:t>
      </w:r>
      <w:r>
        <w:rPr>
          <w:rFonts w:hint="eastAsia" w:ascii="宋体" w:hAnsi="宋体" w:eastAsia="宋体" w:cs="宋体"/>
          <w:bCs/>
          <w:color w:val="auto"/>
          <w:kern w:val="0"/>
          <w:sz w:val="24"/>
          <w:szCs w:val="24"/>
          <w:highlight w:val="none"/>
          <w:lang w:bidi="ar"/>
        </w:rPr>
        <w:t>份数与合同份数相同。</w:t>
      </w:r>
    </w:p>
    <w:p w14:paraId="1967F98B">
      <w:pPr>
        <w:adjustRightInd w:val="0"/>
        <w:snapToGrid w:val="0"/>
        <w:spacing w:line="360" w:lineRule="auto"/>
        <w:ind w:firstLine="480"/>
        <w:rPr>
          <w:rFonts w:ascii="宋体" w:hAnsi="宋体" w:eastAsia="宋体" w:cs="Times New Roman"/>
          <w:bCs/>
          <w:snapToGrid w:val="0"/>
          <w:color w:val="auto"/>
          <w:kern w:val="0"/>
          <w:sz w:val="24"/>
          <w:szCs w:val="24"/>
          <w:highlight w:val="none"/>
        </w:rPr>
      </w:pPr>
    </w:p>
    <w:tbl>
      <w:tblPr>
        <w:tblStyle w:val="46"/>
        <w:tblpPr w:leftFromText="180" w:rightFromText="180" w:vertAnchor="text" w:horzAnchor="page" w:tblpX="1385" w:tblpY="41"/>
        <w:tblOverlap w:val="never"/>
        <w:tblW w:w="0" w:type="auto"/>
        <w:tblInd w:w="0" w:type="dxa"/>
        <w:tblLayout w:type="fixed"/>
        <w:tblCellMar>
          <w:top w:w="0" w:type="dxa"/>
          <w:left w:w="108" w:type="dxa"/>
          <w:bottom w:w="0" w:type="dxa"/>
          <w:right w:w="108" w:type="dxa"/>
        </w:tblCellMar>
      </w:tblPr>
      <w:tblGrid>
        <w:gridCol w:w="1764"/>
        <w:gridCol w:w="2745"/>
        <w:gridCol w:w="1751"/>
        <w:gridCol w:w="2758"/>
      </w:tblGrid>
      <w:tr w14:paraId="159A706F">
        <w:tblPrEx>
          <w:tblCellMar>
            <w:top w:w="0" w:type="dxa"/>
            <w:left w:w="108" w:type="dxa"/>
            <w:bottom w:w="0" w:type="dxa"/>
            <w:right w:w="108" w:type="dxa"/>
          </w:tblCellMar>
        </w:tblPrEx>
        <w:trPr>
          <w:trHeight w:val="896" w:hRule="atLeast"/>
        </w:trPr>
        <w:tc>
          <w:tcPr>
            <w:tcW w:w="1764" w:type="dxa"/>
            <w:vAlign w:val="center"/>
          </w:tcPr>
          <w:p w14:paraId="44DD1819">
            <w:pPr>
              <w:widowControl/>
              <w:wordWrap w:val="0"/>
              <w:topLinePunct/>
              <w:adjustRightInd w:val="0"/>
              <w:snapToGrid w:val="0"/>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甲方单位：</w:t>
            </w:r>
          </w:p>
        </w:tc>
        <w:tc>
          <w:tcPr>
            <w:tcW w:w="2745" w:type="dxa"/>
            <w:vAlign w:val="center"/>
          </w:tcPr>
          <w:p w14:paraId="70F23F4F">
            <w:pPr>
              <w:widowControl/>
              <w:wordWrap w:val="0"/>
              <w:topLinePunct/>
              <w:adjustRightInd w:val="0"/>
              <w:snapToGrid w:val="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中新广州知识城财政投资建设项目管理中心（公章）</w:t>
            </w:r>
          </w:p>
        </w:tc>
        <w:tc>
          <w:tcPr>
            <w:tcW w:w="1751" w:type="dxa"/>
            <w:vAlign w:val="center"/>
          </w:tcPr>
          <w:p w14:paraId="1873BDCD">
            <w:pPr>
              <w:widowControl/>
              <w:wordWrap w:val="0"/>
              <w:topLinePunct/>
              <w:adjustRightInd w:val="0"/>
              <w:snapToGrid w:val="0"/>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勘察人：</w:t>
            </w:r>
          </w:p>
        </w:tc>
        <w:tc>
          <w:tcPr>
            <w:tcW w:w="2758" w:type="dxa"/>
            <w:vAlign w:val="center"/>
          </w:tcPr>
          <w:p w14:paraId="2B451DF1">
            <w:pPr>
              <w:widowControl/>
              <w:wordWrap w:val="0"/>
              <w:topLinePunct/>
              <w:adjustRightInd w:val="0"/>
              <w:snapToGrid w:val="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（公章）</w:t>
            </w:r>
          </w:p>
        </w:tc>
      </w:tr>
      <w:tr w14:paraId="3E909683">
        <w:tblPrEx>
          <w:tblCellMar>
            <w:top w:w="0" w:type="dxa"/>
            <w:left w:w="108" w:type="dxa"/>
            <w:bottom w:w="0" w:type="dxa"/>
            <w:right w:w="108" w:type="dxa"/>
          </w:tblCellMar>
        </w:tblPrEx>
        <w:trPr>
          <w:trHeight w:val="682" w:hRule="atLeast"/>
        </w:trPr>
        <w:tc>
          <w:tcPr>
            <w:tcW w:w="1764" w:type="dxa"/>
            <w:vAlign w:val="center"/>
          </w:tcPr>
          <w:p w14:paraId="60D8098B">
            <w:pPr>
              <w:widowControl/>
              <w:wordWrap w:val="0"/>
              <w:topLinePunct/>
              <w:adjustRightInd w:val="0"/>
              <w:snapToGrid w:val="0"/>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法定代表人：</w:t>
            </w:r>
          </w:p>
        </w:tc>
        <w:tc>
          <w:tcPr>
            <w:tcW w:w="2745" w:type="dxa"/>
            <w:vAlign w:val="center"/>
          </w:tcPr>
          <w:p w14:paraId="5AF314AD">
            <w:pPr>
              <w:widowControl/>
              <w:wordWrap w:val="0"/>
              <w:topLinePunct/>
              <w:adjustRightInd w:val="0"/>
              <w:snapToGrid w:val="0"/>
              <w:rPr>
                <w:rFonts w:ascii="宋体" w:hAnsi="宋体" w:eastAsia="宋体" w:cs="Times New Roman"/>
                <w:color w:val="auto"/>
                <w:sz w:val="24"/>
                <w:szCs w:val="24"/>
                <w:highlight w:val="none"/>
              </w:rPr>
            </w:pPr>
          </w:p>
        </w:tc>
        <w:tc>
          <w:tcPr>
            <w:tcW w:w="1751" w:type="dxa"/>
            <w:vAlign w:val="center"/>
          </w:tcPr>
          <w:p w14:paraId="3A6D225D">
            <w:pPr>
              <w:widowControl/>
              <w:wordWrap w:val="0"/>
              <w:topLinePunct/>
              <w:adjustRightInd w:val="0"/>
              <w:snapToGrid w:val="0"/>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法定代表人：</w:t>
            </w:r>
          </w:p>
        </w:tc>
        <w:tc>
          <w:tcPr>
            <w:tcW w:w="2758" w:type="dxa"/>
            <w:vAlign w:val="center"/>
          </w:tcPr>
          <w:p w14:paraId="07CC2ABF">
            <w:pPr>
              <w:widowControl/>
              <w:wordWrap w:val="0"/>
              <w:topLinePunct/>
              <w:adjustRightInd w:val="0"/>
              <w:snapToGrid w:val="0"/>
              <w:rPr>
                <w:rFonts w:ascii="宋体" w:hAnsi="宋体" w:eastAsia="宋体" w:cs="Times New Roman"/>
                <w:color w:val="auto"/>
                <w:sz w:val="24"/>
                <w:szCs w:val="24"/>
                <w:highlight w:val="none"/>
              </w:rPr>
            </w:pPr>
          </w:p>
        </w:tc>
      </w:tr>
      <w:tr w14:paraId="7A87D18A">
        <w:tblPrEx>
          <w:tblCellMar>
            <w:top w:w="0" w:type="dxa"/>
            <w:left w:w="108" w:type="dxa"/>
            <w:bottom w:w="0" w:type="dxa"/>
            <w:right w:w="108" w:type="dxa"/>
          </w:tblCellMar>
        </w:tblPrEx>
        <w:trPr>
          <w:trHeight w:val="682" w:hRule="atLeast"/>
        </w:trPr>
        <w:tc>
          <w:tcPr>
            <w:tcW w:w="1764" w:type="dxa"/>
            <w:vAlign w:val="center"/>
          </w:tcPr>
          <w:p w14:paraId="4BEAF11D">
            <w:pPr>
              <w:widowControl/>
              <w:wordWrap w:val="0"/>
              <w:topLinePunct/>
              <w:adjustRightInd w:val="0"/>
              <w:snapToGrid w:val="0"/>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授权代表：</w:t>
            </w:r>
          </w:p>
        </w:tc>
        <w:tc>
          <w:tcPr>
            <w:tcW w:w="2745" w:type="dxa"/>
            <w:vAlign w:val="center"/>
          </w:tcPr>
          <w:p w14:paraId="0F30B0FE">
            <w:pPr>
              <w:widowControl/>
              <w:wordWrap w:val="0"/>
              <w:topLinePunct/>
              <w:adjustRightInd w:val="0"/>
              <w:snapToGrid w:val="0"/>
              <w:rPr>
                <w:rFonts w:ascii="宋体" w:hAnsi="宋体" w:eastAsia="宋体" w:cs="Times New Roman"/>
                <w:color w:val="auto"/>
                <w:sz w:val="24"/>
                <w:szCs w:val="24"/>
                <w:highlight w:val="none"/>
              </w:rPr>
            </w:pPr>
          </w:p>
        </w:tc>
        <w:tc>
          <w:tcPr>
            <w:tcW w:w="1751" w:type="dxa"/>
            <w:vAlign w:val="center"/>
          </w:tcPr>
          <w:p w14:paraId="5A02B060">
            <w:pPr>
              <w:widowControl/>
              <w:wordWrap w:val="0"/>
              <w:topLinePunct/>
              <w:adjustRightInd w:val="0"/>
              <w:snapToGrid w:val="0"/>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授权代表：</w:t>
            </w:r>
          </w:p>
        </w:tc>
        <w:tc>
          <w:tcPr>
            <w:tcW w:w="2758" w:type="dxa"/>
            <w:vAlign w:val="center"/>
          </w:tcPr>
          <w:p w14:paraId="3435443E">
            <w:pPr>
              <w:widowControl/>
              <w:wordWrap w:val="0"/>
              <w:topLinePunct/>
              <w:adjustRightInd w:val="0"/>
              <w:snapToGrid w:val="0"/>
              <w:rPr>
                <w:rFonts w:ascii="宋体" w:hAnsi="宋体" w:eastAsia="宋体" w:cs="Times New Roman"/>
                <w:color w:val="auto"/>
                <w:sz w:val="24"/>
                <w:szCs w:val="24"/>
                <w:highlight w:val="none"/>
              </w:rPr>
            </w:pPr>
          </w:p>
        </w:tc>
      </w:tr>
      <w:tr w14:paraId="032C16D3">
        <w:tblPrEx>
          <w:tblCellMar>
            <w:top w:w="0" w:type="dxa"/>
            <w:left w:w="108" w:type="dxa"/>
            <w:bottom w:w="0" w:type="dxa"/>
            <w:right w:w="108" w:type="dxa"/>
          </w:tblCellMar>
        </w:tblPrEx>
        <w:trPr>
          <w:trHeight w:val="682" w:hRule="atLeast"/>
        </w:trPr>
        <w:tc>
          <w:tcPr>
            <w:tcW w:w="1764" w:type="dxa"/>
            <w:vAlign w:val="center"/>
          </w:tcPr>
          <w:p w14:paraId="477EA53A">
            <w:pPr>
              <w:widowControl/>
              <w:wordWrap w:val="0"/>
              <w:topLinePunct/>
              <w:adjustRightInd w:val="0"/>
              <w:snapToGrid w:val="0"/>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电    话：</w:t>
            </w:r>
          </w:p>
        </w:tc>
        <w:tc>
          <w:tcPr>
            <w:tcW w:w="2745" w:type="dxa"/>
            <w:vAlign w:val="center"/>
          </w:tcPr>
          <w:p w14:paraId="609572EB">
            <w:pPr>
              <w:widowControl/>
              <w:wordWrap w:val="0"/>
              <w:topLinePunct/>
              <w:adjustRightInd w:val="0"/>
              <w:snapToGrid w:val="0"/>
              <w:rPr>
                <w:rFonts w:ascii="宋体" w:hAnsi="宋体" w:eastAsia="宋体" w:cs="Times New Roman"/>
                <w:color w:val="auto"/>
                <w:sz w:val="24"/>
                <w:szCs w:val="24"/>
                <w:highlight w:val="none"/>
              </w:rPr>
            </w:pPr>
          </w:p>
        </w:tc>
        <w:tc>
          <w:tcPr>
            <w:tcW w:w="1751" w:type="dxa"/>
            <w:vAlign w:val="center"/>
          </w:tcPr>
          <w:p w14:paraId="60667AD5">
            <w:pPr>
              <w:widowControl/>
              <w:wordWrap w:val="0"/>
              <w:topLinePunct/>
              <w:adjustRightInd w:val="0"/>
              <w:snapToGrid w:val="0"/>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电    话：</w:t>
            </w:r>
          </w:p>
        </w:tc>
        <w:tc>
          <w:tcPr>
            <w:tcW w:w="2758" w:type="dxa"/>
            <w:vAlign w:val="center"/>
          </w:tcPr>
          <w:p w14:paraId="568338EF">
            <w:pPr>
              <w:widowControl/>
              <w:wordWrap w:val="0"/>
              <w:topLinePunct/>
              <w:adjustRightInd w:val="0"/>
              <w:snapToGrid w:val="0"/>
              <w:rPr>
                <w:rFonts w:ascii="宋体" w:hAnsi="宋体" w:eastAsia="宋体" w:cs="Times New Roman"/>
                <w:color w:val="auto"/>
                <w:sz w:val="24"/>
                <w:szCs w:val="24"/>
                <w:highlight w:val="none"/>
              </w:rPr>
            </w:pPr>
          </w:p>
        </w:tc>
      </w:tr>
      <w:tr w14:paraId="6A809D0A">
        <w:tblPrEx>
          <w:tblCellMar>
            <w:top w:w="0" w:type="dxa"/>
            <w:left w:w="108" w:type="dxa"/>
            <w:bottom w:w="0" w:type="dxa"/>
            <w:right w:w="108" w:type="dxa"/>
          </w:tblCellMar>
        </w:tblPrEx>
        <w:trPr>
          <w:trHeight w:val="682" w:hRule="atLeast"/>
        </w:trPr>
        <w:tc>
          <w:tcPr>
            <w:tcW w:w="1764" w:type="dxa"/>
            <w:vAlign w:val="center"/>
          </w:tcPr>
          <w:p w14:paraId="4D7442A4">
            <w:pPr>
              <w:widowControl/>
              <w:wordWrap w:val="0"/>
              <w:topLinePunct/>
              <w:adjustRightInd w:val="0"/>
              <w:snapToGrid w:val="0"/>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签订时间：</w:t>
            </w:r>
          </w:p>
        </w:tc>
        <w:tc>
          <w:tcPr>
            <w:tcW w:w="2745" w:type="dxa"/>
            <w:vAlign w:val="center"/>
          </w:tcPr>
          <w:p w14:paraId="002D6AF2">
            <w:pPr>
              <w:widowControl/>
              <w:wordWrap w:val="0"/>
              <w:topLinePunct/>
              <w:adjustRightInd w:val="0"/>
              <w:snapToGrid w:val="0"/>
              <w:rPr>
                <w:rFonts w:ascii="宋体" w:hAnsi="宋体" w:eastAsia="宋体" w:cs="Times New Roman"/>
                <w:color w:val="auto"/>
                <w:sz w:val="24"/>
                <w:szCs w:val="24"/>
                <w:highlight w:val="none"/>
              </w:rPr>
            </w:pPr>
            <w:r>
              <w:rPr>
                <w:rFonts w:hint="eastAsia" w:ascii="宋体" w:hAnsi="宋体" w:eastAsia="宋体" w:cs="Times New Roman"/>
                <w:color w:val="auto"/>
                <w:szCs w:val="24"/>
                <w:highlight w:val="none"/>
              </w:rPr>
              <w:t>2025年   月   日</w:t>
            </w:r>
          </w:p>
        </w:tc>
        <w:tc>
          <w:tcPr>
            <w:tcW w:w="1751" w:type="dxa"/>
            <w:vAlign w:val="center"/>
          </w:tcPr>
          <w:p w14:paraId="696C7677">
            <w:pPr>
              <w:widowControl/>
              <w:wordWrap w:val="0"/>
              <w:topLinePunct/>
              <w:adjustRightInd w:val="0"/>
              <w:snapToGrid w:val="0"/>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签订时间：</w:t>
            </w:r>
          </w:p>
        </w:tc>
        <w:tc>
          <w:tcPr>
            <w:tcW w:w="2758" w:type="dxa"/>
            <w:vAlign w:val="center"/>
          </w:tcPr>
          <w:p w14:paraId="0109A80D">
            <w:pPr>
              <w:widowControl/>
              <w:wordWrap w:val="0"/>
              <w:topLinePunct/>
              <w:adjustRightInd w:val="0"/>
              <w:snapToGrid w:val="0"/>
              <w:rPr>
                <w:rFonts w:ascii="宋体" w:hAnsi="宋体" w:eastAsia="宋体" w:cs="Times New Roman"/>
                <w:color w:val="auto"/>
                <w:sz w:val="24"/>
                <w:szCs w:val="24"/>
                <w:highlight w:val="none"/>
              </w:rPr>
            </w:pPr>
            <w:r>
              <w:rPr>
                <w:rFonts w:hint="eastAsia" w:ascii="宋体" w:hAnsi="宋体" w:eastAsia="宋体" w:cs="Times New Roman"/>
                <w:color w:val="auto"/>
                <w:szCs w:val="24"/>
                <w:highlight w:val="none"/>
              </w:rPr>
              <w:t>2025年   月   日</w:t>
            </w:r>
          </w:p>
        </w:tc>
      </w:tr>
    </w:tbl>
    <w:p w14:paraId="631569D0">
      <w:pPr>
        <w:widowControl/>
        <w:wordWrap w:val="0"/>
        <w:topLinePunct/>
        <w:adjustRightInd w:val="0"/>
        <w:snapToGrid w:val="0"/>
        <w:spacing w:line="360" w:lineRule="auto"/>
        <w:rPr>
          <w:rFonts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附件2.勘察单位投入人员架构表</w:t>
      </w:r>
    </w:p>
    <w:p w14:paraId="189BE4FF">
      <w:pPr>
        <w:widowControl/>
        <w:wordWrap w:val="0"/>
        <w:topLinePunct/>
        <w:adjustRightInd w:val="0"/>
        <w:snapToGrid w:val="0"/>
        <w:spacing w:line="360" w:lineRule="auto"/>
        <w:rPr>
          <w:rFonts w:ascii="宋体" w:hAnsi="宋体" w:eastAsia="宋体" w:cs="Times New Roman"/>
          <w:b/>
          <w:bCs/>
          <w:color w:val="auto"/>
          <w:sz w:val="24"/>
          <w:szCs w:val="24"/>
          <w:highlight w:val="none"/>
        </w:rPr>
        <w:sectPr>
          <w:pgSz w:w="11906" w:h="16838"/>
          <w:pgMar w:top="1418" w:right="1418" w:bottom="1418" w:left="1418" w:header="851" w:footer="992" w:gutter="0"/>
          <w:cols w:space="720" w:num="1"/>
          <w:docGrid w:type="linesAndChars" w:linePitch="312" w:charSpace="0"/>
        </w:sectPr>
      </w:pPr>
      <w:r>
        <w:rPr>
          <w:rFonts w:hint="eastAsia" w:ascii="宋体" w:hAnsi="宋体" w:eastAsia="宋体" w:cs="Times New Roman"/>
          <w:b/>
          <w:bCs/>
          <w:color w:val="auto"/>
          <w:sz w:val="24"/>
          <w:szCs w:val="24"/>
          <w:highlight w:val="none"/>
        </w:rPr>
        <w:t>附件3：《广州开发区财政投资建设项目管理中心勘察单位质量管理办法（2023年试行版）》（另册）</w:t>
      </w:r>
    </w:p>
    <w:p w14:paraId="7945885F">
      <w:pPr>
        <w:widowControl/>
        <w:wordWrap w:val="0"/>
        <w:topLinePunct/>
        <w:adjustRightInd w:val="0"/>
        <w:snapToGrid w:val="0"/>
        <w:spacing w:line="480" w:lineRule="exact"/>
        <w:jc w:val="center"/>
        <w:rPr>
          <w:rFonts w:ascii="宋体" w:hAnsi="宋体" w:eastAsia="宋体" w:cs="Times New Roman"/>
          <w:b/>
          <w:bCs/>
          <w:color w:val="auto"/>
          <w:spacing w:val="110"/>
          <w:sz w:val="44"/>
          <w:szCs w:val="44"/>
          <w:highlight w:val="none"/>
        </w:rPr>
      </w:pPr>
      <w:r>
        <w:rPr>
          <w:rFonts w:hint="eastAsia" w:ascii="宋体" w:hAnsi="宋体" w:eastAsia="宋体" w:cs="Times New Roman"/>
          <w:b/>
          <w:bCs/>
          <w:color w:val="auto"/>
          <w:spacing w:val="110"/>
          <w:sz w:val="44"/>
          <w:szCs w:val="44"/>
          <w:highlight w:val="none"/>
        </w:rPr>
        <w:t>三、设计合同</w:t>
      </w:r>
    </w:p>
    <w:p w14:paraId="7B8DAD1A">
      <w:pPr>
        <w:widowControl/>
        <w:wordWrap w:val="0"/>
        <w:topLinePunct/>
        <w:adjustRightInd w:val="0"/>
        <w:snapToGrid w:val="0"/>
        <w:spacing w:line="480" w:lineRule="exact"/>
        <w:jc w:val="center"/>
        <w:rPr>
          <w:rFonts w:ascii="宋体" w:hAnsi="宋体" w:eastAsia="宋体" w:cs="Times New Roman"/>
          <w:b/>
          <w:bCs/>
          <w:color w:val="auto"/>
          <w:spacing w:val="110"/>
          <w:sz w:val="72"/>
          <w:szCs w:val="24"/>
          <w:highlight w:val="none"/>
        </w:rPr>
      </w:pPr>
    </w:p>
    <w:p w14:paraId="0536C3BF">
      <w:pPr>
        <w:widowControl/>
        <w:wordWrap w:val="0"/>
        <w:topLinePunct/>
        <w:adjustRightInd w:val="0"/>
        <w:snapToGrid w:val="0"/>
        <w:spacing w:line="480" w:lineRule="exact"/>
        <w:jc w:val="center"/>
        <w:rPr>
          <w:rFonts w:ascii="宋体" w:hAnsi="宋体" w:eastAsia="宋体" w:cs="Times New Roman"/>
          <w:color w:val="auto"/>
          <w:szCs w:val="24"/>
          <w:highlight w:val="none"/>
        </w:rPr>
      </w:pPr>
    </w:p>
    <w:p w14:paraId="21002F42">
      <w:pPr>
        <w:widowControl/>
        <w:wordWrap w:val="0"/>
        <w:topLinePunct/>
        <w:adjustRightInd w:val="0"/>
        <w:snapToGrid w:val="0"/>
        <w:spacing w:line="480" w:lineRule="exact"/>
        <w:jc w:val="center"/>
        <w:rPr>
          <w:rFonts w:ascii="宋体" w:hAnsi="宋体" w:eastAsia="宋体" w:cs="Times New Roman"/>
          <w:color w:val="auto"/>
          <w:szCs w:val="24"/>
          <w:highlight w:val="none"/>
        </w:rPr>
      </w:pPr>
    </w:p>
    <w:p w14:paraId="1F21CBA6">
      <w:pPr>
        <w:widowControl/>
        <w:wordWrap w:val="0"/>
        <w:topLinePunct/>
        <w:adjustRightInd w:val="0"/>
        <w:snapToGrid w:val="0"/>
        <w:spacing w:line="480" w:lineRule="exact"/>
        <w:jc w:val="center"/>
        <w:rPr>
          <w:rFonts w:ascii="宋体" w:hAnsi="宋体" w:eastAsia="宋体" w:cs="Times New Roman"/>
          <w:color w:val="auto"/>
          <w:szCs w:val="24"/>
          <w:highlight w:val="none"/>
        </w:rPr>
      </w:pPr>
    </w:p>
    <w:p w14:paraId="6E8E5C85">
      <w:pPr>
        <w:widowControl/>
        <w:wordWrap w:val="0"/>
        <w:topLinePunct/>
        <w:adjustRightInd w:val="0"/>
        <w:snapToGrid w:val="0"/>
        <w:spacing w:line="480" w:lineRule="exact"/>
        <w:jc w:val="center"/>
        <w:rPr>
          <w:rFonts w:ascii="宋体" w:hAnsi="宋体" w:eastAsia="宋体" w:cs="Times New Roman"/>
          <w:color w:val="auto"/>
          <w:szCs w:val="24"/>
          <w:highlight w:val="none"/>
        </w:rPr>
      </w:pPr>
    </w:p>
    <w:p w14:paraId="66804384">
      <w:pPr>
        <w:widowControl/>
        <w:wordWrap w:val="0"/>
        <w:topLinePunct/>
        <w:adjustRightInd w:val="0"/>
        <w:snapToGrid w:val="0"/>
        <w:spacing w:line="480" w:lineRule="exact"/>
        <w:jc w:val="center"/>
        <w:rPr>
          <w:rFonts w:ascii="宋体" w:hAnsi="宋体" w:eastAsia="宋体" w:cs="Times New Roman"/>
          <w:color w:val="auto"/>
          <w:szCs w:val="24"/>
          <w:highlight w:val="none"/>
        </w:rPr>
      </w:pPr>
    </w:p>
    <w:tbl>
      <w:tblPr>
        <w:tblStyle w:val="46"/>
        <w:tblW w:w="0" w:type="auto"/>
        <w:jc w:val="center"/>
        <w:tblLayout w:type="fixed"/>
        <w:tblCellMar>
          <w:top w:w="0" w:type="dxa"/>
          <w:left w:w="108" w:type="dxa"/>
          <w:bottom w:w="0" w:type="dxa"/>
          <w:right w:w="108" w:type="dxa"/>
        </w:tblCellMar>
      </w:tblPr>
      <w:tblGrid>
        <w:gridCol w:w="2093"/>
        <w:gridCol w:w="4819"/>
      </w:tblGrid>
      <w:tr w14:paraId="0081B9F4">
        <w:tblPrEx>
          <w:tblCellMar>
            <w:top w:w="0" w:type="dxa"/>
            <w:left w:w="108" w:type="dxa"/>
            <w:bottom w:w="0" w:type="dxa"/>
            <w:right w:w="108" w:type="dxa"/>
          </w:tblCellMar>
        </w:tblPrEx>
        <w:trPr>
          <w:trHeight w:val="1021" w:hRule="atLeast"/>
          <w:jc w:val="center"/>
        </w:trPr>
        <w:tc>
          <w:tcPr>
            <w:tcW w:w="2093" w:type="dxa"/>
            <w:vAlign w:val="center"/>
          </w:tcPr>
          <w:p w14:paraId="61AAF9B1">
            <w:pPr>
              <w:widowControl/>
              <w:topLinePunct/>
              <w:adjustRightInd w:val="0"/>
              <w:snapToGrid w:val="0"/>
              <w:spacing w:line="480" w:lineRule="exact"/>
              <w:rPr>
                <w:rFonts w:ascii="宋体" w:hAnsi="宋体" w:eastAsia="宋体" w:cs="Times New Roman"/>
                <w:color w:val="auto"/>
                <w:szCs w:val="24"/>
                <w:highlight w:val="none"/>
              </w:rPr>
            </w:pPr>
            <w:r>
              <w:rPr>
                <w:rFonts w:hint="eastAsia" w:ascii="宋体" w:hAnsi="宋体" w:eastAsia="宋体" w:cs="Times New Roman"/>
                <w:color w:val="auto"/>
                <w:sz w:val="28"/>
                <w:szCs w:val="24"/>
                <w:highlight w:val="none"/>
              </w:rPr>
              <w:t>工程名称：</w:t>
            </w:r>
          </w:p>
        </w:tc>
        <w:tc>
          <w:tcPr>
            <w:tcW w:w="4819" w:type="dxa"/>
            <w:vAlign w:val="center"/>
          </w:tcPr>
          <w:p w14:paraId="7739D3DD">
            <w:pPr>
              <w:widowControl/>
              <w:wordWrap w:val="0"/>
              <w:topLinePunct/>
              <w:adjustRightInd w:val="0"/>
              <w:snapToGrid w:val="0"/>
              <w:spacing w:line="480" w:lineRule="exact"/>
              <w:rPr>
                <w:rFonts w:ascii="宋体" w:hAnsi="宋体" w:eastAsia="宋体" w:cs="Times New Roman"/>
                <w:color w:val="auto"/>
                <w:szCs w:val="24"/>
                <w:highlight w:val="none"/>
              </w:rPr>
            </w:pPr>
            <w:r>
              <w:rPr>
                <w:rFonts w:hint="eastAsia" w:ascii="宋体" w:hAnsi="宋体" w:eastAsia="宋体" w:cs="Times New Roman"/>
                <w:color w:val="auto"/>
                <w:szCs w:val="24"/>
                <w:highlight w:val="none"/>
                <w:u w:val="single"/>
              </w:rPr>
              <w:t xml:space="preserve">                                       </w:t>
            </w:r>
            <w:r>
              <w:rPr>
                <w:rFonts w:hint="eastAsia" w:ascii="宋体" w:hAnsi="宋体" w:eastAsia="宋体" w:cs="Times New Roman"/>
                <w:color w:val="auto"/>
                <w:szCs w:val="24"/>
                <w:highlight w:val="none"/>
              </w:rPr>
              <w:t>。</w:t>
            </w:r>
          </w:p>
        </w:tc>
      </w:tr>
      <w:tr w14:paraId="4F64F535">
        <w:tblPrEx>
          <w:tblCellMar>
            <w:top w:w="0" w:type="dxa"/>
            <w:left w:w="108" w:type="dxa"/>
            <w:bottom w:w="0" w:type="dxa"/>
            <w:right w:w="108" w:type="dxa"/>
          </w:tblCellMar>
        </w:tblPrEx>
        <w:trPr>
          <w:trHeight w:val="1021" w:hRule="atLeast"/>
          <w:jc w:val="center"/>
        </w:trPr>
        <w:tc>
          <w:tcPr>
            <w:tcW w:w="2093" w:type="dxa"/>
            <w:vAlign w:val="center"/>
          </w:tcPr>
          <w:p w14:paraId="0BC77214">
            <w:pPr>
              <w:widowControl/>
              <w:wordWrap w:val="0"/>
              <w:topLinePunct/>
              <w:adjustRightInd w:val="0"/>
              <w:snapToGrid w:val="0"/>
              <w:spacing w:line="480" w:lineRule="exact"/>
              <w:rPr>
                <w:rFonts w:ascii="宋体" w:hAnsi="宋体" w:eastAsia="宋体" w:cs="Times New Roman"/>
                <w:color w:val="auto"/>
                <w:szCs w:val="24"/>
                <w:highlight w:val="none"/>
              </w:rPr>
            </w:pPr>
            <w:r>
              <w:rPr>
                <w:rFonts w:hint="eastAsia" w:ascii="宋体" w:hAnsi="宋体" w:eastAsia="宋体" w:cs="Times New Roman"/>
                <w:color w:val="auto"/>
                <w:sz w:val="28"/>
                <w:szCs w:val="24"/>
                <w:highlight w:val="none"/>
              </w:rPr>
              <w:t>工程地点:</w:t>
            </w:r>
          </w:p>
        </w:tc>
        <w:tc>
          <w:tcPr>
            <w:tcW w:w="4819" w:type="dxa"/>
            <w:vAlign w:val="center"/>
          </w:tcPr>
          <w:p w14:paraId="7D7011BA">
            <w:pPr>
              <w:widowControl/>
              <w:wordWrap w:val="0"/>
              <w:topLinePunct/>
              <w:adjustRightInd w:val="0"/>
              <w:snapToGrid w:val="0"/>
              <w:spacing w:line="480" w:lineRule="exact"/>
              <w:rPr>
                <w:rFonts w:ascii="宋体" w:hAnsi="宋体" w:eastAsia="宋体" w:cs="Times New Roman"/>
                <w:color w:val="auto"/>
                <w:szCs w:val="24"/>
                <w:highlight w:val="none"/>
              </w:rPr>
            </w:pPr>
            <w:r>
              <w:rPr>
                <w:rFonts w:hint="eastAsia" w:ascii="宋体" w:hAnsi="宋体" w:eastAsia="宋体" w:cs="Times New Roman"/>
                <w:color w:val="auto"/>
                <w:szCs w:val="24"/>
                <w:highlight w:val="none"/>
                <w:u w:val="single"/>
              </w:rPr>
              <w:t xml:space="preserve">                                       </w:t>
            </w:r>
            <w:r>
              <w:rPr>
                <w:rFonts w:hint="eastAsia" w:ascii="宋体" w:hAnsi="宋体" w:eastAsia="宋体" w:cs="Times New Roman"/>
                <w:color w:val="auto"/>
                <w:szCs w:val="24"/>
                <w:highlight w:val="none"/>
              </w:rPr>
              <w:t>。</w:t>
            </w:r>
          </w:p>
        </w:tc>
      </w:tr>
      <w:tr w14:paraId="461708D8">
        <w:tblPrEx>
          <w:tblCellMar>
            <w:top w:w="0" w:type="dxa"/>
            <w:left w:w="108" w:type="dxa"/>
            <w:bottom w:w="0" w:type="dxa"/>
            <w:right w:w="108" w:type="dxa"/>
          </w:tblCellMar>
        </w:tblPrEx>
        <w:trPr>
          <w:trHeight w:val="1021" w:hRule="atLeast"/>
          <w:jc w:val="center"/>
        </w:trPr>
        <w:tc>
          <w:tcPr>
            <w:tcW w:w="2093" w:type="dxa"/>
            <w:vAlign w:val="center"/>
          </w:tcPr>
          <w:p w14:paraId="6F1FD262">
            <w:pPr>
              <w:widowControl/>
              <w:wordWrap w:val="0"/>
              <w:topLinePunct/>
              <w:adjustRightInd w:val="0"/>
              <w:snapToGrid w:val="0"/>
              <w:spacing w:line="480" w:lineRule="exact"/>
              <w:rPr>
                <w:rFonts w:ascii="宋体" w:hAnsi="宋体" w:eastAsia="宋体" w:cs="Times New Roman"/>
                <w:color w:val="auto"/>
                <w:sz w:val="28"/>
                <w:szCs w:val="24"/>
                <w:highlight w:val="none"/>
              </w:rPr>
            </w:pPr>
            <w:r>
              <w:rPr>
                <w:rFonts w:hint="eastAsia" w:ascii="宋体" w:hAnsi="宋体" w:eastAsia="宋体" w:cs="Times New Roman"/>
                <w:color w:val="auto"/>
                <w:sz w:val="28"/>
                <w:szCs w:val="24"/>
                <w:highlight w:val="none"/>
              </w:rPr>
              <w:t>合同编号：</w:t>
            </w:r>
          </w:p>
          <w:p w14:paraId="32D6FB87">
            <w:pPr>
              <w:widowControl/>
              <w:wordWrap w:val="0"/>
              <w:topLinePunct/>
              <w:adjustRightInd w:val="0"/>
              <w:snapToGrid w:val="0"/>
              <w:spacing w:line="480" w:lineRule="exact"/>
              <w:rPr>
                <w:rFonts w:ascii="宋体" w:hAnsi="宋体" w:eastAsia="宋体" w:cs="Times New Roman"/>
                <w:color w:val="auto"/>
                <w:sz w:val="18"/>
                <w:szCs w:val="18"/>
                <w:highlight w:val="none"/>
              </w:rPr>
            </w:pPr>
            <w:r>
              <w:rPr>
                <w:rFonts w:hint="eastAsia" w:ascii="宋体" w:hAnsi="宋体" w:eastAsia="宋体" w:cs="Times New Roman"/>
                <w:color w:val="auto"/>
                <w:sz w:val="18"/>
                <w:szCs w:val="18"/>
                <w:highlight w:val="none"/>
              </w:rPr>
              <w:t>（由设计人编填）</w:t>
            </w:r>
          </w:p>
        </w:tc>
        <w:tc>
          <w:tcPr>
            <w:tcW w:w="4819" w:type="dxa"/>
            <w:vAlign w:val="center"/>
          </w:tcPr>
          <w:p w14:paraId="7C7C42AE">
            <w:pPr>
              <w:widowControl/>
              <w:wordWrap w:val="0"/>
              <w:topLinePunct/>
              <w:adjustRightInd w:val="0"/>
              <w:snapToGrid w:val="0"/>
              <w:spacing w:line="480" w:lineRule="exact"/>
              <w:rPr>
                <w:rFonts w:ascii="宋体" w:hAnsi="宋体" w:eastAsia="宋体" w:cs="Times New Roman"/>
                <w:color w:val="auto"/>
                <w:szCs w:val="24"/>
                <w:highlight w:val="none"/>
              </w:rPr>
            </w:pPr>
            <w:r>
              <w:rPr>
                <w:rFonts w:hint="eastAsia" w:ascii="宋体" w:hAnsi="宋体" w:eastAsia="宋体" w:cs="Times New Roman"/>
                <w:color w:val="auto"/>
                <w:szCs w:val="24"/>
                <w:highlight w:val="none"/>
                <w:u w:val="single"/>
              </w:rPr>
              <w:t xml:space="preserve">                                       </w:t>
            </w:r>
            <w:r>
              <w:rPr>
                <w:rFonts w:hint="eastAsia" w:ascii="宋体" w:hAnsi="宋体" w:eastAsia="宋体" w:cs="Times New Roman"/>
                <w:color w:val="auto"/>
                <w:szCs w:val="24"/>
                <w:highlight w:val="none"/>
              </w:rPr>
              <w:t>。</w:t>
            </w:r>
          </w:p>
        </w:tc>
      </w:tr>
      <w:tr w14:paraId="50D7063B">
        <w:tblPrEx>
          <w:tblCellMar>
            <w:top w:w="0" w:type="dxa"/>
            <w:left w:w="108" w:type="dxa"/>
            <w:bottom w:w="0" w:type="dxa"/>
            <w:right w:w="108" w:type="dxa"/>
          </w:tblCellMar>
        </w:tblPrEx>
        <w:trPr>
          <w:trHeight w:val="1021" w:hRule="atLeast"/>
          <w:jc w:val="center"/>
        </w:trPr>
        <w:tc>
          <w:tcPr>
            <w:tcW w:w="2093" w:type="dxa"/>
            <w:vAlign w:val="center"/>
          </w:tcPr>
          <w:p w14:paraId="7CBB1537">
            <w:pPr>
              <w:widowControl/>
              <w:wordWrap w:val="0"/>
              <w:topLinePunct/>
              <w:adjustRightInd w:val="0"/>
              <w:snapToGrid w:val="0"/>
              <w:spacing w:line="480" w:lineRule="exact"/>
              <w:rPr>
                <w:rFonts w:ascii="宋体" w:hAnsi="宋体" w:eastAsia="宋体" w:cs="Times New Roman"/>
                <w:color w:val="auto"/>
                <w:szCs w:val="24"/>
                <w:highlight w:val="none"/>
              </w:rPr>
            </w:pPr>
            <w:r>
              <w:rPr>
                <w:rFonts w:hint="eastAsia" w:ascii="宋体" w:hAnsi="宋体" w:eastAsia="宋体" w:cs="Times New Roman"/>
                <w:color w:val="auto"/>
                <w:sz w:val="28"/>
                <w:szCs w:val="24"/>
                <w:highlight w:val="none"/>
              </w:rPr>
              <w:t>设计证书等级：</w:t>
            </w:r>
          </w:p>
        </w:tc>
        <w:tc>
          <w:tcPr>
            <w:tcW w:w="4819" w:type="dxa"/>
            <w:vAlign w:val="center"/>
          </w:tcPr>
          <w:p w14:paraId="3029DB83">
            <w:pPr>
              <w:widowControl/>
              <w:wordWrap w:val="0"/>
              <w:topLinePunct/>
              <w:adjustRightInd w:val="0"/>
              <w:snapToGrid w:val="0"/>
              <w:spacing w:line="480" w:lineRule="exact"/>
              <w:rPr>
                <w:rFonts w:ascii="宋体" w:hAnsi="宋体" w:eastAsia="宋体" w:cs="Times New Roman"/>
                <w:color w:val="auto"/>
                <w:szCs w:val="24"/>
                <w:highlight w:val="none"/>
              </w:rPr>
            </w:pPr>
            <w:r>
              <w:rPr>
                <w:rFonts w:hint="eastAsia" w:ascii="宋体" w:hAnsi="宋体" w:eastAsia="宋体" w:cs="Times New Roman"/>
                <w:color w:val="auto"/>
                <w:szCs w:val="24"/>
                <w:highlight w:val="none"/>
                <w:u w:val="single"/>
              </w:rPr>
              <w:t xml:space="preserve">                                       </w:t>
            </w:r>
            <w:r>
              <w:rPr>
                <w:rFonts w:hint="eastAsia" w:ascii="宋体" w:hAnsi="宋体" w:eastAsia="宋体" w:cs="Times New Roman"/>
                <w:color w:val="auto"/>
                <w:szCs w:val="24"/>
                <w:highlight w:val="none"/>
              </w:rPr>
              <w:t>。</w:t>
            </w:r>
          </w:p>
        </w:tc>
      </w:tr>
      <w:tr w14:paraId="727ED464">
        <w:tblPrEx>
          <w:tblCellMar>
            <w:top w:w="0" w:type="dxa"/>
            <w:left w:w="108" w:type="dxa"/>
            <w:bottom w:w="0" w:type="dxa"/>
            <w:right w:w="108" w:type="dxa"/>
          </w:tblCellMar>
        </w:tblPrEx>
        <w:trPr>
          <w:trHeight w:val="1021" w:hRule="atLeast"/>
          <w:jc w:val="center"/>
        </w:trPr>
        <w:tc>
          <w:tcPr>
            <w:tcW w:w="2093" w:type="dxa"/>
            <w:vAlign w:val="center"/>
          </w:tcPr>
          <w:p w14:paraId="6416F6E0">
            <w:pPr>
              <w:widowControl/>
              <w:wordWrap w:val="0"/>
              <w:topLinePunct/>
              <w:adjustRightInd w:val="0"/>
              <w:snapToGrid w:val="0"/>
              <w:spacing w:line="480" w:lineRule="exact"/>
              <w:rPr>
                <w:rFonts w:ascii="宋体" w:hAnsi="宋体" w:eastAsia="宋体" w:cs="Times New Roman"/>
                <w:color w:val="auto"/>
                <w:szCs w:val="24"/>
                <w:highlight w:val="none"/>
              </w:rPr>
            </w:pPr>
            <w:r>
              <w:rPr>
                <w:rFonts w:hint="eastAsia" w:ascii="宋体" w:hAnsi="宋体" w:eastAsia="宋体" w:cs="Times New Roman"/>
                <w:color w:val="auto"/>
                <w:sz w:val="28"/>
                <w:szCs w:val="24"/>
                <w:highlight w:val="none"/>
              </w:rPr>
              <w:t>发包人：</w:t>
            </w:r>
          </w:p>
        </w:tc>
        <w:tc>
          <w:tcPr>
            <w:tcW w:w="4819" w:type="dxa"/>
            <w:vAlign w:val="center"/>
          </w:tcPr>
          <w:p w14:paraId="6009C95D">
            <w:pPr>
              <w:widowControl/>
              <w:wordWrap w:val="0"/>
              <w:topLinePunct/>
              <w:adjustRightInd w:val="0"/>
              <w:snapToGrid w:val="0"/>
              <w:spacing w:line="480" w:lineRule="exact"/>
              <w:rPr>
                <w:rFonts w:ascii="宋体" w:hAnsi="宋体" w:eastAsia="宋体" w:cs="Times New Roman"/>
                <w:color w:val="auto"/>
                <w:szCs w:val="24"/>
                <w:highlight w:val="none"/>
              </w:rPr>
            </w:pPr>
            <w:r>
              <w:rPr>
                <w:rFonts w:hint="eastAsia" w:ascii="宋体" w:hAnsi="宋体" w:eastAsia="宋体" w:cs="Times New Roman"/>
                <w:color w:val="auto"/>
                <w:szCs w:val="24"/>
                <w:highlight w:val="none"/>
                <w:u w:val="single"/>
              </w:rPr>
              <w:t xml:space="preserve">                                       </w:t>
            </w:r>
            <w:r>
              <w:rPr>
                <w:rFonts w:hint="eastAsia" w:ascii="宋体" w:hAnsi="宋体" w:eastAsia="宋体" w:cs="Times New Roman"/>
                <w:color w:val="auto"/>
                <w:szCs w:val="24"/>
                <w:highlight w:val="none"/>
              </w:rPr>
              <w:t>。</w:t>
            </w:r>
          </w:p>
        </w:tc>
      </w:tr>
      <w:tr w14:paraId="6FEB4435">
        <w:tblPrEx>
          <w:tblCellMar>
            <w:top w:w="0" w:type="dxa"/>
            <w:left w:w="108" w:type="dxa"/>
            <w:bottom w:w="0" w:type="dxa"/>
            <w:right w:w="108" w:type="dxa"/>
          </w:tblCellMar>
        </w:tblPrEx>
        <w:trPr>
          <w:trHeight w:val="1021" w:hRule="atLeast"/>
          <w:jc w:val="center"/>
        </w:trPr>
        <w:tc>
          <w:tcPr>
            <w:tcW w:w="2093" w:type="dxa"/>
            <w:vAlign w:val="center"/>
          </w:tcPr>
          <w:p w14:paraId="06A6F7D8">
            <w:pPr>
              <w:widowControl/>
              <w:wordWrap w:val="0"/>
              <w:topLinePunct/>
              <w:adjustRightInd w:val="0"/>
              <w:snapToGrid w:val="0"/>
              <w:spacing w:line="480" w:lineRule="exact"/>
              <w:rPr>
                <w:rFonts w:ascii="宋体" w:hAnsi="宋体" w:eastAsia="宋体" w:cs="Times New Roman"/>
                <w:color w:val="auto"/>
                <w:szCs w:val="24"/>
                <w:highlight w:val="none"/>
              </w:rPr>
            </w:pPr>
            <w:r>
              <w:rPr>
                <w:rFonts w:hint="eastAsia" w:ascii="宋体" w:hAnsi="宋体" w:eastAsia="宋体" w:cs="Times New Roman"/>
                <w:color w:val="auto"/>
                <w:sz w:val="28"/>
                <w:szCs w:val="24"/>
                <w:highlight w:val="none"/>
              </w:rPr>
              <w:t>设计人：</w:t>
            </w:r>
          </w:p>
        </w:tc>
        <w:tc>
          <w:tcPr>
            <w:tcW w:w="4819" w:type="dxa"/>
            <w:vAlign w:val="center"/>
          </w:tcPr>
          <w:p w14:paraId="4E7EC227">
            <w:pPr>
              <w:widowControl/>
              <w:wordWrap w:val="0"/>
              <w:topLinePunct/>
              <w:adjustRightInd w:val="0"/>
              <w:snapToGrid w:val="0"/>
              <w:spacing w:line="480" w:lineRule="exact"/>
              <w:rPr>
                <w:rFonts w:ascii="宋体" w:hAnsi="宋体" w:eastAsia="宋体" w:cs="Times New Roman"/>
                <w:color w:val="auto"/>
                <w:szCs w:val="24"/>
                <w:highlight w:val="none"/>
              </w:rPr>
            </w:pPr>
            <w:r>
              <w:rPr>
                <w:rFonts w:hint="eastAsia" w:ascii="宋体" w:hAnsi="宋体" w:eastAsia="宋体" w:cs="Times New Roman"/>
                <w:color w:val="auto"/>
                <w:szCs w:val="24"/>
                <w:highlight w:val="none"/>
                <w:u w:val="single"/>
              </w:rPr>
              <w:t xml:space="preserve">                                       </w:t>
            </w:r>
            <w:r>
              <w:rPr>
                <w:rFonts w:hint="eastAsia" w:ascii="宋体" w:hAnsi="宋体" w:eastAsia="宋体" w:cs="Times New Roman"/>
                <w:color w:val="auto"/>
                <w:szCs w:val="24"/>
                <w:highlight w:val="none"/>
              </w:rPr>
              <w:t>。</w:t>
            </w:r>
          </w:p>
        </w:tc>
      </w:tr>
    </w:tbl>
    <w:p w14:paraId="2FA490A1">
      <w:pPr>
        <w:widowControl/>
        <w:wordWrap w:val="0"/>
        <w:topLinePunct/>
        <w:adjustRightInd w:val="0"/>
        <w:snapToGrid w:val="0"/>
        <w:spacing w:line="480" w:lineRule="exact"/>
        <w:rPr>
          <w:rFonts w:ascii="宋体" w:hAnsi="宋体" w:eastAsia="宋体" w:cs="Times New Roman"/>
          <w:b/>
          <w:bCs/>
          <w:color w:val="auto"/>
          <w:spacing w:val="110"/>
          <w:sz w:val="72"/>
          <w:szCs w:val="24"/>
          <w:highlight w:val="none"/>
        </w:rPr>
      </w:pPr>
    </w:p>
    <w:p w14:paraId="574D2F34">
      <w:pPr>
        <w:widowControl/>
        <w:wordWrap w:val="0"/>
        <w:topLinePunct/>
        <w:adjustRightInd w:val="0"/>
        <w:snapToGrid w:val="0"/>
        <w:spacing w:line="480" w:lineRule="exact"/>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br w:type="page"/>
      </w:r>
      <w:r>
        <w:rPr>
          <w:rFonts w:hint="eastAsia" w:ascii="宋体" w:hAnsi="宋体" w:eastAsia="宋体" w:cs="Times New Roman"/>
          <w:b/>
          <w:color w:val="auto"/>
          <w:sz w:val="24"/>
          <w:szCs w:val="24"/>
          <w:highlight w:val="none"/>
        </w:rPr>
        <w:t>发包人：</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w:t>
      </w:r>
    </w:p>
    <w:p w14:paraId="4718B901">
      <w:pPr>
        <w:widowControl/>
        <w:wordWrap w:val="0"/>
        <w:topLinePunct/>
        <w:adjustRightInd w:val="0"/>
        <w:snapToGrid w:val="0"/>
        <w:spacing w:line="480" w:lineRule="exact"/>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设计人：</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w:t>
      </w:r>
    </w:p>
    <w:p w14:paraId="1A7E3069">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发包人委托设计人承担</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设计工作。依照《中华人民共和国民法典》、《中华人民共和国建筑法》及其他有关法律、行政法规，遵循平等、自愿、公平和诚实信用的原则，经双方协商一致，订立本合同。</w:t>
      </w:r>
    </w:p>
    <w:p w14:paraId="7613E5D6">
      <w:pPr>
        <w:widowControl/>
        <w:wordWrap w:val="0"/>
        <w:topLinePunct/>
        <w:adjustRightInd w:val="0"/>
        <w:snapToGrid w:val="0"/>
        <w:spacing w:line="480" w:lineRule="exact"/>
        <w:ind w:firstLine="308" w:firstLineChars="128"/>
        <w:outlineLvl w:val="4"/>
        <w:rPr>
          <w:rFonts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第一条 本合同签订依据</w:t>
      </w:r>
    </w:p>
    <w:p w14:paraId="74653DB2">
      <w:pPr>
        <w:widowControl/>
        <w:tabs>
          <w:tab w:val="left" w:pos="-3060"/>
        </w:tabs>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1.1</w:t>
      </w:r>
      <w:r>
        <w:rPr>
          <w:rFonts w:hint="eastAsia" w:ascii="宋体" w:hAnsi="宋体" w:eastAsia="宋体" w:cs="Times New Roman"/>
          <w:color w:val="auto"/>
          <w:sz w:val="24"/>
          <w:szCs w:val="24"/>
          <w:highlight w:val="none"/>
        </w:rPr>
        <w:t>中华人民共和国的法律、法规、司法解释、部门规章、地方性法规、广东省、广州市、广州开发区、广州市黄埔区现行有关法律、法规和相关的工程设计技术规范、规定及标准；</w:t>
      </w:r>
    </w:p>
    <w:p w14:paraId="6AFCD8B6">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1.2</w:t>
      </w:r>
      <w:r>
        <w:rPr>
          <w:rFonts w:hint="eastAsia" w:ascii="宋体" w:hAnsi="宋体" w:eastAsia="宋体" w:cs="Times New Roman"/>
          <w:color w:val="auto"/>
          <w:sz w:val="24"/>
          <w:szCs w:val="24"/>
          <w:highlight w:val="none"/>
        </w:rPr>
        <w:t>发包人提供的设计任务书；</w:t>
      </w:r>
    </w:p>
    <w:p w14:paraId="0112B27C">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1.3</w:t>
      </w:r>
      <w:r>
        <w:rPr>
          <w:rFonts w:hint="eastAsia" w:ascii="宋体" w:hAnsi="宋体" w:eastAsia="宋体" w:cs="Times New Roman"/>
          <w:color w:val="auto"/>
          <w:sz w:val="24"/>
          <w:szCs w:val="24"/>
          <w:highlight w:val="none"/>
        </w:rPr>
        <w:t>本项目的立项批复文件；</w:t>
      </w:r>
    </w:p>
    <w:p w14:paraId="4555F5F8">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1.4</w:t>
      </w:r>
      <w:r>
        <w:rPr>
          <w:rFonts w:hint="eastAsia" w:ascii="宋体" w:hAnsi="宋体" w:eastAsia="宋体" w:cs="Times New Roman"/>
          <w:color w:val="auto"/>
          <w:sz w:val="24"/>
          <w:szCs w:val="24"/>
          <w:highlight w:val="none"/>
        </w:rPr>
        <w:t>发包人提供的规划建设主管部门对本项目的规划设计要点；</w:t>
      </w:r>
    </w:p>
    <w:p w14:paraId="0DCA0A68">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1.5</w:t>
      </w:r>
      <w:r>
        <w:rPr>
          <w:rFonts w:hint="eastAsia" w:ascii="宋体" w:hAnsi="宋体" w:eastAsia="宋体" w:cs="Times New Roman"/>
          <w:color w:val="auto"/>
          <w:sz w:val="24"/>
          <w:szCs w:val="24"/>
          <w:highlight w:val="none"/>
        </w:rPr>
        <w:t>发包人提供的本项目基础资料；</w:t>
      </w:r>
    </w:p>
    <w:p w14:paraId="1AFDF886">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1.6</w:t>
      </w:r>
      <w:r>
        <w:rPr>
          <w:rFonts w:hint="eastAsia" w:ascii="宋体" w:hAnsi="宋体" w:eastAsia="宋体" w:cs="Times New Roman"/>
          <w:color w:val="auto"/>
          <w:sz w:val="24"/>
          <w:szCs w:val="24"/>
          <w:highlight w:val="none"/>
        </w:rPr>
        <w:t>合同双方签署的本合同及一切附件和补充文件；</w:t>
      </w:r>
    </w:p>
    <w:p w14:paraId="1C33DDC3">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1.7</w:t>
      </w:r>
      <w:r>
        <w:rPr>
          <w:rFonts w:hint="eastAsia" w:ascii="宋体" w:hAnsi="宋体" w:eastAsia="宋体" w:cs="Times New Roman"/>
          <w:color w:val="auto"/>
          <w:sz w:val="24"/>
          <w:szCs w:val="24"/>
          <w:highlight w:val="none"/>
        </w:rPr>
        <w:t>设计和建设过程中的政府审批意见，政府或发包人委托或组织的评分机构（会议）提出的及发包人发出的阶段性书面意见，双方来往的各类书面文件、会议纪要等；</w:t>
      </w:r>
    </w:p>
    <w:p w14:paraId="0CCF3458">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1.8</w:t>
      </w:r>
      <w:r>
        <w:rPr>
          <w:rFonts w:hint="eastAsia" w:ascii="宋体" w:hAnsi="宋体" w:eastAsia="宋体" w:cs="Times New Roman"/>
          <w:color w:val="auto"/>
          <w:sz w:val="24"/>
          <w:szCs w:val="24"/>
          <w:highlight w:val="none"/>
        </w:rPr>
        <w:t>设计中标通知书；</w:t>
      </w:r>
    </w:p>
    <w:p w14:paraId="0417D7C8">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1.9</w:t>
      </w:r>
      <w:r>
        <w:rPr>
          <w:rFonts w:hint="eastAsia" w:ascii="宋体" w:hAnsi="宋体" w:eastAsia="宋体" w:cs="Times New Roman"/>
          <w:color w:val="auto"/>
          <w:sz w:val="24"/>
          <w:szCs w:val="24"/>
          <w:highlight w:val="none"/>
        </w:rPr>
        <w:t>招标文件；</w:t>
      </w:r>
    </w:p>
    <w:p w14:paraId="21BDD5E5">
      <w:pPr>
        <w:widowControl/>
        <w:wordWrap w:val="0"/>
        <w:topLinePunct/>
        <w:adjustRightInd w:val="0"/>
        <w:snapToGrid w:val="0"/>
        <w:spacing w:line="480" w:lineRule="exact"/>
        <w:ind w:firstLine="482" w:firstLineChars="200"/>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1.10</w:t>
      </w:r>
      <w:r>
        <w:rPr>
          <w:rFonts w:hint="eastAsia" w:ascii="宋体" w:hAnsi="宋体" w:eastAsia="宋体" w:cs="Times New Roman"/>
          <w:color w:val="auto"/>
          <w:sz w:val="24"/>
          <w:szCs w:val="24"/>
          <w:highlight w:val="none"/>
        </w:rPr>
        <w:t>设计人参加投标的方案，以及评标委员会的意见、发包人提出的修改意见，使用权属于发包人的其他投标方案。</w:t>
      </w:r>
    </w:p>
    <w:p w14:paraId="0AC37B8D">
      <w:pPr>
        <w:widowControl/>
        <w:wordWrap w:val="0"/>
        <w:topLinePunct/>
        <w:adjustRightInd w:val="0"/>
        <w:snapToGrid w:val="0"/>
        <w:spacing w:line="480" w:lineRule="exact"/>
        <w:ind w:firstLine="308" w:firstLineChars="128"/>
        <w:outlineLvl w:val="4"/>
        <w:rPr>
          <w:rFonts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第二条 合同文件的优先次序</w:t>
      </w:r>
    </w:p>
    <w:p w14:paraId="08677D09">
      <w:pPr>
        <w:widowControl/>
        <w:wordWrap w:val="0"/>
        <w:topLinePunct/>
        <w:adjustRightInd w:val="0"/>
        <w:snapToGrid w:val="0"/>
        <w:spacing w:line="480" w:lineRule="exact"/>
        <w:ind w:firstLine="482"/>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下列文件应被认为是组成本合同的一部分，并互为补充和解释，如上述部分存在冲突之处，以如下先后排列次序为优先：</w:t>
      </w:r>
    </w:p>
    <w:p w14:paraId="05346737">
      <w:pPr>
        <w:widowControl/>
        <w:wordWrap w:val="0"/>
        <w:topLinePunct/>
        <w:adjustRightInd w:val="0"/>
        <w:snapToGrid w:val="0"/>
        <w:spacing w:line="480" w:lineRule="exact"/>
        <w:ind w:firstLine="482"/>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2.1</w:t>
      </w:r>
      <w:r>
        <w:rPr>
          <w:rFonts w:hint="eastAsia" w:ascii="宋体" w:hAnsi="宋体" w:eastAsia="宋体" w:cs="Times New Roman"/>
          <w:color w:val="auto"/>
          <w:sz w:val="24"/>
          <w:szCs w:val="24"/>
          <w:highlight w:val="none"/>
        </w:rPr>
        <w:t>广东省、广州市人民政府及广州开发区管委会（或黄埔区人民政府）关于本项目的有关文件；</w:t>
      </w:r>
    </w:p>
    <w:p w14:paraId="46684B26">
      <w:pPr>
        <w:widowControl/>
        <w:wordWrap w:val="0"/>
        <w:topLinePunct/>
        <w:adjustRightInd w:val="0"/>
        <w:snapToGrid w:val="0"/>
        <w:spacing w:line="480" w:lineRule="exact"/>
        <w:ind w:firstLine="482"/>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2.2</w:t>
      </w:r>
      <w:r>
        <w:rPr>
          <w:rFonts w:hint="eastAsia" w:ascii="宋体" w:hAnsi="宋体" w:eastAsia="宋体" w:cs="Times New Roman"/>
          <w:color w:val="auto"/>
          <w:sz w:val="24"/>
          <w:szCs w:val="24"/>
          <w:highlight w:val="none"/>
        </w:rPr>
        <w:t>合同实施期间双方签订的合同补充或修正文件；</w:t>
      </w:r>
    </w:p>
    <w:p w14:paraId="2A17C40D">
      <w:pPr>
        <w:widowControl/>
        <w:wordWrap w:val="0"/>
        <w:topLinePunct/>
        <w:adjustRightInd w:val="0"/>
        <w:snapToGrid w:val="0"/>
        <w:spacing w:line="480" w:lineRule="exact"/>
        <w:ind w:firstLine="482"/>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2.3</w:t>
      </w:r>
      <w:r>
        <w:rPr>
          <w:rFonts w:hint="eastAsia" w:ascii="宋体" w:hAnsi="宋体" w:eastAsia="宋体" w:cs="Times New Roman"/>
          <w:color w:val="auto"/>
          <w:sz w:val="24"/>
          <w:szCs w:val="24"/>
          <w:highlight w:val="none"/>
        </w:rPr>
        <w:t>合同条款；</w:t>
      </w:r>
    </w:p>
    <w:p w14:paraId="6CC8F8FE">
      <w:pPr>
        <w:widowControl/>
        <w:wordWrap w:val="0"/>
        <w:topLinePunct/>
        <w:adjustRightInd w:val="0"/>
        <w:snapToGrid w:val="0"/>
        <w:spacing w:line="480" w:lineRule="exact"/>
        <w:ind w:firstLine="482"/>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2.4</w:t>
      </w:r>
      <w:r>
        <w:rPr>
          <w:rFonts w:hint="eastAsia" w:ascii="宋体" w:hAnsi="宋体" w:eastAsia="宋体" w:cs="Times New Roman"/>
          <w:color w:val="auto"/>
          <w:sz w:val="24"/>
          <w:szCs w:val="24"/>
          <w:highlight w:val="none"/>
        </w:rPr>
        <w:t>中标通知书；</w:t>
      </w:r>
    </w:p>
    <w:p w14:paraId="7505130B">
      <w:pPr>
        <w:widowControl/>
        <w:wordWrap w:val="0"/>
        <w:topLinePunct/>
        <w:adjustRightInd w:val="0"/>
        <w:snapToGrid w:val="0"/>
        <w:spacing w:line="480" w:lineRule="exact"/>
        <w:ind w:firstLine="482"/>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2.5</w:t>
      </w:r>
      <w:r>
        <w:rPr>
          <w:rFonts w:hint="eastAsia" w:ascii="宋体" w:hAnsi="宋体" w:eastAsia="宋体" w:cs="Times New Roman"/>
          <w:color w:val="auto"/>
          <w:sz w:val="24"/>
          <w:szCs w:val="24"/>
          <w:highlight w:val="none"/>
        </w:rPr>
        <w:t>招标文件的问题澄清；</w:t>
      </w:r>
    </w:p>
    <w:p w14:paraId="5EB8870E">
      <w:pPr>
        <w:widowControl/>
        <w:wordWrap w:val="0"/>
        <w:topLinePunct/>
        <w:adjustRightInd w:val="0"/>
        <w:snapToGrid w:val="0"/>
        <w:spacing w:line="480" w:lineRule="exact"/>
        <w:ind w:firstLine="482"/>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2.6</w:t>
      </w:r>
      <w:r>
        <w:rPr>
          <w:rFonts w:hint="eastAsia" w:ascii="宋体" w:hAnsi="宋体" w:eastAsia="宋体" w:cs="Times New Roman"/>
          <w:color w:val="auto"/>
          <w:sz w:val="24"/>
          <w:szCs w:val="24"/>
          <w:highlight w:val="none"/>
        </w:rPr>
        <w:t>投标文件的问题澄清；</w:t>
      </w:r>
    </w:p>
    <w:p w14:paraId="6821F9E0">
      <w:pPr>
        <w:widowControl/>
        <w:wordWrap w:val="0"/>
        <w:topLinePunct/>
        <w:adjustRightInd w:val="0"/>
        <w:snapToGrid w:val="0"/>
        <w:spacing w:line="480" w:lineRule="exact"/>
        <w:ind w:firstLine="482"/>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2.7</w:t>
      </w:r>
      <w:r>
        <w:rPr>
          <w:rFonts w:hint="eastAsia" w:ascii="宋体" w:hAnsi="宋体" w:eastAsia="宋体" w:cs="Times New Roman"/>
          <w:color w:val="auto"/>
          <w:sz w:val="24"/>
          <w:szCs w:val="24"/>
          <w:highlight w:val="none"/>
        </w:rPr>
        <w:t>招标文件；</w:t>
      </w:r>
    </w:p>
    <w:p w14:paraId="7A7C05C0">
      <w:pPr>
        <w:widowControl/>
        <w:wordWrap w:val="0"/>
        <w:topLinePunct/>
        <w:adjustRightInd w:val="0"/>
        <w:snapToGrid w:val="0"/>
        <w:spacing w:line="480" w:lineRule="exact"/>
        <w:ind w:firstLine="482"/>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2.8</w:t>
      </w:r>
      <w:r>
        <w:rPr>
          <w:rFonts w:hint="eastAsia" w:ascii="宋体" w:hAnsi="宋体" w:eastAsia="宋体" w:cs="Times New Roman"/>
          <w:color w:val="auto"/>
          <w:sz w:val="24"/>
          <w:szCs w:val="24"/>
          <w:highlight w:val="none"/>
        </w:rPr>
        <w:t>投标文件；</w:t>
      </w:r>
    </w:p>
    <w:p w14:paraId="02F58EDD">
      <w:pPr>
        <w:widowControl/>
        <w:wordWrap w:val="0"/>
        <w:topLinePunct/>
        <w:adjustRightInd w:val="0"/>
        <w:snapToGrid w:val="0"/>
        <w:spacing w:line="480" w:lineRule="exact"/>
        <w:ind w:firstLine="482"/>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2.9</w:t>
      </w:r>
      <w:r>
        <w:rPr>
          <w:rFonts w:hint="eastAsia" w:ascii="宋体" w:hAnsi="宋体" w:eastAsia="宋体" w:cs="Times New Roman"/>
          <w:color w:val="auto"/>
          <w:sz w:val="24"/>
          <w:szCs w:val="24"/>
          <w:highlight w:val="none"/>
        </w:rPr>
        <w:t>组成合同的其他文件。</w:t>
      </w:r>
    </w:p>
    <w:p w14:paraId="21766E5B">
      <w:pPr>
        <w:widowControl/>
        <w:wordWrap w:val="0"/>
        <w:topLinePunct/>
        <w:adjustRightInd w:val="0"/>
        <w:snapToGrid w:val="0"/>
        <w:spacing w:line="480" w:lineRule="exact"/>
        <w:ind w:firstLine="308" w:firstLineChars="128"/>
        <w:outlineLvl w:val="4"/>
        <w:rPr>
          <w:rFonts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第三条 本合同设计项目的名称、规模、阶段、设计内容及设计估算投资：</w:t>
      </w:r>
    </w:p>
    <w:p w14:paraId="57746A22">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3.1</w:t>
      </w:r>
      <w:r>
        <w:rPr>
          <w:rFonts w:hint="eastAsia" w:ascii="宋体" w:hAnsi="宋体" w:eastAsia="宋体" w:cs="Times New Roman"/>
          <w:color w:val="auto"/>
          <w:sz w:val="24"/>
          <w:szCs w:val="24"/>
          <w:highlight w:val="none"/>
        </w:rPr>
        <w:t>工程名称：</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w:t>
      </w:r>
    </w:p>
    <w:p w14:paraId="2818795D">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3.2</w:t>
      </w:r>
      <w:r>
        <w:rPr>
          <w:rFonts w:hint="eastAsia" w:ascii="宋体" w:hAnsi="宋体" w:eastAsia="宋体" w:cs="Times New Roman"/>
          <w:color w:val="auto"/>
          <w:sz w:val="24"/>
          <w:szCs w:val="24"/>
          <w:highlight w:val="none"/>
        </w:rPr>
        <w:t>规模：</w:t>
      </w:r>
      <w:r>
        <w:rPr>
          <w:rFonts w:hint="eastAsia" w:ascii="宋体" w:hAnsi="宋体" w:eastAsia="宋体" w:cs="Times New Roman"/>
          <w:color w:val="auto"/>
          <w:sz w:val="24"/>
          <w:szCs w:val="24"/>
          <w:highlight w:val="none"/>
          <w:u w:val="single"/>
        </w:rPr>
        <w:t xml:space="preserve">                  ，</w:t>
      </w:r>
      <w:r>
        <w:rPr>
          <w:rFonts w:hint="eastAsia" w:ascii="宋体" w:hAnsi="宋体" w:eastAsia="宋体" w:cs="宋体"/>
          <w:color w:val="auto"/>
          <w:sz w:val="24"/>
          <w:szCs w:val="24"/>
          <w:highlight w:val="none"/>
          <w:u w:val="single"/>
        </w:rPr>
        <w:t>最终以可研批复为准</w:t>
      </w:r>
      <w:r>
        <w:rPr>
          <w:rFonts w:hint="eastAsia" w:ascii="宋体" w:hAnsi="宋体" w:eastAsia="宋体" w:cs="Times New Roman"/>
          <w:color w:val="auto"/>
          <w:sz w:val="24"/>
          <w:szCs w:val="24"/>
          <w:highlight w:val="none"/>
        </w:rPr>
        <w:t>。</w:t>
      </w:r>
    </w:p>
    <w:p w14:paraId="4DF4A48C">
      <w:pPr>
        <w:spacing w:line="460" w:lineRule="exact"/>
        <w:ind w:firstLine="542" w:firstLineChars="225"/>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3.3</w:t>
      </w:r>
      <w:r>
        <w:rPr>
          <w:rFonts w:hint="eastAsia" w:ascii="宋体" w:hAnsi="宋体" w:eastAsia="宋体" w:cs="Times New Roman"/>
          <w:color w:val="auto"/>
          <w:sz w:val="24"/>
          <w:szCs w:val="24"/>
          <w:highlight w:val="none"/>
        </w:rPr>
        <w:t>阶段：</w:t>
      </w:r>
      <w:r>
        <w:rPr>
          <w:rFonts w:hint="eastAsia" w:ascii="宋体" w:hAnsi="宋体" w:eastAsia="宋体" w:cs="Times New Roman"/>
          <w:color w:val="auto"/>
          <w:sz w:val="24"/>
          <w:szCs w:val="24"/>
          <w:highlight w:val="none"/>
          <w:u w:val="single"/>
        </w:rPr>
        <w:t>方案设计、</w:t>
      </w:r>
      <w:r>
        <w:rPr>
          <w:rFonts w:hint="eastAsia" w:ascii="宋体" w:hAnsi="宋体" w:eastAsia="宋体" w:cs="宋体"/>
          <w:color w:val="auto"/>
          <w:sz w:val="24"/>
          <w:highlight w:val="none"/>
          <w:u w:val="single"/>
        </w:rPr>
        <w:t>协助业主办理工程前期的报建及报批工作</w:t>
      </w:r>
      <w:r>
        <w:rPr>
          <w:rFonts w:hint="eastAsia" w:ascii="宋体" w:hAnsi="宋体" w:eastAsia="宋体" w:cs="Times New Roman"/>
          <w:color w:val="auto"/>
          <w:sz w:val="24"/>
          <w:szCs w:val="24"/>
          <w:highlight w:val="none"/>
          <w:u w:val="single"/>
        </w:rPr>
        <w:t>、初步设计及概算、施工图设计、现场服务、施工过程中的方案优化及设计变更、施工及验收过程的配合、竣工图审核及盖章等。</w:t>
      </w:r>
    </w:p>
    <w:p w14:paraId="3D597ECD">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3.4</w:t>
      </w:r>
      <w:r>
        <w:rPr>
          <w:rFonts w:hint="eastAsia" w:ascii="宋体" w:hAnsi="宋体" w:eastAsia="宋体" w:cs="Times New Roman"/>
          <w:color w:val="auto"/>
          <w:sz w:val="24"/>
          <w:szCs w:val="24"/>
          <w:highlight w:val="none"/>
        </w:rPr>
        <w:t>项目设计内容：</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w:t>
      </w:r>
    </w:p>
    <w:p w14:paraId="2D62668D">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3.5</w:t>
      </w:r>
      <w:r>
        <w:rPr>
          <w:rFonts w:hint="eastAsia" w:ascii="宋体" w:hAnsi="宋体" w:eastAsia="宋体" w:cs="Times New Roman"/>
          <w:color w:val="auto"/>
          <w:sz w:val="24"/>
          <w:szCs w:val="24"/>
          <w:highlight w:val="none"/>
        </w:rPr>
        <w:t>设计估算投资：</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w:t>
      </w:r>
    </w:p>
    <w:p w14:paraId="3304EE2A">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p>
    <w:p w14:paraId="5F318AE9">
      <w:pPr>
        <w:widowControl/>
        <w:wordWrap w:val="0"/>
        <w:topLinePunct/>
        <w:adjustRightInd w:val="0"/>
        <w:snapToGrid w:val="0"/>
        <w:spacing w:line="480" w:lineRule="exact"/>
        <w:ind w:firstLine="482" w:firstLineChars="200"/>
        <w:outlineLvl w:val="4"/>
        <w:rPr>
          <w:rFonts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 xml:space="preserve">第四条 发包人应向设计人提交的有关资料及文件： </w:t>
      </w:r>
    </w:p>
    <w:tbl>
      <w:tblPr>
        <w:tblStyle w:val="4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48"/>
        <w:gridCol w:w="2769"/>
        <w:gridCol w:w="851"/>
        <w:gridCol w:w="1559"/>
        <w:gridCol w:w="1276"/>
      </w:tblGrid>
      <w:tr w14:paraId="6C2A5C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75" w:hRule="exact"/>
          <w:jc w:val="center"/>
        </w:trPr>
        <w:tc>
          <w:tcPr>
            <w:tcW w:w="748" w:type="dxa"/>
            <w:tcBorders>
              <w:top w:val="single" w:color="auto" w:sz="6" w:space="0"/>
              <w:left w:val="single" w:color="auto" w:sz="6" w:space="0"/>
              <w:bottom w:val="single" w:color="auto" w:sz="6" w:space="0"/>
              <w:right w:val="single" w:color="auto" w:sz="6" w:space="0"/>
            </w:tcBorders>
            <w:vAlign w:val="center"/>
          </w:tcPr>
          <w:p w14:paraId="0AAAFBB1">
            <w:pPr>
              <w:widowControl/>
              <w:topLinePunct/>
              <w:adjustRightInd w:val="0"/>
              <w:snapToGrid w:val="0"/>
              <w:spacing w:line="480" w:lineRule="exact"/>
              <w:jc w:val="center"/>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序号</w:t>
            </w:r>
          </w:p>
        </w:tc>
        <w:tc>
          <w:tcPr>
            <w:tcW w:w="2769" w:type="dxa"/>
            <w:tcBorders>
              <w:top w:val="single" w:color="auto" w:sz="6" w:space="0"/>
              <w:left w:val="single" w:color="auto" w:sz="6" w:space="0"/>
              <w:bottom w:val="single" w:color="auto" w:sz="6" w:space="0"/>
              <w:right w:val="single" w:color="auto" w:sz="6" w:space="0"/>
            </w:tcBorders>
            <w:vAlign w:val="center"/>
          </w:tcPr>
          <w:p w14:paraId="5C86701E">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资料及文件名称</w:t>
            </w:r>
          </w:p>
        </w:tc>
        <w:tc>
          <w:tcPr>
            <w:tcW w:w="851" w:type="dxa"/>
            <w:tcBorders>
              <w:top w:val="single" w:color="auto" w:sz="6" w:space="0"/>
              <w:left w:val="single" w:color="auto" w:sz="6" w:space="0"/>
              <w:bottom w:val="single" w:color="auto" w:sz="6" w:space="0"/>
              <w:right w:val="single" w:color="auto" w:sz="6" w:space="0"/>
            </w:tcBorders>
            <w:vAlign w:val="center"/>
          </w:tcPr>
          <w:p w14:paraId="2C881F4B">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份数</w:t>
            </w:r>
          </w:p>
        </w:tc>
        <w:tc>
          <w:tcPr>
            <w:tcW w:w="1559" w:type="dxa"/>
            <w:tcBorders>
              <w:top w:val="single" w:color="auto" w:sz="6" w:space="0"/>
              <w:left w:val="single" w:color="auto" w:sz="6" w:space="0"/>
              <w:bottom w:val="single" w:color="auto" w:sz="6" w:space="0"/>
              <w:right w:val="single" w:color="auto" w:sz="4" w:space="0"/>
            </w:tcBorders>
            <w:vAlign w:val="center"/>
          </w:tcPr>
          <w:p w14:paraId="7D254567">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提交日期</w:t>
            </w:r>
          </w:p>
        </w:tc>
        <w:tc>
          <w:tcPr>
            <w:tcW w:w="1276" w:type="dxa"/>
            <w:tcBorders>
              <w:top w:val="single" w:color="auto" w:sz="6" w:space="0"/>
              <w:left w:val="single" w:color="auto" w:sz="4" w:space="0"/>
              <w:bottom w:val="single" w:color="auto" w:sz="6" w:space="0"/>
              <w:right w:val="single" w:color="auto" w:sz="6" w:space="0"/>
            </w:tcBorders>
            <w:vAlign w:val="center"/>
          </w:tcPr>
          <w:p w14:paraId="19E4735C">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有关事宜</w:t>
            </w:r>
          </w:p>
        </w:tc>
      </w:tr>
      <w:tr w14:paraId="61774A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748" w:type="dxa"/>
            <w:tcBorders>
              <w:top w:val="single" w:color="auto" w:sz="6" w:space="0"/>
              <w:left w:val="single" w:color="auto" w:sz="6" w:space="0"/>
              <w:bottom w:val="single" w:color="auto" w:sz="6" w:space="0"/>
              <w:right w:val="single" w:color="auto" w:sz="6" w:space="0"/>
            </w:tcBorders>
            <w:vAlign w:val="center"/>
          </w:tcPr>
          <w:p w14:paraId="302A75CF">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1</w:t>
            </w:r>
          </w:p>
        </w:tc>
        <w:tc>
          <w:tcPr>
            <w:tcW w:w="2769" w:type="dxa"/>
            <w:tcBorders>
              <w:top w:val="single" w:color="auto" w:sz="6" w:space="0"/>
              <w:left w:val="single" w:color="auto" w:sz="6" w:space="0"/>
              <w:bottom w:val="single" w:color="auto" w:sz="6" w:space="0"/>
              <w:right w:val="single" w:color="auto" w:sz="6" w:space="0"/>
            </w:tcBorders>
            <w:vAlign w:val="center"/>
          </w:tcPr>
          <w:p w14:paraId="67F656BF">
            <w:pPr>
              <w:widowControl/>
              <w:wordWrap w:val="0"/>
              <w:topLinePunct/>
              <w:adjustRightInd w:val="0"/>
              <w:snapToGrid w:val="0"/>
              <w:spacing w:line="480" w:lineRule="exact"/>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设计任务书</w:t>
            </w:r>
          </w:p>
        </w:tc>
        <w:tc>
          <w:tcPr>
            <w:tcW w:w="851" w:type="dxa"/>
            <w:tcBorders>
              <w:top w:val="single" w:color="auto" w:sz="6" w:space="0"/>
              <w:left w:val="single" w:color="auto" w:sz="6" w:space="0"/>
              <w:bottom w:val="single" w:color="auto" w:sz="6" w:space="0"/>
              <w:right w:val="single" w:color="auto" w:sz="6" w:space="0"/>
            </w:tcBorders>
            <w:vAlign w:val="center"/>
          </w:tcPr>
          <w:p w14:paraId="706AC157">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1</w:t>
            </w:r>
          </w:p>
        </w:tc>
        <w:tc>
          <w:tcPr>
            <w:tcW w:w="1559" w:type="dxa"/>
            <w:tcBorders>
              <w:top w:val="single" w:color="auto" w:sz="6" w:space="0"/>
              <w:left w:val="single" w:color="auto" w:sz="6" w:space="0"/>
              <w:bottom w:val="single" w:color="auto" w:sz="6" w:space="0"/>
              <w:right w:val="single" w:color="auto" w:sz="4" w:space="0"/>
            </w:tcBorders>
            <w:vAlign w:val="center"/>
          </w:tcPr>
          <w:p w14:paraId="4A880C48">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合同签订前</w:t>
            </w:r>
          </w:p>
        </w:tc>
        <w:tc>
          <w:tcPr>
            <w:tcW w:w="1276" w:type="dxa"/>
            <w:tcBorders>
              <w:top w:val="single" w:color="auto" w:sz="6" w:space="0"/>
              <w:left w:val="single" w:color="auto" w:sz="4" w:space="0"/>
              <w:bottom w:val="single" w:color="auto" w:sz="6" w:space="0"/>
              <w:right w:val="single" w:color="auto" w:sz="6" w:space="0"/>
            </w:tcBorders>
            <w:vAlign w:val="center"/>
          </w:tcPr>
          <w:p w14:paraId="604C12BA">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p>
        </w:tc>
      </w:tr>
      <w:tr w14:paraId="57FAB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11" w:hRule="atLeast"/>
          <w:jc w:val="center"/>
        </w:trPr>
        <w:tc>
          <w:tcPr>
            <w:tcW w:w="748" w:type="dxa"/>
            <w:tcBorders>
              <w:top w:val="single" w:color="auto" w:sz="6" w:space="0"/>
              <w:left w:val="single" w:color="auto" w:sz="6" w:space="0"/>
              <w:bottom w:val="single" w:color="auto" w:sz="6" w:space="0"/>
              <w:right w:val="single" w:color="auto" w:sz="6" w:space="0"/>
            </w:tcBorders>
            <w:vAlign w:val="center"/>
          </w:tcPr>
          <w:p w14:paraId="388437C1">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2</w:t>
            </w:r>
          </w:p>
        </w:tc>
        <w:tc>
          <w:tcPr>
            <w:tcW w:w="2769" w:type="dxa"/>
            <w:tcBorders>
              <w:top w:val="single" w:color="auto" w:sz="6" w:space="0"/>
              <w:left w:val="single" w:color="auto" w:sz="6" w:space="0"/>
              <w:bottom w:val="single" w:color="auto" w:sz="6" w:space="0"/>
              <w:right w:val="single" w:color="auto" w:sz="6" w:space="0"/>
            </w:tcBorders>
            <w:vAlign w:val="center"/>
          </w:tcPr>
          <w:p w14:paraId="435BC646">
            <w:pPr>
              <w:widowControl/>
              <w:wordWrap w:val="0"/>
              <w:topLinePunct/>
              <w:adjustRightInd w:val="0"/>
              <w:snapToGrid w:val="0"/>
              <w:spacing w:line="480" w:lineRule="exact"/>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设计基础资料</w:t>
            </w:r>
          </w:p>
        </w:tc>
        <w:tc>
          <w:tcPr>
            <w:tcW w:w="851" w:type="dxa"/>
            <w:tcBorders>
              <w:top w:val="single" w:color="auto" w:sz="6" w:space="0"/>
              <w:left w:val="single" w:color="auto" w:sz="6" w:space="0"/>
              <w:bottom w:val="single" w:color="auto" w:sz="6" w:space="0"/>
              <w:right w:val="single" w:color="auto" w:sz="6" w:space="0"/>
            </w:tcBorders>
            <w:vAlign w:val="center"/>
          </w:tcPr>
          <w:p w14:paraId="32D23922">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1</w:t>
            </w:r>
          </w:p>
        </w:tc>
        <w:tc>
          <w:tcPr>
            <w:tcW w:w="1559" w:type="dxa"/>
            <w:tcBorders>
              <w:top w:val="single" w:color="auto" w:sz="6" w:space="0"/>
              <w:left w:val="single" w:color="auto" w:sz="6" w:space="0"/>
              <w:bottom w:val="single" w:color="auto" w:sz="6" w:space="0"/>
              <w:right w:val="single" w:color="auto" w:sz="4" w:space="0"/>
            </w:tcBorders>
            <w:vAlign w:val="center"/>
          </w:tcPr>
          <w:p w14:paraId="45E68EB0">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合同签订前</w:t>
            </w:r>
          </w:p>
        </w:tc>
        <w:tc>
          <w:tcPr>
            <w:tcW w:w="1276" w:type="dxa"/>
            <w:tcBorders>
              <w:top w:val="single" w:color="auto" w:sz="6" w:space="0"/>
              <w:left w:val="single" w:color="auto" w:sz="4" w:space="0"/>
              <w:bottom w:val="single" w:color="auto" w:sz="6" w:space="0"/>
              <w:right w:val="single" w:color="auto" w:sz="6" w:space="0"/>
            </w:tcBorders>
            <w:vAlign w:val="center"/>
          </w:tcPr>
          <w:p w14:paraId="38FCDEC3">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p>
        </w:tc>
      </w:tr>
      <w:tr w14:paraId="718ABA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4" w:hRule="atLeast"/>
          <w:jc w:val="center"/>
        </w:trPr>
        <w:tc>
          <w:tcPr>
            <w:tcW w:w="748" w:type="dxa"/>
            <w:tcBorders>
              <w:top w:val="single" w:color="auto" w:sz="6" w:space="0"/>
              <w:left w:val="single" w:color="auto" w:sz="6" w:space="0"/>
              <w:bottom w:val="single" w:color="auto" w:sz="6" w:space="0"/>
              <w:right w:val="single" w:color="auto" w:sz="6" w:space="0"/>
            </w:tcBorders>
            <w:vAlign w:val="center"/>
          </w:tcPr>
          <w:p w14:paraId="49355541">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3</w:t>
            </w:r>
          </w:p>
        </w:tc>
        <w:tc>
          <w:tcPr>
            <w:tcW w:w="2769" w:type="dxa"/>
            <w:tcBorders>
              <w:top w:val="single" w:color="auto" w:sz="6" w:space="0"/>
              <w:left w:val="single" w:color="auto" w:sz="6" w:space="0"/>
              <w:bottom w:val="single" w:color="auto" w:sz="6" w:space="0"/>
              <w:right w:val="single" w:color="auto" w:sz="6" w:space="0"/>
            </w:tcBorders>
            <w:vAlign w:val="center"/>
          </w:tcPr>
          <w:p w14:paraId="1E146B0B">
            <w:pPr>
              <w:widowControl/>
              <w:wordWrap w:val="0"/>
              <w:topLinePunct/>
              <w:adjustRightInd w:val="0"/>
              <w:snapToGrid w:val="0"/>
              <w:spacing w:line="480" w:lineRule="exact"/>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政府有关批文及各阶段批复文件</w:t>
            </w:r>
          </w:p>
        </w:tc>
        <w:tc>
          <w:tcPr>
            <w:tcW w:w="851" w:type="dxa"/>
            <w:tcBorders>
              <w:top w:val="single" w:color="auto" w:sz="6" w:space="0"/>
              <w:left w:val="single" w:color="auto" w:sz="6" w:space="0"/>
              <w:bottom w:val="single" w:color="auto" w:sz="6" w:space="0"/>
              <w:right w:val="single" w:color="auto" w:sz="6" w:space="0"/>
            </w:tcBorders>
            <w:vAlign w:val="center"/>
          </w:tcPr>
          <w:p w14:paraId="105B42F7">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1</w:t>
            </w:r>
          </w:p>
        </w:tc>
        <w:tc>
          <w:tcPr>
            <w:tcW w:w="1559" w:type="dxa"/>
            <w:tcBorders>
              <w:top w:val="single" w:color="auto" w:sz="6" w:space="0"/>
              <w:left w:val="single" w:color="auto" w:sz="6" w:space="0"/>
              <w:bottom w:val="single" w:color="auto" w:sz="6" w:space="0"/>
              <w:right w:val="single" w:color="auto" w:sz="4" w:space="0"/>
            </w:tcBorders>
            <w:vAlign w:val="center"/>
          </w:tcPr>
          <w:p w14:paraId="1824B987">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合同签订前</w:t>
            </w:r>
          </w:p>
        </w:tc>
        <w:tc>
          <w:tcPr>
            <w:tcW w:w="1276" w:type="dxa"/>
            <w:tcBorders>
              <w:top w:val="single" w:color="auto" w:sz="6" w:space="0"/>
              <w:left w:val="single" w:color="auto" w:sz="4" w:space="0"/>
              <w:bottom w:val="single" w:color="auto" w:sz="6" w:space="0"/>
              <w:right w:val="single" w:color="auto" w:sz="6" w:space="0"/>
            </w:tcBorders>
            <w:vAlign w:val="center"/>
          </w:tcPr>
          <w:p w14:paraId="53EE2192">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p>
        </w:tc>
      </w:tr>
    </w:tbl>
    <w:p w14:paraId="721BE024">
      <w:pPr>
        <w:widowControl/>
        <w:wordWrap w:val="0"/>
        <w:topLinePunct/>
        <w:adjustRightInd w:val="0"/>
        <w:snapToGrid w:val="0"/>
        <w:spacing w:line="480" w:lineRule="exact"/>
        <w:ind w:firstLine="482" w:firstLineChars="200"/>
        <w:outlineLvl w:val="4"/>
        <w:rPr>
          <w:rFonts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第五条 设计人应向发包人交付的设计资料及文件：</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427"/>
        <w:gridCol w:w="813"/>
        <w:gridCol w:w="2249"/>
        <w:gridCol w:w="1701"/>
      </w:tblGrid>
      <w:tr w14:paraId="4B2BC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Align w:val="center"/>
          </w:tcPr>
          <w:p w14:paraId="3272B001">
            <w:pPr>
              <w:widowControl/>
              <w:topLinePunct/>
              <w:adjustRightInd w:val="0"/>
              <w:snapToGrid w:val="0"/>
              <w:spacing w:line="480" w:lineRule="exact"/>
              <w:jc w:val="center"/>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序号</w:t>
            </w:r>
          </w:p>
        </w:tc>
        <w:tc>
          <w:tcPr>
            <w:tcW w:w="2427" w:type="dxa"/>
            <w:vAlign w:val="center"/>
          </w:tcPr>
          <w:p w14:paraId="74D6D1A1">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资料及文件名称</w:t>
            </w:r>
          </w:p>
        </w:tc>
        <w:tc>
          <w:tcPr>
            <w:tcW w:w="813" w:type="dxa"/>
            <w:vAlign w:val="center"/>
          </w:tcPr>
          <w:p w14:paraId="70350153">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份数</w:t>
            </w:r>
          </w:p>
        </w:tc>
        <w:tc>
          <w:tcPr>
            <w:tcW w:w="2249" w:type="dxa"/>
            <w:vAlign w:val="center"/>
          </w:tcPr>
          <w:p w14:paraId="3C80C676">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提交日期</w:t>
            </w:r>
          </w:p>
        </w:tc>
        <w:tc>
          <w:tcPr>
            <w:tcW w:w="1701" w:type="dxa"/>
            <w:vAlign w:val="center"/>
          </w:tcPr>
          <w:p w14:paraId="334A79B4">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有关事宜</w:t>
            </w:r>
          </w:p>
        </w:tc>
      </w:tr>
      <w:tr w14:paraId="5A7A7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18" w:type="dxa"/>
            <w:gridSpan w:val="5"/>
            <w:vAlign w:val="center"/>
          </w:tcPr>
          <w:p w14:paraId="69FAED9D">
            <w:pPr>
              <w:widowControl/>
              <w:wordWrap w:val="0"/>
              <w:topLinePunct/>
              <w:adjustRightInd w:val="0"/>
              <w:snapToGrid w:val="0"/>
              <w:spacing w:line="480" w:lineRule="exact"/>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方案设计阶段</w:t>
            </w:r>
          </w:p>
        </w:tc>
      </w:tr>
      <w:tr w14:paraId="671B1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Align w:val="center"/>
          </w:tcPr>
          <w:p w14:paraId="2823B23B">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1</w:t>
            </w:r>
          </w:p>
        </w:tc>
        <w:tc>
          <w:tcPr>
            <w:tcW w:w="2427" w:type="dxa"/>
            <w:vAlign w:val="center"/>
          </w:tcPr>
          <w:p w14:paraId="7C793AD3">
            <w:pPr>
              <w:widowControl/>
              <w:wordWrap w:val="0"/>
              <w:topLinePunct/>
              <w:adjustRightInd w:val="0"/>
              <w:snapToGrid w:val="0"/>
              <w:spacing w:line="480" w:lineRule="exact"/>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修改方案设计图</w:t>
            </w:r>
          </w:p>
        </w:tc>
        <w:tc>
          <w:tcPr>
            <w:tcW w:w="813" w:type="dxa"/>
            <w:vAlign w:val="center"/>
          </w:tcPr>
          <w:p w14:paraId="51D2B619">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15</w:t>
            </w:r>
          </w:p>
        </w:tc>
        <w:tc>
          <w:tcPr>
            <w:tcW w:w="2249" w:type="dxa"/>
            <w:vAlign w:val="center"/>
          </w:tcPr>
          <w:p w14:paraId="1BA0CA41">
            <w:pPr>
              <w:widowControl/>
              <w:wordWrap w:val="0"/>
              <w:topLinePunct/>
              <w:adjustRightInd w:val="0"/>
              <w:snapToGrid w:val="0"/>
              <w:spacing w:line="480" w:lineRule="exact"/>
              <w:rPr>
                <w:rFonts w:ascii="宋体" w:hAnsi="宋体" w:eastAsia="宋体" w:cs="Times New Roman"/>
                <w:bCs/>
                <w:color w:val="auto"/>
                <w:spacing w:val="20"/>
                <w:sz w:val="24"/>
                <w:szCs w:val="24"/>
                <w:highlight w:val="none"/>
              </w:rPr>
            </w:pPr>
            <w:r>
              <w:rPr>
                <w:rFonts w:hint="eastAsia" w:ascii="宋体" w:hAnsi="宋体" w:eastAsia="宋体" w:cs="宋体"/>
                <w:color w:val="auto"/>
                <w:sz w:val="24"/>
                <w:szCs w:val="24"/>
                <w:highlight w:val="none"/>
              </w:rPr>
              <w:t>设计合同签订后</w:t>
            </w:r>
            <w:r>
              <w:rPr>
                <w:rFonts w:hint="eastAsia" w:ascii="宋体" w:hAnsi="宋体" w:eastAsia="宋体" w:cs="宋体"/>
                <w:color w:val="auto"/>
                <w:sz w:val="24"/>
                <w:szCs w:val="24"/>
                <w:highlight w:val="none"/>
                <w:u w:val="single"/>
              </w:rPr>
              <w:t xml:space="preserve">  10 </w:t>
            </w:r>
            <w:r>
              <w:rPr>
                <w:rFonts w:hint="eastAsia" w:ascii="宋体" w:hAnsi="宋体" w:eastAsia="宋体" w:cs="宋体"/>
                <w:color w:val="auto"/>
                <w:sz w:val="24"/>
                <w:szCs w:val="24"/>
                <w:highlight w:val="none"/>
              </w:rPr>
              <w:t>工作日内</w:t>
            </w:r>
          </w:p>
        </w:tc>
        <w:tc>
          <w:tcPr>
            <w:tcW w:w="1701" w:type="dxa"/>
            <w:vAlign w:val="center"/>
          </w:tcPr>
          <w:p w14:paraId="027BEC0B">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p>
        </w:tc>
      </w:tr>
      <w:tr w14:paraId="79BBB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18" w:type="dxa"/>
            <w:gridSpan w:val="5"/>
            <w:vAlign w:val="center"/>
          </w:tcPr>
          <w:p w14:paraId="16A60287">
            <w:pPr>
              <w:widowControl/>
              <w:wordWrap w:val="0"/>
              <w:topLinePunct/>
              <w:adjustRightInd w:val="0"/>
              <w:snapToGrid w:val="0"/>
              <w:spacing w:line="480" w:lineRule="exact"/>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初步设计阶段</w:t>
            </w:r>
          </w:p>
        </w:tc>
      </w:tr>
      <w:tr w14:paraId="31935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828" w:type="dxa"/>
            <w:vAlign w:val="center"/>
          </w:tcPr>
          <w:p w14:paraId="326483A6">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2</w:t>
            </w:r>
          </w:p>
        </w:tc>
        <w:tc>
          <w:tcPr>
            <w:tcW w:w="2427" w:type="dxa"/>
            <w:vAlign w:val="center"/>
          </w:tcPr>
          <w:p w14:paraId="551B49A6">
            <w:pPr>
              <w:widowControl/>
              <w:wordWrap w:val="0"/>
              <w:topLinePunct/>
              <w:adjustRightInd w:val="0"/>
              <w:snapToGrid w:val="0"/>
              <w:spacing w:line="480" w:lineRule="exact"/>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初步设计图</w:t>
            </w:r>
          </w:p>
        </w:tc>
        <w:tc>
          <w:tcPr>
            <w:tcW w:w="813" w:type="dxa"/>
            <w:vAlign w:val="center"/>
          </w:tcPr>
          <w:p w14:paraId="12E5570D">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15</w:t>
            </w:r>
          </w:p>
        </w:tc>
        <w:tc>
          <w:tcPr>
            <w:tcW w:w="2249" w:type="dxa"/>
            <w:vAlign w:val="center"/>
          </w:tcPr>
          <w:p w14:paraId="034936DD">
            <w:pPr>
              <w:widowControl/>
              <w:wordWrap w:val="0"/>
              <w:topLinePunct/>
              <w:adjustRightInd w:val="0"/>
              <w:snapToGrid w:val="0"/>
              <w:spacing w:line="480" w:lineRule="exact"/>
              <w:rPr>
                <w:rFonts w:ascii="宋体" w:hAnsi="宋体" w:eastAsia="宋体" w:cs="Times New Roman"/>
                <w:bCs/>
                <w:color w:val="auto"/>
                <w:spacing w:val="20"/>
                <w:sz w:val="24"/>
                <w:szCs w:val="24"/>
                <w:highlight w:val="none"/>
              </w:rPr>
            </w:pPr>
            <w:r>
              <w:rPr>
                <w:rFonts w:hint="eastAsia" w:ascii="宋体" w:hAnsi="宋体" w:eastAsia="宋体" w:cs="宋体"/>
                <w:color w:val="auto"/>
                <w:sz w:val="24"/>
                <w:szCs w:val="24"/>
                <w:highlight w:val="none"/>
              </w:rPr>
              <w:t>方案确定后</w:t>
            </w:r>
            <w:r>
              <w:rPr>
                <w:rFonts w:hint="eastAsia" w:ascii="宋体" w:hAnsi="宋体" w:eastAsia="宋体" w:cs="宋体"/>
                <w:color w:val="auto"/>
                <w:sz w:val="24"/>
                <w:szCs w:val="24"/>
                <w:highlight w:val="none"/>
                <w:u w:val="single"/>
              </w:rPr>
              <w:t xml:space="preserve"> 15 </w:t>
            </w:r>
            <w:r>
              <w:rPr>
                <w:rFonts w:hint="eastAsia" w:ascii="宋体" w:hAnsi="宋体" w:eastAsia="宋体" w:cs="宋体"/>
                <w:color w:val="auto"/>
                <w:sz w:val="24"/>
                <w:szCs w:val="24"/>
                <w:highlight w:val="none"/>
              </w:rPr>
              <w:t>工作日内</w:t>
            </w:r>
          </w:p>
        </w:tc>
        <w:tc>
          <w:tcPr>
            <w:tcW w:w="1701" w:type="dxa"/>
            <w:vAlign w:val="center"/>
          </w:tcPr>
          <w:p w14:paraId="2ACA650C">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p>
        </w:tc>
      </w:tr>
      <w:tr w14:paraId="56692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828" w:type="dxa"/>
            <w:vAlign w:val="center"/>
          </w:tcPr>
          <w:p w14:paraId="7B71349D">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3</w:t>
            </w:r>
          </w:p>
        </w:tc>
        <w:tc>
          <w:tcPr>
            <w:tcW w:w="2427" w:type="dxa"/>
            <w:vAlign w:val="center"/>
          </w:tcPr>
          <w:p w14:paraId="40FC6DB6">
            <w:pPr>
              <w:widowControl/>
              <w:wordWrap w:val="0"/>
              <w:topLinePunct/>
              <w:adjustRightInd w:val="0"/>
              <w:snapToGrid w:val="0"/>
              <w:spacing w:line="480" w:lineRule="exact"/>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设计概算</w:t>
            </w:r>
          </w:p>
        </w:tc>
        <w:tc>
          <w:tcPr>
            <w:tcW w:w="813" w:type="dxa"/>
            <w:vAlign w:val="center"/>
          </w:tcPr>
          <w:p w14:paraId="2F09B091">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8</w:t>
            </w:r>
          </w:p>
        </w:tc>
        <w:tc>
          <w:tcPr>
            <w:tcW w:w="2249" w:type="dxa"/>
            <w:vAlign w:val="center"/>
          </w:tcPr>
          <w:p w14:paraId="21C76F2A">
            <w:pPr>
              <w:widowControl/>
              <w:wordWrap w:val="0"/>
              <w:topLinePunct/>
              <w:adjustRightInd w:val="0"/>
              <w:snapToGrid w:val="0"/>
              <w:spacing w:line="480" w:lineRule="exact"/>
              <w:rPr>
                <w:rFonts w:ascii="宋体" w:hAnsi="宋体" w:eastAsia="宋体" w:cs="Times New Roman"/>
                <w:bCs/>
                <w:color w:val="auto"/>
                <w:spacing w:val="20"/>
                <w:sz w:val="24"/>
                <w:szCs w:val="24"/>
                <w:highlight w:val="none"/>
              </w:rPr>
            </w:pPr>
            <w:r>
              <w:rPr>
                <w:rFonts w:hint="eastAsia" w:ascii="宋体" w:hAnsi="宋体" w:eastAsia="宋体" w:cs="宋体"/>
                <w:color w:val="auto"/>
                <w:sz w:val="24"/>
                <w:szCs w:val="24"/>
                <w:highlight w:val="none"/>
              </w:rPr>
              <w:t>方案确定后</w:t>
            </w:r>
            <w:r>
              <w:rPr>
                <w:rFonts w:hint="eastAsia" w:ascii="宋体" w:hAnsi="宋体" w:eastAsia="宋体" w:cs="宋体"/>
                <w:color w:val="auto"/>
                <w:sz w:val="24"/>
                <w:szCs w:val="24"/>
                <w:highlight w:val="none"/>
                <w:u w:val="single"/>
              </w:rPr>
              <w:t xml:space="preserve"> 15 </w:t>
            </w:r>
            <w:r>
              <w:rPr>
                <w:rFonts w:hint="eastAsia" w:ascii="宋体" w:hAnsi="宋体" w:eastAsia="宋体" w:cs="宋体"/>
                <w:color w:val="auto"/>
                <w:sz w:val="24"/>
                <w:szCs w:val="24"/>
                <w:highlight w:val="none"/>
              </w:rPr>
              <w:t>工作日内</w:t>
            </w:r>
          </w:p>
        </w:tc>
        <w:tc>
          <w:tcPr>
            <w:tcW w:w="1701" w:type="dxa"/>
            <w:vAlign w:val="center"/>
          </w:tcPr>
          <w:p w14:paraId="7B00527B">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p>
        </w:tc>
      </w:tr>
      <w:tr w14:paraId="4BF8D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18" w:type="dxa"/>
            <w:gridSpan w:val="5"/>
            <w:vAlign w:val="center"/>
          </w:tcPr>
          <w:p w14:paraId="1B70A864">
            <w:pPr>
              <w:widowControl/>
              <w:wordWrap w:val="0"/>
              <w:topLinePunct/>
              <w:adjustRightInd w:val="0"/>
              <w:snapToGrid w:val="0"/>
              <w:spacing w:line="480" w:lineRule="exact"/>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施工图设计阶段</w:t>
            </w:r>
          </w:p>
        </w:tc>
      </w:tr>
      <w:tr w14:paraId="0077D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Align w:val="center"/>
          </w:tcPr>
          <w:p w14:paraId="244216E0">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4</w:t>
            </w:r>
          </w:p>
        </w:tc>
        <w:tc>
          <w:tcPr>
            <w:tcW w:w="2427" w:type="dxa"/>
            <w:vAlign w:val="center"/>
          </w:tcPr>
          <w:p w14:paraId="16744D1E">
            <w:pPr>
              <w:widowControl/>
              <w:wordWrap w:val="0"/>
              <w:topLinePunct/>
              <w:adjustRightInd w:val="0"/>
              <w:snapToGrid w:val="0"/>
              <w:spacing w:line="480" w:lineRule="exact"/>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施工设计图</w:t>
            </w:r>
          </w:p>
        </w:tc>
        <w:tc>
          <w:tcPr>
            <w:tcW w:w="813" w:type="dxa"/>
            <w:vAlign w:val="center"/>
          </w:tcPr>
          <w:p w14:paraId="06BF4527">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20</w:t>
            </w:r>
          </w:p>
        </w:tc>
        <w:tc>
          <w:tcPr>
            <w:tcW w:w="2249" w:type="dxa"/>
            <w:vAlign w:val="center"/>
          </w:tcPr>
          <w:p w14:paraId="72CCA70E">
            <w:pPr>
              <w:widowControl/>
              <w:wordWrap w:val="0"/>
              <w:topLinePunct/>
              <w:adjustRightInd w:val="0"/>
              <w:snapToGrid w:val="0"/>
              <w:spacing w:line="480" w:lineRule="exact"/>
              <w:rPr>
                <w:rFonts w:ascii="宋体" w:hAnsi="宋体" w:eastAsia="宋体" w:cs="Times New Roman"/>
                <w:bCs/>
                <w:color w:val="auto"/>
                <w:spacing w:val="20"/>
                <w:sz w:val="24"/>
                <w:szCs w:val="24"/>
                <w:highlight w:val="none"/>
              </w:rPr>
            </w:pPr>
            <w:r>
              <w:rPr>
                <w:rFonts w:hint="eastAsia" w:ascii="宋体" w:hAnsi="宋体" w:eastAsia="宋体" w:cs="宋体"/>
                <w:color w:val="auto"/>
                <w:sz w:val="24"/>
                <w:szCs w:val="24"/>
                <w:highlight w:val="none"/>
              </w:rPr>
              <w:t>初步设计审查批准后</w:t>
            </w:r>
            <w:r>
              <w:rPr>
                <w:rFonts w:hint="eastAsia" w:ascii="宋体" w:hAnsi="宋体" w:eastAsia="宋体" w:cs="宋体"/>
                <w:color w:val="auto"/>
                <w:sz w:val="24"/>
                <w:szCs w:val="24"/>
                <w:highlight w:val="none"/>
                <w:u w:val="single"/>
              </w:rPr>
              <w:t xml:space="preserve"> 25</w:t>
            </w:r>
            <w:r>
              <w:rPr>
                <w:rFonts w:hint="eastAsia" w:ascii="宋体" w:hAnsi="宋体" w:eastAsia="宋体" w:cs="宋体"/>
                <w:color w:val="auto"/>
                <w:sz w:val="24"/>
                <w:szCs w:val="24"/>
                <w:highlight w:val="none"/>
              </w:rPr>
              <w:t>工作日</w:t>
            </w:r>
          </w:p>
        </w:tc>
        <w:tc>
          <w:tcPr>
            <w:tcW w:w="1701" w:type="dxa"/>
            <w:vAlign w:val="center"/>
          </w:tcPr>
          <w:p w14:paraId="3031C5A3">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p>
        </w:tc>
      </w:tr>
      <w:tr w14:paraId="25091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Align w:val="center"/>
          </w:tcPr>
          <w:p w14:paraId="10FE9EE2">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5</w:t>
            </w:r>
          </w:p>
        </w:tc>
        <w:tc>
          <w:tcPr>
            <w:tcW w:w="2427" w:type="dxa"/>
            <w:vAlign w:val="center"/>
          </w:tcPr>
          <w:p w14:paraId="1321EE97">
            <w:pPr>
              <w:widowControl/>
              <w:wordWrap w:val="0"/>
              <w:topLinePunct/>
              <w:adjustRightInd w:val="0"/>
              <w:snapToGrid w:val="0"/>
              <w:spacing w:line="480" w:lineRule="exact"/>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设计计算书</w:t>
            </w:r>
          </w:p>
        </w:tc>
        <w:tc>
          <w:tcPr>
            <w:tcW w:w="813" w:type="dxa"/>
            <w:vAlign w:val="center"/>
          </w:tcPr>
          <w:p w14:paraId="17CAD576">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5</w:t>
            </w:r>
          </w:p>
        </w:tc>
        <w:tc>
          <w:tcPr>
            <w:tcW w:w="2249" w:type="dxa"/>
            <w:vAlign w:val="center"/>
          </w:tcPr>
          <w:p w14:paraId="5B6BCD58">
            <w:pPr>
              <w:widowControl/>
              <w:wordWrap w:val="0"/>
              <w:topLinePunct/>
              <w:adjustRightInd w:val="0"/>
              <w:snapToGrid w:val="0"/>
              <w:spacing w:line="480" w:lineRule="exact"/>
              <w:rPr>
                <w:rFonts w:ascii="宋体" w:hAnsi="宋体" w:eastAsia="宋体" w:cs="Times New Roman"/>
                <w:bCs/>
                <w:color w:val="auto"/>
                <w:spacing w:val="20"/>
                <w:sz w:val="24"/>
                <w:szCs w:val="24"/>
                <w:highlight w:val="none"/>
              </w:rPr>
            </w:pPr>
            <w:r>
              <w:rPr>
                <w:rFonts w:hint="eastAsia" w:ascii="宋体" w:hAnsi="宋体" w:eastAsia="宋体" w:cs="宋体"/>
                <w:color w:val="auto"/>
                <w:sz w:val="24"/>
                <w:szCs w:val="24"/>
                <w:highlight w:val="none"/>
              </w:rPr>
              <w:t>初步设计审查批准后</w:t>
            </w:r>
            <w:r>
              <w:rPr>
                <w:rFonts w:hint="eastAsia" w:ascii="宋体" w:hAnsi="宋体" w:eastAsia="宋体" w:cs="宋体"/>
                <w:color w:val="auto"/>
                <w:sz w:val="24"/>
                <w:szCs w:val="24"/>
                <w:highlight w:val="none"/>
                <w:u w:val="single"/>
              </w:rPr>
              <w:t xml:space="preserve"> 25</w:t>
            </w:r>
            <w:r>
              <w:rPr>
                <w:rFonts w:hint="eastAsia" w:ascii="宋体" w:hAnsi="宋体" w:eastAsia="宋体" w:cs="宋体"/>
                <w:color w:val="auto"/>
                <w:sz w:val="24"/>
                <w:szCs w:val="24"/>
                <w:highlight w:val="none"/>
              </w:rPr>
              <w:t>工作日</w:t>
            </w:r>
          </w:p>
        </w:tc>
        <w:tc>
          <w:tcPr>
            <w:tcW w:w="1701" w:type="dxa"/>
            <w:vAlign w:val="center"/>
          </w:tcPr>
          <w:p w14:paraId="51B19760">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p>
        </w:tc>
      </w:tr>
      <w:tr w14:paraId="62225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8" w:type="dxa"/>
            <w:vAlign w:val="center"/>
          </w:tcPr>
          <w:p w14:paraId="69B72F73">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p>
        </w:tc>
        <w:tc>
          <w:tcPr>
            <w:tcW w:w="2427" w:type="dxa"/>
            <w:vAlign w:val="center"/>
          </w:tcPr>
          <w:p w14:paraId="33A44C5C">
            <w:pPr>
              <w:widowControl/>
              <w:wordWrap w:val="0"/>
              <w:topLinePunct/>
              <w:adjustRightInd w:val="0"/>
              <w:snapToGrid w:val="0"/>
              <w:spacing w:line="480" w:lineRule="exact"/>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电子文件</w:t>
            </w:r>
          </w:p>
        </w:tc>
        <w:tc>
          <w:tcPr>
            <w:tcW w:w="813" w:type="dxa"/>
            <w:vAlign w:val="center"/>
          </w:tcPr>
          <w:p w14:paraId="41122962">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p>
        </w:tc>
        <w:tc>
          <w:tcPr>
            <w:tcW w:w="2249" w:type="dxa"/>
            <w:vAlign w:val="center"/>
          </w:tcPr>
          <w:p w14:paraId="70CA64C6">
            <w:pPr>
              <w:widowControl/>
              <w:wordWrap w:val="0"/>
              <w:topLinePunct/>
              <w:adjustRightInd w:val="0"/>
              <w:snapToGrid w:val="0"/>
              <w:spacing w:line="480" w:lineRule="exact"/>
              <w:rPr>
                <w:rFonts w:ascii="宋体" w:hAnsi="宋体" w:eastAsia="宋体" w:cs="Times New Roman"/>
                <w:bCs/>
                <w:color w:val="auto"/>
                <w:spacing w:val="20"/>
                <w:sz w:val="24"/>
                <w:szCs w:val="24"/>
                <w:highlight w:val="none"/>
              </w:rPr>
            </w:pPr>
            <w:r>
              <w:rPr>
                <w:rFonts w:hint="eastAsia" w:ascii="宋体" w:hAnsi="宋体" w:eastAsia="宋体" w:cs="Times New Roman"/>
                <w:bCs/>
                <w:color w:val="auto"/>
                <w:spacing w:val="20"/>
                <w:sz w:val="24"/>
                <w:szCs w:val="24"/>
                <w:highlight w:val="none"/>
              </w:rPr>
              <w:t>与上述文件同时提交</w:t>
            </w:r>
          </w:p>
        </w:tc>
        <w:tc>
          <w:tcPr>
            <w:tcW w:w="1701" w:type="dxa"/>
            <w:vAlign w:val="center"/>
          </w:tcPr>
          <w:p w14:paraId="1F88E768">
            <w:pPr>
              <w:widowControl/>
              <w:wordWrap w:val="0"/>
              <w:topLinePunct/>
              <w:adjustRightInd w:val="0"/>
              <w:snapToGrid w:val="0"/>
              <w:spacing w:line="480" w:lineRule="exact"/>
              <w:jc w:val="center"/>
              <w:rPr>
                <w:rFonts w:ascii="宋体" w:hAnsi="宋体" w:eastAsia="宋体" w:cs="Times New Roman"/>
                <w:bCs/>
                <w:color w:val="auto"/>
                <w:spacing w:val="20"/>
                <w:sz w:val="24"/>
                <w:szCs w:val="24"/>
                <w:highlight w:val="none"/>
              </w:rPr>
            </w:pPr>
          </w:p>
        </w:tc>
      </w:tr>
    </w:tbl>
    <w:p w14:paraId="5A1B2185">
      <w:pPr>
        <w:widowControl/>
        <w:wordWrap w:val="0"/>
        <w:topLinePunct/>
        <w:adjustRightInd w:val="0"/>
        <w:snapToGrid w:val="0"/>
        <w:spacing w:line="480" w:lineRule="exact"/>
        <w:ind w:firstLine="457" w:firstLineChars="218"/>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注：设计人向发包人提交的电子版本的设计文件应适用如下标准：</w:t>
      </w:r>
      <w:r>
        <w:rPr>
          <w:rFonts w:hint="eastAsia" w:ascii="宋体" w:hAnsi="宋体" w:eastAsia="宋体" w:cs="Times New Roman"/>
          <w:color w:val="auto"/>
          <w:szCs w:val="24"/>
          <w:highlight w:val="none"/>
        </w:rPr>
        <w:br w:type="textWrapping"/>
      </w:r>
      <w:r>
        <w:rPr>
          <w:rFonts w:hint="eastAsia" w:ascii="宋体" w:hAnsi="宋体" w:eastAsia="宋体" w:cs="Times New Roman"/>
          <w:color w:val="auto"/>
          <w:szCs w:val="24"/>
          <w:highlight w:val="none"/>
        </w:rPr>
        <w:t xml:space="preserve">   （ 1）文字资料应当使用Microsoft Word 及Excel软件。</w:t>
      </w:r>
      <w:r>
        <w:rPr>
          <w:rFonts w:hint="eastAsia" w:ascii="宋体" w:hAnsi="宋体" w:eastAsia="宋体" w:cs="Times New Roman"/>
          <w:color w:val="auto"/>
          <w:szCs w:val="24"/>
          <w:highlight w:val="none"/>
        </w:rPr>
        <w:br w:type="textWrapping"/>
      </w:r>
      <w:r>
        <w:rPr>
          <w:rFonts w:hint="eastAsia" w:ascii="宋体" w:hAnsi="宋体" w:eastAsia="宋体" w:cs="Times New Roman"/>
          <w:color w:val="auto"/>
          <w:szCs w:val="24"/>
          <w:highlight w:val="none"/>
        </w:rPr>
        <w:t xml:space="preserve">    （2）图纸资料应当使用AutoCAD及pdf文件，其中AutoCAD文件格式使用dwg格式。    </w:t>
      </w:r>
    </w:p>
    <w:p w14:paraId="5DE1D33E">
      <w:pPr>
        <w:widowControl/>
        <w:wordWrap w:val="0"/>
        <w:topLinePunct/>
        <w:adjustRightInd w:val="0"/>
        <w:snapToGrid w:val="0"/>
        <w:spacing w:line="480" w:lineRule="exact"/>
        <w:ind w:firstLine="457" w:firstLineChars="218"/>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（3）提供CAD图纸的同时应提供所有图纸中所使用的字体文件。如有外部引用，必须包含所有外部引用的全部文件及字体，文件名必须与图名相对应，每个文件对应一张图并注明版本号。</w:t>
      </w:r>
      <w:r>
        <w:rPr>
          <w:rFonts w:hint="eastAsia" w:ascii="宋体" w:hAnsi="宋体" w:eastAsia="宋体" w:cs="Times New Roman"/>
          <w:color w:val="auto"/>
          <w:szCs w:val="24"/>
          <w:highlight w:val="none"/>
        </w:rPr>
        <w:br w:type="textWrapping"/>
      </w:r>
      <w:r>
        <w:rPr>
          <w:rFonts w:hint="eastAsia" w:ascii="宋体" w:hAnsi="宋体" w:eastAsia="宋体" w:cs="Times New Roman"/>
          <w:color w:val="auto"/>
          <w:szCs w:val="24"/>
          <w:highlight w:val="none"/>
        </w:rPr>
        <w:t xml:space="preserve">    (4)效果图资料使用jpg格式的文件。</w:t>
      </w:r>
      <w:r>
        <w:rPr>
          <w:rFonts w:hint="eastAsia" w:ascii="宋体" w:hAnsi="宋体" w:eastAsia="宋体" w:cs="Times New Roman"/>
          <w:color w:val="auto"/>
          <w:szCs w:val="24"/>
          <w:highlight w:val="none"/>
        </w:rPr>
        <w:br w:type="textWrapping"/>
      </w:r>
      <w:r>
        <w:rPr>
          <w:rFonts w:hint="eastAsia" w:ascii="宋体" w:hAnsi="宋体" w:eastAsia="宋体" w:cs="Times New Roman"/>
          <w:color w:val="auto"/>
          <w:szCs w:val="24"/>
          <w:highlight w:val="none"/>
        </w:rPr>
        <w:t xml:space="preserve">    (5)项目电子图纸、图片及文字资料所有权归发包人，设计人不得对所提交电子文件设置加密锁、只读格式、附带专项软件启动条件，以及发包人认为不合理的限制格式。</w:t>
      </w:r>
    </w:p>
    <w:p w14:paraId="3B71C8E4">
      <w:pPr>
        <w:widowControl/>
        <w:wordWrap w:val="0"/>
        <w:topLinePunct/>
        <w:adjustRightInd w:val="0"/>
        <w:snapToGrid w:val="0"/>
        <w:spacing w:line="480" w:lineRule="exact"/>
        <w:ind w:firstLine="525" w:firstLineChars="218"/>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5.1</w:t>
      </w:r>
      <w:r>
        <w:rPr>
          <w:rFonts w:hint="eastAsia" w:ascii="宋体" w:hAnsi="宋体" w:eastAsia="宋体" w:cs="Times New Roman"/>
          <w:color w:val="auto"/>
          <w:sz w:val="24"/>
          <w:szCs w:val="24"/>
          <w:highlight w:val="none"/>
        </w:rPr>
        <w:t>设计文件包括设计资料、设计文件、设计图纸及其电子版本。</w:t>
      </w:r>
    </w:p>
    <w:p w14:paraId="1734A4BA">
      <w:pPr>
        <w:widowControl/>
        <w:wordWrap w:val="0"/>
        <w:topLinePunct/>
        <w:adjustRightInd w:val="0"/>
        <w:snapToGrid w:val="0"/>
        <w:spacing w:line="480" w:lineRule="exact"/>
        <w:ind w:firstLine="525" w:firstLineChars="218"/>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5.2</w:t>
      </w:r>
      <w:r>
        <w:rPr>
          <w:rFonts w:hint="eastAsia" w:ascii="宋体" w:hAnsi="宋体" w:eastAsia="宋体" w:cs="Times New Roman"/>
          <w:color w:val="auto"/>
          <w:sz w:val="24"/>
          <w:szCs w:val="24"/>
          <w:highlight w:val="none"/>
        </w:rPr>
        <w:t>设计图纸含总体规划方案设计图、总设计说明以及必要的设计资料和设计计算书等附件。</w:t>
      </w:r>
    </w:p>
    <w:p w14:paraId="59A03B80">
      <w:pPr>
        <w:widowControl/>
        <w:wordWrap w:val="0"/>
        <w:topLinePunct/>
        <w:adjustRightInd w:val="0"/>
        <w:snapToGrid w:val="0"/>
        <w:spacing w:line="480" w:lineRule="exact"/>
        <w:ind w:firstLine="525" w:firstLineChars="218"/>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5.3</w:t>
      </w:r>
      <w:r>
        <w:rPr>
          <w:rFonts w:hint="eastAsia" w:ascii="宋体" w:hAnsi="宋体" w:eastAsia="宋体" w:cs="Times New Roman"/>
          <w:color w:val="auto"/>
          <w:sz w:val="24"/>
          <w:szCs w:val="24"/>
          <w:highlight w:val="none"/>
        </w:rPr>
        <w:t>设计人应按发包人制定的项目编码方式进行文件、图纸的编码，并遵守发包人制定的设计文件、图纸、资料的发放、回收和验收制度。</w:t>
      </w:r>
    </w:p>
    <w:p w14:paraId="731785B9">
      <w:pPr>
        <w:widowControl/>
        <w:wordWrap w:val="0"/>
        <w:topLinePunct/>
        <w:adjustRightInd w:val="0"/>
        <w:snapToGrid w:val="0"/>
        <w:spacing w:line="480" w:lineRule="exact"/>
        <w:ind w:firstLine="525" w:firstLineChars="218"/>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5.4</w:t>
      </w:r>
      <w:r>
        <w:rPr>
          <w:rFonts w:hint="eastAsia" w:ascii="宋体" w:hAnsi="宋体" w:eastAsia="宋体" w:cs="Times New Roman"/>
          <w:color w:val="auto"/>
          <w:sz w:val="24"/>
          <w:szCs w:val="24"/>
          <w:highlight w:val="none"/>
        </w:rPr>
        <w:t>设计人须向发包人提交初步设计、扩大初步设计说明书及附图15份，原图15份、初步设计概算 8份、相应的电子设计文件及文档 2份（刻制成光盘）；提交设计施工图纸20份（视招标情况定，并且根据招标要求分册）、设计计算书5份、相应的电子设计文件及文档2份（刻制成光盘）。</w:t>
      </w:r>
    </w:p>
    <w:p w14:paraId="6871FD72">
      <w:pPr>
        <w:widowControl/>
        <w:wordWrap w:val="0"/>
        <w:topLinePunct/>
        <w:adjustRightInd w:val="0"/>
        <w:snapToGrid w:val="0"/>
        <w:spacing w:line="480" w:lineRule="exact"/>
        <w:ind w:firstLine="525" w:firstLineChars="218"/>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5.5</w:t>
      </w:r>
      <w:r>
        <w:rPr>
          <w:rFonts w:hint="eastAsia" w:ascii="宋体" w:hAnsi="宋体" w:eastAsia="宋体" w:cs="Times New Roman"/>
          <w:color w:val="auto"/>
          <w:sz w:val="24"/>
          <w:szCs w:val="24"/>
          <w:highlight w:val="none"/>
        </w:rPr>
        <w:t>在提交初步设计（部分）及施工设计文件的同时或发包人要求的其他时间，设计人提供进行招标工作所需的工程概况及招标技术规范，各一式15份。</w:t>
      </w:r>
    </w:p>
    <w:p w14:paraId="7814E656">
      <w:pPr>
        <w:widowControl/>
        <w:wordWrap w:val="0"/>
        <w:topLinePunct/>
        <w:adjustRightInd w:val="0"/>
        <w:snapToGrid w:val="0"/>
        <w:spacing w:line="480" w:lineRule="exact"/>
        <w:ind w:firstLine="525" w:firstLineChars="218"/>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5.6</w:t>
      </w:r>
      <w:r>
        <w:rPr>
          <w:rFonts w:hint="eastAsia" w:ascii="宋体" w:hAnsi="宋体" w:eastAsia="宋体" w:cs="Times New Roman"/>
          <w:color w:val="auto"/>
          <w:sz w:val="24"/>
          <w:szCs w:val="24"/>
          <w:highlight w:val="none"/>
        </w:rPr>
        <w:t>合同双方取得设计文件或资料后应办理签收手续。</w:t>
      </w:r>
    </w:p>
    <w:p w14:paraId="54D56EF9">
      <w:pPr>
        <w:widowControl/>
        <w:wordWrap w:val="0"/>
        <w:topLinePunct/>
        <w:adjustRightInd w:val="0"/>
        <w:snapToGrid w:val="0"/>
        <w:spacing w:line="480" w:lineRule="exact"/>
        <w:ind w:firstLine="525" w:firstLineChars="218"/>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5.7</w:t>
      </w:r>
      <w:r>
        <w:rPr>
          <w:rFonts w:hint="eastAsia" w:ascii="宋体" w:hAnsi="宋体" w:eastAsia="宋体" w:cs="Times New Roman"/>
          <w:color w:val="auto"/>
          <w:sz w:val="24"/>
          <w:szCs w:val="24"/>
          <w:highlight w:val="none"/>
        </w:rPr>
        <w:t>设计人自行承担办理运输或邮寄或电传设计文件、资料所需的费用。</w:t>
      </w:r>
    </w:p>
    <w:p w14:paraId="1B0F1882">
      <w:pPr>
        <w:widowControl/>
        <w:wordWrap w:val="0"/>
        <w:topLinePunct/>
        <w:adjustRightInd w:val="0"/>
        <w:snapToGrid w:val="0"/>
        <w:spacing w:line="480" w:lineRule="exact"/>
        <w:ind w:firstLine="525" w:firstLineChars="218"/>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5.8</w:t>
      </w:r>
      <w:r>
        <w:rPr>
          <w:rFonts w:hint="eastAsia" w:ascii="宋体" w:hAnsi="宋体" w:eastAsia="宋体" w:cs="Times New Roman"/>
          <w:color w:val="auto"/>
          <w:sz w:val="24"/>
          <w:szCs w:val="24"/>
          <w:highlight w:val="none"/>
        </w:rPr>
        <w:t>设计人将设计文件交至发包人日常办公所在地或发包人临时指定的地点。设计文件的收发、传送管理按发包人有关规定办理。</w:t>
      </w:r>
    </w:p>
    <w:p w14:paraId="2D2BE2BC">
      <w:pPr>
        <w:widowControl/>
        <w:wordWrap w:val="0"/>
        <w:topLinePunct/>
        <w:adjustRightInd w:val="0"/>
        <w:snapToGrid w:val="0"/>
        <w:spacing w:line="480" w:lineRule="exact"/>
        <w:ind w:firstLine="525" w:firstLineChars="218"/>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5.9</w:t>
      </w:r>
      <w:r>
        <w:rPr>
          <w:rFonts w:hint="eastAsia" w:ascii="宋体" w:hAnsi="宋体" w:eastAsia="宋体" w:cs="Times New Roman"/>
          <w:color w:val="auto"/>
          <w:sz w:val="24"/>
          <w:szCs w:val="24"/>
          <w:highlight w:val="none"/>
        </w:rPr>
        <w:t>设计总说明必须于提交各阶段成果时同期交付。</w:t>
      </w:r>
    </w:p>
    <w:p w14:paraId="07A5FFEC">
      <w:pPr>
        <w:widowControl/>
        <w:wordWrap w:val="0"/>
        <w:topLinePunct/>
        <w:adjustRightInd w:val="0"/>
        <w:snapToGrid w:val="0"/>
        <w:spacing w:line="480" w:lineRule="exact"/>
        <w:ind w:firstLine="525" w:firstLineChars="218"/>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5.10</w:t>
      </w:r>
      <w:r>
        <w:rPr>
          <w:rFonts w:hint="eastAsia" w:ascii="宋体" w:hAnsi="宋体" w:eastAsia="宋体" w:cs="Times New Roman"/>
          <w:color w:val="auto"/>
          <w:sz w:val="24"/>
          <w:szCs w:val="24"/>
          <w:highlight w:val="none"/>
        </w:rPr>
        <w:t>分包设计费已含分包单位（主设计单位）晒图费用，设计分包单位晒图不再另行支付费用。</w:t>
      </w:r>
    </w:p>
    <w:p w14:paraId="0657A800">
      <w:pPr>
        <w:widowControl/>
        <w:wordWrap w:val="0"/>
        <w:topLinePunct/>
        <w:adjustRightInd w:val="0"/>
        <w:snapToGrid w:val="0"/>
        <w:spacing w:line="480" w:lineRule="exact"/>
        <w:ind w:firstLine="610" w:firstLineChars="218"/>
        <w:rPr>
          <w:rFonts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5.11本合同生效之日起至竣工验收合格后满2年为止为服务期限。在服务期内,若发现工程设计未能满足本合同的要求，设计人须继续提供服务，直至满足要求为止，对此发包方不额外支付费用。</w:t>
      </w:r>
    </w:p>
    <w:p w14:paraId="6BD4C25E">
      <w:pPr>
        <w:widowControl/>
        <w:wordWrap w:val="0"/>
        <w:topLinePunct/>
        <w:adjustRightInd w:val="0"/>
        <w:snapToGrid w:val="0"/>
        <w:spacing w:line="480" w:lineRule="exact"/>
        <w:ind w:firstLine="472" w:firstLineChars="196"/>
        <w:outlineLvl w:val="4"/>
        <w:rPr>
          <w:rFonts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第六条 设计费总额金额及支付方式</w:t>
      </w:r>
    </w:p>
    <w:p w14:paraId="5C317D18">
      <w:pPr>
        <w:widowControl/>
        <w:wordWrap w:val="0"/>
        <w:topLinePunct/>
        <w:adjustRightInd w:val="0"/>
        <w:snapToGrid w:val="0"/>
        <w:spacing w:line="480" w:lineRule="exact"/>
        <w:ind w:firstLine="472" w:firstLineChars="196"/>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6.1</w:t>
      </w:r>
      <w:r>
        <w:rPr>
          <w:rFonts w:hint="eastAsia" w:ascii="宋体" w:hAnsi="宋体" w:eastAsia="宋体" w:cs="Times New Roman"/>
          <w:b/>
          <w:bCs/>
          <w:color w:val="auto"/>
          <w:sz w:val="24"/>
          <w:szCs w:val="24"/>
          <w:highlight w:val="none"/>
        </w:rPr>
        <w:t>设计费总额金额及计费标准</w:t>
      </w:r>
    </w:p>
    <w:p w14:paraId="7198DFC0">
      <w:pPr>
        <w:widowControl/>
        <w:wordWrap w:val="0"/>
        <w:topLinePunct/>
        <w:adjustRightInd w:val="0"/>
        <w:snapToGrid w:val="0"/>
        <w:spacing w:line="480" w:lineRule="exact"/>
        <w:ind w:firstLine="470" w:firstLineChars="196"/>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6.1.</w:t>
      </w:r>
      <w:r>
        <w:rPr>
          <w:rFonts w:hint="eastAsia" w:ascii="宋体" w:hAnsi="宋体" w:eastAsia="宋体" w:cs="Times New Roman"/>
          <w:color w:val="auto"/>
          <w:sz w:val="24"/>
          <w:szCs w:val="24"/>
          <w:highlight w:val="none"/>
          <w:u w:val="single"/>
        </w:rPr>
        <w:t>1本工程设计费总额为    万元。</w:t>
      </w:r>
      <w:r>
        <w:rPr>
          <w:rFonts w:hint="eastAsia" w:ascii="宋体" w:hAnsi="宋体" w:eastAsia="宋体" w:cs="Times New Roman"/>
          <w:color w:val="auto"/>
          <w:sz w:val="24"/>
          <w:szCs w:val="24"/>
          <w:highlight w:val="none"/>
        </w:rPr>
        <w:t>设计费总额包含本项目未中标单位方案补偿费、本合同项目的全部设计费用、设计文件修改费用、招标配合费用、驻场服务费用、设计调研费、配合发包人进行报建、报审、验收工作、设计人委托有工程造价咨询资质单位编制初步设计概算的费用等设计人为完成本项目设计工作所发生的所有费用及税金。</w:t>
      </w:r>
    </w:p>
    <w:p w14:paraId="10CCC762">
      <w:pPr>
        <w:widowControl/>
        <w:wordWrap w:val="0"/>
        <w:topLinePunct/>
        <w:adjustRightInd w:val="0"/>
        <w:snapToGrid w:val="0"/>
        <w:spacing w:line="480" w:lineRule="exact"/>
        <w:ind w:firstLine="470" w:firstLineChars="196"/>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6.1.2设计费按国家计委、建设部颁发的《工程勘察设计收费标准》（计价格[2002]10号）、《关于印发广州市黄埔区 广州开发区政府投资建设项目资金管理办法的通知》（穗埔财〔2020〕373 号）、《广州开发区财政投资建设项目管理中心咨询服务类合同结算编审指引（2021年修订版）》（穗开建管〔2021〕33号）及广州开发区财政局相关规定下浮</w:t>
      </w:r>
      <w:r>
        <w:rPr>
          <w:rFonts w:hint="eastAsia" w:ascii="宋体" w:hAnsi="宋体" w:eastAsia="宋体" w:cs="Times New Roman"/>
          <w:color w:val="auto"/>
          <w:sz w:val="24"/>
          <w:szCs w:val="24"/>
          <w:highlight w:val="none"/>
          <w:u w:val="single"/>
        </w:rPr>
        <w:t>20%并执行中标下浮率后</w:t>
      </w:r>
      <w:r>
        <w:rPr>
          <w:rFonts w:hint="eastAsia" w:ascii="宋体" w:hAnsi="宋体" w:eastAsia="宋体" w:cs="Times New Roman"/>
          <w:color w:val="auto"/>
          <w:sz w:val="24"/>
          <w:szCs w:val="24"/>
          <w:highlight w:val="none"/>
        </w:rPr>
        <w:t>计取。本项目设计费总额暂以工程费</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万元计算，暂定为</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万元人民币</w:t>
      </w:r>
      <w:r>
        <w:rPr>
          <w:rFonts w:hint="eastAsia" w:ascii="宋体" w:hAnsi="宋体" w:eastAsia="宋体"/>
          <w:color w:val="auto"/>
          <w:sz w:val="24"/>
          <w:highlight w:val="none"/>
        </w:rPr>
        <w:t>，中标下浮率为：</w:t>
      </w:r>
      <w:r>
        <w:rPr>
          <w:rFonts w:ascii="宋体" w:hAnsi="宋体" w:eastAsia="宋体"/>
          <w:color w:val="auto"/>
          <w:sz w:val="24"/>
          <w:highlight w:val="none"/>
          <w:u w:val="single"/>
        </w:rPr>
        <w:t xml:space="preserve">     </w:t>
      </w:r>
      <w:r>
        <w:rPr>
          <w:rFonts w:hint="eastAsia" w:ascii="宋体" w:hAnsi="宋体" w:eastAsia="宋体" w:cs="Times New Roman"/>
          <w:color w:val="auto"/>
          <w:sz w:val="24"/>
          <w:szCs w:val="24"/>
          <w:highlight w:val="none"/>
        </w:rPr>
        <w:t>。设计收费结算以区行业主管部门审定的建设项目投资概算中的建安费</w:t>
      </w:r>
      <w:r>
        <w:rPr>
          <w:rFonts w:hint="eastAsia" w:ascii="宋体" w:hAnsi="宋体" w:eastAsia="宋体" w:cs="Times New Roman"/>
          <w:color w:val="auto"/>
          <w:spacing w:val="10"/>
          <w:sz w:val="24"/>
          <w:szCs w:val="24"/>
          <w:highlight w:val="none"/>
        </w:rPr>
        <w:t>、设备与工器具购置费和联合试运转费之和为计费额</w:t>
      </w:r>
      <w:r>
        <w:rPr>
          <w:rFonts w:hint="eastAsia" w:ascii="宋体" w:hAnsi="宋体" w:eastAsia="宋体" w:cs="Times New Roman"/>
          <w:color w:val="auto"/>
          <w:sz w:val="24"/>
          <w:szCs w:val="24"/>
          <w:highlight w:val="none"/>
        </w:rPr>
        <w:t>，并调整设计费支付。</w:t>
      </w:r>
    </w:p>
    <w:p w14:paraId="1B09AD2E">
      <w:pPr>
        <w:widowControl/>
        <w:wordWrap w:val="0"/>
        <w:topLinePunct/>
        <w:adjustRightInd w:val="0"/>
        <w:snapToGrid w:val="0"/>
        <w:spacing w:line="480" w:lineRule="exact"/>
        <w:ind w:firstLine="470" w:firstLineChars="196"/>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设计费用计算表：（根据工程实际附表）</w:t>
      </w:r>
    </w:p>
    <w:p w14:paraId="5D45887D">
      <w:pPr>
        <w:widowControl/>
        <w:wordWrap w:val="0"/>
        <w:topLinePunct/>
        <w:adjustRightInd w:val="0"/>
        <w:snapToGrid w:val="0"/>
        <w:spacing w:line="480" w:lineRule="exact"/>
        <w:ind w:firstLine="472" w:firstLineChars="196"/>
        <w:rPr>
          <w:rFonts w:ascii="宋体" w:hAnsi="宋体" w:eastAsia="宋体" w:cs="Times New Roman"/>
          <w:b/>
          <w:color w:val="auto"/>
          <w:sz w:val="24"/>
          <w:szCs w:val="24"/>
          <w:highlight w:val="none"/>
        </w:rPr>
      </w:pPr>
    </w:p>
    <w:p w14:paraId="4F9207E3">
      <w:pPr>
        <w:widowControl/>
        <w:wordWrap w:val="0"/>
        <w:topLinePunct/>
        <w:adjustRightInd w:val="0"/>
        <w:snapToGrid w:val="0"/>
        <w:spacing w:line="480" w:lineRule="exact"/>
        <w:ind w:firstLine="470" w:firstLineChars="196"/>
        <w:rPr>
          <w:rFonts w:ascii="宋体" w:hAnsi="宋体" w:eastAsia="宋体" w:cs="Times New Roman"/>
          <w:color w:val="auto"/>
          <w:sz w:val="24"/>
          <w:szCs w:val="24"/>
          <w:highlight w:val="none"/>
        </w:rPr>
      </w:pPr>
    </w:p>
    <w:p w14:paraId="30457F8F">
      <w:pPr>
        <w:widowControl/>
        <w:wordWrap w:val="0"/>
        <w:topLinePunct/>
        <w:adjustRightInd w:val="0"/>
        <w:snapToGrid w:val="0"/>
        <w:spacing w:line="480" w:lineRule="exact"/>
        <w:ind w:firstLine="470" w:firstLineChars="196"/>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若本项目实施情况符合《区财政投资基本建设项目非设计单位责任引起建设项目设计工作终止及工程变更的设计费计取管理办法（暂行）》（下称《计取管理办法》）相关规定的，按《计取管理办法》规定计取设计费结算价。</w:t>
      </w:r>
    </w:p>
    <w:p w14:paraId="753B6098">
      <w:pPr>
        <w:ind w:firstLine="480" w:firstLineChars="200"/>
        <w:rPr>
          <w:rFonts w:ascii="宋体" w:hAnsi="宋体" w:eastAsia="宋体" w:cs="宋体"/>
          <w:color w:val="auto"/>
          <w:kern w:val="0"/>
          <w:sz w:val="24"/>
          <w:szCs w:val="24"/>
          <w:highlight w:val="none"/>
        </w:rPr>
      </w:pPr>
    </w:p>
    <w:p w14:paraId="01F5AAA6">
      <w:pPr>
        <w:widowControl/>
        <w:wordWrap w:val="0"/>
        <w:topLinePunct/>
        <w:adjustRightInd w:val="0"/>
        <w:snapToGrid w:val="0"/>
        <w:spacing w:line="480" w:lineRule="exact"/>
        <w:ind w:firstLine="472" w:firstLineChars="196"/>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6.2</w:t>
      </w:r>
      <w:r>
        <w:rPr>
          <w:rFonts w:hint="eastAsia" w:ascii="宋体" w:hAnsi="宋体" w:eastAsia="宋体" w:cs="Times New Roman"/>
          <w:color w:val="auto"/>
          <w:sz w:val="24"/>
          <w:szCs w:val="24"/>
          <w:highlight w:val="none"/>
        </w:rPr>
        <w:t>设计费最终结算价以广州开发区财政局或其授权委托单位审定的结算价为准。如遇审计部门审计发现本合同结算价款存在超付的情形，甲方有权据实要求乙方返还该部分款项。</w:t>
      </w:r>
    </w:p>
    <w:p w14:paraId="48A0467F">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6.3</w:t>
      </w:r>
      <w:r>
        <w:rPr>
          <w:rFonts w:hint="eastAsia" w:ascii="宋体" w:hAnsi="宋体" w:eastAsia="宋体" w:cs="Times New Roman"/>
          <w:color w:val="auto"/>
          <w:sz w:val="24"/>
          <w:szCs w:val="24"/>
          <w:highlight w:val="none"/>
        </w:rPr>
        <w:t>在签订合同或结算阶段，如发包人发现设计人的投标报价不符合招标文件规定的，可进行修正，设计人不得有异议。</w:t>
      </w:r>
    </w:p>
    <w:p w14:paraId="47BD45B6">
      <w:pPr>
        <w:widowControl/>
        <w:wordWrap w:val="0"/>
        <w:topLinePunct/>
        <w:adjustRightInd w:val="0"/>
        <w:snapToGrid w:val="0"/>
        <w:spacing w:line="480" w:lineRule="exact"/>
        <w:ind w:firstLine="477" w:firstLineChars="198"/>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6.4</w:t>
      </w:r>
      <w:r>
        <w:rPr>
          <w:rFonts w:hint="eastAsia" w:ascii="宋体" w:hAnsi="宋体" w:eastAsia="宋体" w:cs="Times New Roman"/>
          <w:color w:val="auto"/>
          <w:sz w:val="24"/>
          <w:szCs w:val="24"/>
          <w:highlight w:val="none"/>
        </w:rPr>
        <w:t>设计费的支付：</w:t>
      </w:r>
    </w:p>
    <w:p w14:paraId="43284437">
      <w:pPr>
        <w:topLinePunct/>
        <w:adjustRightInd w:val="0"/>
        <w:snapToGrid w:val="0"/>
        <w:spacing w:line="50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6.4.1本合同签订后且发包人申请财政拨款到位后，发包人支付设计费暂定价的15%作为定金，计</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万元（合同履行后，定金抵作设计费）。</w:t>
      </w:r>
    </w:p>
    <w:p w14:paraId="7ACDB770">
      <w:pPr>
        <w:topLinePunct/>
        <w:adjustRightInd w:val="0"/>
        <w:snapToGrid w:val="0"/>
        <w:spacing w:line="50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6.4.2设计人交付本项目的全部初步设计文件并通过技术审查，且发包人申请财政拨款到位后，发包人支付设计费累计至设计费暂定价的30%。</w:t>
      </w:r>
    </w:p>
    <w:p w14:paraId="41032C23">
      <w:pPr>
        <w:topLinePunct/>
        <w:adjustRightInd w:val="0"/>
        <w:snapToGrid w:val="0"/>
        <w:spacing w:line="500" w:lineRule="exact"/>
        <w:ind w:firstLine="480" w:firstLineChars="200"/>
        <w:rPr>
          <w:rFonts w:ascii="宋体" w:hAnsi="宋体" w:eastAsia="宋体" w:cs="Times New Roman"/>
          <w:b/>
          <w:color w:val="auto"/>
          <w:sz w:val="24"/>
          <w:szCs w:val="24"/>
          <w:highlight w:val="none"/>
        </w:rPr>
      </w:pPr>
      <w:r>
        <w:rPr>
          <w:rFonts w:hint="eastAsia" w:ascii="宋体" w:hAnsi="宋体" w:eastAsia="宋体" w:cs="Times New Roman"/>
          <w:color w:val="auto"/>
          <w:sz w:val="24"/>
          <w:szCs w:val="24"/>
          <w:highlight w:val="none"/>
        </w:rPr>
        <w:t>6.4.3设计人交付全部施工图设计文件并通过审查，且发包人申请财政拨款到位后，发包人按本合同约定的计费标准及区行业主管部门审定的工程概算调整设计费的支付，累计支付至调整后设计费的</w:t>
      </w:r>
      <w:r>
        <w:rPr>
          <w:rFonts w:hint="eastAsia" w:ascii="宋体" w:hAnsi="宋体" w:eastAsia="宋体" w:cs="Times New Roman"/>
          <w:color w:val="auto"/>
          <w:sz w:val="24"/>
          <w:szCs w:val="24"/>
          <w:highlight w:val="none"/>
          <w:u w:val="single"/>
        </w:rPr>
        <w:t>75%</w:t>
      </w:r>
      <w:r>
        <w:rPr>
          <w:rFonts w:hint="eastAsia" w:ascii="宋体" w:hAnsi="宋体" w:eastAsia="宋体" w:cs="Times New Roman"/>
          <w:b/>
          <w:color w:val="auto"/>
          <w:sz w:val="24"/>
          <w:szCs w:val="24"/>
          <w:highlight w:val="none"/>
        </w:rPr>
        <w:t>。</w:t>
      </w:r>
    </w:p>
    <w:p w14:paraId="31C11CA6">
      <w:pPr>
        <w:topLinePunct/>
        <w:adjustRightInd w:val="0"/>
        <w:snapToGrid w:val="0"/>
        <w:spacing w:line="50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6.4.4工程完工初验，设计费结算根据《广州开发区财政投资建设项目管理中心咨询服务类合同结算编审指引（2021年修订版）》办理完毕，发包人向设计人支付设计费至结算价的90%。</w:t>
      </w:r>
    </w:p>
    <w:p w14:paraId="5874CF4A">
      <w:pPr>
        <w:topLinePunct/>
        <w:adjustRightInd w:val="0"/>
        <w:snapToGrid w:val="0"/>
        <w:spacing w:line="50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6.4.5工程完成竣工验收及工程实施过程中未发生因设计原因引起的超概算及重大设计变更等，累计支付至设计费结算价的95%。</w:t>
      </w:r>
    </w:p>
    <w:p w14:paraId="14413290">
      <w:pPr>
        <w:topLinePunct/>
        <w:adjustRightInd w:val="0"/>
        <w:snapToGrid w:val="0"/>
        <w:spacing w:line="50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6.4.6工程竣工验收合格满2年后，无发现工程设计质量问题，一次性结清剩余费用(不计利息)。所有设计费支付均需广州开发区财政局拨款到位后且无超付的情况下支付。</w:t>
      </w:r>
    </w:p>
    <w:p w14:paraId="243D6846">
      <w:pPr>
        <w:topLinePunct/>
        <w:adjustRightInd w:val="0"/>
        <w:snapToGrid w:val="0"/>
        <w:spacing w:line="500" w:lineRule="exact"/>
        <w:ind w:firstLine="472" w:firstLineChars="197"/>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6.4.7发包人支付的设计费中包含了设计人履行合同所需的所有支出，设计人收款时同时开具发票，税金由设计人自理。</w:t>
      </w:r>
    </w:p>
    <w:p w14:paraId="62D6147A">
      <w:pPr>
        <w:topLinePunct/>
        <w:adjustRightInd w:val="0"/>
        <w:snapToGrid w:val="0"/>
        <w:spacing w:line="500" w:lineRule="exact"/>
        <w:ind w:firstLine="472" w:firstLineChars="197"/>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6.4.8发包人支付的设计费中包括了对其他投标人的经济补偿费，该费用由设计人按本项目招标文件要求在收到第一笔设计费（即设计合同定金）后及时分别支付给相应未中标投标人，并提交已按招标文件规定支付投标经济补偿给相应投标人的凭证（提供相应投标人的书面确认函或银行转账凭证等），否则，发包人有权暂停支付第二笔设计费，直接从设计费中扣减应支付给其他投标人的经济补偿费。</w:t>
      </w:r>
    </w:p>
    <w:p w14:paraId="49DC7E5C">
      <w:pPr>
        <w:topLinePunct/>
        <w:adjustRightInd w:val="0"/>
        <w:snapToGrid w:val="0"/>
        <w:spacing w:line="500" w:lineRule="exact"/>
        <w:ind w:firstLine="472" w:firstLineChars="197"/>
        <w:rPr>
          <w:rFonts w:ascii="宋体" w:hAnsi="宋体" w:eastAsia="宋体" w:cs="仿宋"/>
          <w:color w:val="auto"/>
          <w:sz w:val="24"/>
          <w:szCs w:val="24"/>
          <w:highlight w:val="none"/>
        </w:rPr>
      </w:pPr>
      <w:r>
        <w:rPr>
          <w:rFonts w:hint="eastAsia" w:ascii="宋体" w:hAnsi="宋体" w:eastAsia="宋体" w:cs="仿宋"/>
          <w:color w:val="auto"/>
          <w:sz w:val="24"/>
          <w:szCs w:val="24"/>
          <w:highlight w:val="none"/>
        </w:rPr>
        <w:t>如因规划建设原因取消本项目实施，设计人未开展实际性工作，上述投标经济补偿由发包人承担，即该种情形下设计合同结算价为上述投标经济补偿总额，设计人收取合同价款后及时支付投标补偿费给各投标人。其它情形的投标补偿费均包含在设计费中。</w:t>
      </w:r>
    </w:p>
    <w:p w14:paraId="2AE87ACC">
      <w:pPr>
        <w:topLinePunct/>
        <w:adjustRightInd w:val="0"/>
        <w:snapToGrid w:val="0"/>
        <w:spacing w:line="500" w:lineRule="exact"/>
        <w:ind w:firstLine="472" w:firstLineChars="197"/>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6.4.9 发包人付给设计人的款项为设计人与本项目有关的唯一报酬，设计人在与本项目有关的活动中，或在履行合同义务时，不应为私利而接受佣金、回扣或类似费用，一经发现该部分款项从发包人支付给设计人的费用中扣减。</w:t>
      </w:r>
    </w:p>
    <w:p w14:paraId="33BBA2C0">
      <w:pPr>
        <w:topLinePunct/>
        <w:adjustRightInd w:val="0"/>
        <w:snapToGrid w:val="0"/>
        <w:spacing w:line="500" w:lineRule="exact"/>
        <w:ind w:firstLine="472" w:firstLineChars="197"/>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6.4.10 必要性的专项设计单位由设计人推荐，报发包人批准后承担设计任务，相应费用由设计人支付。</w:t>
      </w:r>
    </w:p>
    <w:p w14:paraId="405F73E5">
      <w:pPr>
        <w:topLinePunct/>
        <w:adjustRightInd w:val="0"/>
        <w:snapToGrid w:val="0"/>
        <w:spacing w:line="500" w:lineRule="exact"/>
        <w:ind w:firstLine="472" w:firstLineChars="197"/>
        <w:rPr>
          <w:rFonts w:ascii="宋体" w:hAnsi="宋体" w:eastAsia="宋体" w:cs="Times New Roman"/>
          <w:strike/>
          <w:color w:val="auto"/>
          <w:sz w:val="24"/>
          <w:szCs w:val="24"/>
          <w:highlight w:val="none"/>
        </w:rPr>
      </w:pPr>
      <w:r>
        <w:rPr>
          <w:rFonts w:hint="eastAsia" w:ascii="宋体" w:hAnsi="宋体" w:eastAsia="宋体" w:cs="Times New Roman"/>
          <w:color w:val="auto"/>
          <w:sz w:val="24"/>
          <w:szCs w:val="24"/>
          <w:highlight w:val="none"/>
        </w:rPr>
        <w:t>6.4.11 设计人为联合体的，设计费的分配按本合同联合体协议书的</w:t>
      </w:r>
      <w:r>
        <w:rPr>
          <w:rFonts w:hint="eastAsia" w:ascii="宋体" w:hAnsi="宋体" w:eastAsia="宋体" w:cs="Times New Roman"/>
          <w:color w:val="auto"/>
          <w:sz w:val="24"/>
          <w:szCs w:val="24"/>
          <w:highlight w:val="none"/>
          <w:lang w:bidi="ar"/>
        </w:rPr>
        <w:t>工作量分摊，</w:t>
      </w:r>
      <w:r>
        <w:rPr>
          <w:rFonts w:hint="eastAsia" w:ascii="宋体" w:hAnsi="宋体" w:eastAsia="宋体" w:cs="Times New Roman"/>
          <w:color w:val="auto"/>
          <w:sz w:val="24"/>
          <w:szCs w:val="24"/>
          <w:highlight w:val="none"/>
          <w:u w:val="single"/>
        </w:rPr>
        <w:t>在履行合同过程中，不得变更联合体成员和其负责的工作范围</w:t>
      </w:r>
      <w:r>
        <w:rPr>
          <w:rFonts w:hint="eastAsia" w:ascii="宋体" w:hAnsi="宋体" w:eastAsia="宋体" w:cs="Times New Roman"/>
          <w:color w:val="auto"/>
          <w:sz w:val="24"/>
          <w:szCs w:val="24"/>
          <w:highlight w:val="none"/>
        </w:rPr>
        <w:t>。</w:t>
      </w:r>
    </w:p>
    <w:p w14:paraId="28EDF15C">
      <w:pPr>
        <w:topLinePunct/>
        <w:adjustRightInd w:val="0"/>
        <w:snapToGrid w:val="0"/>
        <w:spacing w:line="480" w:lineRule="exact"/>
        <w:ind w:firstLine="480" w:firstLineChars="200"/>
        <w:rPr>
          <w:rFonts w:ascii="宋体" w:hAnsi="宋体" w:eastAsia="宋体" w:cs="仿宋"/>
          <w:color w:val="auto"/>
          <w:sz w:val="24"/>
          <w:szCs w:val="24"/>
          <w:highlight w:val="none"/>
        </w:rPr>
      </w:pPr>
      <w:r>
        <w:rPr>
          <w:rFonts w:hint="eastAsia" w:ascii="宋体" w:hAnsi="宋体" w:eastAsia="宋体" w:cs="仿宋"/>
          <w:color w:val="auto"/>
          <w:sz w:val="24"/>
          <w:szCs w:val="24"/>
          <w:highlight w:val="none"/>
        </w:rPr>
        <w:t>6.4.12</w:t>
      </w:r>
      <w:r>
        <w:rPr>
          <w:rFonts w:hint="eastAsia" w:ascii="宋体" w:hAnsi="宋体" w:eastAsia="宋体" w:cs="Times New Roman"/>
          <w:color w:val="auto"/>
          <w:sz w:val="24"/>
          <w:szCs w:val="24"/>
          <w:highlight w:val="none"/>
        </w:rPr>
        <w:t>由</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（承担主要设计任务的一方</w:t>
      </w:r>
      <w:r>
        <w:rPr>
          <w:rFonts w:hint="eastAsia" w:ascii="宋体" w:hAnsi="宋体" w:eastAsia="宋体" w:cs="Times New Roman"/>
          <w:color w:val="auto"/>
          <w:sz w:val="24"/>
          <w:szCs w:val="24"/>
          <w:highlight w:val="none"/>
          <w:lang w:bidi="ar"/>
        </w:rPr>
        <w:t>名称</w:t>
      </w:r>
      <w:r>
        <w:rPr>
          <w:rFonts w:hint="eastAsia" w:ascii="宋体" w:hAnsi="宋体" w:eastAsia="宋体" w:cs="Times New Roman"/>
          <w:color w:val="auto"/>
          <w:sz w:val="24"/>
          <w:szCs w:val="24"/>
          <w:highlight w:val="none"/>
        </w:rPr>
        <w:t>）负责收取全额设计费并开具对应价款的全额发票，收款账户名为：</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 xml:space="preserve"> ，开票人为：</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。未经发包人同意，合同履行过程中不得擅自更改收款账户名。</w:t>
      </w:r>
    </w:p>
    <w:p w14:paraId="4B510FBE">
      <w:pPr>
        <w:widowControl/>
        <w:wordWrap w:val="0"/>
        <w:topLinePunct/>
        <w:adjustRightInd w:val="0"/>
        <w:snapToGrid w:val="0"/>
        <w:spacing w:line="480" w:lineRule="exact"/>
        <w:ind w:firstLine="308" w:firstLineChars="128"/>
        <w:outlineLvl w:val="4"/>
        <w:rPr>
          <w:rFonts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第七条 双方的权利与义务</w:t>
      </w:r>
    </w:p>
    <w:p w14:paraId="7FD5C423">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7.1</w:t>
      </w:r>
      <w:r>
        <w:rPr>
          <w:rFonts w:hint="eastAsia" w:ascii="宋体" w:hAnsi="宋体" w:eastAsia="宋体" w:cs="Times New Roman"/>
          <w:color w:val="auto"/>
          <w:sz w:val="24"/>
          <w:szCs w:val="24"/>
          <w:highlight w:val="none"/>
        </w:rPr>
        <w:t>发包人义务</w:t>
      </w:r>
    </w:p>
    <w:p w14:paraId="46D263EE">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7.1.1设计人应按国家技术规范、标准、规定及发包人提出的设计要求，进行工程设计；设计人应当在设计文件中注明涉及危大工程的重点部位和环节，提出保障工程周边环境安全和工程施工安全的意见，必要时进行专项设计，并按合同规定的进度要求提交质量合格的设计资料，并对其负责。</w:t>
      </w:r>
    </w:p>
    <w:p w14:paraId="10508CFC">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7.1.2发包人所提供的设计依据仅为参考，最终以政府规划部门批复的相关文件为准，如政府批复的规划设计依据与发包人提供的设计依据不符，由此产生的设计修改费用已包含在设计费总额内，发包人不再另行支付，项目立项投资调整引起的设计修改除外。</w:t>
      </w:r>
    </w:p>
    <w:p w14:paraId="7D3D6C1F">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7.1.3发包人要求设计人比合同约定时间提前支付设计资料及文件时，如果设计人能够做到，发包人应根据设计人提前投入的工作量，向设计人支付赶工费。</w:t>
      </w:r>
    </w:p>
    <w:p w14:paraId="3869D387">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7.1.4发包人应保护设计人的投标书、设计方案、文件、资料图纸、数据、计算软件和专利技术。未经设计人同意，发包人对设计人交付的设计资料及文件不得擅自修改或向第三人转让或用于本合同外的项目，如发生以上情况，发包人应负法律责任，设计人有权向发包人提出索赔。</w:t>
      </w:r>
    </w:p>
    <w:p w14:paraId="4EE4BC08">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7.2</w:t>
      </w:r>
      <w:r>
        <w:rPr>
          <w:rFonts w:hint="eastAsia" w:ascii="宋体" w:hAnsi="宋体" w:eastAsia="宋体" w:cs="Times New Roman"/>
          <w:color w:val="auto"/>
          <w:sz w:val="24"/>
          <w:szCs w:val="24"/>
          <w:highlight w:val="none"/>
        </w:rPr>
        <w:t>设计人义务</w:t>
      </w:r>
    </w:p>
    <w:p w14:paraId="380E5E84">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7.2.1设计人应按国家技术规范、标准、规定及发包人提出的设计要求，进行工程设计，按合同规定的进度要求提交质量合格的设计资料，并对其负责。</w:t>
      </w:r>
    </w:p>
    <w:p w14:paraId="1A4CBF1A">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7.2.2设计采用的主要技术标准：现行国家有关技术标准 。</w:t>
      </w:r>
    </w:p>
    <w:p w14:paraId="0D4C176C">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7.2.3设计合理使用年限按国家规定。</w:t>
      </w:r>
    </w:p>
    <w:p w14:paraId="3B2B4EF2">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7.2.4设计人按本合同第三条和第五条约定的内容、进度及份数向发包人交付资料及文件。</w:t>
      </w:r>
    </w:p>
    <w:p w14:paraId="0780630C">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7.2.5设计人交付设计资料及文件后，按规定参加有关的设计审查，并根据审查结论负责对设计的内容做必要调整、补充及修改。设计人按合同约定时限交付设计资料及文件，并负责向发包人及施工单位进行设计交底、处理有关设计问题和参加竣工验收。</w:t>
      </w:r>
    </w:p>
    <w:p w14:paraId="6364819F">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7.2.6设计人应保护发包人的知识产权，不得向第三人泄露、转让发包人提交的产品图纸等技术经济资料。如发生以上情况并给发包人造成经济损失，发包人有权向设计人索赔。</w:t>
      </w:r>
    </w:p>
    <w:p w14:paraId="21CDAECB">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7.2.7对涉及安全或对投资影响重大的有关计算，在发包人提出特别要求时，设计人必须提供设计输入条件、基础数据、计算原理和方法以及计算成果，方便发包人在必要时使用其他计算程序进行验算。设计人有解释的义务，不得以专利和知识产权为借口拒绝配合。</w:t>
      </w:r>
    </w:p>
    <w:p w14:paraId="6AB76927">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7.2.8设计人应承担现场工作必要的费用，包括交通、伙食、差旅、办公费等。</w:t>
      </w:r>
    </w:p>
    <w:p w14:paraId="1949DAFB">
      <w:pPr>
        <w:widowControl/>
        <w:wordWrap w:val="0"/>
        <w:topLinePunct/>
        <w:adjustRightInd w:val="0"/>
        <w:snapToGrid w:val="0"/>
        <w:spacing w:line="480" w:lineRule="exact"/>
        <w:ind w:firstLine="480" w:firstLineChars="200"/>
        <w:rPr>
          <w:rFonts w:ascii="宋体" w:hAnsi="宋体" w:eastAsia="宋体" w:cs="Times New Roman"/>
          <w:strike/>
          <w:color w:val="auto"/>
          <w:sz w:val="24"/>
          <w:szCs w:val="24"/>
          <w:highlight w:val="none"/>
        </w:rPr>
      </w:pPr>
      <w:r>
        <w:rPr>
          <w:rFonts w:hint="eastAsia" w:ascii="宋体" w:hAnsi="宋体" w:eastAsia="宋体" w:cs="Times New Roman"/>
          <w:color w:val="auto"/>
          <w:sz w:val="24"/>
          <w:szCs w:val="24"/>
          <w:highlight w:val="none"/>
        </w:rPr>
        <w:t>7.2.9设计人须承担确保设计协调和设计服务工作质量所必需的各种设计方案评审会议及专家费用等。</w:t>
      </w:r>
    </w:p>
    <w:p w14:paraId="4162928B">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7.2.10在项目实施过程中，如非因设计人原因所引起的设计变更，需重新进行方案初步设计报审或施工图报建的，若设计变更后的方案初步设计经建设部门审批或施工图报建经规划部门批准的，则设计变更部分按设计单位投入的人员、材料成本给予补偿（但设计收费及成本补偿总额不得超过招标的规模标准，否则须按有关规定另行招标）；若设计变更后的初步设计或施工图报建未经建设或规划部门批准的，则设计变更部分不另行计取设计费，费用已包含在原设计费总额内。</w:t>
      </w:r>
    </w:p>
    <w:p w14:paraId="7D9CC3A5">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7.2.11若设计人编制的初步设计概算超出发包人审定的初步设计概算，设计人须保证根据评审专家和发包人的意见，进行方案修改，并承诺该修改不改变有关设计和规划的原则、内容与要求，不改变原方案设计的构思，不降低使用功能与设计质量标准，不增加设计费用，并承担一切的责任和损失。如果施工图预算超出经确认的初步设计概算，设计人必须保证在初步设计的基础上对施工图进行修改，项目立项投资调整而引起的设计概算修改除外。</w:t>
      </w:r>
    </w:p>
    <w:p w14:paraId="020A9964">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7.2.12如本项目包含外电等配套工程内容，且设计人根据相关规定分包给有资质的单位负责实施的，设计人与分包单位向发包人承担连带责任。</w:t>
      </w:r>
    </w:p>
    <w:p w14:paraId="6BAB3BF6">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7.3</w:t>
      </w:r>
      <w:r>
        <w:rPr>
          <w:rFonts w:hint="eastAsia" w:ascii="宋体" w:hAnsi="宋体" w:eastAsia="宋体" w:cs="Times New Roman"/>
          <w:color w:val="auto"/>
          <w:sz w:val="24"/>
          <w:szCs w:val="24"/>
          <w:highlight w:val="none"/>
        </w:rPr>
        <w:t>发包人权利</w:t>
      </w:r>
    </w:p>
    <w:p w14:paraId="232833C6">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7.3.1 享有设计人设计文件的版权、所有权和全部使用权。</w:t>
      </w:r>
    </w:p>
    <w:p w14:paraId="5856F098">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7.3.2 设计人在设计投资控制、设计进度控制、设计质量控制、设计组织及人员管理、设计配合、设计服务、设计分包管理等方面履行义务不符合合同规定时，发包人有追究违约责任、要求赔偿损失等权利；同时，发包人还有权将设计人存在的上述违约事实公诸于众和向有关部门反映情况。</w:t>
      </w:r>
    </w:p>
    <w:p w14:paraId="1A58E3DE">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7.3.3 发包人有权聘请设计咨询单位作为本合同约定项目的设计咨询和设计监理，设计人应接受该设计咨询单位按照相关设计咨询法规和发包人赋予的权利所进行的咨询和监理工作。此外，发包人还有权聘请国内具备相应资质的监理公司作为本合同的设计监理，设计人应接受专业监理公司提出的合理意见。</w:t>
      </w:r>
    </w:p>
    <w:p w14:paraId="5F2A7DA9">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7.3.4 设计变更的审批权、设计进度的监督权。</w:t>
      </w:r>
    </w:p>
    <w:p w14:paraId="7C239734">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7.3.5 其他依据合同和法律规定属于发包人的权利。</w:t>
      </w:r>
    </w:p>
    <w:p w14:paraId="7C6CABC9">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7.4</w:t>
      </w:r>
      <w:r>
        <w:rPr>
          <w:rFonts w:hint="eastAsia" w:ascii="宋体" w:hAnsi="宋体" w:eastAsia="宋体" w:cs="Times New Roman"/>
          <w:color w:val="auto"/>
          <w:sz w:val="24"/>
          <w:szCs w:val="24"/>
          <w:highlight w:val="none"/>
        </w:rPr>
        <w:t>设计人的权利</w:t>
      </w:r>
    </w:p>
    <w:p w14:paraId="70072EA2">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7.4.1按时收取设计费。</w:t>
      </w:r>
    </w:p>
    <w:p w14:paraId="5E94FD5A">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7.4.2 拥有设计成果的署名权。</w:t>
      </w:r>
    </w:p>
    <w:p w14:paraId="14C85352">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7.4.3 在设计方案、图纸未审批之前和不影响工期的情况下，有权提出修改方案、图纸的建议。</w:t>
      </w:r>
    </w:p>
    <w:p w14:paraId="64311A4C">
      <w:pPr>
        <w:widowControl/>
        <w:wordWrap w:val="0"/>
        <w:topLinePunct/>
        <w:adjustRightInd w:val="0"/>
        <w:snapToGrid w:val="0"/>
        <w:spacing w:line="480" w:lineRule="exact"/>
        <w:ind w:firstLine="308" w:firstLineChars="128"/>
        <w:outlineLvl w:val="4"/>
        <w:rPr>
          <w:rFonts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第八条 违约责任：</w:t>
      </w:r>
    </w:p>
    <w:p w14:paraId="4ACAC793">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8.1发包人应按本合同第六条约定的金额和时间向设计人支付设计费，每逾期支付一天，应承担该阶段应支付金额的千分之二的逾期违约金。逾期超过30天以上时，设计人有权暂停履行下阶段工作并书面通知发包人。</w:t>
      </w:r>
    </w:p>
    <w:p w14:paraId="605736CE">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8.2设计人未按约定时间提交设计成果的，每超过一日，应减收设计费的千分之三。</w:t>
      </w:r>
    </w:p>
    <w:p w14:paraId="0CDE65F7">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8.3设计人对设计资料及文件出现的遗漏或错误负责修改或补充。由于设计错误造成工程质量事故损失，设计人除负责采取补救措施，按设计收费的30%向发包人支付违约金外，还应按《中华人民共和国建筑法》、《建设工程质量管理条例》、《建设工程勘察设计管理条例》及有关法律法规规定承担相应法律责任。</w:t>
      </w:r>
    </w:p>
    <w:p w14:paraId="4AFA6223">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8.4合同生效后，设计人要求终止或解除合同，设计人应双倍返还定金。</w:t>
      </w:r>
    </w:p>
    <w:p w14:paraId="0293B568">
      <w:pPr>
        <w:widowControl/>
        <w:wordWrap w:val="0"/>
        <w:topLinePunct/>
        <w:adjustRightInd w:val="0"/>
        <w:snapToGrid w:val="0"/>
        <w:spacing w:line="480" w:lineRule="exact"/>
        <w:ind w:firstLine="480" w:firstLineChars="200"/>
        <w:rPr>
          <w:rFonts w:ascii="宋体" w:hAnsi="宋体" w:eastAsia="宋体" w:cs="Times New Roman"/>
          <w:color w:val="auto"/>
          <w:szCs w:val="24"/>
          <w:highlight w:val="none"/>
        </w:rPr>
      </w:pPr>
      <w:r>
        <w:rPr>
          <w:rFonts w:hint="eastAsia" w:ascii="宋体" w:hAnsi="宋体" w:eastAsia="宋体" w:cs="Times New Roman"/>
          <w:color w:val="auto"/>
          <w:sz w:val="24"/>
          <w:szCs w:val="24"/>
          <w:highlight w:val="none"/>
        </w:rPr>
        <w:t>8.5设计人擅自更换投标文件中拟派的设计人员及项目负责人的，按《广州开发区财政投资建设项目管理中心设计工作管理办法》相应条款承担违约责任。</w:t>
      </w:r>
    </w:p>
    <w:p w14:paraId="77A2FE57">
      <w:pPr>
        <w:widowControl/>
        <w:wordWrap w:val="0"/>
        <w:topLinePunct/>
        <w:adjustRightInd w:val="0"/>
        <w:snapToGrid w:val="0"/>
        <w:spacing w:line="480" w:lineRule="exact"/>
        <w:ind w:firstLine="472" w:firstLineChars="196"/>
        <w:outlineLvl w:val="4"/>
        <w:rPr>
          <w:rFonts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第九条 设计投资控制</w:t>
      </w:r>
    </w:p>
    <w:p w14:paraId="43044C37">
      <w:pPr>
        <w:widowControl/>
        <w:wordWrap w:val="0"/>
        <w:topLinePunct/>
        <w:adjustRightInd w:val="0"/>
        <w:snapToGrid w:val="0"/>
        <w:spacing w:line="480" w:lineRule="exact"/>
        <w:ind w:firstLine="472" w:firstLineChars="196"/>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9.1</w:t>
      </w:r>
      <w:r>
        <w:rPr>
          <w:rFonts w:hint="eastAsia" w:ascii="宋体" w:hAnsi="宋体" w:eastAsia="宋体" w:cs="Times New Roman"/>
          <w:color w:val="auto"/>
          <w:sz w:val="24"/>
          <w:szCs w:val="24"/>
          <w:highlight w:val="none"/>
        </w:rPr>
        <w:t>限额设计</w:t>
      </w:r>
    </w:p>
    <w:p w14:paraId="16ECA716">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9.1.1本工程设计投资限额为经批准的项目可行性研究报告投资额（按规定不需要编制项目可行性研究报告的项目，则为项目立项投资额）。发包人据此制定投资分解目标，实行限额设计。在保证设计质量的前提下，设计人应按投资限额进行设计，严格控制设计变更，确保工程概、预算不突破限额目标。</w:t>
      </w:r>
    </w:p>
    <w:p w14:paraId="0FD2A6F3">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9.1.2设计人遵循功能适用、标准合理、经济合理的原则开展设计，在投资限额目标的基础上结合项目设计内容进一步分解投资，明确投资控制主要指标，在编制设计概、预算时逐步细化落实。</w:t>
      </w:r>
    </w:p>
    <w:p w14:paraId="1F5B7559">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9.1.3设计人在限额设计范围内应充分运用性价比分析、多方案（不少于2个）技术经济比较等技术手段，对设计方案进行优化。在所有方案比较的过程中，必须进行相应深度的投资估算比较，确保方案的可比性，并提供相应的工程数量表、主要材料表、主要设备清单等，在确保工程质量的前提下，降低工程投资。</w:t>
      </w:r>
    </w:p>
    <w:p w14:paraId="12B18C3C">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9.1.4设计人有关设计的任何修改、变动或由于修改设计所引起的工艺、技术材料、设备的变更如引起投资限额的突破均须经过发包人审批同意。</w:t>
      </w:r>
    </w:p>
    <w:p w14:paraId="405D966A">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9.1.5设计人未经发包人同意突破工程投资限额设计、视为违约，应承担相应责任，并从总设计费中扣除超出限额部分的设计费的两倍作为处罚。</w:t>
      </w:r>
    </w:p>
    <w:p w14:paraId="61603852">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9.2</w:t>
      </w:r>
      <w:r>
        <w:rPr>
          <w:rFonts w:hint="eastAsia" w:ascii="宋体" w:hAnsi="宋体" w:eastAsia="宋体" w:cs="Times New Roman"/>
          <w:color w:val="auto"/>
          <w:sz w:val="24"/>
          <w:szCs w:val="24"/>
          <w:highlight w:val="none"/>
        </w:rPr>
        <w:t>设计优化和技术经济分析论证</w:t>
      </w:r>
    </w:p>
    <w:p w14:paraId="435D9D7F">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9.2.1设计方案必须进行技术经济分析。通过对设计方案、工艺、设备等进行全面的评价，在满足功能要求的前提下采用技术经济优化，可以有效控制工程投资的方案。</w:t>
      </w:r>
    </w:p>
    <w:p w14:paraId="796FE6B4">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9.2.2在保证方案的可实施和可操作性前提下，设计中凡能进行定量分析的设计内容，应通过计算，用数据说明其技术经济的合理性。同时向发包人提供技术经济分析资料，以力求设计成果能充分体现设计优化的原则。</w:t>
      </w:r>
    </w:p>
    <w:p w14:paraId="54F271DD">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9.2.3设计人必须对设计方案进行多方案比较和优化，比较方案应具有可比性。方案比较必须通过技术经济分析，完成单位或单项工程的估算编制，确保设计深度能够满足编制工程概算的需要。对于超投资限额的，应在保证设计质量的前提下自行修改，如确实需要增加的，必须报发包人审查，取得发包人书面同意后方可修正。</w:t>
      </w:r>
    </w:p>
    <w:p w14:paraId="74070978">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9.2.4为确保设计优化和投资控制，设计人必须对整体设计方案、主要基础形式、主体结构选型、截面方案、大宗建材（单项总投资额200万以上）使用、主要设备（单价投资额50万元以上或总投资额100万元以上）选型等对建成使用和建设投资有重大影响的因素进行经济技术多方案比选和性价比分析，并提交正式的书面报告报发包人确认。</w:t>
      </w:r>
    </w:p>
    <w:p w14:paraId="4D0326CC">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9.2.5设计人进行经济指标分析时，应提出所采用经济分析的单项指标、综合指标及相应的依据、理由，对主要设备、材料的选用，应经过充分的询价、分析、积累技术经济资料，推荐选用的设备、材料，应注明规格、型号、性能、技术指标等，并提出质量、功能方面的要求，确保投资概算的合理与稳定。对特殊情况需追加投资的，应遵循合理、经济、科学、有效的原则，严格控制。无确切、合理理由的，并未经发包人审批，不得随意突破限额。</w:t>
      </w:r>
    </w:p>
    <w:p w14:paraId="0CF430A9">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9.3</w:t>
      </w:r>
      <w:r>
        <w:rPr>
          <w:rFonts w:hint="eastAsia" w:ascii="宋体" w:hAnsi="宋体" w:eastAsia="宋体" w:cs="Times New Roman"/>
          <w:color w:val="auto"/>
          <w:sz w:val="24"/>
          <w:szCs w:val="24"/>
          <w:highlight w:val="none"/>
        </w:rPr>
        <w:t>概算</w:t>
      </w:r>
    </w:p>
    <w:p w14:paraId="0EFB80FD">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9.3.1设计人必须在方案设计审查、扩大初步设计审查和施工图审查时提交相应深度的投资估算、概算，对投资限额目标作进一步的细化，并按设计深度提供相应的主要材料工程数量表、设备清单、数量及询价资料，概算计算书、编制说明书。</w:t>
      </w:r>
    </w:p>
    <w:p w14:paraId="61902939">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9.3.2设计概算的计算指标分析应提供依据，计算数据应经有关部门或人员确认，确认后不得随意修改。没有定额的指标必须进行指标分析，针对本工程的特点合理确定，杜绝机械性地套用广州其它类似工程指标的做法。</w:t>
      </w:r>
    </w:p>
    <w:p w14:paraId="728A5C33">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9.3.3设计人应对概算的准确性负责，认真分析可能影响造价的各种因素（如自然条件、生产工艺和施工条件等），准确选用定额、费用和价格等各项编制依据，使概算能够完整地反映设计内容，合理地反映施工条件，准确地确定工程造价。</w:t>
      </w:r>
    </w:p>
    <w:p w14:paraId="41001154">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9.3.4设计概算应结合工程招投标的需要编制，单位、单项工程，分部、分项工程的划分原则必须统一，编码必须一致，便于投资分析和验工计价时的检索。编制单元及章节划分应符合投资控制的需要，方便发包人根据工程招标的标段灵活组合。</w:t>
      </w:r>
    </w:p>
    <w:p w14:paraId="3AA5A6A5">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9.3.6发包人有权聘请有资质的单位审查设计人造价文件的客观性、准确性。如果工程概算超出限定的工程造价，设计人必须对初步设计进行修改，并承诺修改不改变有关设计和规划的原则、内容与要求，不改变原方案设计的构思，不降低使用功能与设计质量标准。发包人对此修改不支付附加设计费用。</w:t>
      </w:r>
    </w:p>
    <w:p w14:paraId="7FF6EDB1">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9.4</w:t>
      </w:r>
      <w:r>
        <w:rPr>
          <w:rFonts w:hint="eastAsia" w:ascii="宋体" w:hAnsi="宋体" w:eastAsia="宋体" w:cs="Times New Roman"/>
          <w:color w:val="auto"/>
          <w:sz w:val="24"/>
          <w:szCs w:val="24"/>
          <w:highlight w:val="none"/>
        </w:rPr>
        <w:t>设计变更</w:t>
      </w:r>
    </w:p>
    <w:p w14:paraId="3F0992C4">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9.4.1工程建设过程中因各种原因所发生的设计变更，按广州开发区、黄埔区及发包人相关规定执行。设计人在办理设计变更手续时，应明确设计变更的原因、种类、责任认定等。</w:t>
      </w:r>
    </w:p>
    <w:p w14:paraId="6D503F98">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9.4.2设计人应承诺能够根据工程需要修改设计，对所承担项目设计的完整性负责，且修改设计完成时限应满足工程建设需要并符合本合同要求。</w:t>
      </w:r>
    </w:p>
    <w:p w14:paraId="3AA4949E">
      <w:pPr>
        <w:widowControl/>
        <w:wordWrap w:val="0"/>
        <w:topLinePunct/>
        <w:adjustRightInd w:val="0"/>
        <w:snapToGrid w:val="0"/>
        <w:spacing w:line="480" w:lineRule="exact"/>
        <w:ind w:firstLine="308" w:firstLineChars="128"/>
        <w:outlineLvl w:val="4"/>
        <w:rPr>
          <w:rFonts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第十条 设计质量的组织保证与人员管理制度</w:t>
      </w:r>
    </w:p>
    <w:p w14:paraId="56E6488A">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10.1</w:t>
      </w:r>
      <w:r>
        <w:rPr>
          <w:rFonts w:hint="eastAsia" w:ascii="宋体" w:hAnsi="宋体" w:eastAsia="宋体" w:cs="Times New Roman"/>
          <w:color w:val="auto"/>
          <w:sz w:val="24"/>
          <w:szCs w:val="24"/>
          <w:highlight w:val="none"/>
        </w:rPr>
        <w:t>设计人应根据设计任务建立项目组，从组织上保证投入的人力、物力能满足设计开展的需要，保证不同设计时段、阶段设计工作的连续性和外部接口衔接的连贯性。</w:t>
      </w:r>
    </w:p>
    <w:p w14:paraId="5B79B97D">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10.2</w:t>
      </w:r>
      <w:r>
        <w:rPr>
          <w:rFonts w:hint="eastAsia" w:ascii="宋体" w:hAnsi="宋体" w:eastAsia="宋体" w:cs="Times New Roman"/>
          <w:color w:val="auto"/>
          <w:sz w:val="24"/>
          <w:szCs w:val="24"/>
          <w:highlight w:val="none"/>
        </w:rPr>
        <w:t>在设计高峰或发包人认为有必要时，设计人必须集中设计人员确保设计进度，凡因人员不到位而影响设计工作的，发包人有权根据实际情况扣减设计费直至解除合同等。</w:t>
      </w:r>
    </w:p>
    <w:p w14:paraId="67CDC4B4">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10.3</w:t>
      </w:r>
      <w:r>
        <w:rPr>
          <w:rFonts w:hint="eastAsia" w:ascii="宋体" w:hAnsi="宋体" w:eastAsia="宋体" w:cs="Times New Roman"/>
          <w:color w:val="auto"/>
          <w:sz w:val="24"/>
          <w:szCs w:val="24"/>
          <w:highlight w:val="none"/>
        </w:rPr>
        <w:t>本合同有效期内，设计人员明确分工各负责的基础上，设计人承诺为本项目指定的设计总负责人为</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以上职务，高级职称，其设计经历</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年以上，且担任过</w:t>
      </w:r>
      <w:r>
        <w:rPr>
          <w:rFonts w:hint="eastAsia" w:ascii="宋体" w:hAnsi="宋体" w:eastAsia="宋体" w:cs="Times New Roman"/>
          <w:color w:val="auto"/>
          <w:sz w:val="24"/>
          <w:szCs w:val="24"/>
          <w:highlight w:val="none"/>
          <w:u w:val="single"/>
        </w:rPr>
        <w:t xml:space="preserve">    专业（含相近专业）</w:t>
      </w:r>
      <w:r>
        <w:rPr>
          <w:rFonts w:hint="eastAsia" w:ascii="宋体" w:hAnsi="宋体" w:eastAsia="宋体" w:cs="Times New Roman"/>
          <w:color w:val="auto"/>
          <w:sz w:val="24"/>
          <w:szCs w:val="24"/>
          <w:highlight w:val="none"/>
        </w:rPr>
        <w:t>工程的设计总负责人。</w:t>
      </w:r>
    </w:p>
    <w:p w14:paraId="5C00147E">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10.4</w:t>
      </w:r>
      <w:r>
        <w:rPr>
          <w:rFonts w:hint="eastAsia" w:ascii="宋体" w:hAnsi="宋体" w:eastAsia="宋体" w:cs="Times New Roman"/>
          <w:color w:val="auto"/>
          <w:sz w:val="24"/>
          <w:szCs w:val="24"/>
          <w:highlight w:val="none"/>
        </w:rPr>
        <w:t>设计人承诺为本项目指定的各专业设计负责人为</w:t>
      </w:r>
      <w:r>
        <w:rPr>
          <w:rFonts w:hint="eastAsia" w:ascii="宋体" w:hAnsi="宋体" w:eastAsia="宋体" w:cs="Times New Roman"/>
          <w:color w:val="auto"/>
          <w:sz w:val="24"/>
          <w:szCs w:val="24"/>
          <w:highlight w:val="none"/>
          <w:u w:val="single"/>
        </w:rPr>
        <w:t xml:space="preserve">   及</w:t>
      </w:r>
      <w:r>
        <w:rPr>
          <w:rFonts w:hint="eastAsia" w:ascii="宋体" w:hAnsi="宋体" w:eastAsia="宋体" w:cs="Times New Roman"/>
          <w:color w:val="auto"/>
          <w:sz w:val="24"/>
          <w:szCs w:val="24"/>
          <w:highlight w:val="none"/>
        </w:rPr>
        <w:t>以上职称，设计经历在</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年以上，每个专业至少配备</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名高级工程师。</w:t>
      </w:r>
    </w:p>
    <w:p w14:paraId="0A1EFD38">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10.5</w:t>
      </w:r>
      <w:r>
        <w:rPr>
          <w:rFonts w:hint="eastAsia" w:ascii="宋体" w:hAnsi="宋体" w:eastAsia="宋体" w:cs="Times New Roman"/>
          <w:color w:val="auto"/>
          <w:sz w:val="24"/>
          <w:szCs w:val="24"/>
          <w:highlight w:val="none"/>
        </w:rPr>
        <w:t>设计人承诺为本项目指定的驻场设计代表总负责人为本项目设计负责人之一，</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职称，其设计经历在</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年以上，担任过</w:t>
      </w:r>
      <w:r>
        <w:rPr>
          <w:rFonts w:hint="eastAsia" w:ascii="宋体" w:hAnsi="宋体" w:eastAsia="宋体" w:cs="Times New Roman"/>
          <w:color w:val="auto"/>
          <w:sz w:val="24"/>
          <w:szCs w:val="24"/>
          <w:highlight w:val="none"/>
          <w:u w:val="single"/>
        </w:rPr>
        <w:t xml:space="preserve">   专业（含相近专业）</w:t>
      </w:r>
      <w:r>
        <w:rPr>
          <w:rFonts w:hint="eastAsia" w:ascii="宋体" w:hAnsi="宋体" w:eastAsia="宋体" w:cs="Times New Roman"/>
          <w:color w:val="auto"/>
          <w:sz w:val="24"/>
          <w:szCs w:val="24"/>
          <w:highlight w:val="none"/>
        </w:rPr>
        <w:t>工程的设计总负责人。设计人保证驻场设计代表总负责人能够全权代表设计人，并向发包人出具相应的授权文件。</w:t>
      </w:r>
    </w:p>
    <w:p w14:paraId="61E4FFD8">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10.6</w:t>
      </w:r>
      <w:r>
        <w:rPr>
          <w:rFonts w:hint="eastAsia" w:ascii="宋体" w:hAnsi="宋体" w:eastAsia="宋体" w:cs="Times New Roman"/>
          <w:color w:val="auto"/>
          <w:sz w:val="24"/>
          <w:szCs w:val="24"/>
          <w:highlight w:val="none"/>
        </w:rPr>
        <w:t>设计人承诺项目主要专业</w:t>
      </w:r>
      <w:r>
        <w:rPr>
          <w:rFonts w:hint="eastAsia" w:ascii="宋体" w:hAnsi="宋体" w:eastAsia="宋体" w:cs="Times New Roman"/>
          <w:color w:val="auto"/>
          <w:sz w:val="24"/>
          <w:szCs w:val="24"/>
          <w:highlight w:val="none"/>
          <w:u w:val="single"/>
        </w:rPr>
        <w:t xml:space="preserve">   专业</w:t>
      </w:r>
      <w:r>
        <w:rPr>
          <w:rFonts w:hint="eastAsia" w:ascii="宋体" w:hAnsi="宋体" w:eastAsia="宋体" w:cs="Times New Roman"/>
          <w:color w:val="auto"/>
          <w:sz w:val="24"/>
          <w:szCs w:val="24"/>
          <w:highlight w:val="none"/>
        </w:rPr>
        <w:t>的设计负责人作为设计代表常驻现场，服务于项目建设的始终。</w:t>
      </w:r>
    </w:p>
    <w:p w14:paraId="2937EBA5">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10.7</w:t>
      </w:r>
      <w:r>
        <w:rPr>
          <w:rFonts w:hint="eastAsia" w:ascii="宋体" w:hAnsi="宋体" w:eastAsia="宋体" w:cs="Times New Roman"/>
          <w:color w:val="auto"/>
          <w:sz w:val="24"/>
          <w:szCs w:val="24"/>
          <w:highlight w:val="none"/>
        </w:rPr>
        <w:t>设计人承诺应发包人要求，委派承担本项目设计的其它专业的设计负责人作为设计代表驻现场，提供专业齐全的配套服务。</w:t>
      </w:r>
    </w:p>
    <w:p w14:paraId="6157DB2D">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10.8</w:t>
      </w:r>
      <w:r>
        <w:rPr>
          <w:rFonts w:hint="eastAsia" w:ascii="宋体" w:hAnsi="宋体" w:eastAsia="宋体" w:cs="Times New Roman"/>
          <w:color w:val="auto"/>
          <w:sz w:val="24"/>
          <w:szCs w:val="24"/>
          <w:highlight w:val="none"/>
        </w:rPr>
        <w:t>设计人承诺随项目的推进，除10.3、10.4、10.5条所指定人员外另委派各专业设计代表常驻现场，每专业至少1人。</w:t>
      </w:r>
    </w:p>
    <w:p w14:paraId="02803D12">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10.9</w:t>
      </w:r>
      <w:r>
        <w:rPr>
          <w:rFonts w:hint="eastAsia" w:ascii="宋体" w:hAnsi="宋体" w:eastAsia="宋体" w:cs="Times New Roman"/>
          <w:color w:val="auto"/>
          <w:sz w:val="24"/>
          <w:szCs w:val="24"/>
          <w:highlight w:val="none"/>
        </w:rPr>
        <w:t>项目设计总负责人，各专业设计负责人，驻场设计代表总负责人，驻场设计代表的经验、能力和健康状况应能够胜任所承担任务的设计、组织、计划、协调工作。</w:t>
      </w:r>
    </w:p>
    <w:p w14:paraId="0CB3885A">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10.10</w:t>
      </w:r>
      <w:r>
        <w:rPr>
          <w:rFonts w:hint="eastAsia" w:ascii="宋体" w:hAnsi="宋体" w:eastAsia="宋体" w:cs="Times New Roman"/>
          <w:color w:val="auto"/>
          <w:sz w:val="24"/>
          <w:szCs w:val="24"/>
          <w:highlight w:val="none"/>
        </w:rPr>
        <w:t>设计人须报送项目设计总负责人，各专业设计负责人、其它参与设计工作的人员姓名、年龄、学历、专业、职称、职务、相关经历和主要技术成果以及在本项目中负责的设计任务等资料。</w:t>
      </w:r>
    </w:p>
    <w:p w14:paraId="5E8289A3">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10.11</w:t>
      </w:r>
      <w:r>
        <w:rPr>
          <w:rFonts w:hint="eastAsia" w:ascii="宋体" w:hAnsi="宋体" w:eastAsia="宋体" w:cs="Times New Roman"/>
          <w:color w:val="auto"/>
          <w:sz w:val="24"/>
          <w:szCs w:val="24"/>
          <w:highlight w:val="none"/>
        </w:rPr>
        <w:t>设计人须报送驻场设计代表负责人，驻场设计代表人员的姓名、年龄、学历、专业、职称、职务、相关经历和主要技术成果以及驻场授权工作范围、驻场时间安排等资料。</w:t>
      </w:r>
    </w:p>
    <w:p w14:paraId="50E711BD">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10.12</w:t>
      </w:r>
      <w:r>
        <w:rPr>
          <w:rFonts w:hint="eastAsia" w:ascii="宋体" w:hAnsi="宋体" w:eastAsia="宋体" w:cs="Times New Roman"/>
          <w:color w:val="auto"/>
          <w:sz w:val="24"/>
          <w:szCs w:val="24"/>
          <w:highlight w:val="none"/>
        </w:rPr>
        <w:t>设计人必须保证参与本项目设计人员的稳定性，设计人如需更换项目设计总负责人、各专业设计负责人、驻场设计代表总负责人和驻场设计代表，应提前7天以书面形式通知发包人并征得发包人同意后方可撤换。同时发包人认为项目设计总负责人、各专业设计负责人、驻场设计代表总负责人和驻场设计代表不称职时，设计人应当在收到发包人的书面通知后5天内更换，更换人员的资历不得低于本合同相应条款对各类设计人员资历规定的要求，且更换人员须先经过发包人确认。若设计人对发包人要求更换人员有异议时，可进行申诉，若申诉后发包人仍然要求更换，则设计人应无条件进行更换，否则视设计人该人员从发包人发出更换通知的时间开始擅自离岗。</w:t>
      </w:r>
    </w:p>
    <w:p w14:paraId="4BA060EB">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10.13</w:t>
      </w:r>
      <w:r>
        <w:rPr>
          <w:rFonts w:hint="eastAsia" w:ascii="宋体" w:hAnsi="宋体" w:eastAsia="宋体" w:cs="Times New Roman"/>
          <w:color w:val="auto"/>
          <w:sz w:val="24"/>
          <w:szCs w:val="24"/>
          <w:highlight w:val="none"/>
        </w:rPr>
        <w:t>设计人必须加强设计人员职业操守的教育，本项目设计人员需共同遵守设计人员职业道德守则，并严格遵守以下规定：</w:t>
      </w:r>
    </w:p>
    <w:p w14:paraId="62B2E85E">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10.13.1严防重产值、轻质量倾向，确保公众人身及财产安全。</w:t>
      </w:r>
    </w:p>
    <w:p w14:paraId="0489458E">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10.13.2禁止向发包人及施工单位推销材料、设备，或以倾向性、排他性设计变相推销。</w:t>
      </w:r>
    </w:p>
    <w:p w14:paraId="213DFF2D">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10.13.3禁止与材料、设备供应商串通，设计中选用价高质次的材料、设备。</w:t>
      </w:r>
    </w:p>
    <w:p w14:paraId="627329BA">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10.13.4禁止与材料、设备供应商串通，在材料、设备的监造或调试过程中对不合格材料、设备产品进行包庇或以次充好，提高产品验收级别。</w:t>
      </w:r>
    </w:p>
    <w:p w14:paraId="7714B03D">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10.13.5禁止与施工单位串通，对不合格材料、设备、产品、工程进行包庇及验收。</w:t>
      </w:r>
    </w:p>
    <w:p w14:paraId="6FBA1509">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10.13.6禁止与施工单位串通，对材料用量、工程量进行虚假签认。</w:t>
      </w:r>
    </w:p>
    <w:p w14:paraId="50C5E44B">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10.13.7禁止与施工单位串通，不合理提高施工难度及增加材料用量，以增大施工费用，获取不正当收益。</w:t>
      </w:r>
    </w:p>
    <w:p w14:paraId="52D3EBFC">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10.14凡违背以上规定者，一经查实，发包人有权向有关部门反映情况，追究设计人及有关责任人相关责任，要求赔偿相关损失，并将上述违反职业道德的行为通过新闻媒体公诸于众，情节严重者移交司法机关追究法律责任。</w:t>
      </w:r>
    </w:p>
    <w:p w14:paraId="2710FB1D">
      <w:pPr>
        <w:widowControl/>
        <w:wordWrap w:val="0"/>
        <w:topLinePunct/>
        <w:adjustRightInd w:val="0"/>
        <w:snapToGrid w:val="0"/>
        <w:spacing w:line="480" w:lineRule="exact"/>
        <w:ind w:firstLine="545" w:firstLineChars="226"/>
        <w:outlineLvl w:val="4"/>
        <w:rPr>
          <w:rFonts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第十一条 设计质量控制</w:t>
      </w:r>
    </w:p>
    <w:p w14:paraId="517E55D6">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11.1</w:t>
      </w:r>
      <w:r>
        <w:rPr>
          <w:rFonts w:hint="eastAsia" w:ascii="宋体" w:hAnsi="宋体" w:eastAsia="宋体" w:cs="Times New Roman"/>
          <w:color w:val="auto"/>
          <w:sz w:val="24"/>
          <w:szCs w:val="24"/>
          <w:highlight w:val="none"/>
        </w:rPr>
        <w:t>发包人要求设计人在设计过程中考虑工程实施时的可操作性，对方案的实施工序提出相应的技术要求，特别是关键工序，应明确提出工艺要求、质量控制要求。超越目前国内施工单位平均技术水平的设计方案、施工方法，设计人应提出合理理由和可行的实施方案，报发包人同意后方可采用，否则，发包人有权要求设计人修改设计。</w:t>
      </w:r>
    </w:p>
    <w:p w14:paraId="76AFC576">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11.2</w:t>
      </w:r>
      <w:r>
        <w:rPr>
          <w:rFonts w:hint="eastAsia" w:ascii="宋体" w:hAnsi="宋体" w:eastAsia="宋体" w:cs="Times New Roman"/>
          <w:color w:val="auto"/>
          <w:sz w:val="24"/>
          <w:szCs w:val="24"/>
          <w:highlight w:val="none"/>
        </w:rPr>
        <w:t>设备国产化应当做到选型设计而不是科研开发设计，原则上要求所采用的设备和系统技术是成熟的，对于新技术、新成果的运用设计人必须有把握，并有相应的工程实践和实际应用经验供参考。</w:t>
      </w:r>
    </w:p>
    <w:p w14:paraId="50372E16">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11.3</w:t>
      </w:r>
      <w:r>
        <w:rPr>
          <w:rFonts w:hint="eastAsia" w:ascii="宋体" w:hAnsi="宋体" w:eastAsia="宋体" w:cs="Times New Roman"/>
          <w:color w:val="auto"/>
          <w:sz w:val="24"/>
          <w:szCs w:val="24"/>
          <w:highlight w:val="none"/>
        </w:rPr>
        <w:t>设计人应加强设计标准化工作，组织采用统一的模数、参数和标准构配件，推广标准设计的运用，针对本工程的特点提出标准化设计建议，如标准平面、标准断面、标准设备选用等，将设计人积累的经验加以总结，提高设计水平和工作效率。</w:t>
      </w:r>
    </w:p>
    <w:p w14:paraId="6FEFE352">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11.4</w:t>
      </w:r>
      <w:r>
        <w:rPr>
          <w:rFonts w:hint="eastAsia" w:ascii="宋体" w:hAnsi="宋体" w:eastAsia="宋体" w:cs="Times New Roman"/>
          <w:color w:val="auto"/>
          <w:sz w:val="24"/>
          <w:szCs w:val="24"/>
          <w:highlight w:val="none"/>
        </w:rPr>
        <w:t>如果设计人交付的文件或图纸不符合本合同及附件的约定和要求，发包人有权拒收，设计人应在收到发包人通知后5天内免费将所有符合规定的设计文件交付给发包人，且文件交付时间仍应符合本合同要求，否则承担相关违约责任。</w:t>
      </w:r>
    </w:p>
    <w:p w14:paraId="60F0BF1E">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11.5</w:t>
      </w:r>
      <w:r>
        <w:rPr>
          <w:rFonts w:hint="eastAsia" w:ascii="宋体" w:hAnsi="宋体" w:eastAsia="宋体" w:cs="Times New Roman"/>
          <w:color w:val="auto"/>
          <w:sz w:val="24"/>
          <w:szCs w:val="24"/>
          <w:highlight w:val="none"/>
        </w:rPr>
        <w:t>发包人重视处理好投资、设计费和设计质量之间的关系，充分重视发挥设计人员积极性在保证项目质量、投资控制方面的作用，使设计费与设计工作量匹配，尽量避免各系统、工点项目在设计取费上的不均衡。</w:t>
      </w:r>
    </w:p>
    <w:p w14:paraId="0EE0C555">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11.6</w:t>
      </w:r>
      <w:r>
        <w:rPr>
          <w:rFonts w:hint="eastAsia" w:ascii="宋体" w:hAnsi="宋体" w:eastAsia="宋体" w:cs="Times New Roman"/>
          <w:color w:val="auto"/>
          <w:sz w:val="24"/>
          <w:szCs w:val="24"/>
          <w:highlight w:val="none"/>
        </w:rPr>
        <w:t>对设计创优完成情况发包人满意的，取得一定实际绩效，并表现突出的，发包人给予设计方通报表扬。</w:t>
      </w:r>
    </w:p>
    <w:p w14:paraId="5FFF02C7">
      <w:pPr>
        <w:widowControl/>
        <w:wordWrap w:val="0"/>
        <w:topLinePunct/>
        <w:adjustRightInd w:val="0"/>
        <w:snapToGrid w:val="0"/>
        <w:spacing w:line="480" w:lineRule="exact"/>
        <w:ind w:firstLine="463" w:firstLineChars="192"/>
        <w:outlineLvl w:val="4"/>
        <w:rPr>
          <w:rFonts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第十二条 建筑材料和设备的选用</w:t>
      </w:r>
    </w:p>
    <w:p w14:paraId="551A6F46">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12.1</w:t>
      </w:r>
      <w:r>
        <w:rPr>
          <w:rFonts w:hint="eastAsia" w:ascii="宋体" w:hAnsi="宋体" w:eastAsia="宋体" w:cs="Times New Roman"/>
          <w:color w:val="auto"/>
          <w:sz w:val="24"/>
          <w:szCs w:val="24"/>
          <w:highlight w:val="none"/>
        </w:rPr>
        <w:t>设计所选用的建筑材料及设备（包括各专业选用的材料、设备），在进行性能价格比的分析后，原则上优先选用国内的产品。但对一些关系到建筑物的形象、功能档次的建筑材料、设备，国内没有的或国内材料、设备性能（功能）不能达到设计要求或价格高时，应选用进口材料、设备。设计中选用的材料、设备均须按中国、广东省、广州市有关法律和行政法规、规章的要求，提供明确的技术资料（包括性能指标、规格、型号等方面的资料）。</w:t>
      </w:r>
    </w:p>
    <w:p w14:paraId="722BA83E">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12.2</w:t>
      </w:r>
      <w:r>
        <w:rPr>
          <w:rFonts w:hint="eastAsia" w:ascii="宋体" w:hAnsi="宋体" w:eastAsia="宋体" w:cs="Times New Roman"/>
          <w:color w:val="auto"/>
          <w:sz w:val="24"/>
          <w:szCs w:val="24"/>
          <w:highlight w:val="none"/>
        </w:rPr>
        <w:t>对于由发包人推荐的候选建筑材料和设备，设计人须帮助发包人鉴别其优劣并提供相关咨询意见，发包人不需为此额外支付任何费用。</w:t>
      </w:r>
    </w:p>
    <w:p w14:paraId="0FE24E3C">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 xml:space="preserve">12.3 </w:t>
      </w:r>
      <w:r>
        <w:rPr>
          <w:rFonts w:hint="eastAsia" w:ascii="宋体" w:hAnsi="宋体" w:eastAsia="宋体" w:cs="Times New Roman"/>
          <w:color w:val="auto"/>
          <w:sz w:val="24"/>
          <w:szCs w:val="24"/>
          <w:highlight w:val="none"/>
        </w:rPr>
        <w:t>从国外进口的建筑材料、设备等，设计人原则上须向发包人推荐三家以上可供货的国外厂商名称、产品质量标准、价格资料等，并提出评估意见（必要时还须提供推荐的供应厂商以往业绩）。推荐材料不能含有任何倾向性和排他性，设计人不得推荐或选用具有唯一知识产权特征的独家产品，如确有必要，设计人应提前取得发包人或设计咨询方的认可。</w:t>
      </w:r>
    </w:p>
    <w:p w14:paraId="77E00313">
      <w:pPr>
        <w:widowControl/>
        <w:wordWrap w:val="0"/>
        <w:topLinePunct/>
        <w:adjustRightInd w:val="0"/>
        <w:snapToGrid w:val="0"/>
        <w:spacing w:line="480" w:lineRule="exact"/>
        <w:ind w:firstLine="472" w:firstLineChars="196"/>
        <w:outlineLvl w:val="4"/>
        <w:rPr>
          <w:rFonts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第十三条 进度计划</w:t>
      </w:r>
    </w:p>
    <w:p w14:paraId="67E2E157">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13.1</w:t>
      </w:r>
      <w:r>
        <w:rPr>
          <w:rFonts w:hint="eastAsia" w:ascii="宋体" w:hAnsi="宋体" w:eastAsia="宋体" w:cs="Times New Roman"/>
          <w:color w:val="auto"/>
          <w:sz w:val="24"/>
          <w:szCs w:val="24"/>
          <w:highlight w:val="none"/>
        </w:rPr>
        <w:t>设计人必须在合同约定的时间和期限内按发包人要求分初步设计和施工图二阶段开始和完成设计，但根据合同约定的延期除外。</w:t>
      </w:r>
    </w:p>
    <w:p w14:paraId="05EBC71D">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13.2</w:t>
      </w:r>
      <w:r>
        <w:rPr>
          <w:rFonts w:hint="eastAsia" w:ascii="宋体" w:hAnsi="宋体" w:eastAsia="宋体" w:cs="Times New Roman"/>
          <w:color w:val="auto"/>
          <w:sz w:val="24"/>
          <w:szCs w:val="24"/>
          <w:highlight w:val="none"/>
        </w:rPr>
        <w:t>设计人根据合同约定及工期总体策划的要求编制各阶段设计进度计划和各专业的出图计划，各阶段中间检查内容、时间、次数和提交的设计文件、图纸，经设计咨询单位审核和发包人审查、平衡后执行。设计人根据设计进展编制短期设计计划，以使设计进度在受控状态下进行，同时便于发包人及时与设计人协调。</w:t>
      </w:r>
    </w:p>
    <w:p w14:paraId="4142445B">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13.3</w:t>
      </w:r>
      <w:r>
        <w:rPr>
          <w:rFonts w:hint="eastAsia" w:ascii="宋体" w:hAnsi="宋体" w:eastAsia="宋体" w:cs="Times New Roman"/>
          <w:color w:val="auto"/>
          <w:sz w:val="24"/>
          <w:szCs w:val="24"/>
          <w:highlight w:val="none"/>
        </w:rPr>
        <w:t>设计进度计划应体现事前、事中、事后进度控制，应有工作流程、进度控制措施、组织措施、及时措施等内容，必须考虑工程招标、设备采购、材料准备等因素，提供满足上述工作所需要的有关设计文件。</w:t>
      </w:r>
    </w:p>
    <w:p w14:paraId="26451FF7">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13.4</w:t>
      </w:r>
      <w:r>
        <w:rPr>
          <w:rFonts w:hint="eastAsia" w:ascii="宋体" w:hAnsi="宋体" w:eastAsia="宋体" w:cs="Times New Roman"/>
          <w:color w:val="auto"/>
          <w:sz w:val="24"/>
          <w:szCs w:val="24"/>
          <w:highlight w:val="none"/>
        </w:rPr>
        <w:t>设计人编制的设计进度除合同附件要求的内容外，应确定项目总进度目标与详细的分进度目标。严格按照合同规定时间提交相应的设计成果。</w:t>
      </w:r>
    </w:p>
    <w:p w14:paraId="44E81674">
      <w:pPr>
        <w:widowControl/>
        <w:wordWrap w:val="0"/>
        <w:topLinePunct/>
        <w:adjustRightInd w:val="0"/>
        <w:snapToGrid w:val="0"/>
        <w:spacing w:line="480" w:lineRule="exact"/>
        <w:ind w:firstLine="308" w:firstLineChars="128"/>
        <w:outlineLvl w:val="4"/>
        <w:rPr>
          <w:rFonts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第十四条 进度控制的要求和办法</w:t>
      </w:r>
    </w:p>
    <w:p w14:paraId="16B2442C">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14.1</w:t>
      </w:r>
      <w:r>
        <w:rPr>
          <w:rFonts w:hint="eastAsia" w:ascii="宋体" w:hAnsi="宋体" w:eastAsia="宋体" w:cs="Times New Roman"/>
          <w:color w:val="auto"/>
          <w:sz w:val="24"/>
          <w:szCs w:val="24"/>
          <w:highlight w:val="none"/>
        </w:rPr>
        <w:t>发包人按进度计划检查设计完成情况，检查内容包括设计进展、设计质量、限额设计落实情况、设计成果提交情况等，发现问题，有权督促设计人采取组织、经济及技术措施予以纠正。</w:t>
      </w:r>
    </w:p>
    <w:p w14:paraId="4FEE1244">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14.2</w:t>
      </w:r>
      <w:r>
        <w:rPr>
          <w:rFonts w:hint="eastAsia" w:ascii="宋体" w:hAnsi="宋体" w:eastAsia="宋体" w:cs="Times New Roman"/>
          <w:color w:val="auto"/>
          <w:sz w:val="24"/>
          <w:szCs w:val="24"/>
          <w:highlight w:val="none"/>
        </w:rPr>
        <w:t>设计人严格按照进度计划开展和组织设计工作，接受发包人根据合同和进度计划进行的各种设计跟踪、工作检查和协调要求。</w:t>
      </w:r>
    </w:p>
    <w:p w14:paraId="7B3FA313">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14.3</w:t>
      </w:r>
      <w:r>
        <w:rPr>
          <w:rFonts w:hint="eastAsia" w:ascii="宋体" w:hAnsi="宋体" w:eastAsia="宋体" w:cs="Times New Roman"/>
          <w:color w:val="auto"/>
          <w:sz w:val="24"/>
          <w:szCs w:val="24"/>
          <w:highlight w:val="none"/>
        </w:rPr>
        <w:t>设计人根据设计开展情况编制月工作汇报和下月进度计划，提供有关设计信息，协调发包人掌握设计工作的整体进展情况。设计人每周按要求向发包人报告进展情况。发包人有权要求修改、调整进度计划并要求设计人执行。</w:t>
      </w:r>
    </w:p>
    <w:p w14:paraId="53601114">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14.4</w:t>
      </w:r>
      <w:r>
        <w:rPr>
          <w:rFonts w:hint="eastAsia" w:ascii="宋体" w:hAnsi="宋体" w:eastAsia="宋体" w:cs="Times New Roman"/>
          <w:color w:val="auto"/>
          <w:sz w:val="24"/>
          <w:szCs w:val="24"/>
          <w:highlight w:val="none"/>
        </w:rPr>
        <w:t>对于设计人书面反映的重大技术问题和重大原则问题，发包人应在10日内予以确认或反馈意见，需要发包人协调的，由发包人组织协调。</w:t>
      </w:r>
    </w:p>
    <w:p w14:paraId="277C0BCD">
      <w:pPr>
        <w:widowControl/>
        <w:wordWrap w:val="0"/>
        <w:topLinePunct/>
        <w:adjustRightInd w:val="0"/>
        <w:snapToGrid w:val="0"/>
        <w:spacing w:line="480" w:lineRule="exact"/>
        <w:ind w:firstLine="308" w:firstLineChars="128"/>
        <w:outlineLvl w:val="4"/>
        <w:rPr>
          <w:rFonts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第十五条 关键点控制</w:t>
      </w:r>
    </w:p>
    <w:p w14:paraId="5CDD81A6">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15.1</w:t>
      </w:r>
      <w:r>
        <w:rPr>
          <w:rFonts w:hint="eastAsia" w:ascii="宋体" w:hAnsi="宋体" w:eastAsia="宋体" w:cs="Times New Roman"/>
          <w:color w:val="auto"/>
          <w:sz w:val="24"/>
          <w:szCs w:val="24"/>
          <w:highlight w:val="none"/>
        </w:rPr>
        <w:t>发包人对关键点的设计工作重点检查，根据设计进展的实际情况提出相应的意见、要求，发现偏离，及时要求设计人调整人员、调整计划和调整工作部署。</w:t>
      </w:r>
    </w:p>
    <w:p w14:paraId="38C3B6C4">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15.2</w:t>
      </w:r>
      <w:r>
        <w:rPr>
          <w:rFonts w:hint="eastAsia" w:ascii="宋体" w:hAnsi="宋体" w:eastAsia="宋体" w:cs="Times New Roman"/>
          <w:color w:val="auto"/>
          <w:sz w:val="24"/>
          <w:szCs w:val="24"/>
          <w:highlight w:val="none"/>
        </w:rPr>
        <w:t>发包人对关键点的关注而提出的要求、措施或决策，不因此承担设计人应负的责任，如由此而影响设计工作的正常进行，设计人应提出解决问题的方法，属发包人决策不合理的，设计人有责任告知发包人，发生合同外费用的，需事前提交发包人确认。</w:t>
      </w:r>
    </w:p>
    <w:p w14:paraId="4747418A">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15.3</w:t>
      </w:r>
      <w:r>
        <w:rPr>
          <w:rFonts w:hint="eastAsia" w:ascii="宋体" w:hAnsi="宋体" w:eastAsia="宋体" w:cs="Times New Roman"/>
          <w:color w:val="auto"/>
          <w:sz w:val="24"/>
          <w:szCs w:val="24"/>
          <w:highlight w:val="none"/>
        </w:rPr>
        <w:t>设计人应当根据设计行为指定设计工作整体的季度网络图，确定其中的关键点，加强过程控制确保关键点设计按进度计划完成，使整个设计工作处于受控的状态。</w:t>
      </w:r>
    </w:p>
    <w:p w14:paraId="13AA17CA">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15.4</w:t>
      </w:r>
      <w:r>
        <w:rPr>
          <w:rFonts w:hint="eastAsia" w:ascii="宋体" w:hAnsi="宋体" w:eastAsia="宋体" w:cs="Times New Roman"/>
          <w:color w:val="auto"/>
          <w:sz w:val="24"/>
          <w:szCs w:val="24"/>
          <w:highlight w:val="none"/>
        </w:rPr>
        <w:t>设计人应根据发包人要求的进度指定工作计划、组织保证措施，确保投入的人力、物力能满足设计工作的需要，确保关键点的设计工作按时完成。</w:t>
      </w:r>
    </w:p>
    <w:p w14:paraId="7F5F4CE3">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15.5</w:t>
      </w:r>
      <w:r>
        <w:rPr>
          <w:rFonts w:hint="eastAsia" w:ascii="宋体" w:hAnsi="宋体" w:eastAsia="宋体" w:cs="Times New Roman"/>
          <w:color w:val="auto"/>
          <w:sz w:val="24"/>
          <w:szCs w:val="24"/>
          <w:highlight w:val="none"/>
        </w:rPr>
        <w:t>无论何种原因影响关键点设计进度的，发包人关于消除影响、保证进度的措施、指令，设计人必须采取相应的组织措施、技术措施予以执行，并接受发包人的检查。</w:t>
      </w:r>
    </w:p>
    <w:p w14:paraId="06159CA0">
      <w:pPr>
        <w:widowControl/>
        <w:wordWrap w:val="0"/>
        <w:topLinePunct/>
        <w:adjustRightInd w:val="0"/>
        <w:snapToGrid w:val="0"/>
        <w:spacing w:line="480" w:lineRule="exact"/>
        <w:ind w:firstLine="426" w:firstLineChars="177"/>
        <w:outlineLvl w:val="4"/>
        <w:rPr>
          <w:rFonts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第十六条 设计为用户服务，为工程服务</w:t>
      </w:r>
    </w:p>
    <w:p w14:paraId="062658DB">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16.1</w:t>
      </w:r>
      <w:r>
        <w:rPr>
          <w:rFonts w:hint="eastAsia" w:ascii="宋体" w:hAnsi="宋体" w:eastAsia="宋体" w:cs="Times New Roman"/>
          <w:color w:val="auto"/>
          <w:sz w:val="24"/>
          <w:szCs w:val="24"/>
          <w:highlight w:val="none"/>
        </w:rPr>
        <w:t>除发包人已批准的设计文件组成清单内容外，发包人有权要求设计人补充完成增加工程实际所需要的相关的设计图纸。</w:t>
      </w:r>
    </w:p>
    <w:p w14:paraId="082B7BEA">
      <w:pPr>
        <w:widowControl/>
        <w:wordWrap w:val="0"/>
        <w:topLinePunct/>
        <w:adjustRightInd w:val="0"/>
        <w:snapToGrid w:val="0"/>
        <w:spacing w:line="480" w:lineRule="exact"/>
        <w:ind w:firstLine="458" w:firstLineChars="19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16.2</w:t>
      </w:r>
      <w:r>
        <w:rPr>
          <w:rFonts w:hint="eastAsia" w:ascii="宋体" w:hAnsi="宋体" w:eastAsia="宋体" w:cs="Times New Roman"/>
          <w:color w:val="auto"/>
          <w:sz w:val="24"/>
          <w:szCs w:val="24"/>
          <w:highlight w:val="none"/>
        </w:rPr>
        <w:t>设计要考虑工程实施的需要，在计划、工期上要根据工程总体策划考虑工程招投标、设备采购、施工组织所需要的时间，提前交付设计文件。</w:t>
      </w:r>
    </w:p>
    <w:p w14:paraId="073D75E3">
      <w:pPr>
        <w:widowControl/>
        <w:wordWrap w:val="0"/>
        <w:topLinePunct/>
        <w:adjustRightInd w:val="0"/>
        <w:snapToGrid w:val="0"/>
        <w:spacing w:line="480" w:lineRule="exact"/>
        <w:ind w:firstLine="426" w:firstLineChars="177"/>
        <w:outlineLvl w:val="4"/>
        <w:rPr>
          <w:rFonts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第十七条 设计服务</w:t>
      </w:r>
    </w:p>
    <w:p w14:paraId="5BE02994">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17.1</w:t>
      </w:r>
      <w:r>
        <w:rPr>
          <w:rFonts w:hint="eastAsia" w:ascii="宋体" w:hAnsi="宋体" w:eastAsia="宋体" w:cs="Times New Roman"/>
          <w:color w:val="auto"/>
          <w:sz w:val="24"/>
          <w:szCs w:val="24"/>
          <w:highlight w:val="none"/>
        </w:rPr>
        <w:t>设计人的主要工作如下：</w:t>
      </w:r>
    </w:p>
    <w:p w14:paraId="41A801BC">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17.1.1参与设计的技术协调会，做好设计交底工作。</w:t>
      </w:r>
    </w:p>
    <w:p w14:paraId="65576382">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17.1.2各施工阶段开始前，按设计人员的设计分工，参与图纸会审，解答有关设计问题。</w:t>
      </w:r>
    </w:p>
    <w:p w14:paraId="649166BD">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17.1.3现场服务：指派设计人员常驻施工现场，按设计人分工责任分别组织进行，配合发包人进行现场巡查，直至工程竣工验收合格止。当建设过程中对设计文件有疑问，设计人在接到通知后，应及时派出专业工程师解决。属于一般设计问题，若无特殊情况，应在1天内解决。属于重大设计问题，可在5天内书面提出解决意见。对设计图纸与现场不符之处，应及时提出解决办法。</w:t>
      </w:r>
    </w:p>
    <w:p w14:paraId="391F4BCF">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17.1.4配合发包人进行施工招标和设备、材料采购招标工作，其招标文件技术部分由设计人负责编写，并配合发包人进行合同技术条款的谈判工作。</w:t>
      </w:r>
    </w:p>
    <w:p w14:paraId="00AC144D">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17.1.5提供设备、材料订货清单，同时原则上须向发包人公正推荐三家以上供应商及提供相关资料，所提供的供应商和相关资料不能有倾向性和排它性。</w:t>
      </w:r>
    </w:p>
    <w:p w14:paraId="6493881D">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17.1.6对设备、材料订货有关性能、参数、规格的技术确认，以及协助参与对已定设备、材料的验收工作。</w:t>
      </w:r>
    </w:p>
    <w:p w14:paraId="0AD9BEF2">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17.1.7协助指定设备系统的调试计划和参与设备试车调试。</w:t>
      </w:r>
    </w:p>
    <w:p w14:paraId="5E7EF2E6">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17.1.8参与工程竣工验收，参与编写工程总结。</w:t>
      </w:r>
    </w:p>
    <w:p w14:paraId="4739491B">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17.1.9项目负责人应参加发包人召开的协调会、调度会。</w:t>
      </w:r>
    </w:p>
    <w:p w14:paraId="7BB66BB1">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17.2</w:t>
      </w:r>
      <w:r>
        <w:rPr>
          <w:rFonts w:hint="eastAsia" w:ascii="宋体" w:hAnsi="宋体" w:eastAsia="宋体" w:cs="Times New Roman"/>
          <w:color w:val="auto"/>
          <w:sz w:val="24"/>
          <w:szCs w:val="24"/>
          <w:highlight w:val="none"/>
        </w:rPr>
        <w:t>根据工程进展情况和需要，对一些特殊工程，设计人应向发包人提供施工组织设计的书面建议，编写工程施工技术标准（施工作业指导书），对设计各部分所应满足的规范、标准进行总说明，对各条文进行摘录汇编。若对超规范（标准）之处，应初拟技术标准，以供专家论证后执行。</w:t>
      </w:r>
    </w:p>
    <w:p w14:paraId="204E722B">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17.3</w:t>
      </w:r>
      <w:r>
        <w:rPr>
          <w:rFonts w:hint="eastAsia" w:ascii="宋体" w:hAnsi="宋体" w:eastAsia="宋体" w:cs="Times New Roman"/>
          <w:color w:val="auto"/>
          <w:sz w:val="24"/>
          <w:szCs w:val="24"/>
          <w:highlight w:val="none"/>
        </w:rPr>
        <w:t>如按广州市工程档案资料备案相关规定，需设计人在工程竣工图纸上盖章的，设计人应按规定盖章，不另行向发包人计取费用。</w:t>
      </w:r>
    </w:p>
    <w:p w14:paraId="7C7EA1AD">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17.4</w:t>
      </w:r>
      <w:r>
        <w:rPr>
          <w:rFonts w:hint="eastAsia" w:ascii="宋体" w:hAnsi="宋体" w:eastAsia="宋体" w:cs="Times New Roman"/>
          <w:color w:val="auto"/>
          <w:sz w:val="24"/>
          <w:szCs w:val="24"/>
          <w:highlight w:val="none"/>
        </w:rPr>
        <w:t>本合同生效之日起至工程竣工验收合格后满</w:t>
      </w:r>
      <w:r>
        <w:rPr>
          <w:rFonts w:hint="eastAsia" w:ascii="宋体" w:hAnsi="宋体" w:eastAsia="宋体" w:cs="Times New Roman"/>
          <w:color w:val="auto"/>
          <w:sz w:val="24"/>
          <w:szCs w:val="24"/>
          <w:highlight w:val="none"/>
          <w:u w:val="single"/>
        </w:rPr>
        <w:t xml:space="preserve">  二 </w:t>
      </w:r>
      <w:r>
        <w:rPr>
          <w:rFonts w:hint="eastAsia" w:ascii="宋体" w:hAnsi="宋体" w:eastAsia="宋体" w:cs="Times New Roman"/>
          <w:color w:val="auto"/>
          <w:sz w:val="24"/>
          <w:szCs w:val="24"/>
          <w:highlight w:val="none"/>
        </w:rPr>
        <w:t>年止为服务期限。工程投入使用后，若发现工程设计未能满足本合同的要求，设计人必须继续提供服务，直至满足要求为止。上述延期服务，发包人不额外支付费用。</w:t>
      </w:r>
    </w:p>
    <w:p w14:paraId="210D63AF">
      <w:pPr>
        <w:widowControl/>
        <w:wordWrap w:val="0"/>
        <w:topLinePunct/>
        <w:adjustRightInd w:val="0"/>
        <w:snapToGrid w:val="0"/>
        <w:spacing w:line="480" w:lineRule="exact"/>
        <w:ind w:firstLine="458" w:firstLineChars="190"/>
        <w:outlineLvl w:val="4"/>
        <w:rPr>
          <w:rFonts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第十八条 知识产权</w:t>
      </w:r>
    </w:p>
    <w:p w14:paraId="19B5F18A">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18.1</w:t>
      </w:r>
      <w:r>
        <w:rPr>
          <w:rFonts w:hint="eastAsia" w:ascii="宋体" w:hAnsi="宋体" w:eastAsia="宋体" w:cs="Times New Roman"/>
          <w:color w:val="auto"/>
          <w:sz w:val="24"/>
          <w:szCs w:val="24"/>
          <w:highlight w:val="none"/>
        </w:rPr>
        <w:t>本项目设计的署名权归设计人所有，其它著作权和使用权归发包人所有；发包人、设计人双方均不得将此项目的设计文件（资料）用于其它工程项目，否则视为侵权；对署名权或其他版权产生侵害的一方承担由此引起的一切法律责任。</w:t>
      </w:r>
    </w:p>
    <w:p w14:paraId="7400011D">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18.2</w:t>
      </w:r>
      <w:r>
        <w:rPr>
          <w:rFonts w:hint="eastAsia" w:ascii="宋体" w:hAnsi="宋体" w:eastAsia="宋体" w:cs="Times New Roman"/>
          <w:color w:val="auto"/>
          <w:sz w:val="24"/>
          <w:szCs w:val="24"/>
          <w:highlight w:val="none"/>
        </w:rPr>
        <w:t>设计人保证本项目设计文件未侵犯其他方的知识产权，否则必须承担由此而引起的全部法律责任，并保证发包人可无障碍的使用相关设计文件，如发包人不同意使用侵权设计文件的，设计人应负责按相同设计质量及标准予以重新设计并不增加设计费用。</w:t>
      </w:r>
    </w:p>
    <w:p w14:paraId="3F37A867">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18.3</w:t>
      </w:r>
      <w:r>
        <w:rPr>
          <w:rFonts w:hint="eastAsia" w:ascii="宋体" w:hAnsi="宋体" w:eastAsia="宋体" w:cs="Times New Roman"/>
          <w:color w:val="auto"/>
          <w:sz w:val="24"/>
          <w:szCs w:val="24"/>
          <w:highlight w:val="none"/>
        </w:rPr>
        <w:t>发包人拥有设计人为本项目设计且按本合同要求所提交的全部设计文件的所有权及完全使用权。</w:t>
      </w:r>
    </w:p>
    <w:p w14:paraId="55443C6D">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18.4</w:t>
      </w:r>
      <w:r>
        <w:rPr>
          <w:rFonts w:hint="eastAsia" w:ascii="宋体" w:hAnsi="宋体" w:eastAsia="宋体" w:cs="Times New Roman"/>
          <w:color w:val="auto"/>
          <w:sz w:val="24"/>
          <w:szCs w:val="24"/>
          <w:highlight w:val="none"/>
        </w:rPr>
        <w:t>设计人承诺自本合同签订之日起，为本项目所做的全部设计文件，不再用于其他任何项目的设计，否则，视为设计人严重违约，设计人应返还本合同所有已付费用，发包人有权追究设计人因此引起的其他法律责任。</w:t>
      </w:r>
    </w:p>
    <w:p w14:paraId="35CF069A">
      <w:pPr>
        <w:widowControl/>
        <w:wordWrap w:val="0"/>
        <w:topLinePunct/>
        <w:adjustRightInd w:val="0"/>
        <w:snapToGrid w:val="0"/>
        <w:spacing w:line="480" w:lineRule="exact"/>
        <w:ind w:firstLine="458" w:firstLineChars="19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18.5</w:t>
      </w:r>
      <w:r>
        <w:rPr>
          <w:rFonts w:hint="eastAsia" w:ascii="宋体" w:hAnsi="宋体" w:eastAsia="宋体" w:cs="Times New Roman"/>
          <w:color w:val="auto"/>
          <w:sz w:val="24"/>
          <w:szCs w:val="24"/>
          <w:highlight w:val="none"/>
        </w:rPr>
        <w:t>任何一方不得泄露对方的技术资料和商业秘密。</w:t>
      </w:r>
    </w:p>
    <w:p w14:paraId="623D1617">
      <w:pPr>
        <w:widowControl/>
        <w:wordWrap w:val="0"/>
        <w:topLinePunct/>
        <w:adjustRightInd w:val="0"/>
        <w:snapToGrid w:val="0"/>
        <w:spacing w:line="480" w:lineRule="exact"/>
        <w:ind w:firstLine="458" w:firstLineChars="190"/>
        <w:outlineLvl w:val="4"/>
        <w:rPr>
          <w:rFonts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第十九条 法律适用及争议解决</w:t>
      </w:r>
    </w:p>
    <w:p w14:paraId="5C854985">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19.1本合同的订立、效力、解释、履行和争议均受中华人民共和国法律管辖。</w:t>
      </w:r>
    </w:p>
    <w:p w14:paraId="00625301">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19.2凡因履行本合同而引起的一切争议或与本合同有关的争议，应由甲、乙双方通过友好协商解决。协商不成时，双方均同意向工程所在地人民法院起诉。</w:t>
      </w:r>
    </w:p>
    <w:p w14:paraId="5716FF1D">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19.3在诉讼过程中，除接受诉讼的部分之外，其他合同条款甲、乙双方均须继续履行。对发包人按约定解除合同的，双方应协商解决争议；无法协商而通过诉讼方式解决争议的，乙方除应及时移交材料和退场外，不得防碍甲方另行委托他人实施本建设项目的工作。</w:t>
      </w:r>
    </w:p>
    <w:p w14:paraId="2845ECC1">
      <w:pPr>
        <w:widowControl/>
        <w:wordWrap w:val="0"/>
        <w:topLinePunct/>
        <w:adjustRightInd w:val="0"/>
        <w:snapToGrid w:val="0"/>
        <w:spacing w:line="480" w:lineRule="exact"/>
        <w:ind w:firstLine="458" w:firstLineChars="190"/>
        <w:outlineLvl w:val="4"/>
        <w:rPr>
          <w:rFonts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第二十条 不可抗力</w:t>
      </w:r>
    </w:p>
    <w:p w14:paraId="1D987B96">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20.1</w:t>
      </w:r>
      <w:r>
        <w:rPr>
          <w:rFonts w:hint="eastAsia" w:ascii="宋体" w:hAnsi="宋体" w:eastAsia="宋体" w:cs="Times New Roman"/>
          <w:color w:val="auto"/>
          <w:sz w:val="24"/>
          <w:szCs w:val="24"/>
          <w:highlight w:val="none"/>
        </w:rPr>
        <w:t>因不可抗力不能履行合同的，根据不可抗力的影响，部分或全部免除责任，但法律另有规定除外。当事人迟延履行后发生不可抗力的，不能免除责任。</w:t>
      </w:r>
    </w:p>
    <w:p w14:paraId="7DC9EA4D">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20.2</w:t>
      </w:r>
      <w:r>
        <w:rPr>
          <w:rFonts w:hint="eastAsia" w:ascii="宋体" w:hAnsi="宋体" w:eastAsia="宋体" w:cs="Times New Roman"/>
          <w:color w:val="auto"/>
          <w:sz w:val="24"/>
          <w:szCs w:val="24"/>
          <w:highlight w:val="none"/>
        </w:rPr>
        <w:t>当事人一方因不可抗力不能履行合同的，应在不可抗力发生后3日内书面通知对方，以减轻可能给对方造成的损失，并应当在不可抗力发生后7日内提供证明。由于不可抗力因素致使合同无法履行时，双方应及时协商解决。</w:t>
      </w:r>
    </w:p>
    <w:p w14:paraId="462E90BF">
      <w:pPr>
        <w:widowControl/>
        <w:wordWrap w:val="0"/>
        <w:topLinePunct/>
        <w:adjustRightInd w:val="0"/>
        <w:snapToGrid w:val="0"/>
        <w:spacing w:line="480" w:lineRule="exact"/>
        <w:ind w:firstLine="458" w:firstLineChars="190"/>
        <w:outlineLvl w:val="4"/>
        <w:rPr>
          <w:rFonts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第二十一条 合同终止</w:t>
      </w:r>
    </w:p>
    <w:p w14:paraId="0373C422">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本合同的权利义务终止后，当事人应当遵循诚实信用原则，根据交易习惯履行通知、协助、保密义务。</w:t>
      </w:r>
    </w:p>
    <w:p w14:paraId="0B38108A">
      <w:pPr>
        <w:widowControl/>
        <w:wordWrap w:val="0"/>
        <w:topLinePunct/>
        <w:adjustRightInd w:val="0"/>
        <w:snapToGrid w:val="0"/>
        <w:spacing w:line="480" w:lineRule="exact"/>
        <w:ind w:firstLine="458" w:firstLineChars="190"/>
        <w:outlineLvl w:val="4"/>
        <w:rPr>
          <w:rFonts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第二十二条 保密责任</w:t>
      </w:r>
    </w:p>
    <w:p w14:paraId="00DF3CDA">
      <w:pPr>
        <w:widowControl/>
        <w:wordWrap w:val="0"/>
        <w:topLinePunct/>
        <w:adjustRightInd w:val="0"/>
        <w:snapToGrid w:val="0"/>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发包人、设计人双方均应保护在合同履行过程中知悉的对方的经济、技术保密信息，未经对方同意，不得泄露，否则，责任方应承担赔偿责任。</w:t>
      </w:r>
    </w:p>
    <w:p w14:paraId="0F2E2BF3">
      <w:pPr>
        <w:widowControl/>
        <w:wordWrap w:val="0"/>
        <w:topLinePunct/>
        <w:adjustRightInd w:val="0"/>
        <w:snapToGrid w:val="0"/>
        <w:spacing w:line="480" w:lineRule="exact"/>
        <w:ind w:firstLine="458" w:firstLineChars="190"/>
        <w:outlineLvl w:val="4"/>
        <w:rPr>
          <w:rFonts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第二十三条 其他</w:t>
      </w:r>
    </w:p>
    <w:p w14:paraId="7958B7F5">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23.1</w:t>
      </w:r>
      <w:r>
        <w:rPr>
          <w:rFonts w:hint="eastAsia" w:ascii="宋体" w:hAnsi="宋体" w:eastAsia="宋体" w:cs="Times New Roman"/>
          <w:color w:val="auto"/>
          <w:sz w:val="24"/>
          <w:szCs w:val="24"/>
          <w:highlight w:val="none"/>
        </w:rPr>
        <w:t>《广州开发区财政投资建设项目管理中心设计质量管理办法（2021修订版）》（下称《质量管理办法》）、《区财政投资基本建设项目非设计单位责任引起建设项目设计工作终止及工程变更的设计费计取管理办法（暂行）》（下称《计取管理办法》）为本合同的组成部分，设计人在签订本合同时已清楚该《质量管理办法》、《计取管理办法》规定。设计人违反合同约定及《质量管理办法》规定，本合同其他条款未约定相关责任的，设计人应按《质量管理办法》规定承担违约责任。</w:t>
      </w:r>
    </w:p>
    <w:p w14:paraId="5B961D90">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23.2</w:t>
      </w:r>
      <w:r>
        <w:rPr>
          <w:rFonts w:hint="eastAsia" w:ascii="宋体" w:hAnsi="宋体" w:eastAsia="宋体" w:cs="Times New Roman"/>
          <w:color w:val="auto"/>
          <w:sz w:val="24"/>
          <w:szCs w:val="24"/>
          <w:highlight w:val="none"/>
        </w:rPr>
        <w:t>发包人要求设计人派专人留驻施工现场进行配合与解决有关问题时，设计人应无条件服从。</w:t>
      </w:r>
    </w:p>
    <w:p w14:paraId="28F90098">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23.3</w:t>
      </w:r>
      <w:r>
        <w:rPr>
          <w:rFonts w:hint="eastAsia" w:ascii="宋体" w:hAnsi="宋体" w:eastAsia="宋体" w:cs="Times New Roman"/>
          <w:color w:val="auto"/>
          <w:sz w:val="24"/>
          <w:szCs w:val="24"/>
          <w:highlight w:val="none"/>
        </w:rPr>
        <w:t>设计人为本合同项目所采用的国家或地方标准图，由设计人自费向有关出版部门购买。</w:t>
      </w:r>
    </w:p>
    <w:p w14:paraId="7398948B">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23.4</w:t>
      </w:r>
      <w:r>
        <w:rPr>
          <w:rFonts w:hint="eastAsia" w:ascii="宋体" w:hAnsi="宋体" w:eastAsia="宋体" w:cs="Times New Roman"/>
          <w:color w:val="auto"/>
          <w:sz w:val="24"/>
          <w:szCs w:val="24"/>
          <w:highlight w:val="none"/>
        </w:rPr>
        <w:t>本工程设计资料及文件中，建筑材料、建筑构配件和设备，应当注明其规格、型号、性能等技术指标，设计人不得指定生产厂、供应商。发包人需要设计人的设计人员配合加工定货时，所需差旅费由发包人承担。</w:t>
      </w:r>
    </w:p>
    <w:p w14:paraId="3F8783B8">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23.5</w:t>
      </w:r>
      <w:r>
        <w:rPr>
          <w:rFonts w:hint="eastAsia" w:ascii="宋体" w:hAnsi="宋体" w:eastAsia="宋体" w:cs="Times New Roman"/>
          <w:color w:val="auto"/>
          <w:sz w:val="24"/>
          <w:szCs w:val="24"/>
          <w:highlight w:val="none"/>
        </w:rPr>
        <w:t>发包人委托设计配合引进项目的设计任务，从询价、对外谈判、国内外技术考察直至建成投产的各个阶段，应吸收承担有关设计任务的设计人参加。出国费用，除制装费外，差旅费用由发包人支付。</w:t>
      </w:r>
    </w:p>
    <w:p w14:paraId="4CD500FC">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23.6</w:t>
      </w:r>
      <w:r>
        <w:rPr>
          <w:rFonts w:hint="eastAsia" w:ascii="宋体" w:hAnsi="宋体" w:eastAsia="宋体" w:cs="Times New Roman"/>
          <w:color w:val="auto"/>
          <w:sz w:val="24"/>
          <w:szCs w:val="24"/>
          <w:highlight w:val="none"/>
        </w:rPr>
        <w:t>本合同经双方签字盖章后生效。</w:t>
      </w:r>
    </w:p>
    <w:p w14:paraId="2293A6E7">
      <w:pPr>
        <w:widowControl/>
        <w:wordWrap w:val="0"/>
        <w:topLinePunct/>
        <w:adjustRightInd w:val="0"/>
        <w:snapToGrid w:val="0"/>
        <w:spacing w:line="480" w:lineRule="exact"/>
        <w:ind w:firstLine="482" w:firstLineChars="200"/>
        <w:rPr>
          <w:rFonts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23.7</w:t>
      </w:r>
      <w:r>
        <w:rPr>
          <w:rFonts w:hint="eastAsia" w:ascii="宋体" w:hAnsi="宋体" w:eastAsia="宋体" w:cs="Times New Roman"/>
          <w:color w:val="auto"/>
          <w:sz w:val="24"/>
          <w:szCs w:val="24"/>
          <w:highlight w:val="none"/>
        </w:rPr>
        <w:t>本合同未尽事宜，双方可签订补充协议，有关协议及双方认可的来往电报、传真、会议纪要等，均为本合同组成部分，与本合同具有同等法律效力。</w:t>
      </w:r>
    </w:p>
    <w:p w14:paraId="1576C037">
      <w:pPr>
        <w:rPr>
          <w:rFonts w:ascii="宋体" w:hAnsi="宋体" w:eastAsia="宋体" w:cs="Times New Roman"/>
          <w:b/>
          <w:color w:val="auto"/>
          <w:szCs w:val="24"/>
          <w:highlight w:val="none"/>
        </w:rPr>
      </w:pPr>
      <w:r>
        <w:rPr>
          <w:rFonts w:hint="eastAsia" w:ascii="宋体" w:hAnsi="宋体" w:eastAsia="宋体" w:cs="Times New Roman"/>
          <w:color w:val="auto"/>
          <w:szCs w:val="24"/>
          <w:highlight w:val="none"/>
        </w:rPr>
        <w:br w:type="page"/>
      </w:r>
      <w:r>
        <w:rPr>
          <w:rFonts w:hint="eastAsia" w:ascii="宋体" w:hAnsi="宋体" w:eastAsia="宋体" w:cs="Times New Roman"/>
          <w:b/>
          <w:color w:val="auto"/>
          <w:szCs w:val="24"/>
          <w:highlight w:val="none"/>
        </w:rPr>
        <w:t>附件1：《广州开发区财政投资建设项目管理中心设计质量管理办法（2021修订版）》（另册）；</w:t>
      </w:r>
    </w:p>
    <w:p w14:paraId="07B8BEB9">
      <w:pPr>
        <w:rPr>
          <w:rFonts w:ascii="宋体" w:hAnsi="宋体" w:eastAsia="宋体" w:cs="Times New Roman"/>
          <w:b/>
          <w:color w:val="auto"/>
          <w:szCs w:val="24"/>
          <w:highlight w:val="none"/>
        </w:rPr>
      </w:pPr>
      <w:r>
        <w:rPr>
          <w:rFonts w:hint="eastAsia" w:ascii="宋体" w:hAnsi="宋体" w:eastAsia="宋体" w:cs="Times New Roman"/>
          <w:b/>
          <w:color w:val="auto"/>
          <w:szCs w:val="24"/>
          <w:highlight w:val="none"/>
        </w:rPr>
        <w:t>附件2：《区财政投资基本建设项目非设计单位责任引起建设项目设计工作终止及工程变更的设计费计取管理办法（暂行）》（另册）；</w:t>
      </w:r>
    </w:p>
    <w:p w14:paraId="55797049">
      <w:pPr>
        <w:rPr>
          <w:rFonts w:ascii="宋体" w:hAnsi="宋体" w:eastAsia="宋体" w:cs="Times New Roman"/>
          <w:b/>
          <w:color w:val="auto"/>
          <w:szCs w:val="24"/>
          <w:highlight w:val="none"/>
        </w:rPr>
      </w:pPr>
      <w:r>
        <w:rPr>
          <w:rFonts w:hint="eastAsia" w:ascii="宋体" w:hAnsi="宋体" w:eastAsia="宋体" w:cs="Times New Roman"/>
          <w:b/>
          <w:color w:val="auto"/>
          <w:szCs w:val="24"/>
          <w:highlight w:val="none"/>
        </w:rPr>
        <w:t>附件3：设计单位投入人员架构表；</w:t>
      </w:r>
    </w:p>
    <w:p w14:paraId="2ED57963">
      <w:pPr>
        <w:rPr>
          <w:rFonts w:ascii="宋体" w:hAnsi="宋体" w:eastAsia="宋体" w:cs="Times New Roman"/>
          <w:b/>
          <w:color w:val="auto"/>
          <w:szCs w:val="24"/>
          <w:highlight w:val="none"/>
        </w:rPr>
      </w:pPr>
      <w:r>
        <w:rPr>
          <w:rFonts w:hint="eastAsia" w:ascii="宋体" w:hAnsi="宋体" w:eastAsia="宋体" w:cs="Times New Roman"/>
          <w:b/>
          <w:color w:val="auto"/>
          <w:szCs w:val="24"/>
          <w:highlight w:val="none"/>
        </w:rPr>
        <w:t>附件4: 廉政责任书。</w:t>
      </w:r>
    </w:p>
    <w:tbl>
      <w:tblPr>
        <w:tblStyle w:val="46"/>
        <w:tblW w:w="0" w:type="auto"/>
        <w:tblInd w:w="0" w:type="dxa"/>
        <w:tblLayout w:type="fixed"/>
        <w:tblCellMar>
          <w:top w:w="0" w:type="dxa"/>
          <w:left w:w="108" w:type="dxa"/>
          <w:bottom w:w="0" w:type="dxa"/>
          <w:right w:w="108" w:type="dxa"/>
        </w:tblCellMar>
      </w:tblPr>
      <w:tblGrid>
        <w:gridCol w:w="1526"/>
        <w:gridCol w:w="2738"/>
        <w:gridCol w:w="1656"/>
        <w:gridCol w:w="2608"/>
      </w:tblGrid>
      <w:tr w14:paraId="58306664">
        <w:tblPrEx>
          <w:tblCellMar>
            <w:top w:w="0" w:type="dxa"/>
            <w:left w:w="108" w:type="dxa"/>
            <w:bottom w:w="0" w:type="dxa"/>
            <w:right w:w="108" w:type="dxa"/>
          </w:tblCellMar>
        </w:tblPrEx>
        <w:trPr>
          <w:trHeight w:val="1021" w:hRule="atLeast"/>
        </w:trPr>
        <w:tc>
          <w:tcPr>
            <w:tcW w:w="1526" w:type="dxa"/>
            <w:vAlign w:val="center"/>
          </w:tcPr>
          <w:p w14:paraId="4E9E8EC6">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发包人：</w:t>
            </w:r>
          </w:p>
        </w:tc>
        <w:tc>
          <w:tcPr>
            <w:tcW w:w="2738" w:type="dxa"/>
            <w:vAlign w:val="center"/>
          </w:tcPr>
          <w:p w14:paraId="33D82A88">
            <w:pPr>
              <w:widowControl/>
              <w:wordWrap w:val="0"/>
              <w:topLinePunct/>
              <w:adjustRightInd w:val="0"/>
              <w:snapToGrid w:val="0"/>
              <w:spacing w:line="480" w:lineRule="exac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（公章）</w:t>
            </w:r>
          </w:p>
        </w:tc>
        <w:tc>
          <w:tcPr>
            <w:tcW w:w="1656" w:type="dxa"/>
            <w:vAlign w:val="center"/>
          </w:tcPr>
          <w:p w14:paraId="06E46CC4">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设计人：</w:t>
            </w:r>
          </w:p>
        </w:tc>
        <w:tc>
          <w:tcPr>
            <w:tcW w:w="2608" w:type="dxa"/>
            <w:vAlign w:val="center"/>
          </w:tcPr>
          <w:p w14:paraId="042D4804">
            <w:pPr>
              <w:widowControl/>
              <w:wordWrap w:val="0"/>
              <w:topLinePunct/>
              <w:adjustRightInd w:val="0"/>
              <w:snapToGrid w:val="0"/>
              <w:spacing w:line="480" w:lineRule="exac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（公章）</w:t>
            </w:r>
          </w:p>
        </w:tc>
      </w:tr>
      <w:tr w14:paraId="225C4991">
        <w:tblPrEx>
          <w:tblCellMar>
            <w:top w:w="0" w:type="dxa"/>
            <w:left w:w="108" w:type="dxa"/>
            <w:bottom w:w="0" w:type="dxa"/>
            <w:right w:w="108" w:type="dxa"/>
          </w:tblCellMar>
        </w:tblPrEx>
        <w:trPr>
          <w:trHeight w:val="1021" w:hRule="atLeast"/>
        </w:trPr>
        <w:tc>
          <w:tcPr>
            <w:tcW w:w="1526" w:type="dxa"/>
            <w:vAlign w:val="center"/>
          </w:tcPr>
          <w:p w14:paraId="53D4F939">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地址    ：</w:t>
            </w:r>
          </w:p>
        </w:tc>
        <w:tc>
          <w:tcPr>
            <w:tcW w:w="2738" w:type="dxa"/>
            <w:vAlign w:val="center"/>
          </w:tcPr>
          <w:p w14:paraId="2C69D2F4">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1656" w:type="dxa"/>
            <w:vAlign w:val="center"/>
          </w:tcPr>
          <w:p w14:paraId="72CEACE9">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地址    ：</w:t>
            </w:r>
          </w:p>
        </w:tc>
        <w:tc>
          <w:tcPr>
            <w:tcW w:w="2608" w:type="dxa"/>
            <w:vAlign w:val="center"/>
          </w:tcPr>
          <w:p w14:paraId="7DCC516A">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14:paraId="30EED18A">
        <w:tblPrEx>
          <w:tblCellMar>
            <w:top w:w="0" w:type="dxa"/>
            <w:left w:w="108" w:type="dxa"/>
            <w:bottom w:w="0" w:type="dxa"/>
            <w:right w:w="108" w:type="dxa"/>
          </w:tblCellMar>
        </w:tblPrEx>
        <w:trPr>
          <w:trHeight w:val="1021" w:hRule="atLeast"/>
        </w:trPr>
        <w:tc>
          <w:tcPr>
            <w:tcW w:w="1526" w:type="dxa"/>
            <w:vAlign w:val="center"/>
          </w:tcPr>
          <w:p w14:paraId="497F1578">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法定代表人：</w:t>
            </w:r>
          </w:p>
        </w:tc>
        <w:tc>
          <w:tcPr>
            <w:tcW w:w="2738" w:type="dxa"/>
            <w:vAlign w:val="center"/>
          </w:tcPr>
          <w:p w14:paraId="2B67759C">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1656" w:type="dxa"/>
            <w:vAlign w:val="center"/>
          </w:tcPr>
          <w:p w14:paraId="3B17B36B">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法定代表人：</w:t>
            </w:r>
          </w:p>
        </w:tc>
        <w:tc>
          <w:tcPr>
            <w:tcW w:w="2608" w:type="dxa"/>
            <w:vAlign w:val="center"/>
          </w:tcPr>
          <w:p w14:paraId="174AF03B">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14:paraId="17A30876">
        <w:tblPrEx>
          <w:tblCellMar>
            <w:top w:w="0" w:type="dxa"/>
            <w:left w:w="108" w:type="dxa"/>
            <w:bottom w:w="0" w:type="dxa"/>
            <w:right w:w="108" w:type="dxa"/>
          </w:tblCellMar>
        </w:tblPrEx>
        <w:trPr>
          <w:trHeight w:val="1021" w:hRule="atLeast"/>
        </w:trPr>
        <w:tc>
          <w:tcPr>
            <w:tcW w:w="1526" w:type="dxa"/>
            <w:vAlign w:val="center"/>
          </w:tcPr>
          <w:p w14:paraId="54E96742">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委托代理人：</w:t>
            </w:r>
          </w:p>
        </w:tc>
        <w:tc>
          <w:tcPr>
            <w:tcW w:w="2738" w:type="dxa"/>
            <w:vAlign w:val="center"/>
          </w:tcPr>
          <w:p w14:paraId="192B3DCC">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1656" w:type="dxa"/>
            <w:vAlign w:val="center"/>
          </w:tcPr>
          <w:p w14:paraId="2AEE8763">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委托代理人：</w:t>
            </w:r>
          </w:p>
        </w:tc>
        <w:tc>
          <w:tcPr>
            <w:tcW w:w="2608" w:type="dxa"/>
            <w:vAlign w:val="center"/>
          </w:tcPr>
          <w:p w14:paraId="1BCCB75C">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14:paraId="51E41F42">
        <w:tblPrEx>
          <w:tblCellMar>
            <w:top w:w="0" w:type="dxa"/>
            <w:left w:w="108" w:type="dxa"/>
            <w:bottom w:w="0" w:type="dxa"/>
            <w:right w:w="108" w:type="dxa"/>
          </w:tblCellMar>
        </w:tblPrEx>
        <w:trPr>
          <w:trHeight w:val="1021" w:hRule="atLeast"/>
        </w:trPr>
        <w:tc>
          <w:tcPr>
            <w:tcW w:w="1526" w:type="dxa"/>
            <w:vAlign w:val="center"/>
          </w:tcPr>
          <w:p w14:paraId="648847A5">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电    话：</w:t>
            </w:r>
          </w:p>
        </w:tc>
        <w:tc>
          <w:tcPr>
            <w:tcW w:w="2738" w:type="dxa"/>
            <w:vAlign w:val="center"/>
          </w:tcPr>
          <w:p w14:paraId="5B31684C">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1656" w:type="dxa"/>
            <w:vAlign w:val="center"/>
          </w:tcPr>
          <w:p w14:paraId="117AFFE8">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电    话：</w:t>
            </w:r>
          </w:p>
        </w:tc>
        <w:tc>
          <w:tcPr>
            <w:tcW w:w="2608" w:type="dxa"/>
            <w:vAlign w:val="center"/>
          </w:tcPr>
          <w:p w14:paraId="36B82805">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14:paraId="0022CCB7">
        <w:tblPrEx>
          <w:tblCellMar>
            <w:top w:w="0" w:type="dxa"/>
            <w:left w:w="108" w:type="dxa"/>
            <w:bottom w:w="0" w:type="dxa"/>
            <w:right w:w="108" w:type="dxa"/>
          </w:tblCellMar>
        </w:tblPrEx>
        <w:trPr>
          <w:trHeight w:val="1021" w:hRule="atLeast"/>
        </w:trPr>
        <w:tc>
          <w:tcPr>
            <w:tcW w:w="1526" w:type="dxa"/>
            <w:vAlign w:val="center"/>
          </w:tcPr>
          <w:p w14:paraId="378FFFD8">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传    真：</w:t>
            </w:r>
          </w:p>
          <w:p w14:paraId="2A56C548">
            <w:pPr>
              <w:rPr>
                <w:rFonts w:ascii="宋体" w:hAnsi="宋体" w:eastAsia="宋体" w:cs="Times New Roman"/>
                <w:color w:val="auto"/>
                <w:sz w:val="24"/>
                <w:szCs w:val="24"/>
                <w:highlight w:val="none"/>
              </w:rPr>
            </w:pPr>
          </w:p>
        </w:tc>
        <w:tc>
          <w:tcPr>
            <w:tcW w:w="2738" w:type="dxa"/>
            <w:vAlign w:val="center"/>
          </w:tcPr>
          <w:p w14:paraId="5DDB1D64">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1656" w:type="dxa"/>
            <w:vAlign w:val="center"/>
          </w:tcPr>
          <w:p w14:paraId="3A03750C">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传    真：</w:t>
            </w:r>
          </w:p>
        </w:tc>
        <w:tc>
          <w:tcPr>
            <w:tcW w:w="2608" w:type="dxa"/>
            <w:vAlign w:val="center"/>
          </w:tcPr>
          <w:p w14:paraId="31AE2088">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14:paraId="71C5E97C">
        <w:tblPrEx>
          <w:tblCellMar>
            <w:top w:w="0" w:type="dxa"/>
            <w:left w:w="108" w:type="dxa"/>
            <w:bottom w:w="0" w:type="dxa"/>
            <w:right w:w="108" w:type="dxa"/>
          </w:tblCellMar>
        </w:tblPrEx>
        <w:trPr>
          <w:trHeight w:val="1021" w:hRule="atLeast"/>
        </w:trPr>
        <w:tc>
          <w:tcPr>
            <w:tcW w:w="1526" w:type="dxa"/>
            <w:vAlign w:val="center"/>
          </w:tcPr>
          <w:p w14:paraId="52142AA6">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开户银行：</w:t>
            </w:r>
          </w:p>
        </w:tc>
        <w:tc>
          <w:tcPr>
            <w:tcW w:w="2738" w:type="dxa"/>
            <w:vAlign w:val="center"/>
          </w:tcPr>
          <w:p w14:paraId="6AB4F58D">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1656" w:type="dxa"/>
            <w:vAlign w:val="center"/>
          </w:tcPr>
          <w:p w14:paraId="3B3D02E1">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开户银行：</w:t>
            </w:r>
          </w:p>
        </w:tc>
        <w:tc>
          <w:tcPr>
            <w:tcW w:w="2608" w:type="dxa"/>
            <w:vAlign w:val="center"/>
          </w:tcPr>
          <w:p w14:paraId="2EA457B8">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14:paraId="519E52AA">
        <w:tblPrEx>
          <w:tblCellMar>
            <w:top w:w="0" w:type="dxa"/>
            <w:left w:w="108" w:type="dxa"/>
            <w:bottom w:w="0" w:type="dxa"/>
            <w:right w:w="108" w:type="dxa"/>
          </w:tblCellMar>
        </w:tblPrEx>
        <w:trPr>
          <w:trHeight w:val="1021" w:hRule="atLeast"/>
        </w:trPr>
        <w:tc>
          <w:tcPr>
            <w:tcW w:w="1526" w:type="dxa"/>
            <w:vAlign w:val="center"/>
          </w:tcPr>
          <w:p w14:paraId="509B2A5D">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账    号：</w:t>
            </w:r>
          </w:p>
        </w:tc>
        <w:tc>
          <w:tcPr>
            <w:tcW w:w="2738" w:type="dxa"/>
            <w:vAlign w:val="center"/>
          </w:tcPr>
          <w:p w14:paraId="6BB51669">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1656" w:type="dxa"/>
            <w:vAlign w:val="center"/>
          </w:tcPr>
          <w:p w14:paraId="1D29B82D">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账    号：</w:t>
            </w:r>
          </w:p>
        </w:tc>
        <w:tc>
          <w:tcPr>
            <w:tcW w:w="2608" w:type="dxa"/>
            <w:vAlign w:val="center"/>
          </w:tcPr>
          <w:p w14:paraId="648B5DE7">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r w14:paraId="01C0D740">
        <w:tblPrEx>
          <w:tblCellMar>
            <w:top w:w="0" w:type="dxa"/>
            <w:left w:w="108" w:type="dxa"/>
            <w:bottom w:w="0" w:type="dxa"/>
            <w:right w:w="108" w:type="dxa"/>
          </w:tblCellMar>
        </w:tblPrEx>
        <w:trPr>
          <w:trHeight w:val="1021" w:hRule="atLeast"/>
        </w:trPr>
        <w:tc>
          <w:tcPr>
            <w:tcW w:w="1526" w:type="dxa"/>
            <w:vAlign w:val="center"/>
          </w:tcPr>
          <w:p w14:paraId="41D6253D">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邮政编码：</w:t>
            </w:r>
          </w:p>
        </w:tc>
        <w:tc>
          <w:tcPr>
            <w:tcW w:w="2738" w:type="dxa"/>
            <w:vAlign w:val="center"/>
          </w:tcPr>
          <w:p w14:paraId="4F5F7B10">
            <w:pPr>
              <w:widowControl/>
              <w:wordWrap w:val="0"/>
              <w:topLinePunct/>
              <w:adjustRightInd w:val="0"/>
              <w:snapToGrid w:val="0"/>
              <w:spacing w:line="480" w:lineRule="exact"/>
              <w:rPr>
                <w:rFonts w:ascii="宋体" w:hAnsi="宋体" w:eastAsia="宋体" w:cs="Times New Roman"/>
                <w:color w:val="auto"/>
                <w:sz w:val="24"/>
                <w:szCs w:val="24"/>
                <w:highlight w:val="none"/>
              </w:rPr>
            </w:pPr>
          </w:p>
        </w:tc>
        <w:tc>
          <w:tcPr>
            <w:tcW w:w="1656" w:type="dxa"/>
            <w:vAlign w:val="center"/>
          </w:tcPr>
          <w:p w14:paraId="1D00EFDA">
            <w:pPr>
              <w:widowControl/>
              <w:wordWrap w:val="0"/>
              <w:topLinePunct/>
              <w:adjustRightInd w:val="0"/>
              <w:snapToGrid w:val="0"/>
              <w:spacing w:line="480" w:lineRule="exact"/>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邮政编码：</w:t>
            </w:r>
          </w:p>
        </w:tc>
        <w:tc>
          <w:tcPr>
            <w:tcW w:w="2608" w:type="dxa"/>
            <w:vAlign w:val="center"/>
          </w:tcPr>
          <w:p w14:paraId="47FE4C45">
            <w:pPr>
              <w:widowControl/>
              <w:wordWrap w:val="0"/>
              <w:topLinePunct/>
              <w:adjustRightInd w:val="0"/>
              <w:snapToGrid w:val="0"/>
              <w:spacing w:line="480" w:lineRule="exact"/>
              <w:rPr>
                <w:rFonts w:ascii="宋体" w:hAnsi="宋体" w:eastAsia="宋体" w:cs="Times New Roman"/>
                <w:color w:val="auto"/>
                <w:sz w:val="24"/>
                <w:szCs w:val="24"/>
                <w:highlight w:val="none"/>
              </w:rPr>
            </w:pPr>
          </w:p>
        </w:tc>
      </w:tr>
    </w:tbl>
    <w:p w14:paraId="5E0E601B">
      <w:pPr>
        <w:widowControl/>
        <w:wordWrap w:val="0"/>
        <w:topLinePunct/>
        <w:adjustRightInd w:val="0"/>
        <w:snapToGrid w:val="0"/>
        <w:spacing w:line="480" w:lineRule="exact"/>
        <w:ind w:left="5934" w:leftChars="997" w:hanging="3840" w:hangingChars="16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订立时间：</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年</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月</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日</w:t>
      </w:r>
    </w:p>
    <w:p w14:paraId="6889CBF1">
      <w:pPr>
        <w:widowControl/>
        <w:wordWrap w:val="0"/>
        <w:topLinePunct/>
        <w:adjustRightInd w:val="0"/>
        <w:snapToGrid w:val="0"/>
        <w:spacing w:line="480" w:lineRule="exact"/>
        <w:rPr>
          <w:rFonts w:ascii="宋体" w:hAnsi="宋体" w:eastAsia="宋体" w:cs="Times New Roman"/>
          <w:color w:val="auto"/>
          <w:szCs w:val="24"/>
          <w:highlight w:val="none"/>
        </w:rPr>
      </w:pPr>
    </w:p>
    <w:p w14:paraId="0961CF1F">
      <w:pPr>
        <w:spacing w:line="380" w:lineRule="exact"/>
        <w:ind w:firstLine="5040"/>
        <w:rPr>
          <w:rFonts w:ascii="宋体" w:hAnsi="宋体" w:eastAsia="宋体" w:cs="Times New Roman"/>
          <w:b/>
          <w:bCs/>
          <w:color w:val="auto"/>
          <w:sz w:val="32"/>
          <w:szCs w:val="32"/>
          <w:highlight w:val="none"/>
        </w:rPr>
      </w:pPr>
    </w:p>
    <w:p w14:paraId="08538153">
      <w:pPr>
        <w:snapToGrid w:val="0"/>
        <w:spacing w:line="360" w:lineRule="auto"/>
        <w:rPr>
          <w:rFonts w:ascii="宋体" w:hAnsi="宋体" w:eastAsia="宋体" w:cs="Times New Roman"/>
          <w:color w:val="auto"/>
          <w:szCs w:val="24"/>
          <w:highlight w:val="none"/>
        </w:rPr>
      </w:pPr>
    </w:p>
    <w:p w14:paraId="06951550">
      <w:pPr>
        <w:widowControl/>
        <w:jc w:val="left"/>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br w:type="page"/>
      </w:r>
    </w:p>
    <w:p w14:paraId="205F4E78">
      <w:pPr>
        <w:snapToGrid w:val="0"/>
        <w:spacing w:line="360" w:lineRule="auto"/>
        <w:rPr>
          <w:rFonts w:ascii="宋体" w:hAnsi="宋体" w:eastAsia="宋体" w:cs="Times New Roman"/>
          <w:b/>
          <w:color w:val="auto"/>
          <w:sz w:val="28"/>
          <w:szCs w:val="24"/>
          <w:highlight w:val="none"/>
        </w:rPr>
      </w:pPr>
      <w:r>
        <w:rPr>
          <w:rFonts w:hint="eastAsia" w:ascii="宋体" w:hAnsi="宋体" w:eastAsia="宋体" w:cs="Times New Roman"/>
          <w:b/>
          <w:color w:val="auto"/>
          <w:sz w:val="28"/>
          <w:szCs w:val="24"/>
          <w:highlight w:val="none"/>
        </w:rPr>
        <w:t>附件1：《广州开发区财政投资建设项目管理中心设计质量管理办法（2021修订版）》（另册）；</w:t>
      </w:r>
    </w:p>
    <w:p w14:paraId="0352121C">
      <w:pPr>
        <w:snapToGrid w:val="0"/>
        <w:spacing w:line="360" w:lineRule="auto"/>
        <w:rPr>
          <w:rFonts w:ascii="宋体" w:hAnsi="宋体" w:eastAsia="宋体" w:cs="Times New Roman"/>
          <w:b/>
          <w:color w:val="auto"/>
          <w:sz w:val="28"/>
          <w:szCs w:val="24"/>
          <w:highlight w:val="none"/>
        </w:rPr>
      </w:pPr>
      <w:r>
        <w:rPr>
          <w:rFonts w:hint="eastAsia" w:ascii="宋体" w:hAnsi="宋体" w:eastAsia="宋体" w:cs="Times New Roman"/>
          <w:b/>
          <w:color w:val="auto"/>
          <w:sz w:val="28"/>
          <w:szCs w:val="24"/>
          <w:highlight w:val="none"/>
        </w:rPr>
        <w:t>附件2：《区财政投资基本建设项目非设计单位责任引起建设项目设计工作终止及工程变更的设计费计取管理办法（暂行）》（另册）；</w:t>
      </w:r>
    </w:p>
    <w:p w14:paraId="7E8D7EB4">
      <w:pPr>
        <w:snapToGrid w:val="0"/>
        <w:spacing w:line="360" w:lineRule="auto"/>
        <w:rPr>
          <w:rFonts w:ascii="宋体" w:hAnsi="宋体" w:eastAsia="宋体" w:cs="Times New Roman"/>
          <w:b/>
          <w:color w:val="auto"/>
          <w:sz w:val="28"/>
          <w:szCs w:val="24"/>
          <w:highlight w:val="none"/>
        </w:rPr>
      </w:pPr>
      <w:r>
        <w:rPr>
          <w:rFonts w:hint="eastAsia" w:ascii="宋体" w:hAnsi="宋体" w:eastAsia="宋体" w:cs="Times New Roman"/>
          <w:b/>
          <w:color w:val="auto"/>
          <w:sz w:val="28"/>
          <w:szCs w:val="24"/>
          <w:highlight w:val="none"/>
        </w:rPr>
        <w:t>附件3：设计单位投入人员架构表；</w:t>
      </w:r>
    </w:p>
    <w:p w14:paraId="1542CAFD">
      <w:pPr>
        <w:widowControl/>
        <w:wordWrap w:val="0"/>
        <w:topLinePunct/>
        <w:adjustRightInd w:val="0"/>
        <w:snapToGrid w:val="0"/>
        <w:spacing w:line="360" w:lineRule="auto"/>
        <w:rPr>
          <w:rFonts w:ascii="宋体" w:hAnsi="宋体" w:eastAsia="宋体" w:cs="Times New Roman"/>
          <w:color w:val="auto"/>
          <w:sz w:val="24"/>
          <w:szCs w:val="24"/>
          <w:highlight w:val="none"/>
        </w:rPr>
      </w:pPr>
      <w:r>
        <w:rPr>
          <w:rFonts w:hint="eastAsia" w:ascii="宋体" w:hAnsi="宋体" w:eastAsia="宋体" w:cs="Times New Roman"/>
          <w:b/>
          <w:bCs/>
          <w:color w:val="auto"/>
          <w:sz w:val="24"/>
          <w:szCs w:val="24"/>
          <w:highlight w:val="none"/>
        </w:rPr>
        <w:t>附件4：廉政责任书</w:t>
      </w:r>
    </w:p>
    <w:p w14:paraId="3E71FF3D">
      <w:pPr>
        <w:snapToGrid w:val="0"/>
        <w:spacing w:line="360" w:lineRule="auto"/>
        <w:jc w:val="center"/>
        <w:rPr>
          <w:rFonts w:ascii="宋体" w:hAnsi="宋体" w:eastAsia="宋体" w:cs="Times New Roman"/>
          <w:b/>
          <w:color w:val="auto"/>
          <w:kern w:val="0"/>
          <w:sz w:val="24"/>
          <w:szCs w:val="24"/>
          <w:highlight w:val="none"/>
        </w:rPr>
      </w:pPr>
      <w:r>
        <w:rPr>
          <w:rFonts w:hint="eastAsia" w:ascii="宋体" w:hAnsi="宋体" w:eastAsia="宋体" w:cs="Times New Roman"/>
          <w:b/>
          <w:color w:val="auto"/>
          <w:kern w:val="0"/>
          <w:sz w:val="24"/>
          <w:szCs w:val="24"/>
          <w:highlight w:val="none"/>
        </w:rPr>
        <w:t>廉政责任书</w:t>
      </w:r>
    </w:p>
    <w:p w14:paraId="36598AE5">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项目名称：</w:t>
      </w:r>
      <w:r>
        <w:rPr>
          <w:rFonts w:hint="eastAsia" w:ascii="宋体" w:hAnsi="宋体" w:eastAsia="宋体" w:cs="Times New Roman"/>
          <w:color w:val="auto"/>
          <w:sz w:val="24"/>
          <w:szCs w:val="24"/>
          <w:highlight w:val="none"/>
          <w:u w:val="single"/>
        </w:rPr>
        <w:t xml:space="preserve"> </w:t>
      </w:r>
    </w:p>
    <w:p w14:paraId="243254D3">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项目地址：</w:t>
      </w:r>
      <w:r>
        <w:rPr>
          <w:rFonts w:hint="eastAsia" w:ascii="宋体" w:hAnsi="宋体" w:eastAsia="宋体" w:cs="Times New Roman"/>
          <w:color w:val="auto"/>
          <w:sz w:val="24"/>
          <w:szCs w:val="24"/>
          <w:highlight w:val="none"/>
          <w:u w:val="single"/>
        </w:rPr>
        <w:t xml:space="preserve">广州市黄埔区中新广州知识城 </w:t>
      </w:r>
    </w:p>
    <w:p w14:paraId="39ECF021">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建设单位（甲方）：</w:t>
      </w:r>
      <w:r>
        <w:rPr>
          <w:rFonts w:hint="eastAsia" w:ascii="宋体" w:hAnsi="宋体" w:eastAsia="宋体" w:cs="Times New Roman"/>
          <w:color w:val="auto"/>
          <w:sz w:val="24"/>
          <w:szCs w:val="24"/>
          <w:highlight w:val="none"/>
          <w:u w:val="single"/>
        </w:rPr>
        <w:t>中新广州知识城财政投资建设项目管理中心</w:t>
      </w:r>
      <w:r>
        <w:rPr>
          <w:rFonts w:hint="eastAsia" w:ascii="宋体" w:hAnsi="宋体" w:eastAsia="宋体" w:cs="Times New Roman"/>
          <w:color w:val="auto"/>
          <w:sz w:val="24"/>
          <w:szCs w:val="24"/>
          <w:highlight w:val="none"/>
        </w:rPr>
        <w:t xml:space="preserve"> </w:t>
      </w:r>
    </w:p>
    <w:p w14:paraId="51C4F4C9">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设计单位（乙方）：</w:t>
      </w:r>
    </w:p>
    <w:p w14:paraId="0BEF91D9">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为加强工程建设中的廉政建设，规范工程建设项目的各项活动，防止发生各种谋取不正当利益的违法违纪行为，保护国家、集体和当事人的合法权益，根据国家有关工程建设的法律法规和廉政建设责任制规定，特订立本廉政责任书。</w:t>
      </w:r>
    </w:p>
    <w:p w14:paraId="00BAE89C">
      <w:pPr>
        <w:adjustRightInd w:val="0"/>
        <w:snapToGrid w:val="0"/>
        <w:spacing w:line="360" w:lineRule="auto"/>
        <w:ind w:firstLine="482"/>
        <w:rPr>
          <w:rFonts w:ascii="宋体" w:hAnsi="宋体" w:eastAsia="宋体" w:cs="Times New Roman"/>
          <w:b/>
          <w:snapToGrid w:val="0"/>
          <w:color w:val="auto"/>
          <w:kern w:val="0"/>
          <w:sz w:val="24"/>
          <w:szCs w:val="24"/>
          <w:highlight w:val="none"/>
        </w:rPr>
      </w:pPr>
      <w:r>
        <w:rPr>
          <w:rFonts w:hint="eastAsia" w:ascii="宋体" w:hAnsi="宋体" w:eastAsia="宋体" w:cs="Times New Roman"/>
          <w:b/>
          <w:snapToGrid w:val="0"/>
          <w:color w:val="auto"/>
          <w:kern w:val="0"/>
          <w:sz w:val="24"/>
          <w:szCs w:val="24"/>
          <w:highlight w:val="none"/>
        </w:rPr>
        <w:t xml:space="preserve">第一条 </w:t>
      </w:r>
      <w:r>
        <w:rPr>
          <w:rFonts w:hint="eastAsia" w:ascii="宋体" w:hAnsi="宋体" w:eastAsia="宋体" w:cs="Times New Roman"/>
          <w:snapToGrid w:val="0"/>
          <w:color w:val="auto"/>
          <w:kern w:val="0"/>
          <w:sz w:val="24"/>
          <w:szCs w:val="24"/>
          <w:highlight w:val="none"/>
        </w:rPr>
        <w:t>甲、乙双方的责任</w:t>
      </w:r>
    </w:p>
    <w:p w14:paraId="1D7A53AF">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（一）应严格遵守国家关于市场准入、项目招标投标、工程建设和市场活动等有关法律、法规、相关政策，以及廉政建设的各项规定。</w:t>
      </w:r>
    </w:p>
    <w:p w14:paraId="78E91E17">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（二）严格执行建设工程项目承发包合同文件，自觉按合同办事。</w:t>
      </w:r>
    </w:p>
    <w:p w14:paraId="22344292">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（三）业务活动必须坚持公开、公平、公正、诚信、透明的原则（除法律法规另有规定者外），不得为获取不正当的利益，损害国家、集体和对方利益，不得违反工程建设过程管理的规章制度。</w:t>
      </w:r>
    </w:p>
    <w:p w14:paraId="49EA8D9E">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（四）发现对方在业务活动中有违规、违纪、违法行为的，应及时提醒对方，情节严重的，应向其上级主管部门或纪检监察、司法等有关机关举报。</w:t>
      </w:r>
    </w:p>
    <w:p w14:paraId="4647B12D">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b/>
          <w:snapToGrid w:val="0"/>
          <w:color w:val="auto"/>
          <w:kern w:val="0"/>
          <w:sz w:val="24"/>
          <w:szCs w:val="24"/>
          <w:highlight w:val="none"/>
        </w:rPr>
        <w:t xml:space="preserve">第二条 </w:t>
      </w:r>
      <w:r>
        <w:rPr>
          <w:rFonts w:hint="eastAsia" w:ascii="宋体" w:hAnsi="宋体" w:eastAsia="宋体" w:cs="Times New Roman"/>
          <w:snapToGrid w:val="0"/>
          <w:color w:val="auto"/>
          <w:kern w:val="0"/>
          <w:sz w:val="24"/>
          <w:szCs w:val="24"/>
          <w:highlight w:val="none"/>
        </w:rPr>
        <w:t>甲方的责任</w:t>
      </w:r>
    </w:p>
    <w:p w14:paraId="4764EFD4">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甲方的领导和从事本建设工程项目的工作人员，在工程建设的事前、事中、事后应遵守以下规定：</w:t>
      </w:r>
    </w:p>
    <w:p w14:paraId="065161C0">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（一）不准向乙方和相关单位索要或接受回扣、礼金、有价证券、贵重物品和好处费、感谢费等。</w:t>
      </w:r>
    </w:p>
    <w:p w14:paraId="7B1FAC08">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（二）不准在乙方和相关单位报销任何应由甲方或个人支付的费用。</w:t>
      </w:r>
    </w:p>
    <w:p w14:paraId="0917B256">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（三）不准要求、暗示或接受乙方和相关单位为个人装修住房、婚丧嫁娶、配偶子女的工作安排以及出国（境）、旅游等提供方便。</w:t>
      </w:r>
    </w:p>
    <w:p w14:paraId="6D21316E">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（四）不准参加有可能影响公正执行公务的乙方和相关单位的宴请、健身、娱乐等活动。</w:t>
      </w:r>
    </w:p>
    <w:p w14:paraId="2D723EE6">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（五）不准向乙方介绍或为配偶、子女、亲属参与同甲方项目工程合同有关的设备、材料、工程分包、劳务等经济活动。不得以任何理由向乙方和相关单位推荐分包单位。</w:t>
      </w:r>
    </w:p>
    <w:p w14:paraId="12E3D3CD">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b/>
          <w:snapToGrid w:val="0"/>
          <w:color w:val="auto"/>
          <w:kern w:val="0"/>
          <w:sz w:val="24"/>
          <w:szCs w:val="24"/>
          <w:highlight w:val="none"/>
        </w:rPr>
        <w:t xml:space="preserve">第三条 </w:t>
      </w:r>
      <w:r>
        <w:rPr>
          <w:rFonts w:hint="eastAsia" w:ascii="宋体" w:hAnsi="宋体" w:eastAsia="宋体" w:cs="Times New Roman"/>
          <w:snapToGrid w:val="0"/>
          <w:color w:val="auto"/>
          <w:kern w:val="0"/>
          <w:sz w:val="24"/>
          <w:szCs w:val="24"/>
          <w:highlight w:val="none"/>
        </w:rPr>
        <w:t>乙方的责任</w:t>
      </w:r>
    </w:p>
    <w:p w14:paraId="49411592">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应与甲方保持正常的业务交往，按照有关法律法规和程序开展业务工作，严格执行工程建设过程管理的有关方针、政策，尤其是强制性标准和规范，并遵守以下规定：</w:t>
      </w:r>
    </w:p>
    <w:p w14:paraId="60E5616C">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（一）不准以任何理由向甲方、相关单位及其工作人员索要、接受或赠送礼金、有价证券、贵重物品及回扣、好处费、感谢费等。</w:t>
      </w:r>
    </w:p>
    <w:p w14:paraId="5AD74ED7">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（二）不准以任何理由为甲方和相关单位报销应由对方或个人支付的费用。</w:t>
      </w:r>
    </w:p>
    <w:p w14:paraId="10F86972">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（三）不准接受或暗示为甲方、相关单位或个人装修住房、婚丧嫁娶、配偶子女的工作安排以及出国（境）、旅游等提供方便。</w:t>
      </w:r>
    </w:p>
    <w:p w14:paraId="24F1FE00">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（四）不准以任何理由为甲方、相关单位或个人组织有可能影响公正执行公务的宴请、健身、娱乐等活动。</w:t>
      </w:r>
    </w:p>
    <w:p w14:paraId="72AA19B1">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b/>
          <w:snapToGrid w:val="0"/>
          <w:color w:val="auto"/>
          <w:kern w:val="0"/>
          <w:sz w:val="24"/>
          <w:szCs w:val="24"/>
          <w:highlight w:val="none"/>
        </w:rPr>
        <w:t xml:space="preserve">第四条 </w:t>
      </w:r>
      <w:r>
        <w:rPr>
          <w:rFonts w:hint="eastAsia" w:ascii="宋体" w:hAnsi="宋体" w:eastAsia="宋体" w:cs="Times New Roman"/>
          <w:snapToGrid w:val="0"/>
          <w:color w:val="auto"/>
          <w:kern w:val="0"/>
          <w:sz w:val="24"/>
          <w:szCs w:val="24"/>
          <w:highlight w:val="none"/>
        </w:rPr>
        <w:t>违约责任</w:t>
      </w:r>
    </w:p>
    <w:p w14:paraId="02A89763">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一）甲方工作人员有违反本廉政责任书第一、第二条责任行为的，按照管理权限，依据有关法律法规和规定给予党纪、政纪处分或组织处理；涉嫌犯罪的，移交司法机关追究刑事责任；给乙方单位造成经济损失的，应予以赔偿。</w:t>
      </w:r>
    </w:p>
    <w:p w14:paraId="18C45CA7">
      <w:pPr>
        <w:adjustRightInd w:val="0"/>
        <w:snapToGrid w:val="0"/>
        <w:spacing w:line="360" w:lineRule="auto"/>
        <w:ind w:firstLine="482"/>
        <w:rPr>
          <w:rFonts w:ascii="宋体" w:hAnsi="宋体" w:eastAsia="宋体" w:cs="Times New Roman"/>
          <w:snapToGrid w:val="0"/>
          <w:color w:val="auto"/>
          <w:kern w:val="0"/>
          <w:sz w:val="24"/>
          <w:szCs w:val="24"/>
          <w:highlight w:val="none"/>
        </w:rPr>
      </w:pPr>
      <w:r>
        <w:rPr>
          <w:rFonts w:hint="eastAsia" w:ascii="宋体" w:hAnsi="宋体" w:eastAsia="宋体" w:cs="Times New Roman"/>
          <w:snapToGrid w:val="0"/>
          <w:color w:val="auto"/>
          <w:kern w:val="0"/>
          <w:sz w:val="24"/>
          <w:szCs w:val="24"/>
          <w:highlight w:val="none"/>
        </w:rPr>
        <w:t>（二）乙方工作人员有违反本廉政责任书第一、三条责任行为的，按照管理权限，依据有关法律法规和规定给予党纪、政纪处分或组织处理；涉嫌犯罪的，移交司法机关追究刑事责任；给甲方单位造成经济损失的，应予以赔偿。</w:t>
      </w:r>
    </w:p>
    <w:p w14:paraId="4023222D">
      <w:pPr>
        <w:adjustRightInd w:val="0"/>
        <w:snapToGrid w:val="0"/>
        <w:spacing w:line="360" w:lineRule="auto"/>
        <w:ind w:firstLine="482"/>
        <w:rPr>
          <w:rFonts w:ascii="宋体" w:hAnsi="宋体" w:eastAsia="宋体" w:cs="Times New Roman"/>
          <w:b/>
          <w:snapToGrid w:val="0"/>
          <w:color w:val="auto"/>
          <w:kern w:val="0"/>
          <w:sz w:val="24"/>
          <w:szCs w:val="24"/>
          <w:highlight w:val="none"/>
        </w:rPr>
      </w:pPr>
      <w:r>
        <w:rPr>
          <w:rFonts w:hint="eastAsia" w:ascii="宋体" w:hAnsi="宋体" w:eastAsia="宋体" w:cs="Times New Roman"/>
          <w:b/>
          <w:snapToGrid w:val="0"/>
          <w:color w:val="auto"/>
          <w:kern w:val="0"/>
          <w:sz w:val="24"/>
          <w:szCs w:val="24"/>
          <w:highlight w:val="none"/>
        </w:rPr>
        <w:t xml:space="preserve">第五条 </w:t>
      </w:r>
      <w:r>
        <w:rPr>
          <w:rFonts w:hint="eastAsia" w:ascii="宋体" w:hAnsi="宋体" w:eastAsia="宋体" w:cs="Times New Roman"/>
          <w:snapToGrid w:val="0"/>
          <w:color w:val="auto"/>
          <w:kern w:val="0"/>
          <w:sz w:val="24"/>
          <w:szCs w:val="24"/>
          <w:highlight w:val="none"/>
        </w:rPr>
        <w:t>本廉政责任书作为合同的附件，与合同具有同等法律效力。经双方签署后立即生效。</w:t>
      </w:r>
    </w:p>
    <w:p w14:paraId="1EE2E8F9">
      <w:pPr>
        <w:adjustRightInd w:val="0"/>
        <w:snapToGrid w:val="0"/>
        <w:spacing w:line="360" w:lineRule="auto"/>
        <w:ind w:firstLine="482"/>
        <w:rPr>
          <w:rFonts w:ascii="宋体" w:hAnsi="宋体" w:eastAsia="宋体" w:cs="Times New Roman"/>
          <w:b/>
          <w:snapToGrid w:val="0"/>
          <w:color w:val="auto"/>
          <w:kern w:val="0"/>
          <w:sz w:val="24"/>
          <w:szCs w:val="24"/>
          <w:highlight w:val="none"/>
        </w:rPr>
      </w:pPr>
      <w:r>
        <w:rPr>
          <w:rFonts w:hint="eastAsia" w:ascii="宋体" w:hAnsi="宋体" w:eastAsia="宋体" w:cs="Times New Roman"/>
          <w:b/>
          <w:snapToGrid w:val="0"/>
          <w:color w:val="auto"/>
          <w:kern w:val="0"/>
          <w:sz w:val="24"/>
          <w:szCs w:val="24"/>
          <w:highlight w:val="none"/>
        </w:rPr>
        <w:t xml:space="preserve">第六条 </w:t>
      </w:r>
      <w:r>
        <w:rPr>
          <w:rFonts w:hint="eastAsia" w:ascii="宋体" w:hAnsi="宋体" w:eastAsia="宋体" w:cs="Times New Roman"/>
          <w:snapToGrid w:val="0"/>
          <w:color w:val="auto"/>
          <w:kern w:val="0"/>
          <w:sz w:val="24"/>
          <w:szCs w:val="24"/>
          <w:highlight w:val="none"/>
        </w:rPr>
        <w:t>本廉政责任书的有效期与合同的有效期相同。</w:t>
      </w:r>
    </w:p>
    <w:p w14:paraId="02105D05">
      <w:pPr>
        <w:adjustRightInd w:val="0"/>
        <w:snapToGrid w:val="0"/>
        <w:spacing w:line="400" w:lineRule="exact"/>
        <w:ind w:firstLine="482" w:firstLineChars="200"/>
        <w:rPr>
          <w:rFonts w:ascii="宋体" w:hAnsi="宋体" w:eastAsia="宋体" w:cs="宋体"/>
          <w:color w:val="auto"/>
          <w:kern w:val="0"/>
          <w:sz w:val="24"/>
          <w:szCs w:val="24"/>
          <w:highlight w:val="none"/>
        </w:rPr>
      </w:pPr>
      <w:r>
        <w:rPr>
          <w:rFonts w:hint="eastAsia" w:ascii="宋体" w:hAnsi="宋体" w:eastAsia="宋体" w:cs="Times New Roman"/>
          <w:b/>
          <w:snapToGrid w:val="0"/>
          <w:color w:val="auto"/>
          <w:kern w:val="0"/>
          <w:sz w:val="24"/>
          <w:szCs w:val="24"/>
          <w:highlight w:val="none"/>
        </w:rPr>
        <w:t>第七条</w:t>
      </w:r>
      <w:r>
        <w:rPr>
          <w:rFonts w:hint="eastAsia" w:ascii="宋体" w:hAnsi="宋体" w:eastAsia="宋体" w:cs="Times New Roman"/>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lang w:bidi="ar"/>
        </w:rPr>
        <w:t>本廉政责任书的</w:t>
      </w:r>
      <w:r>
        <w:rPr>
          <w:rFonts w:hint="eastAsia" w:ascii="宋体" w:hAnsi="宋体" w:eastAsia="宋体" w:cs="宋体"/>
          <w:bCs/>
          <w:color w:val="auto"/>
          <w:kern w:val="0"/>
          <w:sz w:val="24"/>
          <w:szCs w:val="24"/>
          <w:highlight w:val="none"/>
          <w:lang w:bidi="ar"/>
        </w:rPr>
        <w:t>份数与合同份数相同。</w:t>
      </w:r>
    </w:p>
    <w:p w14:paraId="48CD4402">
      <w:pPr>
        <w:adjustRightInd w:val="0"/>
        <w:snapToGrid w:val="0"/>
        <w:spacing w:line="360" w:lineRule="auto"/>
        <w:ind w:firstLine="480"/>
        <w:rPr>
          <w:rFonts w:ascii="宋体" w:hAnsi="宋体" w:eastAsia="宋体" w:cs="Times New Roman"/>
          <w:bCs/>
          <w:snapToGrid w:val="0"/>
          <w:color w:val="auto"/>
          <w:kern w:val="0"/>
          <w:sz w:val="24"/>
          <w:szCs w:val="24"/>
          <w:highlight w:val="none"/>
        </w:rPr>
      </w:pPr>
    </w:p>
    <w:tbl>
      <w:tblPr>
        <w:tblStyle w:val="46"/>
        <w:tblpPr w:leftFromText="180" w:rightFromText="180" w:vertAnchor="text" w:horzAnchor="page" w:tblpX="1686" w:tblpY="259"/>
        <w:tblOverlap w:val="never"/>
        <w:tblW w:w="0" w:type="auto"/>
        <w:tblInd w:w="0" w:type="dxa"/>
        <w:tblLayout w:type="fixed"/>
        <w:tblCellMar>
          <w:top w:w="0" w:type="dxa"/>
          <w:left w:w="108" w:type="dxa"/>
          <w:bottom w:w="0" w:type="dxa"/>
          <w:right w:w="108" w:type="dxa"/>
        </w:tblCellMar>
      </w:tblPr>
      <w:tblGrid>
        <w:gridCol w:w="1668"/>
        <w:gridCol w:w="2596"/>
        <w:gridCol w:w="1656"/>
        <w:gridCol w:w="2608"/>
      </w:tblGrid>
      <w:tr w14:paraId="1746F40E">
        <w:tblPrEx>
          <w:tblCellMar>
            <w:top w:w="0" w:type="dxa"/>
            <w:left w:w="108" w:type="dxa"/>
            <w:bottom w:w="0" w:type="dxa"/>
            <w:right w:w="108" w:type="dxa"/>
          </w:tblCellMar>
        </w:tblPrEx>
        <w:trPr>
          <w:trHeight w:val="1021" w:hRule="atLeast"/>
        </w:trPr>
        <w:tc>
          <w:tcPr>
            <w:tcW w:w="1668" w:type="dxa"/>
            <w:vAlign w:val="center"/>
          </w:tcPr>
          <w:p w14:paraId="05B6ED9B">
            <w:pPr>
              <w:widowControl/>
              <w:wordWrap w:val="0"/>
              <w:topLinePunct/>
              <w:adjustRightInd w:val="0"/>
              <w:snapToGrid w:val="0"/>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甲方单位：</w:t>
            </w:r>
          </w:p>
        </w:tc>
        <w:tc>
          <w:tcPr>
            <w:tcW w:w="2596" w:type="dxa"/>
            <w:vAlign w:val="center"/>
          </w:tcPr>
          <w:p w14:paraId="55C5F480">
            <w:pPr>
              <w:widowControl/>
              <w:wordWrap w:val="0"/>
              <w:topLinePunct/>
              <w:adjustRightInd w:val="0"/>
              <w:snapToGrid w:val="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中新广州知识城财政投资建设项目管理中心（公章）</w:t>
            </w:r>
          </w:p>
        </w:tc>
        <w:tc>
          <w:tcPr>
            <w:tcW w:w="1656" w:type="dxa"/>
            <w:vAlign w:val="center"/>
          </w:tcPr>
          <w:p w14:paraId="2641BE40">
            <w:pPr>
              <w:widowControl/>
              <w:wordWrap w:val="0"/>
              <w:topLinePunct/>
              <w:adjustRightInd w:val="0"/>
              <w:snapToGrid w:val="0"/>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勘察人：</w:t>
            </w:r>
          </w:p>
        </w:tc>
        <w:tc>
          <w:tcPr>
            <w:tcW w:w="2608" w:type="dxa"/>
            <w:vAlign w:val="center"/>
          </w:tcPr>
          <w:p w14:paraId="432C585E">
            <w:pPr>
              <w:widowControl/>
              <w:wordWrap w:val="0"/>
              <w:topLinePunct/>
              <w:adjustRightInd w:val="0"/>
              <w:snapToGrid w:val="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（公章）</w:t>
            </w:r>
          </w:p>
        </w:tc>
      </w:tr>
      <w:tr w14:paraId="6FA49A29">
        <w:tblPrEx>
          <w:tblCellMar>
            <w:top w:w="0" w:type="dxa"/>
            <w:left w:w="108" w:type="dxa"/>
            <w:bottom w:w="0" w:type="dxa"/>
            <w:right w:w="108" w:type="dxa"/>
          </w:tblCellMar>
        </w:tblPrEx>
        <w:trPr>
          <w:trHeight w:val="802" w:hRule="atLeast"/>
        </w:trPr>
        <w:tc>
          <w:tcPr>
            <w:tcW w:w="1668" w:type="dxa"/>
            <w:vAlign w:val="center"/>
          </w:tcPr>
          <w:p w14:paraId="180D71C3">
            <w:pPr>
              <w:widowControl/>
              <w:wordWrap w:val="0"/>
              <w:topLinePunct/>
              <w:adjustRightInd w:val="0"/>
              <w:snapToGrid w:val="0"/>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法定代表人：</w:t>
            </w:r>
          </w:p>
        </w:tc>
        <w:tc>
          <w:tcPr>
            <w:tcW w:w="2596" w:type="dxa"/>
            <w:vAlign w:val="center"/>
          </w:tcPr>
          <w:p w14:paraId="56D213EA">
            <w:pPr>
              <w:widowControl/>
              <w:wordWrap w:val="0"/>
              <w:topLinePunct/>
              <w:adjustRightInd w:val="0"/>
              <w:snapToGrid w:val="0"/>
              <w:rPr>
                <w:rFonts w:ascii="宋体" w:hAnsi="宋体" w:eastAsia="宋体" w:cs="Times New Roman"/>
                <w:color w:val="auto"/>
                <w:sz w:val="24"/>
                <w:szCs w:val="24"/>
                <w:highlight w:val="none"/>
              </w:rPr>
            </w:pPr>
          </w:p>
        </w:tc>
        <w:tc>
          <w:tcPr>
            <w:tcW w:w="1656" w:type="dxa"/>
            <w:vAlign w:val="center"/>
          </w:tcPr>
          <w:p w14:paraId="5452DC30">
            <w:pPr>
              <w:widowControl/>
              <w:wordWrap w:val="0"/>
              <w:topLinePunct/>
              <w:adjustRightInd w:val="0"/>
              <w:snapToGrid w:val="0"/>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法定代表人：</w:t>
            </w:r>
          </w:p>
        </w:tc>
        <w:tc>
          <w:tcPr>
            <w:tcW w:w="2608" w:type="dxa"/>
            <w:vAlign w:val="center"/>
          </w:tcPr>
          <w:p w14:paraId="09D5F1A9">
            <w:pPr>
              <w:widowControl/>
              <w:wordWrap w:val="0"/>
              <w:topLinePunct/>
              <w:adjustRightInd w:val="0"/>
              <w:snapToGrid w:val="0"/>
              <w:rPr>
                <w:rFonts w:ascii="宋体" w:hAnsi="宋体" w:eastAsia="宋体" w:cs="Times New Roman"/>
                <w:color w:val="auto"/>
                <w:sz w:val="24"/>
                <w:szCs w:val="24"/>
                <w:highlight w:val="none"/>
              </w:rPr>
            </w:pPr>
          </w:p>
        </w:tc>
      </w:tr>
      <w:tr w14:paraId="7E093300">
        <w:tblPrEx>
          <w:tblCellMar>
            <w:top w:w="0" w:type="dxa"/>
            <w:left w:w="108" w:type="dxa"/>
            <w:bottom w:w="0" w:type="dxa"/>
            <w:right w:w="108" w:type="dxa"/>
          </w:tblCellMar>
        </w:tblPrEx>
        <w:trPr>
          <w:trHeight w:val="802" w:hRule="atLeast"/>
        </w:trPr>
        <w:tc>
          <w:tcPr>
            <w:tcW w:w="1668" w:type="dxa"/>
            <w:vAlign w:val="center"/>
          </w:tcPr>
          <w:p w14:paraId="18BB18D3">
            <w:pPr>
              <w:widowControl/>
              <w:wordWrap w:val="0"/>
              <w:topLinePunct/>
              <w:adjustRightInd w:val="0"/>
              <w:snapToGrid w:val="0"/>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授权代表：</w:t>
            </w:r>
          </w:p>
        </w:tc>
        <w:tc>
          <w:tcPr>
            <w:tcW w:w="2596" w:type="dxa"/>
            <w:vAlign w:val="center"/>
          </w:tcPr>
          <w:p w14:paraId="5CB408EE">
            <w:pPr>
              <w:widowControl/>
              <w:wordWrap w:val="0"/>
              <w:topLinePunct/>
              <w:adjustRightInd w:val="0"/>
              <w:snapToGrid w:val="0"/>
              <w:rPr>
                <w:rFonts w:ascii="宋体" w:hAnsi="宋体" w:eastAsia="宋体" w:cs="Times New Roman"/>
                <w:color w:val="auto"/>
                <w:sz w:val="24"/>
                <w:szCs w:val="24"/>
                <w:highlight w:val="none"/>
              </w:rPr>
            </w:pPr>
          </w:p>
        </w:tc>
        <w:tc>
          <w:tcPr>
            <w:tcW w:w="1656" w:type="dxa"/>
            <w:vAlign w:val="center"/>
          </w:tcPr>
          <w:p w14:paraId="01C767BC">
            <w:pPr>
              <w:widowControl/>
              <w:wordWrap w:val="0"/>
              <w:topLinePunct/>
              <w:adjustRightInd w:val="0"/>
              <w:snapToGrid w:val="0"/>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授权代表：</w:t>
            </w:r>
          </w:p>
        </w:tc>
        <w:tc>
          <w:tcPr>
            <w:tcW w:w="2608" w:type="dxa"/>
            <w:vAlign w:val="center"/>
          </w:tcPr>
          <w:p w14:paraId="59E33F88">
            <w:pPr>
              <w:widowControl/>
              <w:wordWrap w:val="0"/>
              <w:topLinePunct/>
              <w:adjustRightInd w:val="0"/>
              <w:snapToGrid w:val="0"/>
              <w:rPr>
                <w:rFonts w:ascii="宋体" w:hAnsi="宋体" w:eastAsia="宋体" w:cs="Times New Roman"/>
                <w:color w:val="auto"/>
                <w:sz w:val="24"/>
                <w:szCs w:val="24"/>
                <w:highlight w:val="none"/>
              </w:rPr>
            </w:pPr>
          </w:p>
        </w:tc>
      </w:tr>
      <w:tr w14:paraId="1BF6851A">
        <w:tblPrEx>
          <w:tblCellMar>
            <w:top w:w="0" w:type="dxa"/>
            <w:left w:w="108" w:type="dxa"/>
            <w:bottom w:w="0" w:type="dxa"/>
            <w:right w:w="108" w:type="dxa"/>
          </w:tblCellMar>
        </w:tblPrEx>
        <w:trPr>
          <w:trHeight w:val="802" w:hRule="atLeast"/>
        </w:trPr>
        <w:tc>
          <w:tcPr>
            <w:tcW w:w="1668" w:type="dxa"/>
            <w:vAlign w:val="center"/>
          </w:tcPr>
          <w:p w14:paraId="41F67BBD">
            <w:pPr>
              <w:widowControl/>
              <w:wordWrap w:val="0"/>
              <w:topLinePunct/>
              <w:adjustRightInd w:val="0"/>
              <w:snapToGrid w:val="0"/>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电    话：</w:t>
            </w:r>
          </w:p>
        </w:tc>
        <w:tc>
          <w:tcPr>
            <w:tcW w:w="2596" w:type="dxa"/>
            <w:vAlign w:val="center"/>
          </w:tcPr>
          <w:p w14:paraId="27F5DB80">
            <w:pPr>
              <w:widowControl/>
              <w:wordWrap w:val="0"/>
              <w:topLinePunct/>
              <w:adjustRightInd w:val="0"/>
              <w:snapToGrid w:val="0"/>
              <w:rPr>
                <w:rFonts w:ascii="宋体" w:hAnsi="宋体" w:eastAsia="宋体" w:cs="Times New Roman"/>
                <w:color w:val="auto"/>
                <w:sz w:val="24"/>
                <w:szCs w:val="24"/>
                <w:highlight w:val="none"/>
              </w:rPr>
            </w:pPr>
          </w:p>
        </w:tc>
        <w:tc>
          <w:tcPr>
            <w:tcW w:w="1656" w:type="dxa"/>
            <w:vAlign w:val="center"/>
          </w:tcPr>
          <w:p w14:paraId="1DF28F2D">
            <w:pPr>
              <w:widowControl/>
              <w:wordWrap w:val="0"/>
              <w:topLinePunct/>
              <w:adjustRightInd w:val="0"/>
              <w:snapToGrid w:val="0"/>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电    话：</w:t>
            </w:r>
          </w:p>
        </w:tc>
        <w:tc>
          <w:tcPr>
            <w:tcW w:w="2608" w:type="dxa"/>
            <w:vAlign w:val="center"/>
          </w:tcPr>
          <w:p w14:paraId="7D6B645F">
            <w:pPr>
              <w:widowControl/>
              <w:wordWrap w:val="0"/>
              <w:topLinePunct/>
              <w:adjustRightInd w:val="0"/>
              <w:snapToGrid w:val="0"/>
              <w:rPr>
                <w:rFonts w:ascii="宋体" w:hAnsi="宋体" w:eastAsia="宋体" w:cs="Times New Roman"/>
                <w:color w:val="auto"/>
                <w:sz w:val="24"/>
                <w:szCs w:val="24"/>
                <w:highlight w:val="none"/>
              </w:rPr>
            </w:pPr>
          </w:p>
        </w:tc>
      </w:tr>
      <w:tr w14:paraId="505DCFEC">
        <w:tblPrEx>
          <w:tblCellMar>
            <w:top w:w="0" w:type="dxa"/>
            <w:left w:w="108" w:type="dxa"/>
            <w:bottom w:w="0" w:type="dxa"/>
            <w:right w:w="108" w:type="dxa"/>
          </w:tblCellMar>
        </w:tblPrEx>
        <w:trPr>
          <w:trHeight w:val="802" w:hRule="atLeast"/>
        </w:trPr>
        <w:tc>
          <w:tcPr>
            <w:tcW w:w="1668" w:type="dxa"/>
            <w:vAlign w:val="center"/>
          </w:tcPr>
          <w:p w14:paraId="5B5D0232">
            <w:pPr>
              <w:widowControl/>
              <w:wordWrap w:val="0"/>
              <w:topLinePunct/>
              <w:adjustRightInd w:val="0"/>
              <w:snapToGrid w:val="0"/>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签订时间：</w:t>
            </w:r>
          </w:p>
        </w:tc>
        <w:tc>
          <w:tcPr>
            <w:tcW w:w="2596" w:type="dxa"/>
            <w:vAlign w:val="center"/>
          </w:tcPr>
          <w:p w14:paraId="1A2A2A82">
            <w:pPr>
              <w:widowControl/>
              <w:wordWrap w:val="0"/>
              <w:topLinePunct/>
              <w:adjustRightInd w:val="0"/>
              <w:snapToGrid w:val="0"/>
              <w:rPr>
                <w:rFonts w:ascii="宋体" w:hAnsi="宋体" w:eastAsia="宋体" w:cs="Times New Roman"/>
                <w:color w:val="auto"/>
                <w:sz w:val="24"/>
                <w:szCs w:val="24"/>
                <w:highlight w:val="none"/>
              </w:rPr>
            </w:pPr>
            <w:r>
              <w:rPr>
                <w:rFonts w:hint="eastAsia" w:ascii="宋体" w:hAnsi="宋体" w:eastAsia="宋体" w:cs="Times New Roman"/>
                <w:color w:val="auto"/>
                <w:szCs w:val="24"/>
                <w:highlight w:val="none"/>
              </w:rPr>
              <w:t>2025年   月   日</w:t>
            </w:r>
          </w:p>
        </w:tc>
        <w:tc>
          <w:tcPr>
            <w:tcW w:w="1656" w:type="dxa"/>
            <w:vAlign w:val="center"/>
          </w:tcPr>
          <w:p w14:paraId="5EAD77BE">
            <w:pPr>
              <w:widowControl/>
              <w:wordWrap w:val="0"/>
              <w:topLinePunct/>
              <w:adjustRightInd w:val="0"/>
              <w:snapToGrid w:val="0"/>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签订时间：</w:t>
            </w:r>
          </w:p>
        </w:tc>
        <w:tc>
          <w:tcPr>
            <w:tcW w:w="2608" w:type="dxa"/>
            <w:vAlign w:val="center"/>
          </w:tcPr>
          <w:p w14:paraId="3FD7AEE8">
            <w:pPr>
              <w:widowControl/>
              <w:wordWrap w:val="0"/>
              <w:topLinePunct/>
              <w:adjustRightInd w:val="0"/>
              <w:snapToGrid w:val="0"/>
              <w:rPr>
                <w:rFonts w:ascii="宋体" w:hAnsi="宋体" w:eastAsia="宋体" w:cs="Times New Roman"/>
                <w:color w:val="auto"/>
                <w:sz w:val="24"/>
                <w:szCs w:val="24"/>
                <w:highlight w:val="none"/>
              </w:rPr>
            </w:pPr>
            <w:r>
              <w:rPr>
                <w:rFonts w:hint="eastAsia" w:ascii="宋体" w:hAnsi="宋体" w:eastAsia="宋体" w:cs="Times New Roman"/>
                <w:color w:val="auto"/>
                <w:szCs w:val="24"/>
                <w:highlight w:val="none"/>
              </w:rPr>
              <w:t>2025年   月   日</w:t>
            </w:r>
          </w:p>
        </w:tc>
      </w:tr>
    </w:tbl>
    <w:p w14:paraId="39FE822D">
      <w:pPr>
        <w:widowControl/>
        <w:wordWrap w:val="0"/>
        <w:jc w:val="left"/>
        <w:rPr>
          <w:rFonts w:ascii="宋体" w:hAnsi="宋体" w:eastAsia="宋体" w:cs="Times New Roman"/>
          <w:b/>
          <w:bCs/>
          <w:color w:val="auto"/>
          <w:sz w:val="24"/>
          <w:szCs w:val="24"/>
          <w:highlight w:val="none"/>
        </w:rPr>
      </w:pPr>
    </w:p>
    <w:p w14:paraId="73D4D255">
      <w:pPr>
        <w:widowControl/>
        <w:wordWrap w:val="0"/>
        <w:jc w:val="left"/>
        <w:rPr>
          <w:rFonts w:ascii="宋体" w:hAnsi="宋体" w:eastAsia="宋体" w:cs="宋体"/>
          <w:color w:val="auto"/>
          <w:szCs w:val="24"/>
          <w:highlight w:val="none"/>
        </w:rPr>
      </w:pPr>
      <w:r>
        <w:rPr>
          <w:rFonts w:hint="eastAsia" w:ascii="宋体" w:hAnsi="宋体" w:eastAsia="宋体" w:cs="宋体"/>
          <w:color w:val="auto"/>
          <w:szCs w:val="24"/>
          <w:highlight w:val="none"/>
        </w:rPr>
        <w:br w:type="page"/>
      </w:r>
    </w:p>
    <w:p w14:paraId="1037EB39">
      <w:pPr>
        <w:wordWrap w:val="0"/>
        <w:autoSpaceDE w:val="0"/>
        <w:autoSpaceDN w:val="0"/>
        <w:spacing w:line="200" w:lineRule="exact"/>
        <w:jc w:val="left"/>
        <w:rPr>
          <w:rFonts w:ascii="宋体" w:hAnsi="宋体" w:eastAsia="宋体" w:cs="宋体"/>
          <w:color w:val="auto"/>
          <w:kern w:val="0"/>
          <w:sz w:val="20"/>
          <w:szCs w:val="20"/>
          <w:highlight w:val="none"/>
        </w:rPr>
        <w:sectPr>
          <w:pgSz w:w="11905" w:h="16838"/>
          <w:pgMar w:top="1474" w:right="1701" w:bottom="1474" w:left="1701" w:header="720" w:footer="720" w:gutter="0"/>
          <w:cols w:space="720" w:num="1"/>
          <w:docGrid w:linePitch="286" w:charSpace="0"/>
        </w:sectPr>
      </w:pPr>
    </w:p>
    <w:p w14:paraId="0577D859">
      <w:pPr>
        <w:pStyle w:val="2"/>
        <w:rPr>
          <w:rFonts w:ascii="宋体" w:hAnsi="宋体"/>
          <w:color w:val="auto"/>
          <w:highlight w:val="none"/>
        </w:rPr>
      </w:pPr>
      <w:bookmarkStart w:id="210" w:name="_Toc111186800"/>
      <w:bookmarkStart w:id="211" w:name="_Toc82786981"/>
      <w:bookmarkStart w:id="212" w:name="_Toc193358020"/>
      <w:r>
        <w:rPr>
          <w:rFonts w:hint="eastAsia" w:ascii="宋体" w:hAnsi="宋体"/>
          <w:color w:val="auto"/>
          <w:highlight w:val="none"/>
        </w:rPr>
        <w:t>第二卷</w:t>
      </w:r>
      <w:bookmarkEnd w:id="210"/>
      <w:bookmarkEnd w:id="211"/>
      <w:bookmarkEnd w:id="212"/>
    </w:p>
    <w:p w14:paraId="19516FEA">
      <w:pPr>
        <w:widowControl/>
        <w:wordWrap w:val="0"/>
        <w:jc w:val="left"/>
        <w:rPr>
          <w:rFonts w:ascii="宋体" w:hAnsi="宋体" w:eastAsia="宋体" w:cs="宋体"/>
          <w:color w:val="auto"/>
          <w:kern w:val="0"/>
          <w:sz w:val="14"/>
          <w:szCs w:val="14"/>
          <w:highlight w:val="none"/>
        </w:rPr>
        <w:sectPr>
          <w:type w:val="continuous"/>
          <w:pgSz w:w="11905" w:h="16838"/>
          <w:pgMar w:top="1474" w:right="1701" w:bottom="1474" w:left="1701" w:header="720" w:footer="720" w:gutter="0"/>
          <w:cols w:space="720" w:num="1"/>
        </w:sectPr>
      </w:pPr>
    </w:p>
    <w:p w14:paraId="3CE6E6A0">
      <w:pPr>
        <w:pStyle w:val="2"/>
        <w:rPr>
          <w:rFonts w:ascii="宋体" w:hAnsi="宋体"/>
          <w:color w:val="auto"/>
          <w:highlight w:val="none"/>
        </w:rPr>
      </w:pPr>
      <w:bookmarkStart w:id="213" w:name="_Toc193358021"/>
      <w:r>
        <w:rPr>
          <w:rFonts w:hint="eastAsia" w:ascii="宋体" w:hAnsi="宋体"/>
          <w:color w:val="auto"/>
          <w:highlight w:val="none"/>
        </w:rPr>
        <w:t>第五章  发包人要求</w:t>
      </w:r>
      <w:bookmarkEnd w:id="213"/>
    </w:p>
    <w:p w14:paraId="012A5142">
      <w:pPr>
        <w:spacing w:line="360" w:lineRule="auto"/>
        <w:rPr>
          <w:rFonts w:ascii="宋体" w:hAnsi="宋体" w:eastAsia="宋体"/>
          <w:b/>
          <w:color w:val="auto"/>
          <w:sz w:val="24"/>
          <w:highlight w:val="none"/>
        </w:rPr>
      </w:pPr>
      <w:bookmarkStart w:id="214" w:name="_Toc82786986"/>
      <w:bookmarkStart w:id="215" w:name="_Toc111186802"/>
      <w:r>
        <w:rPr>
          <w:rFonts w:hint="eastAsia" w:ascii="宋体" w:hAnsi="宋体" w:eastAsia="宋体" w:cs="Times New Roman"/>
          <w:b/>
          <w:color w:val="auto"/>
          <w:sz w:val="24"/>
          <w:highlight w:val="none"/>
        </w:rPr>
        <w:t>1工程概况</w:t>
      </w:r>
    </w:p>
    <w:p w14:paraId="0123BD7D">
      <w:pPr>
        <w:spacing w:line="360" w:lineRule="auto"/>
        <w:ind w:firstLine="480" w:firstLineChars="200"/>
        <w:rPr>
          <w:rFonts w:hint="eastAsia" w:ascii="宋体" w:hAnsi="宋体" w:eastAsia="宋体"/>
          <w:color w:val="auto"/>
          <w:sz w:val="24"/>
          <w:highlight w:val="none"/>
          <w:lang w:val="en-US" w:eastAsia="zh-CN"/>
        </w:rPr>
      </w:pPr>
      <w:bookmarkStart w:id="216" w:name="_Hlk137193067"/>
      <w:r>
        <w:rPr>
          <w:rFonts w:hint="eastAsia" w:ascii="宋体" w:hAnsi="宋体" w:eastAsia="宋体"/>
          <w:color w:val="auto"/>
          <w:sz w:val="24"/>
          <w:highlight w:val="none"/>
          <w:lang w:val="en-US" w:eastAsia="zh-CN"/>
        </w:rPr>
        <w:t>本项目包含2条道路：</w:t>
      </w:r>
    </w:p>
    <w:p w14:paraId="41413D90">
      <w:pPr>
        <w:spacing w:line="360" w:lineRule="auto"/>
        <w:ind w:firstLine="480" w:firstLineChars="200"/>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一是知识城活力创新轴市政道路南起于黄埔-白云区界，北接规划凤吉路，长约1463米，道路等级为城市主干路，道路规划红线宽标准段为44米，双向6车道，设计速度为60km/h；</w:t>
      </w:r>
    </w:p>
    <w:p w14:paraId="75DD421A">
      <w:pPr>
        <w:spacing w:line="360" w:lineRule="auto"/>
        <w:ind w:firstLine="480" w:firstLineChars="200"/>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二是连接知识大道北侧辅道共180米及两条东-南主线匝道共1089米的建设，辅道双向4车道，单侧辅道宽度8米，设计时速为40km/h，主线匝道双向4车道，单侧匝道宽度9.5m-10.7m，设计时速为60km/h。建设内容包括：道路工程、桥梁工程（本项目全线共设桥梁3座，X匝道桥桥长约390.08m，最大单跨为40m；R匝道桥桥长约185.08m，最大单跨为30m；A辅道桥桥长约125.08m，最大单跨为30m；）排水工程（DN500污水管长度约为1300米；d300~d1000雨水管长度约为4464米）、给水工程（DN100~DN300给水管长度约为3582米）、交通工程、照明工程、电缆沟工程、绿化工程、海绵城市、管线综合工程。本工程岩土工程勘察等级为甲级，四等水准测量。</w:t>
      </w:r>
    </w:p>
    <w:p w14:paraId="6BA54BAB">
      <w:pPr>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估算总投资为</w:t>
      </w:r>
      <w:r>
        <w:rPr>
          <w:rFonts w:hint="eastAsia" w:ascii="宋体" w:hAnsi="宋体" w:eastAsia="宋体" w:cs="宋体"/>
          <w:bCs/>
          <w:color w:val="auto"/>
          <w:sz w:val="24"/>
          <w:szCs w:val="24"/>
          <w:highlight w:val="none"/>
          <w:u w:val="single"/>
          <w:lang w:val="en-US" w:eastAsia="zh-CN"/>
        </w:rPr>
        <w:t>32504.84</w:t>
      </w:r>
      <w:r>
        <w:rPr>
          <w:rFonts w:hint="eastAsia" w:ascii="宋体" w:hAnsi="宋体" w:eastAsia="宋体"/>
          <w:color w:val="auto"/>
          <w:sz w:val="24"/>
          <w:highlight w:val="none"/>
        </w:rPr>
        <w:t>万元，其中建安费</w:t>
      </w:r>
      <w:r>
        <w:rPr>
          <w:rFonts w:hint="eastAsia" w:ascii="宋体" w:hAnsi="宋体" w:eastAsia="宋体" w:cs="宋体"/>
          <w:bCs/>
          <w:color w:val="auto"/>
          <w:sz w:val="24"/>
          <w:szCs w:val="24"/>
          <w:highlight w:val="none"/>
          <w:u w:val="single"/>
          <w:lang w:val="en-US" w:eastAsia="zh-CN"/>
        </w:rPr>
        <w:t>20901.33</w:t>
      </w:r>
      <w:r>
        <w:rPr>
          <w:rFonts w:hint="eastAsia" w:ascii="宋体" w:hAnsi="宋体" w:eastAsia="宋体"/>
          <w:color w:val="auto"/>
          <w:sz w:val="24"/>
          <w:highlight w:val="none"/>
        </w:rPr>
        <w:t>万元，资金来源于财政投资。</w:t>
      </w:r>
    </w:p>
    <w:bookmarkEnd w:id="216"/>
    <w:p w14:paraId="3F54DB47">
      <w:pPr>
        <w:spacing w:line="360" w:lineRule="auto"/>
        <w:rPr>
          <w:rFonts w:ascii="宋体" w:hAnsi="宋体" w:eastAsia="宋体"/>
          <w:b/>
          <w:color w:val="auto"/>
          <w:sz w:val="24"/>
          <w:highlight w:val="none"/>
        </w:rPr>
      </w:pPr>
      <w:r>
        <w:rPr>
          <w:rFonts w:hint="eastAsia" w:ascii="宋体" w:hAnsi="宋体" w:eastAsia="宋体"/>
          <w:b/>
          <w:color w:val="auto"/>
          <w:sz w:val="24"/>
          <w:highlight w:val="none"/>
        </w:rPr>
        <w:t>2设计要求</w:t>
      </w:r>
    </w:p>
    <w:p w14:paraId="325A43AB">
      <w:pPr>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1）设计方案必须满足国家、省和市有关建设方针、政策、规范、规程同时满足技术标准、通行能力的要求，并考虑工程造价、经济效益和社会效益等综合因素。</w:t>
      </w:r>
    </w:p>
    <w:p w14:paraId="6D0D90F9">
      <w:pPr>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2）设计方案能正确理解并执行规划建设意图，与周边路网、管网规划协调一致；对区域内路网的交通组织完善合理，总体思路清晰；路线平、纵、横等设计科学合理；道路、给排水及管线之间的关系处理得当。</w:t>
      </w:r>
    </w:p>
    <w:p w14:paraId="0FF84B56">
      <w:pPr>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3）交叉节点功能定位合理；平、纵、横等设计指标符合规范且标准较高，技术措施优良。</w:t>
      </w:r>
    </w:p>
    <w:p w14:paraId="625E28FA">
      <w:pPr>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4）对拟建道路的周边现状条件调查充分，根据现状地形地质条件、土地利用条件、现状管线分布及征地拆迁等条件，提出经济合理、可实施的总体设计方案。</w:t>
      </w:r>
    </w:p>
    <w:p w14:paraId="2982A737">
      <w:pPr>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5）路基路面、不良地基处理、护坡及挡土墙等基础工程的设计安全、合理、经济且能满足工期的要求；土方平衡合理。</w:t>
      </w:r>
    </w:p>
    <w:p w14:paraId="3D0E17FB">
      <w:pPr>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6）道路公用设施（</w:t>
      </w:r>
      <w:r>
        <w:rPr>
          <w:rFonts w:hint="eastAsia" w:ascii="宋体" w:hAnsi="宋体" w:eastAsia="宋体"/>
          <w:color w:val="auto"/>
          <w:sz w:val="24"/>
          <w:highlight w:val="none"/>
          <w:lang w:val="en-US" w:eastAsia="zh-CN"/>
        </w:rPr>
        <w:t>景观</w:t>
      </w:r>
      <w:r>
        <w:rPr>
          <w:rFonts w:hint="eastAsia" w:ascii="宋体" w:hAnsi="宋体" w:eastAsia="宋体"/>
          <w:color w:val="auto"/>
          <w:sz w:val="24"/>
          <w:highlight w:val="none"/>
        </w:rPr>
        <w:t>绿化</w:t>
      </w:r>
      <w:r>
        <w:rPr>
          <w:rFonts w:hint="eastAsia" w:ascii="宋体" w:hAnsi="宋体" w:eastAsia="宋体"/>
          <w:color w:val="auto"/>
          <w:sz w:val="24"/>
          <w:highlight w:val="none"/>
          <w:lang w:eastAsia="zh-CN"/>
        </w:rPr>
        <w:t>、</w:t>
      </w:r>
      <w:r>
        <w:rPr>
          <w:rFonts w:hint="eastAsia" w:ascii="宋体" w:hAnsi="宋体" w:eastAsia="宋体"/>
          <w:color w:val="auto"/>
          <w:sz w:val="24"/>
          <w:highlight w:val="none"/>
          <w:lang w:val="en-US" w:eastAsia="zh-CN"/>
        </w:rPr>
        <w:t>道路</w:t>
      </w:r>
      <w:r>
        <w:rPr>
          <w:rFonts w:hint="eastAsia" w:ascii="宋体" w:hAnsi="宋体" w:eastAsia="宋体"/>
          <w:color w:val="auto"/>
          <w:sz w:val="24"/>
          <w:highlight w:val="none"/>
        </w:rPr>
        <w:t>照明、行人设施、道路元素等）设计科学合理、处理得当、特点鲜明。</w:t>
      </w:r>
    </w:p>
    <w:p w14:paraId="52D658EA">
      <w:pPr>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7）综合管线的布置形式系统、合理、经济、实用；管理模式先进合理；能充分考虑与市政道路的衔接与协调。</w:t>
      </w:r>
    </w:p>
    <w:p w14:paraId="5393208C">
      <w:pPr>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8）充分考虑已建排水设施，结合现状及规划污水处理需求，综合考虑近远期结合的要求；排水管道系统总体布局充分利用地形，尽量采用自流，尽量避免穿越河道，缩短管线长度，减小主干管管径，充分考虑其可实施性和可操作性。</w:t>
      </w:r>
    </w:p>
    <w:p w14:paraId="74213359">
      <w:pPr>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9）施工期间交通组织，施工实施方案切合实际。</w:t>
      </w:r>
    </w:p>
    <w:p w14:paraId="252C25F8">
      <w:pPr>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10）工程建设和使用的重点、难点分析透彻，解决措施合理。</w:t>
      </w:r>
    </w:p>
    <w:p w14:paraId="0DE9840A">
      <w:pPr>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11）勘察方案合理可行，勘察的重点、难点理解准确，建议合理可行；勘察工作流程规范，工期进度计划合理可行。</w:t>
      </w:r>
    </w:p>
    <w:p w14:paraId="1135690B">
      <w:pPr>
        <w:spacing w:line="360" w:lineRule="auto"/>
        <w:ind w:firstLine="480" w:firstLineChars="200"/>
        <w:rPr>
          <w:rFonts w:ascii="宋体" w:hAnsi="宋体"/>
          <w:color w:val="auto"/>
          <w:sz w:val="24"/>
          <w:highlight w:val="none"/>
        </w:rPr>
      </w:pPr>
      <w:r>
        <w:rPr>
          <w:rFonts w:hint="eastAsia" w:ascii="宋体" w:hAnsi="宋体" w:eastAsia="宋体"/>
          <w:color w:val="auto"/>
          <w:sz w:val="24"/>
          <w:highlight w:val="none"/>
        </w:rPr>
        <w:t>12）工程总投资合理，节约工程总投资的措施及理由合理、可信、可行，编制依据正确，达到相应的深度要求，编制质量高</w:t>
      </w:r>
      <w:r>
        <w:rPr>
          <w:rFonts w:hint="eastAsia" w:ascii="宋体" w:hAnsi="宋体"/>
          <w:color w:val="auto"/>
          <w:sz w:val="24"/>
          <w:highlight w:val="none"/>
        </w:rPr>
        <w:t>。</w:t>
      </w:r>
    </w:p>
    <w:p w14:paraId="76DAE2A6">
      <w:pPr>
        <w:spacing w:line="360" w:lineRule="auto"/>
        <w:ind w:firstLine="426" w:firstLineChars="177"/>
        <w:rPr>
          <w:rFonts w:ascii="宋体" w:hAnsi="宋体" w:eastAsia="宋体"/>
          <w:b/>
          <w:color w:val="auto"/>
          <w:sz w:val="24"/>
          <w:highlight w:val="none"/>
        </w:rPr>
      </w:pPr>
      <w:r>
        <w:rPr>
          <w:rFonts w:hint="eastAsia" w:ascii="宋体" w:hAnsi="宋体" w:eastAsia="宋体" w:cs="Times New Roman"/>
          <w:b/>
          <w:color w:val="auto"/>
          <w:sz w:val="24"/>
          <w:highlight w:val="none"/>
        </w:rPr>
        <w:t>3总图</w:t>
      </w:r>
    </w:p>
    <w:p w14:paraId="20BE14A1">
      <w:pPr>
        <w:pStyle w:val="163"/>
        <w:ind w:firstLine="0" w:firstLineChars="0"/>
        <w:jc w:val="center"/>
        <w:rPr>
          <w:rFonts w:cs="Times New Roman"/>
          <w:b/>
          <w:color w:val="auto"/>
          <w:sz w:val="21"/>
          <w:szCs w:val="21"/>
          <w:highlight w:val="none"/>
        </w:rPr>
      </w:pPr>
      <w:r>
        <w:rPr>
          <w:color w:val="auto"/>
          <w:highlight w:val="none"/>
        </w:rPr>
        <w:drawing>
          <wp:inline distT="0" distB="0" distL="114300" distR="114300">
            <wp:extent cx="5268595" cy="3656965"/>
            <wp:effectExtent l="0" t="0" r="444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268595" cy="3656965"/>
                    </a:xfrm>
                    <a:prstGeom prst="rect">
                      <a:avLst/>
                    </a:prstGeom>
                    <a:noFill/>
                    <a:ln>
                      <a:noFill/>
                    </a:ln>
                  </pic:spPr>
                </pic:pic>
              </a:graphicData>
            </a:graphic>
          </wp:inline>
        </w:drawing>
      </w:r>
    </w:p>
    <w:p w14:paraId="6E3E173D">
      <w:pPr>
        <w:spacing w:line="360" w:lineRule="auto"/>
        <w:rPr>
          <w:rFonts w:ascii="宋体" w:hAnsi="宋体" w:eastAsia="宋体"/>
          <w:b/>
          <w:color w:val="auto"/>
          <w:sz w:val="24"/>
          <w:highlight w:val="none"/>
        </w:rPr>
      </w:pPr>
      <w:r>
        <w:rPr>
          <w:rFonts w:hint="eastAsia" w:ascii="宋体" w:hAnsi="宋体" w:eastAsia="宋体"/>
          <w:b/>
          <w:color w:val="auto"/>
          <w:sz w:val="24"/>
          <w:highlight w:val="none"/>
        </w:rPr>
        <w:t>4编制依据</w:t>
      </w:r>
    </w:p>
    <w:p w14:paraId="5F0E6E34">
      <w:pPr>
        <w:numPr>
          <w:ilvl w:val="0"/>
          <w:numId w:val="1"/>
        </w:numPr>
        <w:spacing w:line="360" w:lineRule="auto"/>
        <w:ind w:left="0" w:firstLine="0"/>
        <w:rPr>
          <w:rFonts w:ascii="宋体" w:hAnsi="宋体" w:eastAsia="宋体" w:cs="Times New Roman"/>
          <w:color w:val="auto"/>
          <w:sz w:val="24"/>
          <w:szCs w:val="24"/>
          <w:highlight w:val="none"/>
        </w:rPr>
      </w:pPr>
      <w:bookmarkStart w:id="217" w:name="_Hlk197701733"/>
      <w:r>
        <w:rPr>
          <w:rFonts w:hint="eastAsia" w:ascii="宋体" w:hAnsi="宋体" w:eastAsia="宋体" w:cs="Times New Roman"/>
          <w:color w:val="auto"/>
          <w:sz w:val="24"/>
          <w:szCs w:val="24"/>
          <w:highlight w:val="none"/>
        </w:rPr>
        <w:t>《城市道路交通工程项目规范》(GB 55011-2021)</w:t>
      </w:r>
    </w:p>
    <w:p w14:paraId="47A6AD9D">
      <w:pPr>
        <w:numPr>
          <w:ilvl w:val="0"/>
          <w:numId w:val="1"/>
        </w:numPr>
        <w:spacing w:line="360" w:lineRule="auto"/>
        <w:ind w:left="0" w:firstLine="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《城市道路工程设计规范》(CJJ37-2012) (2016 年版)</w:t>
      </w:r>
    </w:p>
    <w:p w14:paraId="605F2903">
      <w:pPr>
        <w:numPr>
          <w:ilvl w:val="0"/>
          <w:numId w:val="1"/>
        </w:numPr>
        <w:spacing w:line="360" w:lineRule="auto"/>
        <w:ind w:left="0" w:firstLine="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《城市道路路线设计规范》(CJJ 193-2012)</w:t>
      </w:r>
    </w:p>
    <w:p w14:paraId="3DB55525">
      <w:pPr>
        <w:numPr>
          <w:ilvl w:val="0"/>
          <w:numId w:val="1"/>
        </w:numPr>
        <w:spacing w:line="360" w:lineRule="auto"/>
        <w:ind w:left="0" w:firstLine="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《城镇道路路基设计规范》(CJJ 194-2013)</w:t>
      </w:r>
    </w:p>
    <w:p w14:paraId="70904C59">
      <w:pPr>
        <w:numPr>
          <w:ilvl w:val="0"/>
          <w:numId w:val="1"/>
        </w:numPr>
        <w:spacing w:line="360" w:lineRule="auto"/>
        <w:ind w:left="0" w:firstLine="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《城镇道路路面设计规范》(CJJ 169-2012)</w:t>
      </w:r>
    </w:p>
    <w:p w14:paraId="6ACDDF5A">
      <w:pPr>
        <w:numPr>
          <w:ilvl w:val="0"/>
          <w:numId w:val="1"/>
        </w:numPr>
        <w:spacing w:line="360" w:lineRule="auto"/>
        <w:ind w:left="0" w:firstLine="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《公路沥青路面设计规范》(JTG D50-2017)</w:t>
      </w:r>
    </w:p>
    <w:p w14:paraId="76FE649F">
      <w:pPr>
        <w:numPr>
          <w:ilvl w:val="0"/>
          <w:numId w:val="1"/>
        </w:numPr>
        <w:spacing w:line="360" w:lineRule="auto"/>
        <w:ind w:left="0" w:firstLine="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《城市道路交叉口设计规程》 (CJJ 152-2010)</w:t>
      </w:r>
    </w:p>
    <w:p w14:paraId="18671B61">
      <w:pPr>
        <w:numPr>
          <w:ilvl w:val="0"/>
          <w:numId w:val="1"/>
        </w:numPr>
        <w:spacing w:line="360" w:lineRule="auto"/>
        <w:ind w:left="0" w:firstLine="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《城镇道路工程施工与质量验收规范》(CJJ1-2008 )</w:t>
      </w:r>
    </w:p>
    <w:p w14:paraId="46921634">
      <w:pPr>
        <w:numPr>
          <w:ilvl w:val="0"/>
          <w:numId w:val="1"/>
        </w:numPr>
        <w:spacing w:line="360" w:lineRule="auto"/>
        <w:ind w:left="0" w:firstLine="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《城市桥梁抗震设计规范》(CJJ 166-2011)</w:t>
      </w:r>
    </w:p>
    <w:p w14:paraId="6D6AAB0B">
      <w:pPr>
        <w:numPr>
          <w:ilvl w:val="0"/>
          <w:numId w:val="1"/>
        </w:numPr>
        <w:spacing w:line="360" w:lineRule="auto"/>
        <w:ind w:left="0" w:firstLine="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《城市工程管线综合规划规范》(GB50289-2016)</w:t>
      </w:r>
    </w:p>
    <w:p w14:paraId="3030C340">
      <w:pPr>
        <w:numPr>
          <w:ilvl w:val="0"/>
          <w:numId w:val="1"/>
        </w:numPr>
        <w:spacing w:line="360" w:lineRule="auto"/>
        <w:ind w:left="0" w:firstLine="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《室外排水设计标准》 (GB 50014-2021)</w:t>
      </w:r>
    </w:p>
    <w:p w14:paraId="59BF4AA3">
      <w:pPr>
        <w:numPr>
          <w:ilvl w:val="0"/>
          <w:numId w:val="1"/>
        </w:numPr>
        <w:spacing w:line="360" w:lineRule="auto"/>
        <w:ind w:left="0" w:firstLine="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《城市给水工程规划规范》(GB50282-2016)</w:t>
      </w:r>
    </w:p>
    <w:p w14:paraId="1A9F27A2">
      <w:pPr>
        <w:numPr>
          <w:ilvl w:val="0"/>
          <w:numId w:val="1"/>
        </w:numPr>
        <w:spacing w:line="360" w:lineRule="auto"/>
        <w:ind w:left="0" w:firstLine="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《城镇给水排水技术规范》(GB50788-2012)</w:t>
      </w:r>
    </w:p>
    <w:p w14:paraId="66C03237">
      <w:pPr>
        <w:numPr>
          <w:ilvl w:val="0"/>
          <w:numId w:val="1"/>
        </w:numPr>
        <w:spacing w:line="360" w:lineRule="auto"/>
        <w:ind w:left="0" w:firstLine="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《室外给水设计标准》(GB50013-2018)</w:t>
      </w:r>
    </w:p>
    <w:p w14:paraId="765342F1">
      <w:pPr>
        <w:numPr>
          <w:ilvl w:val="0"/>
          <w:numId w:val="1"/>
        </w:numPr>
        <w:spacing w:line="360" w:lineRule="auto"/>
        <w:ind w:left="0" w:firstLine="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《给水排水管道工程施工及验收规范》(GB50268-2008)</w:t>
      </w:r>
    </w:p>
    <w:p w14:paraId="733C0505">
      <w:pPr>
        <w:numPr>
          <w:ilvl w:val="0"/>
          <w:numId w:val="1"/>
        </w:numPr>
        <w:spacing w:line="360" w:lineRule="auto"/>
        <w:ind w:left="0" w:firstLine="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《城市道路照明设计标准》(CJ45-2015)</w:t>
      </w:r>
    </w:p>
    <w:p w14:paraId="60997931">
      <w:pPr>
        <w:numPr>
          <w:ilvl w:val="0"/>
          <w:numId w:val="1"/>
        </w:numPr>
        <w:spacing w:line="360" w:lineRule="auto"/>
        <w:ind w:left="0" w:firstLine="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《城市电力电缆设计行业标准》 (DLT5221-2016)</w:t>
      </w:r>
    </w:p>
    <w:p w14:paraId="7ACB27AF">
      <w:pPr>
        <w:numPr>
          <w:ilvl w:val="0"/>
          <w:numId w:val="1"/>
        </w:numPr>
        <w:spacing w:line="360" w:lineRule="auto"/>
        <w:ind w:left="0" w:firstLine="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《城市道路绿化规划与设计规范》(CJJ75-97) ;</w:t>
      </w:r>
    </w:p>
    <w:p w14:paraId="5EBE7170">
      <w:pPr>
        <w:numPr>
          <w:ilvl w:val="0"/>
          <w:numId w:val="1"/>
        </w:numPr>
        <w:spacing w:line="360" w:lineRule="auto"/>
        <w:ind w:left="0" w:firstLine="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《城市绿地设计规范》（GD50420-2007）(2016 年版)</w:t>
      </w:r>
    </w:p>
    <w:p w14:paraId="4B12C21C">
      <w:pPr>
        <w:numPr>
          <w:ilvl w:val="0"/>
          <w:numId w:val="1"/>
        </w:numPr>
        <w:spacing w:line="360" w:lineRule="auto"/>
        <w:ind w:left="0" w:firstLine="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《无障碍设计规范》(GB50763-2012)</w:t>
      </w:r>
    </w:p>
    <w:p w14:paraId="29AD7FA5">
      <w:pPr>
        <w:numPr>
          <w:ilvl w:val="0"/>
          <w:numId w:val="1"/>
        </w:numPr>
        <w:spacing w:line="360" w:lineRule="auto"/>
        <w:ind w:left="0" w:firstLine="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《道路交通标志和标线》 (GB 5768-2009 )</w:t>
      </w:r>
    </w:p>
    <w:p w14:paraId="00069DC2">
      <w:pPr>
        <w:numPr>
          <w:ilvl w:val="0"/>
          <w:numId w:val="1"/>
        </w:numPr>
        <w:spacing w:line="360" w:lineRule="auto"/>
        <w:ind w:left="0" w:firstLine="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《广州市海绵城市建设技术指引及标准图集(试行)》</w:t>
      </w:r>
    </w:p>
    <w:p w14:paraId="18DED387">
      <w:pPr>
        <w:numPr>
          <w:ilvl w:val="0"/>
          <w:numId w:val="1"/>
        </w:numPr>
        <w:spacing w:line="360" w:lineRule="auto"/>
        <w:ind w:left="0" w:firstLine="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《广州市道路工程路面结构设计指引》（2020年6月）</w:t>
      </w:r>
    </w:p>
    <w:p w14:paraId="3765906D">
      <w:pPr>
        <w:numPr>
          <w:ilvl w:val="0"/>
          <w:numId w:val="1"/>
        </w:numPr>
        <w:spacing w:line="360" w:lineRule="auto"/>
        <w:ind w:left="0" w:firstLine="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《广州市城市道路标准横断面设计指引》（2021年4月）</w:t>
      </w:r>
    </w:p>
    <w:p w14:paraId="4E627770">
      <w:pPr>
        <w:numPr>
          <w:ilvl w:val="0"/>
          <w:numId w:val="1"/>
        </w:numPr>
        <w:spacing w:line="360" w:lineRule="auto"/>
        <w:ind w:left="0" w:firstLine="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《广州市无障碍环境建设管理规定》（2020年3月）</w:t>
      </w:r>
    </w:p>
    <w:p w14:paraId="328CE326">
      <w:pPr>
        <w:numPr>
          <w:ilvl w:val="0"/>
          <w:numId w:val="1"/>
        </w:numPr>
        <w:spacing w:line="360" w:lineRule="auto"/>
        <w:ind w:left="0" w:firstLine="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《黄埔区市政基础设施设计标准及指引3.0》</w:t>
      </w:r>
    </w:p>
    <w:p w14:paraId="61F2EC03">
      <w:pPr>
        <w:numPr>
          <w:ilvl w:val="0"/>
          <w:numId w:val="1"/>
        </w:numPr>
        <w:spacing w:line="360" w:lineRule="auto"/>
        <w:ind w:left="0" w:firstLine="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《黄埔区科学绿化建设指引（试行）》（2022年3月）</w:t>
      </w:r>
    </w:p>
    <w:p w14:paraId="3F552CAC">
      <w:pPr>
        <w:numPr>
          <w:ilvl w:val="0"/>
          <w:numId w:val="1"/>
        </w:numPr>
        <w:spacing w:line="360" w:lineRule="auto"/>
        <w:ind w:left="0" w:firstLine="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《黄埔区、广州开发区市政道路同步建设电缆管沟工作指引》（2023年5月）</w:t>
      </w:r>
    </w:p>
    <w:p w14:paraId="419F8672">
      <w:pPr>
        <w:numPr>
          <w:ilvl w:val="0"/>
          <w:numId w:val="1"/>
        </w:numPr>
        <w:spacing w:line="360" w:lineRule="auto"/>
        <w:ind w:left="0" w:firstLine="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《黄埔区市政道路管线综合设计指引》（2023年10月）</w:t>
      </w:r>
    </w:p>
    <w:p w14:paraId="1FF59397">
      <w:pPr>
        <w:numPr>
          <w:ilvl w:val="0"/>
          <w:numId w:val="1"/>
        </w:numPr>
        <w:spacing w:line="360" w:lineRule="auto"/>
        <w:ind w:left="0" w:firstLine="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《市政公用工程设计文件编制深度规定》（2013年版）</w:t>
      </w:r>
    </w:p>
    <w:p w14:paraId="2B2BC8F8">
      <w:pPr>
        <w:numPr>
          <w:ilvl w:val="0"/>
          <w:numId w:val="1"/>
        </w:numPr>
        <w:spacing w:line="360" w:lineRule="auto"/>
        <w:ind w:left="0" w:firstLine="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其他相关标准、规范、指引</w:t>
      </w:r>
    </w:p>
    <w:bookmarkEnd w:id="217"/>
    <w:p w14:paraId="49C9A603">
      <w:pPr>
        <w:spacing w:line="360" w:lineRule="auto"/>
        <w:rPr>
          <w:rFonts w:ascii="宋体" w:hAnsi="宋体" w:eastAsia="宋体"/>
          <w:b/>
          <w:color w:val="auto"/>
          <w:sz w:val="24"/>
          <w:highlight w:val="none"/>
        </w:rPr>
      </w:pPr>
      <w:r>
        <w:rPr>
          <w:rFonts w:hint="eastAsia" w:ascii="宋体" w:hAnsi="宋体" w:eastAsia="宋体"/>
          <w:b/>
          <w:color w:val="auto"/>
          <w:sz w:val="24"/>
          <w:highlight w:val="none"/>
        </w:rPr>
        <w:t>5周边道路现状</w:t>
      </w:r>
    </w:p>
    <w:p w14:paraId="57F2ABB6">
      <w:pPr>
        <w:autoSpaceDE w:val="0"/>
        <w:autoSpaceDN w:val="0"/>
        <w:adjustRightInd w:val="0"/>
        <w:spacing w:line="360" w:lineRule="auto"/>
        <w:ind w:firstLine="480" w:firstLineChars="200"/>
        <w:rPr>
          <w:rFonts w:ascii="宋体" w:hAnsi="宋体" w:eastAsia="宋体"/>
          <w:color w:val="auto"/>
          <w:sz w:val="24"/>
          <w:highlight w:val="none"/>
        </w:rPr>
      </w:pPr>
      <w:r>
        <w:rPr>
          <w:rFonts w:hint="eastAsia" w:ascii="宋体" w:hAnsi="宋体" w:eastAsia="宋体" w:cs="Times New Roman"/>
          <w:b w:val="0"/>
          <w:bCs w:val="0"/>
          <w:color w:val="auto"/>
          <w:sz w:val="24"/>
          <w:szCs w:val="24"/>
          <w:highlight w:val="none"/>
          <w:lang w:val="en-US" w:eastAsia="zh-CN"/>
        </w:rPr>
        <w:t>本项目位于永九快速路以西，研究范围现状道路主要为从埔高速知识大道北立交、现状S115公路、村道。</w:t>
      </w:r>
    </w:p>
    <w:p w14:paraId="13B2512B">
      <w:pPr>
        <w:spacing w:line="360" w:lineRule="auto"/>
        <w:rPr>
          <w:rFonts w:ascii="宋体" w:hAnsi="宋体" w:eastAsia="宋体"/>
          <w:color w:val="auto"/>
          <w:highlight w:val="none"/>
        </w:rPr>
      </w:pPr>
      <w:r>
        <w:rPr>
          <w:rFonts w:hint="eastAsia" w:ascii="宋体" w:hAnsi="宋体" w:eastAsia="宋体"/>
          <w:b/>
          <w:color w:val="auto"/>
          <w:sz w:val="24"/>
          <w:highlight w:val="none"/>
        </w:rPr>
        <w:t>6技术标准</w:t>
      </w:r>
    </w:p>
    <w:p w14:paraId="3AE08F40">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本项目采用的主要技术指标如下：</w:t>
      </w:r>
    </w:p>
    <w:p w14:paraId="53E45FAB">
      <w:pPr>
        <w:numPr>
          <w:ilvl w:val="0"/>
          <w:numId w:val="2"/>
        </w:numPr>
        <w:spacing w:line="360" w:lineRule="auto"/>
        <w:rPr>
          <w:rFonts w:hint="eastAsia" w:ascii="宋体" w:hAnsi="宋体" w:eastAsia="宋体" w:cs="Times New Roman"/>
          <w:color w:val="auto"/>
          <w:kern w:val="2"/>
          <w:sz w:val="24"/>
          <w:szCs w:val="22"/>
          <w:highlight w:val="none"/>
          <w:lang w:val="en-US" w:bidi="ar"/>
        </w:rPr>
      </w:pPr>
      <w:r>
        <w:rPr>
          <w:rFonts w:hint="eastAsia" w:ascii="宋体" w:hAnsi="宋体" w:eastAsia="宋体" w:cs="宋体"/>
          <w:color w:val="auto"/>
          <w:kern w:val="0"/>
          <w:sz w:val="24"/>
          <w:szCs w:val="24"/>
          <w:highlight w:val="none"/>
          <w:lang w:val="zh-CN" w:bidi="ar"/>
        </w:rPr>
        <w:t>道路等级：</w:t>
      </w:r>
      <w:r>
        <w:rPr>
          <w:rFonts w:hint="eastAsia" w:ascii="宋体" w:hAnsi="宋体" w:eastAsia="宋体" w:cs="Times New Roman"/>
          <w:color w:val="auto"/>
          <w:sz w:val="24"/>
          <w:szCs w:val="22"/>
          <w:highlight w:val="none"/>
          <w:lang w:val="en-US" w:eastAsia="zh-CN"/>
        </w:rPr>
        <w:t>城市主干路</w:t>
      </w:r>
    </w:p>
    <w:p w14:paraId="31B45092">
      <w:pPr>
        <w:spacing w:line="360" w:lineRule="auto"/>
        <w:jc w:val="left"/>
        <w:rPr>
          <w:rFonts w:hint="eastAsia" w:ascii="宋体" w:hAnsi="宋体" w:eastAsia="宋体" w:cs="Times New Roman"/>
          <w:color w:val="auto"/>
          <w:sz w:val="24"/>
          <w:szCs w:val="22"/>
          <w:highlight w:val="none"/>
        </w:rPr>
      </w:pPr>
      <w:r>
        <w:rPr>
          <w:rFonts w:hint="eastAsia" w:ascii="宋体" w:hAnsi="宋体" w:eastAsia="宋体" w:cs="宋体"/>
          <w:color w:val="auto"/>
          <w:kern w:val="0"/>
          <w:sz w:val="24"/>
          <w:szCs w:val="24"/>
          <w:highlight w:val="none"/>
          <w:lang w:val="zh-CN" w:bidi="ar"/>
        </w:rPr>
        <w:t>（2）设计速度：</w:t>
      </w:r>
      <w:r>
        <w:rPr>
          <w:rFonts w:hint="eastAsia" w:ascii="宋体" w:hAnsi="宋体" w:eastAsia="宋体" w:cs="Times New Roman"/>
          <w:color w:val="auto"/>
          <w:sz w:val="24"/>
          <w:szCs w:val="22"/>
          <w:highlight w:val="none"/>
          <w:lang w:val="en-US" w:eastAsia="zh-CN"/>
        </w:rPr>
        <w:t>60km/h</w:t>
      </w:r>
    </w:p>
    <w:p w14:paraId="6F816D15">
      <w:pPr>
        <w:numPr>
          <w:ilvl w:val="0"/>
          <w:numId w:val="2"/>
        </w:numPr>
        <w:spacing w:line="360" w:lineRule="auto"/>
        <w:rPr>
          <w:rFonts w:ascii="宋体" w:hAnsi="宋体" w:eastAsia="宋体" w:cs="宋体"/>
          <w:color w:val="auto"/>
          <w:kern w:val="0"/>
          <w:sz w:val="24"/>
          <w:szCs w:val="24"/>
          <w:highlight w:val="none"/>
          <w:lang w:val="zh-CN" w:bidi="ar"/>
        </w:rPr>
      </w:pPr>
      <w:r>
        <w:rPr>
          <w:rFonts w:hint="eastAsia" w:ascii="宋体" w:hAnsi="宋体" w:eastAsia="宋体" w:cs="宋体"/>
          <w:color w:val="auto"/>
          <w:kern w:val="0"/>
          <w:sz w:val="24"/>
          <w:szCs w:val="24"/>
          <w:highlight w:val="none"/>
          <w:lang w:val="zh-CN" w:bidi="ar"/>
        </w:rPr>
        <w:t>车</w:t>
      </w:r>
      <w:r>
        <w:rPr>
          <w:rFonts w:hint="eastAsia" w:ascii="宋体" w:hAnsi="宋体" w:eastAsia="宋体" w:cs="宋体"/>
          <w:color w:val="auto"/>
          <w:kern w:val="0"/>
          <w:sz w:val="24"/>
          <w:szCs w:val="24"/>
          <w:highlight w:val="none"/>
          <w:lang w:bidi="ar"/>
        </w:rPr>
        <w:t xml:space="preserve"> </w:t>
      </w:r>
      <w:r>
        <w:rPr>
          <w:rFonts w:hint="eastAsia" w:ascii="宋体" w:hAnsi="宋体" w:eastAsia="宋体" w:cs="宋体"/>
          <w:color w:val="auto"/>
          <w:kern w:val="0"/>
          <w:sz w:val="24"/>
          <w:szCs w:val="24"/>
          <w:highlight w:val="none"/>
          <w:lang w:val="zh-CN" w:bidi="ar"/>
        </w:rPr>
        <w:t>道</w:t>
      </w:r>
      <w:r>
        <w:rPr>
          <w:rFonts w:hint="eastAsia" w:ascii="宋体" w:hAnsi="宋体" w:eastAsia="宋体" w:cs="宋体"/>
          <w:color w:val="auto"/>
          <w:kern w:val="0"/>
          <w:sz w:val="24"/>
          <w:szCs w:val="24"/>
          <w:highlight w:val="none"/>
          <w:lang w:bidi="ar"/>
        </w:rPr>
        <w:t xml:space="preserve"> </w:t>
      </w:r>
      <w:r>
        <w:rPr>
          <w:rFonts w:hint="eastAsia" w:ascii="宋体" w:hAnsi="宋体" w:eastAsia="宋体" w:cs="宋体"/>
          <w:color w:val="auto"/>
          <w:kern w:val="0"/>
          <w:sz w:val="24"/>
          <w:szCs w:val="24"/>
          <w:highlight w:val="none"/>
          <w:lang w:val="zh-CN" w:bidi="ar"/>
        </w:rPr>
        <w:t>数：</w:t>
      </w:r>
      <w:r>
        <w:rPr>
          <w:rFonts w:hint="eastAsia" w:ascii="宋体" w:hAnsi="宋体" w:eastAsia="宋体" w:cs="Times New Roman"/>
          <w:color w:val="auto"/>
          <w:sz w:val="24"/>
          <w:highlight w:val="none"/>
          <w:lang w:val="en-US" w:eastAsia="zh-CN"/>
        </w:rPr>
        <w:t>知识城活力创新轴市政道路为双向6车道</w:t>
      </w:r>
    </w:p>
    <w:p w14:paraId="5EF80D49">
      <w:pPr>
        <w:pStyle w:val="43"/>
        <w:ind w:firstLine="1920" w:firstLineChars="800"/>
        <w:rPr>
          <w:rFonts w:hint="eastAsia" w:ascii="宋体" w:hAnsi="宋体" w:eastAsia="宋体" w:cs="Times New Roman"/>
          <w:color w:val="auto"/>
          <w:sz w:val="24"/>
          <w:highlight w:val="none"/>
          <w:lang w:val="en-US" w:eastAsia="zh-CN"/>
        </w:rPr>
      </w:pPr>
      <w:r>
        <w:rPr>
          <w:rFonts w:hint="eastAsia" w:ascii="宋体" w:hAnsi="宋体" w:cs="Times New Roman"/>
          <w:color w:val="auto"/>
          <w:sz w:val="24"/>
          <w:highlight w:val="none"/>
          <w:lang w:val="en-US" w:eastAsia="zh-CN"/>
        </w:rPr>
        <w:t>东-南</w:t>
      </w:r>
      <w:r>
        <w:rPr>
          <w:rFonts w:hint="eastAsia" w:ascii="宋体" w:hAnsi="宋体" w:eastAsia="宋体" w:cs="Times New Roman"/>
          <w:color w:val="auto"/>
          <w:sz w:val="24"/>
          <w:highlight w:val="none"/>
          <w:lang w:val="en-US" w:eastAsia="zh-CN"/>
        </w:rPr>
        <w:t>主线匝道双向4车道</w:t>
      </w:r>
    </w:p>
    <w:p w14:paraId="4BC4418F">
      <w:pPr>
        <w:pStyle w:val="43"/>
        <w:ind w:firstLine="1920" w:firstLineChars="800"/>
        <w:rPr>
          <w:rFonts w:hint="eastAsia" w:ascii="宋体" w:hAnsi="宋体" w:eastAsia="宋体" w:cs="Times New Roman"/>
          <w:color w:val="auto"/>
          <w:sz w:val="24"/>
          <w:highlight w:val="none"/>
          <w:lang w:val="zh-CN" w:eastAsia="zh-CN"/>
        </w:rPr>
      </w:pPr>
      <w:r>
        <w:rPr>
          <w:rFonts w:hint="eastAsia" w:ascii="宋体" w:hAnsi="宋体" w:eastAsia="宋体" w:cs="Times New Roman"/>
          <w:color w:val="auto"/>
          <w:sz w:val="24"/>
          <w:highlight w:val="none"/>
          <w:lang w:val="en-US" w:eastAsia="zh-CN"/>
        </w:rPr>
        <w:t>知识大道双向8车道</w:t>
      </w:r>
    </w:p>
    <w:p w14:paraId="574CC47E">
      <w:pPr>
        <w:autoSpaceDE w:val="0"/>
        <w:autoSpaceDN w:val="0"/>
        <w:adjustRightInd w:val="0"/>
        <w:spacing w:line="360" w:lineRule="auto"/>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zh-CN"/>
        </w:rPr>
        <w:t>（</w:t>
      </w:r>
      <w:r>
        <w:rPr>
          <w:rFonts w:hint="eastAsia"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lang w:val="zh-CN"/>
        </w:rPr>
        <w:t>）道路设计年限：</w:t>
      </w:r>
      <w:r>
        <w:rPr>
          <w:rFonts w:hint="eastAsia" w:ascii="宋体" w:hAnsi="宋体" w:eastAsia="宋体" w:cs="宋体"/>
          <w:color w:val="auto"/>
          <w:kern w:val="0"/>
          <w:sz w:val="24"/>
          <w:szCs w:val="24"/>
          <w:highlight w:val="none"/>
          <w:lang w:val="en-US" w:eastAsia="zh-CN"/>
        </w:rPr>
        <w:t>15年</w:t>
      </w:r>
    </w:p>
    <w:p w14:paraId="51DE6953">
      <w:pPr>
        <w:autoSpaceDE w:val="0"/>
        <w:autoSpaceDN w:val="0"/>
        <w:adjustRightInd w:val="0"/>
        <w:spacing w:line="36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zh-CN"/>
        </w:rPr>
        <w:t>（</w:t>
      </w:r>
      <w:r>
        <w:rPr>
          <w:rFonts w:hint="eastAsia" w:ascii="宋体" w:hAnsi="宋体" w:eastAsia="宋体" w:cs="宋体"/>
          <w:color w:val="auto"/>
          <w:kern w:val="0"/>
          <w:sz w:val="24"/>
          <w:szCs w:val="24"/>
          <w:highlight w:val="none"/>
        </w:rPr>
        <w:t>5</w:t>
      </w:r>
      <w:r>
        <w:rPr>
          <w:rFonts w:hint="eastAsia" w:ascii="宋体" w:hAnsi="宋体" w:eastAsia="宋体" w:cs="宋体"/>
          <w:color w:val="auto"/>
          <w:kern w:val="0"/>
          <w:sz w:val="24"/>
          <w:szCs w:val="24"/>
          <w:highlight w:val="none"/>
          <w:lang w:val="zh-CN"/>
        </w:rPr>
        <w:t>）路面结构设计使用年限：沥青</w:t>
      </w:r>
      <w:r>
        <w:rPr>
          <w:rFonts w:hint="eastAsia" w:ascii="宋体" w:hAnsi="宋体" w:eastAsia="宋体" w:cs="宋体"/>
          <w:color w:val="auto"/>
          <w:kern w:val="0"/>
          <w:sz w:val="24"/>
          <w:szCs w:val="24"/>
          <w:highlight w:val="none"/>
        </w:rPr>
        <w:t>混凝土</w:t>
      </w:r>
      <w:r>
        <w:rPr>
          <w:rFonts w:hint="eastAsia" w:ascii="宋体" w:hAnsi="宋体" w:eastAsia="宋体" w:cs="宋体"/>
          <w:color w:val="auto"/>
          <w:kern w:val="0"/>
          <w:sz w:val="24"/>
          <w:szCs w:val="24"/>
          <w:highlight w:val="none"/>
          <w:lang w:val="zh-CN"/>
        </w:rPr>
        <w:t>路面</w:t>
      </w:r>
      <w:r>
        <w:rPr>
          <w:rFonts w:hint="eastAsia" w:ascii="宋体" w:hAnsi="宋体" w:eastAsia="宋体" w:cs="宋体"/>
          <w:color w:val="auto"/>
          <w:kern w:val="0"/>
          <w:sz w:val="24"/>
          <w:szCs w:val="24"/>
          <w:highlight w:val="none"/>
        </w:rPr>
        <w:t>结构；</w:t>
      </w:r>
    </w:p>
    <w:p w14:paraId="23274084">
      <w:pPr>
        <w:autoSpaceDE w:val="0"/>
        <w:autoSpaceDN w:val="0"/>
        <w:adjustRightInd w:val="0"/>
        <w:spacing w:line="360" w:lineRule="auto"/>
        <w:ind w:firstLine="3360" w:firstLineChars="14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主干路15年</w:t>
      </w:r>
      <w:r>
        <w:rPr>
          <w:rFonts w:hint="eastAsia" w:ascii="宋体" w:hAnsi="宋体" w:eastAsia="宋体" w:cs="宋体"/>
          <w:color w:val="auto"/>
          <w:kern w:val="0"/>
          <w:sz w:val="24"/>
          <w:szCs w:val="24"/>
          <w:highlight w:val="none"/>
          <w:lang w:eastAsia="zh-CN"/>
        </w:rPr>
        <w:t>；</w:t>
      </w:r>
    </w:p>
    <w:p w14:paraId="33E2BFA0">
      <w:pPr>
        <w:autoSpaceDE w:val="0"/>
        <w:autoSpaceDN w:val="0"/>
        <w:adjustRightInd w:val="0"/>
        <w:spacing w:line="360" w:lineRule="auto"/>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w:t>
      </w:r>
      <w:r>
        <w:rPr>
          <w:rFonts w:hint="eastAsia" w:ascii="宋体" w:hAnsi="宋体" w:eastAsia="宋体" w:cs="宋体"/>
          <w:color w:val="auto"/>
          <w:kern w:val="0"/>
          <w:sz w:val="24"/>
          <w:szCs w:val="24"/>
          <w:highlight w:val="none"/>
        </w:rPr>
        <w:t>6</w:t>
      </w:r>
      <w:r>
        <w:rPr>
          <w:rFonts w:hint="eastAsia" w:ascii="宋体" w:hAnsi="宋体" w:eastAsia="宋体" w:cs="宋体"/>
          <w:color w:val="auto"/>
          <w:kern w:val="0"/>
          <w:sz w:val="24"/>
          <w:szCs w:val="24"/>
          <w:highlight w:val="none"/>
          <w:lang w:val="zh-CN"/>
        </w:rPr>
        <w:t>）道路路面结构计算荷载：BZZ-100型标准车</w:t>
      </w:r>
    </w:p>
    <w:p w14:paraId="1CDE3565">
      <w:pPr>
        <w:autoSpaceDE w:val="0"/>
        <w:autoSpaceDN w:val="0"/>
        <w:adjustRightInd w:val="0"/>
        <w:spacing w:line="360" w:lineRule="auto"/>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w:t>
      </w:r>
      <w:r>
        <w:rPr>
          <w:rFonts w:hint="eastAsia" w:ascii="宋体" w:hAnsi="宋体" w:eastAsia="宋体" w:cs="宋体"/>
          <w:color w:val="auto"/>
          <w:kern w:val="0"/>
          <w:sz w:val="24"/>
          <w:szCs w:val="24"/>
          <w:highlight w:val="none"/>
        </w:rPr>
        <w:t>7</w:t>
      </w:r>
      <w:r>
        <w:rPr>
          <w:rFonts w:hint="eastAsia" w:ascii="宋体" w:hAnsi="宋体" w:eastAsia="宋体" w:cs="宋体"/>
          <w:color w:val="auto"/>
          <w:kern w:val="0"/>
          <w:sz w:val="24"/>
          <w:szCs w:val="24"/>
          <w:highlight w:val="none"/>
          <w:lang w:val="zh-CN"/>
        </w:rPr>
        <w:t>）坐标系统：广州</w:t>
      </w:r>
      <w:r>
        <w:rPr>
          <w:rFonts w:hint="eastAsia" w:ascii="宋体" w:hAnsi="宋体" w:eastAsia="宋体" w:cs="宋体"/>
          <w:color w:val="auto"/>
          <w:kern w:val="0"/>
          <w:sz w:val="24"/>
          <w:szCs w:val="24"/>
          <w:highlight w:val="none"/>
        </w:rPr>
        <w:t>2000</w:t>
      </w:r>
      <w:r>
        <w:rPr>
          <w:rFonts w:hint="eastAsia" w:ascii="宋体" w:hAnsi="宋体" w:eastAsia="宋体" w:cs="宋体"/>
          <w:color w:val="auto"/>
          <w:kern w:val="0"/>
          <w:sz w:val="24"/>
          <w:szCs w:val="24"/>
          <w:highlight w:val="none"/>
          <w:lang w:val="zh-CN"/>
        </w:rPr>
        <w:t>坐标系统</w:t>
      </w:r>
    </w:p>
    <w:p w14:paraId="13B3161F">
      <w:pPr>
        <w:autoSpaceDE w:val="0"/>
        <w:autoSpaceDN w:val="0"/>
        <w:adjustRightInd w:val="0"/>
        <w:spacing w:line="360" w:lineRule="auto"/>
        <w:rPr>
          <w:rFonts w:ascii="宋体" w:hAnsi="宋体" w:eastAsia="宋体" w:cs="宋体"/>
          <w:color w:val="auto"/>
          <w:kern w:val="0"/>
          <w:sz w:val="24"/>
          <w:highlight w:val="none"/>
          <w:lang w:val="zh-CN"/>
        </w:rPr>
      </w:pPr>
      <w:r>
        <w:rPr>
          <w:rFonts w:hint="eastAsia" w:ascii="宋体" w:hAnsi="宋体" w:eastAsia="宋体"/>
          <w:color w:val="auto"/>
          <w:kern w:val="0"/>
          <w:highlight w:val="none"/>
          <w:lang w:val="zh-CN"/>
        </w:rPr>
        <w:t>（</w:t>
      </w:r>
      <w:r>
        <w:rPr>
          <w:rFonts w:ascii="宋体" w:hAnsi="宋体" w:eastAsia="宋体"/>
          <w:color w:val="auto"/>
          <w:kern w:val="0"/>
          <w:highlight w:val="none"/>
        </w:rPr>
        <w:t>8</w:t>
      </w:r>
      <w:r>
        <w:rPr>
          <w:rFonts w:hint="eastAsia" w:ascii="宋体" w:hAnsi="宋体" w:eastAsia="宋体"/>
          <w:color w:val="auto"/>
          <w:kern w:val="0"/>
          <w:highlight w:val="none"/>
          <w:lang w:val="zh-CN"/>
        </w:rPr>
        <w:t>）标高系统：广州城建高程系统</w:t>
      </w:r>
    </w:p>
    <w:p w14:paraId="5864601A">
      <w:pPr>
        <w:wordWrap w:val="0"/>
        <w:rPr>
          <w:rFonts w:ascii="宋体" w:hAnsi="宋体" w:eastAsia="宋体" w:cs="宋体"/>
          <w:color w:val="auto"/>
          <w:szCs w:val="24"/>
          <w:highlight w:val="none"/>
        </w:rPr>
      </w:pPr>
      <w:r>
        <w:rPr>
          <w:rFonts w:hint="eastAsia" w:ascii="宋体" w:hAnsi="宋体" w:eastAsia="宋体" w:cs="宋体"/>
          <w:color w:val="auto"/>
          <w:szCs w:val="24"/>
          <w:highlight w:val="none"/>
        </w:rPr>
        <w:br w:type="page"/>
      </w:r>
    </w:p>
    <w:p w14:paraId="1DC7B22B">
      <w:pPr>
        <w:pStyle w:val="2"/>
        <w:rPr>
          <w:rFonts w:ascii="宋体" w:hAnsi="宋体"/>
          <w:color w:val="auto"/>
          <w:highlight w:val="none"/>
        </w:rPr>
      </w:pPr>
      <w:bookmarkStart w:id="218" w:name="_Toc193358022"/>
      <w:r>
        <w:rPr>
          <w:rFonts w:hint="eastAsia" w:ascii="宋体" w:hAnsi="宋体"/>
          <w:color w:val="auto"/>
          <w:highlight w:val="none"/>
        </w:rPr>
        <w:t>第三卷</w:t>
      </w:r>
      <w:bookmarkEnd w:id="214"/>
      <w:bookmarkEnd w:id="215"/>
      <w:bookmarkEnd w:id="218"/>
    </w:p>
    <w:p w14:paraId="50CC5A4D">
      <w:pPr>
        <w:widowControl/>
        <w:wordWrap w:val="0"/>
        <w:jc w:val="left"/>
        <w:rPr>
          <w:rFonts w:ascii="宋体" w:hAnsi="宋体" w:eastAsia="宋体" w:cs="宋体"/>
          <w:color w:val="auto"/>
          <w:spacing w:val="2"/>
          <w:kern w:val="0"/>
          <w:sz w:val="44"/>
          <w:szCs w:val="44"/>
          <w:highlight w:val="none"/>
        </w:rPr>
        <w:sectPr>
          <w:type w:val="continuous"/>
          <w:pgSz w:w="11905" w:h="16838"/>
          <w:pgMar w:top="1474" w:right="1701" w:bottom="1474" w:left="1701" w:header="720" w:footer="720" w:gutter="0"/>
          <w:cols w:space="720" w:num="1"/>
        </w:sectPr>
      </w:pPr>
    </w:p>
    <w:p w14:paraId="69F0BEA3">
      <w:pPr>
        <w:pStyle w:val="2"/>
        <w:rPr>
          <w:rFonts w:ascii="宋体" w:hAnsi="宋体"/>
          <w:color w:val="auto"/>
          <w:highlight w:val="none"/>
        </w:rPr>
      </w:pPr>
      <w:bookmarkStart w:id="219" w:name="_Toc193358023"/>
      <w:bookmarkStart w:id="220" w:name="_Toc111186803"/>
      <w:r>
        <w:rPr>
          <w:rFonts w:hint="eastAsia" w:ascii="宋体" w:hAnsi="宋体"/>
          <w:color w:val="auto"/>
          <w:highlight w:val="none"/>
        </w:rPr>
        <w:t>第六章  投标文件格式</w:t>
      </w:r>
      <w:bookmarkEnd w:id="219"/>
      <w:bookmarkEnd w:id="220"/>
    </w:p>
    <w:p w14:paraId="53CE531F">
      <w:pPr>
        <w:rPr>
          <w:rFonts w:ascii="宋体" w:hAnsi="宋体" w:eastAsia="宋体" w:cs="Times New Roman"/>
          <w:color w:val="auto"/>
          <w:szCs w:val="20"/>
          <w:highlight w:val="none"/>
          <w:lang w:val="zh-CN"/>
        </w:rPr>
      </w:pPr>
    </w:p>
    <w:p w14:paraId="2D57B949">
      <w:pPr>
        <w:rPr>
          <w:rFonts w:ascii="宋体" w:hAnsi="宋体" w:eastAsia="宋体"/>
          <w:color w:val="auto"/>
          <w:highlight w:val="none"/>
        </w:rPr>
      </w:pPr>
    </w:p>
    <w:p w14:paraId="196BE403">
      <w:pPr>
        <w:kinsoku w:val="0"/>
        <w:overflowPunct w:val="0"/>
        <w:spacing w:line="200" w:lineRule="exact"/>
        <w:rPr>
          <w:rFonts w:ascii="宋体" w:hAnsi="宋体" w:eastAsia="宋体"/>
          <w:color w:val="auto"/>
          <w:highlight w:val="none"/>
        </w:rPr>
      </w:pPr>
    </w:p>
    <w:p w14:paraId="5B170D4C">
      <w:pPr>
        <w:kinsoku w:val="0"/>
        <w:overflowPunct w:val="0"/>
        <w:spacing w:line="200" w:lineRule="exact"/>
        <w:rPr>
          <w:rFonts w:ascii="宋体" w:hAnsi="宋体" w:eastAsia="宋体"/>
          <w:color w:val="auto"/>
          <w:highlight w:val="none"/>
        </w:rPr>
      </w:pPr>
    </w:p>
    <w:p w14:paraId="1E65FE05">
      <w:pPr>
        <w:tabs>
          <w:tab w:val="left" w:pos="3280"/>
        </w:tabs>
        <w:kinsoku w:val="0"/>
        <w:overflowPunct w:val="0"/>
        <w:spacing w:line="381" w:lineRule="exact"/>
        <w:jc w:val="center"/>
        <w:rPr>
          <w:rFonts w:ascii="宋体" w:hAnsi="宋体" w:eastAsia="宋体"/>
          <w:color w:val="auto"/>
          <w:sz w:val="36"/>
          <w:szCs w:val="36"/>
          <w:highlight w:val="none"/>
        </w:rPr>
      </w:pPr>
      <w:r>
        <w:rPr>
          <w:rFonts w:hint="eastAsia" w:ascii="宋体" w:hAnsi="宋体" w:eastAsia="宋体"/>
          <w:color w:val="auto"/>
          <w:sz w:val="36"/>
          <w:szCs w:val="36"/>
          <w:highlight w:val="none"/>
          <w:u w:val="single"/>
        </w:rPr>
        <w:t>（项目</w:t>
      </w:r>
      <w:r>
        <w:rPr>
          <w:rFonts w:hint="eastAsia" w:ascii="宋体" w:hAnsi="宋体" w:eastAsia="宋体"/>
          <w:color w:val="auto"/>
          <w:spacing w:val="-3"/>
          <w:sz w:val="36"/>
          <w:szCs w:val="36"/>
          <w:highlight w:val="none"/>
          <w:u w:val="single"/>
        </w:rPr>
        <w:t>名</w:t>
      </w:r>
      <w:r>
        <w:rPr>
          <w:rFonts w:hint="eastAsia" w:ascii="宋体" w:hAnsi="宋体" w:eastAsia="宋体"/>
          <w:color w:val="auto"/>
          <w:sz w:val="36"/>
          <w:szCs w:val="36"/>
          <w:highlight w:val="none"/>
          <w:u w:val="single"/>
        </w:rPr>
        <w:t>称）</w:t>
      </w:r>
    </w:p>
    <w:p w14:paraId="49CEBE63">
      <w:pPr>
        <w:kinsoku w:val="0"/>
        <w:overflowPunct w:val="0"/>
        <w:spacing w:line="200" w:lineRule="exact"/>
        <w:rPr>
          <w:rFonts w:ascii="宋体" w:hAnsi="宋体" w:eastAsia="宋体"/>
          <w:color w:val="auto"/>
          <w:sz w:val="36"/>
          <w:szCs w:val="36"/>
          <w:highlight w:val="none"/>
        </w:rPr>
      </w:pPr>
    </w:p>
    <w:p w14:paraId="1B6ABB20">
      <w:pPr>
        <w:kinsoku w:val="0"/>
        <w:overflowPunct w:val="0"/>
        <w:spacing w:before="7" w:line="260" w:lineRule="exact"/>
        <w:rPr>
          <w:rFonts w:ascii="宋体" w:hAnsi="宋体" w:eastAsia="宋体"/>
          <w:color w:val="auto"/>
          <w:sz w:val="36"/>
          <w:szCs w:val="36"/>
          <w:highlight w:val="none"/>
        </w:rPr>
      </w:pPr>
    </w:p>
    <w:p w14:paraId="68998853">
      <w:pPr>
        <w:rPr>
          <w:rFonts w:ascii="宋体" w:hAnsi="宋体" w:eastAsia="宋体" w:cs="Times New Roman"/>
          <w:color w:val="auto"/>
          <w:szCs w:val="20"/>
          <w:highlight w:val="none"/>
          <w:lang w:val="zh-CN"/>
        </w:rPr>
      </w:pPr>
    </w:p>
    <w:p w14:paraId="650FBFDA">
      <w:pPr>
        <w:rPr>
          <w:rFonts w:ascii="宋体" w:hAnsi="宋体" w:eastAsia="宋体" w:cs="Times New Roman"/>
          <w:color w:val="auto"/>
          <w:szCs w:val="20"/>
          <w:highlight w:val="none"/>
          <w:lang w:val="zh-CN"/>
        </w:rPr>
      </w:pPr>
    </w:p>
    <w:p w14:paraId="283FF706">
      <w:pPr>
        <w:kinsoku w:val="0"/>
        <w:overflowPunct w:val="0"/>
        <w:spacing w:line="200" w:lineRule="exact"/>
        <w:rPr>
          <w:rFonts w:ascii="宋体" w:hAnsi="宋体" w:eastAsia="宋体"/>
          <w:color w:val="auto"/>
          <w:sz w:val="36"/>
          <w:szCs w:val="36"/>
          <w:highlight w:val="none"/>
        </w:rPr>
      </w:pPr>
    </w:p>
    <w:p w14:paraId="38F45914">
      <w:pPr>
        <w:kinsoku w:val="0"/>
        <w:overflowPunct w:val="0"/>
        <w:spacing w:before="7" w:line="260" w:lineRule="exact"/>
        <w:rPr>
          <w:rFonts w:ascii="宋体" w:hAnsi="宋体" w:eastAsia="宋体"/>
          <w:color w:val="auto"/>
          <w:sz w:val="36"/>
          <w:szCs w:val="36"/>
          <w:highlight w:val="none"/>
        </w:rPr>
      </w:pPr>
    </w:p>
    <w:p w14:paraId="110A1B13">
      <w:pPr>
        <w:rPr>
          <w:rFonts w:ascii="宋体" w:hAnsi="宋体" w:eastAsia="宋体" w:cs="Times New Roman"/>
          <w:color w:val="auto"/>
          <w:szCs w:val="20"/>
          <w:highlight w:val="none"/>
          <w:lang w:val="zh-CN"/>
        </w:rPr>
      </w:pPr>
    </w:p>
    <w:p w14:paraId="4BBD7454">
      <w:pPr>
        <w:tabs>
          <w:tab w:val="left" w:pos="6200"/>
          <w:tab w:val="left" w:pos="6400"/>
        </w:tabs>
        <w:kinsoku w:val="0"/>
        <w:overflowPunct w:val="0"/>
        <w:autoSpaceDE w:val="0"/>
        <w:autoSpaceDN w:val="0"/>
        <w:ind w:right="66"/>
        <w:jc w:val="center"/>
        <w:rPr>
          <w:rFonts w:ascii="宋体" w:hAnsi="宋体" w:eastAsia="宋体"/>
          <w:color w:val="auto"/>
          <w:sz w:val="72"/>
          <w:szCs w:val="72"/>
          <w:highlight w:val="none"/>
        </w:rPr>
      </w:pPr>
      <w:r>
        <w:rPr>
          <w:rFonts w:hint="eastAsia" w:ascii="宋体" w:hAnsi="宋体" w:eastAsia="宋体"/>
          <w:color w:val="auto"/>
          <w:sz w:val="72"/>
          <w:szCs w:val="72"/>
          <w:highlight w:val="none"/>
        </w:rPr>
        <w:t>投</w:t>
      </w:r>
      <w:r>
        <w:rPr>
          <w:rFonts w:hint="eastAsia" w:ascii="宋体" w:hAnsi="宋体" w:eastAsia="宋体"/>
          <w:color w:val="auto"/>
          <w:spacing w:val="-6"/>
          <w:sz w:val="72"/>
          <w:szCs w:val="72"/>
          <w:highlight w:val="none"/>
        </w:rPr>
        <w:t xml:space="preserve"> </w:t>
      </w:r>
      <w:r>
        <w:rPr>
          <w:rFonts w:hint="eastAsia" w:ascii="宋体" w:hAnsi="宋体" w:eastAsia="宋体"/>
          <w:color w:val="auto"/>
          <w:sz w:val="72"/>
          <w:szCs w:val="72"/>
          <w:highlight w:val="none"/>
        </w:rPr>
        <w:t>标</w:t>
      </w:r>
      <w:r>
        <w:rPr>
          <w:rFonts w:hint="eastAsia" w:ascii="宋体" w:hAnsi="宋体" w:eastAsia="宋体"/>
          <w:color w:val="auto"/>
          <w:spacing w:val="-6"/>
          <w:sz w:val="72"/>
          <w:szCs w:val="72"/>
          <w:highlight w:val="none"/>
        </w:rPr>
        <w:t xml:space="preserve"> </w:t>
      </w:r>
      <w:r>
        <w:rPr>
          <w:rFonts w:hint="eastAsia" w:ascii="宋体" w:hAnsi="宋体" w:eastAsia="宋体"/>
          <w:color w:val="auto"/>
          <w:sz w:val="72"/>
          <w:szCs w:val="72"/>
          <w:highlight w:val="none"/>
        </w:rPr>
        <w:t>文</w:t>
      </w:r>
      <w:r>
        <w:rPr>
          <w:rFonts w:hint="eastAsia" w:ascii="宋体" w:hAnsi="宋体" w:eastAsia="宋体"/>
          <w:color w:val="auto"/>
          <w:spacing w:val="-5"/>
          <w:sz w:val="72"/>
          <w:szCs w:val="72"/>
          <w:highlight w:val="none"/>
        </w:rPr>
        <w:t xml:space="preserve"> </w:t>
      </w:r>
      <w:r>
        <w:rPr>
          <w:rFonts w:hint="eastAsia" w:ascii="宋体" w:hAnsi="宋体" w:eastAsia="宋体"/>
          <w:color w:val="auto"/>
          <w:sz w:val="72"/>
          <w:szCs w:val="72"/>
          <w:highlight w:val="none"/>
        </w:rPr>
        <w:t>件</w:t>
      </w:r>
    </w:p>
    <w:p w14:paraId="3E249ED8">
      <w:pPr>
        <w:kinsoku w:val="0"/>
        <w:overflowPunct w:val="0"/>
        <w:spacing w:line="539" w:lineRule="exact"/>
        <w:ind w:right="11"/>
        <w:rPr>
          <w:rFonts w:ascii="宋体" w:hAnsi="宋体" w:eastAsia="宋体"/>
          <w:color w:val="auto"/>
          <w:sz w:val="36"/>
          <w:szCs w:val="36"/>
          <w:highlight w:val="none"/>
        </w:rPr>
      </w:pPr>
    </w:p>
    <w:p w14:paraId="1DEEA6A1">
      <w:pPr>
        <w:kinsoku w:val="0"/>
        <w:overflowPunct w:val="0"/>
        <w:spacing w:line="539" w:lineRule="exact"/>
        <w:ind w:right="11"/>
        <w:jc w:val="center"/>
        <w:rPr>
          <w:rFonts w:ascii="宋体" w:hAnsi="宋体" w:eastAsia="宋体"/>
          <w:color w:val="auto"/>
          <w:sz w:val="36"/>
          <w:szCs w:val="36"/>
          <w:highlight w:val="none"/>
        </w:rPr>
      </w:pPr>
      <w:r>
        <w:rPr>
          <w:rFonts w:hint="eastAsia" w:ascii="宋体" w:hAnsi="宋体" w:eastAsia="宋体"/>
          <w:color w:val="auto"/>
          <w:sz w:val="36"/>
          <w:szCs w:val="36"/>
          <w:highlight w:val="none"/>
        </w:rPr>
        <w:t>商务文件（含资格审查文件）</w:t>
      </w:r>
    </w:p>
    <w:p w14:paraId="677B2004">
      <w:pPr>
        <w:kinsoku w:val="0"/>
        <w:overflowPunct w:val="0"/>
        <w:spacing w:line="200" w:lineRule="exact"/>
        <w:rPr>
          <w:rFonts w:ascii="宋体" w:hAnsi="宋体" w:eastAsia="宋体"/>
          <w:color w:val="auto"/>
          <w:sz w:val="36"/>
          <w:szCs w:val="36"/>
          <w:highlight w:val="none"/>
        </w:rPr>
      </w:pPr>
    </w:p>
    <w:p w14:paraId="798815C3">
      <w:pPr>
        <w:kinsoku w:val="0"/>
        <w:overflowPunct w:val="0"/>
        <w:spacing w:before="7" w:line="260" w:lineRule="exact"/>
        <w:rPr>
          <w:rFonts w:ascii="宋体" w:hAnsi="宋体" w:eastAsia="宋体"/>
          <w:color w:val="auto"/>
          <w:sz w:val="36"/>
          <w:szCs w:val="36"/>
          <w:highlight w:val="none"/>
        </w:rPr>
      </w:pPr>
    </w:p>
    <w:p w14:paraId="74B7D1A6">
      <w:pPr>
        <w:rPr>
          <w:rFonts w:ascii="宋体" w:hAnsi="宋体" w:eastAsia="宋体" w:cs="Times New Roman"/>
          <w:color w:val="auto"/>
          <w:szCs w:val="20"/>
          <w:highlight w:val="none"/>
          <w:lang w:val="zh-CN"/>
        </w:rPr>
      </w:pPr>
    </w:p>
    <w:p w14:paraId="4AF2B83A">
      <w:pPr>
        <w:kinsoku w:val="0"/>
        <w:overflowPunct w:val="0"/>
        <w:spacing w:line="200" w:lineRule="exact"/>
        <w:rPr>
          <w:rFonts w:ascii="宋体" w:hAnsi="宋体" w:eastAsia="宋体"/>
          <w:color w:val="auto"/>
          <w:sz w:val="36"/>
          <w:szCs w:val="36"/>
          <w:highlight w:val="none"/>
        </w:rPr>
      </w:pPr>
    </w:p>
    <w:p w14:paraId="5C926AB3">
      <w:pPr>
        <w:kinsoku w:val="0"/>
        <w:overflowPunct w:val="0"/>
        <w:spacing w:before="7" w:line="260" w:lineRule="exact"/>
        <w:rPr>
          <w:rFonts w:ascii="宋体" w:hAnsi="宋体" w:eastAsia="宋体"/>
          <w:color w:val="auto"/>
          <w:sz w:val="36"/>
          <w:szCs w:val="36"/>
          <w:highlight w:val="none"/>
        </w:rPr>
      </w:pPr>
    </w:p>
    <w:p w14:paraId="781448DD">
      <w:pPr>
        <w:rPr>
          <w:rFonts w:ascii="宋体" w:hAnsi="宋体" w:eastAsia="宋体" w:cs="Times New Roman"/>
          <w:color w:val="auto"/>
          <w:szCs w:val="20"/>
          <w:highlight w:val="none"/>
          <w:lang w:val="zh-CN"/>
        </w:rPr>
      </w:pPr>
    </w:p>
    <w:p w14:paraId="3D3C3F72">
      <w:pPr>
        <w:kinsoku w:val="0"/>
        <w:overflowPunct w:val="0"/>
        <w:spacing w:line="200" w:lineRule="exact"/>
        <w:rPr>
          <w:rFonts w:ascii="宋体" w:hAnsi="宋体" w:eastAsia="宋体"/>
          <w:color w:val="auto"/>
          <w:sz w:val="44"/>
          <w:szCs w:val="44"/>
          <w:highlight w:val="none"/>
        </w:rPr>
      </w:pPr>
    </w:p>
    <w:p w14:paraId="4B5AC750">
      <w:pPr>
        <w:kinsoku w:val="0"/>
        <w:overflowPunct w:val="0"/>
        <w:spacing w:line="200" w:lineRule="exact"/>
        <w:rPr>
          <w:rFonts w:ascii="宋体" w:hAnsi="宋体" w:eastAsia="宋体"/>
          <w:color w:val="auto"/>
          <w:highlight w:val="none"/>
        </w:rPr>
      </w:pPr>
    </w:p>
    <w:p w14:paraId="749D2C2A">
      <w:pPr>
        <w:kinsoku w:val="0"/>
        <w:overflowPunct w:val="0"/>
        <w:spacing w:line="200" w:lineRule="exact"/>
        <w:rPr>
          <w:rFonts w:ascii="宋体" w:hAnsi="宋体" w:eastAsia="宋体"/>
          <w:color w:val="auto"/>
          <w:highlight w:val="none"/>
        </w:rPr>
      </w:pPr>
    </w:p>
    <w:p w14:paraId="4CB43ADF">
      <w:pPr>
        <w:kinsoku w:val="0"/>
        <w:overflowPunct w:val="0"/>
        <w:spacing w:line="200" w:lineRule="exact"/>
        <w:rPr>
          <w:rFonts w:ascii="宋体" w:hAnsi="宋体" w:eastAsia="宋体"/>
          <w:color w:val="auto"/>
          <w:highlight w:val="none"/>
        </w:rPr>
      </w:pPr>
    </w:p>
    <w:p w14:paraId="39436157">
      <w:pPr>
        <w:kinsoku w:val="0"/>
        <w:overflowPunct w:val="0"/>
        <w:spacing w:line="200" w:lineRule="exact"/>
        <w:rPr>
          <w:rFonts w:ascii="宋体" w:hAnsi="宋体" w:eastAsia="宋体"/>
          <w:color w:val="auto"/>
          <w:highlight w:val="none"/>
        </w:rPr>
      </w:pPr>
    </w:p>
    <w:p w14:paraId="68FA28C2">
      <w:pPr>
        <w:kinsoku w:val="0"/>
        <w:overflowPunct w:val="0"/>
        <w:spacing w:line="200" w:lineRule="exact"/>
        <w:rPr>
          <w:rFonts w:ascii="宋体" w:hAnsi="宋体" w:eastAsia="宋体"/>
          <w:color w:val="auto"/>
          <w:highlight w:val="none"/>
        </w:rPr>
      </w:pPr>
    </w:p>
    <w:p w14:paraId="5FFA98BB">
      <w:pPr>
        <w:kinsoku w:val="0"/>
        <w:overflowPunct w:val="0"/>
        <w:spacing w:line="200" w:lineRule="exact"/>
        <w:rPr>
          <w:rFonts w:ascii="宋体" w:hAnsi="宋体" w:eastAsia="宋体"/>
          <w:color w:val="auto"/>
          <w:highlight w:val="none"/>
        </w:rPr>
      </w:pPr>
    </w:p>
    <w:p w14:paraId="2BC21A3F">
      <w:pPr>
        <w:kinsoku w:val="0"/>
        <w:overflowPunct w:val="0"/>
        <w:spacing w:before="19" w:line="220" w:lineRule="exact"/>
        <w:rPr>
          <w:rFonts w:ascii="宋体" w:hAnsi="宋体" w:eastAsia="宋体"/>
          <w:color w:val="auto"/>
          <w:sz w:val="22"/>
          <w:highlight w:val="none"/>
        </w:rPr>
      </w:pPr>
    </w:p>
    <w:p w14:paraId="5075B455">
      <w:pPr>
        <w:kinsoku w:val="0"/>
        <w:overflowPunct w:val="0"/>
        <w:spacing w:line="360" w:lineRule="auto"/>
        <w:ind w:right="-2"/>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投标人：</w:t>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（盖</w:t>
      </w:r>
      <w:r>
        <w:rPr>
          <w:rFonts w:hint="eastAsia" w:ascii="宋体" w:hAnsi="宋体" w:eastAsia="宋体" w:cs="宋体"/>
          <w:color w:val="auto"/>
          <w:spacing w:val="-3"/>
          <w:sz w:val="28"/>
          <w:szCs w:val="28"/>
          <w:highlight w:val="none"/>
        </w:rPr>
        <w:t>单</w:t>
      </w:r>
      <w:r>
        <w:rPr>
          <w:rFonts w:hint="eastAsia" w:ascii="宋体" w:hAnsi="宋体" w:eastAsia="宋体" w:cs="宋体"/>
          <w:color w:val="auto"/>
          <w:sz w:val="28"/>
          <w:szCs w:val="28"/>
          <w:highlight w:val="none"/>
        </w:rPr>
        <w:t>位</w:t>
      </w:r>
      <w:r>
        <w:rPr>
          <w:rFonts w:hint="eastAsia" w:ascii="宋体" w:hAnsi="宋体" w:eastAsia="宋体" w:cs="宋体"/>
          <w:color w:val="auto"/>
          <w:spacing w:val="-3"/>
          <w:sz w:val="28"/>
          <w:szCs w:val="28"/>
          <w:highlight w:val="none"/>
        </w:rPr>
        <w:t>章</w:t>
      </w:r>
      <w:r>
        <w:rPr>
          <w:rFonts w:hint="eastAsia" w:ascii="宋体" w:hAnsi="宋体" w:eastAsia="宋体" w:cs="宋体"/>
          <w:color w:val="auto"/>
          <w:sz w:val="28"/>
          <w:szCs w:val="28"/>
          <w:highlight w:val="none"/>
        </w:rPr>
        <w:t>）</w:t>
      </w:r>
    </w:p>
    <w:p w14:paraId="4E940BBA">
      <w:pPr>
        <w:kinsoku w:val="0"/>
        <w:overflowPunct w:val="0"/>
        <w:spacing w:line="360" w:lineRule="auto"/>
        <w:ind w:right="-2"/>
        <w:jc w:val="center"/>
        <w:rPr>
          <w:rFonts w:ascii="宋体" w:hAnsi="宋体" w:eastAsia="宋体" w:cs="宋体"/>
          <w:color w:val="auto"/>
          <w:sz w:val="28"/>
          <w:szCs w:val="28"/>
          <w:highlight w:val="none"/>
        </w:rPr>
      </w:pPr>
      <w:r>
        <w:rPr>
          <w:rFonts w:hint="eastAsia" w:ascii="宋体" w:hAnsi="宋体" w:eastAsia="宋体" w:cs="宋体"/>
          <w:color w:val="auto"/>
          <w:spacing w:val="2"/>
          <w:sz w:val="28"/>
          <w:szCs w:val="28"/>
          <w:highlight w:val="none"/>
          <w:u w:val="single"/>
        </w:rPr>
        <w:t xml:space="preserve">   </w:t>
      </w:r>
      <w:r>
        <w:rPr>
          <w:rFonts w:hint="eastAsia" w:ascii="宋体" w:hAnsi="宋体" w:eastAsia="宋体" w:cs="宋体"/>
          <w:color w:val="auto"/>
          <w:spacing w:val="2"/>
          <w:sz w:val="28"/>
          <w:szCs w:val="28"/>
          <w:highlight w:val="none"/>
        </w:rPr>
        <w:t>年</w:t>
      </w:r>
      <w:r>
        <w:rPr>
          <w:rFonts w:hint="eastAsia" w:ascii="宋体" w:hAnsi="宋体" w:eastAsia="宋体" w:cs="宋体"/>
          <w:color w:val="auto"/>
          <w:spacing w:val="2"/>
          <w:sz w:val="28"/>
          <w:szCs w:val="28"/>
          <w:highlight w:val="none"/>
          <w:u w:val="single"/>
        </w:rPr>
        <w:t xml:space="preserve">   </w:t>
      </w:r>
      <w:r>
        <w:rPr>
          <w:rFonts w:hint="eastAsia" w:ascii="宋体" w:hAnsi="宋体" w:eastAsia="宋体" w:cs="宋体"/>
          <w:color w:val="auto"/>
          <w:spacing w:val="2"/>
          <w:sz w:val="28"/>
          <w:szCs w:val="28"/>
          <w:highlight w:val="none"/>
        </w:rPr>
        <w:t>月</w:t>
      </w:r>
      <w:r>
        <w:rPr>
          <w:rFonts w:hint="eastAsia" w:ascii="宋体" w:hAnsi="宋体" w:eastAsia="宋体" w:cs="宋体"/>
          <w:color w:val="auto"/>
          <w:spacing w:val="2"/>
          <w:sz w:val="28"/>
          <w:szCs w:val="28"/>
          <w:highlight w:val="none"/>
          <w:u w:val="single"/>
        </w:rPr>
        <w:t xml:space="preserve">   </w:t>
      </w:r>
      <w:r>
        <w:rPr>
          <w:rFonts w:hint="eastAsia" w:ascii="宋体" w:hAnsi="宋体" w:eastAsia="宋体" w:cs="宋体"/>
          <w:color w:val="auto"/>
          <w:sz w:val="28"/>
          <w:szCs w:val="28"/>
          <w:highlight w:val="none"/>
        </w:rPr>
        <w:t>日</w:t>
      </w:r>
    </w:p>
    <w:p w14:paraId="2092B929">
      <w:pPr>
        <w:widowControl/>
        <w:jc w:val="left"/>
        <w:rPr>
          <w:rFonts w:ascii="宋体" w:hAnsi="宋体" w:eastAsia="宋体"/>
          <w:b/>
          <w:bCs/>
          <w:color w:val="auto"/>
          <w:spacing w:val="1"/>
          <w:sz w:val="28"/>
          <w:szCs w:val="32"/>
          <w:highlight w:val="none"/>
          <w:lang w:val="zh-CN"/>
        </w:rPr>
      </w:pPr>
      <w:r>
        <w:rPr>
          <w:rFonts w:ascii="宋体" w:hAnsi="宋体" w:eastAsia="宋体"/>
          <w:color w:val="auto"/>
          <w:highlight w:val="none"/>
        </w:rPr>
        <w:br w:type="page"/>
      </w:r>
    </w:p>
    <w:p w14:paraId="37D62486">
      <w:pPr>
        <w:keepNext/>
        <w:keepLines/>
        <w:wordWrap w:val="0"/>
        <w:spacing w:line="360" w:lineRule="auto"/>
        <w:outlineLvl w:val="2"/>
        <w:rPr>
          <w:rFonts w:ascii="宋体" w:hAnsi="宋体" w:eastAsia="宋体"/>
          <w:b/>
          <w:bCs/>
          <w:color w:val="auto"/>
          <w:spacing w:val="1"/>
          <w:sz w:val="28"/>
          <w:szCs w:val="32"/>
          <w:highlight w:val="none"/>
          <w:lang w:val="zh-CN"/>
        </w:rPr>
      </w:pPr>
      <w:r>
        <w:rPr>
          <w:rFonts w:hint="eastAsia" w:ascii="宋体" w:hAnsi="宋体" w:eastAsia="宋体"/>
          <w:b/>
          <w:bCs/>
          <w:color w:val="auto"/>
          <w:spacing w:val="1"/>
          <w:sz w:val="28"/>
          <w:szCs w:val="32"/>
          <w:highlight w:val="none"/>
          <w:lang w:val="zh-CN"/>
        </w:rPr>
        <w:t>1. 商务文件（含资格审查文件）包括以下资料：</w:t>
      </w:r>
    </w:p>
    <w:p w14:paraId="4113A503">
      <w:pPr>
        <w:wordWrap w:val="0"/>
        <w:rPr>
          <w:rFonts w:ascii="宋体" w:hAnsi="宋体" w:eastAsia="宋体" w:cs="宋体"/>
          <w:color w:val="auto"/>
          <w:szCs w:val="24"/>
          <w:highlight w:val="none"/>
        </w:rPr>
        <w:sectPr>
          <w:type w:val="continuous"/>
          <w:pgSz w:w="11905" w:h="16838"/>
          <w:pgMar w:top="1474" w:right="1701" w:bottom="1474" w:left="1701" w:header="720" w:footer="720" w:gutter="0"/>
          <w:cols w:space="720" w:num="1"/>
        </w:sectPr>
      </w:pPr>
    </w:p>
    <w:p w14:paraId="24A2FFAE">
      <w:pPr>
        <w:wordWrap w:val="0"/>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一、投标函及投标函附录</w:t>
      </w:r>
    </w:p>
    <w:p w14:paraId="1C37851D">
      <w:pPr>
        <w:wordWrap w:val="0"/>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二、法定代表人身份证明书及授权委托书（适用于有委托代理人的情况）</w:t>
      </w:r>
    </w:p>
    <w:p w14:paraId="18FA6747">
      <w:pPr>
        <w:wordWrap w:val="0"/>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三、联合体协议书(如有)</w:t>
      </w:r>
    </w:p>
    <w:p w14:paraId="5958DC0B">
      <w:pPr>
        <w:wordWrap w:val="0"/>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四、投标人声明</w:t>
      </w:r>
    </w:p>
    <w:p w14:paraId="40FE7640">
      <w:pPr>
        <w:wordWrap w:val="0"/>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五、投标保证金（如有）</w:t>
      </w:r>
    </w:p>
    <w:p w14:paraId="7D0B506F">
      <w:pPr>
        <w:wordWrap w:val="0"/>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六、勘察设计费报价表</w:t>
      </w:r>
    </w:p>
    <w:p w14:paraId="3619B4B3">
      <w:pPr>
        <w:wordWrap w:val="0"/>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七、资格审查资料</w:t>
      </w:r>
    </w:p>
    <w:p w14:paraId="133612F8">
      <w:pPr>
        <w:wordWrap w:val="0"/>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八、其他资料</w:t>
      </w:r>
    </w:p>
    <w:p w14:paraId="1C8262B4">
      <w:pPr>
        <w:widowControl/>
        <w:wordWrap w:val="0"/>
        <w:jc w:val="left"/>
        <w:rPr>
          <w:rFonts w:ascii="宋体" w:hAnsi="宋体" w:eastAsia="宋体" w:cs="宋体"/>
          <w:b/>
          <w:bCs/>
          <w:color w:val="auto"/>
          <w:szCs w:val="21"/>
          <w:highlight w:val="none"/>
        </w:rPr>
      </w:pPr>
      <w:r>
        <w:rPr>
          <w:rFonts w:hint="eastAsia" w:ascii="宋体" w:hAnsi="宋体" w:eastAsia="宋体" w:cs="宋体"/>
          <w:b/>
          <w:bCs/>
          <w:color w:val="auto"/>
          <w:szCs w:val="21"/>
          <w:highlight w:val="none"/>
        </w:rPr>
        <w:br w:type="page"/>
      </w:r>
    </w:p>
    <w:p w14:paraId="0E41FBC1">
      <w:pPr>
        <w:wordWrap w:val="0"/>
        <w:rPr>
          <w:rFonts w:ascii="宋体" w:hAnsi="宋体" w:eastAsia="宋体" w:cs="宋体"/>
          <w:b/>
          <w:bCs/>
          <w:color w:val="auto"/>
          <w:szCs w:val="21"/>
          <w:highlight w:val="none"/>
        </w:rPr>
        <w:sectPr>
          <w:type w:val="continuous"/>
          <w:pgSz w:w="11905" w:h="16838"/>
          <w:pgMar w:top="1474" w:right="1701" w:bottom="1474" w:left="1701" w:header="720" w:footer="720" w:gutter="0"/>
          <w:cols w:space="720" w:num="1"/>
        </w:sectPr>
      </w:pPr>
    </w:p>
    <w:p w14:paraId="1EBBC59E">
      <w:pPr>
        <w:autoSpaceDE w:val="0"/>
        <w:autoSpaceDN w:val="0"/>
        <w:adjustRightInd w:val="0"/>
        <w:spacing w:line="360" w:lineRule="auto"/>
        <w:jc w:val="center"/>
        <w:outlineLvl w:val="3"/>
        <w:rPr>
          <w:rFonts w:ascii="宋体" w:hAnsi="宋体" w:eastAsia="宋体" w:cs="Times New Roman"/>
          <w:b/>
          <w:color w:val="auto"/>
          <w:kern w:val="0"/>
          <w:sz w:val="28"/>
          <w:szCs w:val="28"/>
          <w:highlight w:val="none"/>
          <w:lang w:val="zh-CN"/>
        </w:rPr>
      </w:pPr>
      <w:bookmarkStart w:id="221" w:name="_Toc20296"/>
      <w:bookmarkStart w:id="222" w:name="_Toc111186813"/>
      <w:r>
        <w:rPr>
          <w:rFonts w:hint="eastAsia" w:ascii="宋体" w:hAnsi="宋体" w:eastAsia="宋体" w:cs="Times New Roman"/>
          <w:b/>
          <w:color w:val="auto"/>
          <w:kern w:val="0"/>
          <w:sz w:val="28"/>
          <w:szCs w:val="28"/>
          <w:highlight w:val="none"/>
          <w:lang w:val="zh-CN"/>
        </w:rPr>
        <w:t>一</w:t>
      </w:r>
      <w:bookmarkEnd w:id="221"/>
      <w:bookmarkEnd w:id="222"/>
      <w:r>
        <w:rPr>
          <w:rFonts w:hint="eastAsia" w:ascii="宋体" w:hAnsi="宋体" w:eastAsia="宋体" w:cs="Times New Roman"/>
          <w:b/>
          <w:color w:val="auto"/>
          <w:kern w:val="0"/>
          <w:sz w:val="28"/>
          <w:szCs w:val="28"/>
          <w:highlight w:val="none"/>
          <w:lang w:val="zh-CN"/>
        </w:rPr>
        <w:t>、投标函及投标函附录</w:t>
      </w:r>
    </w:p>
    <w:p w14:paraId="2498F446">
      <w:pPr>
        <w:autoSpaceDE w:val="0"/>
        <w:autoSpaceDN w:val="0"/>
        <w:adjustRightInd w:val="0"/>
        <w:spacing w:line="360" w:lineRule="auto"/>
        <w:ind w:left="284" w:hanging="284"/>
        <w:jc w:val="left"/>
        <w:outlineLvl w:val="4"/>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（一）投标函</w:t>
      </w:r>
    </w:p>
    <w:p w14:paraId="1ADFEBE9">
      <w:pPr>
        <w:wordWrap w:val="0"/>
        <w:spacing w:line="360" w:lineRule="auto"/>
        <w:ind w:firstLine="566" w:firstLineChars="23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1.我方已仔细研究了</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rPr>
        <w:t>（项目名称）</w:t>
      </w:r>
      <w:r>
        <w:rPr>
          <w:rFonts w:hint="eastAsia" w:ascii="宋体" w:hAnsi="宋体" w:eastAsia="宋体" w:cs="宋体"/>
          <w:color w:val="auto"/>
          <w:sz w:val="24"/>
          <w:szCs w:val="24"/>
          <w:highlight w:val="none"/>
        </w:rPr>
        <w:t>招标项目招标文件全部内容及其补充文件和技术规范等文件，愿意以人民币（大写）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）的投标总报价，按合同约定完成勘察设计工作。我方项目负责人是</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1B6A1241">
      <w:pPr>
        <w:wordWrap w:val="0"/>
        <w:spacing w:line="360" w:lineRule="auto"/>
        <w:ind w:firstLine="566" w:firstLineChars="23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2.我方的投标文件包括下列内容：</w:t>
      </w:r>
    </w:p>
    <w:p w14:paraId="4F4AFB77">
      <w:pPr>
        <w:wordWrap w:val="0"/>
        <w:spacing w:line="360" w:lineRule="auto"/>
        <w:ind w:firstLine="566" w:firstLineChars="23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（1）投标函及投标函附录；</w:t>
      </w:r>
    </w:p>
    <w:p w14:paraId="0A9DD262">
      <w:pPr>
        <w:wordWrap w:val="0"/>
        <w:spacing w:line="360" w:lineRule="auto"/>
        <w:ind w:firstLine="566" w:firstLineChars="23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（2）法定代表人身份证明或附有法定代表人身份证明的授权委托书；</w:t>
      </w:r>
    </w:p>
    <w:p w14:paraId="639CBE62">
      <w:pPr>
        <w:wordWrap w:val="0"/>
        <w:spacing w:line="360" w:lineRule="auto"/>
        <w:ind w:firstLine="566" w:firstLineChars="23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（3）联合体协议书(如有)；</w:t>
      </w:r>
    </w:p>
    <w:p w14:paraId="0F40AC11">
      <w:pPr>
        <w:wordWrap w:val="0"/>
        <w:spacing w:line="360" w:lineRule="auto"/>
        <w:ind w:firstLine="566" w:firstLineChars="23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（4）投标人声明</w:t>
      </w:r>
    </w:p>
    <w:p w14:paraId="3F15C252">
      <w:pPr>
        <w:wordWrap w:val="0"/>
        <w:spacing w:line="360" w:lineRule="auto"/>
        <w:ind w:firstLine="566" w:firstLineChars="23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（5）投标保证金(如有)；</w:t>
      </w:r>
    </w:p>
    <w:p w14:paraId="40CC9BD5">
      <w:pPr>
        <w:wordWrap w:val="0"/>
        <w:spacing w:line="360" w:lineRule="auto"/>
        <w:ind w:firstLine="566" w:firstLineChars="23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（6）勘察设计费报价表；</w:t>
      </w:r>
    </w:p>
    <w:p w14:paraId="0482FE45">
      <w:pPr>
        <w:wordWrap w:val="0"/>
        <w:spacing w:line="360" w:lineRule="auto"/>
        <w:ind w:firstLine="566" w:firstLineChars="23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（7）资格审查资料；</w:t>
      </w:r>
    </w:p>
    <w:p w14:paraId="30613FE9">
      <w:pPr>
        <w:wordWrap w:val="0"/>
        <w:spacing w:line="360" w:lineRule="auto"/>
        <w:ind w:firstLine="566" w:firstLineChars="23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（8）商务文件（资信业绩）；</w:t>
      </w:r>
    </w:p>
    <w:p w14:paraId="1DDD92E1">
      <w:pPr>
        <w:wordWrap w:val="0"/>
        <w:spacing w:line="360" w:lineRule="auto"/>
        <w:ind w:firstLine="566" w:firstLineChars="23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（9）技术文件（勘察设计方案）；</w:t>
      </w:r>
    </w:p>
    <w:p w14:paraId="58589548">
      <w:pPr>
        <w:wordWrap w:val="0"/>
        <w:spacing w:line="360" w:lineRule="auto"/>
        <w:ind w:firstLine="566" w:firstLineChars="23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（10）投标文件光盘（备用）。注：投标人也可不提交投标文件光盘（备用）</w:t>
      </w:r>
    </w:p>
    <w:p w14:paraId="5963D94D">
      <w:pPr>
        <w:wordWrap w:val="0"/>
        <w:spacing w:line="360" w:lineRule="auto"/>
        <w:ind w:firstLine="566" w:firstLineChars="23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投标文件的上述组成部分如存在内容不一致的，以投标函为准。</w:t>
      </w:r>
    </w:p>
    <w:p w14:paraId="66943942">
      <w:pPr>
        <w:wordWrap w:val="0"/>
        <w:spacing w:line="360" w:lineRule="auto"/>
        <w:ind w:firstLine="566" w:firstLineChars="23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3.我方承诺在招标文件规定的投标有效期内不撤销投标文件。</w:t>
      </w:r>
    </w:p>
    <w:p w14:paraId="5F659475">
      <w:pPr>
        <w:wordWrap w:val="0"/>
        <w:spacing w:line="360" w:lineRule="auto"/>
        <w:ind w:firstLine="566" w:firstLineChars="23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4.如我方中标，我方承诺：</w:t>
      </w:r>
    </w:p>
    <w:p w14:paraId="56FD3387">
      <w:pPr>
        <w:wordWrap w:val="0"/>
        <w:spacing w:line="360" w:lineRule="auto"/>
        <w:ind w:firstLine="566" w:firstLineChars="23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（1）在收到中标通知书后，在法律法规规定的期限内与你方签订合同；</w:t>
      </w:r>
    </w:p>
    <w:p w14:paraId="4AAEB8E1">
      <w:pPr>
        <w:wordWrap w:val="0"/>
        <w:spacing w:line="360" w:lineRule="auto"/>
        <w:ind w:firstLine="566" w:firstLineChars="23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（2）在签订合同时不向你方提出附加条件；</w:t>
      </w:r>
    </w:p>
    <w:p w14:paraId="2BF76CBA">
      <w:pPr>
        <w:wordWrap w:val="0"/>
        <w:spacing w:line="360" w:lineRule="auto"/>
        <w:ind w:firstLine="566" w:firstLineChars="23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（3）按照招标文件要求提交履约保证金（如要求）；</w:t>
      </w:r>
    </w:p>
    <w:p w14:paraId="4E12DF01">
      <w:pPr>
        <w:wordWrap w:val="0"/>
        <w:spacing w:line="360" w:lineRule="auto"/>
        <w:ind w:firstLine="566" w:firstLineChars="23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（4）在合同约定的期限内完成合同规定的全部义务；</w:t>
      </w:r>
    </w:p>
    <w:p w14:paraId="4502157C">
      <w:pPr>
        <w:wordWrap w:val="0"/>
        <w:spacing w:line="360" w:lineRule="auto"/>
        <w:ind w:firstLine="566" w:firstLineChars="23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（5）承诺本项目拟投入的人员为本单位人员，并已按规定购买社保。</w:t>
      </w:r>
    </w:p>
    <w:p w14:paraId="7BFF1401">
      <w:pPr>
        <w:wordWrap w:val="0"/>
        <w:spacing w:line="360" w:lineRule="auto"/>
        <w:ind w:firstLine="566" w:firstLineChars="23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5.如我方成为本项目的中标候选人，我方同意并授权招标人将我司投标文件商务部分的人员、业绩、奖项等资料进行公示。</w:t>
      </w:r>
    </w:p>
    <w:p w14:paraId="03AF6207">
      <w:pPr>
        <w:wordWrap w:val="0"/>
        <w:spacing w:line="360" w:lineRule="auto"/>
        <w:ind w:firstLine="566" w:firstLineChars="23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我方遵守本投标函直至投标有效期满，在投标有效期满前，本投标函对我方一直具有约束力，随时可接受中标。我方承认所附投标文件资料为本投标函的一部分。如果我方投标函含有不符合招标文件规定的内容，我方同意按招标文件规定予以修正。</w:t>
      </w:r>
    </w:p>
    <w:p w14:paraId="7A505D2A">
      <w:pPr>
        <w:wordWrap w:val="0"/>
        <w:spacing w:line="360" w:lineRule="auto"/>
        <w:ind w:firstLine="566" w:firstLineChars="23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7.我方认同招标文件规定的评审规则，遵守评标委员会的裁决结果，并且不会采取妨碍项目进展的行为。我方理解你方没有必须接受你方可能收到的最低标或任何投标的义务。</w:t>
      </w:r>
    </w:p>
    <w:p w14:paraId="7812FE0E">
      <w:pPr>
        <w:wordWrap w:val="0"/>
        <w:spacing w:line="360" w:lineRule="auto"/>
        <w:ind w:firstLine="566" w:firstLineChars="23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8.如果我方中标，我方将提供规定的履约担保，将在合同规定的日期开工，并在竣工时间内，按照上述文件完成项目。</w:t>
      </w:r>
    </w:p>
    <w:p w14:paraId="0BA94B36">
      <w:pPr>
        <w:wordWrap w:val="0"/>
        <w:spacing w:line="360" w:lineRule="auto"/>
        <w:ind w:firstLine="566" w:firstLineChars="23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9.除非制定正式合同协议书并生效，本投标函以及你方中标通知书，应构成你我双方间具有约束力的合同。</w:t>
      </w:r>
    </w:p>
    <w:p w14:paraId="78B70E49">
      <w:pPr>
        <w:wordWrap w:val="0"/>
        <w:spacing w:line="360" w:lineRule="auto"/>
        <w:ind w:firstLine="566" w:firstLineChars="23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10.我方在此声明，所递交的投标文件及有关资料内容完整、真实和准确，且不存在第二章“投标人须知”第1.4.3项规定的任何一种情形。若与事实不符，经查实，我方愿意接受公开通报，承担由此带来的法律的后果，并自愿停止参加你方组织的在广州市行政辖区内的招标投标活动3个月。</w:t>
      </w:r>
    </w:p>
    <w:p w14:paraId="21AC0527">
      <w:pPr>
        <w:wordWrap w:val="0"/>
        <w:spacing w:line="360" w:lineRule="auto"/>
        <w:ind w:firstLine="566" w:firstLineChars="23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11.（其他补充说明）。</w:t>
      </w:r>
    </w:p>
    <w:p w14:paraId="5F4E5BBE">
      <w:pPr>
        <w:wordWrap w:val="0"/>
        <w:spacing w:line="360" w:lineRule="auto"/>
        <w:rPr>
          <w:rFonts w:ascii="宋体" w:hAnsi="宋体" w:eastAsia="宋体" w:cs="宋体"/>
          <w:color w:val="auto"/>
          <w:sz w:val="24"/>
          <w:szCs w:val="24"/>
          <w:highlight w:val="none"/>
        </w:rPr>
      </w:pPr>
    </w:p>
    <w:p w14:paraId="5C22792A">
      <w:pPr>
        <w:wordWrap w:val="0"/>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（盖单位章）</w:t>
      </w:r>
    </w:p>
    <w:p w14:paraId="318F24BD">
      <w:pPr>
        <w:wordWrap w:val="0"/>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rPr>
        <w:t xml:space="preserve">                          </w:t>
      </w:r>
    </w:p>
    <w:p w14:paraId="5B813063">
      <w:pPr>
        <w:wordWrap w:val="0"/>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网址：</w:t>
      </w:r>
      <w:r>
        <w:rPr>
          <w:rFonts w:hint="eastAsia" w:ascii="宋体" w:hAnsi="宋体" w:eastAsia="宋体" w:cs="宋体"/>
          <w:color w:val="auto"/>
          <w:sz w:val="24"/>
          <w:szCs w:val="24"/>
          <w:highlight w:val="none"/>
          <w:u w:val="single"/>
        </w:rPr>
        <w:t xml:space="preserve">                          </w:t>
      </w:r>
    </w:p>
    <w:p w14:paraId="062A3BFB">
      <w:pPr>
        <w:wordWrap w:val="0"/>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r>
        <w:rPr>
          <w:rFonts w:hint="eastAsia" w:ascii="宋体" w:hAnsi="宋体" w:eastAsia="宋体" w:cs="宋体"/>
          <w:color w:val="auto"/>
          <w:sz w:val="24"/>
          <w:szCs w:val="24"/>
          <w:highlight w:val="none"/>
          <w:u w:val="single"/>
        </w:rPr>
        <w:t xml:space="preserve">                          </w:t>
      </w:r>
    </w:p>
    <w:p w14:paraId="1D4BC2E2">
      <w:pPr>
        <w:wordWrap w:val="0"/>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r>
        <w:rPr>
          <w:rFonts w:hint="eastAsia" w:ascii="宋体" w:hAnsi="宋体" w:eastAsia="宋体" w:cs="宋体"/>
          <w:color w:val="auto"/>
          <w:sz w:val="24"/>
          <w:szCs w:val="24"/>
          <w:highlight w:val="none"/>
          <w:u w:val="single"/>
        </w:rPr>
        <w:t xml:space="preserve">                          </w:t>
      </w:r>
    </w:p>
    <w:p w14:paraId="7E802280">
      <w:pPr>
        <w:wordWrap w:val="0"/>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r>
        <w:rPr>
          <w:rFonts w:hint="eastAsia" w:ascii="宋体" w:hAnsi="宋体" w:eastAsia="宋体" w:cs="宋体"/>
          <w:color w:val="auto"/>
          <w:sz w:val="24"/>
          <w:szCs w:val="24"/>
          <w:highlight w:val="none"/>
          <w:u w:val="single"/>
        </w:rPr>
        <w:t xml:space="preserve">                        </w:t>
      </w:r>
    </w:p>
    <w:p w14:paraId="14B896DE">
      <w:pPr>
        <w:wordWrap w:val="0"/>
        <w:spacing w:line="360" w:lineRule="auto"/>
        <w:jc w:val="righ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日</w:t>
      </w:r>
    </w:p>
    <w:p w14:paraId="08807AA0">
      <w:pPr>
        <w:spacing w:line="360" w:lineRule="auto"/>
        <w:rPr>
          <w:rFonts w:ascii="宋体" w:hAnsi="宋体" w:eastAsia="宋体" w:cs="宋体"/>
          <w:b/>
          <w:color w:val="auto"/>
          <w:sz w:val="28"/>
          <w:szCs w:val="28"/>
          <w:highlight w:val="none"/>
        </w:rPr>
      </w:pPr>
      <w:r>
        <w:rPr>
          <w:rFonts w:hint="eastAsia" w:ascii="宋体" w:hAnsi="宋体" w:eastAsia="宋体" w:cs="宋体"/>
          <w:b/>
          <w:bCs/>
          <w:color w:val="auto"/>
          <w:sz w:val="24"/>
          <w:szCs w:val="24"/>
          <w:highlight w:val="none"/>
          <w:u w:val="single"/>
        </w:rPr>
        <w:t>（注：如联合体投标人，由投标主办方盖章即可。）</w:t>
      </w:r>
    </w:p>
    <w:p w14:paraId="43ECF38A">
      <w:pPr>
        <w:spacing w:line="360" w:lineRule="auto"/>
        <w:jc w:val="center"/>
        <w:rPr>
          <w:rFonts w:ascii="宋体" w:hAnsi="宋体" w:eastAsia="宋体" w:cs="宋体"/>
          <w:color w:val="auto"/>
          <w:sz w:val="24"/>
          <w:szCs w:val="24"/>
          <w:highlight w:val="none"/>
        </w:rPr>
      </w:pPr>
    </w:p>
    <w:p w14:paraId="7447BD70">
      <w:pPr>
        <w:autoSpaceDE w:val="0"/>
        <w:autoSpaceDN w:val="0"/>
        <w:adjustRightInd w:val="0"/>
        <w:spacing w:line="360" w:lineRule="auto"/>
        <w:ind w:left="284" w:hanging="284"/>
        <w:jc w:val="left"/>
        <w:outlineLvl w:val="4"/>
        <w:rPr>
          <w:rFonts w:ascii="宋体" w:hAnsi="宋体" w:eastAsia="宋体" w:cs="Times New Roman"/>
          <w:b/>
          <w:color w:val="auto"/>
          <w:sz w:val="28"/>
          <w:szCs w:val="21"/>
          <w:highlight w:val="none"/>
        </w:rPr>
      </w:pPr>
      <w:r>
        <w:rPr>
          <w:rFonts w:hint="eastAsia" w:ascii="宋体" w:hAnsi="宋体" w:eastAsia="宋体" w:cs="Times New Roman"/>
          <w:b/>
          <w:color w:val="auto"/>
          <w:sz w:val="32"/>
          <w:szCs w:val="32"/>
          <w:highlight w:val="none"/>
        </w:rPr>
        <w:br w:type="page"/>
      </w:r>
      <w:r>
        <w:rPr>
          <w:rFonts w:hint="eastAsia" w:ascii="宋体" w:hAnsi="宋体" w:eastAsia="宋体" w:cs="Times New Roman"/>
          <w:b/>
          <w:color w:val="auto"/>
          <w:sz w:val="24"/>
          <w:szCs w:val="24"/>
          <w:highlight w:val="none"/>
        </w:rPr>
        <w:t>（二）投标函附录</w:t>
      </w:r>
    </w:p>
    <w:tbl>
      <w:tblPr>
        <w:tblStyle w:val="168"/>
        <w:tblW w:w="52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2243"/>
        <w:gridCol w:w="6042"/>
      </w:tblGrid>
      <w:tr w14:paraId="74C07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1675" w:type="pct"/>
            <w:gridSpan w:val="2"/>
            <w:vAlign w:val="center"/>
          </w:tcPr>
          <w:p w14:paraId="7F3B5663">
            <w:pPr>
              <w:jc w:val="center"/>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项目名称</w:t>
            </w:r>
          </w:p>
        </w:tc>
        <w:tc>
          <w:tcPr>
            <w:tcW w:w="3324" w:type="pct"/>
            <w:vAlign w:val="center"/>
          </w:tcPr>
          <w:p w14:paraId="226E18F7">
            <w:pPr>
              <w:rPr>
                <w:rFonts w:ascii="宋体" w:hAnsi="宋体" w:eastAsia="宋体" w:cs="宋体"/>
                <w:bCs/>
                <w:color w:val="auto"/>
                <w:sz w:val="24"/>
                <w:szCs w:val="24"/>
                <w:highlight w:val="none"/>
              </w:rPr>
            </w:pPr>
          </w:p>
        </w:tc>
      </w:tr>
      <w:tr w14:paraId="54B7F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675" w:type="pct"/>
            <w:gridSpan w:val="2"/>
            <w:vAlign w:val="center"/>
          </w:tcPr>
          <w:p w14:paraId="17D87A83">
            <w:pPr>
              <w:jc w:val="center"/>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投标总报价（元）</w:t>
            </w:r>
          </w:p>
        </w:tc>
        <w:tc>
          <w:tcPr>
            <w:tcW w:w="3324" w:type="pct"/>
            <w:vAlign w:val="center"/>
          </w:tcPr>
          <w:p w14:paraId="66E0AF75">
            <w:pPr>
              <w:rPr>
                <w:rFonts w:ascii="宋体" w:hAnsi="宋体" w:eastAsia="宋体" w:cs="宋体"/>
                <w:bCs/>
                <w:color w:val="auto"/>
                <w:sz w:val="24"/>
                <w:szCs w:val="24"/>
                <w:highlight w:val="none"/>
              </w:rPr>
            </w:pPr>
          </w:p>
        </w:tc>
      </w:tr>
      <w:tr w14:paraId="21526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41" w:type="pct"/>
            <w:vMerge w:val="restart"/>
            <w:vAlign w:val="center"/>
          </w:tcPr>
          <w:p w14:paraId="310C99FA">
            <w:pPr>
              <w:jc w:val="center"/>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其中</w:t>
            </w:r>
          </w:p>
        </w:tc>
        <w:tc>
          <w:tcPr>
            <w:tcW w:w="1233" w:type="pct"/>
            <w:vAlign w:val="center"/>
          </w:tcPr>
          <w:p w14:paraId="4B7BDDA4">
            <w:pPr>
              <w:jc w:val="left"/>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勘察费报价（元）</w:t>
            </w:r>
          </w:p>
        </w:tc>
        <w:tc>
          <w:tcPr>
            <w:tcW w:w="3324" w:type="pct"/>
            <w:vAlign w:val="center"/>
          </w:tcPr>
          <w:p w14:paraId="69F2C3E7">
            <w:pPr>
              <w:rPr>
                <w:rFonts w:ascii="宋体" w:hAnsi="宋体" w:eastAsia="宋体" w:cs="宋体"/>
                <w:bCs/>
                <w:color w:val="auto"/>
                <w:sz w:val="24"/>
                <w:szCs w:val="24"/>
                <w:highlight w:val="none"/>
              </w:rPr>
            </w:pPr>
          </w:p>
        </w:tc>
      </w:tr>
      <w:tr w14:paraId="4CEBE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41" w:type="pct"/>
            <w:vMerge w:val="continue"/>
            <w:vAlign w:val="center"/>
          </w:tcPr>
          <w:p w14:paraId="706A3A34">
            <w:pPr>
              <w:jc w:val="center"/>
              <w:rPr>
                <w:rFonts w:ascii="宋体" w:hAnsi="宋体" w:eastAsia="宋体" w:cs="宋体"/>
                <w:bCs/>
                <w:color w:val="auto"/>
                <w:sz w:val="24"/>
                <w:szCs w:val="24"/>
                <w:highlight w:val="none"/>
              </w:rPr>
            </w:pPr>
          </w:p>
        </w:tc>
        <w:tc>
          <w:tcPr>
            <w:tcW w:w="1233" w:type="pct"/>
            <w:vAlign w:val="center"/>
          </w:tcPr>
          <w:p w14:paraId="3647C830">
            <w:pPr>
              <w:jc w:val="left"/>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勘察费投标下浮率</w:t>
            </w:r>
          </w:p>
        </w:tc>
        <w:tc>
          <w:tcPr>
            <w:tcW w:w="3324" w:type="pct"/>
            <w:vAlign w:val="center"/>
          </w:tcPr>
          <w:p w14:paraId="7AD7B778">
            <w:pPr>
              <w:jc w:val="left"/>
              <w:rPr>
                <w:rFonts w:ascii="宋体" w:hAnsi="宋体" w:eastAsia="宋体" w:cs="宋体"/>
                <w:bCs/>
                <w:color w:val="auto"/>
                <w:sz w:val="24"/>
                <w:szCs w:val="24"/>
                <w:highlight w:val="none"/>
              </w:rPr>
            </w:pPr>
            <w:r>
              <w:rPr>
                <w:rFonts w:ascii="宋体" w:hAnsi="宋体" w:eastAsia="宋体" w:cs="宋体"/>
                <w:bCs/>
                <w:color w:val="auto"/>
                <w:sz w:val="24"/>
                <w:szCs w:val="24"/>
                <w:highlight w:val="none"/>
                <w:u w:val="single"/>
              </w:rPr>
              <w:t xml:space="preserve">     </w:t>
            </w:r>
            <w:r>
              <w:rPr>
                <w:rFonts w:ascii="宋体" w:hAnsi="宋体" w:eastAsia="宋体" w:cs="宋体"/>
                <w:bCs/>
                <w:color w:val="auto"/>
                <w:sz w:val="24"/>
                <w:szCs w:val="24"/>
                <w:highlight w:val="none"/>
              </w:rPr>
              <w:t>%</w:t>
            </w:r>
          </w:p>
          <w:p w14:paraId="40A67539">
            <w:pPr>
              <w:jc w:val="left"/>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注：勘察费投标下浮率</w:t>
            </w:r>
            <w:r>
              <w:rPr>
                <w:rFonts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rPr>
              <w:t>（</w:t>
            </w:r>
            <w:r>
              <w:rPr>
                <w:rFonts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rPr>
              <w:t>勘察费报价</w:t>
            </w:r>
            <w:r>
              <w:rPr>
                <w:rFonts w:ascii="宋体" w:hAnsi="宋体" w:eastAsia="宋体" w:cs="宋体"/>
                <w:bCs/>
                <w:color w:val="auto"/>
                <w:sz w:val="24"/>
                <w:szCs w:val="24"/>
                <w:highlight w:val="none"/>
              </w:rPr>
              <w:t>/</w:t>
            </w:r>
            <w:r>
              <w:rPr>
                <w:rFonts w:hint="eastAsia" w:ascii="宋体" w:hAnsi="宋体" w:eastAsia="宋体" w:cs="宋体"/>
                <w:b/>
                <w:color w:val="auto"/>
                <w:spacing w:val="2"/>
                <w:sz w:val="24"/>
                <w:szCs w:val="24"/>
                <w:highlight w:val="none"/>
              </w:rPr>
              <w:t>勘察费最高投标限价</w:t>
            </w:r>
            <w:r>
              <w:rPr>
                <w:rFonts w:hint="eastAsia" w:ascii="宋体" w:hAnsi="宋体" w:eastAsia="宋体" w:cs="宋体"/>
                <w:bCs/>
                <w:color w:val="auto"/>
                <w:sz w:val="24"/>
                <w:szCs w:val="24"/>
                <w:highlight w:val="none"/>
              </w:rPr>
              <w:t>）×</w:t>
            </w:r>
            <w:r>
              <w:rPr>
                <w:rFonts w:ascii="宋体" w:hAnsi="宋体" w:eastAsia="宋体" w:cs="宋体"/>
                <w:bCs/>
                <w:color w:val="auto"/>
                <w:sz w:val="24"/>
                <w:szCs w:val="24"/>
                <w:highlight w:val="none"/>
              </w:rPr>
              <w:t>100%</w:t>
            </w:r>
          </w:p>
        </w:tc>
      </w:tr>
      <w:tr w14:paraId="1E3B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41" w:type="pct"/>
            <w:vMerge w:val="continue"/>
            <w:vAlign w:val="center"/>
          </w:tcPr>
          <w:p w14:paraId="10AF7F16">
            <w:pPr>
              <w:jc w:val="center"/>
              <w:rPr>
                <w:rFonts w:ascii="宋体" w:hAnsi="宋体" w:eastAsia="宋体" w:cs="宋体"/>
                <w:bCs/>
                <w:color w:val="auto"/>
                <w:sz w:val="24"/>
                <w:szCs w:val="24"/>
                <w:highlight w:val="none"/>
              </w:rPr>
            </w:pPr>
          </w:p>
        </w:tc>
        <w:tc>
          <w:tcPr>
            <w:tcW w:w="1233" w:type="pct"/>
            <w:vAlign w:val="center"/>
          </w:tcPr>
          <w:p w14:paraId="37AB2D1C">
            <w:pPr>
              <w:jc w:val="left"/>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设计费报价（元）</w:t>
            </w:r>
          </w:p>
        </w:tc>
        <w:tc>
          <w:tcPr>
            <w:tcW w:w="3324" w:type="pct"/>
            <w:vAlign w:val="center"/>
          </w:tcPr>
          <w:p w14:paraId="3CEE54E7">
            <w:pPr>
              <w:rPr>
                <w:rFonts w:ascii="宋体" w:hAnsi="宋体" w:eastAsia="宋体" w:cs="宋体"/>
                <w:bCs/>
                <w:color w:val="auto"/>
                <w:sz w:val="24"/>
                <w:szCs w:val="24"/>
                <w:highlight w:val="none"/>
              </w:rPr>
            </w:pPr>
          </w:p>
        </w:tc>
      </w:tr>
      <w:tr w14:paraId="3F955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41" w:type="pct"/>
            <w:vMerge w:val="continue"/>
            <w:vAlign w:val="center"/>
          </w:tcPr>
          <w:p w14:paraId="7CAF24BC">
            <w:pPr>
              <w:jc w:val="center"/>
              <w:rPr>
                <w:rFonts w:ascii="宋体" w:hAnsi="宋体" w:eastAsia="宋体" w:cs="宋体"/>
                <w:bCs/>
                <w:color w:val="auto"/>
                <w:sz w:val="24"/>
                <w:szCs w:val="24"/>
                <w:highlight w:val="none"/>
              </w:rPr>
            </w:pPr>
          </w:p>
        </w:tc>
        <w:tc>
          <w:tcPr>
            <w:tcW w:w="1233" w:type="pct"/>
            <w:vAlign w:val="center"/>
          </w:tcPr>
          <w:p w14:paraId="66213110">
            <w:pPr>
              <w:jc w:val="left"/>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设计费投标下浮率</w:t>
            </w:r>
          </w:p>
        </w:tc>
        <w:tc>
          <w:tcPr>
            <w:tcW w:w="3324" w:type="pct"/>
            <w:vAlign w:val="center"/>
          </w:tcPr>
          <w:p w14:paraId="22641AE4">
            <w:pPr>
              <w:jc w:val="left"/>
              <w:rPr>
                <w:rFonts w:ascii="宋体" w:hAnsi="宋体" w:eastAsia="宋体" w:cs="宋体"/>
                <w:bCs/>
                <w:color w:val="auto"/>
                <w:sz w:val="24"/>
                <w:szCs w:val="24"/>
                <w:highlight w:val="none"/>
              </w:rPr>
            </w:pPr>
            <w:r>
              <w:rPr>
                <w:rFonts w:ascii="宋体" w:hAnsi="宋体" w:eastAsia="宋体" w:cs="宋体"/>
                <w:bCs/>
                <w:color w:val="auto"/>
                <w:sz w:val="24"/>
                <w:szCs w:val="24"/>
                <w:highlight w:val="none"/>
                <w:u w:val="single"/>
              </w:rPr>
              <w:t xml:space="preserve">     </w:t>
            </w:r>
            <w:r>
              <w:rPr>
                <w:rFonts w:ascii="宋体" w:hAnsi="宋体" w:eastAsia="宋体" w:cs="宋体"/>
                <w:bCs/>
                <w:color w:val="auto"/>
                <w:sz w:val="24"/>
                <w:szCs w:val="24"/>
                <w:highlight w:val="none"/>
              </w:rPr>
              <w:t>%</w:t>
            </w:r>
          </w:p>
          <w:p w14:paraId="75685BC4">
            <w:pPr>
              <w:jc w:val="left"/>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注：设计费投标下浮率</w:t>
            </w:r>
            <w:r>
              <w:rPr>
                <w:rFonts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rPr>
              <w:t>（</w:t>
            </w:r>
            <w:r>
              <w:rPr>
                <w:rFonts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rPr>
              <w:t>设计费报价</w:t>
            </w:r>
            <w:r>
              <w:rPr>
                <w:rFonts w:ascii="宋体" w:hAnsi="宋体" w:eastAsia="宋体" w:cs="宋体"/>
                <w:bCs/>
                <w:color w:val="auto"/>
                <w:sz w:val="24"/>
                <w:szCs w:val="24"/>
                <w:highlight w:val="none"/>
              </w:rPr>
              <w:t>/</w:t>
            </w:r>
            <w:r>
              <w:rPr>
                <w:rFonts w:hint="eastAsia" w:ascii="宋体" w:hAnsi="宋体" w:eastAsia="宋体" w:cs="宋体"/>
                <w:b/>
                <w:color w:val="auto"/>
                <w:spacing w:val="2"/>
                <w:sz w:val="24"/>
                <w:szCs w:val="24"/>
                <w:highlight w:val="none"/>
              </w:rPr>
              <w:t>设计费最高投标限价</w:t>
            </w:r>
            <w:r>
              <w:rPr>
                <w:rFonts w:hint="eastAsia" w:ascii="宋体" w:hAnsi="宋体" w:eastAsia="宋体" w:cs="宋体"/>
                <w:bCs/>
                <w:color w:val="auto"/>
                <w:sz w:val="24"/>
                <w:szCs w:val="24"/>
                <w:highlight w:val="none"/>
              </w:rPr>
              <w:t>）×</w:t>
            </w:r>
            <w:r>
              <w:rPr>
                <w:rFonts w:ascii="宋体" w:hAnsi="宋体" w:eastAsia="宋体" w:cs="宋体"/>
                <w:bCs/>
                <w:color w:val="auto"/>
                <w:sz w:val="24"/>
                <w:szCs w:val="24"/>
                <w:highlight w:val="none"/>
              </w:rPr>
              <w:t>100%</w:t>
            </w:r>
          </w:p>
        </w:tc>
      </w:tr>
      <w:tr w14:paraId="57F46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1675" w:type="pct"/>
            <w:gridSpan w:val="2"/>
            <w:vAlign w:val="center"/>
          </w:tcPr>
          <w:p w14:paraId="604C7976">
            <w:pPr>
              <w:jc w:val="center"/>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勘察设计服务期限</w:t>
            </w:r>
          </w:p>
        </w:tc>
        <w:tc>
          <w:tcPr>
            <w:tcW w:w="3324" w:type="pct"/>
            <w:vAlign w:val="center"/>
          </w:tcPr>
          <w:p w14:paraId="70DC8C04">
            <w:pPr>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按招标文件要求。</w:t>
            </w:r>
          </w:p>
        </w:tc>
      </w:tr>
      <w:tr w14:paraId="6451D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1675" w:type="pct"/>
            <w:gridSpan w:val="2"/>
            <w:vAlign w:val="center"/>
          </w:tcPr>
          <w:p w14:paraId="5555E22D">
            <w:pPr>
              <w:jc w:val="center"/>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投标内容</w:t>
            </w:r>
          </w:p>
        </w:tc>
        <w:tc>
          <w:tcPr>
            <w:tcW w:w="3324" w:type="pct"/>
            <w:vAlign w:val="center"/>
          </w:tcPr>
          <w:p w14:paraId="5AD2CEBC">
            <w:pPr>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按招标文件要求。</w:t>
            </w:r>
          </w:p>
        </w:tc>
      </w:tr>
      <w:tr w14:paraId="4769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1675" w:type="pct"/>
            <w:gridSpan w:val="2"/>
            <w:vAlign w:val="center"/>
          </w:tcPr>
          <w:p w14:paraId="336B7CE8">
            <w:pPr>
              <w:jc w:val="center"/>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质量标准</w:t>
            </w:r>
          </w:p>
        </w:tc>
        <w:tc>
          <w:tcPr>
            <w:tcW w:w="3324" w:type="pct"/>
            <w:vAlign w:val="center"/>
          </w:tcPr>
          <w:p w14:paraId="3DA393CB">
            <w:pPr>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按招标文件要求。</w:t>
            </w:r>
          </w:p>
        </w:tc>
      </w:tr>
      <w:tr w14:paraId="5089F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1675" w:type="pct"/>
            <w:gridSpan w:val="2"/>
            <w:vAlign w:val="center"/>
          </w:tcPr>
          <w:p w14:paraId="3A17BECC">
            <w:pPr>
              <w:jc w:val="center"/>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投标有效期</w:t>
            </w:r>
          </w:p>
        </w:tc>
        <w:tc>
          <w:tcPr>
            <w:tcW w:w="3324" w:type="pct"/>
            <w:vAlign w:val="center"/>
          </w:tcPr>
          <w:p w14:paraId="3BFF69C8">
            <w:pPr>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按招标文件要求。</w:t>
            </w:r>
          </w:p>
        </w:tc>
      </w:tr>
      <w:tr w14:paraId="5326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1675" w:type="pct"/>
            <w:gridSpan w:val="2"/>
            <w:vAlign w:val="center"/>
          </w:tcPr>
          <w:p w14:paraId="57D75595">
            <w:pPr>
              <w:jc w:val="center"/>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项目负责人</w:t>
            </w:r>
          </w:p>
        </w:tc>
        <w:tc>
          <w:tcPr>
            <w:tcW w:w="3324" w:type="pct"/>
            <w:vAlign w:val="center"/>
          </w:tcPr>
          <w:p w14:paraId="7AFB273E">
            <w:pPr>
              <w:spacing w:line="360" w:lineRule="auto"/>
              <w:jc w:val="left"/>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姓名：</w:t>
            </w:r>
          </w:p>
          <w:p w14:paraId="101D67DE">
            <w:pPr>
              <w:spacing w:line="360" w:lineRule="auto"/>
              <w:jc w:val="left"/>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证书编号：</w:t>
            </w:r>
          </w:p>
        </w:tc>
      </w:tr>
    </w:tbl>
    <w:p w14:paraId="03C987E3">
      <w:pPr>
        <w:rPr>
          <w:rFonts w:ascii="宋体" w:hAnsi="宋体" w:eastAsia="宋体"/>
          <w:color w:val="auto"/>
          <w:sz w:val="24"/>
          <w:szCs w:val="24"/>
          <w:highlight w:val="none"/>
        </w:rPr>
      </w:pPr>
    </w:p>
    <w:p w14:paraId="656EB680">
      <w:pPr>
        <w:spacing w:before="68" w:line="387" w:lineRule="auto"/>
        <w:ind w:left="2599" w:right="-2" w:firstLine="1"/>
        <w:jc w:val="right"/>
        <w:rPr>
          <w:rFonts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投标人：</w:t>
      </w:r>
      <w:r>
        <w:rPr>
          <w:rFonts w:ascii="宋体" w:hAnsi="宋体" w:eastAsia="宋体" w:cs="宋体"/>
          <w:color w:val="auto"/>
          <w:spacing w:val="-4"/>
          <w:sz w:val="24"/>
          <w:szCs w:val="24"/>
          <w:highlight w:val="none"/>
          <w:u w:val="single"/>
        </w:rPr>
        <w:t xml:space="preserve">           </w:t>
      </w:r>
      <w:r>
        <w:rPr>
          <w:rFonts w:ascii="宋体" w:hAnsi="宋体" w:eastAsia="宋体" w:cs="宋体"/>
          <w:color w:val="auto"/>
          <w:spacing w:val="-2"/>
          <w:sz w:val="24"/>
          <w:szCs w:val="24"/>
          <w:highlight w:val="none"/>
          <w:u w:val="single"/>
        </w:rPr>
        <w:t xml:space="preserve">             </w:t>
      </w:r>
      <w:r>
        <w:rPr>
          <w:rFonts w:hint="eastAsia" w:ascii="宋体" w:hAnsi="宋体" w:eastAsia="宋体" w:cs="宋体"/>
          <w:color w:val="auto"/>
          <w:spacing w:val="-2"/>
          <w:sz w:val="24"/>
          <w:szCs w:val="24"/>
          <w:highlight w:val="none"/>
        </w:rPr>
        <w:t>（盖单位章）</w:t>
      </w:r>
    </w:p>
    <w:p w14:paraId="635C3EB0">
      <w:pPr>
        <w:tabs>
          <w:tab w:val="left" w:pos="6615"/>
        </w:tabs>
        <w:spacing w:line="220" w:lineRule="auto"/>
        <w:ind w:left="6190"/>
        <w:jc w:val="right"/>
        <w:rPr>
          <w:rFonts w:ascii="宋体" w:hAnsi="宋体" w:eastAsia="宋体" w:cs="宋体"/>
          <w:color w:val="auto"/>
          <w:sz w:val="24"/>
          <w:szCs w:val="24"/>
          <w:highlight w:val="none"/>
        </w:rPr>
      </w:pPr>
      <w:r>
        <w:rPr>
          <w:rFonts w:ascii="宋体" w:hAnsi="宋体" w:eastAsia="宋体" w:cs="宋体"/>
          <w:color w:val="auto"/>
          <w:sz w:val="24"/>
          <w:szCs w:val="24"/>
          <w:highlight w:val="none"/>
          <w:u w:val="single"/>
        </w:rPr>
        <w:tab/>
      </w:r>
      <w:r>
        <w:rPr>
          <w:rFonts w:hint="eastAsia" w:ascii="宋体" w:hAnsi="宋体" w:eastAsia="宋体" w:cs="宋体"/>
          <w:color w:val="auto"/>
          <w:spacing w:val="4"/>
          <w:sz w:val="24"/>
          <w:szCs w:val="24"/>
          <w:highlight w:val="none"/>
        </w:rPr>
        <w:t>年</w:t>
      </w:r>
      <w:r>
        <w:rPr>
          <w:rFonts w:ascii="宋体" w:hAnsi="宋体" w:eastAsia="宋体" w:cs="宋体"/>
          <w:color w:val="auto"/>
          <w:spacing w:val="4"/>
          <w:sz w:val="24"/>
          <w:szCs w:val="24"/>
          <w:highlight w:val="none"/>
          <w:u w:val="single"/>
        </w:rPr>
        <w:t xml:space="preserve"> </w:t>
      </w:r>
      <w:r>
        <w:rPr>
          <w:rFonts w:ascii="宋体" w:hAnsi="宋体" w:eastAsia="宋体" w:cs="宋体"/>
          <w:color w:val="auto"/>
          <w:spacing w:val="2"/>
          <w:sz w:val="24"/>
          <w:szCs w:val="24"/>
          <w:highlight w:val="none"/>
          <w:u w:val="single"/>
        </w:rPr>
        <w:t xml:space="preserve">  </w:t>
      </w:r>
      <w:r>
        <w:rPr>
          <w:rFonts w:hint="eastAsia" w:ascii="宋体" w:hAnsi="宋体" w:eastAsia="宋体" w:cs="宋体"/>
          <w:color w:val="auto"/>
          <w:spacing w:val="2"/>
          <w:sz w:val="24"/>
          <w:szCs w:val="24"/>
          <w:highlight w:val="none"/>
        </w:rPr>
        <w:t>月</w:t>
      </w:r>
      <w:r>
        <w:rPr>
          <w:rFonts w:ascii="宋体" w:hAnsi="宋体" w:eastAsia="宋体" w:cs="宋体"/>
          <w:color w:val="auto"/>
          <w:spacing w:val="2"/>
          <w:sz w:val="24"/>
          <w:szCs w:val="24"/>
          <w:highlight w:val="none"/>
          <w:u w:val="single"/>
        </w:rPr>
        <w:t xml:space="preserve">    </w:t>
      </w:r>
      <w:r>
        <w:rPr>
          <w:rFonts w:hint="eastAsia" w:ascii="宋体" w:hAnsi="宋体" w:eastAsia="宋体" w:cs="宋体"/>
          <w:color w:val="auto"/>
          <w:spacing w:val="2"/>
          <w:sz w:val="24"/>
          <w:szCs w:val="24"/>
          <w:highlight w:val="none"/>
        </w:rPr>
        <w:t>日</w:t>
      </w:r>
    </w:p>
    <w:p w14:paraId="0CD2A1D4">
      <w:pPr>
        <w:autoSpaceDE w:val="0"/>
        <w:autoSpaceDN w:val="0"/>
        <w:adjustRightInd w:val="0"/>
        <w:spacing w:line="360" w:lineRule="auto"/>
        <w:jc w:val="center"/>
        <w:outlineLvl w:val="3"/>
        <w:rPr>
          <w:rFonts w:ascii="宋体" w:hAnsi="宋体" w:eastAsia="宋体" w:cs="Times New Roman"/>
          <w:b/>
          <w:color w:val="auto"/>
          <w:kern w:val="0"/>
          <w:sz w:val="28"/>
          <w:szCs w:val="28"/>
          <w:highlight w:val="none"/>
          <w:lang w:val="zh-CN"/>
        </w:rPr>
        <w:sectPr>
          <w:footerReference r:id="rId6" w:type="default"/>
          <w:footerReference r:id="rId7" w:type="even"/>
          <w:pgSz w:w="11905" w:h="16838"/>
          <w:pgMar w:top="1474" w:right="1701" w:bottom="1474" w:left="1701" w:header="851" w:footer="992" w:gutter="0"/>
          <w:cols w:space="720" w:num="1"/>
          <w:docGrid w:linePitch="312" w:charSpace="0"/>
        </w:sectPr>
      </w:pPr>
    </w:p>
    <w:p w14:paraId="2ECA50A6">
      <w:pPr>
        <w:autoSpaceDE w:val="0"/>
        <w:autoSpaceDN w:val="0"/>
        <w:adjustRightInd w:val="0"/>
        <w:spacing w:line="360" w:lineRule="auto"/>
        <w:jc w:val="center"/>
        <w:outlineLvl w:val="3"/>
        <w:rPr>
          <w:rFonts w:ascii="宋体" w:hAnsi="宋体" w:eastAsia="宋体" w:cs="Times New Roman"/>
          <w:b/>
          <w:color w:val="auto"/>
          <w:kern w:val="0"/>
          <w:sz w:val="28"/>
          <w:szCs w:val="28"/>
          <w:highlight w:val="none"/>
          <w:lang w:val="zh-CN"/>
        </w:rPr>
      </w:pPr>
      <w:r>
        <w:rPr>
          <w:rFonts w:hint="eastAsia" w:ascii="宋体" w:hAnsi="宋体" w:eastAsia="宋体" w:cs="Times New Roman"/>
          <w:b/>
          <w:color w:val="auto"/>
          <w:kern w:val="0"/>
          <w:sz w:val="28"/>
          <w:szCs w:val="28"/>
          <w:highlight w:val="none"/>
          <w:lang w:val="zh-CN"/>
        </w:rPr>
        <w:t>二、法定代表人身份证明书及授权委托书</w:t>
      </w:r>
    </w:p>
    <w:p w14:paraId="2284C533">
      <w:pPr>
        <w:wordWrap w:val="0"/>
        <w:jc w:val="center"/>
        <w:rPr>
          <w:rFonts w:ascii="宋体" w:hAnsi="宋体" w:eastAsia="宋体" w:cs="宋体"/>
          <w:b/>
          <w:color w:val="auto"/>
          <w:sz w:val="28"/>
          <w:szCs w:val="28"/>
          <w:highlight w:val="none"/>
        </w:rPr>
      </w:pPr>
    </w:p>
    <w:p w14:paraId="5A8E07A6">
      <w:pPr>
        <w:wordWrap w:val="0"/>
        <w:jc w:val="cente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法定代表人身份证明书</w:t>
      </w:r>
    </w:p>
    <w:p w14:paraId="15C84825">
      <w:pPr>
        <w:wordWrap w:val="0"/>
        <w:spacing w:line="360" w:lineRule="auto"/>
        <w:ind w:firstLine="480"/>
        <w:rPr>
          <w:rFonts w:ascii="宋体" w:hAnsi="宋体" w:eastAsia="宋体" w:cs="宋体"/>
          <w:color w:val="auto"/>
          <w:sz w:val="24"/>
          <w:szCs w:val="24"/>
          <w:highlight w:val="none"/>
        </w:rPr>
      </w:pPr>
    </w:p>
    <w:p w14:paraId="3F8468F1">
      <w:pPr>
        <w:wordWrap w:val="0"/>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w:t>
      </w:r>
      <w:r>
        <w:rPr>
          <w:rFonts w:hint="eastAsia" w:ascii="宋体" w:hAnsi="宋体" w:eastAsia="宋体" w:cs="宋体"/>
          <w:color w:val="auto"/>
          <w:sz w:val="24"/>
          <w:szCs w:val="24"/>
          <w:highlight w:val="none"/>
          <w:u w:val="single"/>
        </w:rPr>
        <w:t xml:space="preserve">                        </w:t>
      </w:r>
    </w:p>
    <w:p w14:paraId="55BAB38D">
      <w:pPr>
        <w:wordWrap w:val="0"/>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身份证号码：</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系</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（投标人名称）的法定代表人。</w:t>
      </w:r>
    </w:p>
    <w:p w14:paraId="7687056E">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特此证明。</w:t>
      </w:r>
    </w:p>
    <w:p w14:paraId="34E84BAA">
      <w:pPr>
        <w:wordWrap w:val="0"/>
        <w:spacing w:line="360" w:lineRule="auto"/>
        <w:ind w:firstLine="480"/>
        <w:rPr>
          <w:rFonts w:ascii="宋体" w:hAnsi="宋体" w:eastAsia="宋体" w:cs="宋体"/>
          <w:color w:val="auto"/>
          <w:sz w:val="24"/>
          <w:szCs w:val="24"/>
          <w:highlight w:val="none"/>
        </w:rPr>
      </w:pPr>
    </w:p>
    <w:p w14:paraId="4EAB9897">
      <w:pPr>
        <w:wordWrap w:val="0"/>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附：法定代表人身份证正方面扫描件。</w:t>
      </w:r>
    </w:p>
    <w:p w14:paraId="2809BEE9">
      <w:pPr>
        <w:wordWrap w:val="0"/>
        <w:spacing w:line="360" w:lineRule="auto"/>
        <w:ind w:firstLine="480"/>
        <w:rPr>
          <w:rFonts w:ascii="宋体" w:hAnsi="宋体" w:eastAsia="宋体" w:cs="宋体"/>
          <w:color w:val="auto"/>
          <w:sz w:val="24"/>
          <w:szCs w:val="24"/>
          <w:highlight w:val="none"/>
        </w:rPr>
      </w:pPr>
    </w:p>
    <w:p w14:paraId="18EDB342">
      <w:pPr>
        <w:wordWrap w:val="0"/>
        <w:spacing w:line="360" w:lineRule="auto"/>
        <w:ind w:firstLine="480"/>
        <w:rPr>
          <w:rFonts w:ascii="宋体" w:hAnsi="宋体" w:eastAsia="宋体" w:cs="宋体"/>
          <w:color w:val="auto"/>
          <w:sz w:val="24"/>
          <w:szCs w:val="24"/>
          <w:highlight w:val="none"/>
        </w:rPr>
      </w:pPr>
    </w:p>
    <w:p w14:paraId="7202B0CF">
      <w:pPr>
        <w:wordWrap w:val="0"/>
        <w:spacing w:line="360" w:lineRule="auto"/>
        <w:ind w:firstLine="480"/>
        <w:rPr>
          <w:rFonts w:ascii="宋体" w:hAnsi="宋体" w:eastAsia="宋体" w:cs="宋体"/>
          <w:color w:val="auto"/>
          <w:sz w:val="24"/>
          <w:szCs w:val="24"/>
          <w:highlight w:val="none"/>
        </w:rPr>
      </w:pPr>
    </w:p>
    <w:p w14:paraId="6C45DA20">
      <w:pPr>
        <w:wordWrap w:val="0"/>
        <w:spacing w:line="360" w:lineRule="auto"/>
        <w:ind w:firstLine="480"/>
        <w:rPr>
          <w:rFonts w:ascii="宋体" w:hAnsi="宋体" w:eastAsia="宋体" w:cs="宋体"/>
          <w:color w:val="auto"/>
          <w:sz w:val="24"/>
          <w:szCs w:val="24"/>
          <w:highlight w:val="none"/>
        </w:rPr>
      </w:pPr>
    </w:p>
    <w:p w14:paraId="4ECDF13D">
      <w:pPr>
        <w:wordWrap w:val="0"/>
        <w:spacing w:line="360" w:lineRule="auto"/>
        <w:ind w:firstLine="420"/>
        <w:jc w:val="righ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投标人：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（盖单位章）</w:t>
      </w:r>
    </w:p>
    <w:p w14:paraId="4DAC957D">
      <w:pPr>
        <w:wordWrap w:val="0"/>
        <w:spacing w:line="360" w:lineRule="auto"/>
        <w:ind w:firstLine="5280" w:firstLineChars="2200"/>
        <w:jc w:val="righ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70EFBE90">
      <w:pPr>
        <w:wordWrap w:val="0"/>
        <w:spacing w:line="360" w:lineRule="auto"/>
        <w:ind w:firstLine="480"/>
        <w:rPr>
          <w:rFonts w:ascii="宋体" w:hAnsi="宋体" w:eastAsia="宋体" w:cs="宋体"/>
          <w:color w:val="auto"/>
          <w:sz w:val="24"/>
          <w:szCs w:val="24"/>
          <w:highlight w:val="none"/>
        </w:rPr>
      </w:pPr>
    </w:p>
    <w:p w14:paraId="386E9891">
      <w:pPr>
        <w:spacing w:line="440" w:lineRule="exact"/>
        <w:rPr>
          <w:rFonts w:ascii="宋体" w:hAnsi="宋体" w:eastAsia="宋体" w:cs="楷体_GB2312"/>
          <w:color w:val="auto"/>
          <w:szCs w:val="24"/>
          <w:highlight w:val="none"/>
        </w:rPr>
      </w:pPr>
      <w:r>
        <w:rPr>
          <w:rFonts w:hint="eastAsia" w:ascii="宋体" w:hAnsi="宋体" w:eastAsia="宋体" w:cs="楷体_GB2312"/>
          <w:color w:val="auto"/>
          <w:szCs w:val="24"/>
          <w:highlight w:val="none"/>
        </w:rPr>
        <w:t>注：如联合体投标的，法定代表人身份证明书、授权委托书由联合体主办方出具，“投标人”一栏可只填写联合体主办方名称即可。</w:t>
      </w:r>
    </w:p>
    <w:p w14:paraId="05DFCF11">
      <w:pPr>
        <w:wordWrap w:val="0"/>
        <w:jc w:val="center"/>
        <w:rPr>
          <w:rFonts w:ascii="宋体" w:hAnsi="宋体" w:eastAsia="宋体" w:cs="宋体"/>
          <w:b/>
          <w:color w:val="auto"/>
          <w:sz w:val="28"/>
          <w:szCs w:val="28"/>
          <w:highlight w:val="none"/>
        </w:rPr>
      </w:pPr>
      <w:r>
        <w:rPr>
          <w:rFonts w:hint="eastAsia" w:ascii="宋体" w:hAnsi="宋体" w:eastAsia="宋体" w:cs="宋体"/>
          <w:color w:val="auto"/>
          <w:sz w:val="32"/>
          <w:szCs w:val="24"/>
          <w:highlight w:val="none"/>
        </w:rPr>
        <w:br w:type="page"/>
      </w:r>
      <w:r>
        <w:rPr>
          <w:rFonts w:hint="eastAsia" w:ascii="宋体" w:hAnsi="宋体" w:eastAsia="宋体" w:cs="宋体"/>
          <w:b/>
          <w:color w:val="auto"/>
          <w:sz w:val="28"/>
          <w:szCs w:val="28"/>
          <w:highlight w:val="none"/>
        </w:rPr>
        <w:t>授权委托书</w:t>
      </w:r>
    </w:p>
    <w:p w14:paraId="7617713A">
      <w:pPr>
        <w:wordWrap w:val="0"/>
        <w:jc w:val="center"/>
        <w:rPr>
          <w:rFonts w:ascii="宋体" w:hAnsi="宋体" w:eastAsia="宋体"/>
          <w:color w:val="auto"/>
          <w:highlight w:val="none"/>
        </w:rPr>
      </w:pPr>
    </w:p>
    <w:p w14:paraId="7C5FA4CB">
      <w:pPr>
        <w:spacing w:before="68" w:line="360" w:lineRule="auto"/>
        <w:ind w:right="2" w:firstLine="421"/>
        <w:rPr>
          <w:rFonts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本人</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2"/>
          <w:sz w:val="24"/>
          <w:szCs w:val="24"/>
          <w:highlight w:val="none"/>
          <w:u w:val="single"/>
        </w:rPr>
        <w:t xml:space="preserve">              </w:t>
      </w:r>
      <w:r>
        <w:rPr>
          <w:rFonts w:hint="eastAsia" w:ascii="宋体" w:hAnsi="宋体" w:eastAsia="宋体" w:cs="宋体"/>
          <w:color w:val="auto"/>
          <w:spacing w:val="2"/>
          <w:sz w:val="24"/>
          <w:szCs w:val="24"/>
          <w:highlight w:val="none"/>
        </w:rPr>
        <w:t>（姓名） 系</w:t>
      </w:r>
      <w:r>
        <w:rPr>
          <w:rFonts w:hint="eastAsia" w:ascii="宋体" w:hAnsi="宋体" w:eastAsia="宋体" w:cs="宋体"/>
          <w:color w:val="auto"/>
          <w:spacing w:val="2"/>
          <w:sz w:val="24"/>
          <w:szCs w:val="24"/>
          <w:highlight w:val="none"/>
          <w:u w:val="single"/>
        </w:rPr>
        <w:t xml:space="preserve">                     </w:t>
      </w:r>
      <w:r>
        <w:rPr>
          <w:rFonts w:hint="eastAsia" w:ascii="宋体" w:hAnsi="宋体" w:eastAsia="宋体" w:cs="宋体"/>
          <w:color w:val="auto"/>
          <w:spacing w:val="2"/>
          <w:sz w:val="24"/>
          <w:szCs w:val="24"/>
          <w:highlight w:val="none"/>
        </w:rPr>
        <w:t>（投标人名称）的法定代表人，现</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委托</w:t>
      </w:r>
      <w:r>
        <w:rPr>
          <w:rFonts w:hint="eastAsia" w:ascii="宋体" w:hAnsi="宋体" w:eastAsia="宋体" w:cs="宋体"/>
          <w:color w:val="auto"/>
          <w:spacing w:val="4"/>
          <w:sz w:val="24"/>
          <w:szCs w:val="24"/>
          <w:highlight w:val="none"/>
          <w:u w:val="single"/>
        </w:rPr>
        <w:t xml:space="preserve">      </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2"/>
          <w:sz w:val="24"/>
          <w:szCs w:val="24"/>
          <w:highlight w:val="none"/>
          <w:u w:val="single"/>
        </w:rPr>
        <w:t xml:space="preserve">      </w:t>
      </w:r>
      <w:r>
        <w:rPr>
          <w:rFonts w:hint="eastAsia" w:ascii="宋体" w:hAnsi="宋体" w:eastAsia="宋体" w:cs="宋体"/>
          <w:color w:val="auto"/>
          <w:spacing w:val="2"/>
          <w:sz w:val="24"/>
          <w:szCs w:val="24"/>
          <w:highlight w:val="none"/>
        </w:rPr>
        <w:t>（姓名）为我方代理人。代理人根据授权，以我方名义签署、澄清确认、递</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交、撤回、修改</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rPr>
        <w:t>招标项目投标文件、签订合同和处理有关事宜，其法律后果由我</w:t>
      </w:r>
      <w:r>
        <w:rPr>
          <w:rFonts w:hint="eastAsia" w:ascii="宋体" w:hAnsi="宋体" w:eastAsia="宋体" w:cs="宋体"/>
          <w:color w:val="auto"/>
          <w:sz w:val="24"/>
          <w:szCs w:val="24"/>
          <w:highlight w:val="none"/>
        </w:rPr>
        <w:t xml:space="preserve">方承担。 </w:t>
      </w:r>
      <w:r>
        <w:rPr>
          <w:rFonts w:hint="eastAsia" w:ascii="宋体" w:hAnsi="宋体" w:eastAsia="宋体" w:cs="宋体"/>
          <w:color w:val="auto"/>
          <w:spacing w:val="-6"/>
          <w:sz w:val="24"/>
          <w:szCs w:val="24"/>
          <w:highlight w:val="none"/>
        </w:rPr>
        <w:t>委托期限：</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spacing w:val="-5"/>
          <w:sz w:val="24"/>
          <w:szCs w:val="24"/>
          <w:highlight w:val="none"/>
          <w:u w:val="single"/>
        </w:rPr>
        <w:t xml:space="preserve"> </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3"/>
          <w:sz w:val="24"/>
          <w:szCs w:val="24"/>
          <w:highlight w:val="none"/>
        </w:rPr>
        <w:t>。</w:t>
      </w:r>
    </w:p>
    <w:p w14:paraId="7C420125">
      <w:pPr>
        <w:spacing w:before="68" w:line="360" w:lineRule="auto"/>
        <w:ind w:right="2" w:firstLine="421"/>
        <w:rPr>
          <w:rFonts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代理人无转委托权。代理人为投标人正式职工，必须具有</w:t>
      </w:r>
      <w:r>
        <w:rPr>
          <w:rFonts w:hint="eastAsia" w:ascii="宋体" w:hAnsi="宋体" w:eastAsia="宋体" w:cs="宋体"/>
          <w:color w:val="auto"/>
          <w:spacing w:val="2"/>
          <w:sz w:val="24"/>
          <w:szCs w:val="24"/>
          <w:highlight w:val="none"/>
          <w:u w:val="single"/>
        </w:rPr>
        <w:t>（2025年5月或6月）</w:t>
      </w:r>
      <w:r>
        <w:rPr>
          <w:rFonts w:hint="eastAsia" w:ascii="宋体" w:hAnsi="宋体" w:eastAsia="宋体" w:cs="宋体"/>
          <w:color w:val="auto"/>
          <w:spacing w:val="2"/>
          <w:sz w:val="24"/>
          <w:szCs w:val="24"/>
          <w:highlight w:val="none"/>
        </w:rPr>
        <w:t>在本单位缴纳的社保证明文件。</w:t>
      </w:r>
    </w:p>
    <w:p w14:paraId="0B32DCF5">
      <w:pPr>
        <w:spacing w:before="68" w:line="360" w:lineRule="auto"/>
        <w:ind w:right="2"/>
        <w:rPr>
          <w:rFonts w:ascii="宋体" w:hAnsi="宋体" w:eastAsia="宋体" w:cs="宋体"/>
          <w:color w:val="auto"/>
          <w:spacing w:val="2"/>
          <w:sz w:val="24"/>
          <w:szCs w:val="24"/>
          <w:highlight w:val="none"/>
        </w:rPr>
      </w:pPr>
    </w:p>
    <w:p w14:paraId="395367DD">
      <w:pPr>
        <w:spacing w:line="360" w:lineRule="auto"/>
        <w:rPr>
          <w:rFonts w:ascii="宋体" w:hAnsi="宋体" w:eastAsia="宋体"/>
          <w:color w:val="auto"/>
          <w:sz w:val="24"/>
          <w:szCs w:val="24"/>
          <w:highlight w:val="none"/>
        </w:rPr>
      </w:pPr>
    </w:p>
    <w:p w14:paraId="4FC4605A">
      <w:pPr>
        <w:spacing w:before="68" w:line="360" w:lineRule="auto"/>
        <w:ind w:right="2"/>
        <w:rPr>
          <w:rFonts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附：委托代理人身份证正反面和社保证明扫描件。</w:t>
      </w:r>
    </w:p>
    <w:p w14:paraId="3BB13915">
      <w:pPr>
        <w:spacing w:line="360" w:lineRule="auto"/>
        <w:rPr>
          <w:rFonts w:ascii="宋体" w:hAnsi="宋体" w:eastAsia="宋体"/>
          <w:color w:val="auto"/>
          <w:sz w:val="24"/>
          <w:szCs w:val="24"/>
          <w:highlight w:val="none"/>
        </w:rPr>
      </w:pPr>
    </w:p>
    <w:p w14:paraId="18E7B30C">
      <w:pPr>
        <w:wordWrap w:val="0"/>
        <w:spacing w:line="360" w:lineRule="auto"/>
        <w:ind w:firstLine="4108" w:firstLineChars="1712"/>
        <w:jc w:val="righ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投  标  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（盖单位章）</w:t>
      </w:r>
    </w:p>
    <w:p w14:paraId="0BCC93BA">
      <w:pPr>
        <w:wordWrap w:val="0"/>
        <w:spacing w:line="360" w:lineRule="auto"/>
        <w:ind w:firstLine="4108" w:firstLineChars="1712"/>
        <w:jc w:val="righ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（签字或盖章）</w:t>
      </w:r>
    </w:p>
    <w:p w14:paraId="424BFB2C">
      <w:pPr>
        <w:wordWrap w:val="0"/>
        <w:spacing w:line="360" w:lineRule="auto"/>
        <w:ind w:firstLine="4108" w:firstLineChars="1712"/>
        <w:jc w:val="righ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身份证号码：</w:t>
      </w:r>
      <w:r>
        <w:rPr>
          <w:rFonts w:hint="eastAsia" w:ascii="宋体" w:hAnsi="宋体" w:eastAsia="宋体" w:cs="宋体"/>
          <w:color w:val="auto"/>
          <w:sz w:val="24"/>
          <w:szCs w:val="24"/>
          <w:highlight w:val="none"/>
          <w:u w:val="single"/>
        </w:rPr>
        <w:t xml:space="preserve">                         </w:t>
      </w:r>
    </w:p>
    <w:p w14:paraId="77EF8E17">
      <w:pPr>
        <w:wordWrap w:val="0"/>
        <w:spacing w:line="360" w:lineRule="auto"/>
        <w:ind w:firstLine="4108" w:firstLineChars="1712"/>
        <w:jc w:val="righ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（签字或盖章）</w:t>
      </w:r>
    </w:p>
    <w:p w14:paraId="3C2AF0A8">
      <w:pPr>
        <w:wordWrap w:val="0"/>
        <w:spacing w:line="360" w:lineRule="auto"/>
        <w:ind w:firstLine="4108" w:firstLineChars="1712"/>
        <w:jc w:val="righ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身份证号码：</w:t>
      </w:r>
      <w:r>
        <w:rPr>
          <w:rFonts w:hint="eastAsia" w:ascii="宋体" w:hAnsi="宋体" w:eastAsia="宋体" w:cs="宋体"/>
          <w:color w:val="auto"/>
          <w:sz w:val="24"/>
          <w:szCs w:val="24"/>
          <w:highlight w:val="none"/>
          <w:u w:val="single"/>
        </w:rPr>
        <w:t xml:space="preserve">                         </w:t>
      </w:r>
    </w:p>
    <w:p w14:paraId="565F30E0">
      <w:pPr>
        <w:wordWrap w:val="0"/>
        <w:spacing w:line="360" w:lineRule="auto"/>
        <w:ind w:firstLine="420"/>
        <w:jc w:val="righ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1CE2E508">
      <w:pPr>
        <w:spacing w:line="360" w:lineRule="auto"/>
        <w:ind w:firstLine="420"/>
        <w:jc w:val="right"/>
        <w:rPr>
          <w:rFonts w:ascii="宋体" w:hAnsi="宋体" w:eastAsia="宋体" w:cs="宋体"/>
          <w:color w:val="auto"/>
          <w:sz w:val="24"/>
          <w:szCs w:val="24"/>
          <w:highlight w:val="none"/>
        </w:rPr>
      </w:pPr>
    </w:p>
    <w:p w14:paraId="47792DB6">
      <w:pPr>
        <w:spacing w:line="360" w:lineRule="auto"/>
        <w:ind w:firstLine="420"/>
        <w:jc w:val="right"/>
        <w:rPr>
          <w:rFonts w:ascii="宋体" w:hAnsi="宋体" w:eastAsia="宋体" w:cs="宋体"/>
          <w:color w:val="auto"/>
          <w:sz w:val="24"/>
          <w:szCs w:val="24"/>
          <w:highlight w:val="none"/>
        </w:rPr>
      </w:pPr>
    </w:p>
    <w:p w14:paraId="0EDB75BD">
      <w:pPr>
        <w:spacing w:line="440" w:lineRule="exact"/>
        <w:rPr>
          <w:rFonts w:ascii="宋体" w:hAnsi="宋体" w:eastAsia="宋体" w:cs="楷体_GB2312"/>
          <w:color w:val="auto"/>
          <w:szCs w:val="24"/>
          <w:highlight w:val="none"/>
        </w:rPr>
      </w:pPr>
      <w:r>
        <w:rPr>
          <w:rFonts w:hint="eastAsia" w:ascii="宋体" w:hAnsi="宋体" w:eastAsia="宋体" w:cs="楷体_GB2312"/>
          <w:color w:val="auto"/>
          <w:szCs w:val="24"/>
          <w:highlight w:val="none"/>
        </w:rPr>
        <w:t>注：如联合体投标的，法定代表人身份证明书、授权委托书由联合体主办方出具，“投标人”一栏可只填写联合体主办方名称即可。</w:t>
      </w:r>
    </w:p>
    <w:p w14:paraId="1440863D">
      <w:pPr>
        <w:autoSpaceDE w:val="0"/>
        <w:autoSpaceDN w:val="0"/>
        <w:adjustRightInd w:val="0"/>
        <w:spacing w:line="360" w:lineRule="auto"/>
        <w:jc w:val="center"/>
        <w:outlineLvl w:val="3"/>
        <w:rPr>
          <w:rFonts w:ascii="宋体" w:hAnsi="宋体" w:eastAsia="宋体" w:cs="Times New Roman"/>
          <w:b/>
          <w:color w:val="auto"/>
          <w:kern w:val="0"/>
          <w:sz w:val="28"/>
          <w:szCs w:val="28"/>
          <w:highlight w:val="none"/>
          <w:lang w:val="zh-CN"/>
        </w:rPr>
      </w:pPr>
      <w:r>
        <w:rPr>
          <w:rFonts w:hint="eastAsia" w:ascii="宋体" w:hAnsi="宋体" w:eastAsia="宋体" w:cs="Times New Roman"/>
          <w:b/>
          <w:color w:val="auto"/>
          <w:kern w:val="0"/>
          <w:sz w:val="28"/>
          <w:szCs w:val="28"/>
          <w:highlight w:val="none"/>
          <w:lang w:val="zh-CN"/>
        </w:rPr>
        <w:br w:type="page"/>
      </w:r>
    </w:p>
    <w:p w14:paraId="0A6A9CF1">
      <w:pPr>
        <w:autoSpaceDE w:val="0"/>
        <w:autoSpaceDN w:val="0"/>
        <w:adjustRightInd w:val="0"/>
        <w:spacing w:line="360" w:lineRule="auto"/>
        <w:jc w:val="center"/>
        <w:outlineLvl w:val="3"/>
        <w:rPr>
          <w:rFonts w:ascii="宋体" w:hAnsi="宋体" w:eastAsia="宋体" w:cs="Times New Roman"/>
          <w:b/>
          <w:color w:val="auto"/>
          <w:kern w:val="0"/>
          <w:sz w:val="28"/>
          <w:szCs w:val="28"/>
          <w:highlight w:val="none"/>
          <w:lang w:val="zh-CN"/>
        </w:rPr>
      </w:pPr>
      <w:r>
        <w:rPr>
          <w:rFonts w:hint="eastAsia" w:ascii="宋体" w:hAnsi="宋体" w:eastAsia="宋体" w:cs="Times New Roman"/>
          <w:b/>
          <w:color w:val="auto"/>
          <w:kern w:val="0"/>
          <w:sz w:val="28"/>
          <w:szCs w:val="28"/>
          <w:highlight w:val="none"/>
          <w:lang w:val="zh-CN"/>
        </w:rPr>
        <w:t>三、联合体协议书</w:t>
      </w:r>
    </w:p>
    <w:p w14:paraId="371387AB">
      <w:pPr>
        <w:widowControl/>
        <w:spacing w:line="360" w:lineRule="auto"/>
        <w:rPr>
          <w:rFonts w:ascii="宋体" w:hAnsi="宋体" w:eastAsia="宋体" w:cs="宋体"/>
          <w:b/>
          <w:bCs/>
          <w:color w:val="auto"/>
          <w:kern w:val="0"/>
          <w:szCs w:val="21"/>
          <w:highlight w:val="none"/>
          <w:lang w:bidi="ar"/>
        </w:rPr>
      </w:pPr>
      <w:r>
        <w:rPr>
          <w:rFonts w:hint="eastAsia" w:ascii="宋体" w:hAnsi="宋体" w:eastAsia="宋体" w:cs="宋体"/>
          <w:b/>
          <w:bCs/>
          <w:color w:val="auto"/>
          <w:kern w:val="0"/>
          <w:szCs w:val="21"/>
          <w:highlight w:val="none"/>
          <w:lang w:bidi="ar"/>
        </w:rPr>
        <w:t>（格式供参考）</w:t>
      </w:r>
    </w:p>
    <w:p w14:paraId="034874DB">
      <w:pPr>
        <w:widowControl/>
        <w:spacing w:line="360" w:lineRule="auto"/>
        <w:jc w:val="left"/>
        <w:rPr>
          <w:rFonts w:ascii="宋体" w:hAnsi="宋体" w:eastAsia="宋体" w:cs="宋体"/>
          <w:color w:val="auto"/>
          <w:kern w:val="0"/>
          <w:sz w:val="24"/>
          <w:szCs w:val="24"/>
          <w:highlight w:val="none"/>
          <w:u w:val="single"/>
          <w:lang w:bidi="ar"/>
        </w:rPr>
      </w:pPr>
      <w:r>
        <w:rPr>
          <w:rFonts w:hint="eastAsia" w:ascii="宋体" w:hAnsi="宋体" w:eastAsia="宋体" w:cs="宋体"/>
          <w:color w:val="auto"/>
          <w:kern w:val="0"/>
          <w:sz w:val="24"/>
          <w:szCs w:val="24"/>
          <w:highlight w:val="none"/>
          <w:lang w:bidi="ar"/>
        </w:rPr>
        <w:t>投标项目名称：</w:t>
      </w:r>
      <w:r>
        <w:rPr>
          <w:rFonts w:hint="eastAsia" w:ascii="宋体" w:hAnsi="宋体" w:eastAsia="宋体" w:cs="宋体"/>
          <w:color w:val="auto"/>
          <w:kern w:val="0"/>
          <w:sz w:val="24"/>
          <w:szCs w:val="24"/>
          <w:highlight w:val="none"/>
          <w:u w:val="single"/>
          <w:lang w:bidi="ar"/>
        </w:rPr>
        <w:t xml:space="preserve">                                。</w:t>
      </w:r>
    </w:p>
    <w:p w14:paraId="0DB79ED9">
      <w:pPr>
        <w:widowControl/>
        <w:spacing w:line="360" w:lineRule="auto"/>
        <w:jc w:val="left"/>
        <w:rPr>
          <w:rFonts w:ascii="宋体" w:hAnsi="宋体" w:eastAsia="宋体" w:cs="宋体"/>
          <w:color w:val="auto"/>
          <w:kern w:val="0"/>
          <w:sz w:val="24"/>
          <w:szCs w:val="24"/>
          <w:highlight w:val="none"/>
          <w:u w:val="single"/>
          <w:lang w:bidi="ar"/>
        </w:rPr>
      </w:pPr>
      <w:r>
        <w:rPr>
          <w:rFonts w:hint="eastAsia" w:ascii="宋体" w:hAnsi="宋体" w:eastAsia="宋体" w:cs="宋体"/>
          <w:color w:val="auto"/>
          <w:kern w:val="0"/>
          <w:sz w:val="24"/>
          <w:szCs w:val="24"/>
          <w:highlight w:val="none"/>
          <w:lang w:bidi="ar"/>
        </w:rPr>
        <w:t>致：</w:t>
      </w:r>
      <w:r>
        <w:rPr>
          <w:rFonts w:hint="eastAsia" w:ascii="宋体" w:hAnsi="宋体" w:eastAsia="宋体" w:cs="宋体"/>
          <w:color w:val="auto"/>
          <w:kern w:val="0"/>
          <w:sz w:val="24"/>
          <w:szCs w:val="24"/>
          <w:highlight w:val="none"/>
          <w:u w:val="single"/>
          <w:lang w:bidi="ar"/>
        </w:rPr>
        <w:t xml:space="preserve">       （招标人、招标代理机构名称）</w:t>
      </w:r>
    </w:p>
    <w:p w14:paraId="5855A188">
      <w:pPr>
        <w:widowControl/>
        <w:spacing w:line="360" w:lineRule="auto"/>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u w:val="single"/>
          <w:lang w:bidi="ar"/>
        </w:rPr>
        <w:t xml:space="preserve">       </w:t>
      </w:r>
      <w:r>
        <w:rPr>
          <w:rFonts w:hint="eastAsia" w:ascii="宋体" w:hAnsi="宋体" w:eastAsia="宋体" w:cs="宋体"/>
          <w:color w:val="auto"/>
          <w:kern w:val="0"/>
          <w:sz w:val="24"/>
          <w:szCs w:val="24"/>
          <w:highlight w:val="none"/>
          <w:lang w:bidi="ar"/>
        </w:rPr>
        <w:t>(所有成员单位名称)自愿组成联合体，共同参加</w:t>
      </w:r>
      <w:r>
        <w:rPr>
          <w:rFonts w:hint="eastAsia" w:ascii="宋体" w:hAnsi="宋体" w:eastAsia="宋体" w:cs="宋体"/>
          <w:color w:val="auto"/>
          <w:kern w:val="0"/>
          <w:sz w:val="24"/>
          <w:szCs w:val="24"/>
          <w:highlight w:val="none"/>
          <w:u w:val="single"/>
          <w:lang w:bidi="ar"/>
        </w:rPr>
        <w:t xml:space="preserve">      </w:t>
      </w:r>
      <w:r>
        <w:rPr>
          <w:rFonts w:hint="eastAsia" w:ascii="宋体" w:hAnsi="宋体" w:eastAsia="宋体" w:cs="宋体"/>
          <w:color w:val="auto"/>
          <w:kern w:val="0"/>
          <w:sz w:val="24"/>
          <w:szCs w:val="24"/>
          <w:highlight w:val="none"/>
          <w:lang w:bidi="ar"/>
        </w:rPr>
        <w:t xml:space="preserve">(项目名称) 勘察设计投标。现就联合体投标事宜订立如下协议。 </w:t>
      </w:r>
    </w:p>
    <w:p w14:paraId="6822BFD0">
      <w:pPr>
        <w:widowControl/>
        <w:spacing w:line="360" w:lineRule="auto"/>
        <w:ind w:left="480"/>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r>
        <w:rPr>
          <w:rFonts w:hint="eastAsia" w:ascii="宋体" w:hAnsi="宋体" w:eastAsia="宋体" w:cs="宋体"/>
          <w:color w:val="auto"/>
          <w:kern w:val="0"/>
          <w:sz w:val="24"/>
          <w:szCs w:val="24"/>
          <w:highlight w:val="none"/>
          <w:u w:val="single"/>
          <w:lang w:bidi="ar"/>
        </w:rPr>
        <w:t xml:space="preserve">        </w:t>
      </w:r>
      <w:r>
        <w:rPr>
          <w:rFonts w:hint="eastAsia" w:ascii="宋体" w:hAnsi="宋体" w:eastAsia="宋体" w:cs="宋体"/>
          <w:color w:val="auto"/>
          <w:kern w:val="0"/>
          <w:sz w:val="24"/>
          <w:szCs w:val="24"/>
          <w:highlight w:val="none"/>
          <w:lang w:bidi="ar"/>
        </w:rPr>
        <w:t>(某成员单位名称)为主办方。</w:t>
      </w:r>
    </w:p>
    <w:p w14:paraId="18256D80">
      <w:pPr>
        <w:widowControl/>
        <w:spacing w:line="360" w:lineRule="auto"/>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2．联合体主办方合法代表联合体各成员负责本招标项目投标文件编制和合同谈判活动，代表联合体提交和接收相关的资料、信息及指示，处理与之有关的一切事务，并负责合同实施阶段的主办、组织和协调工作。 </w:t>
      </w:r>
    </w:p>
    <w:p w14:paraId="6EE6804B">
      <w:pPr>
        <w:widowControl/>
        <w:spacing w:line="360" w:lineRule="auto"/>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3．联合体将严格按照招标文件的各项要求，递交投标文件，履行合同，并对外承担连带责任。 </w:t>
      </w:r>
    </w:p>
    <w:p w14:paraId="1BD4B150">
      <w:pPr>
        <w:widowControl/>
        <w:spacing w:line="360" w:lineRule="auto"/>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4．联合体主办方代表联合体签署投标文件，联合体主办方的所有承诺均认为代表了联合体各成员，联合体各成员对此无异议。 </w:t>
      </w:r>
    </w:p>
    <w:p w14:paraId="49A30B7A">
      <w:pPr>
        <w:widowControl/>
        <w:spacing w:line="360" w:lineRule="auto"/>
        <w:ind w:firstLine="480" w:firstLineChars="200"/>
        <w:jc w:val="left"/>
        <w:rPr>
          <w:rFonts w:ascii="宋体" w:hAnsi="宋体" w:eastAsia="宋体" w:cs="宋体"/>
          <w:color w:val="auto"/>
          <w:kern w:val="0"/>
          <w:sz w:val="24"/>
          <w:szCs w:val="24"/>
          <w:highlight w:val="none"/>
          <w:u w:val="single"/>
          <w:lang w:bidi="ar"/>
        </w:rPr>
      </w:pPr>
      <w:r>
        <w:rPr>
          <w:rFonts w:hint="eastAsia" w:ascii="宋体" w:hAnsi="宋体" w:eastAsia="宋体" w:cs="宋体"/>
          <w:color w:val="auto"/>
          <w:kern w:val="0"/>
          <w:sz w:val="24"/>
          <w:szCs w:val="24"/>
          <w:highlight w:val="none"/>
          <w:lang w:bidi="ar"/>
        </w:rPr>
        <w:t>5．联合体各成员单位内部的职责分工如下：</w:t>
      </w:r>
    </w:p>
    <w:p w14:paraId="0EFC10C1">
      <w:pPr>
        <w:widowControl/>
        <w:spacing w:line="360" w:lineRule="auto"/>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u w:val="single"/>
          <w:lang w:bidi="ar"/>
        </w:rPr>
        <w:t xml:space="preserve">       </w:t>
      </w:r>
      <w:r>
        <w:rPr>
          <w:rFonts w:hint="eastAsia" w:ascii="宋体" w:hAnsi="宋体" w:eastAsia="宋体" w:cs="宋体"/>
          <w:color w:val="auto"/>
          <w:kern w:val="0"/>
          <w:sz w:val="24"/>
          <w:szCs w:val="24"/>
          <w:highlight w:val="none"/>
          <w:lang w:bidi="ar"/>
        </w:rPr>
        <w:t>(主办方名称)承担</w:t>
      </w:r>
      <w:r>
        <w:rPr>
          <w:rFonts w:hint="eastAsia" w:ascii="宋体" w:hAnsi="宋体" w:eastAsia="宋体" w:cs="宋体"/>
          <w:color w:val="auto"/>
          <w:kern w:val="0"/>
          <w:sz w:val="24"/>
          <w:szCs w:val="24"/>
          <w:highlight w:val="none"/>
          <w:u w:val="single"/>
          <w:lang w:bidi="ar"/>
        </w:rPr>
        <w:t xml:space="preserve">       </w:t>
      </w:r>
      <w:r>
        <w:rPr>
          <w:rFonts w:hint="eastAsia" w:ascii="宋体" w:hAnsi="宋体" w:eastAsia="宋体" w:cs="宋体"/>
          <w:color w:val="auto"/>
          <w:kern w:val="0"/>
          <w:sz w:val="24"/>
          <w:szCs w:val="24"/>
          <w:highlight w:val="none"/>
          <w:lang w:bidi="ar"/>
        </w:rPr>
        <w:t xml:space="preserve"> 工作；</w:t>
      </w:r>
    </w:p>
    <w:p w14:paraId="771B6FE3">
      <w:pPr>
        <w:widowControl/>
        <w:spacing w:line="360" w:lineRule="auto"/>
        <w:ind w:firstLine="480" w:firstLineChars="200"/>
        <w:jc w:val="left"/>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u w:val="single"/>
          <w:lang w:bidi="ar"/>
        </w:rPr>
        <w:t xml:space="preserve">       </w:t>
      </w:r>
      <w:r>
        <w:rPr>
          <w:rFonts w:hint="eastAsia" w:ascii="宋体" w:hAnsi="宋体" w:eastAsia="宋体" w:cs="宋体"/>
          <w:color w:val="auto"/>
          <w:kern w:val="0"/>
          <w:sz w:val="24"/>
          <w:szCs w:val="24"/>
          <w:highlight w:val="none"/>
          <w:lang w:bidi="ar"/>
        </w:rPr>
        <w:t>(成员方名称)承担</w:t>
      </w:r>
      <w:r>
        <w:rPr>
          <w:rFonts w:hint="eastAsia" w:ascii="宋体" w:hAnsi="宋体" w:eastAsia="宋体" w:cs="宋体"/>
          <w:color w:val="auto"/>
          <w:kern w:val="0"/>
          <w:sz w:val="24"/>
          <w:szCs w:val="24"/>
          <w:highlight w:val="none"/>
          <w:u w:val="single"/>
          <w:lang w:bidi="ar"/>
        </w:rPr>
        <w:t xml:space="preserve">        </w:t>
      </w:r>
      <w:r>
        <w:rPr>
          <w:rFonts w:hint="eastAsia" w:ascii="宋体" w:hAnsi="宋体" w:eastAsia="宋体" w:cs="宋体"/>
          <w:color w:val="auto"/>
          <w:kern w:val="0"/>
          <w:sz w:val="24"/>
          <w:szCs w:val="24"/>
          <w:highlight w:val="none"/>
          <w:lang w:bidi="ar"/>
        </w:rPr>
        <w:t>工作。</w:t>
      </w:r>
    </w:p>
    <w:p w14:paraId="72A04502">
      <w:pPr>
        <w:widowControl/>
        <w:spacing w:line="360" w:lineRule="auto"/>
        <w:ind w:firstLine="482" w:firstLineChars="200"/>
        <w:jc w:val="left"/>
        <w:rPr>
          <w:rFonts w:ascii="宋体" w:hAnsi="宋体" w:eastAsia="宋体" w:cs="宋体"/>
          <w:b/>
          <w:bCs/>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中标后，联合体</w:t>
      </w:r>
      <w:r>
        <w:rPr>
          <w:rFonts w:hint="eastAsia" w:ascii="宋体" w:hAnsi="宋体" w:eastAsia="宋体" w:cs="宋体"/>
          <w:b/>
          <w:bCs/>
          <w:color w:val="auto"/>
          <w:kern w:val="0"/>
          <w:sz w:val="24"/>
          <w:szCs w:val="24"/>
          <w:highlight w:val="none"/>
          <w:u w:val="single"/>
          <w:lang w:bidi="ar"/>
        </w:rPr>
        <w:t>各方</w:t>
      </w:r>
      <w:r>
        <w:rPr>
          <w:rFonts w:hint="eastAsia" w:ascii="宋体" w:hAnsi="宋体" w:eastAsia="宋体" w:cs="宋体"/>
          <w:b/>
          <w:bCs/>
          <w:color w:val="auto"/>
          <w:kern w:val="0"/>
          <w:sz w:val="24"/>
          <w:szCs w:val="24"/>
          <w:highlight w:val="none"/>
          <w:lang w:bidi="ar"/>
        </w:rPr>
        <w:t>同意不得变更联合体成员和其负责的工作范围。</w:t>
      </w:r>
    </w:p>
    <w:p w14:paraId="09844D26">
      <w:pPr>
        <w:widowControl/>
        <w:spacing w:line="360" w:lineRule="auto"/>
        <w:ind w:firstLine="480" w:firstLineChars="200"/>
        <w:jc w:val="left"/>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（注：联合体各方承担的工作内容须与其相应的资质相匹配，出现多家勘察或设计单位时，应明确不同专业的勘察或设计的负责单位，并明确承担主要工作任务的勘察或设计工程的单位）</w:t>
      </w:r>
    </w:p>
    <w:p w14:paraId="3390622E">
      <w:pPr>
        <w:widowControl/>
        <w:spacing w:line="360" w:lineRule="auto"/>
        <w:ind w:firstLine="480" w:firstLineChars="200"/>
        <w:jc w:val="left"/>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6．联合体各成员单位关于收取招标人支付项目各项费用的约定如下：</w:t>
      </w:r>
    </w:p>
    <w:p w14:paraId="45133B1A">
      <w:pPr>
        <w:widowControl/>
        <w:spacing w:line="360" w:lineRule="auto"/>
        <w:ind w:firstLine="480" w:firstLineChars="200"/>
        <w:jc w:val="left"/>
        <w:rPr>
          <w:rFonts w:ascii="宋体" w:hAnsi="宋体" w:eastAsia="宋体" w:cs="宋体"/>
          <w:color w:val="auto"/>
          <w:kern w:val="0"/>
          <w:sz w:val="24"/>
          <w:szCs w:val="24"/>
          <w:highlight w:val="none"/>
          <w:u w:val="single"/>
          <w:lang w:bidi="ar"/>
        </w:rPr>
      </w:pPr>
      <w:r>
        <w:rPr>
          <w:rFonts w:hint="eastAsia" w:ascii="宋体" w:hAnsi="宋体" w:eastAsia="宋体" w:cs="宋体"/>
          <w:color w:val="auto"/>
          <w:kern w:val="0"/>
          <w:sz w:val="24"/>
          <w:szCs w:val="24"/>
          <w:highlight w:val="none"/>
          <w:u w:val="single"/>
          <w:lang w:bidi="ar"/>
        </w:rPr>
        <w:t>由      （某成员单位名称）</w:t>
      </w:r>
      <w:r>
        <w:rPr>
          <w:rFonts w:hint="eastAsia" w:ascii="宋体" w:hAnsi="宋体" w:eastAsia="宋体" w:cs="宋体"/>
          <w:color w:val="auto"/>
          <w:kern w:val="0"/>
          <w:sz w:val="24"/>
          <w:szCs w:val="24"/>
          <w:highlight w:val="none"/>
          <w:lang w:bidi="ar"/>
        </w:rPr>
        <w:t>负责收取全额勘察费并开具对应价款的全额发票；</w:t>
      </w:r>
    </w:p>
    <w:p w14:paraId="0DCF3DB9">
      <w:pPr>
        <w:widowControl/>
        <w:spacing w:line="360" w:lineRule="auto"/>
        <w:ind w:firstLine="480" w:firstLineChars="200"/>
        <w:jc w:val="left"/>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u w:val="single"/>
          <w:lang w:bidi="ar"/>
        </w:rPr>
        <w:t>由      （某成员单位名称）</w:t>
      </w:r>
      <w:r>
        <w:rPr>
          <w:rFonts w:hint="eastAsia" w:ascii="宋体" w:hAnsi="宋体" w:eastAsia="宋体" w:cs="宋体"/>
          <w:color w:val="auto"/>
          <w:kern w:val="0"/>
          <w:sz w:val="24"/>
          <w:szCs w:val="24"/>
          <w:highlight w:val="none"/>
          <w:lang w:bidi="ar"/>
        </w:rPr>
        <w:t>负责收取全额设计费并开具对应价款的全额发票。</w:t>
      </w:r>
    </w:p>
    <w:p w14:paraId="627F9D8C">
      <w:pPr>
        <w:widowControl/>
        <w:spacing w:line="360" w:lineRule="auto"/>
        <w:ind w:firstLine="482" w:firstLineChars="200"/>
        <w:jc w:val="left"/>
        <w:rPr>
          <w:rFonts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中标后，联合体</w:t>
      </w:r>
      <w:r>
        <w:rPr>
          <w:rFonts w:hint="eastAsia" w:ascii="宋体" w:hAnsi="宋体" w:eastAsia="宋体" w:cs="宋体"/>
          <w:b/>
          <w:bCs/>
          <w:color w:val="auto"/>
          <w:kern w:val="0"/>
          <w:sz w:val="24"/>
          <w:szCs w:val="24"/>
          <w:highlight w:val="none"/>
          <w:u w:val="single"/>
          <w:lang w:bidi="ar"/>
        </w:rPr>
        <w:t>各方</w:t>
      </w:r>
      <w:r>
        <w:rPr>
          <w:rFonts w:hint="eastAsia" w:ascii="宋体" w:hAnsi="宋体" w:eastAsia="宋体" w:cs="宋体"/>
          <w:b/>
          <w:bCs/>
          <w:color w:val="auto"/>
          <w:kern w:val="0"/>
          <w:sz w:val="24"/>
          <w:szCs w:val="24"/>
          <w:highlight w:val="none"/>
          <w:lang w:bidi="ar"/>
        </w:rPr>
        <w:t>同意未经招标人批准，不得擅自更改收款人。</w:t>
      </w:r>
    </w:p>
    <w:p w14:paraId="54CBFEAA">
      <w:pPr>
        <w:widowControl/>
        <w:spacing w:line="360" w:lineRule="auto"/>
        <w:ind w:firstLine="480" w:firstLineChars="200"/>
        <w:jc w:val="left"/>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注：勘察费、设计费分别由承担相应工作的联合体方负责收取，开具相应合同价款全额发票。若出现多家勘察单位或者多家设计单位组成的联合体中标人，则由承担主要勘察任务的一家联合体成员单位负责收取勘察费，承担主要设计任务的一家联合体成员单位负责收取设计费）。</w:t>
      </w:r>
    </w:p>
    <w:p w14:paraId="30F5B4CC">
      <w:pPr>
        <w:widowControl/>
        <w:spacing w:line="360" w:lineRule="auto"/>
        <w:ind w:firstLine="482" w:firstLineChars="200"/>
        <w:jc w:val="left"/>
        <w:rPr>
          <w:rFonts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bidi="ar"/>
        </w:rPr>
        <w:t>7.以上事项确定后，联合体</w:t>
      </w:r>
      <w:r>
        <w:rPr>
          <w:rFonts w:hint="eastAsia" w:ascii="宋体" w:hAnsi="宋体" w:eastAsia="宋体" w:cs="宋体"/>
          <w:b/>
          <w:bCs/>
          <w:color w:val="auto"/>
          <w:kern w:val="0"/>
          <w:sz w:val="24"/>
          <w:szCs w:val="24"/>
          <w:highlight w:val="none"/>
          <w:u w:val="single"/>
          <w:lang w:bidi="ar"/>
        </w:rPr>
        <w:t>各方</w:t>
      </w:r>
      <w:r>
        <w:rPr>
          <w:rFonts w:hint="eastAsia" w:ascii="宋体" w:hAnsi="宋体" w:eastAsia="宋体" w:cs="宋体"/>
          <w:b/>
          <w:bCs/>
          <w:color w:val="auto"/>
          <w:kern w:val="0"/>
          <w:sz w:val="24"/>
          <w:szCs w:val="24"/>
          <w:highlight w:val="none"/>
          <w:lang w:bidi="ar"/>
        </w:rPr>
        <w:t>同意不得再次更改</w:t>
      </w:r>
      <w:r>
        <w:rPr>
          <w:rFonts w:hint="eastAsia" w:ascii="宋体" w:hAnsi="宋体" w:eastAsia="宋体" w:cs="宋体"/>
          <w:color w:val="auto"/>
          <w:kern w:val="0"/>
          <w:sz w:val="24"/>
          <w:szCs w:val="24"/>
          <w:highlight w:val="none"/>
          <w:lang w:bidi="ar"/>
        </w:rPr>
        <w:t>。</w:t>
      </w:r>
    </w:p>
    <w:p w14:paraId="5D25C54F">
      <w:pPr>
        <w:widowControl/>
        <w:spacing w:line="360" w:lineRule="auto"/>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8．本协议书自签署之日起生效，合同履行完毕后自动失效。</w:t>
      </w:r>
    </w:p>
    <w:p w14:paraId="0D0F4151">
      <w:pPr>
        <w:widowControl/>
        <w:spacing w:line="360" w:lineRule="auto"/>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9．本协议书一式</w:t>
      </w:r>
      <w:r>
        <w:rPr>
          <w:rFonts w:hint="eastAsia" w:ascii="宋体" w:hAnsi="宋体" w:eastAsia="宋体" w:cs="宋体"/>
          <w:color w:val="auto"/>
          <w:kern w:val="0"/>
          <w:sz w:val="24"/>
          <w:szCs w:val="24"/>
          <w:highlight w:val="none"/>
          <w:u w:val="single"/>
          <w:lang w:bidi="ar"/>
        </w:rPr>
        <w:t xml:space="preserve">    </w:t>
      </w:r>
      <w:r>
        <w:rPr>
          <w:rFonts w:hint="eastAsia" w:ascii="宋体" w:hAnsi="宋体" w:eastAsia="宋体" w:cs="宋体"/>
          <w:color w:val="auto"/>
          <w:kern w:val="0"/>
          <w:sz w:val="24"/>
          <w:szCs w:val="24"/>
          <w:highlight w:val="none"/>
          <w:lang w:bidi="ar"/>
        </w:rPr>
        <w:t>份，联合体成员和招标人各执一份。</w:t>
      </w:r>
    </w:p>
    <w:p w14:paraId="1D497D32">
      <w:pPr>
        <w:widowControl/>
        <w:spacing w:line="360" w:lineRule="auto"/>
        <w:jc w:val="left"/>
        <w:rPr>
          <w:rFonts w:ascii="宋体" w:hAnsi="宋体" w:eastAsia="宋体" w:cs="宋体"/>
          <w:color w:val="auto"/>
          <w:kern w:val="0"/>
          <w:sz w:val="24"/>
          <w:szCs w:val="24"/>
          <w:highlight w:val="none"/>
          <w:lang w:bidi="ar"/>
        </w:rPr>
      </w:pPr>
    </w:p>
    <w:p w14:paraId="2754A68E">
      <w:pPr>
        <w:widowControl/>
        <w:spacing w:line="360" w:lineRule="auto"/>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主办方名称：</w:t>
      </w:r>
      <w:r>
        <w:rPr>
          <w:rFonts w:hint="eastAsia" w:ascii="宋体" w:hAnsi="宋体" w:eastAsia="宋体" w:cs="宋体"/>
          <w:color w:val="auto"/>
          <w:kern w:val="0"/>
          <w:sz w:val="24"/>
          <w:szCs w:val="24"/>
          <w:highlight w:val="none"/>
          <w:u w:val="single"/>
          <w:lang w:bidi="ar"/>
        </w:rPr>
        <w:t xml:space="preserve">      </w:t>
      </w:r>
      <w:r>
        <w:rPr>
          <w:rFonts w:hint="eastAsia" w:ascii="宋体" w:hAnsi="宋体" w:eastAsia="宋体" w:cs="宋体"/>
          <w:color w:val="auto"/>
          <w:kern w:val="0"/>
          <w:sz w:val="24"/>
          <w:szCs w:val="24"/>
          <w:highlight w:val="none"/>
          <w:lang w:bidi="ar"/>
        </w:rPr>
        <w:t xml:space="preserve"> (盖单位电子公章或盖单位公章)</w:t>
      </w:r>
    </w:p>
    <w:p w14:paraId="758662AF">
      <w:pPr>
        <w:widowControl/>
        <w:spacing w:line="360" w:lineRule="auto"/>
        <w:jc w:val="left"/>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法定代表人：</w:t>
      </w:r>
      <w:r>
        <w:rPr>
          <w:rFonts w:hint="eastAsia" w:ascii="宋体" w:hAnsi="宋体" w:eastAsia="宋体" w:cs="宋体"/>
          <w:color w:val="auto"/>
          <w:kern w:val="0"/>
          <w:sz w:val="24"/>
          <w:szCs w:val="24"/>
          <w:highlight w:val="none"/>
          <w:u w:val="single"/>
          <w:lang w:bidi="ar"/>
        </w:rPr>
        <w:t xml:space="preserve">      </w:t>
      </w:r>
      <w:r>
        <w:rPr>
          <w:rFonts w:hint="eastAsia" w:ascii="宋体" w:hAnsi="宋体" w:eastAsia="宋体" w:cs="宋体"/>
          <w:color w:val="auto"/>
          <w:kern w:val="0"/>
          <w:sz w:val="24"/>
          <w:szCs w:val="24"/>
          <w:highlight w:val="none"/>
          <w:lang w:bidi="ar"/>
        </w:rPr>
        <w:t xml:space="preserve"> (盖法定代表人电子章或签字)</w:t>
      </w:r>
    </w:p>
    <w:p w14:paraId="3F84D041">
      <w:pPr>
        <w:widowControl/>
        <w:spacing w:line="360" w:lineRule="auto"/>
        <w:jc w:val="left"/>
        <w:rPr>
          <w:rFonts w:ascii="宋体" w:hAnsi="宋体" w:eastAsia="宋体" w:cs="宋体"/>
          <w:color w:val="auto"/>
          <w:kern w:val="0"/>
          <w:sz w:val="24"/>
          <w:szCs w:val="24"/>
          <w:highlight w:val="none"/>
          <w:lang w:bidi="ar"/>
        </w:rPr>
      </w:pPr>
    </w:p>
    <w:p w14:paraId="6536310B">
      <w:pPr>
        <w:widowControl/>
        <w:spacing w:line="360" w:lineRule="auto"/>
        <w:jc w:val="left"/>
        <w:rPr>
          <w:rFonts w:ascii="宋体" w:hAnsi="宋体" w:eastAsia="宋体" w:cs="宋体"/>
          <w:color w:val="auto"/>
          <w:kern w:val="0"/>
          <w:sz w:val="24"/>
          <w:szCs w:val="24"/>
          <w:highlight w:val="none"/>
          <w:lang w:bidi="ar"/>
        </w:rPr>
      </w:pPr>
    </w:p>
    <w:p w14:paraId="6B044E42">
      <w:pPr>
        <w:widowControl/>
        <w:spacing w:line="360" w:lineRule="auto"/>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成员名称： </w:t>
      </w:r>
      <w:r>
        <w:rPr>
          <w:rFonts w:hint="eastAsia" w:ascii="宋体" w:hAnsi="宋体" w:eastAsia="宋体" w:cs="宋体"/>
          <w:color w:val="auto"/>
          <w:kern w:val="0"/>
          <w:sz w:val="24"/>
          <w:szCs w:val="24"/>
          <w:highlight w:val="none"/>
          <w:u w:val="single"/>
          <w:lang w:bidi="ar"/>
        </w:rPr>
        <w:t xml:space="preserve">      </w:t>
      </w:r>
      <w:r>
        <w:rPr>
          <w:rFonts w:hint="eastAsia" w:ascii="宋体" w:hAnsi="宋体" w:eastAsia="宋体" w:cs="宋体"/>
          <w:color w:val="auto"/>
          <w:kern w:val="0"/>
          <w:sz w:val="24"/>
          <w:szCs w:val="24"/>
          <w:highlight w:val="none"/>
          <w:lang w:bidi="ar"/>
        </w:rPr>
        <w:t>(盖单位电子公章或盖单位公章)</w:t>
      </w:r>
    </w:p>
    <w:p w14:paraId="1F3B1CF6">
      <w:pPr>
        <w:widowControl/>
        <w:spacing w:line="360" w:lineRule="auto"/>
        <w:jc w:val="left"/>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法定代表人：</w:t>
      </w:r>
      <w:r>
        <w:rPr>
          <w:rFonts w:hint="eastAsia" w:ascii="宋体" w:hAnsi="宋体" w:eastAsia="宋体" w:cs="宋体"/>
          <w:color w:val="auto"/>
          <w:kern w:val="0"/>
          <w:sz w:val="24"/>
          <w:szCs w:val="24"/>
          <w:highlight w:val="none"/>
          <w:u w:val="single"/>
          <w:lang w:bidi="ar"/>
        </w:rPr>
        <w:t xml:space="preserve">      </w:t>
      </w:r>
      <w:r>
        <w:rPr>
          <w:rFonts w:hint="eastAsia" w:ascii="宋体" w:hAnsi="宋体" w:eastAsia="宋体" w:cs="宋体"/>
          <w:color w:val="auto"/>
          <w:kern w:val="0"/>
          <w:sz w:val="24"/>
          <w:szCs w:val="24"/>
          <w:highlight w:val="none"/>
          <w:lang w:bidi="ar"/>
        </w:rPr>
        <w:t xml:space="preserve"> (盖法定代表人电子章或签字)</w:t>
      </w:r>
    </w:p>
    <w:p w14:paraId="39D2BAE5">
      <w:pPr>
        <w:widowControl/>
        <w:spacing w:line="360" w:lineRule="auto"/>
        <w:jc w:val="left"/>
        <w:rPr>
          <w:rFonts w:ascii="宋体" w:hAnsi="宋体" w:eastAsia="宋体" w:cs="宋体"/>
          <w:color w:val="auto"/>
          <w:kern w:val="0"/>
          <w:sz w:val="24"/>
          <w:szCs w:val="24"/>
          <w:highlight w:val="none"/>
          <w:lang w:bidi="ar"/>
        </w:rPr>
      </w:pPr>
    </w:p>
    <w:p w14:paraId="6458BF80">
      <w:pPr>
        <w:widowControl/>
        <w:spacing w:line="360" w:lineRule="auto"/>
        <w:jc w:val="left"/>
        <w:rPr>
          <w:rFonts w:ascii="宋体" w:hAnsi="宋体" w:eastAsia="宋体" w:cs="宋体"/>
          <w:color w:val="auto"/>
          <w:kern w:val="0"/>
          <w:sz w:val="24"/>
          <w:szCs w:val="24"/>
          <w:highlight w:val="none"/>
          <w:lang w:bidi="ar"/>
        </w:rPr>
      </w:pPr>
    </w:p>
    <w:p w14:paraId="3BB78950">
      <w:pPr>
        <w:widowControl/>
        <w:spacing w:line="360" w:lineRule="auto"/>
        <w:jc w:val="right"/>
        <w:rPr>
          <w:rFonts w:ascii="宋体" w:hAnsi="宋体" w:eastAsia="宋体"/>
          <w:color w:val="auto"/>
          <w:sz w:val="24"/>
          <w:szCs w:val="24"/>
          <w:highlight w:val="none"/>
        </w:rPr>
      </w:pPr>
      <w:r>
        <w:rPr>
          <w:rFonts w:hint="eastAsia" w:ascii="宋体" w:hAnsi="宋体" w:eastAsia="宋体" w:cs="宋体"/>
          <w:color w:val="auto"/>
          <w:kern w:val="0"/>
          <w:sz w:val="24"/>
          <w:szCs w:val="24"/>
          <w:highlight w:val="none"/>
          <w:lang w:bidi="ar"/>
        </w:rPr>
        <w:t>年    月    日</w:t>
      </w:r>
    </w:p>
    <w:p w14:paraId="0B1B868D">
      <w:pPr>
        <w:widowControl/>
        <w:spacing w:line="360" w:lineRule="auto"/>
        <w:jc w:val="left"/>
        <w:rPr>
          <w:rFonts w:ascii="宋体" w:hAnsi="宋体" w:eastAsia="宋体" w:cs="宋体"/>
          <w:b/>
          <w:bCs/>
          <w:color w:val="auto"/>
          <w:kern w:val="0"/>
          <w:sz w:val="24"/>
          <w:szCs w:val="24"/>
          <w:highlight w:val="none"/>
          <w:lang w:bidi="ar"/>
        </w:rPr>
      </w:pPr>
    </w:p>
    <w:p w14:paraId="3A058373">
      <w:pPr>
        <w:widowControl/>
        <w:spacing w:line="360" w:lineRule="auto"/>
        <w:jc w:val="left"/>
        <w:rPr>
          <w:rFonts w:ascii="宋体" w:hAnsi="宋体" w:eastAsia="宋体" w:cs="宋体"/>
          <w:b/>
          <w:bCs/>
          <w:color w:val="auto"/>
          <w:kern w:val="0"/>
          <w:sz w:val="24"/>
          <w:szCs w:val="24"/>
          <w:highlight w:val="none"/>
          <w:u w:val="single"/>
          <w:lang w:bidi="ar"/>
        </w:rPr>
      </w:pPr>
      <w:r>
        <w:rPr>
          <w:rFonts w:hint="eastAsia" w:ascii="宋体" w:hAnsi="宋体" w:eastAsia="宋体" w:cs="宋体"/>
          <w:b/>
          <w:bCs/>
          <w:color w:val="auto"/>
          <w:kern w:val="0"/>
          <w:sz w:val="24"/>
          <w:szCs w:val="24"/>
          <w:highlight w:val="none"/>
          <w:u w:val="single"/>
          <w:lang w:bidi="ar"/>
        </w:rPr>
        <w:t>注：</w:t>
      </w:r>
    </w:p>
    <w:p w14:paraId="00909D69">
      <w:pPr>
        <w:widowControl/>
        <w:spacing w:line="360" w:lineRule="auto"/>
        <w:jc w:val="left"/>
        <w:rPr>
          <w:rFonts w:ascii="宋体" w:hAnsi="宋体" w:eastAsia="宋体"/>
          <w:color w:val="auto"/>
          <w:sz w:val="24"/>
          <w:szCs w:val="24"/>
          <w:highlight w:val="none"/>
          <w:u w:val="single"/>
        </w:rPr>
      </w:pPr>
      <w:r>
        <w:rPr>
          <w:rFonts w:hint="eastAsia" w:ascii="宋体" w:hAnsi="宋体" w:eastAsia="宋体" w:cs="宋体"/>
          <w:b/>
          <w:bCs/>
          <w:color w:val="auto"/>
          <w:kern w:val="0"/>
          <w:sz w:val="24"/>
          <w:szCs w:val="24"/>
          <w:highlight w:val="none"/>
          <w:u w:val="single"/>
          <w:lang w:bidi="ar"/>
        </w:rPr>
        <w:t>1.</w:t>
      </w:r>
      <w:r>
        <w:rPr>
          <w:rFonts w:hint="eastAsia" w:ascii="宋体" w:hAnsi="宋体" w:eastAsia="宋体" w:cs="宋体"/>
          <w:b/>
          <w:bCs/>
          <w:color w:val="auto"/>
          <w:sz w:val="24"/>
          <w:szCs w:val="24"/>
          <w:highlight w:val="none"/>
          <w:u w:val="single"/>
          <w:lang w:bidi="ar"/>
        </w:rPr>
        <w:t>联合体中有小微企业的，还需按《投标人须知前附表》第11.</w:t>
      </w:r>
      <w:r>
        <w:rPr>
          <w:rFonts w:ascii="宋体" w:hAnsi="宋体" w:eastAsia="宋体" w:cs="宋体"/>
          <w:b/>
          <w:bCs/>
          <w:color w:val="auto"/>
          <w:sz w:val="24"/>
          <w:szCs w:val="24"/>
          <w:highlight w:val="none"/>
          <w:u w:val="single"/>
          <w:lang w:bidi="ar"/>
        </w:rPr>
        <w:t>4</w:t>
      </w:r>
      <w:r>
        <w:rPr>
          <w:rFonts w:hint="eastAsia" w:ascii="宋体" w:hAnsi="宋体" w:eastAsia="宋体" w:cs="宋体"/>
          <w:b/>
          <w:bCs/>
          <w:color w:val="auto"/>
          <w:sz w:val="24"/>
          <w:szCs w:val="24"/>
          <w:highlight w:val="none"/>
          <w:u w:val="single"/>
          <w:lang w:bidi="ar"/>
        </w:rPr>
        <w:t>（2）条中注明其所占的合同份额占总合同额的比重；</w:t>
      </w:r>
      <w:r>
        <w:rPr>
          <w:rFonts w:hint="eastAsia" w:ascii="宋体" w:hAnsi="宋体" w:eastAsia="宋体" w:cs="宋体"/>
          <w:b/>
          <w:bCs/>
          <w:color w:val="auto"/>
          <w:kern w:val="0"/>
          <w:sz w:val="24"/>
          <w:szCs w:val="24"/>
          <w:highlight w:val="none"/>
          <w:u w:val="single"/>
          <w:lang w:bidi="ar"/>
        </w:rPr>
        <w:t>独立投标人，本协议书可不提供。</w:t>
      </w:r>
    </w:p>
    <w:p w14:paraId="46F37553">
      <w:pPr>
        <w:widowControl/>
        <w:spacing w:line="360" w:lineRule="auto"/>
        <w:jc w:val="left"/>
        <w:rPr>
          <w:rFonts w:ascii="宋体" w:hAnsi="宋体" w:eastAsia="宋体"/>
          <w:color w:val="auto"/>
          <w:sz w:val="24"/>
          <w:szCs w:val="24"/>
          <w:highlight w:val="none"/>
          <w:u w:val="single"/>
        </w:rPr>
      </w:pPr>
      <w:r>
        <w:rPr>
          <w:rFonts w:hint="eastAsia" w:ascii="宋体" w:hAnsi="宋体" w:eastAsia="宋体" w:cs="宋体"/>
          <w:b/>
          <w:bCs/>
          <w:color w:val="auto"/>
          <w:kern w:val="0"/>
          <w:sz w:val="24"/>
          <w:szCs w:val="24"/>
          <w:highlight w:val="none"/>
          <w:u w:val="single"/>
          <w:lang w:bidi="ar"/>
        </w:rPr>
        <w:t>2.</w:t>
      </w:r>
      <w:r>
        <w:rPr>
          <w:rFonts w:hint="eastAsia" w:ascii="宋体" w:hAnsi="宋体" w:eastAsia="宋体" w:cs="宋体"/>
          <w:b/>
          <w:color w:val="auto"/>
          <w:kern w:val="0"/>
          <w:sz w:val="24"/>
          <w:szCs w:val="24"/>
          <w:highlight w:val="none"/>
          <w:u w:val="single"/>
          <w:lang w:bidi="ar"/>
        </w:rPr>
        <w:t>联合体投标的，可以根据实际情况增加或删减成员格式。</w:t>
      </w:r>
    </w:p>
    <w:p w14:paraId="3020BAC5">
      <w:pPr>
        <w:widowControl/>
        <w:kinsoku w:val="0"/>
        <w:autoSpaceDE w:val="0"/>
        <w:autoSpaceDN w:val="0"/>
        <w:adjustRightInd w:val="0"/>
        <w:snapToGrid w:val="0"/>
        <w:spacing w:line="360" w:lineRule="auto"/>
        <w:textAlignment w:val="baseline"/>
        <w:rPr>
          <w:rFonts w:ascii="宋体" w:hAnsi="宋体" w:eastAsia="宋体" w:cs="宋体"/>
          <w:color w:val="auto"/>
          <w:szCs w:val="21"/>
          <w:highlight w:val="none"/>
        </w:rPr>
        <w:sectPr>
          <w:pgSz w:w="11906" w:h="16838"/>
          <w:pgMar w:top="1440" w:right="1440" w:bottom="1440" w:left="1440" w:header="0" w:footer="940" w:gutter="0"/>
          <w:cols w:space="720" w:num="1"/>
        </w:sectPr>
      </w:pPr>
    </w:p>
    <w:p w14:paraId="70927CFC">
      <w:pPr>
        <w:autoSpaceDE w:val="0"/>
        <w:autoSpaceDN w:val="0"/>
        <w:adjustRightInd w:val="0"/>
        <w:spacing w:line="360" w:lineRule="auto"/>
        <w:jc w:val="center"/>
        <w:outlineLvl w:val="3"/>
        <w:rPr>
          <w:rFonts w:ascii="宋体" w:hAnsi="宋体" w:eastAsia="宋体" w:cs="Times New Roman"/>
          <w:b/>
          <w:color w:val="auto"/>
          <w:kern w:val="0"/>
          <w:sz w:val="28"/>
          <w:szCs w:val="28"/>
          <w:highlight w:val="none"/>
          <w:lang w:val="zh-CN"/>
        </w:rPr>
      </w:pPr>
      <w:r>
        <w:rPr>
          <w:rFonts w:hint="eastAsia" w:ascii="宋体" w:hAnsi="宋体" w:eastAsia="宋体" w:cs="Times New Roman"/>
          <w:b/>
          <w:color w:val="auto"/>
          <w:kern w:val="0"/>
          <w:sz w:val="28"/>
          <w:szCs w:val="28"/>
          <w:highlight w:val="none"/>
          <w:lang w:val="zh-CN"/>
        </w:rPr>
        <w:t>四、投标人声明</w:t>
      </w:r>
    </w:p>
    <w:p w14:paraId="3ED1D1FF">
      <w:pPr>
        <w:wordWrap w:val="0"/>
        <w:spacing w:line="360" w:lineRule="auto"/>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本招标项目招标人及招标监管机构：</w:t>
      </w:r>
    </w:p>
    <w:p w14:paraId="1272069F">
      <w:pPr>
        <w:wordWrap w:val="0"/>
        <w:spacing w:line="360" w:lineRule="auto"/>
        <w:ind w:firstLine="566" w:firstLineChars="236"/>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本公司就参加</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项目投标工作，作出郑重声明：</w:t>
      </w:r>
    </w:p>
    <w:p w14:paraId="3B74B337">
      <w:pPr>
        <w:wordWrap w:val="0"/>
        <w:spacing w:line="360" w:lineRule="auto"/>
        <w:ind w:firstLine="566" w:firstLineChars="236"/>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一、本公司保证投标登记材料及其后提供的一切材料都是真实的。如我司成为本项目中标候选人，我司同意并授权招标人将我司投标文件的人员、业绩、奖项等资料进行公开。</w:t>
      </w:r>
    </w:p>
    <w:p w14:paraId="070C1A54">
      <w:pPr>
        <w:wordWrap w:val="0"/>
        <w:spacing w:line="360" w:lineRule="auto"/>
        <w:ind w:firstLine="566" w:firstLineChars="236"/>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二、本公司承诺遵循公平公正、公开、诚实信用原则，如实投标，真实反映企业实力，公平竞争，不弄虚作假，不以低于企业成本价竞标而降低</w:t>
      </w:r>
      <w:r>
        <w:rPr>
          <w:rFonts w:hint="eastAsia" w:ascii="宋体" w:hAnsi="宋体" w:eastAsia="宋体" w:cs="宋体"/>
          <w:color w:val="auto"/>
          <w:kern w:val="0"/>
          <w:sz w:val="24"/>
          <w:szCs w:val="24"/>
          <w:highlight w:val="none"/>
          <w:lang w:val="en-US" w:eastAsia="zh-CN"/>
        </w:rPr>
        <w:t>勘察</w:t>
      </w:r>
      <w:r>
        <w:rPr>
          <w:rFonts w:hint="eastAsia" w:ascii="宋体" w:hAnsi="宋体" w:eastAsia="宋体" w:cs="宋体"/>
          <w:color w:val="auto"/>
          <w:kern w:val="0"/>
          <w:sz w:val="24"/>
          <w:szCs w:val="24"/>
          <w:highlight w:val="none"/>
        </w:rPr>
        <w:t>设计服务质量，不与任何建设单位订立违背企业成本取费标准及相关规定的“阴阳合同”进行恶性竞争，扰乱市场秩序，不与其他单位串通投标或以行贿手段谋取中标，不出借资质、转让勘察设计业务。</w:t>
      </w:r>
    </w:p>
    <w:p w14:paraId="765AB7B8">
      <w:pPr>
        <w:wordWrap w:val="0"/>
        <w:spacing w:line="360" w:lineRule="auto"/>
        <w:ind w:firstLine="566" w:firstLineChars="236"/>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三、本公司不存在招标文件第二章投标人须知第1.4.3项所规定的任何一种情形。具体如下：</w:t>
      </w:r>
    </w:p>
    <w:p w14:paraId="1146F852">
      <w:pPr>
        <w:wordWrap w:val="0"/>
        <w:spacing w:line="360" w:lineRule="auto"/>
        <w:ind w:firstLine="566" w:firstLineChars="236"/>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（一）为招标人不具有独立法人资格的附属机构（单位）；</w:t>
      </w:r>
    </w:p>
    <w:p w14:paraId="6AB1199C">
      <w:pPr>
        <w:wordWrap w:val="0"/>
        <w:spacing w:line="360" w:lineRule="auto"/>
        <w:ind w:firstLine="566" w:firstLineChars="236"/>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（二）与招标人存在利害关系且可能影响招标公正性；</w:t>
      </w:r>
    </w:p>
    <w:p w14:paraId="27305BE0">
      <w:pPr>
        <w:wordWrap w:val="0"/>
        <w:spacing w:line="360" w:lineRule="auto"/>
        <w:ind w:firstLine="566" w:firstLineChars="236"/>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（三）与本招标项目的其他投标人为同一个单位负责人；</w:t>
      </w:r>
    </w:p>
    <w:p w14:paraId="054170ED">
      <w:pPr>
        <w:wordWrap w:val="0"/>
        <w:spacing w:line="360" w:lineRule="auto"/>
        <w:ind w:firstLine="566" w:firstLineChars="236"/>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（四）与本招标项目的其他投标人存在控股、管理关系；</w:t>
      </w:r>
    </w:p>
    <w:p w14:paraId="3A95F1B0">
      <w:pPr>
        <w:wordWrap w:val="0"/>
        <w:spacing w:line="360" w:lineRule="auto"/>
        <w:ind w:firstLine="566" w:firstLineChars="236"/>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（五）为本招标项目的代建人或建设管理单位；</w:t>
      </w:r>
    </w:p>
    <w:p w14:paraId="2565D29E">
      <w:pPr>
        <w:wordWrap w:val="0"/>
        <w:spacing w:line="360" w:lineRule="auto"/>
        <w:ind w:firstLine="566" w:firstLineChars="236"/>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（六）为本招标项目的招标代理机构；</w:t>
      </w:r>
    </w:p>
    <w:p w14:paraId="4E4DBD88">
      <w:pPr>
        <w:wordWrap w:val="0"/>
        <w:spacing w:line="360" w:lineRule="auto"/>
        <w:ind w:firstLine="566" w:firstLineChars="236"/>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（七）与本招标项目的代建人或招标代理机构同为一个法定代表人；</w:t>
      </w:r>
    </w:p>
    <w:p w14:paraId="176CE4D9">
      <w:pPr>
        <w:wordWrap w:val="0"/>
        <w:spacing w:line="360" w:lineRule="auto"/>
        <w:ind w:firstLine="566" w:firstLineChars="236"/>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（八）与本招标项目的代建人或招标代理机构存在控股或参股关系；</w:t>
      </w:r>
    </w:p>
    <w:p w14:paraId="47941586">
      <w:pPr>
        <w:wordWrap w:val="0"/>
        <w:spacing w:line="360" w:lineRule="auto"/>
        <w:ind w:firstLine="566" w:firstLineChars="236"/>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九）被依法暂停或者取消投标资格（本项事实应当以根据《中华人民共和国行政处罚法》依法作出并已生效的行政处罚决定为认定依据。行政处罚决定中已明确暂停或取消投标资格的区域范围不包含本标段建设地点的，不受该项规定限制）；</w:t>
      </w:r>
    </w:p>
    <w:p w14:paraId="170A9478">
      <w:pPr>
        <w:wordWrap w:val="0"/>
        <w:spacing w:line="360" w:lineRule="auto"/>
        <w:ind w:firstLine="566" w:firstLineChars="236"/>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（十）被责令停产停业、暂扣或者吊销许可证、暂扣或者吊销执照（本项事实应当以根据《中华人民共和国行政处罚法》依法作出并已生效的行政处罚决定为认定依据。）；</w:t>
      </w:r>
    </w:p>
    <w:p w14:paraId="0BEE6A75">
      <w:pPr>
        <w:wordWrap w:val="0"/>
        <w:spacing w:line="360" w:lineRule="auto"/>
        <w:ind w:firstLine="566" w:firstLineChars="236"/>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（十一）进入清算程序，或被宣告破产，或其他丧失履约能力的情形；</w:t>
      </w:r>
    </w:p>
    <w:p w14:paraId="5476BA15">
      <w:pPr>
        <w:wordWrap w:val="0"/>
        <w:spacing w:line="360" w:lineRule="auto"/>
        <w:ind w:firstLine="566" w:firstLineChars="236"/>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（十二）法律法规或投标人须知前附表规定的其他情形。</w:t>
      </w:r>
    </w:p>
    <w:p w14:paraId="69CD9E94">
      <w:pPr>
        <w:wordWrap w:val="0"/>
        <w:spacing w:line="360" w:lineRule="auto"/>
        <w:ind w:firstLine="566" w:firstLineChars="236"/>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四、本公司及其有隶属关系的机构，没有参加本项目招标文件的编写工作；本公司与本次招标的招标代理机构没有隶属关系或其他利害关系 。</w:t>
      </w:r>
    </w:p>
    <w:p w14:paraId="104983A3">
      <w:pPr>
        <w:wordWrap w:val="0"/>
        <w:spacing w:line="360" w:lineRule="auto"/>
        <w:ind w:firstLine="566" w:firstLineChars="236"/>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五、本公司承诺，愿以承诺的投标报价方式承包本次招标所包含的工作，并承担勘察设计质量缺陷责任，中标后严格执行相关法律法规、</w:t>
      </w:r>
      <w:r>
        <w:rPr>
          <w:rFonts w:hint="eastAsia" w:ascii="宋体" w:hAnsi="宋体" w:eastAsia="宋体" w:cs="宋体"/>
          <w:color w:val="auto"/>
          <w:kern w:val="0"/>
          <w:sz w:val="24"/>
          <w:szCs w:val="24"/>
          <w:highlight w:val="none"/>
          <w:lang w:val="en-US" w:eastAsia="zh-CN"/>
        </w:rPr>
        <w:t>勘察</w:t>
      </w:r>
      <w:r>
        <w:rPr>
          <w:rFonts w:hint="eastAsia" w:ascii="宋体" w:hAnsi="宋体" w:eastAsia="宋体" w:cs="宋体"/>
          <w:color w:val="auto"/>
          <w:kern w:val="0"/>
          <w:sz w:val="24"/>
          <w:szCs w:val="24"/>
          <w:highlight w:val="none"/>
        </w:rPr>
        <w:t>设计规范等。</w:t>
      </w:r>
    </w:p>
    <w:p w14:paraId="6F4BBEF5">
      <w:pPr>
        <w:pStyle w:val="133"/>
        <w:ind w:firstLine="480" w:firstLineChars="200"/>
        <w:rPr>
          <w:rFonts w:ascii="宋体" w:hAnsi="宋体" w:eastAsia="宋体" w:cs="宋体"/>
          <w:color w:val="auto"/>
          <w:sz w:val="21"/>
          <w:szCs w:val="21"/>
          <w:highlight w:val="none"/>
        </w:rPr>
      </w:pPr>
      <w:r>
        <w:rPr>
          <w:rFonts w:hint="eastAsia" w:ascii="宋体" w:hAnsi="宋体" w:eastAsia="宋体" w:cs="宋体"/>
          <w:color w:val="auto"/>
          <w:sz w:val="24"/>
          <w:szCs w:val="24"/>
          <w:highlight w:val="none"/>
        </w:rPr>
        <w:t>六、与本公司单位负责人为同一人或者与本公司存在控股、管理关系的其他单位包括：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r>
        <w:rPr>
          <w:rFonts w:hint="eastAsia" w:ascii="宋体" w:hAnsi="宋体" w:eastAsia="宋体" w:cs="宋体"/>
          <w:color w:val="auto"/>
          <w:sz w:val="24"/>
          <w:szCs w:val="24"/>
          <w:highlight w:val="none"/>
          <w:u w:val="single"/>
        </w:rPr>
        <w:t>；如联合体投标，联合体各成员需单独列明。</w:t>
      </w:r>
      <w:r>
        <w:rPr>
          <w:rFonts w:hint="eastAsia" w:ascii="宋体" w:hAnsi="宋体" w:eastAsia="宋体" w:cs="宋体"/>
          <w:b/>
          <w:bCs/>
          <w:color w:val="auto"/>
          <w:sz w:val="24"/>
          <w:szCs w:val="24"/>
          <w:highlight w:val="none"/>
          <w:u w:val="single"/>
        </w:rPr>
        <w:t>若投标人未列全符合相关条件的单位，但同时未列全的相关单位未参与本项目投标的，不视为该投标人违反了招标文件的规定，不作为对其投标文件进行无效标处理的依据。</w:t>
      </w:r>
      <w:r>
        <w:rPr>
          <w:rFonts w:hint="eastAsia" w:ascii="宋体" w:hAnsi="宋体" w:eastAsia="宋体" w:cs="宋体"/>
          <w:color w:val="auto"/>
          <w:sz w:val="21"/>
          <w:szCs w:val="21"/>
          <w:highlight w:val="none"/>
        </w:rPr>
        <w:t>）</w:t>
      </w:r>
    </w:p>
    <w:p w14:paraId="69A29350">
      <w:pPr>
        <w:wordWrap w:val="0"/>
        <w:spacing w:line="360" w:lineRule="auto"/>
        <w:ind w:firstLine="566" w:firstLineChars="236"/>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七、本公司承诺所提供的银行保函、保证保险、专业工程担保公司担保（如有）真实、有效。</w:t>
      </w:r>
    </w:p>
    <w:p w14:paraId="1CFA5D99">
      <w:pPr>
        <w:wordWrap w:val="0"/>
        <w:spacing w:line="360" w:lineRule="auto"/>
        <w:ind w:firstLine="566" w:firstLineChars="236"/>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八、本公司积极响应广州市关于投身“百千万工程”的号召，主动参与政府投资类建设工程施工项目的建筑业结对帮扶等活动（市属国有企业投资项目参照执行）。</w:t>
      </w:r>
    </w:p>
    <w:p w14:paraId="4BE581E2">
      <w:pPr>
        <w:wordWrap w:val="0"/>
        <w:spacing w:line="360" w:lineRule="auto"/>
        <w:ind w:firstLine="566" w:firstLineChars="236"/>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九、本公司违反上述承诺，或本声明陈述与事实不符，经查实，本公司愿意接受公开通报，愿意按照广州市交通运输局有关信用评价管理有关规定，被记录为“不良交易行为信息”，承担由此带来的法律后果。</w:t>
      </w:r>
    </w:p>
    <w:p w14:paraId="3EB4A9FF">
      <w:pPr>
        <w:wordWrap w:val="0"/>
        <w:spacing w:line="360" w:lineRule="auto"/>
        <w:ind w:firstLine="566" w:firstLineChars="236"/>
        <w:rPr>
          <w:rFonts w:ascii="宋体" w:hAnsi="宋体" w:eastAsia="宋体" w:cs="宋体"/>
          <w:color w:val="auto"/>
          <w:kern w:val="0"/>
          <w:sz w:val="24"/>
          <w:highlight w:val="none"/>
        </w:rPr>
      </w:pPr>
      <w:r>
        <w:rPr>
          <w:rFonts w:hint="eastAsia" w:ascii="宋体" w:hAnsi="宋体" w:eastAsia="宋体" w:cs="宋体"/>
          <w:color w:val="auto"/>
          <w:kern w:val="0"/>
          <w:sz w:val="24"/>
          <w:szCs w:val="24"/>
          <w:highlight w:val="none"/>
        </w:rPr>
        <w:t>十、在招投标过程中，投标人（中标人）被异议（投诉）且经查实异议（投诉）情况属实的，或招标人收到异议（投诉）经查实属无有效法律法规依据的恶意异议（投诉）的，相关责任单位（过错方）自愿停止参与招标人后续工程招投标活动一年。同时，招标人将提请建设行政主管部门，并按《中华人民共和国招标投标法实施条例》《工程建设项目招标投标活动投诉处理办法》等严肃处理，同时将记录到招标人的诚信评价系统。</w:t>
      </w:r>
    </w:p>
    <w:p w14:paraId="33EA6EE2">
      <w:pPr>
        <w:wordWrap w:val="0"/>
        <w:spacing w:line="360" w:lineRule="auto"/>
        <w:ind w:firstLine="566" w:firstLineChars="236"/>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特此声明。</w:t>
      </w:r>
    </w:p>
    <w:p w14:paraId="43ACA65F">
      <w:pPr>
        <w:wordWrap w:val="0"/>
        <w:spacing w:line="360" w:lineRule="auto"/>
        <w:ind w:firstLine="4080" w:firstLineChars="1700"/>
        <w:jc w:val="righ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投标人（盖章）：</w:t>
      </w:r>
    </w:p>
    <w:p w14:paraId="51777549">
      <w:pPr>
        <w:wordWrap w:val="0"/>
        <w:spacing w:line="360" w:lineRule="auto"/>
        <w:jc w:val="righ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年   月   日</w:t>
      </w:r>
    </w:p>
    <w:p w14:paraId="2E6E7384">
      <w:pPr>
        <w:wordWrap w:val="0"/>
        <w:spacing w:line="360" w:lineRule="auto"/>
        <w:jc w:val="left"/>
        <w:rPr>
          <w:rFonts w:ascii="宋体" w:hAnsi="宋体" w:eastAsia="宋体" w:cs="Times New Roman"/>
          <w:b/>
          <w:color w:val="auto"/>
          <w:kern w:val="0"/>
          <w:sz w:val="28"/>
          <w:szCs w:val="28"/>
          <w:highlight w:val="none"/>
          <w:lang w:val="zh-CN"/>
        </w:rPr>
      </w:pPr>
      <w:r>
        <w:rPr>
          <w:rFonts w:hint="eastAsia" w:ascii="宋体" w:hAnsi="宋体" w:eastAsia="宋体" w:cs="宋体"/>
          <w:b/>
          <w:bCs/>
          <w:color w:val="auto"/>
          <w:sz w:val="24"/>
          <w:szCs w:val="24"/>
          <w:highlight w:val="none"/>
          <w:u w:val="single"/>
        </w:rPr>
        <w:t>（注：如联合体投标人，由投标主办方盖章即可。）</w:t>
      </w:r>
      <w:r>
        <w:rPr>
          <w:rFonts w:hint="eastAsia" w:ascii="宋体" w:hAnsi="宋体" w:eastAsia="宋体" w:cs="宋体"/>
          <w:color w:val="auto"/>
          <w:sz w:val="24"/>
          <w:szCs w:val="24"/>
          <w:highlight w:val="none"/>
        </w:rPr>
        <w:br w:type="page"/>
      </w:r>
      <w:r>
        <w:rPr>
          <w:rFonts w:hint="eastAsia" w:ascii="宋体" w:hAnsi="宋体" w:eastAsia="宋体" w:cs="Times New Roman"/>
          <w:b/>
          <w:color w:val="auto"/>
          <w:kern w:val="0"/>
          <w:sz w:val="28"/>
          <w:szCs w:val="28"/>
          <w:highlight w:val="none"/>
        </w:rPr>
        <w:t>五</w:t>
      </w:r>
      <w:r>
        <w:rPr>
          <w:rFonts w:hint="eastAsia" w:ascii="宋体" w:hAnsi="宋体" w:eastAsia="宋体" w:cs="Times New Roman"/>
          <w:b/>
          <w:color w:val="auto"/>
          <w:kern w:val="0"/>
          <w:sz w:val="28"/>
          <w:szCs w:val="28"/>
          <w:highlight w:val="none"/>
          <w:lang w:val="zh-CN"/>
        </w:rPr>
        <w:t>、投标保证金</w:t>
      </w:r>
    </w:p>
    <w:p w14:paraId="5E524EF1">
      <w:pPr>
        <w:widowControl/>
        <w:spacing w:line="360" w:lineRule="auto"/>
        <w:jc w:val="left"/>
        <w:rPr>
          <w:rFonts w:ascii="宋体" w:hAnsi="宋体" w:eastAsia="宋体"/>
          <w:color w:val="auto"/>
          <w:sz w:val="24"/>
          <w:szCs w:val="24"/>
          <w:highlight w:val="none"/>
          <w:u w:val="single"/>
        </w:rPr>
      </w:pPr>
      <w:r>
        <w:rPr>
          <w:rFonts w:hint="eastAsia" w:ascii="宋体" w:hAnsi="宋体" w:eastAsia="宋体"/>
          <w:color w:val="auto"/>
          <w:sz w:val="24"/>
          <w:szCs w:val="24"/>
          <w:highlight w:val="none"/>
          <w:u w:val="single"/>
        </w:rPr>
        <w:t>本项目不要求。</w:t>
      </w:r>
    </w:p>
    <w:p w14:paraId="16AB520A">
      <w:pPr>
        <w:widowControl/>
        <w:jc w:val="left"/>
        <w:rPr>
          <w:rFonts w:ascii="宋体" w:hAnsi="宋体" w:eastAsia="宋体" w:cs="Times New Roman"/>
          <w:b/>
          <w:color w:val="auto"/>
          <w:kern w:val="0"/>
          <w:sz w:val="28"/>
          <w:szCs w:val="28"/>
          <w:highlight w:val="none"/>
          <w:lang w:val="zh-CN"/>
        </w:rPr>
      </w:pPr>
      <w:r>
        <w:rPr>
          <w:rFonts w:ascii="宋体" w:hAnsi="宋体" w:eastAsia="宋体"/>
          <w:color w:val="auto"/>
          <w:highlight w:val="none"/>
        </w:rPr>
        <w:br w:type="page"/>
      </w:r>
    </w:p>
    <w:p w14:paraId="4576FEFB">
      <w:pPr>
        <w:autoSpaceDE w:val="0"/>
        <w:autoSpaceDN w:val="0"/>
        <w:adjustRightInd w:val="0"/>
        <w:spacing w:line="360" w:lineRule="auto"/>
        <w:jc w:val="center"/>
        <w:outlineLvl w:val="3"/>
        <w:rPr>
          <w:rFonts w:ascii="宋体" w:hAnsi="宋体" w:eastAsia="宋体" w:cs="Times New Roman"/>
          <w:b/>
          <w:color w:val="auto"/>
          <w:kern w:val="0"/>
          <w:sz w:val="28"/>
          <w:szCs w:val="28"/>
          <w:highlight w:val="none"/>
          <w:lang w:val="zh-CN"/>
        </w:rPr>
      </w:pPr>
      <w:r>
        <w:rPr>
          <w:rFonts w:hint="eastAsia" w:ascii="宋体" w:hAnsi="宋体" w:eastAsia="宋体" w:cs="Times New Roman"/>
          <w:b/>
          <w:color w:val="auto"/>
          <w:kern w:val="0"/>
          <w:sz w:val="28"/>
          <w:szCs w:val="28"/>
          <w:highlight w:val="none"/>
          <w:lang w:val="zh-CN"/>
        </w:rPr>
        <w:t>六、勘察设计费报价表</w:t>
      </w:r>
    </w:p>
    <w:p w14:paraId="0120C99D">
      <w:pPr>
        <w:spacing w:after="120" w:afterLines="50" w:line="540" w:lineRule="atLeast"/>
        <w:rPr>
          <w:rFonts w:ascii="宋体" w:hAnsi="宋体" w:eastAsia="宋体"/>
          <w:color w:val="auto"/>
          <w:szCs w:val="21"/>
          <w:highlight w:val="none"/>
          <w:u w:val="single"/>
        </w:rPr>
      </w:pPr>
      <w:r>
        <w:rPr>
          <w:rFonts w:hint="eastAsia" w:ascii="宋体" w:hAnsi="宋体" w:eastAsia="宋体"/>
          <w:color w:val="auto"/>
          <w:szCs w:val="21"/>
          <w:highlight w:val="none"/>
        </w:rPr>
        <w:t>项目名称：</w:t>
      </w:r>
      <w:r>
        <w:rPr>
          <w:rFonts w:hint="eastAsia" w:ascii="宋体" w:hAnsi="宋体" w:eastAsia="宋体"/>
          <w:color w:val="auto"/>
          <w:szCs w:val="21"/>
          <w:highlight w:val="none"/>
          <w:u w:val="single"/>
        </w:rPr>
        <w:t xml:space="preserve">                       </w:t>
      </w:r>
    </w:p>
    <w:tbl>
      <w:tblPr>
        <w:tblStyle w:val="46"/>
        <w:tblW w:w="84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24"/>
        <w:gridCol w:w="1581"/>
        <w:gridCol w:w="1605"/>
        <w:gridCol w:w="1380"/>
        <w:gridCol w:w="1683"/>
        <w:gridCol w:w="1349"/>
      </w:tblGrid>
      <w:tr w14:paraId="76497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43" w:hRule="atLeast"/>
          <w:jc w:val="center"/>
        </w:trPr>
        <w:tc>
          <w:tcPr>
            <w:tcW w:w="824" w:type="dxa"/>
            <w:vAlign w:val="center"/>
          </w:tcPr>
          <w:p w14:paraId="61E34B1F">
            <w:pPr>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序号</w:t>
            </w:r>
          </w:p>
        </w:tc>
        <w:tc>
          <w:tcPr>
            <w:tcW w:w="1581" w:type="dxa"/>
            <w:vAlign w:val="center"/>
          </w:tcPr>
          <w:p w14:paraId="67C5E237">
            <w:pPr>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项目费用名称</w:t>
            </w:r>
          </w:p>
        </w:tc>
        <w:tc>
          <w:tcPr>
            <w:tcW w:w="1605" w:type="dxa"/>
            <w:vAlign w:val="center"/>
          </w:tcPr>
          <w:p w14:paraId="2D844A3F">
            <w:pPr>
              <w:jc w:val="center"/>
              <w:rPr>
                <w:rFonts w:ascii="宋体" w:hAnsi="宋体" w:eastAsia="宋体" w:cs="宋体"/>
                <w:b/>
                <w:bCs/>
                <w:color w:val="auto"/>
                <w:szCs w:val="21"/>
                <w:highlight w:val="none"/>
              </w:rPr>
            </w:pPr>
            <w:r>
              <w:rPr>
                <w:rFonts w:hint="eastAsia" w:ascii="宋体" w:hAnsi="宋体" w:eastAsia="宋体"/>
                <w:b/>
                <w:bCs/>
                <w:color w:val="auto"/>
                <w:szCs w:val="21"/>
                <w:highlight w:val="none"/>
              </w:rPr>
              <w:t>最高投标限价</w:t>
            </w:r>
            <w:r>
              <w:rPr>
                <w:rFonts w:hint="eastAsia" w:ascii="宋体" w:hAnsi="宋体" w:eastAsia="宋体" w:cs="宋体"/>
                <w:b/>
                <w:bCs/>
                <w:color w:val="auto"/>
                <w:szCs w:val="21"/>
                <w:highlight w:val="none"/>
              </w:rPr>
              <w:t>（元）</w:t>
            </w:r>
          </w:p>
        </w:tc>
        <w:tc>
          <w:tcPr>
            <w:tcW w:w="1380" w:type="dxa"/>
            <w:vAlign w:val="center"/>
          </w:tcPr>
          <w:p w14:paraId="47212CCD">
            <w:pPr>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投标下浮率</w:t>
            </w:r>
          </w:p>
        </w:tc>
        <w:tc>
          <w:tcPr>
            <w:tcW w:w="1683" w:type="dxa"/>
            <w:vAlign w:val="center"/>
          </w:tcPr>
          <w:p w14:paraId="5EC08D1C">
            <w:pPr>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投标报价（元）</w:t>
            </w:r>
          </w:p>
          <w:p w14:paraId="1BF266CE">
            <w:pPr>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（下浮后费用）</w:t>
            </w:r>
          </w:p>
        </w:tc>
        <w:tc>
          <w:tcPr>
            <w:tcW w:w="1349" w:type="dxa"/>
            <w:vAlign w:val="center"/>
          </w:tcPr>
          <w:p w14:paraId="3D5EBB70">
            <w:pPr>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备注</w:t>
            </w:r>
          </w:p>
        </w:tc>
      </w:tr>
      <w:tr w14:paraId="4A762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72" w:hRule="atLeast"/>
          <w:jc w:val="center"/>
        </w:trPr>
        <w:tc>
          <w:tcPr>
            <w:tcW w:w="824" w:type="dxa"/>
            <w:vAlign w:val="center"/>
          </w:tcPr>
          <w:p w14:paraId="7CBD381A">
            <w:pPr>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1</w:t>
            </w:r>
          </w:p>
        </w:tc>
        <w:tc>
          <w:tcPr>
            <w:tcW w:w="1581" w:type="dxa"/>
            <w:vAlign w:val="center"/>
          </w:tcPr>
          <w:p w14:paraId="021E46A5">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勘察费</w:t>
            </w:r>
          </w:p>
        </w:tc>
        <w:tc>
          <w:tcPr>
            <w:tcW w:w="1605" w:type="dxa"/>
            <w:vAlign w:val="center"/>
          </w:tcPr>
          <w:p w14:paraId="5E88CB88">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1946</w:t>
            </w:r>
            <w:r>
              <w:rPr>
                <w:rFonts w:hint="default" w:ascii="宋体" w:hAnsi="宋体" w:eastAsia="宋体" w:cs="宋体"/>
                <w:color w:val="auto"/>
                <w:szCs w:val="21"/>
                <w:highlight w:val="none"/>
                <w:lang w:val="en-US" w:eastAsia="zh-CN"/>
              </w:rPr>
              <w:t>048</w:t>
            </w:r>
            <w:r>
              <w:rPr>
                <w:rFonts w:hint="eastAsia" w:ascii="宋体" w:hAnsi="宋体" w:eastAsia="宋体" w:cs="宋体"/>
                <w:color w:val="auto"/>
                <w:szCs w:val="21"/>
                <w:highlight w:val="none"/>
                <w:lang w:val="en-US" w:eastAsia="zh-CN"/>
              </w:rPr>
              <w:t>.</w:t>
            </w:r>
            <w:r>
              <w:rPr>
                <w:rFonts w:hint="default" w:ascii="宋体" w:hAnsi="宋体" w:eastAsia="宋体" w:cs="宋体"/>
                <w:color w:val="auto"/>
                <w:szCs w:val="21"/>
                <w:highlight w:val="none"/>
                <w:lang w:val="en-US" w:eastAsia="zh-CN"/>
              </w:rPr>
              <w:t>96</w:t>
            </w:r>
          </w:p>
        </w:tc>
        <w:tc>
          <w:tcPr>
            <w:tcW w:w="1380" w:type="dxa"/>
            <w:vMerge w:val="restart"/>
            <w:vAlign w:val="center"/>
          </w:tcPr>
          <w:p w14:paraId="40F504F6">
            <w:pPr>
              <w:ind w:firstLine="420" w:firstLineChars="200"/>
              <w:rPr>
                <w:rFonts w:ascii="宋体" w:hAnsi="宋体" w:eastAsia="宋体" w:cs="宋体"/>
                <w:bCs/>
                <w:color w:val="auto"/>
                <w:szCs w:val="21"/>
                <w:highlight w:val="none"/>
                <w:u w:val="single"/>
              </w:rPr>
            </w:pP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w:t>
            </w:r>
          </w:p>
        </w:tc>
        <w:tc>
          <w:tcPr>
            <w:tcW w:w="1683" w:type="dxa"/>
            <w:vAlign w:val="center"/>
          </w:tcPr>
          <w:p w14:paraId="12CC3912">
            <w:pPr>
              <w:jc w:val="center"/>
              <w:rPr>
                <w:rFonts w:hint="eastAsia" w:ascii="宋体" w:hAnsi="宋体" w:eastAsia="宋体" w:cs="宋体"/>
                <w:bCs/>
                <w:color w:val="auto"/>
                <w:szCs w:val="21"/>
                <w:highlight w:val="none"/>
                <w:lang w:val="en-US" w:eastAsia="zh-CN"/>
              </w:rPr>
            </w:pPr>
          </w:p>
        </w:tc>
        <w:tc>
          <w:tcPr>
            <w:tcW w:w="1349" w:type="dxa"/>
            <w:vMerge w:val="restart"/>
            <w:vAlign w:val="center"/>
          </w:tcPr>
          <w:p w14:paraId="3FB62A00">
            <w:pPr>
              <w:jc w:val="center"/>
              <w:rPr>
                <w:rFonts w:ascii="宋体" w:hAnsi="宋体" w:eastAsia="宋体" w:cs="宋体"/>
                <w:bCs/>
                <w:color w:val="auto"/>
                <w:szCs w:val="21"/>
                <w:highlight w:val="none"/>
              </w:rPr>
            </w:pPr>
            <w:r>
              <w:rPr>
                <w:rFonts w:hint="eastAsia" w:ascii="宋体" w:hAnsi="宋体" w:eastAsia="宋体" w:cs="宋体"/>
                <w:color w:val="auto"/>
                <w:szCs w:val="21"/>
                <w:highlight w:val="none"/>
              </w:rPr>
              <w:t>投标下浮率=</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1-（勘察费投标报价/勘察费最高投标限价）</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×100%</w:t>
            </w:r>
          </w:p>
        </w:tc>
      </w:tr>
      <w:tr w14:paraId="0F54A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72" w:hRule="atLeast"/>
          <w:jc w:val="center"/>
        </w:trPr>
        <w:tc>
          <w:tcPr>
            <w:tcW w:w="824" w:type="dxa"/>
            <w:vAlign w:val="center"/>
          </w:tcPr>
          <w:p w14:paraId="30C07126">
            <w:pPr>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1.1</w:t>
            </w:r>
          </w:p>
        </w:tc>
        <w:tc>
          <w:tcPr>
            <w:tcW w:w="1581" w:type="dxa"/>
            <w:vAlign w:val="center"/>
          </w:tcPr>
          <w:p w14:paraId="61C18B3B">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勘探费</w:t>
            </w:r>
          </w:p>
        </w:tc>
        <w:tc>
          <w:tcPr>
            <w:tcW w:w="1605" w:type="dxa"/>
            <w:vAlign w:val="center"/>
          </w:tcPr>
          <w:p w14:paraId="59073AC3">
            <w:pPr>
              <w:jc w:val="center"/>
              <w:rPr>
                <w:rFonts w:hint="default"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1555000.00</w:t>
            </w:r>
          </w:p>
        </w:tc>
        <w:tc>
          <w:tcPr>
            <w:tcW w:w="1380" w:type="dxa"/>
            <w:vMerge w:val="continue"/>
            <w:vAlign w:val="center"/>
          </w:tcPr>
          <w:p w14:paraId="05662D00">
            <w:pPr>
              <w:ind w:firstLine="420" w:firstLineChars="200"/>
              <w:rPr>
                <w:rFonts w:ascii="宋体" w:hAnsi="宋体" w:eastAsia="宋体" w:cs="宋体"/>
                <w:bCs/>
                <w:color w:val="auto"/>
                <w:szCs w:val="21"/>
                <w:highlight w:val="none"/>
                <w:u w:val="single"/>
              </w:rPr>
            </w:pPr>
          </w:p>
        </w:tc>
        <w:tc>
          <w:tcPr>
            <w:tcW w:w="1683" w:type="dxa"/>
            <w:vAlign w:val="center"/>
          </w:tcPr>
          <w:p w14:paraId="3BD90A87">
            <w:pPr>
              <w:jc w:val="center"/>
              <w:rPr>
                <w:rFonts w:ascii="宋体" w:hAnsi="宋体" w:eastAsia="宋体" w:cs="宋体"/>
                <w:bCs/>
                <w:color w:val="auto"/>
                <w:szCs w:val="21"/>
                <w:highlight w:val="none"/>
              </w:rPr>
            </w:pPr>
          </w:p>
        </w:tc>
        <w:tc>
          <w:tcPr>
            <w:tcW w:w="1349" w:type="dxa"/>
            <w:vMerge w:val="continue"/>
            <w:vAlign w:val="center"/>
          </w:tcPr>
          <w:p w14:paraId="1075B95C">
            <w:pPr>
              <w:jc w:val="center"/>
              <w:rPr>
                <w:rFonts w:ascii="宋体" w:hAnsi="宋体" w:eastAsia="宋体" w:cs="宋体"/>
                <w:color w:val="auto"/>
                <w:szCs w:val="21"/>
                <w:highlight w:val="none"/>
              </w:rPr>
            </w:pPr>
          </w:p>
        </w:tc>
      </w:tr>
      <w:tr w14:paraId="30ED1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72" w:hRule="atLeast"/>
          <w:jc w:val="center"/>
        </w:trPr>
        <w:tc>
          <w:tcPr>
            <w:tcW w:w="824" w:type="dxa"/>
            <w:vAlign w:val="center"/>
          </w:tcPr>
          <w:p w14:paraId="3DF7A4B6">
            <w:pPr>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1.2</w:t>
            </w:r>
          </w:p>
        </w:tc>
        <w:tc>
          <w:tcPr>
            <w:tcW w:w="1581" w:type="dxa"/>
            <w:vAlign w:val="center"/>
          </w:tcPr>
          <w:p w14:paraId="6076B4B4">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测量费</w:t>
            </w:r>
          </w:p>
        </w:tc>
        <w:tc>
          <w:tcPr>
            <w:tcW w:w="1605" w:type="dxa"/>
            <w:vAlign w:val="center"/>
          </w:tcPr>
          <w:p w14:paraId="44FF4E62">
            <w:pPr>
              <w:jc w:val="center"/>
              <w:rPr>
                <w:rFonts w:hint="eastAsia" w:ascii="宋体" w:hAnsi="宋体" w:eastAsia="宋体" w:cs="宋体"/>
                <w:color w:val="auto"/>
                <w:szCs w:val="21"/>
                <w:highlight w:val="none"/>
              </w:rPr>
            </w:pPr>
            <w:r>
              <w:rPr>
                <w:rFonts w:hint="default" w:ascii="宋体" w:hAnsi="宋体" w:eastAsia="宋体" w:cs="宋体"/>
                <w:color w:val="auto"/>
                <w:szCs w:val="21"/>
                <w:highlight w:val="none"/>
                <w:lang w:val="en-US" w:eastAsia="zh-CN"/>
              </w:rPr>
              <w:t>391048</w:t>
            </w:r>
            <w:r>
              <w:rPr>
                <w:rFonts w:hint="eastAsia" w:ascii="宋体" w:hAnsi="宋体" w:eastAsia="宋体" w:cs="宋体"/>
                <w:color w:val="auto"/>
                <w:szCs w:val="21"/>
                <w:highlight w:val="none"/>
                <w:lang w:val="en-US" w:eastAsia="zh-CN"/>
              </w:rPr>
              <w:t>.</w:t>
            </w:r>
            <w:r>
              <w:rPr>
                <w:rFonts w:hint="default" w:ascii="宋体" w:hAnsi="宋体" w:eastAsia="宋体" w:cs="宋体"/>
                <w:color w:val="auto"/>
                <w:szCs w:val="21"/>
                <w:highlight w:val="none"/>
                <w:lang w:val="en-US" w:eastAsia="zh-CN"/>
              </w:rPr>
              <w:t>96</w:t>
            </w:r>
          </w:p>
        </w:tc>
        <w:tc>
          <w:tcPr>
            <w:tcW w:w="1380" w:type="dxa"/>
            <w:vMerge w:val="continue"/>
            <w:vAlign w:val="center"/>
          </w:tcPr>
          <w:p w14:paraId="116EDC26">
            <w:pPr>
              <w:ind w:firstLine="420" w:firstLineChars="200"/>
              <w:rPr>
                <w:rFonts w:ascii="宋体" w:hAnsi="宋体" w:eastAsia="宋体" w:cs="宋体"/>
                <w:bCs/>
                <w:color w:val="auto"/>
                <w:szCs w:val="21"/>
                <w:highlight w:val="none"/>
                <w:u w:val="single"/>
              </w:rPr>
            </w:pPr>
          </w:p>
        </w:tc>
        <w:tc>
          <w:tcPr>
            <w:tcW w:w="1683" w:type="dxa"/>
            <w:vAlign w:val="center"/>
          </w:tcPr>
          <w:p w14:paraId="65004969">
            <w:pPr>
              <w:jc w:val="center"/>
              <w:rPr>
                <w:rFonts w:hint="eastAsia" w:ascii="宋体" w:hAnsi="宋体" w:eastAsia="宋体" w:cs="宋体"/>
                <w:bCs/>
                <w:color w:val="auto"/>
                <w:szCs w:val="21"/>
                <w:highlight w:val="none"/>
                <w:lang w:val="en-US" w:eastAsia="zh-CN"/>
              </w:rPr>
            </w:pPr>
          </w:p>
        </w:tc>
        <w:tc>
          <w:tcPr>
            <w:tcW w:w="1349" w:type="dxa"/>
            <w:vMerge w:val="continue"/>
            <w:vAlign w:val="center"/>
          </w:tcPr>
          <w:p w14:paraId="570D3668">
            <w:pPr>
              <w:jc w:val="center"/>
              <w:rPr>
                <w:rFonts w:ascii="宋体" w:hAnsi="宋体" w:eastAsia="宋体" w:cs="宋体"/>
                <w:color w:val="auto"/>
                <w:szCs w:val="21"/>
                <w:highlight w:val="none"/>
              </w:rPr>
            </w:pPr>
          </w:p>
        </w:tc>
      </w:tr>
      <w:tr w14:paraId="7679E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0" w:hRule="atLeast"/>
          <w:jc w:val="center"/>
        </w:trPr>
        <w:tc>
          <w:tcPr>
            <w:tcW w:w="824" w:type="dxa"/>
            <w:vAlign w:val="center"/>
          </w:tcPr>
          <w:p w14:paraId="12BA2CB8">
            <w:pPr>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2</w:t>
            </w:r>
          </w:p>
        </w:tc>
        <w:tc>
          <w:tcPr>
            <w:tcW w:w="1581" w:type="dxa"/>
            <w:vAlign w:val="center"/>
          </w:tcPr>
          <w:p w14:paraId="0B524CBD">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设计费</w:t>
            </w:r>
          </w:p>
        </w:tc>
        <w:tc>
          <w:tcPr>
            <w:tcW w:w="1605" w:type="dxa"/>
            <w:vAlign w:val="center"/>
          </w:tcPr>
          <w:p w14:paraId="6F56A37B">
            <w:pPr>
              <w:jc w:val="center"/>
              <w:rPr>
                <w:rFonts w:hint="default"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4632827.70</w:t>
            </w:r>
          </w:p>
        </w:tc>
        <w:tc>
          <w:tcPr>
            <w:tcW w:w="1380" w:type="dxa"/>
            <w:vAlign w:val="center"/>
          </w:tcPr>
          <w:p w14:paraId="69CAA80E">
            <w:pPr>
              <w:ind w:firstLine="420" w:firstLineChars="200"/>
              <w:rPr>
                <w:rFonts w:ascii="宋体" w:hAnsi="宋体" w:eastAsia="宋体" w:cs="宋体"/>
                <w:bCs/>
                <w:color w:val="auto"/>
                <w:szCs w:val="21"/>
                <w:highlight w:val="none"/>
                <w:u w:val="single"/>
              </w:rPr>
            </w:pP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w:t>
            </w:r>
          </w:p>
        </w:tc>
        <w:tc>
          <w:tcPr>
            <w:tcW w:w="1683" w:type="dxa"/>
            <w:vAlign w:val="center"/>
          </w:tcPr>
          <w:p w14:paraId="1E9E2363">
            <w:pPr>
              <w:jc w:val="center"/>
              <w:rPr>
                <w:rFonts w:ascii="宋体" w:hAnsi="宋体" w:eastAsia="宋体" w:cs="宋体"/>
                <w:bCs/>
                <w:color w:val="auto"/>
                <w:szCs w:val="21"/>
                <w:highlight w:val="none"/>
              </w:rPr>
            </w:pPr>
          </w:p>
        </w:tc>
        <w:tc>
          <w:tcPr>
            <w:tcW w:w="1349" w:type="dxa"/>
            <w:vAlign w:val="center"/>
          </w:tcPr>
          <w:p w14:paraId="33C061EF">
            <w:pPr>
              <w:jc w:val="center"/>
              <w:rPr>
                <w:rFonts w:ascii="宋体" w:hAnsi="宋体" w:eastAsia="宋体" w:cs="宋体"/>
                <w:bCs/>
                <w:color w:val="auto"/>
                <w:szCs w:val="21"/>
                <w:highlight w:val="none"/>
              </w:rPr>
            </w:pPr>
            <w:r>
              <w:rPr>
                <w:rFonts w:hint="eastAsia" w:ascii="宋体" w:hAnsi="宋体" w:eastAsia="宋体" w:cs="宋体"/>
                <w:color w:val="auto"/>
                <w:szCs w:val="21"/>
                <w:highlight w:val="none"/>
              </w:rPr>
              <w:t>投标下浮率=</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1-（设计费投标报价/设计费最高投标限价）</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×100%</w:t>
            </w:r>
          </w:p>
        </w:tc>
      </w:tr>
      <w:tr w14:paraId="4E774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2" w:hRule="atLeast"/>
          <w:jc w:val="center"/>
        </w:trPr>
        <w:tc>
          <w:tcPr>
            <w:tcW w:w="2405" w:type="dxa"/>
            <w:gridSpan w:val="2"/>
            <w:vAlign w:val="center"/>
          </w:tcPr>
          <w:p w14:paraId="3D9C77B9">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合计</w:t>
            </w:r>
          </w:p>
        </w:tc>
        <w:tc>
          <w:tcPr>
            <w:tcW w:w="1605" w:type="dxa"/>
            <w:vAlign w:val="center"/>
          </w:tcPr>
          <w:p w14:paraId="36A9D072">
            <w:pPr>
              <w:jc w:val="center"/>
              <w:rPr>
                <w:rFonts w:hint="eastAsia" w:ascii="宋体" w:hAnsi="宋体" w:eastAsia="宋体" w:cs="宋体"/>
                <w:color w:val="auto"/>
                <w:szCs w:val="21"/>
                <w:highlight w:val="none"/>
              </w:rPr>
            </w:pPr>
            <w:r>
              <w:rPr>
                <w:rFonts w:hint="default" w:ascii="宋体" w:hAnsi="宋体" w:eastAsia="宋体" w:cs="宋体"/>
                <w:color w:val="auto"/>
                <w:szCs w:val="21"/>
                <w:highlight w:val="none"/>
                <w:lang w:val="en-US" w:eastAsia="zh-CN"/>
              </w:rPr>
              <w:t>6</w:t>
            </w:r>
            <w:r>
              <w:rPr>
                <w:rFonts w:hint="eastAsia" w:ascii="宋体" w:hAnsi="宋体" w:eastAsia="宋体" w:cs="宋体"/>
                <w:color w:val="auto"/>
                <w:szCs w:val="21"/>
                <w:highlight w:val="none"/>
                <w:lang w:val="en-US" w:eastAsia="zh-CN"/>
              </w:rPr>
              <w:t>57</w:t>
            </w:r>
            <w:r>
              <w:rPr>
                <w:rFonts w:hint="default" w:ascii="宋体" w:hAnsi="宋体" w:eastAsia="宋体" w:cs="宋体"/>
                <w:color w:val="auto"/>
                <w:szCs w:val="21"/>
                <w:highlight w:val="none"/>
                <w:lang w:val="en-US" w:eastAsia="zh-CN"/>
              </w:rPr>
              <w:t>8876</w:t>
            </w:r>
            <w:r>
              <w:rPr>
                <w:rFonts w:hint="eastAsia" w:ascii="宋体" w:hAnsi="宋体" w:eastAsia="宋体" w:cs="宋体"/>
                <w:color w:val="auto"/>
                <w:szCs w:val="21"/>
                <w:highlight w:val="none"/>
                <w:lang w:val="en-US" w:eastAsia="zh-CN"/>
              </w:rPr>
              <w:t>.</w:t>
            </w:r>
            <w:r>
              <w:rPr>
                <w:rFonts w:hint="default" w:ascii="宋体" w:hAnsi="宋体" w:eastAsia="宋体" w:cs="宋体"/>
                <w:color w:val="auto"/>
                <w:szCs w:val="21"/>
                <w:highlight w:val="none"/>
                <w:lang w:val="en-US" w:eastAsia="zh-CN"/>
              </w:rPr>
              <w:t>66</w:t>
            </w:r>
          </w:p>
        </w:tc>
        <w:tc>
          <w:tcPr>
            <w:tcW w:w="1380" w:type="dxa"/>
            <w:vAlign w:val="center"/>
          </w:tcPr>
          <w:p w14:paraId="2BAE6FE5">
            <w:pPr>
              <w:jc w:val="center"/>
              <w:rPr>
                <w:rFonts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83" w:type="dxa"/>
            <w:vAlign w:val="center"/>
          </w:tcPr>
          <w:p w14:paraId="5E076CCC">
            <w:pPr>
              <w:jc w:val="center"/>
              <w:rPr>
                <w:rFonts w:ascii="宋体" w:hAnsi="宋体" w:eastAsia="宋体" w:cs="宋体"/>
                <w:color w:val="auto"/>
                <w:szCs w:val="21"/>
                <w:highlight w:val="none"/>
              </w:rPr>
            </w:pPr>
          </w:p>
        </w:tc>
        <w:tc>
          <w:tcPr>
            <w:tcW w:w="1349" w:type="dxa"/>
            <w:vAlign w:val="center"/>
          </w:tcPr>
          <w:p w14:paraId="5DE5A852">
            <w:pPr>
              <w:jc w:val="center"/>
              <w:rPr>
                <w:rFonts w:ascii="宋体" w:hAnsi="宋体" w:eastAsia="宋体" w:cs="宋体"/>
                <w:color w:val="auto"/>
                <w:szCs w:val="21"/>
                <w:highlight w:val="none"/>
              </w:rPr>
            </w:pPr>
            <w:r>
              <w:rPr>
                <w:rFonts w:hint="eastAsia" w:ascii="宋体" w:hAnsi="宋体" w:eastAsia="宋体" w:cs="宋体"/>
                <w:color w:val="auto"/>
                <w:szCs w:val="21"/>
                <w:highlight w:val="none"/>
              </w:rPr>
              <w:t>投标总报价=勘察费投标报价+设计费投标报价</w:t>
            </w:r>
          </w:p>
        </w:tc>
      </w:tr>
    </w:tbl>
    <w:p w14:paraId="50D0E31F">
      <w:pPr>
        <w:rPr>
          <w:rFonts w:ascii="宋体" w:hAnsi="宋体" w:eastAsia="宋体" w:cs="宋体"/>
          <w:color w:val="auto"/>
          <w:szCs w:val="21"/>
          <w:highlight w:val="none"/>
        </w:rPr>
      </w:pPr>
      <w:r>
        <w:rPr>
          <w:rFonts w:hint="eastAsia" w:ascii="宋体" w:hAnsi="宋体" w:eastAsia="宋体" w:cs="宋体"/>
          <w:color w:val="auto"/>
          <w:szCs w:val="21"/>
          <w:highlight w:val="none"/>
        </w:rPr>
        <w:t>注：1、投标报价填报保留到小数点后2位。</w:t>
      </w:r>
    </w:p>
    <w:p w14:paraId="78A5EC5B">
      <w:pPr>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2、勘察费投标下浮率 =（1-勘察费报价/勘察费最高投标限价）×100%；设计费投标下浮率 =（1-设计费报价/设计费最高投标限价）×100%</w:t>
      </w:r>
    </w:p>
    <w:p w14:paraId="106965EF">
      <w:pPr>
        <w:ind w:firstLine="420" w:firstLineChars="200"/>
        <w:rPr>
          <w:rFonts w:ascii="宋体" w:hAnsi="宋体" w:eastAsia="宋体" w:cs="宋体"/>
          <w:bCs/>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zh-CN"/>
        </w:rPr>
        <w:t>投标下浮率以百分比为单位，如出现小数点时，保留小数点后</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val="zh-CN"/>
        </w:rPr>
        <w:t>位。</w:t>
      </w:r>
      <w:r>
        <w:rPr>
          <w:rFonts w:hint="eastAsia" w:ascii="宋体" w:hAnsi="宋体" w:eastAsia="宋体" w:cs="宋体"/>
          <w:color w:val="auto"/>
          <w:szCs w:val="21"/>
          <w:highlight w:val="none"/>
        </w:rPr>
        <w:t>投标报价与投标下浮率不符时，以投标下浮率为准修正总价。</w:t>
      </w:r>
    </w:p>
    <w:p w14:paraId="36783381">
      <w:pPr>
        <w:spacing w:line="366" w:lineRule="exact"/>
        <w:rPr>
          <w:rFonts w:ascii="宋体" w:hAnsi="宋体" w:eastAsia="宋体"/>
          <w:color w:val="auto"/>
          <w:szCs w:val="21"/>
          <w:highlight w:val="none"/>
        </w:rPr>
      </w:pPr>
    </w:p>
    <w:p w14:paraId="3C5C9FC0">
      <w:pPr>
        <w:spacing w:line="366" w:lineRule="exact"/>
        <w:rPr>
          <w:rFonts w:ascii="宋体" w:hAnsi="宋体" w:eastAsia="宋体"/>
          <w:color w:val="auto"/>
          <w:szCs w:val="21"/>
          <w:highlight w:val="none"/>
        </w:rPr>
      </w:pPr>
      <w:r>
        <w:rPr>
          <w:rFonts w:hint="eastAsia" w:ascii="宋体" w:hAnsi="宋体" w:eastAsia="宋体"/>
          <w:color w:val="auto"/>
          <w:szCs w:val="21"/>
          <w:highlight w:val="none"/>
        </w:rPr>
        <w:t>附表：</w:t>
      </w:r>
    </w:p>
    <w:p w14:paraId="486951F4">
      <w:pPr>
        <w:spacing w:line="366" w:lineRule="exact"/>
        <w:rPr>
          <w:rFonts w:ascii="宋体" w:hAnsi="宋体" w:eastAsia="宋体"/>
          <w:color w:val="auto"/>
          <w:szCs w:val="21"/>
          <w:highlight w:val="none"/>
        </w:rPr>
      </w:pPr>
      <w:r>
        <w:rPr>
          <w:rFonts w:hint="eastAsia" w:ascii="宋体" w:hAnsi="宋体" w:eastAsia="宋体"/>
          <w:color w:val="auto"/>
          <w:szCs w:val="21"/>
          <w:highlight w:val="none"/>
        </w:rPr>
        <w:t>1、勘探费费用清单、测量费费用清单</w:t>
      </w:r>
    </w:p>
    <w:p w14:paraId="0B79E93E">
      <w:pPr>
        <w:spacing w:line="366" w:lineRule="exact"/>
        <w:rPr>
          <w:rFonts w:ascii="宋体" w:hAnsi="宋体" w:eastAsia="宋体"/>
          <w:color w:val="auto"/>
          <w:szCs w:val="21"/>
          <w:highlight w:val="none"/>
        </w:rPr>
      </w:pPr>
      <w:r>
        <w:rPr>
          <w:rFonts w:hint="eastAsia" w:ascii="宋体" w:hAnsi="宋体" w:eastAsia="宋体"/>
          <w:color w:val="auto"/>
          <w:szCs w:val="21"/>
          <w:highlight w:val="none"/>
        </w:rPr>
        <w:t>2、设计费用清单</w:t>
      </w:r>
    </w:p>
    <w:p w14:paraId="5EF59CB4">
      <w:pPr>
        <w:widowControl/>
        <w:jc w:val="left"/>
        <w:rPr>
          <w:rFonts w:ascii="宋体" w:hAnsi="宋体" w:eastAsia="宋体"/>
          <w:color w:val="auto"/>
          <w:sz w:val="24"/>
          <w:szCs w:val="24"/>
          <w:highlight w:val="none"/>
        </w:rPr>
      </w:pPr>
      <w:r>
        <w:rPr>
          <w:rFonts w:hint="eastAsia" w:ascii="宋体" w:hAnsi="宋体" w:eastAsia="宋体"/>
          <w:color w:val="auto"/>
          <w:sz w:val="24"/>
          <w:szCs w:val="24"/>
          <w:highlight w:val="none"/>
        </w:rPr>
        <w:br w:type="page"/>
      </w:r>
    </w:p>
    <w:p w14:paraId="0F89938A">
      <w:pPr>
        <w:autoSpaceDE w:val="0"/>
        <w:autoSpaceDN w:val="0"/>
        <w:adjustRightInd w:val="0"/>
        <w:spacing w:line="276" w:lineRule="auto"/>
        <w:ind w:left="284" w:hanging="284"/>
        <w:jc w:val="left"/>
        <w:outlineLvl w:val="4"/>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1-1 勘探费费用清单</w:t>
      </w:r>
    </w:p>
    <w:tbl>
      <w:tblPr>
        <w:tblStyle w:val="46"/>
        <w:tblW w:w="475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98"/>
        <w:gridCol w:w="1506"/>
        <w:gridCol w:w="2447"/>
        <w:gridCol w:w="1124"/>
        <w:gridCol w:w="2722"/>
      </w:tblGrid>
      <w:tr w14:paraId="3133F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6A8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23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11AB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勘探费</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307FA">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投标限价</w:t>
            </w:r>
          </w:p>
        </w:tc>
        <w:tc>
          <w:tcPr>
            <w:tcW w:w="1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DDB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备注</w:t>
            </w:r>
          </w:p>
        </w:tc>
      </w:tr>
      <w:tr w14:paraId="11CD5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D74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9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37C5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一般场地道路工程、房建工程</w:t>
            </w:r>
          </w:p>
        </w:tc>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69F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每米综合包干单价（元）</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040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c>
          <w:tcPr>
            <w:tcW w:w="1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1A612">
            <w:pPr>
              <w:jc w:val="center"/>
              <w:rPr>
                <w:rFonts w:hint="eastAsia" w:ascii="宋体" w:hAnsi="宋体" w:eastAsia="宋体" w:cs="宋体"/>
                <w:i w:val="0"/>
                <w:iCs w:val="0"/>
                <w:color w:val="auto"/>
                <w:sz w:val="21"/>
                <w:szCs w:val="21"/>
                <w:highlight w:val="none"/>
                <w:u w:val="none"/>
              </w:rPr>
            </w:pPr>
          </w:p>
        </w:tc>
      </w:tr>
      <w:tr w14:paraId="632A4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239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9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9E1E7C">
            <w:pPr>
              <w:jc w:val="center"/>
              <w:rPr>
                <w:rFonts w:hint="eastAsia" w:ascii="宋体" w:hAnsi="宋体" w:eastAsia="宋体" w:cs="宋体"/>
                <w:i w:val="0"/>
                <w:iCs w:val="0"/>
                <w:color w:val="auto"/>
                <w:sz w:val="21"/>
                <w:szCs w:val="21"/>
                <w:highlight w:val="none"/>
                <w:u w:val="none"/>
              </w:rPr>
            </w:pPr>
          </w:p>
        </w:tc>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625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暂定工程量（米）</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105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w:t>
            </w:r>
          </w:p>
        </w:tc>
        <w:tc>
          <w:tcPr>
            <w:tcW w:w="1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670FC">
            <w:pPr>
              <w:jc w:val="center"/>
              <w:rPr>
                <w:rFonts w:hint="eastAsia" w:ascii="宋体" w:hAnsi="宋体" w:eastAsia="宋体" w:cs="宋体"/>
                <w:i w:val="0"/>
                <w:iCs w:val="0"/>
                <w:color w:val="auto"/>
                <w:sz w:val="21"/>
                <w:szCs w:val="21"/>
                <w:highlight w:val="none"/>
                <w:u w:val="none"/>
              </w:rPr>
            </w:pPr>
          </w:p>
        </w:tc>
      </w:tr>
      <w:tr w14:paraId="0E56F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8E8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9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853ADE">
            <w:pPr>
              <w:jc w:val="center"/>
              <w:rPr>
                <w:rFonts w:hint="eastAsia" w:ascii="宋体" w:hAnsi="宋体" w:eastAsia="宋体" w:cs="宋体"/>
                <w:i w:val="0"/>
                <w:iCs w:val="0"/>
                <w:color w:val="auto"/>
                <w:sz w:val="21"/>
                <w:szCs w:val="21"/>
                <w:highlight w:val="none"/>
                <w:u w:val="none"/>
              </w:rPr>
            </w:pPr>
          </w:p>
        </w:tc>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E8D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暂定勘探费（元）</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306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100000</w:t>
            </w:r>
          </w:p>
        </w:tc>
        <w:tc>
          <w:tcPr>
            <w:tcW w:w="1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C2C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3=1×2</w:t>
            </w:r>
          </w:p>
        </w:tc>
      </w:tr>
      <w:tr w14:paraId="0D704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A0E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9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C00D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山上道路工程、房建工程</w:t>
            </w:r>
          </w:p>
        </w:tc>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E86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每米综合包干单价（元）</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CF0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w:t>
            </w:r>
          </w:p>
        </w:tc>
        <w:tc>
          <w:tcPr>
            <w:tcW w:w="1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5F5C4">
            <w:pPr>
              <w:jc w:val="center"/>
              <w:rPr>
                <w:rFonts w:hint="eastAsia" w:ascii="宋体" w:hAnsi="宋体" w:eastAsia="宋体" w:cs="宋体"/>
                <w:i w:val="0"/>
                <w:iCs w:val="0"/>
                <w:color w:val="auto"/>
                <w:sz w:val="21"/>
                <w:szCs w:val="21"/>
                <w:highlight w:val="none"/>
                <w:u w:val="none"/>
              </w:rPr>
            </w:pPr>
          </w:p>
        </w:tc>
      </w:tr>
      <w:tr w14:paraId="4FF0F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8C8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9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4AE030">
            <w:pPr>
              <w:jc w:val="center"/>
              <w:rPr>
                <w:rFonts w:hint="eastAsia" w:ascii="宋体" w:hAnsi="宋体" w:eastAsia="宋体" w:cs="宋体"/>
                <w:i w:val="0"/>
                <w:iCs w:val="0"/>
                <w:color w:val="auto"/>
                <w:sz w:val="21"/>
                <w:szCs w:val="21"/>
                <w:highlight w:val="none"/>
                <w:u w:val="none"/>
              </w:rPr>
            </w:pPr>
          </w:p>
        </w:tc>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2CE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暂定工程量（米）</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F2E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1700</w:t>
            </w:r>
          </w:p>
        </w:tc>
        <w:tc>
          <w:tcPr>
            <w:tcW w:w="1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E9230">
            <w:pPr>
              <w:jc w:val="center"/>
              <w:rPr>
                <w:rFonts w:hint="eastAsia" w:ascii="宋体" w:hAnsi="宋体" w:eastAsia="宋体" w:cs="宋体"/>
                <w:i w:val="0"/>
                <w:iCs w:val="0"/>
                <w:color w:val="auto"/>
                <w:sz w:val="21"/>
                <w:szCs w:val="21"/>
                <w:highlight w:val="none"/>
                <w:u w:val="none"/>
              </w:rPr>
            </w:pPr>
          </w:p>
        </w:tc>
      </w:tr>
      <w:tr w14:paraId="4A904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30F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9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5E5E8">
            <w:pPr>
              <w:jc w:val="center"/>
              <w:rPr>
                <w:rFonts w:hint="eastAsia" w:ascii="宋体" w:hAnsi="宋体" w:eastAsia="宋体" w:cs="宋体"/>
                <w:i w:val="0"/>
                <w:iCs w:val="0"/>
                <w:color w:val="auto"/>
                <w:sz w:val="21"/>
                <w:szCs w:val="21"/>
                <w:highlight w:val="none"/>
                <w:u w:val="none"/>
              </w:rPr>
            </w:pPr>
          </w:p>
        </w:tc>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E24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暂定勘探费（元）</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565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510000</w:t>
            </w:r>
          </w:p>
        </w:tc>
        <w:tc>
          <w:tcPr>
            <w:tcW w:w="1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B91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6=4×5</w:t>
            </w:r>
          </w:p>
        </w:tc>
      </w:tr>
      <w:tr w14:paraId="5386D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170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9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1A47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水上道路工程</w:t>
            </w:r>
          </w:p>
        </w:tc>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563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每米综合包干单价（元）</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449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w:t>
            </w:r>
          </w:p>
        </w:tc>
        <w:tc>
          <w:tcPr>
            <w:tcW w:w="1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79A72">
            <w:pPr>
              <w:jc w:val="center"/>
              <w:rPr>
                <w:rFonts w:hint="eastAsia" w:ascii="宋体" w:hAnsi="宋体" w:eastAsia="宋体" w:cs="宋体"/>
                <w:i w:val="0"/>
                <w:iCs w:val="0"/>
                <w:color w:val="auto"/>
                <w:sz w:val="21"/>
                <w:szCs w:val="21"/>
                <w:highlight w:val="none"/>
                <w:u w:val="none"/>
              </w:rPr>
            </w:pPr>
          </w:p>
        </w:tc>
      </w:tr>
      <w:tr w14:paraId="1013D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1CF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9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B1619">
            <w:pPr>
              <w:jc w:val="center"/>
              <w:rPr>
                <w:rFonts w:hint="eastAsia" w:ascii="宋体" w:hAnsi="宋体" w:eastAsia="宋体" w:cs="宋体"/>
                <w:i w:val="0"/>
                <w:iCs w:val="0"/>
                <w:color w:val="auto"/>
                <w:sz w:val="21"/>
                <w:szCs w:val="21"/>
                <w:highlight w:val="none"/>
                <w:u w:val="none"/>
              </w:rPr>
            </w:pPr>
          </w:p>
        </w:tc>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F34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暂定工程量（米）</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889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w:t>
            </w:r>
          </w:p>
        </w:tc>
        <w:tc>
          <w:tcPr>
            <w:tcW w:w="1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8CE59">
            <w:pPr>
              <w:jc w:val="center"/>
              <w:rPr>
                <w:rFonts w:hint="eastAsia" w:ascii="宋体" w:hAnsi="宋体" w:eastAsia="宋体" w:cs="宋体"/>
                <w:i w:val="0"/>
                <w:iCs w:val="0"/>
                <w:color w:val="auto"/>
                <w:sz w:val="21"/>
                <w:szCs w:val="21"/>
                <w:highlight w:val="none"/>
                <w:u w:val="none"/>
              </w:rPr>
            </w:pPr>
          </w:p>
        </w:tc>
      </w:tr>
      <w:tr w14:paraId="19D30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857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9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55E09">
            <w:pPr>
              <w:jc w:val="center"/>
              <w:rPr>
                <w:rFonts w:hint="eastAsia" w:ascii="宋体" w:hAnsi="宋体" w:eastAsia="宋体" w:cs="宋体"/>
                <w:i w:val="0"/>
                <w:iCs w:val="0"/>
                <w:color w:val="auto"/>
                <w:sz w:val="21"/>
                <w:szCs w:val="21"/>
                <w:highlight w:val="none"/>
                <w:u w:val="none"/>
              </w:rPr>
            </w:pPr>
          </w:p>
        </w:tc>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3B2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暂定勘探费（元）</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687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w:t>
            </w:r>
          </w:p>
        </w:tc>
        <w:tc>
          <w:tcPr>
            <w:tcW w:w="1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7FB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9=7×8</w:t>
            </w:r>
          </w:p>
        </w:tc>
      </w:tr>
      <w:tr w14:paraId="13A98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3F0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9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869F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一般场地桥梁工程</w:t>
            </w:r>
          </w:p>
        </w:tc>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BEB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每米综合包干单价（元）</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661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350</w:t>
            </w:r>
          </w:p>
        </w:tc>
        <w:tc>
          <w:tcPr>
            <w:tcW w:w="1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23460">
            <w:pPr>
              <w:jc w:val="center"/>
              <w:rPr>
                <w:rFonts w:hint="eastAsia" w:ascii="宋体" w:hAnsi="宋体" w:eastAsia="宋体" w:cs="宋体"/>
                <w:i w:val="0"/>
                <w:iCs w:val="0"/>
                <w:color w:val="auto"/>
                <w:sz w:val="21"/>
                <w:szCs w:val="21"/>
                <w:highlight w:val="none"/>
                <w:u w:val="none"/>
              </w:rPr>
            </w:pPr>
          </w:p>
        </w:tc>
      </w:tr>
      <w:tr w14:paraId="6B67A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604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9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EEEFCF">
            <w:pPr>
              <w:jc w:val="center"/>
              <w:rPr>
                <w:rFonts w:hint="eastAsia" w:ascii="宋体" w:hAnsi="宋体" w:eastAsia="宋体" w:cs="宋体"/>
                <w:i w:val="0"/>
                <w:iCs w:val="0"/>
                <w:color w:val="auto"/>
                <w:sz w:val="21"/>
                <w:szCs w:val="21"/>
                <w:highlight w:val="none"/>
                <w:u w:val="none"/>
              </w:rPr>
            </w:pPr>
          </w:p>
        </w:tc>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F10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暂定工程量（米）</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8D0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000</w:t>
            </w:r>
          </w:p>
        </w:tc>
        <w:tc>
          <w:tcPr>
            <w:tcW w:w="1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E00F3">
            <w:pPr>
              <w:jc w:val="center"/>
              <w:rPr>
                <w:rFonts w:hint="eastAsia" w:ascii="宋体" w:hAnsi="宋体" w:eastAsia="宋体" w:cs="宋体"/>
                <w:i w:val="0"/>
                <w:iCs w:val="0"/>
                <w:color w:val="auto"/>
                <w:sz w:val="21"/>
                <w:szCs w:val="21"/>
                <w:highlight w:val="none"/>
                <w:u w:val="none"/>
              </w:rPr>
            </w:pPr>
          </w:p>
        </w:tc>
      </w:tr>
      <w:tr w14:paraId="1DAF0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6F2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9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299D0">
            <w:pPr>
              <w:jc w:val="center"/>
              <w:rPr>
                <w:rFonts w:hint="eastAsia" w:ascii="宋体" w:hAnsi="宋体" w:eastAsia="宋体" w:cs="宋体"/>
                <w:i w:val="0"/>
                <w:iCs w:val="0"/>
                <w:color w:val="auto"/>
                <w:sz w:val="21"/>
                <w:szCs w:val="21"/>
                <w:highlight w:val="none"/>
                <w:u w:val="none"/>
              </w:rPr>
            </w:pPr>
          </w:p>
        </w:tc>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BF3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暂定勘探费（元）</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468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70</w:t>
            </w:r>
            <w:r>
              <w:rPr>
                <w:rFonts w:hint="eastAsia" w:ascii="宋体" w:hAnsi="宋体" w:eastAsia="宋体" w:cs="宋体"/>
                <w:i w:val="0"/>
                <w:iCs w:val="0"/>
                <w:color w:val="auto"/>
                <w:kern w:val="0"/>
                <w:sz w:val="21"/>
                <w:szCs w:val="21"/>
                <w:highlight w:val="none"/>
                <w:u w:val="none"/>
                <w:lang w:val="en-US" w:eastAsia="zh-CN" w:bidi="ar"/>
              </w:rPr>
              <w:t>0000</w:t>
            </w:r>
          </w:p>
        </w:tc>
        <w:tc>
          <w:tcPr>
            <w:tcW w:w="1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6C6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12=10×11</w:t>
            </w:r>
          </w:p>
        </w:tc>
      </w:tr>
      <w:tr w14:paraId="67962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1A4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9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27FC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山上水上桥梁工程</w:t>
            </w:r>
          </w:p>
        </w:tc>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458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每米综合包干单价（元）</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600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490</w:t>
            </w:r>
          </w:p>
        </w:tc>
        <w:tc>
          <w:tcPr>
            <w:tcW w:w="1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E47E9">
            <w:pPr>
              <w:jc w:val="center"/>
              <w:rPr>
                <w:rFonts w:hint="eastAsia" w:ascii="宋体" w:hAnsi="宋体" w:eastAsia="宋体" w:cs="宋体"/>
                <w:i w:val="0"/>
                <w:iCs w:val="0"/>
                <w:color w:val="auto"/>
                <w:sz w:val="21"/>
                <w:szCs w:val="21"/>
                <w:highlight w:val="none"/>
                <w:u w:val="none"/>
              </w:rPr>
            </w:pPr>
          </w:p>
        </w:tc>
      </w:tr>
      <w:tr w14:paraId="5E597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B1D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9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7469F">
            <w:pPr>
              <w:jc w:val="center"/>
              <w:rPr>
                <w:rFonts w:hint="eastAsia" w:ascii="宋体" w:hAnsi="宋体" w:eastAsia="宋体" w:cs="宋体"/>
                <w:i w:val="0"/>
                <w:iCs w:val="0"/>
                <w:color w:val="auto"/>
                <w:sz w:val="21"/>
                <w:szCs w:val="21"/>
                <w:highlight w:val="none"/>
                <w:u w:val="none"/>
              </w:rPr>
            </w:pPr>
          </w:p>
        </w:tc>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7B6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暂定工程量（米）</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3C8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w:t>
            </w:r>
          </w:p>
        </w:tc>
        <w:tc>
          <w:tcPr>
            <w:tcW w:w="1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EC3D8">
            <w:pPr>
              <w:jc w:val="center"/>
              <w:rPr>
                <w:rFonts w:hint="eastAsia" w:ascii="宋体" w:hAnsi="宋体" w:eastAsia="宋体" w:cs="宋体"/>
                <w:i w:val="0"/>
                <w:iCs w:val="0"/>
                <w:color w:val="auto"/>
                <w:sz w:val="21"/>
                <w:szCs w:val="21"/>
                <w:highlight w:val="none"/>
                <w:u w:val="none"/>
              </w:rPr>
            </w:pPr>
          </w:p>
        </w:tc>
      </w:tr>
      <w:tr w14:paraId="7091D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913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9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4F6B9">
            <w:pPr>
              <w:jc w:val="center"/>
              <w:rPr>
                <w:rFonts w:hint="eastAsia" w:ascii="宋体" w:hAnsi="宋体" w:eastAsia="宋体" w:cs="宋体"/>
                <w:i w:val="0"/>
                <w:iCs w:val="0"/>
                <w:color w:val="auto"/>
                <w:sz w:val="21"/>
                <w:szCs w:val="21"/>
                <w:highlight w:val="none"/>
                <w:u w:val="none"/>
              </w:rPr>
            </w:pPr>
          </w:p>
        </w:tc>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2C6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暂定勘探费（元）</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C1F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245000</w:t>
            </w:r>
          </w:p>
        </w:tc>
        <w:tc>
          <w:tcPr>
            <w:tcW w:w="1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7A2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15=13×14</w:t>
            </w:r>
          </w:p>
        </w:tc>
      </w:tr>
      <w:tr w14:paraId="03518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845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931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跨江、河</w:t>
            </w:r>
          </w:p>
        </w:tc>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7B5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每米综合包干单价（元）</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A84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w:t>
            </w:r>
          </w:p>
        </w:tc>
        <w:tc>
          <w:tcPr>
            <w:tcW w:w="1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E78D5">
            <w:pPr>
              <w:jc w:val="center"/>
              <w:rPr>
                <w:rFonts w:hint="eastAsia" w:ascii="宋体" w:hAnsi="宋体" w:eastAsia="宋体" w:cs="宋体"/>
                <w:i w:val="0"/>
                <w:iCs w:val="0"/>
                <w:color w:val="auto"/>
                <w:sz w:val="21"/>
                <w:szCs w:val="21"/>
                <w:highlight w:val="none"/>
                <w:u w:val="none"/>
              </w:rPr>
            </w:pPr>
          </w:p>
        </w:tc>
      </w:tr>
      <w:tr w14:paraId="71A17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51C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CF5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桥梁工程</w:t>
            </w:r>
          </w:p>
        </w:tc>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A56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暂定工程量（米）</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FD9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w:t>
            </w:r>
          </w:p>
        </w:tc>
        <w:tc>
          <w:tcPr>
            <w:tcW w:w="1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D506B">
            <w:pPr>
              <w:jc w:val="center"/>
              <w:rPr>
                <w:rFonts w:hint="eastAsia" w:ascii="宋体" w:hAnsi="宋体" w:eastAsia="宋体" w:cs="宋体"/>
                <w:i w:val="0"/>
                <w:iCs w:val="0"/>
                <w:color w:val="auto"/>
                <w:sz w:val="21"/>
                <w:szCs w:val="21"/>
                <w:highlight w:val="none"/>
                <w:u w:val="none"/>
              </w:rPr>
            </w:pPr>
          </w:p>
        </w:tc>
      </w:tr>
      <w:tr w14:paraId="2EAB1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6B5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098EA">
            <w:pPr>
              <w:rPr>
                <w:rFonts w:hint="eastAsia" w:ascii="宋体" w:hAnsi="宋体" w:eastAsia="宋体" w:cs="宋体"/>
                <w:i w:val="0"/>
                <w:iCs w:val="0"/>
                <w:color w:val="auto"/>
                <w:sz w:val="24"/>
                <w:szCs w:val="24"/>
                <w:highlight w:val="none"/>
                <w:u w:val="none"/>
              </w:rPr>
            </w:pPr>
          </w:p>
        </w:tc>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0E8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暂定勘探费（元）</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1DC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w:t>
            </w:r>
          </w:p>
        </w:tc>
        <w:tc>
          <w:tcPr>
            <w:tcW w:w="1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C6E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18=16×17</w:t>
            </w:r>
          </w:p>
        </w:tc>
      </w:tr>
      <w:tr w14:paraId="76452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556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9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72F0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过山隧道工程</w:t>
            </w:r>
          </w:p>
        </w:tc>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4F100">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每米综合包干单价（元）</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615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w:t>
            </w:r>
          </w:p>
        </w:tc>
        <w:tc>
          <w:tcPr>
            <w:tcW w:w="1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1BBDA">
            <w:pPr>
              <w:jc w:val="center"/>
              <w:rPr>
                <w:rFonts w:hint="eastAsia" w:ascii="宋体" w:hAnsi="宋体" w:eastAsia="宋体" w:cs="宋体"/>
                <w:i w:val="0"/>
                <w:iCs w:val="0"/>
                <w:color w:val="auto"/>
                <w:sz w:val="21"/>
                <w:szCs w:val="21"/>
                <w:highlight w:val="none"/>
                <w:u w:val="none"/>
              </w:rPr>
            </w:pPr>
          </w:p>
        </w:tc>
      </w:tr>
      <w:tr w14:paraId="3CC09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0D9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9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1301B6">
            <w:pPr>
              <w:jc w:val="center"/>
              <w:rPr>
                <w:rFonts w:hint="eastAsia" w:ascii="宋体" w:hAnsi="宋体" w:eastAsia="宋体" w:cs="宋体"/>
                <w:i w:val="0"/>
                <w:iCs w:val="0"/>
                <w:color w:val="auto"/>
                <w:sz w:val="21"/>
                <w:szCs w:val="21"/>
                <w:highlight w:val="none"/>
                <w:u w:val="none"/>
              </w:rPr>
            </w:pPr>
          </w:p>
        </w:tc>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E91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暂定工程量（米）</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7D8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w:t>
            </w:r>
          </w:p>
        </w:tc>
        <w:tc>
          <w:tcPr>
            <w:tcW w:w="1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97F4A">
            <w:pPr>
              <w:jc w:val="center"/>
              <w:rPr>
                <w:rFonts w:hint="eastAsia" w:ascii="宋体" w:hAnsi="宋体" w:eastAsia="宋体" w:cs="宋体"/>
                <w:i w:val="0"/>
                <w:iCs w:val="0"/>
                <w:color w:val="auto"/>
                <w:sz w:val="21"/>
                <w:szCs w:val="21"/>
                <w:highlight w:val="none"/>
                <w:u w:val="none"/>
              </w:rPr>
            </w:pPr>
          </w:p>
        </w:tc>
      </w:tr>
      <w:tr w14:paraId="75D22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90B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9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E2CDC">
            <w:pPr>
              <w:jc w:val="center"/>
              <w:rPr>
                <w:rFonts w:hint="eastAsia" w:ascii="宋体" w:hAnsi="宋体" w:eastAsia="宋体" w:cs="宋体"/>
                <w:i w:val="0"/>
                <w:iCs w:val="0"/>
                <w:color w:val="auto"/>
                <w:sz w:val="21"/>
                <w:szCs w:val="21"/>
                <w:highlight w:val="none"/>
                <w:u w:val="none"/>
              </w:rPr>
            </w:pPr>
          </w:p>
        </w:tc>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2C3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暂定勘探费（元）</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73C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w:t>
            </w:r>
          </w:p>
        </w:tc>
        <w:tc>
          <w:tcPr>
            <w:tcW w:w="1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95B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21=19×2</w:t>
            </w:r>
            <w:r>
              <w:rPr>
                <w:rStyle w:val="170"/>
                <w:color w:val="auto"/>
                <w:highlight w:val="none"/>
                <w:lang w:val="en-US" w:eastAsia="zh-CN" w:bidi="ar"/>
              </w:rPr>
              <w:t>0</w:t>
            </w:r>
          </w:p>
        </w:tc>
      </w:tr>
      <w:tr w14:paraId="72520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2" w:hRule="atLeast"/>
        </w:trPr>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681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23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B2CB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合计</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7F73A">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w:t>
            </w:r>
            <w:r>
              <w:rPr>
                <w:rFonts w:hint="eastAsia" w:ascii="宋体" w:hAnsi="宋体" w:cs="宋体"/>
                <w:b/>
                <w:bCs/>
                <w:i w:val="0"/>
                <w:iCs w:val="0"/>
                <w:color w:val="auto"/>
                <w:kern w:val="0"/>
                <w:sz w:val="21"/>
                <w:szCs w:val="21"/>
                <w:highlight w:val="none"/>
                <w:u w:val="none"/>
                <w:lang w:val="en-US" w:eastAsia="zh-CN" w:bidi="ar"/>
              </w:rPr>
              <w:t>55</w:t>
            </w:r>
            <w:r>
              <w:rPr>
                <w:rFonts w:hint="eastAsia" w:ascii="宋体" w:hAnsi="宋体" w:eastAsia="宋体" w:cs="宋体"/>
                <w:b/>
                <w:bCs/>
                <w:i w:val="0"/>
                <w:iCs w:val="0"/>
                <w:color w:val="auto"/>
                <w:kern w:val="0"/>
                <w:sz w:val="21"/>
                <w:szCs w:val="21"/>
                <w:highlight w:val="none"/>
                <w:u w:val="none"/>
                <w:lang w:val="en-US" w:eastAsia="zh-CN" w:bidi="ar"/>
              </w:rPr>
              <w:t>5000</w:t>
            </w:r>
          </w:p>
        </w:tc>
        <w:tc>
          <w:tcPr>
            <w:tcW w:w="1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172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22=3+6+9+12+15+18+21</w:t>
            </w:r>
          </w:p>
        </w:tc>
      </w:tr>
    </w:tbl>
    <w:p w14:paraId="57C6FF40">
      <w:pPr>
        <w:widowControl/>
        <w:jc w:val="left"/>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注：</w:t>
      </w:r>
    </w:p>
    <w:p w14:paraId="03AB7855">
      <w:pPr>
        <w:widowControl/>
        <w:jc w:val="left"/>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最终</w:t>
      </w:r>
      <w:r>
        <w:rPr>
          <w:rFonts w:hint="eastAsia" w:ascii="宋体" w:hAnsi="宋体" w:eastAsia="宋体" w:cs="Times New Roman"/>
          <w:color w:val="auto"/>
          <w:kern w:val="0"/>
          <w:szCs w:val="21"/>
          <w:highlight w:val="none"/>
          <w:lang w:val="en-US" w:eastAsia="zh-CN"/>
        </w:rPr>
        <w:t>勘察</w:t>
      </w:r>
      <w:r>
        <w:rPr>
          <w:rFonts w:hint="eastAsia" w:ascii="宋体" w:hAnsi="宋体" w:eastAsia="宋体" w:cs="Times New Roman"/>
          <w:color w:val="auto"/>
          <w:kern w:val="0"/>
          <w:szCs w:val="21"/>
          <w:highlight w:val="none"/>
        </w:rPr>
        <w:t>内容和工作量以招标人根据现场实际情况确认为准。</w:t>
      </w:r>
    </w:p>
    <w:p w14:paraId="0241ED22">
      <w:pPr>
        <w:widowControl/>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br w:type="page"/>
      </w:r>
    </w:p>
    <w:p w14:paraId="3632E833">
      <w:pPr>
        <w:autoSpaceDE w:val="0"/>
        <w:autoSpaceDN w:val="0"/>
        <w:adjustRightInd w:val="0"/>
        <w:spacing w:line="276" w:lineRule="auto"/>
        <w:ind w:left="284" w:hanging="284"/>
        <w:jc w:val="left"/>
        <w:outlineLvl w:val="4"/>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1-2 测量费费用清单</w:t>
      </w:r>
    </w:p>
    <w:tbl>
      <w:tblPr>
        <w:tblStyle w:val="46"/>
        <w:tblW w:w="482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46"/>
        <w:gridCol w:w="896"/>
        <w:gridCol w:w="896"/>
        <w:gridCol w:w="899"/>
        <w:gridCol w:w="899"/>
        <w:gridCol w:w="857"/>
        <w:gridCol w:w="1071"/>
        <w:gridCol w:w="1283"/>
        <w:gridCol w:w="867"/>
      </w:tblGrid>
      <w:tr w14:paraId="3DA8F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44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40C4D1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序号</w:t>
            </w:r>
          </w:p>
        </w:tc>
        <w:tc>
          <w:tcPr>
            <w:tcW w:w="532" w:type="pct"/>
            <w:tcBorders>
              <w:top w:val="single" w:color="000000" w:sz="8" w:space="0"/>
              <w:left w:val="nil"/>
              <w:bottom w:val="single" w:color="000000" w:sz="8" w:space="0"/>
              <w:right w:val="single" w:color="000000" w:sz="8" w:space="0"/>
            </w:tcBorders>
            <w:shd w:val="clear" w:color="auto" w:fill="auto"/>
            <w:vAlign w:val="center"/>
          </w:tcPr>
          <w:p w14:paraId="3255DDF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工作项目</w:t>
            </w:r>
          </w:p>
        </w:tc>
        <w:tc>
          <w:tcPr>
            <w:tcW w:w="532" w:type="pct"/>
            <w:tcBorders>
              <w:top w:val="single" w:color="000000" w:sz="8" w:space="0"/>
              <w:left w:val="nil"/>
              <w:bottom w:val="single" w:color="000000" w:sz="8" w:space="0"/>
              <w:right w:val="single" w:color="000000" w:sz="8" w:space="0"/>
            </w:tcBorders>
            <w:shd w:val="clear" w:color="auto" w:fill="auto"/>
            <w:vAlign w:val="center"/>
          </w:tcPr>
          <w:p w14:paraId="2AEC1FA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复杂程度</w:t>
            </w:r>
          </w:p>
        </w:tc>
        <w:tc>
          <w:tcPr>
            <w:tcW w:w="534" w:type="pct"/>
            <w:tcBorders>
              <w:top w:val="single" w:color="000000" w:sz="8" w:space="0"/>
              <w:left w:val="nil"/>
              <w:bottom w:val="single" w:color="000000" w:sz="8" w:space="0"/>
              <w:right w:val="single" w:color="000000" w:sz="8" w:space="0"/>
            </w:tcBorders>
            <w:shd w:val="clear" w:color="auto" w:fill="auto"/>
            <w:vAlign w:val="center"/>
          </w:tcPr>
          <w:p w14:paraId="0BA0836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系数</w:t>
            </w:r>
          </w:p>
        </w:tc>
        <w:tc>
          <w:tcPr>
            <w:tcW w:w="534" w:type="pct"/>
            <w:tcBorders>
              <w:top w:val="single" w:color="000000" w:sz="8" w:space="0"/>
              <w:left w:val="nil"/>
              <w:bottom w:val="single" w:color="000000" w:sz="8" w:space="0"/>
              <w:right w:val="nil"/>
            </w:tcBorders>
            <w:shd w:val="clear" w:color="auto" w:fill="auto"/>
            <w:vAlign w:val="center"/>
          </w:tcPr>
          <w:p w14:paraId="56E73FD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数量</w:t>
            </w:r>
          </w:p>
        </w:tc>
        <w:tc>
          <w:tcPr>
            <w:tcW w:w="5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BD5B0E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单位</w:t>
            </w:r>
          </w:p>
        </w:tc>
        <w:tc>
          <w:tcPr>
            <w:tcW w:w="6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F75201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最高投标单价（元）</w:t>
            </w:r>
          </w:p>
        </w:tc>
        <w:tc>
          <w:tcPr>
            <w:tcW w:w="762" w:type="pct"/>
            <w:tcBorders>
              <w:top w:val="single" w:color="000000" w:sz="8" w:space="0"/>
              <w:left w:val="nil"/>
              <w:bottom w:val="single" w:color="000000" w:sz="8" w:space="0"/>
              <w:right w:val="single" w:color="000000" w:sz="8" w:space="0"/>
            </w:tcBorders>
            <w:shd w:val="clear" w:color="auto" w:fill="auto"/>
            <w:vAlign w:val="center"/>
          </w:tcPr>
          <w:p w14:paraId="1A8DA06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金额（元）</w:t>
            </w:r>
          </w:p>
        </w:tc>
        <w:tc>
          <w:tcPr>
            <w:tcW w:w="515" w:type="pct"/>
            <w:tcBorders>
              <w:top w:val="single" w:color="000000" w:sz="8" w:space="0"/>
              <w:left w:val="nil"/>
              <w:bottom w:val="single" w:color="000000" w:sz="8" w:space="0"/>
              <w:right w:val="single" w:color="000000" w:sz="8" w:space="0"/>
            </w:tcBorders>
            <w:shd w:val="clear" w:color="auto" w:fill="auto"/>
            <w:vAlign w:val="center"/>
          </w:tcPr>
          <w:p w14:paraId="3ADB4DB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备注</w:t>
            </w:r>
          </w:p>
        </w:tc>
      </w:tr>
      <w:tr w14:paraId="2A2D7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58E380BB">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一</w:t>
            </w:r>
          </w:p>
        </w:tc>
        <w:tc>
          <w:tcPr>
            <w:tcW w:w="532" w:type="pct"/>
            <w:tcBorders>
              <w:top w:val="nil"/>
              <w:left w:val="nil"/>
              <w:bottom w:val="single" w:color="000000" w:sz="8" w:space="0"/>
              <w:right w:val="single" w:color="000000" w:sz="8" w:space="0"/>
            </w:tcBorders>
            <w:shd w:val="clear" w:color="auto" w:fill="auto"/>
            <w:vAlign w:val="center"/>
          </w:tcPr>
          <w:p w14:paraId="6BBD3073">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测量费计算</w:t>
            </w:r>
          </w:p>
        </w:tc>
        <w:tc>
          <w:tcPr>
            <w:tcW w:w="532" w:type="pct"/>
            <w:tcBorders>
              <w:top w:val="nil"/>
              <w:left w:val="nil"/>
              <w:bottom w:val="single" w:color="000000" w:sz="8" w:space="0"/>
              <w:right w:val="single" w:color="000000" w:sz="8" w:space="0"/>
            </w:tcBorders>
            <w:shd w:val="clear" w:color="auto" w:fill="auto"/>
            <w:vAlign w:val="center"/>
          </w:tcPr>
          <w:p w14:paraId="763F665B">
            <w:pPr>
              <w:jc w:val="center"/>
              <w:rPr>
                <w:rFonts w:hint="default" w:ascii="Times New Roman" w:hAnsi="Times New Roman" w:eastAsia="宋体" w:cs="Times New Roman"/>
                <w:i w:val="0"/>
                <w:iCs w:val="0"/>
                <w:color w:val="auto"/>
                <w:sz w:val="18"/>
                <w:szCs w:val="18"/>
                <w:highlight w:val="none"/>
                <w:u w:val="none"/>
              </w:rPr>
            </w:pPr>
          </w:p>
        </w:tc>
        <w:tc>
          <w:tcPr>
            <w:tcW w:w="534" w:type="pct"/>
            <w:tcBorders>
              <w:top w:val="nil"/>
              <w:left w:val="nil"/>
              <w:bottom w:val="single" w:color="000000" w:sz="8" w:space="0"/>
              <w:right w:val="single" w:color="000000" w:sz="8" w:space="0"/>
            </w:tcBorders>
            <w:shd w:val="clear" w:color="auto" w:fill="auto"/>
            <w:vAlign w:val="center"/>
          </w:tcPr>
          <w:p w14:paraId="008B2DA4">
            <w:pPr>
              <w:jc w:val="center"/>
              <w:rPr>
                <w:rFonts w:hint="default" w:ascii="Times New Roman" w:hAnsi="Times New Roman" w:eastAsia="宋体" w:cs="Times New Roman"/>
                <w:i w:val="0"/>
                <w:iCs w:val="0"/>
                <w:color w:val="auto"/>
                <w:sz w:val="18"/>
                <w:szCs w:val="18"/>
                <w:highlight w:val="none"/>
                <w:u w:val="none"/>
              </w:rPr>
            </w:pPr>
          </w:p>
        </w:tc>
        <w:tc>
          <w:tcPr>
            <w:tcW w:w="534" w:type="pct"/>
            <w:tcBorders>
              <w:top w:val="nil"/>
              <w:left w:val="nil"/>
              <w:bottom w:val="single" w:color="000000" w:sz="8" w:space="0"/>
              <w:right w:val="nil"/>
            </w:tcBorders>
            <w:shd w:val="clear" w:color="auto" w:fill="auto"/>
            <w:vAlign w:val="center"/>
          </w:tcPr>
          <w:p w14:paraId="0DB99CF1">
            <w:pPr>
              <w:jc w:val="center"/>
              <w:rPr>
                <w:rFonts w:hint="default" w:ascii="Times New Roman" w:hAnsi="Times New Roman" w:eastAsia="宋体" w:cs="Times New Roman"/>
                <w:i w:val="0"/>
                <w:iCs w:val="0"/>
                <w:color w:val="auto"/>
                <w:sz w:val="18"/>
                <w:szCs w:val="18"/>
                <w:highlight w:val="none"/>
                <w:u w:val="none"/>
              </w:rPr>
            </w:pPr>
          </w:p>
        </w:tc>
        <w:tc>
          <w:tcPr>
            <w:tcW w:w="5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28835CC">
            <w:pPr>
              <w:jc w:val="center"/>
              <w:rPr>
                <w:rFonts w:hint="default" w:ascii="Times New Roman" w:hAnsi="Times New Roman" w:eastAsia="宋体" w:cs="Times New Roman"/>
                <w:i w:val="0"/>
                <w:iCs w:val="0"/>
                <w:color w:val="auto"/>
                <w:sz w:val="18"/>
                <w:szCs w:val="18"/>
                <w:highlight w:val="none"/>
                <w:u w:val="none"/>
              </w:rPr>
            </w:pPr>
          </w:p>
        </w:tc>
        <w:tc>
          <w:tcPr>
            <w:tcW w:w="6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E946E3D">
            <w:pPr>
              <w:jc w:val="center"/>
              <w:rPr>
                <w:rFonts w:hint="default" w:ascii="Times New Roman" w:hAnsi="Times New Roman" w:eastAsia="宋体" w:cs="Times New Roman"/>
                <w:i w:val="0"/>
                <w:iCs w:val="0"/>
                <w:color w:val="auto"/>
                <w:sz w:val="18"/>
                <w:szCs w:val="18"/>
                <w:highlight w:val="none"/>
                <w:u w:val="none"/>
              </w:rPr>
            </w:pPr>
          </w:p>
        </w:tc>
        <w:tc>
          <w:tcPr>
            <w:tcW w:w="762" w:type="pct"/>
            <w:tcBorders>
              <w:top w:val="nil"/>
              <w:left w:val="nil"/>
              <w:bottom w:val="single" w:color="000000" w:sz="8" w:space="0"/>
              <w:right w:val="single" w:color="000000" w:sz="8" w:space="0"/>
            </w:tcBorders>
            <w:shd w:val="clear" w:color="auto" w:fill="auto"/>
            <w:vAlign w:val="center"/>
          </w:tcPr>
          <w:p w14:paraId="1CB5B639">
            <w:pPr>
              <w:jc w:val="center"/>
              <w:rPr>
                <w:rFonts w:hint="default" w:ascii="Times New Roman" w:hAnsi="Times New Roman" w:eastAsia="宋体" w:cs="Times New Roman"/>
                <w:i w:val="0"/>
                <w:iCs w:val="0"/>
                <w:color w:val="auto"/>
                <w:sz w:val="18"/>
                <w:szCs w:val="18"/>
                <w:highlight w:val="none"/>
                <w:u w:val="none"/>
              </w:rPr>
            </w:pPr>
          </w:p>
        </w:tc>
        <w:tc>
          <w:tcPr>
            <w:tcW w:w="515" w:type="pct"/>
            <w:tcBorders>
              <w:top w:val="nil"/>
              <w:left w:val="nil"/>
              <w:bottom w:val="single" w:color="000000" w:sz="8" w:space="0"/>
              <w:right w:val="single" w:color="000000" w:sz="8" w:space="0"/>
            </w:tcBorders>
            <w:shd w:val="clear" w:color="auto" w:fill="auto"/>
            <w:vAlign w:val="center"/>
          </w:tcPr>
          <w:p w14:paraId="150C4E5C">
            <w:pPr>
              <w:jc w:val="center"/>
              <w:rPr>
                <w:rFonts w:hint="default" w:ascii="Times New Roman" w:hAnsi="Times New Roman" w:eastAsia="宋体" w:cs="Times New Roman"/>
                <w:i w:val="0"/>
                <w:iCs w:val="0"/>
                <w:color w:val="auto"/>
                <w:sz w:val="18"/>
                <w:szCs w:val="18"/>
                <w:highlight w:val="none"/>
                <w:u w:val="none"/>
              </w:rPr>
            </w:pPr>
          </w:p>
        </w:tc>
      </w:tr>
      <w:tr w14:paraId="2220C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20AB8D9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2" w:type="pct"/>
            <w:tcBorders>
              <w:top w:val="nil"/>
              <w:left w:val="nil"/>
              <w:bottom w:val="single" w:color="000000" w:sz="8" w:space="0"/>
              <w:right w:val="single" w:color="000000" w:sz="8" w:space="0"/>
            </w:tcBorders>
            <w:shd w:val="clear" w:color="auto" w:fill="auto"/>
            <w:vAlign w:val="center"/>
          </w:tcPr>
          <w:p w14:paraId="3F29118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E</w:t>
            </w:r>
            <w:r>
              <w:rPr>
                <w:rFonts w:hint="eastAsia" w:ascii="宋体" w:hAnsi="宋体" w:eastAsia="宋体" w:cs="宋体"/>
                <w:i w:val="0"/>
                <w:iCs w:val="0"/>
                <w:color w:val="auto"/>
                <w:kern w:val="0"/>
                <w:sz w:val="18"/>
                <w:szCs w:val="18"/>
                <w:highlight w:val="none"/>
                <w:u w:val="none"/>
                <w:lang w:val="en-US" w:eastAsia="zh-CN" w:bidi="ar"/>
              </w:rPr>
              <w:t>级</w:t>
            </w:r>
            <w:r>
              <w:rPr>
                <w:rFonts w:hint="default" w:ascii="Times New Roman" w:hAnsi="Times New Roman" w:eastAsia="宋体" w:cs="Times New Roman"/>
                <w:i w:val="0"/>
                <w:iCs w:val="0"/>
                <w:color w:val="auto"/>
                <w:kern w:val="0"/>
                <w:sz w:val="18"/>
                <w:szCs w:val="18"/>
                <w:highlight w:val="none"/>
                <w:u w:val="none"/>
                <w:lang w:val="en-US" w:eastAsia="zh-CN" w:bidi="ar"/>
              </w:rPr>
              <w:t>GPS</w:t>
            </w:r>
            <w:r>
              <w:rPr>
                <w:rFonts w:hint="eastAsia" w:ascii="宋体" w:hAnsi="宋体" w:eastAsia="宋体" w:cs="宋体"/>
                <w:i w:val="0"/>
                <w:iCs w:val="0"/>
                <w:color w:val="auto"/>
                <w:kern w:val="0"/>
                <w:sz w:val="18"/>
                <w:szCs w:val="18"/>
                <w:highlight w:val="none"/>
                <w:u w:val="none"/>
                <w:lang w:val="en-US" w:eastAsia="zh-CN" w:bidi="ar"/>
              </w:rPr>
              <w:t>测量</w:t>
            </w:r>
          </w:p>
        </w:tc>
        <w:tc>
          <w:tcPr>
            <w:tcW w:w="532" w:type="pct"/>
            <w:tcBorders>
              <w:top w:val="nil"/>
              <w:left w:val="nil"/>
              <w:bottom w:val="single" w:color="000000" w:sz="8" w:space="0"/>
              <w:right w:val="single" w:color="000000" w:sz="8" w:space="0"/>
            </w:tcBorders>
            <w:shd w:val="clear" w:color="auto" w:fill="auto"/>
            <w:vAlign w:val="center"/>
          </w:tcPr>
          <w:p w14:paraId="7F7750F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中等</w:t>
            </w:r>
          </w:p>
        </w:tc>
        <w:tc>
          <w:tcPr>
            <w:tcW w:w="534" w:type="pct"/>
            <w:tcBorders>
              <w:top w:val="nil"/>
              <w:left w:val="nil"/>
              <w:bottom w:val="single" w:color="000000" w:sz="8" w:space="0"/>
              <w:right w:val="single" w:color="000000" w:sz="8" w:space="0"/>
            </w:tcBorders>
            <w:shd w:val="clear" w:color="auto" w:fill="auto"/>
            <w:vAlign w:val="center"/>
          </w:tcPr>
          <w:p w14:paraId="6B04407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4" w:type="pct"/>
            <w:tcBorders>
              <w:top w:val="nil"/>
              <w:left w:val="nil"/>
              <w:bottom w:val="single" w:color="000000" w:sz="8" w:space="0"/>
              <w:right w:val="single" w:color="000000" w:sz="8" w:space="0"/>
            </w:tcBorders>
            <w:shd w:val="clear" w:color="auto" w:fill="auto"/>
            <w:vAlign w:val="center"/>
          </w:tcPr>
          <w:p w14:paraId="2386433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w:t>
            </w:r>
          </w:p>
        </w:tc>
        <w:tc>
          <w:tcPr>
            <w:tcW w:w="5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40C031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点</w:t>
            </w:r>
          </w:p>
        </w:tc>
        <w:tc>
          <w:tcPr>
            <w:tcW w:w="6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18F538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2553</w:t>
            </w:r>
          </w:p>
        </w:tc>
        <w:tc>
          <w:tcPr>
            <w:tcW w:w="762" w:type="pct"/>
            <w:tcBorders>
              <w:top w:val="nil"/>
              <w:left w:val="nil"/>
              <w:bottom w:val="single" w:color="000000" w:sz="8" w:space="0"/>
              <w:right w:val="single" w:color="000000" w:sz="8" w:space="0"/>
            </w:tcBorders>
            <w:shd w:val="clear" w:color="auto" w:fill="auto"/>
            <w:vAlign w:val="center"/>
          </w:tcPr>
          <w:p w14:paraId="4672927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76590</w:t>
            </w:r>
          </w:p>
        </w:tc>
        <w:tc>
          <w:tcPr>
            <w:tcW w:w="515" w:type="pct"/>
            <w:tcBorders>
              <w:top w:val="nil"/>
              <w:left w:val="nil"/>
              <w:bottom w:val="single" w:color="000000" w:sz="8" w:space="0"/>
              <w:right w:val="single" w:color="000000" w:sz="8" w:space="0"/>
            </w:tcBorders>
            <w:shd w:val="clear" w:color="auto" w:fill="auto"/>
            <w:vAlign w:val="center"/>
          </w:tcPr>
          <w:p w14:paraId="0FF153B2">
            <w:pPr>
              <w:jc w:val="center"/>
              <w:rPr>
                <w:rFonts w:hint="default" w:ascii="Times New Roman" w:hAnsi="Times New Roman" w:eastAsia="宋体" w:cs="Times New Roman"/>
                <w:i w:val="0"/>
                <w:iCs w:val="0"/>
                <w:color w:val="auto"/>
                <w:sz w:val="18"/>
                <w:szCs w:val="18"/>
                <w:highlight w:val="none"/>
                <w:u w:val="none"/>
              </w:rPr>
            </w:pPr>
          </w:p>
        </w:tc>
      </w:tr>
      <w:tr w14:paraId="1F7E1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1"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737FE6B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532" w:type="pct"/>
            <w:tcBorders>
              <w:top w:val="nil"/>
              <w:left w:val="nil"/>
              <w:bottom w:val="single" w:color="000000" w:sz="8" w:space="0"/>
              <w:right w:val="single" w:color="000000" w:sz="8" w:space="0"/>
            </w:tcBorders>
            <w:shd w:val="clear" w:color="auto" w:fill="auto"/>
            <w:vAlign w:val="center"/>
          </w:tcPr>
          <w:p w14:paraId="7A742A9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E</w:t>
            </w:r>
            <w:r>
              <w:rPr>
                <w:rFonts w:hint="eastAsia" w:ascii="宋体" w:hAnsi="宋体" w:eastAsia="宋体" w:cs="宋体"/>
                <w:i w:val="0"/>
                <w:iCs w:val="0"/>
                <w:color w:val="auto"/>
                <w:kern w:val="0"/>
                <w:sz w:val="18"/>
                <w:szCs w:val="18"/>
                <w:highlight w:val="none"/>
                <w:u w:val="none"/>
                <w:lang w:val="en-US" w:eastAsia="zh-CN" w:bidi="ar"/>
              </w:rPr>
              <w:t>级</w:t>
            </w:r>
            <w:r>
              <w:rPr>
                <w:rFonts w:hint="default" w:ascii="Times New Roman" w:hAnsi="Times New Roman" w:eastAsia="宋体" w:cs="Times New Roman"/>
                <w:i w:val="0"/>
                <w:iCs w:val="0"/>
                <w:color w:val="auto"/>
                <w:kern w:val="0"/>
                <w:sz w:val="18"/>
                <w:szCs w:val="18"/>
                <w:highlight w:val="none"/>
                <w:u w:val="none"/>
                <w:lang w:val="en-US" w:eastAsia="zh-CN" w:bidi="ar"/>
              </w:rPr>
              <w:t>GPS RTK</w:t>
            </w:r>
            <w:r>
              <w:rPr>
                <w:rFonts w:hint="eastAsia" w:ascii="宋体" w:hAnsi="宋体" w:eastAsia="宋体" w:cs="宋体"/>
                <w:i w:val="0"/>
                <w:iCs w:val="0"/>
                <w:color w:val="auto"/>
                <w:kern w:val="0"/>
                <w:sz w:val="18"/>
                <w:szCs w:val="18"/>
                <w:highlight w:val="none"/>
                <w:u w:val="none"/>
                <w:lang w:val="en-US" w:eastAsia="zh-CN" w:bidi="ar"/>
              </w:rPr>
              <w:t>观测</w:t>
            </w:r>
          </w:p>
        </w:tc>
        <w:tc>
          <w:tcPr>
            <w:tcW w:w="532" w:type="pct"/>
            <w:tcBorders>
              <w:top w:val="nil"/>
              <w:left w:val="nil"/>
              <w:bottom w:val="single" w:color="000000" w:sz="8" w:space="0"/>
              <w:right w:val="single" w:color="000000" w:sz="8" w:space="0"/>
            </w:tcBorders>
            <w:shd w:val="clear" w:color="auto" w:fill="auto"/>
            <w:vAlign w:val="center"/>
          </w:tcPr>
          <w:p w14:paraId="6E0FA36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II</w:t>
            </w:r>
          </w:p>
        </w:tc>
        <w:tc>
          <w:tcPr>
            <w:tcW w:w="534" w:type="pct"/>
            <w:tcBorders>
              <w:top w:val="nil"/>
              <w:left w:val="nil"/>
              <w:bottom w:val="single" w:color="000000" w:sz="8" w:space="0"/>
              <w:right w:val="single" w:color="000000" w:sz="8" w:space="0"/>
            </w:tcBorders>
            <w:shd w:val="clear" w:color="auto" w:fill="auto"/>
            <w:vAlign w:val="center"/>
          </w:tcPr>
          <w:p w14:paraId="5208849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4" w:type="pct"/>
            <w:tcBorders>
              <w:top w:val="nil"/>
              <w:left w:val="nil"/>
              <w:bottom w:val="single" w:color="000000" w:sz="8" w:space="0"/>
              <w:right w:val="single" w:color="000000" w:sz="8" w:space="0"/>
            </w:tcBorders>
            <w:shd w:val="clear" w:color="auto" w:fill="auto"/>
            <w:vAlign w:val="center"/>
          </w:tcPr>
          <w:p w14:paraId="72B4317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w:t>
            </w:r>
          </w:p>
        </w:tc>
        <w:tc>
          <w:tcPr>
            <w:tcW w:w="5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A56F6E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点</w:t>
            </w:r>
          </w:p>
        </w:tc>
        <w:tc>
          <w:tcPr>
            <w:tcW w:w="6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E0F02B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2553</w:t>
            </w:r>
          </w:p>
        </w:tc>
        <w:tc>
          <w:tcPr>
            <w:tcW w:w="762" w:type="pct"/>
            <w:tcBorders>
              <w:top w:val="nil"/>
              <w:left w:val="nil"/>
              <w:bottom w:val="single" w:color="000000" w:sz="8" w:space="0"/>
              <w:right w:val="single" w:color="000000" w:sz="8" w:space="0"/>
            </w:tcBorders>
            <w:shd w:val="clear" w:color="auto" w:fill="auto"/>
            <w:vAlign w:val="center"/>
          </w:tcPr>
          <w:p w14:paraId="7FE97C3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76590</w:t>
            </w:r>
          </w:p>
        </w:tc>
        <w:tc>
          <w:tcPr>
            <w:tcW w:w="515" w:type="pct"/>
            <w:tcBorders>
              <w:top w:val="nil"/>
              <w:left w:val="nil"/>
              <w:bottom w:val="single" w:color="000000" w:sz="8" w:space="0"/>
              <w:right w:val="single" w:color="000000" w:sz="8" w:space="0"/>
            </w:tcBorders>
            <w:shd w:val="clear" w:color="auto" w:fill="auto"/>
            <w:vAlign w:val="center"/>
          </w:tcPr>
          <w:p w14:paraId="221ACA5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用于规划报建</w:t>
            </w:r>
          </w:p>
        </w:tc>
      </w:tr>
      <w:tr w14:paraId="75D22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15AACF5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w:t>
            </w:r>
          </w:p>
        </w:tc>
        <w:tc>
          <w:tcPr>
            <w:tcW w:w="532" w:type="pct"/>
            <w:tcBorders>
              <w:top w:val="nil"/>
              <w:left w:val="nil"/>
              <w:bottom w:val="single" w:color="000000" w:sz="8" w:space="0"/>
              <w:right w:val="single" w:color="000000" w:sz="8" w:space="0"/>
            </w:tcBorders>
            <w:shd w:val="clear" w:color="auto" w:fill="auto"/>
            <w:vAlign w:val="center"/>
          </w:tcPr>
          <w:p w14:paraId="664B003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图根控制点</w:t>
            </w:r>
          </w:p>
        </w:tc>
        <w:tc>
          <w:tcPr>
            <w:tcW w:w="532" w:type="pct"/>
            <w:tcBorders>
              <w:top w:val="nil"/>
              <w:left w:val="nil"/>
              <w:bottom w:val="single" w:color="000000" w:sz="8" w:space="0"/>
              <w:right w:val="single" w:color="000000" w:sz="8" w:space="0"/>
            </w:tcBorders>
            <w:shd w:val="clear" w:color="auto" w:fill="auto"/>
            <w:vAlign w:val="center"/>
          </w:tcPr>
          <w:p w14:paraId="7983C7F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中等</w:t>
            </w:r>
          </w:p>
        </w:tc>
        <w:tc>
          <w:tcPr>
            <w:tcW w:w="534" w:type="pct"/>
            <w:tcBorders>
              <w:top w:val="nil"/>
              <w:left w:val="nil"/>
              <w:bottom w:val="single" w:color="000000" w:sz="8" w:space="0"/>
              <w:right w:val="single" w:color="000000" w:sz="8" w:space="0"/>
            </w:tcBorders>
            <w:shd w:val="clear" w:color="auto" w:fill="auto"/>
            <w:vAlign w:val="center"/>
          </w:tcPr>
          <w:p w14:paraId="616D8A3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4" w:type="pct"/>
            <w:tcBorders>
              <w:top w:val="nil"/>
              <w:left w:val="nil"/>
              <w:bottom w:val="single" w:color="000000" w:sz="8" w:space="0"/>
              <w:right w:val="single" w:color="000000" w:sz="8" w:space="0"/>
            </w:tcBorders>
            <w:shd w:val="clear" w:color="auto" w:fill="auto"/>
            <w:vAlign w:val="center"/>
          </w:tcPr>
          <w:p w14:paraId="5E5B289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60</w:t>
            </w:r>
          </w:p>
        </w:tc>
        <w:tc>
          <w:tcPr>
            <w:tcW w:w="5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2380CA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点</w:t>
            </w:r>
          </w:p>
        </w:tc>
        <w:tc>
          <w:tcPr>
            <w:tcW w:w="6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5841B6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101</w:t>
            </w:r>
          </w:p>
        </w:tc>
        <w:tc>
          <w:tcPr>
            <w:tcW w:w="762" w:type="pct"/>
            <w:tcBorders>
              <w:top w:val="nil"/>
              <w:left w:val="nil"/>
              <w:bottom w:val="single" w:color="000000" w:sz="8" w:space="0"/>
              <w:right w:val="single" w:color="000000" w:sz="8" w:space="0"/>
            </w:tcBorders>
            <w:shd w:val="clear" w:color="auto" w:fill="auto"/>
            <w:vAlign w:val="center"/>
          </w:tcPr>
          <w:p w14:paraId="2F95D9D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6060</w:t>
            </w:r>
          </w:p>
        </w:tc>
        <w:tc>
          <w:tcPr>
            <w:tcW w:w="515" w:type="pct"/>
            <w:tcBorders>
              <w:top w:val="nil"/>
              <w:left w:val="nil"/>
              <w:bottom w:val="single" w:color="000000" w:sz="8" w:space="0"/>
              <w:right w:val="single" w:color="000000" w:sz="8" w:space="0"/>
            </w:tcBorders>
            <w:shd w:val="clear" w:color="auto" w:fill="auto"/>
            <w:vAlign w:val="center"/>
          </w:tcPr>
          <w:p w14:paraId="5D149834">
            <w:pPr>
              <w:jc w:val="center"/>
              <w:rPr>
                <w:rFonts w:hint="default" w:ascii="Times New Roman" w:hAnsi="Times New Roman" w:eastAsia="宋体" w:cs="Times New Roman"/>
                <w:i w:val="0"/>
                <w:iCs w:val="0"/>
                <w:color w:val="auto"/>
                <w:sz w:val="18"/>
                <w:szCs w:val="18"/>
                <w:highlight w:val="none"/>
                <w:u w:val="none"/>
              </w:rPr>
            </w:pPr>
          </w:p>
        </w:tc>
      </w:tr>
      <w:tr w14:paraId="22DA4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07FC0FA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w:t>
            </w:r>
          </w:p>
        </w:tc>
        <w:tc>
          <w:tcPr>
            <w:tcW w:w="532" w:type="pct"/>
            <w:tcBorders>
              <w:top w:val="nil"/>
              <w:left w:val="nil"/>
              <w:bottom w:val="single" w:color="000000" w:sz="8" w:space="0"/>
              <w:right w:val="single" w:color="000000" w:sz="8" w:space="0"/>
            </w:tcBorders>
            <w:shd w:val="clear" w:color="auto" w:fill="auto"/>
            <w:vAlign w:val="center"/>
          </w:tcPr>
          <w:p w14:paraId="714E067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Ⅳ</w:t>
            </w:r>
            <w:r>
              <w:rPr>
                <w:rFonts w:hint="eastAsia" w:ascii="宋体" w:hAnsi="宋体" w:eastAsia="宋体" w:cs="宋体"/>
                <w:i w:val="0"/>
                <w:iCs w:val="0"/>
                <w:color w:val="auto"/>
                <w:kern w:val="0"/>
                <w:sz w:val="18"/>
                <w:szCs w:val="18"/>
                <w:highlight w:val="none"/>
                <w:u w:val="none"/>
                <w:lang w:val="en-US" w:eastAsia="zh-CN" w:bidi="ar"/>
              </w:rPr>
              <w:t>等水准测量</w:t>
            </w:r>
          </w:p>
        </w:tc>
        <w:tc>
          <w:tcPr>
            <w:tcW w:w="532" w:type="pct"/>
            <w:tcBorders>
              <w:top w:val="nil"/>
              <w:left w:val="nil"/>
              <w:bottom w:val="single" w:color="000000" w:sz="8" w:space="0"/>
              <w:right w:val="single" w:color="000000" w:sz="8" w:space="0"/>
            </w:tcBorders>
            <w:shd w:val="clear" w:color="auto" w:fill="auto"/>
            <w:vAlign w:val="center"/>
          </w:tcPr>
          <w:p w14:paraId="3621731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中等</w:t>
            </w:r>
          </w:p>
        </w:tc>
        <w:tc>
          <w:tcPr>
            <w:tcW w:w="534" w:type="pct"/>
            <w:tcBorders>
              <w:top w:val="nil"/>
              <w:left w:val="nil"/>
              <w:bottom w:val="single" w:color="000000" w:sz="8" w:space="0"/>
              <w:right w:val="single" w:color="000000" w:sz="8" w:space="0"/>
            </w:tcBorders>
            <w:shd w:val="clear" w:color="auto" w:fill="auto"/>
            <w:vAlign w:val="center"/>
          </w:tcPr>
          <w:p w14:paraId="24989C5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4" w:type="pct"/>
            <w:tcBorders>
              <w:top w:val="nil"/>
              <w:left w:val="nil"/>
              <w:bottom w:val="single" w:color="000000" w:sz="8" w:space="0"/>
              <w:right w:val="single" w:color="000000" w:sz="8" w:space="0"/>
            </w:tcBorders>
            <w:shd w:val="clear" w:color="auto" w:fill="auto"/>
            <w:vAlign w:val="center"/>
          </w:tcPr>
          <w:p w14:paraId="1EED846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5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0881F1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km</w:t>
            </w:r>
          </w:p>
        </w:tc>
        <w:tc>
          <w:tcPr>
            <w:tcW w:w="6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AA0C4E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250</w:t>
            </w:r>
          </w:p>
        </w:tc>
        <w:tc>
          <w:tcPr>
            <w:tcW w:w="762" w:type="pct"/>
            <w:tcBorders>
              <w:top w:val="nil"/>
              <w:left w:val="nil"/>
              <w:bottom w:val="single" w:color="000000" w:sz="8" w:space="0"/>
              <w:right w:val="single" w:color="000000" w:sz="8" w:space="0"/>
            </w:tcBorders>
            <w:shd w:val="clear" w:color="auto" w:fill="auto"/>
            <w:vAlign w:val="center"/>
          </w:tcPr>
          <w:p w14:paraId="6E8FF04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2500</w:t>
            </w:r>
          </w:p>
        </w:tc>
        <w:tc>
          <w:tcPr>
            <w:tcW w:w="515" w:type="pct"/>
            <w:tcBorders>
              <w:top w:val="nil"/>
              <w:left w:val="nil"/>
              <w:bottom w:val="single" w:color="000000" w:sz="8" w:space="0"/>
              <w:right w:val="single" w:color="000000" w:sz="8" w:space="0"/>
            </w:tcBorders>
            <w:shd w:val="clear" w:color="auto" w:fill="auto"/>
            <w:vAlign w:val="center"/>
          </w:tcPr>
          <w:p w14:paraId="527FB29E">
            <w:pPr>
              <w:jc w:val="center"/>
              <w:rPr>
                <w:rFonts w:hint="default" w:ascii="Times New Roman" w:hAnsi="Times New Roman" w:eastAsia="宋体" w:cs="Times New Roman"/>
                <w:i w:val="0"/>
                <w:iCs w:val="0"/>
                <w:color w:val="auto"/>
                <w:sz w:val="18"/>
                <w:szCs w:val="18"/>
                <w:highlight w:val="none"/>
                <w:u w:val="none"/>
              </w:rPr>
            </w:pPr>
          </w:p>
        </w:tc>
      </w:tr>
      <w:tr w14:paraId="290C9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0C59462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w:t>
            </w:r>
          </w:p>
        </w:tc>
        <w:tc>
          <w:tcPr>
            <w:tcW w:w="532" w:type="pct"/>
            <w:tcBorders>
              <w:top w:val="nil"/>
              <w:left w:val="nil"/>
              <w:bottom w:val="single" w:color="000000" w:sz="8" w:space="0"/>
              <w:right w:val="single" w:color="000000" w:sz="8" w:space="0"/>
            </w:tcBorders>
            <w:shd w:val="clear" w:color="auto" w:fill="auto"/>
            <w:vAlign w:val="center"/>
          </w:tcPr>
          <w:p w14:paraId="63D9E1F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图根水准测量</w:t>
            </w:r>
          </w:p>
        </w:tc>
        <w:tc>
          <w:tcPr>
            <w:tcW w:w="532" w:type="pct"/>
            <w:tcBorders>
              <w:top w:val="nil"/>
              <w:left w:val="nil"/>
              <w:bottom w:val="single" w:color="000000" w:sz="8" w:space="0"/>
              <w:right w:val="single" w:color="000000" w:sz="8" w:space="0"/>
            </w:tcBorders>
            <w:shd w:val="clear" w:color="auto" w:fill="auto"/>
            <w:vAlign w:val="center"/>
          </w:tcPr>
          <w:p w14:paraId="4638512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中等</w:t>
            </w:r>
          </w:p>
        </w:tc>
        <w:tc>
          <w:tcPr>
            <w:tcW w:w="534" w:type="pct"/>
            <w:tcBorders>
              <w:top w:val="nil"/>
              <w:left w:val="nil"/>
              <w:bottom w:val="single" w:color="000000" w:sz="8" w:space="0"/>
              <w:right w:val="single" w:color="000000" w:sz="8" w:space="0"/>
            </w:tcBorders>
            <w:shd w:val="clear" w:color="auto" w:fill="auto"/>
            <w:vAlign w:val="center"/>
          </w:tcPr>
          <w:p w14:paraId="09F7D71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4" w:type="pct"/>
            <w:tcBorders>
              <w:top w:val="nil"/>
              <w:left w:val="nil"/>
              <w:bottom w:val="single" w:color="000000" w:sz="8" w:space="0"/>
              <w:right w:val="single" w:color="000000" w:sz="8" w:space="0"/>
            </w:tcBorders>
            <w:shd w:val="clear" w:color="auto" w:fill="auto"/>
            <w:vAlign w:val="center"/>
          </w:tcPr>
          <w:p w14:paraId="3884D05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5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8EC0AA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km</w:t>
            </w:r>
          </w:p>
        </w:tc>
        <w:tc>
          <w:tcPr>
            <w:tcW w:w="6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3FA08E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124</w:t>
            </w:r>
          </w:p>
        </w:tc>
        <w:tc>
          <w:tcPr>
            <w:tcW w:w="762" w:type="pct"/>
            <w:tcBorders>
              <w:top w:val="nil"/>
              <w:left w:val="nil"/>
              <w:bottom w:val="single" w:color="000000" w:sz="8" w:space="0"/>
              <w:right w:val="single" w:color="000000" w:sz="8" w:space="0"/>
            </w:tcBorders>
            <w:shd w:val="clear" w:color="auto" w:fill="auto"/>
            <w:vAlign w:val="center"/>
          </w:tcPr>
          <w:p w14:paraId="5A99E56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1240</w:t>
            </w:r>
          </w:p>
        </w:tc>
        <w:tc>
          <w:tcPr>
            <w:tcW w:w="515" w:type="pct"/>
            <w:tcBorders>
              <w:top w:val="nil"/>
              <w:left w:val="nil"/>
              <w:bottom w:val="single" w:color="000000" w:sz="8" w:space="0"/>
              <w:right w:val="single" w:color="000000" w:sz="8" w:space="0"/>
            </w:tcBorders>
            <w:shd w:val="clear" w:color="auto" w:fill="auto"/>
            <w:vAlign w:val="center"/>
          </w:tcPr>
          <w:p w14:paraId="0C9BB9BA">
            <w:pPr>
              <w:jc w:val="center"/>
              <w:rPr>
                <w:rFonts w:hint="default" w:ascii="Times New Roman" w:hAnsi="Times New Roman" w:eastAsia="宋体" w:cs="Times New Roman"/>
                <w:i w:val="0"/>
                <w:iCs w:val="0"/>
                <w:color w:val="auto"/>
                <w:sz w:val="18"/>
                <w:szCs w:val="18"/>
                <w:highlight w:val="none"/>
                <w:u w:val="none"/>
              </w:rPr>
            </w:pPr>
          </w:p>
        </w:tc>
      </w:tr>
      <w:tr w14:paraId="4F1AB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045FA1D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w:t>
            </w:r>
          </w:p>
        </w:tc>
        <w:tc>
          <w:tcPr>
            <w:tcW w:w="532" w:type="pct"/>
            <w:tcBorders>
              <w:top w:val="nil"/>
              <w:left w:val="nil"/>
              <w:bottom w:val="single" w:color="000000" w:sz="8" w:space="0"/>
              <w:right w:val="single" w:color="000000" w:sz="8" w:space="0"/>
            </w:tcBorders>
            <w:shd w:val="clear" w:color="auto" w:fill="auto"/>
            <w:vAlign w:val="center"/>
          </w:tcPr>
          <w:p w14:paraId="3B0F639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r>
              <w:rPr>
                <w:rFonts w:hint="eastAsia" w:ascii="宋体" w:hAnsi="宋体" w:eastAsia="宋体" w:cs="宋体"/>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500</w:t>
            </w:r>
            <w:r>
              <w:rPr>
                <w:rFonts w:hint="eastAsia" w:ascii="宋体" w:hAnsi="宋体" w:eastAsia="宋体" w:cs="宋体"/>
                <w:i w:val="0"/>
                <w:iCs w:val="0"/>
                <w:color w:val="auto"/>
                <w:kern w:val="0"/>
                <w:sz w:val="18"/>
                <w:szCs w:val="18"/>
                <w:highlight w:val="none"/>
                <w:u w:val="none"/>
                <w:lang w:val="en-US" w:eastAsia="zh-CN" w:bidi="ar"/>
              </w:rPr>
              <w:t>数字化地形图（一般区）</w:t>
            </w:r>
          </w:p>
        </w:tc>
        <w:tc>
          <w:tcPr>
            <w:tcW w:w="532" w:type="pct"/>
            <w:tcBorders>
              <w:top w:val="nil"/>
              <w:left w:val="nil"/>
              <w:bottom w:val="single" w:color="000000" w:sz="8" w:space="0"/>
              <w:right w:val="single" w:color="000000" w:sz="8" w:space="0"/>
            </w:tcBorders>
            <w:shd w:val="clear" w:color="auto" w:fill="auto"/>
            <w:vAlign w:val="center"/>
          </w:tcPr>
          <w:p w14:paraId="470656B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II</w:t>
            </w:r>
          </w:p>
        </w:tc>
        <w:tc>
          <w:tcPr>
            <w:tcW w:w="534" w:type="pct"/>
            <w:tcBorders>
              <w:top w:val="nil"/>
              <w:left w:val="nil"/>
              <w:bottom w:val="single" w:color="000000" w:sz="8" w:space="0"/>
              <w:right w:val="single" w:color="000000" w:sz="8" w:space="0"/>
            </w:tcBorders>
            <w:shd w:val="clear" w:color="auto" w:fill="auto"/>
            <w:vAlign w:val="center"/>
          </w:tcPr>
          <w:p w14:paraId="5D01554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4" w:type="pct"/>
            <w:tcBorders>
              <w:top w:val="nil"/>
              <w:left w:val="nil"/>
              <w:bottom w:val="single" w:color="000000" w:sz="8" w:space="0"/>
              <w:right w:val="single" w:color="000000" w:sz="8" w:space="0"/>
            </w:tcBorders>
            <w:shd w:val="clear" w:color="auto" w:fill="auto"/>
            <w:vAlign w:val="center"/>
          </w:tcPr>
          <w:p w14:paraId="1E8E7BA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5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6A3F05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幅</w:t>
            </w:r>
          </w:p>
        </w:tc>
        <w:tc>
          <w:tcPr>
            <w:tcW w:w="6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E1A913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13456.15</w:t>
            </w:r>
          </w:p>
        </w:tc>
        <w:tc>
          <w:tcPr>
            <w:tcW w:w="762" w:type="pct"/>
            <w:tcBorders>
              <w:top w:val="nil"/>
              <w:left w:val="nil"/>
              <w:bottom w:val="single" w:color="000000" w:sz="8" w:space="0"/>
              <w:right w:val="single" w:color="000000" w:sz="8" w:space="0"/>
            </w:tcBorders>
            <w:shd w:val="clear" w:color="auto" w:fill="auto"/>
            <w:vAlign w:val="center"/>
          </w:tcPr>
          <w:p w14:paraId="7E783E4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134561.5</w:t>
            </w:r>
          </w:p>
        </w:tc>
        <w:tc>
          <w:tcPr>
            <w:tcW w:w="515" w:type="pct"/>
            <w:tcBorders>
              <w:top w:val="nil"/>
              <w:left w:val="nil"/>
              <w:bottom w:val="single" w:color="000000" w:sz="8" w:space="0"/>
              <w:right w:val="single" w:color="000000" w:sz="8" w:space="0"/>
            </w:tcBorders>
            <w:shd w:val="clear" w:color="auto" w:fill="auto"/>
            <w:vAlign w:val="center"/>
          </w:tcPr>
          <w:p w14:paraId="6607164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用于规划报建</w:t>
            </w:r>
          </w:p>
        </w:tc>
      </w:tr>
      <w:tr w14:paraId="28F26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0E7D50B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w:t>
            </w:r>
          </w:p>
        </w:tc>
        <w:tc>
          <w:tcPr>
            <w:tcW w:w="532" w:type="pct"/>
            <w:tcBorders>
              <w:top w:val="nil"/>
              <w:left w:val="nil"/>
              <w:bottom w:val="single" w:color="000000" w:sz="8" w:space="0"/>
              <w:right w:val="single" w:color="000000" w:sz="8" w:space="0"/>
            </w:tcBorders>
            <w:shd w:val="clear" w:color="auto" w:fill="auto"/>
            <w:vAlign w:val="center"/>
          </w:tcPr>
          <w:p w14:paraId="20478DE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r>
              <w:rPr>
                <w:rFonts w:hint="eastAsia" w:ascii="宋体" w:hAnsi="宋体" w:eastAsia="宋体" w:cs="宋体"/>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500</w:t>
            </w:r>
            <w:r>
              <w:rPr>
                <w:rFonts w:hint="eastAsia" w:ascii="宋体" w:hAnsi="宋体" w:eastAsia="宋体" w:cs="宋体"/>
                <w:i w:val="0"/>
                <w:iCs w:val="0"/>
                <w:color w:val="auto"/>
                <w:kern w:val="0"/>
                <w:sz w:val="18"/>
                <w:szCs w:val="18"/>
                <w:highlight w:val="none"/>
                <w:u w:val="none"/>
                <w:lang w:val="en-US" w:eastAsia="zh-CN" w:bidi="ar"/>
              </w:rPr>
              <w:t>数字化地形图（建筑区）</w:t>
            </w:r>
          </w:p>
        </w:tc>
        <w:tc>
          <w:tcPr>
            <w:tcW w:w="532" w:type="pct"/>
            <w:tcBorders>
              <w:top w:val="nil"/>
              <w:left w:val="nil"/>
              <w:bottom w:val="single" w:color="000000" w:sz="8" w:space="0"/>
              <w:right w:val="single" w:color="000000" w:sz="8" w:space="0"/>
            </w:tcBorders>
            <w:shd w:val="clear" w:color="auto" w:fill="auto"/>
            <w:vAlign w:val="center"/>
          </w:tcPr>
          <w:p w14:paraId="7BC555F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II</w:t>
            </w:r>
          </w:p>
        </w:tc>
        <w:tc>
          <w:tcPr>
            <w:tcW w:w="534" w:type="pct"/>
            <w:tcBorders>
              <w:top w:val="nil"/>
              <w:left w:val="nil"/>
              <w:bottom w:val="single" w:color="000000" w:sz="8" w:space="0"/>
              <w:right w:val="single" w:color="000000" w:sz="8" w:space="0"/>
            </w:tcBorders>
            <w:shd w:val="clear" w:color="auto" w:fill="auto"/>
            <w:vAlign w:val="center"/>
          </w:tcPr>
          <w:p w14:paraId="6A5BAFB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4" w:type="pct"/>
            <w:tcBorders>
              <w:top w:val="nil"/>
              <w:left w:val="nil"/>
              <w:bottom w:val="single" w:color="000000" w:sz="8" w:space="0"/>
              <w:right w:val="single" w:color="000000" w:sz="8" w:space="0"/>
            </w:tcBorders>
            <w:shd w:val="clear" w:color="auto" w:fill="auto"/>
            <w:vAlign w:val="center"/>
          </w:tcPr>
          <w:p w14:paraId="36EAF14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w:t>
            </w:r>
          </w:p>
        </w:tc>
        <w:tc>
          <w:tcPr>
            <w:tcW w:w="5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C66215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幅</w:t>
            </w:r>
          </w:p>
        </w:tc>
        <w:tc>
          <w:tcPr>
            <w:tcW w:w="6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558230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13456.15</w:t>
            </w:r>
          </w:p>
        </w:tc>
        <w:tc>
          <w:tcPr>
            <w:tcW w:w="762" w:type="pct"/>
            <w:tcBorders>
              <w:top w:val="nil"/>
              <w:left w:val="nil"/>
              <w:bottom w:val="single" w:color="000000" w:sz="8" w:space="0"/>
              <w:right w:val="single" w:color="000000" w:sz="8" w:space="0"/>
            </w:tcBorders>
            <w:shd w:val="clear" w:color="auto" w:fill="auto"/>
            <w:vAlign w:val="center"/>
          </w:tcPr>
          <w:p w14:paraId="480158C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w:t>
            </w:r>
          </w:p>
        </w:tc>
        <w:tc>
          <w:tcPr>
            <w:tcW w:w="515" w:type="pct"/>
            <w:tcBorders>
              <w:top w:val="nil"/>
              <w:left w:val="nil"/>
              <w:bottom w:val="single" w:color="000000" w:sz="8" w:space="0"/>
              <w:right w:val="single" w:color="000000" w:sz="8" w:space="0"/>
            </w:tcBorders>
            <w:shd w:val="clear" w:color="auto" w:fill="auto"/>
            <w:vAlign w:val="center"/>
          </w:tcPr>
          <w:p w14:paraId="5BB7695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用于规划报建</w:t>
            </w:r>
          </w:p>
        </w:tc>
      </w:tr>
      <w:tr w14:paraId="61E1C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38DA326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532" w:type="pct"/>
            <w:tcBorders>
              <w:top w:val="nil"/>
              <w:left w:val="nil"/>
              <w:bottom w:val="single" w:color="000000" w:sz="8" w:space="0"/>
              <w:right w:val="single" w:color="000000" w:sz="8" w:space="0"/>
            </w:tcBorders>
            <w:shd w:val="clear" w:color="auto" w:fill="auto"/>
            <w:vAlign w:val="center"/>
          </w:tcPr>
          <w:p w14:paraId="65AB7B6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1:500</w:t>
            </w:r>
            <w:r>
              <w:rPr>
                <w:rFonts w:hint="eastAsia" w:ascii="宋体" w:hAnsi="宋体" w:eastAsia="宋体" w:cs="宋体"/>
                <w:i w:val="0"/>
                <w:iCs w:val="0"/>
                <w:color w:val="auto"/>
                <w:kern w:val="0"/>
                <w:sz w:val="18"/>
                <w:szCs w:val="18"/>
                <w:highlight w:val="none"/>
                <w:u w:val="none"/>
                <w:lang w:val="en-US" w:eastAsia="zh-CN" w:bidi="ar"/>
              </w:rPr>
              <w:t>水域测量</w:t>
            </w:r>
          </w:p>
        </w:tc>
        <w:tc>
          <w:tcPr>
            <w:tcW w:w="532" w:type="pct"/>
            <w:tcBorders>
              <w:top w:val="nil"/>
              <w:left w:val="nil"/>
              <w:bottom w:val="single" w:color="000000" w:sz="8" w:space="0"/>
              <w:right w:val="single" w:color="000000" w:sz="8" w:space="0"/>
            </w:tcBorders>
            <w:shd w:val="clear" w:color="auto" w:fill="auto"/>
            <w:vAlign w:val="center"/>
          </w:tcPr>
          <w:p w14:paraId="576837F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中等</w:t>
            </w:r>
          </w:p>
        </w:tc>
        <w:tc>
          <w:tcPr>
            <w:tcW w:w="534" w:type="pct"/>
            <w:tcBorders>
              <w:top w:val="nil"/>
              <w:left w:val="nil"/>
              <w:bottom w:val="single" w:color="000000" w:sz="8" w:space="0"/>
              <w:right w:val="single" w:color="000000" w:sz="8" w:space="0"/>
            </w:tcBorders>
            <w:shd w:val="clear" w:color="auto" w:fill="auto"/>
            <w:vAlign w:val="center"/>
          </w:tcPr>
          <w:p w14:paraId="596A702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4" w:type="pct"/>
            <w:tcBorders>
              <w:top w:val="nil"/>
              <w:left w:val="nil"/>
              <w:bottom w:val="single" w:color="000000" w:sz="8" w:space="0"/>
              <w:right w:val="single" w:color="000000" w:sz="8" w:space="0"/>
            </w:tcBorders>
            <w:shd w:val="clear" w:color="auto" w:fill="auto"/>
            <w:vAlign w:val="center"/>
          </w:tcPr>
          <w:p w14:paraId="57D9351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w:t>
            </w:r>
          </w:p>
        </w:tc>
        <w:tc>
          <w:tcPr>
            <w:tcW w:w="5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885455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km</w:t>
            </w:r>
            <w:r>
              <w:rPr>
                <w:rStyle w:val="174"/>
                <w:rFonts w:eastAsia="宋体"/>
                <w:color w:val="auto"/>
                <w:highlight w:val="none"/>
                <w:lang w:val="en-US" w:eastAsia="zh-CN" w:bidi="ar"/>
              </w:rPr>
              <w:t>2</w:t>
            </w:r>
          </w:p>
        </w:tc>
        <w:tc>
          <w:tcPr>
            <w:tcW w:w="6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ADD2F7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118396</w:t>
            </w:r>
          </w:p>
        </w:tc>
        <w:tc>
          <w:tcPr>
            <w:tcW w:w="762" w:type="pct"/>
            <w:tcBorders>
              <w:top w:val="nil"/>
              <w:left w:val="nil"/>
              <w:bottom w:val="single" w:color="000000" w:sz="8" w:space="0"/>
              <w:right w:val="single" w:color="000000" w:sz="8" w:space="0"/>
            </w:tcBorders>
            <w:shd w:val="clear" w:color="auto" w:fill="auto"/>
            <w:vAlign w:val="center"/>
          </w:tcPr>
          <w:p w14:paraId="01D5D86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w:t>
            </w:r>
          </w:p>
        </w:tc>
        <w:tc>
          <w:tcPr>
            <w:tcW w:w="515" w:type="pct"/>
            <w:tcBorders>
              <w:top w:val="nil"/>
              <w:left w:val="nil"/>
              <w:bottom w:val="single" w:color="000000" w:sz="8" w:space="0"/>
              <w:right w:val="single" w:color="000000" w:sz="8" w:space="0"/>
            </w:tcBorders>
            <w:shd w:val="clear" w:color="auto" w:fill="auto"/>
            <w:vAlign w:val="center"/>
          </w:tcPr>
          <w:p w14:paraId="010ED5A5">
            <w:pPr>
              <w:jc w:val="center"/>
              <w:rPr>
                <w:rFonts w:hint="default" w:ascii="Times New Roman" w:hAnsi="Times New Roman" w:eastAsia="宋体" w:cs="Times New Roman"/>
                <w:i w:val="0"/>
                <w:iCs w:val="0"/>
                <w:color w:val="auto"/>
                <w:sz w:val="18"/>
                <w:szCs w:val="18"/>
                <w:highlight w:val="none"/>
                <w:u w:val="none"/>
              </w:rPr>
            </w:pPr>
          </w:p>
        </w:tc>
      </w:tr>
      <w:tr w14:paraId="0515D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6D7D23A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w:t>
            </w:r>
          </w:p>
        </w:tc>
        <w:tc>
          <w:tcPr>
            <w:tcW w:w="532" w:type="pct"/>
            <w:tcBorders>
              <w:top w:val="nil"/>
              <w:left w:val="nil"/>
              <w:bottom w:val="single" w:color="000000" w:sz="8" w:space="0"/>
              <w:right w:val="single" w:color="000000" w:sz="8" w:space="0"/>
            </w:tcBorders>
            <w:shd w:val="clear" w:color="auto" w:fill="auto"/>
            <w:vAlign w:val="center"/>
          </w:tcPr>
          <w:p w14:paraId="573963B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定测中桩施放</w:t>
            </w:r>
          </w:p>
        </w:tc>
        <w:tc>
          <w:tcPr>
            <w:tcW w:w="532" w:type="pct"/>
            <w:tcBorders>
              <w:top w:val="nil"/>
              <w:left w:val="nil"/>
              <w:bottom w:val="single" w:color="000000" w:sz="8" w:space="0"/>
              <w:right w:val="single" w:color="000000" w:sz="8" w:space="0"/>
            </w:tcBorders>
            <w:shd w:val="clear" w:color="auto" w:fill="auto"/>
            <w:vAlign w:val="center"/>
          </w:tcPr>
          <w:p w14:paraId="2EF06C2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中等</w:t>
            </w:r>
          </w:p>
        </w:tc>
        <w:tc>
          <w:tcPr>
            <w:tcW w:w="534" w:type="pct"/>
            <w:tcBorders>
              <w:top w:val="nil"/>
              <w:left w:val="nil"/>
              <w:bottom w:val="single" w:color="000000" w:sz="8" w:space="0"/>
              <w:right w:val="single" w:color="000000" w:sz="8" w:space="0"/>
            </w:tcBorders>
            <w:shd w:val="clear" w:color="auto" w:fill="auto"/>
            <w:vAlign w:val="center"/>
          </w:tcPr>
          <w:p w14:paraId="619DBDA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4" w:type="pct"/>
            <w:tcBorders>
              <w:top w:val="nil"/>
              <w:left w:val="nil"/>
              <w:bottom w:val="single" w:color="000000" w:sz="8" w:space="0"/>
              <w:right w:val="single" w:color="000000" w:sz="8" w:space="0"/>
            </w:tcBorders>
            <w:shd w:val="clear" w:color="auto" w:fill="auto"/>
            <w:vAlign w:val="center"/>
          </w:tcPr>
          <w:p w14:paraId="6D96F17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180</w:t>
            </w:r>
          </w:p>
        </w:tc>
        <w:tc>
          <w:tcPr>
            <w:tcW w:w="5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894236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点</w:t>
            </w:r>
          </w:p>
        </w:tc>
        <w:tc>
          <w:tcPr>
            <w:tcW w:w="6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80D076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101</w:t>
            </w:r>
          </w:p>
        </w:tc>
        <w:tc>
          <w:tcPr>
            <w:tcW w:w="762" w:type="pct"/>
            <w:tcBorders>
              <w:top w:val="nil"/>
              <w:left w:val="nil"/>
              <w:bottom w:val="single" w:color="000000" w:sz="8" w:space="0"/>
              <w:right w:val="single" w:color="000000" w:sz="8" w:space="0"/>
            </w:tcBorders>
            <w:shd w:val="clear" w:color="auto" w:fill="auto"/>
            <w:vAlign w:val="center"/>
          </w:tcPr>
          <w:p w14:paraId="6EC69B6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18180</w:t>
            </w:r>
          </w:p>
        </w:tc>
        <w:tc>
          <w:tcPr>
            <w:tcW w:w="515" w:type="pct"/>
            <w:tcBorders>
              <w:top w:val="nil"/>
              <w:left w:val="nil"/>
              <w:bottom w:val="single" w:color="000000" w:sz="8" w:space="0"/>
              <w:right w:val="single" w:color="000000" w:sz="8" w:space="0"/>
            </w:tcBorders>
            <w:shd w:val="clear" w:color="auto" w:fill="auto"/>
            <w:vAlign w:val="center"/>
          </w:tcPr>
          <w:p w14:paraId="4D0EFA71">
            <w:pPr>
              <w:jc w:val="center"/>
              <w:rPr>
                <w:rFonts w:hint="default" w:ascii="Times New Roman" w:hAnsi="Times New Roman" w:eastAsia="宋体" w:cs="Times New Roman"/>
                <w:i w:val="0"/>
                <w:iCs w:val="0"/>
                <w:color w:val="auto"/>
                <w:sz w:val="18"/>
                <w:szCs w:val="18"/>
                <w:highlight w:val="none"/>
                <w:u w:val="none"/>
              </w:rPr>
            </w:pPr>
          </w:p>
        </w:tc>
      </w:tr>
      <w:tr w14:paraId="30000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7"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2BF11F1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532" w:type="pct"/>
            <w:tcBorders>
              <w:top w:val="nil"/>
              <w:left w:val="nil"/>
              <w:bottom w:val="single" w:color="000000" w:sz="8" w:space="0"/>
              <w:right w:val="single" w:color="000000" w:sz="8" w:space="0"/>
            </w:tcBorders>
            <w:shd w:val="clear" w:color="auto" w:fill="auto"/>
            <w:vAlign w:val="center"/>
          </w:tcPr>
          <w:p w14:paraId="42B4790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定测纵断面测量</w:t>
            </w:r>
          </w:p>
        </w:tc>
        <w:tc>
          <w:tcPr>
            <w:tcW w:w="532" w:type="pct"/>
            <w:tcBorders>
              <w:top w:val="nil"/>
              <w:left w:val="nil"/>
              <w:bottom w:val="single" w:color="000000" w:sz="8" w:space="0"/>
              <w:right w:val="single" w:color="000000" w:sz="8" w:space="0"/>
            </w:tcBorders>
            <w:shd w:val="clear" w:color="auto" w:fill="auto"/>
            <w:vAlign w:val="center"/>
          </w:tcPr>
          <w:p w14:paraId="087E326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中等</w:t>
            </w:r>
          </w:p>
        </w:tc>
        <w:tc>
          <w:tcPr>
            <w:tcW w:w="534" w:type="pct"/>
            <w:tcBorders>
              <w:top w:val="nil"/>
              <w:left w:val="nil"/>
              <w:bottom w:val="single" w:color="000000" w:sz="8" w:space="0"/>
              <w:right w:val="single" w:color="000000" w:sz="8" w:space="0"/>
            </w:tcBorders>
            <w:shd w:val="clear" w:color="auto" w:fill="auto"/>
            <w:vAlign w:val="center"/>
          </w:tcPr>
          <w:p w14:paraId="566787F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4" w:type="pct"/>
            <w:tcBorders>
              <w:top w:val="nil"/>
              <w:left w:val="nil"/>
              <w:bottom w:val="single" w:color="000000" w:sz="8" w:space="0"/>
              <w:right w:val="single" w:color="000000" w:sz="8" w:space="0"/>
            </w:tcBorders>
            <w:shd w:val="clear" w:color="auto" w:fill="auto"/>
            <w:vAlign w:val="center"/>
          </w:tcPr>
          <w:p w14:paraId="7982EFD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w:t>
            </w:r>
          </w:p>
        </w:tc>
        <w:tc>
          <w:tcPr>
            <w:tcW w:w="5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14B63C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km</w:t>
            </w:r>
          </w:p>
        </w:tc>
        <w:tc>
          <w:tcPr>
            <w:tcW w:w="6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ABA517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1354</w:t>
            </w:r>
          </w:p>
        </w:tc>
        <w:tc>
          <w:tcPr>
            <w:tcW w:w="762" w:type="pct"/>
            <w:tcBorders>
              <w:top w:val="nil"/>
              <w:left w:val="nil"/>
              <w:bottom w:val="single" w:color="000000" w:sz="8" w:space="0"/>
              <w:right w:val="single" w:color="000000" w:sz="8" w:space="0"/>
            </w:tcBorders>
            <w:shd w:val="clear" w:color="auto" w:fill="auto"/>
            <w:vAlign w:val="center"/>
          </w:tcPr>
          <w:p w14:paraId="16FFBD5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4062</w:t>
            </w:r>
          </w:p>
        </w:tc>
        <w:tc>
          <w:tcPr>
            <w:tcW w:w="515" w:type="pct"/>
            <w:tcBorders>
              <w:top w:val="nil"/>
              <w:left w:val="nil"/>
              <w:bottom w:val="single" w:color="000000" w:sz="8" w:space="0"/>
              <w:right w:val="single" w:color="000000" w:sz="8" w:space="0"/>
            </w:tcBorders>
            <w:shd w:val="clear" w:color="auto" w:fill="auto"/>
            <w:vAlign w:val="center"/>
          </w:tcPr>
          <w:p w14:paraId="4E2F78EE">
            <w:pPr>
              <w:jc w:val="center"/>
              <w:rPr>
                <w:rFonts w:hint="default" w:ascii="Times New Roman" w:hAnsi="Times New Roman" w:eastAsia="宋体" w:cs="Times New Roman"/>
                <w:i w:val="0"/>
                <w:iCs w:val="0"/>
                <w:color w:val="auto"/>
                <w:sz w:val="18"/>
                <w:szCs w:val="18"/>
                <w:highlight w:val="none"/>
                <w:u w:val="none"/>
              </w:rPr>
            </w:pPr>
          </w:p>
        </w:tc>
      </w:tr>
      <w:tr w14:paraId="09239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42083EA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w:t>
            </w:r>
          </w:p>
        </w:tc>
        <w:tc>
          <w:tcPr>
            <w:tcW w:w="532" w:type="pct"/>
            <w:tcBorders>
              <w:top w:val="nil"/>
              <w:left w:val="nil"/>
              <w:bottom w:val="single" w:color="000000" w:sz="8" w:space="0"/>
              <w:right w:val="single" w:color="000000" w:sz="8" w:space="0"/>
            </w:tcBorders>
            <w:shd w:val="clear" w:color="auto" w:fill="auto"/>
            <w:vAlign w:val="center"/>
          </w:tcPr>
          <w:p w14:paraId="10BDCD0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横断面测量</w:t>
            </w:r>
          </w:p>
        </w:tc>
        <w:tc>
          <w:tcPr>
            <w:tcW w:w="532" w:type="pct"/>
            <w:tcBorders>
              <w:top w:val="nil"/>
              <w:left w:val="nil"/>
              <w:bottom w:val="single" w:color="000000" w:sz="8" w:space="0"/>
              <w:right w:val="single" w:color="000000" w:sz="8" w:space="0"/>
            </w:tcBorders>
            <w:shd w:val="clear" w:color="auto" w:fill="auto"/>
            <w:vAlign w:val="center"/>
          </w:tcPr>
          <w:p w14:paraId="778DC1B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中等</w:t>
            </w:r>
          </w:p>
        </w:tc>
        <w:tc>
          <w:tcPr>
            <w:tcW w:w="534" w:type="pct"/>
            <w:tcBorders>
              <w:top w:val="nil"/>
              <w:left w:val="nil"/>
              <w:bottom w:val="single" w:color="000000" w:sz="8" w:space="0"/>
              <w:right w:val="single" w:color="000000" w:sz="8" w:space="0"/>
            </w:tcBorders>
            <w:shd w:val="clear" w:color="auto" w:fill="auto"/>
            <w:vAlign w:val="center"/>
          </w:tcPr>
          <w:p w14:paraId="728B6A9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4" w:type="pct"/>
            <w:tcBorders>
              <w:top w:val="nil"/>
              <w:left w:val="nil"/>
              <w:bottom w:val="single" w:color="000000" w:sz="8" w:space="0"/>
              <w:right w:val="single" w:color="000000" w:sz="8" w:space="0"/>
            </w:tcBorders>
            <w:shd w:val="clear" w:color="auto" w:fill="auto"/>
            <w:vAlign w:val="center"/>
          </w:tcPr>
          <w:p w14:paraId="7B81684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27</w:t>
            </w:r>
          </w:p>
        </w:tc>
        <w:tc>
          <w:tcPr>
            <w:tcW w:w="5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6E3693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km</w:t>
            </w:r>
          </w:p>
        </w:tc>
        <w:tc>
          <w:tcPr>
            <w:tcW w:w="6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B1103B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1354</w:t>
            </w:r>
          </w:p>
        </w:tc>
        <w:tc>
          <w:tcPr>
            <w:tcW w:w="762" w:type="pct"/>
            <w:tcBorders>
              <w:top w:val="nil"/>
              <w:left w:val="nil"/>
              <w:bottom w:val="single" w:color="000000" w:sz="8" w:space="0"/>
              <w:right w:val="single" w:color="000000" w:sz="8" w:space="0"/>
            </w:tcBorders>
            <w:shd w:val="clear" w:color="auto" w:fill="auto"/>
            <w:vAlign w:val="center"/>
          </w:tcPr>
          <w:p w14:paraId="50673F7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36558</w:t>
            </w:r>
          </w:p>
        </w:tc>
        <w:tc>
          <w:tcPr>
            <w:tcW w:w="515" w:type="pct"/>
            <w:tcBorders>
              <w:top w:val="nil"/>
              <w:left w:val="nil"/>
              <w:bottom w:val="single" w:color="000000" w:sz="8" w:space="0"/>
              <w:right w:val="single" w:color="000000" w:sz="8" w:space="0"/>
            </w:tcBorders>
            <w:shd w:val="clear" w:color="auto" w:fill="auto"/>
            <w:vAlign w:val="center"/>
          </w:tcPr>
          <w:p w14:paraId="23AC8F6C">
            <w:pPr>
              <w:jc w:val="center"/>
              <w:rPr>
                <w:rFonts w:hint="default" w:ascii="Times New Roman" w:hAnsi="Times New Roman" w:eastAsia="宋体" w:cs="Times New Roman"/>
                <w:i w:val="0"/>
                <w:iCs w:val="0"/>
                <w:color w:val="auto"/>
                <w:sz w:val="18"/>
                <w:szCs w:val="18"/>
                <w:highlight w:val="none"/>
                <w:u w:val="none"/>
              </w:rPr>
            </w:pPr>
          </w:p>
        </w:tc>
      </w:tr>
      <w:tr w14:paraId="4AC21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7"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5A12D7F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532" w:type="pct"/>
            <w:tcBorders>
              <w:top w:val="nil"/>
              <w:left w:val="nil"/>
              <w:bottom w:val="single" w:color="000000" w:sz="8" w:space="0"/>
              <w:right w:val="single" w:color="000000" w:sz="8" w:space="0"/>
            </w:tcBorders>
            <w:shd w:val="clear" w:color="auto" w:fill="auto"/>
            <w:vAlign w:val="center"/>
          </w:tcPr>
          <w:p w14:paraId="1FFA595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市政、交通部件调查</w:t>
            </w:r>
          </w:p>
        </w:tc>
        <w:tc>
          <w:tcPr>
            <w:tcW w:w="532" w:type="pct"/>
            <w:tcBorders>
              <w:top w:val="nil"/>
              <w:left w:val="nil"/>
              <w:bottom w:val="single" w:color="000000" w:sz="8" w:space="0"/>
              <w:right w:val="single" w:color="000000" w:sz="8" w:space="0"/>
            </w:tcBorders>
            <w:shd w:val="clear" w:color="auto" w:fill="auto"/>
            <w:vAlign w:val="center"/>
          </w:tcPr>
          <w:p w14:paraId="585FE61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中等</w:t>
            </w:r>
          </w:p>
        </w:tc>
        <w:tc>
          <w:tcPr>
            <w:tcW w:w="534" w:type="pct"/>
            <w:tcBorders>
              <w:top w:val="nil"/>
              <w:left w:val="nil"/>
              <w:bottom w:val="single" w:color="000000" w:sz="8" w:space="0"/>
              <w:right w:val="single" w:color="000000" w:sz="8" w:space="0"/>
            </w:tcBorders>
            <w:shd w:val="clear" w:color="auto" w:fill="auto"/>
            <w:vAlign w:val="center"/>
          </w:tcPr>
          <w:p w14:paraId="106CFFA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4" w:type="pct"/>
            <w:tcBorders>
              <w:top w:val="nil"/>
              <w:left w:val="nil"/>
              <w:bottom w:val="single" w:color="000000" w:sz="8" w:space="0"/>
              <w:right w:val="single" w:color="000000" w:sz="8" w:space="0"/>
            </w:tcBorders>
            <w:shd w:val="clear" w:color="auto" w:fill="auto"/>
            <w:vAlign w:val="center"/>
          </w:tcPr>
          <w:p w14:paraId="4D40F07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w:t>
            </w:r>
          </w:p>
        </w:tc>
        <w:tc>
          <w:tcPr>
            <w:tcW w:w="5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D7C3FF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处</w:t>
            </w:r>
          </w:p>
        </w:tc>
        <w:tc>
          <w:tcPr>
            <w:tcW w:w="6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A0908F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101</w:t>
            </w:r>
          </w:p>
        </w:tc>
        <w:tc>
          <w:tcPr>
            <w:tcW w:w="762" w:type="pct"/>
            <w:tcBorders>
              <w:top w:val="nil"/>
              <w:left w:val="nil"/>
              <w:bottom w:val="single" w:color="000000" w:sz="8" w:space="0"/>
              <w:right w:val="single" w:color="000000" w:sz="8" w:space="0"/>
            </w:tcBorders>
            <w:shd w:val="clear" w:color="auto" w:fill="auto"/>
            <w:vAlign w:val="center"/>
          </w:tcPr>
          <w:p w14:paraId="7DF228C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3030</w:t>
            </w:r>
          </w:p>
        </w:tc>
        <w:tc>
          <w:tcPr>
            <w:tcW w:w="515" w:type="pct"/>
            <w:tcBorders>
              <w:top w:val="nil"/>
              <w:left w:val="nil"/>
              <w:bottom w:val="single" w:color="000000" w:sz="8" w:space="0"/>
              <w:right w:val="single" w:color="000000" w:sz="8" w:space="0"/>
            </w:tcBorders>
            <w:shd w:val="clear" w:color="auto" w:fill="auto"/>
            <w:vAlign w:val="center"/>
          </w:tcPr>
          <w:p w14:paraId="77D193D4">
            <w:pPr>
              <w:jc w:val="center"/>
              <w:rPr>
                <w:rFonts w:hint="default" w:ascii="Times New Roman" w:hAnsi="Times New Roman" w:eastAsia="宋体" w:cs="Times New Roman"/>
                <w:i w:val="0"/>
                <w:iCs w:val="0"/>
                <w:color w:val="auto"/>
                <w:sz w:val="18"/>
                <w:szCs w:val="18"/>
                <w:highlight w:val="none"/>
                <w:u w:val="none"/>
              </w:rPr>
            </w:pPr>
          </w:p>
        </w:tc>
      </w:tr>
      <w:tr w14:paraId="5DEEA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0D4DE12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532" w:type="pct"/>
            <w:tcBorders>
              <w:top w:val="nil"/>
              <w:left w:val="nil"/>
              <w:bottom w:val="single" w:color="000000" w:sz="8" w:space="0"/>
              <w:right w:val="single" w:color="000000" w:sz="8" w:space="0"/>
            </w:tcBorders>
            <w:shd w:val="clear" w:color="auto" w:fill="auto"/>
            <w:vAlign w:val="center"/>
          </w:tcPr>
          <w:p w14:paraId="55B0580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桥涵现况测量</w:t>
            </w:r>
          </w:p>
        </w:tc>
        <w:tc>
          <w:tcPr>
            <w:tcW w:w="532" w:type="pct"/>
            <w:tcBorders>
              <w:top w:val="nil"/>
              <w:left w:val="nil"/>
              <w:bottom w:val="single" w:color="000000" w:sz="8" w:space="0"/>
              <w:right w:val="single" w:color="000000" w:sz="8" w:space="0"/>
            </w:tcBorders>
            <w:shd w:val="clear" w:color="auto" w:fill="auto"/>
            <w:vAlign w:val="center"/>
          </w:tcPr>
          <w:p w14:paraId="79D1E4F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中等</w:t>
            </w:r>
          </w:p>
        </w:tc>
        <w:tc>
          <w:tcPr>
            <w:tcW w:w="534" w:type="pct"/>
            <w:tcBorders>
              <w:top w:val="nil"/>
              <w:left w:val="nil"/>
              <w:bottom w:val="single" w:color="000000" w:sz="8" w:space="0"/>
              <w:right w:val="single" w:color="000000" w:sz="8" w:space="0"/>
            </w:tcBorders>
            <w:shd w:val="clear" w:color="auto" w:fill="auto"/>
            <w:vAlign w:val="center"/>
          </w:tcPr>
          <w:p w14:paraId="4FF205F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4" w:type="pct"/>
            <w:tcBorders>
              <w:top w:val="nil"/>
              <w:left w:val="nil"/>
              <w:bottom w:val="single" w:color="000000" w:sz="8" w:space="0"/>
              <w:right w:val="single" w:color="000000" w:sz="8" w:space="0"/>
            </w:tcBorders>
            <w:shd w:val="clear" w:color="auto" w:fill="auto"/>
            <w:vAlign w:val="center"/>
          </w:tcPr>
          <w:p w14:paraId="53352B6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5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2BE3EA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组日</w:t>
            </w:r>
          </w:p>
        </w:tc>
        <w:tc>
          <w:tcPr>
            <w:tcW w:w="6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6A42F8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1000</w:t>
            </w:r>
          </w:p>
        </w:tc>
        <w:tc>
          <w:tcPr>
            <w:tcW w:w="762" w:type="pct"/>
            <w:tcBorders>
              <w:top w:val="nil"/>
              <w:left w:val="nil"/>
              <w:bottom w:val="single" w:color="000000" w:sz="8" w:space="0"/>
              <w:right w:val="single" w:color="000000" w:sz="8" w:space="0"/>
            </w:tcBorders>
            <w:shd w:val="clear" w:color="auto" w:fill="auto"/>
            <w:vAlign w:val="center"/>
          </w:tcPr>
          <w:p w14:paraId="5E44BF0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10000</w:t>
            </w:r>
          </w:p>
        </w:tc>
        <w:tc>
          <w:tcPr>
            <w:tcW w:w="515" w:type="pct"/>
            <w:tcBorders>
              <w:top w:val="nil"/>
              <w:left w:val="nil"/>
              <w:bottom w:val="single" w:color="000000" w:sz="8" w:space="0"/>
              <w:right w:val="single" w:color="000000" w:sz="8" w:space="0"/>
            </w:tcBorders>
            <w:shd w:val="clear" w:color="auto" w:fill="auto"/>
            <w:vAlign w:val="center"/>
          </w:tcPr>
          <w:p w14:paraId="6560021B">
            <w:pPr>
              <w:jc w:val="center"/>
              <w:rPr>
                <w:rFonts w:hint="default" w:ascii="Times New Roman" w:hAnsi="Times New Roman" w:eastAsia="宋体" w:cs="Times New Roman"/>
                <w:i w:val="0"/>
                <w:iCs w:val="0"/>
                <w:color w:val="auto"/>
                <w:sz w:val="18"/>
                <w:szCs w:val="18"/>
                <w:highlight w:val="none"/>
                <w:u w:val="none"/>
              </w:rPr>
            </w:pPr>
          </w:p>
        </w:tc>
      </w:tr>
      <w:tr w14:paraId="796FE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16FCD62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c>
          <w:tcPr>
            <w:tcW w:w="532" w:type="pct"/>
            <w:tcBorders>
              <w:top w:val="nil"/>
              <w:left w:val="nil"/>
              <w:bottom w:val="single" w:color="000000" w:sz="8" w:space="0"/>
              <w:right w:val="single" w:color="000000" w:sz="8" w:space="0"/>
            </w:tcBorders>
            <w:shd w:val="clear" w:color="auto" w:fill="auto"/>
            <w:vAlign w:val="center"/>
          </w:tcPr>
          <w:p w14:paraId="2E6C1B1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线高、悬高测量</w:t>
            </w:r>
          </w:p>
        </w:tc>
        <w:tc>
          <w:tcPr>
            <w:tcW w:w="532" w:type="pct"/>
            <w:tcBorders>
              <w:top w:val="nil"/>
              <w:left w:val="nil"/>
              <w:bottom w:val="single" w:color="000000" w:sz="8" w:space="0"/>
              <w:right w:val="single" w:color="000000" w:sz="8" w:space="0"/>
            </w:tcBorders>
            <w:shd w:val="clear" w:color="auto" w:fill="auto"/>
            <w:vAlign w:val="center"/>
          </w:tcPr>
          <w:p w14:paraId="1D69DAF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中等</w:t>
            </w:r>
          </w:p>
        </w:tc>
        <w:tc>
          <w:tcPr>
            <w:tcW w:w="534" w:type="pct"/>
            <w:tcBorders>
              <w:top w:val="nil"/>
              <w:left w:val="nil"/>
              <w:bottom w:val="single" w:color="000000" w:sz="8" w:space="0"/>
              <w:right w:val="single" w:color="000000" w:sz="8" w:space="0"/>
            </w:tcBorders>
            <w:shd w:val="clear" w:color="auto" w:fill="auto"/>
            <w:vAlign w:val="center"/>
          </w:tcPr>
          <w:p w14:paraId="49907FD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4" w:type="pct"/>
            <w:tcBorders>
              <w:top w:val="nil"/>
              <w:left w:val="nil"/>
              <w:bottom w:val="single" w:color="000000" w:sz="8" w:space="0"/>
              <w:right w:val="single" w:color="000000" w:sz="8" w:space="0"/>
            </w:tcBorders>
            <w:shd w:val="clear" w:color="auto" w:fill="auto"/>
            <w:vAlign w:val="center"/>
          </w:tcPr>
          <w:p w14:paraId="7BF84E5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w:t>
            </w:r>
          </w:p>
        </w:tc>
        <w:tc>
          <w:tcPr>
            <w:tcW w:w="5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7B9852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处</w:t>
            </w:r>
          </w:p>
        </w:tc>
        <w:tc>
          <w:tcPr>
            <w:tcW w:w="6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82ECEC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101</w:t>
            </w:r>
          </w:p>
        </w:tc>
        <w:tc>
          <w:tcPr>
            <w:tcW w:w="762" w:type="pct"/>
            <w:tcBorders>
              <w:top w:val="nil"/>
              <w:left w:val="nil"/>
              <w:bottom w:val="single" w:color="000000" w:sz="8" w:space="0"/>
              <w:right w:val="single" w:color="000000" w:sz="8" w:space="0"/>
            </w:tcBorders>
            <w:shd w:val="clear" w:color="auto" w:fill="auto"/>
            <w:vAlign w:val="center"/>
          </w:tcPr>
          <w:p w14:paraId="1836E7D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3030</w:t>
            </w:r>
          </w:p>
        </w:tc>
        <w:tc>
          <w:tcPr>
            <w:tcW w:w="515" w:type="pct"/>
            <w:tcBorders>
              <w:top w:val="nil"/>
              <w:left w:val="nil"/>
              <w:bottom w:val="single" w:color="000000" w:sz="8" w:space="0"/>
              <w:right w:val="single" w:color="000000" w:sz="8" w:space="0"/>
            </w:tcBorders>
            <w:shd w:val="clear" w:color="auto" w:fill="auto"/>
            <w:vAlign w:val="center"/>
          </w:tcPr>
          <w:p w14:paraId="0B3E83DB">
            <w:pPr>
              <w:jc w:val="center"/>
              <w:rPr>
                <w:rFonts w:hint="default" w:ascii="Times New Roman" w:hAnsi="Times New Roman" w:eastAsia="宋体" w:cs="Times New Roman"/>
                <w:i w:val="0"/>
                <w:iCs w:val="0"/>
                <w:color w:val="auto"/>
                <w:sz w:val="18"/>
                <w:szCs w:val="18"/>
                <w:highlight w:val="none"/>
                <w:u w:val="none"/>
              </w:rPr>
            </w:pPr>
          </w:p>
        </w:tc>
      </w:tr>
      <w:tr w14:paraId="71BEE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7063A06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532" w:type="pct"/>
            <w:tcBorders>
              <w:top w:val="nil"/>
              <w:left w:val="nil"/>
              <w:bottom w:val="single" w:color="000000" w:sz="8" w:space="0"/>
              <w:right w:val="single" w:color="000000" w:sz="8" w:space="0"/>
            </w:tcBorders>
            <w:shd w:val="clear" w:color="auto" w:fill="auto"/>
            <w:vAlign w:val="center"/>
          </w:tcPr>
          <w:p w14:paraId="3D417C8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出水口调查</w:t>
            </w:r>
          </w:p>
        </w:tc>
        <w:tc>
          <w:tcPr>
            <w:tcW w:w="532" w:type="pct"/>
            <w:tcBorders>
              <w:top w:val="nil"/>
              <w:left w:val="nil"/>
              <w:bottom w:val="single" w:color="000000" w:sz="8" w:space="0"/>
              <w:right w:val="single" w:color="000000" w:sz="8" w:space="0"/>
            </w:tcBorders>
            <w:shd w:val="clear" w:color="auto" w:fill="auto"/>
            <w:vAlign w:val="center"/>
          </w:tcPr>
          <w:p w14:paraId="704F95C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中等</w:t>
            </w:r>
          </w:p>
        </w:tc>
        <w:tc>
          <w:tcPr>
            <w:tcW w:w="534" w:type="pct"/>
            <w:tcBorders>
              <w:top w:val="nil"/>
              <w:left w:val="nil"/>
              <w:bottom w:val="single" w:color="000000" w:sz="8" w:space="0"/>
              <w:right w:val="single" w:color="000000" w:sz="8" w:space="0"/>
            </w:tcBorders>
            <w:shd w:val="clear" w:color="auto" w:fill="auto"/>
            <w:vAlign w:val="center"/>
          </w:tcPr>
          <w:p w14:paraId="490266D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4" w:type="pct"/>
            <w:tcBorders>
              <w:top w:val="nil"/>
              <w:left w:val="nil"/>
              <w:bottom w:val="single" w:color="000000" w:sz="8" w:space="0"/>
              <w:right w:val="single" w:color="000000" w:sz="8" w:space="0"/>
            </w:tcBorders>
            <w:shd w:val="clear" w:color="auto" w:fill="auto"/>
            <w:vAlign w:val="center"/>
          </w:tcPr>
          <w:p w14:paraId="6D6A76C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5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0AC372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处</w:t>
            </w:r>
          </w:p>
        </w:tc>
        <w:tc>
          <w:tcPr>
            <w:tcW w:w="6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DAF9EB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101</w:t>
            </w:r>
          </w:p>
        </w:tc>
        <w:tc>
          <w:tcPr>
            <w:tcW w:w="762" w:type="pct"/>
            <w:tcBorders>
              <w:top w:val="nil"/>
              <w:left w:val="nil"/>
              <w:bottom w:val="single" w:color="000000" w:sz="8" w:space="0"/>
              <w:right w:val="single" w:color="000000" w:sz="8" w:space="0"/>
            </w:tcBorders>
            <w:shd w:val="clear" w:color="auto" w:fill="auto"/>
            <w:vAlign w:val="center"/>
          </w:tcPr>
          <w:p w14:paraId="54D68B7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1010</w:t>
            </w:r>
          </w:p>
        </w:tc>
        <w:tc>
          <w:tcPr>
            <w:tcW w:w="515" w:type="pct"/>
            <w:tcBorders>
              <w:top w:val="nil"/>
              <w:left w:val="nil"/>
              <w:bottom w:val="single" w:color="000000" w:sz="8" w:space="0"/>
              <w:right w:val="single" w:color="000000" w:sz="8" w:space="0"/>
            </w:tcBorders>
            <w:shd w:val="clear" w:color="auto" w:fill="auto"/>
            <w:vAlign w:val="center"/>
          </w:tcPr>
          <w:p w14:paraId="224A98BC">
            <w:pPr>
              <w:jc w:val="center"/>
              <w:rPr>
                <w:rFonts w:hint="default" w:ascii="Times New Roman" w:hAnsi="Times New Roman" w:eastAsia="宋体" w:cs="Times New Roman"/>
                <w:i w:val="0"/>
                <w:iCs w:val="0"/>
                <w:color w:val="auto"/>
                <w:sz w:val="18"/>
                <w:szCs w:val="18"/>
                <w:highlight w:val="none"/>
                <w:u w:val="none"/>
              </w:rPr>
            </w:pPr>
          </w:p>
        </w:tc>
      </w:tr>
      <w:tr w14:paraId="29F3B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7"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739ED03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w:t>
            </w:r>
          </w:p>
        </w:tc>
        <w:tc>
          <w:tcPr>
            <w:tcW w:w="532" w:type="pct"/>
            <w:tcBorders>
              <w:top w:val="nil"/>
              <w:left w:val="nil"/>
              <w:bottom w:val="single" w:color="000000" w:sz="8" w:space="0"/>
              <w:right w:val="single" w:color="000000" w:sz="8" w:space="0"/>
            </w:tcBorders>
            <w:shd w:val="clear" w:color="auto" w:fill="auto"/>
            <w:vAlign w:val="center"/>
          </w:tcPr>
          <w:p w14:paraId="51A06F1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路口标高加密测量</w:t>
            </w:r>
          </w:p>
        </w:tc>
        <w:tc>
          <w:tcPr>
            <w:tcW w:w="532" w:type="pct"/>
            <w:tcBorders>
              <w:top w:val="nil"/>
              <w:left w:val="nil"/>
              <w:bottom w:val="single" w:color="000000" w:sz="8" w:space="0"/>
              <w:right w:val="single" w:color="000000" w:sz="8" w:space="0"/>
            </w:tcBorders>
            <w:shd w:val="clear" w:color="auto" w:fill="auto"/>
            <w:vAlign w:val="center"/>
          </w:tcPr>
          <w:p w14:paraId="53691C4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中等</w:t>
            </w:r>
          </w:p>
        </w:tc>
        <w:tc>
          <w:tcPr>
            <w:tcW w:w="534" w:type="pct"/>
            <w:tcBorders>
              <w:top w:val="nil"/>
              <w:left w:val="nil"/>
              <w:bottom w:val="single" w:color="000000" w:sz="8" w:space="0"/>
              <w:right w:val="single" w:color="000000" w:sz="8" w:space="0"/>
            </w:tcBorders>
            <w:shd w:val="clear" w:color="auto" w:fill="auto"/>
            <w:vAlign w:val="center"/>
          </w:tcPr>
          <w:p w14:paraId="14A547D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4" w:type="pct"/>
            <w:tcBorders>
              <w:top w:val="nil"/>
              <w:left w:val="nil"/>
              <w:bottom w:val="single" w:color="000000" w:sz="8" w:space="0"/>
              <w:right w:val="single" w:color="000000" w:sz="8" w:space="0"/>
            </w:tcBorders>
            <w:shd w:val="clear" w:color="auto" w:fill="auto"/>
            <w:vAlign w:val="center"/>
          </w:tcPr>
          <w:p w14:paraId="3134373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w:t>
            </w:r>
          </w:p>
        </w:tc>
        <w:tc>
          <w:tcPr>
            <w:tcW w:w="5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4EB9B8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处</w:t>
            </w:r>
          </w:p>
        </w:tc>
        <w:tc>
          <w:tcPr>
            <w:tcW w:w="6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441BD7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101</w:t>
            </w:r>
          </w:p>
        </w:tc>
        <w:tc>
          <w:tcPr>
            <w:tcW w:w="762" w:type="pct"/>
            <w:tcBorders>
              <w:top w:val="nil"/>
              <w:left w:val="nil"/>
              <w:bottom w:val="single" w:color="000000" w:sz="8" w:space="0"/>
              <w:right w:val="single" w:color="000000" w:sz="8" w:space="0"/>
            </w:tcBorders>
            <w:shd w:val="clear" w:color="auto" w:fill="auto"/>
            <w:vAlign w:val="center"/>
          </w:tcPr>
          <w:p w14:paraId="0C17828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1111</w:t>
            </w:r>
          </w:p>
        </w:tc>
        <w:tc>
          <w:tcPr>
            <w:tcW w:w="515" w:type="pct"/>
            <w:tcBorders>
              <w:top w:val="nil"/>
              <w:left w:val="nil"/>
              <w:bottom w:val="single" w:color="000000" w:sz="8" w:space="0"/>
              <w:right w:val="single" w:color="000000" w:sz="8" w:space="0"/>
            </w:tcBorders>
            <w:shd w:val="clear" w:color="auto" w:fill="auto"/>
            <w:vAlign w:val="center"/>
          </w:tcPr>
          <w:p w14:paraId="0828A9AF">
            <w:pPr>
              <w:jc w:val="center"/>
              <w:rPr>
                <w:rFonts w:hint="default" w:ascii="Times New Roman" w:hAnsi="Times New Roman" w:eastAsia="宋体" w:cs="Times New Roman"/>
                <w:i w:val="0"/>
                <w:iCs w:val="0"/>
                <w:color w:val="auto"/>
                <w:sz w:val="18"/>
                <w:szCs w:val="18"/>
                <w:highlight w:val="none"/>
                <w:u w:val="none"/>
              </w:rPr>
            </w:pPr>
          </w:p>
        </w:tc>
      </w:tr>
      <w:tr w14:paraId="37214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7"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2EA86AB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w:t>
            </w:r>
          </w:p>
        </w:tc>
        <w:tc>
          <w:tcPr>
            <w:tcW w:w="532" w:type="pct"/>
            <w:tcBorders>
              <w:top w:val="nil"/>
              <w:left w:val="nil"/>
              <w:bottom w:val="single" w:color="000000" w:sz="8" w:space="0"/>
              <w:right w:val="single" w:color="000000" w:sz="8" w:space="0"/>
            </w:tcBorders>
            <w:shd w:val="clear" w:color="auto" w:fill="auto"/>
            <w:vAlign w:val="center"/>
          </w:tcPr>
          <w:p w14:paraId="7432851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其他小型工程测量</w:t>
            </w:r>
          </w:p>
        </w:tc>
        <w:tc>
          <w:tcPr>
            <w:tcW w:w="532" w:type="pct"/>
            <w:tcBorders>
              <w:top w:val="nil"/>
              <w:left w:val="nil"/>
              <w:bottom w:val="single" w:color="000000" w:sz="8" w:space="0"/>
              <w:right w:val="single" w:color="000000" w:sz="8" w:space="0"/>
            </w:tcBorders>
            <w:shd w:val="clear" w:color="auto" w:fill="auto"/>
            <w:vAlign w:val="center"/>
          </w:tcPr>
          <w:p w14:paraId="52B52A7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中等</w:t>
            </w:r>
          </w:p>
        </w:tc>
        <w:tc>
          <w:tcPr>
            <w:tcW w:w="534" w:type="pct"/>
            <w:tcBorders>
              <w:top w:val="nil"/>
              <w:left w:val="nil"/>
              <w:bottom w:val="single" w:color="000000" w:sz="8" w:space="0"/>
              <w:right w:val="single" w:color="000000" w:sz="8" w:space="0"/>
            </w:tcBorders>
            <w:shd w:val="clear" w:color="auto" w:fill="auto"/>
            <w:vAlign w:val="center"/>
          </w:tcPr>
          <w:p w14:paraId="1D9533A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4" w:type="pct"/>
            <w:tcBorders>
              <w:top w:val="nil"/>
              <w:left w:val="nil"/>
              <w:bottom w:val="single" w:color="000000" w:sz="8" w:space="0"/>
              <w:right w:val="single" w:color="000000" w:sz="8" w:space="0"/>
            </w:tcBorders>
            <w:shd w:val="clear" w:color="auto" w:fill="auto"/>
            <w:vAlign w:val="center"/>
          </w:tcPr>
          <w:p w14:paraId="7F6D428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5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F12AF4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组日</w:t>
            </w:r>
          </w:p>
        </w:tc>
        <w:tc>
          <w:tcPr>
            <w:tcW w:w="6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C28A56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1000</w:t>
            </w:r>
          </w:p>
        </w:tc>
        <w:tc>
          <w:tcPr>
            <w:tcW w:w="762" w:type="pct"/>
            <w:tcBorders>
              <w:top w:val="nil"/>
              <w:left w:val="nil"/>
              <w:bottom w:val="single" w:color="000000" w:sz="8" w:space="0"/>
              <w:right w:val="single" w:color="000000" w:sz="8" w:space="0"/>
            </w:tcBorders>
            <w:shd w:val="clear" w:color="auto" w:fill="auto"/>
            <w:vAlign w:val="center"/>
          </w:tcPr>
          <w:p w14:paraId="4C9A55C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20000</w:t>
            </w:r>
          </w:p>
        </w:tc>
        <w:tc>
          <w:tcPr>
            <w:tcW w:w="515" w:type="pct"/>
            <w:tcBorders>
              <w:top w:val="nil"/>
              <w:left w:val="nil"/>
              <w:bottom w:val="single" w:color="000000" w:sz="8" w:space="0"/>
              <w:right w:val="single" w:color="000000" w:sz="8" w:space="0"/>
            </w:tcBorders>
            <w:shd w:val="clear" w:color="auto" w:fill="auto"/>
            <w:vAlign w:val="center"/>
          </w:tcPr>
          <w:p w14:paraId="12912E72">
            <w:pPr>
              <w:jc w:val="center"/>
              <w:rPr>
                <w:rFonts w:hint="default" w:ascii="Times New Roman" w:hAnsi="Times New Roman" w:eastAsia="宋体" w:cs="Times New Roman"/>
                <w:i w:val="0"/>
                <w:iCs w:val="0"/>
                <w:color w:val="auto"/>
                <w:sz w:val="18"/>
                <w:szCs w:val="18"/>
                <w:highlight w:val="none"/>
                <w:u w:val="none"/>
              </w:rPr>
            </w:pPr>
          </w:p>
        </w:tc>
      </w:tr>
      <w:tr w14:paraId="6D458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1275353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w:t>
            </w:r>
          </w:p>
        </w:tc>
        <w:tc>
          <w:tcPr>
            <w:tcW w:w="532" w:type="pct"/>
            <w:tcBorders>
              <w:top w:val="nil"/>
              <w:left w:val="nil"/>
              <w:bottom w:val="single" w:color="000000" w:sz="8" w:space="0"/>
              <w:right w:val="single" w:color="000000" w:sz="8" w:space="0"/>
            </w:tcBorders>
            <w:shd w:val="clear" w:color="auto" w:fill="auto"/>
            <w:vAlign w:val="center"/>
          </w:tcPr>
          <w:p w14:paraId="17246C8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小计</w:t>
            </w:r>
          </w:p>
        </w:tc>
        <w:tc>
          <w:tcPr>
            <w:tcW w:w="532" w:type="pct"/>
            <w:tcBorders>
              <w:top w:val="nil"/>
              <w:left w:val="nil"/>
              <w:bottom w:val="nil"/>
              <w:right w:val="single" w:color="000000" w:sz="8" w:space="0"/>
            </w:tcBorders>
            <w:shd w:val="clear" w:color="auto" w:fill="auto"/>
            <w:vAlign w:val="center"/>
          </w:tcPr>
          <w:p w14:paraId="6AFEA3C5">
            <w:pPr>
              <w:jc w:val="center"/>
              <w:rPr>
                <w:rFonts w:hint="default" w:ascii="Times New Roman" w:hAnsi="Times New Roman" w:eastAsia="宋体" w:cs="Times New Roman"/>
                <w:i w:val="0"/>
                <w:iCs w:val="0"/>
                <w:color w:val="auto"/>
                <w:sz w:val="18"/>
                <w:szCs w:val="18"/>
                <w:highlight w:val="none"/>
                <w:u w:val="none"/>
              </w:rPr>
            </w:pPr>
          </w:p>
        </w:tc>
        <w:tc>
          <w:tcPr>
            <w:tcW w:w="534" w:type="pct"/>
            <w:tcBorders>
              <w:top w:val="nil"/>
              <w:left w:val="nil"/>
              <w:bottom w:val="nil"/>
              <w:right w:val="single" w:color="000000" w:sz="8" w:space="0"/>
            </w:tcBorders>
            <w:shd w:val="clear" w:color="auto" w:fill="auto"/>
            <w:vAlign w:val="center"/>
          </w:tcPr>
          <w:p w14:paraId="72BC8BFE">
            <w:pPr>
              <w:jc w:val="center"/>
              <w:rPr>
                <w:rFonts w:hint="default" w:ascii="Times New Roman" w:hAnsi="Times New Roman" w:eastAsia="宋体" w:cs="Times New Roman"/>
                <w:i w:val="0"/>
                <w:iCs w:val="0"/>
                <w:color w:val="auto"/>
                <w:sz w:val="18"/>
                <w:szCs w:val="18"/>
                <w:highlight w:val="none"/>
                <w:u w:val="none"/>
              </w:rPr>
            </w:pPr>
          </w:p>
        </w:tc>
        <w:tc>
          <w:tcPr>
            <w:tcW w:w="534" w:type="pct"/>
            <w:tcBorders>
              <w:top w:val="nil"/>
              <w:left w:val="nil"/>
              <w:bottom w:val="nil"/>
              <w:right w:val="nil"/>
            </w:tcBorders>
            <w:shd w:val="clear" w:color="auto" w:fill="auto"/>
            <w:vAlign w:val="center"/>
          </w:tcPr>
          <w:p w14:paraId="500B5504">
            <w:pPr>
              <w:jc w:val="center"/>
              <w:rPr>
                <w:rFonts w:hint="default" w:ascii="Times New Roman" w:hAnsi="Times New Roman" w:eastAsia="宋体" w:cs="Times New Roman"/>
                <w:i w:val="0"/>
                <w:iCs w:val="0"/>
                <w:color w:val="auto"/>
                <w:sz w:val="18"/>
                <w:szCs w:val="18"/>
                <w:highlight w:val="none"/>
                <w:u w:val="none"/>
              </w:rPr>
            </w:pPr>
          </w:p>
        </w:tc>
        <w:tc>
          <w:tcPr>
            <w:tcW w:w="509" w:type="pct"/>
            <w:tcBorders>
              <w:top w:val="single" w:color="000000" w:sz="8" w:space="0"/>
              <w:left w:val="single" w:color="000000" w:sz="8" w:space="0"/>
              <w:bottom w:val="nil"/>
              <w:right w:val="single" w:color="000000" w:sz="8" w:space="0"/>
            </w:tcBorders>
            <w:shd w:val="clear" w:color="auto" w:fill="auto"/>
            <w:vAlign w:val="center"/>
          </w:tcPr>
          <w:p w14:paraId="44D65114">
            <w:pPr>
              <w:jc w:val="center"/>
              <w:rPr>
                <w:rFonts w:hint="default" w:ascii="Times New Roman" w:hAnsi="Times New Roman" w:eastAsia="宋体" w:cs="Times New Roman"/>
                <w:i w:val="0"/>
                <w:iCs w:val="0"/>
                <w:color w:val="auto"/>
                <w:sz w:val="18"/>
                <w:szCs w:val="18"/>
                <w:highlight w:val="none"/>
                <w:u w:val="none"/>
              </w:rPr>
            </w:pPr>
          </w:p>
        </w:tc>
        <w:tc>
          <w:tcPr>
            <w:tcW w:w="635" w:type="pct"/>
            <w:tcBorders>
              <w:top w:val="single" w:color="000000" w:sz="8" w:space="0"/>
              <w:left w:val="single" w:color="000000" w:sz="8" w:space="0"/>
              <w:bottom w:val="nil"/>
              <w:right w:val="single" w:color="000000" w:sz="8" w:space="0"/>
            </w:tcBorders>
            <w:shd w:val="clear" w:color="auto" w:fill="auto"/>
            <w:vAlign w:val="center"/>
          </w:tcPr>
          <w:p w14:paraId="2553DBE0">
            <w:pPr>
              <w:jc w:val="center"/>
              <w:rPr>
                <w:rFonts w:hint="default" w:ascii="Times New Roman" w:hAnsi="Times New Roman" w:eastAsia="宋体" w:cs="Times New Roman"/>
                <w:i w:val="0"/>
                <w:iCs w:val="0"/>
                <w:color w:val="auto"/>
                <w:sz w:val="18"/>
                <w:szCs w:val="18"/>
                <w:highlight w:val="none"/>
                <w:u w:val="none"/>
              </w:rPr>
            </w:pPr>
          </w:p>
        </w:tc>
        <w:tc>
          <w:tcPr>
            <w:tcW w:w="762" w:type="pct"/>
            <w:tcBorders>
              <w:top w:val="nil"/>
              <w:left w:val="nil"/>
              <w:bottom w:val="single" w:color="000000" w:sz="8" w:space="0"/>
              <w:right w:val="single" w:color="000000" w:sz="8" w:space="0"/>
            </w:tcBorders>
            <w:shd w:val="clear" w:color="auto" w:fill="auto"/>
            <w:vAlign w:val="center"/>
          </w:tcPr>
          <w:p w14:paraId="0A3CB1B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394522.5</w:t>
            </w:r>
          </w:p>
        </w:tc>
        <w:tc>
          <w:tcPr>
            <w:tcW w:w="515" w:type="pct"/>
            <w:tcBorders>
              <w:top w:val="nil"/>
              <w:left w:val="nil"/>
              <w:bottom w:val="single" w:color="000000" w:sz="8" w:space="0"/>
              <w:right w:val="single" w:color="000000" w:sz="8" w:space="0"/>
            </w:tcBorders>
            <w:shd w:val="clear" w:color="auto" w:fill="auto"/>
            <w:vAlign w:val="center"/>
          </w:tcPr>
          <w:p w14:paraId="71436BA8">
            <w:pPr>
              <w:jc w:val="center"/>
              <w:rPr>
                <w:rFonts w:hint="default" w:ascii="Times New Roman" w:hAnsi="Times New Roman" w:eastAsia="宋体" w:cs="Times New Roman"/>
                <w:i w:val="0"/>
                <w:iCs w:val="0"/>
                <w:color w:val="auto"/>
                <w:sz w:val="18"/>
                <w:szCs w:val="18"/>
                <w:highlight w:val="none"/>
                <w:u w:val="none"/>
              </w:rPr>
            </w:pPr>
          </w:p>
        </w:tc>
      </w:tr>
      <w:tr w14:paraId="5ADEA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0C0BA60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w:t>
            </w:r>
          </w:p>
        </w:tc>
        <w:tc>
          <w:tcPr>
            <w:tcW w:w="532" w:type="pct"/>
            <w:tcBorders>
              <w:top w:val="nil"/>
              <w:left w:val="nil"/>
              <w:bottom w:val="single" w:color="000000" w:sz="8" w:space="0"/>
              <w:right w:val="single" w:color="000000" w:sz="8" w:space="0"/>
            </w:tcBorders>
            <w:shd w:val="clear" w:color="auto" w:fill="auto"/>
            <w:vAlign w:val="center"/>
          </w:tcPr>
          <w:p w14:paraId="0C54FBC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技术工作费</w:t>
            </w:r>
          </w:p>
        </w:tc>
        <w:tc>
          <w:tcPr>
            <w:tcW w:w="2745"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14:paraId="53D01ED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22%</w:t>
            </w:r>
            <w:r>
              <w:rPr>
                <w:rFonts w:hint="eastAsia" w:ascii="宋体" w:hAnsi="宋体" w:eastAsia="宋体" w:cs="宋体"/>
                <w:i w:val="0"/>
                <w:iCs w:val="0"/>
                <w:color w:val="auto"/>
                <w:kern w:val="0"/>
                <w:sz w:val="18"/>
                <w:szCs w:val="18"/>
                <w:highlight w:val="none"/>
                <w:u w:val="none"/>
                <w:lang w:val="en-US" w:eastAsia="zh-CN" w:bidi="ar"/>
              </w:rPr>
              <w:t>（不含</w:t>
            </w:r>
            <w:r>
              <w:rPr>
                <w:rFonts w:hint="default" w:ascii="Times New Roman" w:hAnsi="Times New Roman" w:eastAsia="宋体" w:cs="Times New Roman"/>
                <w:i w:val="0"/>
                <w:iCs w:val="0"/>
                <w:color w:val="auto"/>
                <w:kern w:val="0"/>
                <w:sz w:val="18"/>
                <w:szCs w:val="18"/>
                <w:highlight w:val="none"/>
                <w:u w:val="none"/>
                <w:lang w:val="en-US" w:eastAsia="zh-CN" w:bidi="ar"/>
              </w:rPr>
              <w:t>1</w:t>
            </w:r>
            <w:r>
              <w:rPr>
                <w:rFonts w:hint="eastAsia" w:ascii="宋体" w:hAnsi="宋体" w:eastAsia="宋体" w:cs="宋体"/>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2</w:t>
            </w:r>
            <w:r>
              <w:rPr>
                <w:rFonts w:hint="eastAsia" w:ascii="宋体" w:hAnsi="宋体" w:eastAsia="宋体" w:cs="宋体"/>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6</w:t>
            </w:r>
            <w:r>
              <w:rPr>
                <w:rFonts w:hint="eastAsia" w:ascii="宋体" w:hAnsi="宋体" w:eastAsia="宋体" w:cs="宋体"/>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7</w:t>
            </w:r>
            <w:r>
              <w:rPr>
                <w:rFonts w:hint="eastAsia" w:ascii="宋体" w:hAnsi="宋体" w:eastAsia="宋体" w:cs="宋体"/>
                <w:i w:val="0"/>
                <w:iCs w:val="0"/>
                <w:color w:val="auto"/>
                <w:kern w:val="0"/>
                <w:sz w:val="18"/>
                <w:szCs w:val="18"/>
                <w:highlight w:val="none"/>
                <w:u w:val="none"/>
                <w:lang w:val="en-US" w:eastAsia="zh-CN" w:bidi="ar"/>
              </w:rPr>
              <w:t>项）</w:t>
            </w:r>
          </w:p>
        </w:tc>
        <w:tc>
          <w:tcPr>
            <w:tcW w:w="762" w:type="pct"/>
            <w:tcBorders>
              <w:top w:val="nil"/>
              <w:left w:val="nil"/>
              <w:bottom w:val="single" w:color="000000" w:sz="8" w:space="0"/>
              <w:right w:val="single" w:color="000000" w:sz="8" w:space="0"/>
            </w:tcBorders>
            <w:shd w:val="clear" w:color="auto" w:fill="auto"/>
            <w:vAlign w:val="center"/>
          </w:tcPr>
          <w:p w14:paraId="2DAE7A9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23491.82</w:t>
            </w:r>
          </w:p>
        </w:tc>
        <w:tc>
          <w:tcPr>
            <w:tcW w:w="515" w:type="pct"/>
            <w:tcBorders>
              <w:top w:val="nil"/>
              <w:left w:val="nil"/>
              <w:bottom w:val="single" w:color="000000" w:sz="8" w:space="0"/>
              <w:right w:val="single" w:color="000000" w:sz="8" w:space="0"/>
            </w:tcBorders>
            <w:shd w:val="clear" w:color="auto" w:fill="auto"/>
            <w:vAlign w:val="center"/>
          </w:tcPr>
          <w:p w14:paraId="098791C7">
            <w:pPr>
              <w:jc w:val="center"/>
              <w:rPr>
                <w:rFonts w:hint="default" w:ascii="Times New Roman" w:hAnsi="Times New Roman" w:eastAsia="宋体" w:cs="Times New Roman"/>
                <w:i w:val="0"/>
                <w:iCs w:val="0"/>
                <w:color w:val="auto"/>
                <w:sz w:val="18"/>
                <w:szCs w:val="18"/>
                <w:highlight w:val="none"/>
                <w:u w:val="none"/>
              </w:rPr>
            </w:pPr>
          </w:p>
        </w:tc>
      </w:tr>
      <w:tr w14:paraId="139AF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0043262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532" w:type="pct"/>
            <w:tcBorders>
              <w:top w:val="nil"/>
              <w:left w:val="nil"/>
              <w:bottom w:val="single" w:color="000000" w:sz="8" w:space="0"/>
              <w:right w:val="single" w:color="000000" w:sz="8" w:space="0"/>
            </w:tcBorders>
            <w:shd w:val="clear" w:color="auto" w:fill="auto"/>
            <w:vAlign w:val="center"/>
          </w:tcPr>
          <w:p w14:paraId="2CB414E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合计</w:t>
            </w:r>
          </w:p>
        </w:tc>
        <w:tc>
          <w:tcPr>
            <w:tcW w:w="2745"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14:paraId="2DDF424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下浮</w:t>
            </w:r>
            <w:r>
              <w:rPr>
                <w:rFonts w:hint="default" w:ascii="Times New Roman" w:hAnsi="Times New Roman" w:eastAsia="宋体" w:cs="Times New Roman"/>
                <w:i w:val="0"/>
                <w:iCs w:val="0"/>
                <w:color w:val="auto"/>
                <w:kern w:val="0"/>
                <w:sz w:val="18"/>
                <w:szCs w:val="18"/>
                <w:highlight w:val="none"/>
                <w:u w:val="none"/>
                <w:lang w:val="en-US" w:eastAsia="zh-CN" w:bidi="ar"/>
              </w:rPr>
              <w:t>30%</w:t>
            </w:r>
          </w:p>
        </w:tc>
        <w:tc>
          <w:tcPr>
            <w:tcW w:w="762" w:type="pct"/>
            <w:tcBorders>
              <w:top w:val="single" w:color="000000" w:sz="8" w:space="0"/>
              <w:left w:val="nil"/>
              <w:bottom w:val="single" w:color="000000" w:sz="8" w:space="0"/>
              <w:right w:val="single" w:color="000000" w:sz="8" w:space="0"/>
            </w:tcBorders>
            <w:shd w:val="clear" w:color="auto" w:fill="auto"/>
            <w:vAlign w:val="center"/>
          </w:tcPr>
          <w:p w14:paraId="0BE2913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292610.02</w:t>
            </w:r>
          </w:p>
        </w:tc>
        <w:tc>
          <w:tcPr>
            <w:tcW w:w="515" w:type="pct"/>
            <w:tcBorders>
              <w:top w:val="single" w:color="000000" w:sz="8" w:space="0"/>
              <w:left w:val="nil"/>
              <w:bottom w:val="single" w:color="000000" w:sz="8" w:space="0"/>
              <w:right w:val="single" w:color="000000" w:sz="8" w:space="0"/>
            </w:tcBorders>
            <w:shd w:val="clear" w:color="auto" w:fill="auto"/>
            <w:vAlign w:val="center"/>
          </w:tcPr>
          <w:p w14:paraId="0227F6FC">
            <w:pPr>
              <w:jc w:val="center"/>
              <w:rPr>
                <w:rFonts w:hint="default" w:ascii="Times New Roman" w:hAnsi="Times New Roman" w:eastAsia="宋体" w:cs="Times New Roman"/>
                <w:i w:val="0"/>
                <w:iCs w:val="0"/>
                <w:color w:val="auto"/>
                <w:sz w:val="18"/>
                <w:szCs w:val="18"/>
                <w:highlight w:val="none"/>
                <w:u w:val="none"/>
              </w:rPr>
            </w:pPr>
          </w:p>
        </w:tc>
      </w:tr>
      <w:tr w14:paraId="536A2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7"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08C1C892">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二</w:t>
            </w:r>
          </w:p>
        </w:tc>
        <w:tc>
          <w:tcPr>
            <w:tcW w:w="532" w:type="pct"/>
            <w:tcBorders>
              <w:top w:val="nil"/>
              <w:left w:val="nil"/>
              <w:bottom w:val="single" w:color="000000" w:sz="8" w:space="0"/>
              <w:right w:val="single" w:color="000000" w:sz="8" w:space="0"/>
            </w:tcBorders>
            <w:shd w:val="clear" w:color="auto" w:fill="auto"/>
            <w:vAlign w:val="center"/>
          </w:tcPr>
          <w:p w14:paraId="0493FB22">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管线探测费计算</w:t>
            </w:r>
          </w:p>
        </w:tc>
        <w:tc>
          <w:tcPr>
            <w:tcW w:w="532" w:type="pct"/>
            <w:tcBorders>
              <w:top w:val="nil"/>
              <w:left w:val="nil"/>
              <w:bottom w:val="single" w:color="000000" w:sz="8" w:space="0"/>
              <w:right w:val="single" w:color="000000" w:sz="8" w:space="0"/>
            </w:tcBorders>
            <w:shd w:val="clear" w:color="auto" w:fill="auto"/>
            <w:vAlign w:val="center"/>
          </w:tcPr>
          <w:p w14:paraId="2A70C7FB">
            <w:pPr>
              <w:jc w:val="center"/>
              <w:rPr>
                <w:rFonts w:hint="default" w:ascii="Times New Roman" w:hAnsi="Times New Roman" w:eastAsia="宋体" w:cs="Times New Roman"/>
                <w:i w:val="0"/>
                <w:iCs w:val="0"/>
                <w:strike/>
                <w:color w:val="auto"/>
                <w:sz w:val="18"/>
                <w:szCs w:val="18"/>
                <w:highlight w:val="none"/>
              </w:rPr>
            </w:pPr>
          </w:p>
        </w:tc>
        <w:tc>
          <w:tcPr>
            <w:tcW w:w="534" w:type="pct"/>
            <w:tcBorders>
              <w:top w:val="nil"/>
              <w:left w:val="nil"/>
              <w:bottom w:val="single" w:color="000000" w:sz="8" w:space="0"/>
              <w:right w:val="single" w:color="000000" w:sz="8" w:space="0"/>
            </w:tcBorders>
            <w:shd w:val="clear" w:color="auto" w:fill="auto"/>
            <w:vAlign w:val="center"/>
          </w:tcPr>
          <w:p w14:paraId="5C783D25">
            <w:pPr>
              <w:jc w:val="center"/>
              <w:rPr>
                <w:rFonts w:hint="default" w:ascii="Times New Roman" w:hAnsi="Times New Roman" w:eastAsia="宋体" w:cs="Times New Roman"/>
                <w:i w:val="0"/>
                <w:iCs w:val="0"/>
                <w:strike/>
                <w:color w:val="auto"/>
                <w:sz w:val="18"/>
                <w:szCs w:val="18"/>
                <w:highlight w:val="none"/>
              </w:rPr>
            </w:pPr>
          </w:p>
        </w:tc>
        <w:tc>
          <w:tcPr>
            <w:tcW w:w="534" w:type="pct"/>
            <w:tcBorders>
              <w:top w:val="nil"/>
              <w:left w:val="nil"/>
              <w:bottom w:val="single" w:color="000000" w:sz="8" w:space="0"/>
              <w:right w:val="single" w:color="000000" w:sz="8" w:space="0"/>
            </w:tcBorders>
            <w:shd w:val="clear" w:color="auto" w:fill="auto"/>
            <w:vAlign w:val="center"/>
          </w:tcPr>
          <w:p w14:paraId="1F2E2252">
            <w:pPr>
              <w:jc w:val="center"/>
              <w:rPr>
                <w:rFonts w:hint="default" w:ascii="Times New Roman" w:hAnsi="Times New Roman" w:eastAsia="宋体" w:cs="Times New Roman"/>
                <w:i w:val="0"/>
                <w:iCs w:val="0"/>
                <w:strike/>
                <w:color w:val="auto"/>
                <w:sz w:val="18"/>
                <w:szCs w:val="18"/>
                <w:highlight w:val="none"/>
              </w:rPr>
            </w:pPr>
          </w:p>
        </w:tc>
        <w:tc>
          <w:tcPr>
            <w:tcW w:w="509" w:type="pct"/>
            <w:tcBorders>
              <w:top w:val="nil"/>
              <w:left w:val="nil"/>
              <w:bottom w:val="single" w:color="000000" w:sz="8" w:space="0"/>
              <w:right w:val="single" w:color="000000" w:sz="8" w:space="0"/>
            </w:tcBorders>
            <w:shd w:val="clear" w:color="auto" w:fill="auto"/>
            <w:vAlign w:val="center"/>
          </w:tcPr>
          <w:p w14:paraId="02FD91C2">
            <w:pPr>
              <w:jc w:val="center"/>
              <w:rPr>
                <w:rFonts w:hint="default" w:ascii="Times New Roman" w:hAnsi="Times New Roman" w:eastAsia="宋体" w:cs="Times New Roman"/>
                <w:i w:val="0"/>
                <w:iCs w:val="0"/>
                <w:strike/>
                <w:color w:val="auto"/>
                <w:sz w:val="18"/>
                <w:szCs w:val="18"/>
                <w:highlight w:val="none"/>
              </w:rPr>
            </w:pPr>
          </w:p>
        </w:tc>
        <w:tc>
          <w:tcPr>
            <w:tcW w:w="635" w:type="pct"/>
            <w:tcBorders>
              <w:top w:val="nil"/>
              <w:left w:val="nil"/>
              <w:bottom w:val="single" w:color="000000" w:sz="8" w:space="0"/>
              <w:right w:val="single" w:color="000000" w:sz="8" w:space="0"/>
            </w:tcBorders>
            <w:shd w:val="clear" w:color="auto" w:fill="auto"/>
            <w:vAlign w:val="center"/>
          </w:tcPr>
          <w:p w14:paraId="6D005250">
            <w:pPr>
              <w:jc w:val="center"/>
              <w:rPr>
                <w:rFonts w:hint="default" w:ascii="Times New Roman" w:hAnsi="Times New Roman" w:eastAsia="宋体" w:cs="Times New Roman"/>
                <w:i w:val="0"/>
                <w:iCs w:val="0"/>
                <w:strike/>
                <w:color w:val="auto"/>
                <w:sz w:val="18"/>
                <w:szCs w:val="18"/>
                <w:highlight w:val="none"/>
              </w:rPr>
            </w:pPr>
          </w:p>
        </w:tc>
        <w:tc>
          <w:tcPr>
            <w:tcW w:w="762" w:type="pct"/>
            <w:tcBorders>
              <w:top w:val="nil"/>
              <w:left w:val="nil"/>
              <w:bottom w:val="single" w:color="000000" w:sz="8" w:space="0"/>
              <w:right w:val="single" w:color="000000" w:sz="8" w:space="0"/>
            </w:tcBorders>
            <w:shd w:val="clear" w:color="auto" w:fill="auto"/>
            <w:vAlign w:val="center"/>
          </w:tcPr>
          <w:p w14:paraId="6BE50DA6">
            <w:pPr>
              <w:jc w:val="center"/>
              <w:rPr>
                <w:rFonts w:hint="default" w:ascii="Times New Roman" w:hAnsi="Times New Roman" w:eastAsia="宋体" w:cs="Times New Roman"/>
                <w:b/>
                <w:bCs/>
                <w:i w:val="0"/>
                <w:iCs w:val="0"/>
                <w:strike/>
                <w:color w:val="auto"/>
                <w:sz w:val="18"/>
                <w:szCs w:val="18"/>
                <w:highlight w:val="none"/>
              </w:rPr>
            </w:pPr>
          </w:p>
        </w:tc>
        <w:tc>
          <w:tcPr>
            <w:tcW w:w="515" w:type="pct"/>
            <w:tcBorders>
              <w:top w:val="nil"/>
              <w:left w:val="nil"/>
              <w:bottom w:val="single" w:color="000000" w:sz="8" w:space="0"/>
              <w:right w:val="single" w:color="000000" w:sz="8" w:space="0"/>
            </w:tcBorders>
            <w:shd w:val="clear" w:color="auto" w:fill="auto"/>
            <w:vAlign w:val="center"/>
          </w:tcPr>
          <w:p w14:paraId="6D44DA8C">
            <w:pPr>
              <w:jc w:val="center"/>
              <w:rPr>
                <w:rFonts w:hint="default" w:ascii="Times New Roman" w:hAnsi="Times New Roman" w:eastAsia="宋体" w:cs="Times New Roman"/>
                <w:i w:val="0"/>
                <w:iCs w:val="0"/>
                <w:color w:val="auto"/>
                <w:sz w:val="18"/>
                <w:szCs w:val="18"/>
                <w:highlight w:val="none"/>
                <w:u w:val="none"/>
              </w:rPr>
            </w:pPr>
          </w:p>
        </w:tc>
      </w:tr>
      <w:tr w14:paraId="4E961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02A12EE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2" w:type="pct"/>
            <w:tcBorders>
              <w:top w:val="nil"/>
              <w:left w:val="nil"/>
              <w:bottom w:val="single" w:color="000000" w:sz="8" w:space="0"/>
              <w:right w:val="single" w:color="000000" w:sz="8" w:space="0"/>
            </w:tcBorders>
            <w:shd w:val="clear" w:color="auto" w:fill="auto"/>
            <w:vAlign w:val="center"/>
          </w:tcPr>
          <w:p w14:paraId="71225F7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物探费计算</w:t>
            </w:r>
          </w:p>
        </w:tc>
        <w:tc>
          <w:tcPr>
            <w:tcW w:w="532" w:type="pct"/>
            <w:tcBorders>
              <w:top w:val="nil"/>
              <w:left w:val="nil"/>
              <w:bottom w:val="single" w:color="000000" w:sz="8" w:space="0"/>
              <w:right w:val="single" w:color="000000" w:sz="8" w:space="0"/>
            </w:tcBorders>
            <w:shd w:val="clear" w:color="auto" w:fill="auto"/>
            <w:vAlign w:val="center"/>
          </w:tcPr>
          <w:p w14:paraId="773D4B7E">
            <w:pPr>
              <w:jc w:val="center"/>
              <w:rPr>
                <w:rFonts w:hint="default" w:ascii="Times New Roman" w:hAnsi="Times New Roman" w:eastAsia="宋体" w:cs="Times New Roman"/>
                <w:i w:val="0"/>
                <w:iCs w:val="0"/>
                <w:strike/>
                <w:color w:val="auto"/>
                <w:sz w:val="18"/>
                <w:szCs w:val="18"/>
                <w:highlight w:val="none"/>
              </w:rPr>
            </w:pPr>
          </w:p>
        </w:tc>
        <w:tc>
          <w:tcPr>
            <w:tcW w:w="534" w:type="pct"/>
            <w:tcBorders>
              <w:top w:val="nil"/>
              <w:left w:val="nil"/>
              <w:bottom w:val="single" w:color="000000" w:sz="8" w:space="0"/>
              <w:right w:val="single" w:color="000000" w:sz="8" w:space="0"/>
            </w:tcBorders>
            <w:shd w:val="clear" w:color="auto" w:fill="auto"/>
            <w:vAlign w:val="center"/>
          </w:tcPr>
          <w:p w14:paraId="6D1E4E4F">
            <w:pPr>
              <w:jc w:val="center"/>
              <w:rPr>
                <w:rFonts w:hint="default" w:ascii="Times New Roman" w:hAnsi="Times New Roman" w:eastAsia="宋体" w:cs="Times New Roman"/>
                <w:i w:val="0"/>
                <w:iCs w:val="0"/>
                <w:strike/>
                <w:color w:val="auto"/>
                <w:sz w:val="18"/>
                <w:szCs w:val="18"/>
                <w:highlight w:val="none"/>
              </w:rPr>
            </w:pPr>
          </w:p>
        </w:tc>
        <w:tc>
          <w:tcPr>
            <w:tcW w:w="534" w:type="pct"/>
            <w:tcBorders>
              <w:top w:val="nil"/>
              <w:left w:val="nil"/>
              <w:bottom w:val="single" w:color="000000" w:sz="8" w:space="0"/>
              <w:right w:val="single" w:color="000000" w:sz="8" w:space="0"/>
            </w:tcBorders>
            <w:shd w:val="clear" w:color="auto" w:fill="auto"/>
            <w:vAlign w:val="center"/>
          </w:tcPr>
          <w:p w14:paraId="2CA63D60">
            <w:pPr>
              <w:jc w:val="center"/>
              <w:rPr>
                <w:rFonts w:hint="default" w:ascii="Times New Roman" w:hAnsi="Times New Roman" w:eastAsia="宋体" w:cs="Times New Roman"/>
                <w:i w:val="0"/>
                <w:iCs w:val="0"/>
                <w:strike/>
                <w:color w:val="auto"/>
                <w:sz w:val="18"/>
                <w:szCs w:val="18"/>
                <w:highlight w:val="none"/>
              </w:rPr>
            </w:pPr>
          </w:p>
        </w:tc>
        <w:tc>
          <w:tcPr>
            <w:tcW w:w="509" w:type="pct"/>
            <w:tcBorders>
              <w:top w:val="nil"/>
              <w:left w:val="nil"/>
              <w:bottom w:val="single" w:color="000000" w:sz="8" w:space="0"/>
              <w:right w:val="single" w:color="000000" w:sz="8" w:space="0"/>
            </w:tcBorders>
            <w:shd w:val="clear" w:color="auto" w:fill="auto"/>
            <w:vAlign w:val="center"/>
          </w:tcPr>
          <w:p w14:paraId="2D094EAD">
            <w:pPr>
              <w:jc w:val="center"/>
              <w:rPr>
                <w:rFonts w:hint="default" w:ascii="Times New Roman" w:hAnsi="Times New Roman" w:eastAsia="宋体" w:cs="Times New Roman"/>
                <w:i w:val="0"/>
                <w:iCs w:val="0"/>
                <w:strike/>
                <w:color w:val="auto"/>
                <w:sz w:val="18"/>
                <w:szCs w:val="18"/>
                <w:highlight w:val="none"/>
              </w:rPr>
            </w:pPr>
          </w:p>
        </w:tc>
        <w:tc>
          <w:tcPr>
            <w:tcW w:w="635" w:type="pct"/>
            <w:tcBorders>
              <w:top w:val="nil"/>
              <w:left w:val="nil"/>
              <w:bottom w:val="single" w:color="000000" w:sz="8" w:space="0"/>
              <w:right w:val="single" w:color="000000" w:sz="8" w:space="0"/>
            </w:tcBorders>
            <w:shd w:val="clear" w:color="auto" w:fill="auto"/>
            <w:vAlign w:val="center"/>
          </w:tcPr>
          <w:p w14:paraId="196D8BC3">
            <w:pPr>
              <w:jc w:val="center"/>
              <w:rPr>
                <w:rFonts w:hint="default" w:ascii="Times New Roman" w:hAnsi="Times New Roman" w:eastAsia="宋体" w:cs="Times New Roman"/>
                <w:i w:val="0"/>
                <w:iCs w:val="0"/>
                <w:strike/>
                <w:color w:val="auto"/>
                <w:sz w:val="18"/>
                <w:szCs w:val="18"/>
                <w:highlight w:val="none"/>
              </w:rPr>
            </w:pPr>
          </w:p>
        </w:tc>
        <w:tc>
          <w:tcPr>
            <w:tcW w:w="762" w:type="pct"/>
            <w:tcBorders>
              <w:top w:val="nil"/>
              <w:left w:val="nil"/>
              <w:bottom w:val="single" w:color="000000" w:sz="8" w:space="0"/>
              <w:right w:val="single" w:color="000000" w:sz="8" w:space="0"/>
            </w:tcBorders>
            <w:shd w:val="clear" w:color="auto" w:fill="auto"/>
            <w:vAlign w:val="center"/>
          </w:tcPr>
          <w:p w14:paraId="603FE9FF">
            <w:pPr>
              <w:jc w:val="center"/>
              <w:rPr>
                <w:rFonts w:hint="default" w:ascii="Times New Roman" w:hAnsi="Times New Roman" w:eastAsia="宋体" w:cs="Times New Roman"/>
                <w:b/>
                <w:bCs/>
                <w:i w:val="0"/>
                <w:iCs w:val="0"/>
                <w:strike/>
                <w:color w:val="auto"/>
                <w:sz w:val="18"/>
                <w:szCs w:val="18"/>
                <w:highlight w:val="none"/>
              </w:rPr>
            </w:pPr>
          </w:p>
        </w:tc>
        <w:tc>
          <w:tcPr>
            <w:tcW w:w="515" w:type="pct"/>
            <w:tcBorders>
              <w:top w:val="nil"/>
              <w:left w:val="nil"/>
              <w:bottom w:val="single" w:color="000000" w:sz="8" w:space="0"/>
              <w:right w:val="single" w:color="000000" w:sz="8" w:space="0"/>
            </w:tcBorders>
            <w:shd w:val="clear" w:color="auto" w:fill="auto"/>
            <w:vAlign w:val="center"/>
          </w:tcPr>
          <w:p w14:paraId="30302099">
            <w:pPr>
              <w:jc w:val="center"/>
              <w:rPr>
                <w:rFonts w:hint="default" w:ascii="Times New Roman" w:hAnsi="Times New Roman" w:eastAsia="宋体" w:cs="Times New Roman"/>
                <w:i w:val="0"/>
                <w:iCs w:val="0"/>
                <w:color w:val="auto"/>
                <w:sz w:val="18"/>
                <w:szCs w:val="18"/>
                <w:highlight w:val="none"/>
                <w:u w:val="none"/>
              </w:rPr>
            </w:pPr>
          </w:p>
        </w:tc>
      </w:tr>
      <w:tr w14:paraId="2556B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5FF61A6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w:t>
            </w:r>
          </w:p>
        </w:tc>
        <w:tc>
          <w:tcPr>
            <w:tcW w:w="532" w:type="pct"/>
            <w:tcBorders>
              <w:top w:val="nil"/>
              <w:left w:val="nil"/>
              <w:bottom w:val="single" w:color="000000" w:sz="8" w:space="0"/>
              <w:right w:val="single" w:color="000000" w:sz="8" w:space="0"/>
            </w:tcBorders>
            <w:shd w:val="clear" w:color="auto" w:fill="auto"/>
            <w:vAlign w:val="center"/>
          </w:tcPr>
          <w:p w14:paraId="4B46C30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雨水管物探</w:t>
            </w:r>
          </w:p>
        </w:tc>
        <w:tc>
          <w:tcPr>
            <w:tcW w:w="532" w:type="pct"/>
            <w:tcBorders>
              <w:top w:val="nil"/>
              <w:left w:val="nil"/>
              <w:bottom w:val="single" w:color="000000" w:sz="8" w:space="0"/>
              <w:right w:val="single" w:color="000000" w:sz="8" w:space="0"/>
            </w:tcBorders>
            <w:shd w:val="clear" w:color="auto" w:fill="auto"/>
            <w:vAlign w:val="center"/>
          </w:tcPr>
          <w:p w14:paraId="0B9261A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中等</w:t>
            </w:r>
          </w:p>
        </w:tc>
        <w:tc>
          <w:tcPr>
            <w:tcW w:w="534" w:type="pct"/>
            <w:tcBorders>
              <w:top w:val="nil"/>
              <w:left w:val="nil"/>
              <w:bottom w:val="single" w:color="000000" w:sz="8" w:space="0"/>
              <w:right w:val="single" w:color="000000" w:sz="8" w:space="0"/>
            </w:tcBorders>
            <w:shd w:val="clear" w:color="auto" w:fill="auto"/>
            <w:vAlign w:val="center"/>
          </w:tcPr>
          <w:p w14:paraId="4A11CB8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4" w:type="pct"/>
            <w:tcBorders>
              <w:top w:val="nil"/>
              <w:left w:val="nil"/>
              <w:bottom w:val="single" w:color="000000" w:sz="8" w:space="0"/>
              <w:right w:val="single" w:color="000000" w:sz="8" w:space="0"/>
            </w:tcBorders>
            <w:shd w:val="clear" w:color="auto" w:fill="auto"/>
            <w:vAlign w:val="center"/>
          </w:tcPr>
          <w:p w14:paraId="7501B69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4.21</w:t>
            </w:r>
          </w:p>
        </w:tc>
        <w:tc>
          <w:tcPr>
            <w:tcW w:w="509" w:type="pct"/>
            <w:tcBorders>
              <w:top w:val="nil"/>
              <w:left w:val="nil"/>
              <w:bottom w:val="single" w:color="000000" w:sz="8" w:space="0"/>
              <w:right w:val="single" w:color="000000" w:sz="8" w:space="0"/>
            </w:tcBorders>
            <w:shd w:val="clear" w:color="auto" w:fill="auto"/>
            <w:vAlign w:val="center"/>
          </w:tcPr>
          <w:p w14:paraId="6831B38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km</w:t>
            </w:r>
          </w:p>
        </w:tc>
        <w:tc>
          <w:tcPr>
            <w:tcW w:w="635" w:type="pct"/>
            <w:tcBorders>
              <w:top w:val="nil"/>
              <w:left w:val="nil"/>
              <w:bottom w:val="single" w:color="000000" w:sz="8" w:space="0"/>
              <w:right w:val="single" w:color="000000" w:sz="8" w:space="0"/>
            </w:tcBorders>
            <w:shd w:val="clear" w:color="auto" w:fill="auto"/>
            <w:vAlign w:val="center"/>
          </w:tcPr>
          <w:p w14:paraId="193BDFE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2700</w:t>
            </w:r>
          </w:p>
        </w:tc>
        <w:tc>
          <w:tcPr>
            <w:tcW w:w="762" w:type="pct"/>
            <w:tcBorders>
              <w:top w:val="nil"/>
              <w:left w:val="nil"/>
              <w:bottom w:val="single" w:color="000000" w:sz="8" w:space="0"/>
              <w:right w:val="single" w:color="000000" w:sz="8" w:space="0"/>
            </w:tcBorders>
            <w:shd w:val="clear" w:color="auto" w:fill="auto"/>
            <w:vAlign w:val="center"/>
          </w:tcPr>
          <w:p w14:paraId="1BAF164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11367</w:t>
            </w:r>
          </w:p>
        </w:tc>
        <w:tc>
          <w:tcPr>
            <w:tcW w:w="515" w:type="pct"/>
            <w:tcBorders>
              <w:top w:val="nil"/>
              <w:left w:val="nil"/>
              <w:bottom w:val="single" w:color="000000" w:sz="8" w:space="0"/>
              <w:right w:val="single" w:color="000000" w:sz="8" w:space="0"/>
            </w:tcBorders>
            <w:shd w:val="clear" w:color="auto" w:fill="auto"/>
            <w:vAlign w:val="center"/>
          </w:tcPr>
          <w:p w14:paraId="3EE6CD96">
            <w:pPr>
              <w:jc w:val="center"/>
              <w:rPr>
                <w:rFonts w:hint="default" w:ascii="Times New Roman" w:hAnsi="Times New Roman" w:eastAsia="宋体" w:cs="Times New Roman"/>
                <w:i w:val="0"/>
                <w:iCs w:val="0"/>
                <w:color w:val="auto"/>
                <w:sz w:val="18"/>
                <w:szCs w:val="18"/>
                <w:highlight w:val="none"/>
                <w:u w:val="none"/>
              </w:rPr>
            </w:pPr>
          </w:p>
        </w:tc>
      </w:tr>
      <w:tr w14:paraId="761D2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7D0034C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532" w:type="pct"/>
            <w:tcBorders>
              <w:top w:val="nil"/>
              <w:left w:val="nil"/>
              <w:bottom w:val="single" w:color="000000" w:sz="8" w:space="0"/>
              <w:right w:val="single" w:color="000000" w:sz="8" w:space="0"/>
            </w:tcBorders>
            <w:shd w:val="clear" w:color="auto" w:fill="auto"/>
            <w:vAlign w:val="center"/>
          </w:tcPr>
          <w:p w14:paraId="1710246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污水管物探</w:t>
            </w:r>
          </w:p>
        </w:tc>
        <w:tc>
          <w:tcPr>
            <w:tcW w:w="532" w:type="pct"/>
            <w:tcBorders>
              <w:top w:val="nil"/>
              <w:left w:val="nil"/>
              <w:bottom w:val="single" w:color="000000" w:sz="8" w:space="0"/>
              <w:right w:val="single" w:color="000000" w:sz="8" w:space="0"/>
            </w:tcBorders>
            <w:shd w:val="clear" w:color="auto" w:fill="auto"/>
            <w:vAlign w:val="center"/>
          </w:tcPr>
          <w:p w14:paraId="5E30CFF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中等</w:t>
            </w:r>
          </w:p>
        </w:tc>
        <w:tc>
          <w:tcPr>
            <w:tcW w:w="534" w:type="pct"/>
            <w:tcBorders>
              <w:top w:val="nil"/>
              <w:left w:val="nil"/>
              <w:bottom w:val="single" w:color="000000" w:sz="8" w:space="0"/>
              <w:right w:val="single" w:color="000000" w:sz="8" w:space="0"/>
            </w:tcBorders>
            <w:shd w:val="clear" w:color="auto" w:fill="auto"/>
            <w:vAlign w:val="center"/>
          </w:tcPr>
          <w:p w14:paraId="395EDF6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4" w:type="pct"/>
            <w:tcBorders>
              <w:top w:val="nil"/>
              <w:left w:val="single" w:color="000000" w:sz="8" w:space="0"/>
              <w:bottom w:val="single" w:color="000000" w:sz="8" w:space="0"/>
              <w:right w:val="single" w:color="000000" w:sz="8" w:space="0"/>
            </w:tcBorders>
            <w:shd w:val="clear" w:color="auto" w:fill="auto"/>
            <w:vAlign w:val="center"/>
          </w:tcPr>
          <w:p w14:paraId="3546CA1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w:t>
            </w:r>
          </w:p>
        </w:tc>
        <w:tc>
          <w:tcPr>
            <w:tcW w:w="509" w:type="pct"/>
            <w:tcBorders>
              <w:top w:val="nil"/>
              <w:left w:val="nil"/>
              <w:bottom w:val="single" w:color="000000" w:sz="8" w:space="0"/>
              <w:right w:val="single" w:color="000000" w:sz="8" w:space="0"/>
            </w:tcBorders>
            <w:shd w:val="clear" w:color="auto" w:fill="auto"/>
            <w:vAlign w:val="center"/>
          </w:tcPr>
          <w:p w14:paraId="5D175B3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km</w:t>
            </w:r>
          </w:p>
        </w:tc>
        <w:tc>
          <w:tcPr>
            <w:tcW w:w="635" w:type="pct"/>
            <w:tcBorders>
              <w:top w:val="nil"/>
              <w:left w:val="nil"/>
              <w:bottom w:val="single" w:color="000000" w:sz="8" w:space="0"/>
              <w:right w:val="single" w:color="000000" w:sz="8" w:space="0"/>
            </w:tcBorders>
            <w:shd w:val="clear" w:color="auto" w:fill="auto"/>
            <w:vAlign w:val="center"/>
          </w:tcPr>
          <w:p w14:paraId="0C0DCF8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2700</w:t>
            </w:r>
          </w:p>
        </w:tc>
        <w:tc>
          <w:tcPr>
            <w:tcW w:w="762" w:type="pct"/>
            <w:tcBorders>
              <w:top w:val="nil"/>
              <w:left w:val="nil"/>
              <w:bottom w:val="single" w:color="000000" w:sz="8" w:space="0"/>
              <w:right w:val="single" w:color="000000" w:sz="8" w:space="0"/>
            </w:tcBorders>
            <w:shd w:val="clear" w:color="auto" w:fill="auto"/>
            <w:vAlign w:val="center"/>
          </w:tcPr>
          <w:p w14:paraId="37B8C71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8100</w:t>
            </w:r>
          </w:p>
        </w:tc>
        <w:tc>
          <w:tcPr>
            <w:tcW w:w="515" w:type="pct"/>
            <w:tcBorders>
              <w:top w:val="nil"/>
              <w:left w:val="nil"/>
              <w:bottom w:val="single" w:color="000000" w:sz="8" w:space="0"/>
              <w:right w:val="single" w:color="000000" w:sz="8" w:space="0"/>
            </w:tcBorders>
            <w:shd w:val="clear" w:color="auto" w:fill="auto"/>
            <w:vAlign w:val="center"/>
          </w:tcPr>
          <w:p w14:paraId="0481A707">
            <w:pPr>
              <w:jc w:val="center"/>
              <w:rPr>
                <w:rFonts w:hint="default" w:ascii="Times New Roman" w:hAnsi="Times New Roman" w:eastAsia="宋体" w:cs="Times New Roman"/>
                <w:i w:val="0"/>
                <w:iCs w:val="0"/>
                <w:color w:val="auto"/>
                <w:sz w:val="18"/>
                <w:szCs w:val="18"/>
                <w:highlight w:val="none"/>
                <w:u w:val="none"/>
              </w:rPr>
            </w:pPr>
          </w:p>
        </w:tc>
      </w:tr>
      <w:tr w14:paraId="5E251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21CAB5C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532" w:type="pct"/>
            <w:tcBorders>
              <w:top w:val="nil"/>
              <w:left w:val="nil"/>
              <w:bottom w:val="single" w:color="000000" w:sz="8" w:space="0"/>
              <w:right w:val="single" w:color="000000" w:sz="8" w:space="0"/>
            </w:tcBorders>
            <w:shd w:val="clear" w:color="auto" w:fill="auto"/>
            <w:vAlign w:val="center"/>
          </w:tcPr>
          <w:p w14:paraId="4E4867E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给水管物探</w:t>
            </w:r>
          </w:p>
        </w:tc>
        <w:tc>
          <w:tcPr>
            <w:tcW w:w="532" w:type="pct"/>
            <w:tcBorders>
              <w:top w:val="nil"/>
              <w:left w:val="nil"/>
              <w:bottom w:val="single" w:color="000000" w:sz="8" w:space="0"/>
              <w:right w:val="single" w:color="000000" w:sz="8" w:space="0"/>
            </w:tcBorders>
            <w:shd w:val="clear" w:color="auto" w:fill="auto"/>
            <w:vAlign w:val="center"/>
          </w:tcPr>
          <w:p w14:paraId="23AFF1D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中等</w:t>
            </w:r>
          </w:p>
        </w:tc>
        <w:tc>
          <w:tcPr>
            <w:tcW w:w="534" w:type="pct"/>
            <w:tcBorders>
              <w:top w:val="nil"/>
              <w:left w:val="nil"/>
              <w:bottom w:val="single" w:color="000000" w:sz="8" w:space="0"/>
              <w:right w:val="single" w:color="000000" w:sz="8" w:space="0"/>
            </w:tcBorders>
            <w:shd w:val="clear" w:color="auto" w:fill="auto"/>
            <w:vAlign w:val="center"/>
          </w:tcPr>
          <w:p w14:paraId="1A333FC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4" w:type="pct"/>
            <w:tcBorders>
              <w:top w:val="nil"/>
              <w:left w:val="nil"/>
              <w:bottom w:val="single" w:color="000000" w:sz="8" w:space="0"/>
              <w:right w:val="single" w:color="000000" w:sz="8" w:space="0"/>
            </w:tcBorders>
            <w:shd w:val="clear" w:color="auto" w:fill="auto"/>
            <w:vAlign w:val="center"/>
          </w:tcPr>
          <w:p w14:paraId="35C2B45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509" w:type="pct"/>
            <w:tcBorders>
              <w:top w:val="nil"/>
              <w:left w:val="nil"/>
              <w:bottom w:val="single" w:color="000000" w:sz="8" w:space="0"/>
              <w:right w:val="single" w:color="000000" w:sz="8" w:space="0"/>
            </w:tcBorders>
            <w:shd w:val="clear" w:color="auto" w:fill="auto"/>
            <w:vAlign w:val="center"/>
          </w:tcPr>
          <w:p w14:paraId="43D7BB4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km</w:t>
            </w:r>
          </w:p>
        </w:tc>
        <w:tc>
          <w:tcPr>
            <w:tcW w:w="635" w:type="pct"/>
            <w:tcBorders>
              <w:top w:val="nil"/>
              <w:left w:val="nil"/>
              <w:bottom w:val="single" w:color="000000" w:sz="8" w:space="0"/>
              <w:right w:val="single" w:color="000000" w:sz="8" w:space="0"/>
            </w:tcBorders>
            <w:shd w:val="clear" w:color="auto" w:fill="auto"/>
            <w:vAlign w:val="center"/>
          </w:tcPr>
          <w:p w14:paraId="260919D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4500</w:t>
            </w:r>
          </w:p>
        </w:tc>
        <w:tc>
          <w:tcPr>
            <w:tcW w:w="762" w:type="pct"/>
            <w:tcBorders>
              <w:top w:val="nil"/>
              <w:left w:val="nil"/>
              <w:bottom w:val="single" w:color="000000" w:sz="8" w:space="0"/>
              <w:right w:val="single" w:color="000000" w:sz="8" w:space="0"/>
            </w:tcBorders>
            <w:shd w:val="clear" w:color="auto" w:fill="auto"/>
            <w:vAlign w:val="center"/>
          </w:tcPr>
          <w:p w14:paraId="47D1DF1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9000</w:t>
            </w:r>
          </w:p>
        </w:tc>
        <w:tc>
          <w:tcPr>
            <w:tcW w:w="515" w:type="pct"/>
            <w:tcBorders>
              <w:top w:val="nil"/>
              <w:left w:val="nil"/>
              <w:bottom w:val="single" w:color="000000" w:sz="8" w:space="0"/>
              <w:right w:val="single" w:color="000000" w:sz="8" w:space="0"/>
            </w:tcBorders>
            <w:shd w:val="clear" w:color="auto" w:fill="auto"/>
            <w:vAlign w:val="center"/>
          </w:tcPr>
          <w:p w14:paraId="39E6965B">
            <w:pPr>
              <w:jc w:val="center"/>
              <w:rPr>
                <w:rFonts w:hint="default" w:ascii="Times New Roman" w:hAnsi="Times New Roman" w:eastAsia="宋体" w:cs="Times New Roman"/>
                <w:i w:val="0"/>
                <w:iCs w:val="0"/>
                <w:color w:val="auto"/>
                <w:sz w:val="18"/>
                <w:szCs w:val="18"/>
                <w:highlight w:val="none"/>
                <w:u w:val="none"/>
              </w:rPr>
            </w:pPr>
          </w:p>
        </w:tc>
      </w:tr>
      <w:tr w14:paraId="291A2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4B3B195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c>
          <w:tcPr>
            <w:tcW w:w="532" w:type="pct"/>
            <w:tcBorders>
              <w:top w:val="nil"/>
              <w:left w:val="nil"/>
              <w:bottom w:val="single" w:color="000000" w:sz="8" w:space="0"/>
              <w:right w:val="single" w:color="000000" w:sz="8" w:space="0"/>
            </w:tcBorders>
            <w:shd w:val="clear" w:color="auto" w:fill="auto"/>
            <w:vAlign w:val="center"/>
          </w:tcPr>
          <w:p w14:paraId="0A2B04B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电力管线物探</w:t>
            </w:r>
          </w:p>
        </w:tc>
        <w:tc>
          <w:tcPr>
            <w:tcW w:w="532" w:type="pct"/>
            <w:tcBorders>
              <w:top w:val="nil"/>
              <w:left w:val="nil"/>
              <w:bottom w:val="single" w:color="000000" w:sz="8" w:space="0"/>
              <w:right w:val="single" w:color="000000" w:sz="8" w:space="0"/>
            </w:tcBorders>
            <w:shd w:val="clear" w:color="auto" w:fill="auto"/>
            <w:vAlign w:val="center"/>
          </w:tcPr>
          <w:p w14:paraId="2355970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中等</w:t>
            </w:r>
          </w:p>
        </w:tc>
        <w:tc>
          <w:tcPr>
            <w:tcW w:w="534" w:type="pct"/>
            <w:tcBorders>
              <w:top w:val="nil"/>
              <w:left w:val="nil"/>
              <w:bottom w:val="single" w:color="000000" w:sz="8" w:space="0"/>
              <w:right w:val="single" w:color="000000" w:sz="8" w:space="0"/>
            </w:tcBorders>
            <w:shd w:val="clear" w:color="auto" w:fill="auto"/>
            <w:vAlign w:val="center"/>
          </w:tcPr>
          <w:p w14:paraId="0BFB114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4" w:type="pct"/>
            <w:tcBorders>
              <w:top w:val="nil"/>
              <w:left w:val="nil"/>
              <w:bottom w:val="single" w:color="000000" w:sz="8" w:space="0"/>
              <w:right w:val="single" w:color="000000" w:sz="8" w:space="0"/>
            </w:tcBorders>
            <w:shd w:val="clear" w:color="auto" w:fill="auto"/>
            <w:vAlign w:val="center"/>
          </w:tcPr>
          <w:p w14:paraId="2FC12C0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w:t>
            </w:r>
          </w:p>
        </w:tc>
        <w:tc>
          <w:tcPr>
            <w:tcW w:w="509" w:type="pct"/>
            <w:tcBorders>
              <w:top w:val="nil"/>
              <w:left w:val="nil"/>
              <w:bottom w:val="single" w:color="000000" w:sz="8" w:space="0"/>
              <w:right w:val="single" w:color="000000" w:sz="8" w:space="0"/>
            </w:tcBorders>
            <w:shd w:val="clear" w:color="auto" w:fill="auto"/>
            <w:vAlign w:val="center"/>
          </w:tcPr>
          <w:p w14:paraId="4C6EC5F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km</w:t>
            </w:r>
          </w:p>
        </w:tc>
        <w:tc>
          <w:tcPr>
            <w:tcW w:w="635" w:type="pct"/>
            <w:tcBorders>
              <w:top w:val="nil"/>
              <w:left w:val="nil"/>
              <w:bottom w:val="single" w:color="000000" w:sz="8" w:space="0"/>
              <w:right w:val="single" w:color="000000" w:sz="8" w:space="0"/>
            </w:tcBorders>
            <w:shd w:val="clear" w:color="auto" w:fill="auto"/>
            <w:vAlign w:val="center"/>
          </w:tcPr>
          <w:p w14:paraId="2D9F28E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3600</w:t>
            </w:r>
          </w:p>
        </w:tc>
        <w:tc>
          <w:tcPr>
            <w:tcW w:w="762" w:type="pct"/>
            <w:tcBorders>
              <w:top w:val="nil"/>
              <w:left w:val="nil"/>
              <w:bottom w:val="single" w:color="000000" w:sz="8" w:space="0"/>
              <w:right w:val="single" w:color="000000" w:sz="8" w:space="0"/>
            </w:tcBorders>
            <w:shd w:val="clear" w:color="auto" w:fill="auto"/>
            <w:vAlign w:val="center"/>
          </w:tcPr>
          <w:p w14:paraId="52A18D8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18000</w:t>
            </w:r>
          </w:p>
        </w:tc>
        <w:tc>
          <w:tcPr>
            <w:tcW w:w="515" w:type="pct"/>
            <w:tcBorders>
              <w:top w:val="nil"/>
              <w:left w:val="nil"/>
              <w:bottom w:val="single" w:color="000000" w:sz="8" w:space="0"/>
              <w:right w:val="single" w:color="000000" w:sz="8" w:space="0"/>
            </w:tcBorders>
            <w:shd w:val="clear" w:color="auto" w:fill="auto"/>
            <w:vAlign w:val="center"/>
          </w:tcPr>
          <w:p w14:paraId="640616B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含信号、路灯</w:t>
            </w:r>
          </w:p>
        </w:tc>
      </w:tr>
      <w:tr w14:paraId="00C80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712A919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532" w:type="pct"/>
            <w:tcBorders>
              <w:top w:val="nil"/>
              <w:left w:val="nil"/>
              <w:bottom w:val="single" w:color="000000" w:sz="8" w:space="0"/>
              <w:right w:val="single" w:color="000000" w:sz="8" w:space="0"/>
            </w:tcBorders>
            <w:shd w:val="clear" w:color="auto" w:fill="auto"/>
            <w:vAlign w:val="center"/>
          </w:tcPr>
          <w:p w14:paraId="694B5F9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电信管线物探</w:t>
            </w:r>
          </w:p>
        </w:tc>
        <w:tc>
          <w:tcPr>
            <w:tcW w:w="532" w:type="pct"/>
            <w:tcBorders>
              <w:top w:val="nil"/>
              <w:left w:val="nil"/>
              <w:bottom w:val="single" w:color="000000" w:sz="8" w:space="0"/>
              <w:right w:val="single" w:color="000000" w:sz="8" w:space="0"/>
            </w:tcBorders>
            <w:shd w:val="clear" w:color="auto" w:fill="auto"/>
            <w:vAlign w:val="center"/>
          </w:tcPr>
          <w:p w14:paraId="50684A4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中等</w:t>
            </w:r>
          </w:p>
        </w:tc>
        <w:tc>
          <w:tcPr>
            <w:tcW w:w="534" w:type="pct"/>
            <w:tcBorders>
              <w:top w:val="nil"/>
              <w:left w:val="nil"/>
              <w:bottom w:val="single" w:color="000000" w:sz="8" w:space="0"/>
              <w:right w:val="single" w:color="000000" w:sz="8" w:space="0"/>
            </w:tcBorders>
            <w:shd w:val="clear" w:color="auto" w:fill="auto"/>
            <w:vAlign w:val="center"/>
          </w:tcPr>
          <w:p w14:paraId="0A2E8A8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4" w:type="pct"/>
            <w:tcBorders>
              <w:top w:val="nil"/>
              <w:left w:val="nil"/>
              <w:bottom w:val="single" w:color="000000" w:sz="8" w:space="0"/>
              <w:right w:val="single" w:color="000000" w:sz="8" w:space="0"/>
            </w:tcBorders>
            <w:shd w:val="clear" w:color="auto" w:fill="auto"/>
            <w:vAlign w:val="center"/>
          </w:tcPr>
          <w:p w14:paraId="36EEF34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w:t>
            </w:r>
          </w:p>
        </w:tc>
        <w:tc>
          <w:tcPr>
            <w:tcW w:w="509" w:type="pct"/>
            <w:tcBorders>
              <w:top w:val="nil"/>
              <w:left w:val="nil"/>
              <w:bottom w:val="single" w:color="000000" w:sz="8" w:space="0"/>
              <w:right w:val="single" w:color="000000" w:sz="8" w:space="0"/>
            </w:tcBorders>
            <w:shd w:val="clear" w:color="auto" w:fill="auto"/>
            <w:vAlign w:val="center"/>
          </w:tcPr>
          <w:p w14:paraId="5F3516E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km</w:t>
            </w:r>
          </w:p>
        </w:tc>
        <w:tc>
          <w:tcPr>
            <w:tcW w:w="635" w:type="pct"/>
            <w:tcBorders>
              <w:top w:val="nil"/>
              <w:left w:val="nil"/>
              <w:bottom w:val="single" w:color="000000" w:sz="8" w:space="0"/>
              <w:right w:val="single" w:color="000000" w:sz="8" w:space="0"/>
            </w:tcBorders>
            <w:shd w:val="clear" w:color="auto" w:fill="auto"/>
            <w:vAlign w:val="center"/>
          </w:tcPr>
          <w:p w14:paraId="6979D5A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3600</w:t>
            </w:r>
          </w:p>
        </w:tc>
        <w:tc>
          <w:tcPr>
            <w:tcW w:w="762" w:type="pct"/>
            <w:tcBorders>
              <w:top w:val="nil"/>
              <w:left w:val="nil"/>
              <w:bottom w:val="single" w:color="000000" w:sz="8" w:space="0"/>
              <w:right w:val="single" w:color="000000" w:sz="8" w:space="0"/>
            </w:tcBorders>
            <w:shd w:val="clear" w:color="auto" w:fill="auto"/>
            <w:vAlign w:val="center"/>
          </w:tcPr>
          <w:p w14:paraId="269C9E6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18000</w:t>
            </w:r>
          </w:p>
        </w:tc>
        <w:tc>
          <w:tcPr>
            <w:tcW w:w="515" w:type="pct"/>
            <w:tcBorders>
              <w:top w:val="nil"/>
              <w:left w:val="nil"/>
              <w:bottom w:val="single" w:color="000000" w:sz="8" w:space="0"/>
              <w:right w:val="single" w:color="000000" w:sz="8" w:space="0"/>
            </w:tcBorders>
            <w:shd w:val="clear" w:color="auto" w:fill="auto"/>
            <w:vAlign w:val="center"/>
          </w:tcPr>
          <w:p w14:paraId="0332F6F9">
            <w:pPr>
              <w:jc w:val="center"/>
              <w:rPr>
                <w:rFonts w:hint="default" w:ascii="Times New Roman" w:hAnsi="Times New Roman" w:eastAsia="宋体" w:cs="Times New Roman"/>
                <w:i w:val="0"/>
                <w:iCs w:val="0"/>
                <w:color w:val="auto"/>
                <w:sz w:val="18"/>
                <w:szCs w:val="18"/>
                <w:highlight w:val="none"/>
                <w:u w:val="none"/>
              </w:rPr>
            </w:pPr>
          </w:p>
        </w:tc>
      </w:tr>
      <w:tr w14:paraId="51BD5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4CD52B1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w:t>
            </w:r>
          </w:p>
        </w:tc>
        <w:tc>
          <w:tcPr>
            <w:tcW w:w="532" w:type="pct"/>
            <w:tcBorders>
              <w:top w:val="nil"/>
              <w:left w:val="nil"/>
              <w:bottom w:val="single" w:color="000000" w:sz="8" w:space="0"/>
              <w:right w:val="single" w:color="000000" w:sz="8" w:space="0"/>
            </w:tcBorders>
            <w:shd w:val="clear" w:color="auto" w:fill="auto"/>
            <w:vAlign w:val="center"/>
          </w:tcPr>
          <w:p w14:paraId="153601A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燃气管物探</w:t>
            </w:r>
          </w:p>
        </w:tc>
        <w:tc>
          <w:tcPr>
            <w:tcW w:w="532" w:type="pct"/>
            <w:tcBorders>
              <w:top w:val="nil"/>
              <w:left w:val="nil"/>
              <w:bottom w:val="single" w:color="000000" w:sz="8" w:space="0"/>
              <w:right w:val="single" w:color="000000" w:sz="8" w:space="0"/>
            </w:tcBorders>
            <w:shd w:val="clear" w:color="auto" w:fill="auto"/>
            <w:vAlign w:val="center"/>
          </w:tcPr>
          <w:p w14:paraId="044FB12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中等</w:t>
            </w:r>
          </w:p>
        </w:tc>
        <w:tc>
          <w:tcPr>
            <w:tcW w:w="534" w:type="pct"/>
            <w:tcBorders>
              <w:top w:val="nil"/>
              <w:left w:val="nil"/>
              <w:bottom w:val="single" w:color="000000" w:sz="8" w:space="0"/>
              <w:right w:val="single" w:color="000000" w:sz="8" w:space="0"/>
            </w:tcBorders>
            <w:shd w:val="clear" w:color="auto" w:fill="auto"/>
            <w:vAlign w:val="center"/>
          </w:tcPr>
          <w:p w14:paraId="03A7EB1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4" w:type="pct"/>
            <w:tcBorders>
              <w:top w:val="nil"/>
              <w:left w:val="nil"/>
              <w:bottom w:val="single" w:color="000000" w:sz="8" w:space="0"/>
              <w:right w:val="single" w:color="000000" w:sz="8" w:space="0"/>
            </w:tcBorders>
            <w:shd w:val="clear" w:color="auto" w:fill="auto"/>
            <w:vAlign w:val="center"/>
          </w:tcPr>
          <w:p w14:paraId="54DF225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509" w:type="pct"/>
            <w:tcBorders>
              <w:top w:val="nil"/>
              <w:left w:val="nil"/>
              <w:bottom w:val="single" w:color="000000" w:sz="8" w:space="0"/>
              <w:right w:val="single" w:color="000000" w:sz="8" w:space="0"/>
            </w:tcBorders>
            <w:shd w:val="clear" w:color="auto" w:fill="auto"/>
            <w:vAlign w:val="center"/>
          </w:tcPr>
          <w:p w14:paraId="33244BE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km</w:t>
            </w:r>
          </w:p>
        </w:tc>
        <w:tc>
          <w:tcPr>
            <w:tcW w:w="635" w:type="pct"/>
            <w:tcBorders>
              <w:top w:val="nil"/>
              <w:left w:val="nil"/>
              <w:bottom w:val="single" w:color="000000" w:sz="8" w:space="0"/>
              <w:right w:val="single" w:color="000000" w:sz="8" w:space="0"/>
            </w:tcBorders>
            <w:shd w:val="clear" w:color="auto" w:fill="auto"/>
            <w:vAlign w:val="center"/>
          </w:tcPr>
          <w:p w14:paraId="535AC6C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4500</w:t>
            </w:r>
          </w:p>
        </w:tc>
        <w:tc>
          <w:tcPr>
            <w:tcW w:w="762" w:type="pct"/>
            <w:tcBorders>
              <w:top w:val="nil"/>
              <w:left w:val="nil"/>
              <w:bottom w:val="single" w:color="000000" w:sz="8" w:space="0"/>
              <w:right w:val="single" w:color="000000" w:sz="8" w:space="0"/>
            </w:tcBorders>
            <w:shd w:val="clear" w:color="auto" w:fill="auto"/>
            <w:vAlign w:val="center"/>
          </w:tcPr>
          <w:p w14:paraId="362C71D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9000</w:t>
            </w:r>
          </w:p>
        </w:tc>
        <w:tc>
          <w:tcPr>
            <w:tcW w:w="515" w:type="pct"/>
            <w:tcBorders>
              <w:top w:val="nil"/>
              <w:left w:val="nil"/>
              <w:bottom w:val="single" w:color="000000" w:sz="8" w:space="0"/>
              <w:right w:val="single" w:color="000000" w:sz="8" w:space="0"/>
            </w:tcBorders>
            <w:shd w:val="clear" w:color="auto" w:fill="auto"/>
            <w:vAlign w:val="center"/>
          </w:tcPr>
          <w:p w14:paraId="41E141D4">
            <w:pPr>
              <w:jc w:val="center"/>
              <w:rPr>
                <w:rFonts w:hint="default" w:ascii="Times New Roman" w:hAnsi="Times New Roman" w:eastAsia="宋体" w:cs="Times New Roman"/>
                <w:i w:val="0"/>
                <w:iCs w:val="0"/>
                <w:color w:val="auto"/>
                <w:sz w:val="18"/>
                <w:szCs w:val="18"/>
                <w:highlight w:val="none"/>
                <w:u w:val="none"/>
              </w:rPr>
            </w:pPr>
          </w:p>
        </w:tc>
      </w:tr>
      <w:tr w14:paraId="35973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7"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45D7711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w:t>
            </w:r>
          </w:p>
        </w:tc>
        <w:tc>
          <w:tcPr>
            <w:tcW w:w="532" w:type="pct"/>
            <w:tcBorders>
              <w:top w:val="nil"/>
              <w:left w:val="nil"/>
              <w:bottom w:val="single" w:color="000000" w:sz="8" w:space="0"/>
              <w:right w:val="single" w:color="000000" w:sz="8" w:space="0"/>
            </w:tcBorders>
            <w:shd w:val="clear" w:color="auto" w:fill="auto"/>
            <w:vAlign w:val="center"/>
          </w:tcPr>
          <w:p w14:paraId="6D84F1D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其他工业管线物探</w:t>
            </w:r>
          </w:p>
        </w:tc>
        <w:tc>
          <w:tcPr>
            <w:tcW w:w="532" w:type="pct"/>
            <w:tcBorders>
              <w:top w:val="nil"/>
              <w:left w:val="nil"/>
              <w:bottom w:val="single" w:color="000000" w:sz="8" w:space="0"/>
              <w:right w:val="single" w:color="000000" w:sz="8" w:space="0"/>
            </w:tcBorders>
            <w:shd w:val="clear" w:color="auto" w:fill="auto"/>
            <w:vAlign w:val="center"/>
          </w:tcPr>
          <w:p w14:paraId="7BBDB72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中等</w:t>
            </w:r>
          </w:p>
        </w:tc>
        <w:tc>
          <w:tcPr>
            <w:tcW w:w="534" w:type="pct"/>
            <w:tcBorders>
              <w:top w:val="nil"/>
              <w:left w:val="nil"/>
              <w:bottom w:val="single" w:color="000000" w:sz="8" w:space="0"/>
              <w:right w:val="single" w:color="000000" w:sz="8" w:space="0"/>
            </w:tcBorders>
            <w:shd w:val="clear" w:color="auto" w:fill="auto"/>
            <w:vAlign w:val="center"/>
          </w:tcPr>
          <w:p w14:paraId="37C3BB5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4" w:type="pct"/>
            <w:tcBorders>
              <w:top w:val="nil"/>
              <w:left w:val="nil"/>
              <w:bottom w:val="single" w:color="000000" w:sz="8" w:space="0"/>
              <w:right w:val="single" w:color="000000" w:sz="8" w:space="0"/>
            </w:tcBorders>
            <w:shd w:val="clear" w:color="auto" w:fill="auto"/>
            <w:vAlign w:val="center"/>
          </w:tcPr>
          <w:p w14:paraId="55DEC84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w:t>
            </w:r>
          </w:p>
        </w:tc>
        <w:tc>
          <w:tcPr>
            <w:tcW w:w="509" w:type="pct"/>
            <w:tcBorders>
              <w:top w:val="nil"/>
              <w:left w:val="nil"/>
              <w:bottom w:val="single" w:color="000000" w:sz="8" w:space="0"/>
              <w:right w:val="single" w:color="000000" w:sz="8" w:space="0"/>
            </w:tcBorders>
            <w:shd w:val="clear" w:color="auto" w:fill="auto"/>
            <w:vAlign w:val="center"/>
          </w:tcPr>
          <w:p w14:paraId="13EE389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km</w:t>
            </w:r>
          </w:p>
        </w:tc>
        <w:tc>
          <w:tcPr>
            <w:tcW w:w="635" w:type="pct"/>
            <w:tcBorders>
              <w:top w:val="nil"/>
              <w:left w:val="nil"/>
              <w:bottom w:val="single" w:color="000000" w:sz="8" w:space="0"/>
              <w:right w:val="single" w:color="000000" w:sz="8" w:space="0"/>
            </w:tcBorders>
            <w:shd w:val="clear" w:color="auto" w:fill="auto"/>
            <w:vAlign w:val="center"/>
          </w:tcPr>
          <w:p w14:paraId="6AA0845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4500</w:t>
            </w:r>
          </w:p>
        </w:tc>
        <w:tc>
          <w:tcPr>
            <w:tcW w:w="762" w:type="pct"/>
            <w:tcBorders>
              <w:top w:val="nil"/>
              <w:left w:val="nil"/>
              <w:bottom w:val="single" w:color="000000" w:sz="8" w:space="0"/>
              <w:right w:val="single" w:color="000000" w:sz="8" w:space="0"/>
            </w:tcBorders>
            <w:shd w:val="clear" w:color="auto" w:fill="auto"/>
            <w:vAlign w:val="center"/>
          </w:tcPr>
          <w:p w14:paraId="39BFDAF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w:t>
            </w:r>
          </w:p>
        </w:tc>
        <w:tc>
          <w:tcPr>
            <w:tcW w:w="515" w:type="pct"/>
            <w:tcBorders>
              <w:top w:val="nil"/>
              <w:left w:val="nil"/>
              <w:bottom w:val="single" w:color="000000" w:sz="8" w:space="0"/>
              <w:right w:val="single" w:color="000000" w:sz="8" w:space="0"/>
            </w:tcBorders>
            <w:shd w:val="clear" w:color="auto" w:fill="auto"/>
            <w:vAlign w:val="center"/>
          </w:tcPr>
          <w:p w14:paraId="3D4A2E7E">
            <w:pPr>
              <w:jc w:val="center"/>
              <w:rPr>
                <w:rFonts w:hint="default" w:ascii="Times New Roman" w:hAnsi="Times New Roman" w:eastAsia="宋体" w:cs="Times New Roman"/>
                <w:i w:val="0"/>
                <w:iCs w:val="0"/>
                <w:color w:val="auto"/>
                <w:sz w:val="18"/>
                <w:szCs w:val="18"/>
                <w:highlight w:val="none"/>
                <w:u w:val="none"/>
              </w:rPr>
            </w:pPr>
          </w:p>
        </w:tc>
      </w:tr>
      <w:tr w14:paraId="61229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028C599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w:t>
            </w:r>
          </w:p>
        </w:tc>
        <w:tc>
          <w:tcPr>
            <w:tcW w:w="532" w:type="pct"/>
            <w:tcBorders>
              <w:top w:val="nil"/>
              <w:left w:val="nil"/>
              <w:bottom w:val="single" w:color="000000" w:sz="8" w:space="0"/>
              <w:right w:val="single" w:color="000000" w:sz="8" w:space="0"/>
            </w:tcBorders>
            <w:shd w:val="clear" w:color="auto" w:fill="auto"/>
            <w:vAlign w:val="center"/>
          </w:tcPr>
          <w:p w14:paraId="5B47B77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小计</w:t>
            </w:r>
          </w:p>
        </w:tc>
        <w:tc>
          <w:tcPr>
            <w:tcW w:w="532" w:type="pct"/>
            <w:tcBorders>
              <w:top w:val="nil"/>
              <w:left w:val="nil"/>
              <w:bottom w:val="single" w:color="000000" w:sz="8" w:space="0"/>
              <w:right w:val="single" w:color="000000" w:sz="8" w:space="0"/>
            </w:tcBorders>
            <w:shd w:val="clear" w:color="auto" w:fill="auto"/>
            <w:vAlign w:val="center"/>
          </w:tcPr>
          <w:p w14:paraId="590E8084">
            <w:pPr>
              <w:jc w:val="center"/>
              <w:rPr>
                <w:rFonts w:hint="default" w:ascii="Times New Roman" w:hAnsi="Times New Roman" w:eastAsia="宋体" w:cs="Times New Roman"/>
                <w:i w:val="0"/>
                <w:iCs w:val="0"/>
                <w:strike/>
                <w:color w:val="auto"/>
                <w:sz w:val="18"/>
                <w:szCs w:val="18"/>
                <w:highlight w:val="none"/>
              </w:rPr>
            </w:pPr>
          </w:p>
        </w:tc>
        <w:tc>
          <w:tcPr>
            <w:tcW w:w="534" w:type="pct"/>
            <w:tcBorders>
              <w:top w:val="nil"/>
              <w:left w:val="nil"/>
              <w:bottom w:val="single" w:color="000000" w:sz="8" w:space="0"/>
              <w:right w:val="single" w:color="000000" w:sz="8" w:space="0"/>
            </w:tcBorders>
            <w:shd w:val="clear" w:color="auto" w:fill="auto"/>
            <w:vAlign w:val="center"/>
          </w:tcPr>
          <w:p w14:paraId="2195D77E">
            <w:pPr>
              <w:jc w:val="center"/>
              <w:rPr>
                <w:rFonts w:hint="default" w:ascii="Times New Roman" w:hAnsi="Times New Roman" w:eastAsia="宋体" w:cs="Times New Roman"/>
                <w:i w:val="0"/>
                <w:iCs w:val="0"/>
                <w:strike/>
                <w:color w:val="auto"/>
                <w:sz w:val="18"/>
                <w:szCs w:val="18"/>
                <w:highlight w:val="none"/>
              </w:rPr>
            </w:pPr>
          </w:p>
        </w:tc>
        <w:tc>
          <w:tcPr>
            <w:tcW w:w="534" w:type="pct"/>
            <w:tcBorders>
              <w:top w:val="nil"/>
              <w:left w:val="nil"/>
              <w:bottom w:val="single" w:color="000000" w:sz="8" w:space="0"/>
              <w:right w:val="single" w:color="000000" w:sz="8" w:space="0"/>
            </w:tcBorders>
            <w:shd w:val="clear" w:color="auto" w:fill="auto"/>
            <w:vAlign w:val="center"/>
          </w:tcPr>
          <w:p w14:paraId="4772691E">
            <w:pPr>
              <w:jc w:val="center"/>
              <w:rPr>
                <w:rFonts w:hint="default" w:ascii="Times New Roman" w:hAnsi="Times New Roman" w:eastAsia="宋体" w:cs="Times New Roman"/>
                <w:i w:val="0"/>
                <w:iCs w:val="0"/>
                <w:strike/>
                <w:color w:val="auto"/>
                <w:sz w:val="18"/>
                <w:szCs w:val="18"/>
                <w:highlight w:val="none"/>
              </w:rPr>
            </w:pPr>
          </w:p>
        </w:tc>
        <w:tc>
          <w:tcPr>
            <w:tcW w:w="509" w:type="pct"/>
            <w:tcBorders>
              <w:top w:val="nil"/>
              <w:left w:val="nil"/>
              <w:bottom w:val="single" w:color="000000" w:sz="8" w:space="0"/>
              <w:right w:val="single" w:color="000000" w:sz="8" w:space="0"/>
            </w:tcBorders>
            <w:shd w:val="clear" w:color="auto" w:fill="auto"/>
            <w:vAlign w:val="center"/>
          </w:tcPr>
          <w:p w14:paraId="614ACEF6">
            <w:pPr>
              <w:jc w:val="center"/>
              <w:rPr>
                <w:rFonts w:hint="default" w:ascii="Times New Roman" w:hAnsi="Times New Roman" w:eastAsia="宋体" w:cs="Times New Roman"/>
                <w:i w:val="0"/>
                <w:iCs w:val="0"/>
                <w:strike/>
                <w:color w:val="auto"/>
                <w:sz w:val="18"/>
                <w:szCs w:val="18"/>
                <w:highlight w:val="none"/>
              </w:rPr>
            </w:pPr>
          </w:p>
        </w:tc>
        <w:tc>
          <w:tcPr>
            <w:tcW w:w="635" w:type="pct"/>
            <w:tcBorders>
              <w:top w:val="nil"/>
              <w:left w:val="nil"/>
              <w:bottom w:val="single" w:color="000000" w:sz="8" w:space="0"/>
              <w:right w:val="single" w:color="000000" w:sz="8" w:space="0"/>
            </w:tcBorders>
            <w:shd w:val="clear" w:color="auto" w:fill="auto"/>
            <w:vAlign w:val="center"/>
          </w:tcPr>
          <w:p w14:paraId="330D8534">
            <w:pPr>
              <w:jc w:val="center"/>
              <w:rPr>
                <w:rFonts w:hint="default" w:ascii="Times New Roman" w:hAnsi="Times New Roman" w:eastAsia="宋体" w:cs="Times New Roman"/>
                <w:i w:val="0"/>
                <w:iCs w:val="0"/>
                <w:strike/>
                <w:color w:val="auto"/>
                <w:sz w:val="18"/>
                <w:szCs w:val="18"/>
                <w:highlight w:val="none"/>
              </w:rPr>
            </w:pPr>
          </w:p>
        </w:tc>
        <w:tc>
          <w:tcPr>
            <w:tcW w:w="762" w:type="pct"/>
            <w:tcBorders>
              <w:top w:val="nil"/>
              <w:left w:val="nil"/>
              <w:bottom w:val="single" w:color="000000" w:sz="8" w:space="0"/>
              <w:right w:val="single" w:color="000000" w:sz="8" w:space="0"/>
            </w:tcBorders>
            <w:shd w:val="clear" w:color="auto" w:fill="auto"/>
            <w:vAlign w:val="center"/>
          </w:tcPr>
          <w:p w14:paraId="49E16A2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73467</w:t>
            </w:r>
          </w:p>
        </w:tc>
        <w:tc>
          <w:tcPr>
            <w:tcW w:w="515" w:type="pct"/>
            <w:tcBorders>
              <w:top w:val="nil"/>
              <w:left w:val="nil"/>
              <w:bottom w:val="single" w:color="000000" w:sz="8" w:space="0"/>
              <w:right w:val="single" w:color="000000" w:sz="8" w:space="0"/>
            </w:tcBorders>
            <w:shd w:val="clear" w:color="auto" w:fill="auto"/>
            <w:vAlign w:val="center"/>
          </w:tcPr>
          <w:p w14:paraId="765A2E11">
            <w:pPr>
              <w:jc w:val="center"/>
              <w:rPr>
                <w:rFonts w:hint="default" w:ascii="Times New Roman" w:hAnsi="Times New Roman" w:eastAsia="宋体" w:cs="Times New Roman"/>
                <w:i w:val="0"/>
                <w:iCs w:val="0"/>
                <w:color w:val="auto"/>
                <w:sz w:val="18"/>
                <w:szCs w:val="18"/>
                <w:highlight w:val="none"/>
                <w:u w:val="none"/>
              </w:rPr>
            </w:pPr>
          </w:p>
        </w:tc>
      </w:tr>
      <w:tr w14:paraId="5BBD4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44B78C5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532" w:type="pct"/>
            <w:tcBorders>
              <w:top w:val="nil"/>
              <w:left w:val="nil"/>
              <w:bottom w:val="single" w:color="000000" w:sz="8" w:space="0"/>
              <w:right w:val="single" w:color="000000" w:sz="8" w:space="0"/>
            </w:tcBorders>
            <w:shd w:val="clear" w:color="auto" w:fill="auto"/>
            <w:vAlign w:val="center"/>
          </w:tcPr>
          <w:p w14:paraId="4C9AF15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管线测量</w:t>
            </w:r>
          </w:p>
        </w:tc>
        <w:tc>
          <w:tcPr>
            <w:tcW w:w="532" w:type="pct"/>
            <w:tcBorders>
              <w:top w:val="nil"/>
              <w:left w:val="nil"/>
              <w:bottom w:val="single" w:color="000000" w:sz="8" w:space="0"/>
              <w:right w:val="single" w:color="000000" w:sz="8" w:space="0"/>
            </w:tcBorders>
            <w:shd w:val="clear" w:color="auto" w:fill="auto"/>
            <w:vAlign w:val="center"/>
          </w:tcPr>
          <w:p w14:paraId="25D29250">
            <w:pPr>
              <w:jc w:val="center"/>
              <w:rPr>
                <w:rFonts w:hint="default" w:ascii="Times New Roman" w:hAnsi="Times New Roman" w:eastAsia="宋体" w:cs="Times New Roman"/>
                <w:i w:val="0"/>
                <w:iCs w:val="0"/>
                <w:strike/>
                <w:color w:val="auto"/>
                <w:sz w:val="18"/>
                <w:szCs w:val="18"/>
                <w:highlight w:val="none"/>
              </w:rPr>
            </w:pPr>
          </w:p>
        </w:tc>
        <w:tc>
          <w:tcPr>
            <w:tcW w:w="534" w:type="pct"/>
            <w:tcBorders>
              <w:top w:val="nil"/>
              <w:left w:val="nil"/>
              <w:bottom w:val="single" w:color="000000" w:sz="8" w:space="0"/>
              <w:right w:val="single" w:color="000000" w:sz="8" w:space="0"/>
            </w:tcBorders>
            <w:shd w:val="clear" w:color="auto" w:fill="auto"/>
            <w:vAlign w:val="center"/>
          </w:tcPr>
          <w:p w14:paraId="5688B59E">
            <w:pPr>
              <w:jc w:val="center"/>
              <w:rPr>
                <w:rFonts w:hint="default" w:ascii="Times New Roman" w:hAnsi="Times New Roman" w:eastAsia="宋体" w:cs="Times New Roman"/>
                <w:i w:val="0"/>
                <w:iCs w:val="0"/>
                <w:strike/>
                <w:color w:val="auto"/>
                <w:sz w:val="18"/>
                <w:szCs w:val="18"/>
                <w:highlight w:val="none"/>
              </w:rPr>
            </w:pPr>
          </w:p>
        </w:tc>
        <w:tc>
          <w:tcPr>
            <w:tcW w:w="534" w:type="pct"/>
            <w:tcBorders>
              <w:top w:val="nil"/>
              <w:left w:val="nil"/>
              <w:bottom w:val="single" w:color="000000" w:sz="8" w:space="0"/>
              <w:right w:val="single" w:color="000000" w:sz="8" w:space="0"/>
            </w:tcBorders>
            <w:shd w:val="clear" w:color="auto" w:fill="auto"/>
            <w:vAlign w:val="center"/>
          </w:tcPr>
          <w:p w14:paraId="7629EDD1">
            <w:pPr>
              <w:jc w:val="center"/>
              <w:rPr>
                <w:rFonts w:hint="default" w:ascii="Times New Roman" w:hAnsi="Times New Roman" w:eastAsia="宋体" w:cs="Times New Roman"/>
                <w:i w:val="0"/>
                <w:iCs w:val="0"/>
                <w:strike/>
                <w:color w:val="auto"/>
                <w:sz w:val="18"/>
                <w:szCs w:val="18"/>
                <w:highlight w:val="none"/>
              </w:rPr>
            </w:pPr>
          </w:p>
        </w:tc>
        <w:tc>
          <w:tcPr>
            <w:tcW w:w="509" w:type="pct"/>
            <w:tcBorders>
              <w:top w:val="nil"/>
              <w:left w:val="nil"/>
              <w:bottom w:val="single" w:color="000000" w:sz="8" w:space="0"/>
              <w:right w:val="single" w:color="000000" w:sz="8" w:space="0"/>
            </w:tcBorders>
            <w:shd w:val="clear" w:color="auto" w:fill="auto"/>
            <w:vAlign w:val="center"/>
          </w:tcPr>
          <w:p w14:paraId="5B434E26">
            <w:pPr>
              <w:jc w:val="center"/>
              <w:rPr>
                <w:rFonts w:hint="default" w:ascii="Times New Roman" w:hAnsi="Times New Roman" w:eastAsia="宋体" w:cs="Times New Roman"/>
                <w:i w:val="0"/>
                <w:iCs w:val="0"/>
                <w:strike/>
                <w:color w:val="auto"/>
                <w:sz w:val="18"/>
                <w:szCs w:val="18"/>
                <w:highlight w:val="none"/>
              </w:rPr>
            </w:pPr>
          </w:p>
        </w:tc>
        <w:tc>
          <w:tcPr>
            <w:tcW w:w="635" w:type="pct"/>
            <w:tcBorders>
              <w:top w:val="nil"/>
              <w:left w:val="nil"/>
              <w:bottom w:val="single" w:color="000000" w:sz="8" w:space="0"/>
              <w:right w:val="single" w:color="000000" w:sz="8" w:space="0"/>
            </w:tcBorders>
            <w:shd w:val="clear" w:color="auto" w:fill="auto"/>
            <w:vAlign w:val="center"/>
          </w:tcPr>
          <w:p w14:paraId="29D9826F">
            <w:pPr>
              <w:jc w:val="center"/>
              <w:rPr>
                <w:rFonts w:hint="default" w:ascii="Times New Roman" w:hAnsi="Times New Roman" w:eastAsia="宋体" w:cs="Times New Roman"/>
                <w:i w:val="0"/>
                <w:iCs w:val="0"/>
                <w:strike/>
                <w:color w:val="auto"/>
                <w:sz w:val="18"/>
                <w:szCs w:val="18"/>
                <w:highlight w:val="none"/>
              </w:rPr>
            </w:pPr>
          </w:p>
        </w:tc>
        <w:tc>
          <w:tcPr>
            <w:tcW w:w="762" w:type="pct"/>
            <w:tcBorders>
              <w:top w:val="nil"/>
              <w:left w:val="nil"/>
              <w:bottom w:val="single" w:color="000000" w:sz="8" w:space="0"/>
              <w:right w:val="single" w:color="000000" w:sz="8" w:space="0"/>
            </w:tcBorders>
            <w:shd w:val="clear" w:color="auto" w:fill="auto"/>
            <w:vAlign w:val="center"/>
          </w:tcPr>
          <w:p w14:paraId="000D79A8">
            <w:pPr>
              <w:jc w:val="center"/>
              <w:rPr>
                <w:rFonts w:hint="default" w:ascii="Times New Roman" w:hAnsi="Times New Roman" w:eastAsia="宋体" w:cs="Times New Roman"/>
                <w:b/>
                <w:bCs/>
                <w:i w:val="0"/>
                <w:iCs w:val="0"/>
                <w:strike/>
                <w:color w:val="auto"/>
                <w:sz w:val="18"/>
                <w:szCs w:val="18"/>
                <w:highlight w:val="none"/>
              </w:rPr>
            </w:pPr>
          </w:p>
        </w:tc>
        <w:tc>
          <w:tcPr>
            <w:tcW w:w="515" w:type="pct"/>
            <w:tcBorders>
              <w:top w:val="nil"/>
              <w:left w:val="nil"/>
              <w:bottom w:val="single" w:color="000000" w:sz="8" w:space="0"/>
              <w:right w:val="single" w:color="000000" w:sz="8" w:space="0"/>
            </w:tcBorders>
            <w:shd w:val="clear" w:color="auto" w:fill="auto"/>
            <w:vAlign w:val="center"/>
          </w:tcPr>
          <w:p w14:paraId="251197FC">
            <w:pPr>
              <w:jc w:val="center"/>
              <w:rPr>
                <w:rFonts w:hint="default" w:ascii="Times New Roman" w:hAnsi="Times New Roman" w:eastAsia="宋体" w:cs="Times New Roman"/>
                <w:i w:val="0"/>
                <w:iCs w:val="0"/>
                <w:color w:val="auto"/>
                <w:sz w:val="18"/>
                <w:szCs w:val="18"/>
                <w:highlight w:val="none"/>
                <w:u w:val="none"/>
              </w:rPr>
            </w:pPr>
          </w:p>
        </w:tc>
      </w:tr>
      <w:tr w14:paraId="5ADAE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69C1B7A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2.1</w:t>
            </w:r>
          </w:p>
        </w:tc>
        <w:tc>
          <w:tcPr>
            <w:tcW w:w="532" w:type="pct"/>
            <w:tcBorders>
              <w:top w:val="nil"/>
              <w:left w:val="nil"/>
              <w:bottom w:val="single" w:color="000000" w:sz="8" w:space="0"/>
              <w:right w:val="single" w:color="000000" w:sz="8" w:space="0"/>
            </w:tcBorders>
            <w:shd w:val="clear" w:color="auto" w:fill="auto"/>
            <w:vAlign w:val="center"/>
          </w:tcPr>
          <w:p w14:paraId="3B97FBC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雨水管测量</w:t>
            </w:r>
          </w:p>
        </w:tc>
        <w:tc>
          <w:tcPr>
            <w:tcW w:w="532" w:type="pct"/>
            <w:tcBorders>
              <w:top w:val="nil"/>
              <w:left w:val="nil"/>
              <w:bottom w:val="single" w:color="000000" w:sz="8" w:space="0"/>
              <w:right w:val="single" w:color="000000" w:sz="8" w:space="0"/>
            </w:tcBorders>
            <w:shd w:val="clear" w:color="auto" w:fill="auto"/>
            <w:vAlign w:val="center"/>
          </w:tcPr>
          <w:p w14:paraId="582112A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中等</w:t>
            </w:r>
          </w:p>
        </w:tc>
        <w:tc>
          <w:tcPr>
            <w:tcW w:w="534" w:type="pct"/>
            <w:tcBorders>
              <w:top w:val="nil"/>
              <w:left w:val="nil"/>
              <w:bottom w:val="single" w:color="000000" w:sz="8" w:space="0"/>
              <w:right w:val="single" w:color="000000" w:sz="8" w:space="0"/>
            </w:tcBorders>
            <w:shd w:val="clear" w:color="auto" w:fill="auto"/>
            <w:vAlign w:val="center"/>
          </w:tcPr>
          <w:p w14:paraId="6628B4E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4" w:type="pct"/>
            <w:tcBorders>
              <w:top w:val="nil"/>
              <w:left w:val="nil"/>
              <w:bottom w:val="single" w:color="000000" w:sz="8" w:space="0"/>
              <w:right w:val="single" w:color="000000" w:sz="8" w:space="0"/>
            </w:tcBorders>
            <w:shd w:val="clear" w:color="auto" w:fill="auto"/>
            <w:vAlign w:val="center"/>
          </w:tcPr>
          <w:p w14:paraId="756C4D8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4.21</w:t>
            </w:r>
          </w:p>
        </w:tc>
        <w:tc>
          <w:tcPr>
            <w:tcW w:w="509" w:type="pct"/>
            <w:tcBorders>
              <w:top w:val="nil"/>
              <w:left w:val="nil"/>
              <w:bottom w:val="single" w:color="000000" w:sz="8" w:space="0"/>
              <w:right w:val="single" w:color="000000" w:sz="8" w:space="0"/>
            </w:tcBorders>
            <w:shd w:val="clear" w:color="auto" w:fill="auto"/>
            <w:vAlign w:val="center"/>
          </w:tcPr>
          <w:p w14:paraId="5D41C3C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km</w:t>
            </w:r>
          </w:p>
        </w:tc>
        <w:tc>
          <w:tcPr>
            <w:tcW w:w="635" w:type="pct"/>
            <w:tcBorders>
              <w:top w:val="nil"/>
              <w:left w:val="nil"/>
              <w:bottom w:val="single" w:color="000000" w:sz="8" w:space="0"/>
              <w:right w:val="single" w:color="000000" w:sz="8" w:space="0"/>
            </w:tcBorders>
            <w:shd w:val="clear" w:color="auto" w:fill="auto"/>
            <w:vAlign w:val="center"/>
          </w:tcPr>
          <w:p w14:paraId="0A7EBCC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1948</w:t>
            </w:r>
          </w:p>
        </w:tc>
        <w:tc>
          <w:tcPr>
            <w:tcW w:w="762" w:type="pct"/>
            <w:tcBorders>
              <w:top w:val="nil"/>
              <w:left w:val="nil"/>
              <w:bottom w:val="single" w:color="000000" w:sz="8" w:space="0"/>
              <w:right w:val="single" w:color="000000" w:sz="8" w:space="0"/>
            </w:tcBorders>
            <w:shd w:val="clear" w:color="auto" w:fill="auto"/>
            <w:vAlign w:val="center"/>
          </w:tcPr>
          <w:p w14:paraId="10E5BE5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8201.08</w:t>
            </w:r>
          </w:p>
        </w:tc>
        <w:tc>
          <w:tcPr>
            <w:tcW w:w="515" w:type="pct"/>
            <w:tcBorders>
              <w:top w:val="nil"/>
              <w:left w:val="nil"/>
              <w:bottom w:val="single" w:color="000000" w:sz="8" w:space="0"/>
              <w:right w:val="single" w:color="000000" w:sz="8" w:space="0"/>
            </w:tcBorders>
            <w:shd w:val="clear" w:color="auto" w:fill="auto"/>
            <w:vAlign w:val="center"/>
          </w:tcPr>
          <w:p w14:paraId="3BCDBCDC">
            <w:pPr>
              <w:jc w:val="center"/>
              <w:rPr>
                <w:rFonts w:hint="default" w:ascii="Times New Roman" w:hAnsi="Times New Roman" w:eastAsia="宋体" w:cs="Times New Roman"/>
                <w:i w:val="0"/>
                <w:iCs w:val="0"/>
                <w:color w:val="auto"/>
                <w:sz w:val="18"/>
                <w:szCs w:val="18"/>
                <w:highlight w:val="none"/>
                <w:u w:val="none"/>
              </w:rPr>
            </w:pPr>
          </w:p>
        </w:tc>
      </w:tr>
      <w:tr w14:paraId="4BCEB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00F5783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2.2</w:t>
            </w:r>
          </w:p>
        </w:tc>
        <w:tc>
          <w:tcPr>
            <w:tcW w:w="532" w:type="pct"/>
            <w:tcBorders>
              <w:top w:val="nil"/>
              <w:left w:val="nil"/>
              <w:bottom w:val="single" w:color="000000" w:sz="8" w:space="0"/>
              <w:right w:val="single" w:color="000000" w:sz="8" w:space="0"/>
            </w:tcBorders>
            <w:shd w:val="clear" w:color="auto" w:fill="auto"/>
            <w:vAlign w:val="center"/>
          </w:tcPr>
          <w:p w14:paraId="663B5B7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污水管测量</w:t>
            </w:r>
          </w:p>
        </w:tc>
        <w:tc>
          <w:tcPr>
            <w:tcW w:w="532" w:type="pct"/>
            <w:tcBorders>
              <w:top w:val="nil"/>
              <w:left w:val="nil"/>
              <w:bottom w:val="single" w:color="000000" w:sz="8" w:space="0"/>
              <w:right w:val="single" w:color="000000" w:sz="8" w:space="0"/>
            </w:tcBorders>
            <w:shd w:val="clear" w:color="auto" w:fill="auto"/>
            <w:vAlign w:val="center"/>
          </w:tcPr>
          <w:p w14:paraId="4DED025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中等</w:t>
            </w:r>
          </w:p>
        </w:tc>
        <w:tc>
          <w:tcPr>
            <w:tcW w:w="534" w:type="pct"/>
            <w:tcBorders>
              <w:top w:val="nil"/>
              <w:left w:val="nil"/>
              <w:bottom w:val="single" w:color="000000" w:sz="8" w:space="0"/>
              <w:right w:val="single" w:color="000000" w:sz="8" w:space="0"/>
            </w:tcBorders>
            <w:shd w:val="clear" w:color="auto" w:fill="auto"/>
            <w:vAlign w:val="center"/>
          </w:tcPr>
          <w:p w14:paraId="4EEB071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4" w:type="pct"/>
            <w:tcBorders>
              <w:top w:val="nil"/>
              <w:left w:val="nil"/>
              <w:bottom w:val="single" w:color="000000" w:sz="8" w:space="0"/>
              <w:right w:val="single" w:color="000000" w:sz="8" w:space="0"/>
            </w:tcBorders>
            <w:shd w:val="clear" w:color="auto" w:fill="auto"/>
            <w:vAlign w:val="center"/>
          </w:tcPr>
          <w:p w14:paraId="62A3C17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w:t>
            </w:r>
          </w:p>
        </w:tc>
        <w:tc>
          <w:tcPr>
            <w:tcW w:w="509" w:type="pct"/>
            <w:tcBorders>
              <w:top w:val="nil"/>
              <w:left w:val="nil"/>
              <w:bottom w:val="single" w:color="000000" w:sz="8" w:space="0"/>
              <w:right w:val="single" w:color="000000" w:sz="8" w:space="0"/>
            </w:tcBorders>
            <w:shd w:val="clear" w:color="auto" w:fill="auto"/>
            <w:vAlign w:val="center"/>
          </w:tcPr>
          <w:p w14:paraId="57A843F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km</w:t>
            </w:r>
          </w:p>
        </w:tc>
        <w:tc>
          <w:tcPr>
            <w:tcW w:w="635" w:type="pct"/>
            <w:tcBorders>
              <w:top w:val="nil"/>
              <w:left w:val="nil"/>
              <w:bottom w:val="single" w:color="000000" w:sz="8" w:space="0"/>
              <w:right w:val="single" w:color="000000" w:sz="8" w:space="0"/>
            </w:tcBorders>
            <w:shd w:val="clear" w:color="auto" w:fill="auto"/>
            <w:vAlign w:val="center"/>
          </w:tcPr>
          <w:p w14:paraId="2ED8066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1948</w:t>
            </w:r>
          </w:p>
        </w:tc>
        <w:tc>
          <w:tcPr>
            <w:tcW w:w="762" w:type="pct"/>
            <w:tcBorders>
              <w:top w:val="nil"/>
              <w:left w:val="nil"/>
              <w:bottom w:val="single" w:color="000000" w:sz="8" w:space="0"/>
              <w:right w:val="single" w:color="000000" w:sz="8" w:space="0"/>
            </w:tcBorders>
            <w:shd w:val="clear" w:color="auto" w:fill="auto"/>
            <w:vAlign w:val="center"/>
          </w:tcPr>
          <w:p w14:paraId="248B8AE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5844</w:t>
            </w:r>
          </w:p>
        </w:tc>
        <w:tc>
          <w:tcPr>
            <w:tcW w:w="515" w:type="pct"/>
            <w:tcBorders>
              <w:top w:val="nil"/>
              <w:left w:val="nil"/>
              <w:bottom w:val="single" w:color="000000" w:sz="8" w:space="0"/>
              <w:right w:val="single" w:color="000000" w:sz="8" w:space="0"/>
            </w:tcBorders>
            <w:shd w:val="clear" w:color="auto" w:fill="auto"/>
            <w:vAlign w:val="center"/>
          </w:tcPr>
          <w:p w14:paraId="5D19B5DB">
            <w:pPr>
              <w:jc w:val="center"/>
              <w:rPr>
                <w:rFonts w:hint="default" w:ascii="Times New Roman" w:hAnsi="Times New Roman" w:eastAsia="宋体" w:cs="Times New Roman"/>
                <w:i w:val="0"/>
                <w:iCs w:val="0"/>
                <w:color w:val="auto"/>
                <w:sz w:val="18"/>
                <w:szCs w:val="18"/>
                <w:highlight w:val="none"/>
                <w:u w:val="none"/>
              </w:rPr>
            </w:pPr>
          </w:p>
        </w:tc>
      </w:tr>
      <w:tr w14:paraId="651C3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619BFFD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2.3</w:t>
            </w:r>
          </w:p>
        </w:tc>
        <w:tc>
          <w:tcPr>
            <w:tcW w:w="532" w:type="pct"/>
            <w:tcBorders>
              <w:top w:val="nil"/>
              <w:left w:val="nil"/>
              <w:bottom w:val="single" w:color="000000" w:sz="8" w:space="0"/>
              <w:right w:val="single" w:color="000000" w:sz="8" w:space="0"/>
            </w:tcBorders>
            <w:shd w:val="clear" w:color="auto" w:fill="auto"/>
            <w:vAlign w:val="center"/>
          </w:tcPr>
          <w:p w14:paraId="1853211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给水管测量</w:t>
            </w:r>
          </w:p>
        </w:tc>
        <w:tc>
          <w:tcPr>
            <w:tcW w:w="532" w:type="pct"/>
            <w:tcBorders>
              <w:top w:val="nil"/>
              <w:left w:val="nil"/>
              <w:bottom w:val="single" w:color="000000" w:sz="8" w:space="0"/>
              <w:right w:val="single" w:color="000000" w:sz="8" w:space="0"/>
            </w:tcBorders>
            <w:shd w:val="clear" w:color="auto" w:fill="auto"/>
            <w:vAlign w:val="center"/>
          </w:tcPr>
          <w:p w14:paraId="3A6D1AB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中等</w:t>
            </w:r>
          </w:p>
        </w:tc>
        <w:tc>
          <w:tcPr>
            <w:tcW w:w="534" w:type="pct"/>
            <w:tcBorders>
              <w:top w:val="nil"/>
              <w:left w:val="nil"/>
              <w:bottom w:val="single" w:color="000000" w:sz="8" w:space="0"/>
              <w:right w:val="single" w:color="000000" w:sz="8" w:space="0"/>
            </w:tcBorders>
            <w:shd w:val="clear" w:color="auto" w:fill="auto"/>
            <w:vAlign w:val="center"/>
          </w:tcPr>
          <w:p w14:paraId="6E22166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4" w:type="pct"/>
            <w:tcBorders>
              <w:top w:val="nil"/>
              <w:left w:val="nil"/>
              <w:bottom w:val="single" w:color="000000" w:sz="8" w:space="0"/>
              <w:right w:val="single" w:color="000000" w:sz="8" w:space="0"/>
            </w:tcBorders>
            <w:shd w:val="clear" w:color="auto" w:fill="auto"/>
            <w:vAlign w:val="center"/>
          </w:tcPr>
          <w:p w14:paraId="2B1C00E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509" w:type="pct"/>
            <w:tcBorders>
              <w:top w:val="nil"/>
              <w:left w:val="nil"/>
              <w:bottom w:val="single" w:color="000000" w:sz="8" w:space="0"/>
              <w:right w:val="single" w:color="000000" w:sz="8" w:space="0"/>
            </w:tcBorders>
            <w:shd w:val="clear" w:color="auto" w:fill="auto"/>
            <w:vAlign w:val="center"/>
          </w:tcPr>
          <w:p w14:paraId="53425BF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km</w:t>
            </w:r>
          </w:p>
        </w:tc>
        <w:tc>
          <w:tcPr>
            <w:tcW w:w="635" w:type="pct"/>
            <w:tcBorders>
              <w:top w:val="nil"/>
              <w:left w:val="nil"/>
              <w:bottom w:val="single" w:color="000000" w:sz="8" w:space="0"/>
              <w:right w:val="single" w:color="000000" w:sz="8" w:space="0"/>
            </w:tcBorders>
            <w:shd w:val="clear" w:color="auto" w:fill="auto"/>
            <w:vAlign w:val="center"/>
          </w:tcPr>
          <w:p w14:paraId="4DA7C29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1948</w:t>
            </w:r>
          </w:p>
        </w:tc>
        <w:tc>
          <w:tcPr>
            <w:tcW w:w="762" w:type="pct"/>
            <w:tcBorders>
              <w:top w:val="nil"/>
              <w:left w:val="nil"/>
              <w:bottom w:val="single" w:color="000000" w:sz="8" w:space="0"/>
              <w:right w:val="single" w:color="000000" w:sz="8" w:space="0"/>
            </w:tcBorders>
            <w:shd w:val="clear" w:color="auto" w:fill="auto"/>
            <w:vAlign w:val="center"/>
          </w:tcPr>
          <w:p w14:paraId="5CD2728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3896</w:t>
            </w:r>
          </w:p>
        </w:tc>
        <w:tc>
          <w:tcPr>
            <w:tcW w:w="515" w:type="pct"/>
            <w:tcBorders>
              <w:top w:val="nil"/>
              <w:left w:val="nil"/>
              <w:bottom w:val="single" w:color="000000" w:sz="8" w:space="0"/>
              <w:right w:val="single" w:color="000000" w:sz="8" w:space="0"/>
            </w:tcBorders>
            <w:shd w:val="clear" w:color="auto" w:fill="auto"/>
            <w:vAlign w:val="center"/>
          </w:tcPr>
          <w:p w14:paraId="7C9706B6">
            <w:pPr>
              <w:jc w:val="center"/>
              <w:rPr>
                <w:rFonts w:hint="default" w:ascii="Times New Roman" w:hAnsi="Times New Roman" w:eastAsia="宋体" w:cs="Times New Roman"/>
                <w:i w:val="0"/>
                <w:iCs w:val="0"/>
                <w:color w:val="auto"/>
                <w:sz w:val="18"/>
                <w:szCs w:val="18"/>
                <w:highlight w:val="none"/>
                <w:u w:val="none"/>
              </w:rPr>
            </w:pPr>
          </w:p>
        </w:tc>
      </w:tr>
      <w:tr w14:paraId="26514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77A4D8D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2.4</w:t>
            </w:r>
          </w:p>
        </w:tc>
        <w:tc>
          <w:tcPr>
            <w:tcW w:w="532" w:type="pct"/>
            <w:tcBorders>
              <w:top w:val="nil"/>
              <w:left w:val="nil"/>
              <w:bottom w:val="single" w:color="000000" w:sz="8" w:space="0"/>
              <w:right w:val="single" w:color="000000" w:sz="8" w:space="0"/>
            </w:tcBorders>
            <w:shd w:val="clear" w:color="auto" w:fill="auto"/>
            <w:vAlign w:val="center"/>
          </w:tcPr>
          <w:p w14:paraId="3468254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电力管线测量</w:t>
            </w:r>
          </w:p>
        </w:tc>
        <w:tc>
          <w:tcPr>
            <w:tcW w:w="532" w:type="pct"/>
            <w:tcBorders>
              <w:top w:val="nil"/>
              <w:left w:val="nil"/>
              <w:bottom w:val="single" w:color="000000" w:sz="8" w:space="0"/>
              <w:right w:val="single" w:color="000000" w:sz="8" w:space="0"/>
            </w:tcBorders>
            <w:shd w:val="clear" w:color="auto" w:fill="auto"/>
            <w:vAlign w:val="center"/>
          </w:tcPr>
          <w:p w14:paraId="1A12815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中等</w:t>
            </w:r>
          </w:p>
        </w:tc>
        <w:tc>
          <w:tcPr>
            <w:tcW w:w="534" w:type="pct"/>
            <w:tcBorders>
              <w:top w:val="nil"/>
              <w:left w:val="nil"/>
              <w:bottom w:val="single" w:color="000000" w:sz="8" w:space="0"/>
              <w:right w:val="single" w:color="000000" w:sz="8" w:space="0"/>
            </w:tcBorders>
            <w:shd w:val="clear" w:color="auto" w:fill="auto"/>
            <w:vAlign w:val="center"/>
          </w:tcPr>
          <w:p w14:paraId="51C7AB0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4" w:type="pct"/>
            <w:tcBorders>
              <w:top w:val="nil"/>
              <w:left w:val="nil"/>
              <w:bottom w:val="single" w:color="000000" w:sz="8" w:space="0"/>
              <w:right w:val="single" w:color="000000" w:sz="8" w:space="0"/>
            </w:tcBorders>
            <w:shd w:val="clear" w:color="auto" w:fill="auto"/>
            <w:vAlign w:val="center"/>
          </w:tcPr>
          <w:p w14:paraId="3D94220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w:t>
            </w:r>
          </w:p>
        </w:tc>
        <w:tc>
          <w:tcPr>
            <w:tcW w:w="509" w:type="pct"/>
            <w:tcBorders>
              <w:top w:val="nil"/>
              <w:left w:val="nil"/>
              <w:bottom w:val="single" w:color="000000" w:sz="8" w:space="0"/>
              <w:right w:val="single" w:color="000000" w:sz="8" w:space="0"/>
            </w:tcBorders>
            <w:shd w:val="clear" w:color="auto" w:fill="auto"/>
            <w:vAlign w:val="center"/>
          </w:tcPr>
          <w:p w14:paraId="643F784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km</w:t>
            </w:r>
          </w:p>
        </w:tc>
        <w:tc>
          <w:tcPr>
            <w:tcW w:w="635" w:type="pct"/>
            <w:tcBorders>
              <w:top w:val="nil"/>
              <w:left w:val="nil"/>
              <w:bottom w:val="single" w:color="000000" w:sz="8" w:space="0"/>
              <w:right w:val="single" w:color="000000" w:sz="8" w:space="0"/>
            </w:tcBorders>
            <w:shd w:val="clear" w:color="auto" w:fill="auto"/>
            <w:vAlign w:val="center"/>
          </w:tcPr>
          <w:p w14:paraId="584A0E8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1446</w:t>
            </w:r>
          </w:p>
        </w:tc>
        <w:tc>
          <w:tcPr>
            <w:tcW w:w="762" w:type="pct"/>
            <w:tcBorders>
              <w:top w:val="nil"/>
              <w:left w:val="nil"/>
              <w:bottom w:val="single" w:color="000000" w:sz="8" w:space="0"/>
              <w:right w:val="single" w:color="000000" w:sz="8" w:space="0"/>
            </w:tcBorders>
            <w:shd w:val="clear" w:color="auto" w:fill="auto"/>
            <w:vAlign w:val="center"/>
          </w:tcPr>
          <w:p w14:paraId="1CBA497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7230</w:t>
            </w:r>
          </w:p>
        </w:tc>
        <w:tc>
          <w:tcPr>
            <w:tcW w:w="515" w:type="pct"/>
            <w:tcBorders>
              <w:top w:val="nil"/>
              <w:left w:val="nil"/>
              <w:bottom w:val="single" w:color="000000" w:sz="8" w:space="0"/>
              <w:right w:val="single" w:color="000000" w:sz="8" w:space="0"/>
            </w:tcBorders>
            <w:shd w:val="clear" w:color="auto" w:fill="auto"/>
            <w:vAlign w:val="center"/>
          </w:tcPr>
          <w:p w14:paraId="04968BD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含信号、路灯</w:t>
            </w:r>
          </w:p>
        </w:tc>
      </w:tr>
      <w:tr w14:paraId="5FD35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1CBD7DD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532" w:type="pct"/>
            <w:tcBorders>
              <w:top w:val="nil"/>
              <w:left w:val="nil"/>
              <w:bottom w:val="single" w:color="000000" w:sz="8" w:space="0"/>
              <w:right w:val="single" w:color="000000" w:sz="8" w:space="0"/>
            </w:tcBorders>
            <w:shd w:val="clear" w:color="auto" w:fill="auto"/>
            <w:vAlign w:val="center"/>
          </w:tcPr>
          <w:p w14:paraId="5B9DE65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电信管线测量</w:t>
            </w:r>
          </w:p>
        </w:tc>
        <w:tc>
          <w:tcPr>
            <w:tcW w:w="532" w:type="pct"/>
            <w:tcBorders>
              <w:top w:val="nil"/>
              <w:left w:val="nil"/>
              <w:bottom w:val="single" w:color="000000" w:sz="8" w:space="0"/>
              <w:right w:val="single" w:color="000000" w:sz="8" w:space="0"/>
            </w:tcBorders>
            <w:shd w:val="clear" w:color="auto" w:fill="auto"/>
            <w:vAlign w:val="center"/>
          </w:tcPr>
          <w:p w14:paraId="469B793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中等</w:t>
            </w:r>
          </w:p>
        </w:tc>
        <w:tc>
          <w:tcPr>
            <w:tcW w:w="534" w:type="pct"/>
            <w:tcBorders>
              <w:top w:val="nil"/>
              <w:left w:val="nil"/>
              <w:bottom w:val="single" w:color="000000" w:sz="8" w:space="0"/>
              <w:right w:val="single" w:color="000000" w:sz="8" w:space="0"/>
            </w:tcBorders>
            <w:shd w:val="clear" w:color="auto" w:fill="auto"/>
            <w:vAlign w:val="center"/>
          </w:tcPr>
          <w:p w14:paraId="03EEBDA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4" w:type="pct"/>
            <w:tcBorders>
              <w:top w:val="nil"/>
              <w:left w:val="nil"/>
              <w:bottom w:val="single" w:color="000000" w:sz="8" w:space="0"/>
              <w:right w:val="single" w:color="000000" w:sz="8" w:space="0"/>
            </w:tcBorders>
            <w:shd w:val="clear" w:color="auto" w:fill="auto"/>
            <w:vAlign w:val="center"/>
          </w:tcPr>
          <w:p w14:paraId="4BF610A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w:t>
            </w:r>
          </w:p>
        </w:tc>
        <w:tc>
          <w:tcPr>
            <w:tcW w:w="509" w:type="pct"/>
            <w:tcBorders>
              <w:top w:val="nil"/>
              <w:left w:val="nil"/>
              <w:bottom w:val="single" w:color="000000" w:sz="8" w:space="0"/>
              <w:right w:val="single" w:color="000000" w:sz="8" w:space="0"/>
            </w:tcBorders>
            <w:shd w:val="clear" w:color="auto" w:fill="auto"/>
            <w:vAlign w:val="center"/>
          </w:tcPr>
          <w:p w14:paraId="4266D85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km</w:t>
            </w:r>
          </w:p>
        </w:tc>
        <w:tc>
          <w:tcPr>
            <w:tcW w:w="635" w:type="pct"/>
            <w:tcBorders>
              <w:top w:val="nil"/>
              <w:left w:val="nil"/>
              <w:bottom w:val="single" w:color="000000" w:sz="8" w:space="0"/>
              <w:right w:val="single" w:color="000000" w:sz="8" w:space="0"/>
            </w:tcBorders>
            <w:shd w:val="clear" w:color="auto" w:fill="auto"/>
            <w:vAlign w:val="center"/>
          </w:tcPr>
          <w:p w14:paraId="5DA6BB8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1446</w:t>
            </w:r>
          </w:p>
        </w:tc>
        <w:tc>
          <w:tcPr>
            <w:tcW w:w="762" w:type="pct"/>
            <w:tcBorders>
              <w:top w:val="nil"/>
              <w:left w:val="nil"/>
              <w:bottom w:val="single" w:color="000000" w:sz="8" w:space="0"/>
              <w:right w:val="single" w:color="000000" w:sz="8" w:space="0"/>
            </w:tcBorders>
            <w:shd w:val="clear" w:color="auto" w:fill="auto"/>
            <w:vAlign w:val="center"/>
          </w:tcPr>
          <w:p w14:paraId="3A2C190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7230</w:t>
            </w:r>
          </w:p>
        </w:tc>
        <w:tc>
          <w:tcPr>
            <w:tcW w:w="515" w:type="pct"/>
            <w:tcBorders>
              <w:top w:val="nil"/>
              <w:left w:val="nil"/>
              <w:bottom w:val="single" w:color="000000" w:sz="8" w:space="0"/>
              <w:right w:val="single" w:color="000000" w:sz="8" w:space="0"/>
            </w:tcBorders>
            <w:shd w:val="clear" w:color="auto" w:fill="auto"/>
            <w:vAlign w:val="center"/>
          </w:tcPr>
          <w:p w14:paraId="1C4E6EF8">
            <w:pPr>
              <w:jc w:val="center"/>
              <w:rPr>
                <w:rFonts w:hint="default" w:ascii="Times New Roman" w:hAnsi="Times New Roman" w:eastAsia="宋体" w:cs="Times New Roman"/>
                <w:i w:val="0"/>
                <w:iCs w:val="0"/>
                <w:color w:val="auto"/>
                <w:sz w:val="18"/>
                <w:szCs w:val="18"/>
                <w:highlight w:val="none"/>
                <w:u w:val="none"/>
              </w:rPr>
            </w:pPr>
          </w:p>
        </w:tc>
      </w:tr>
      <w:tr w14:paraId="0BB48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53854C4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2.6</w:t>
            </w:r>
          </w:p>
        </w:tc>
        <w:tc>
          <w:tcPr>
            <w:tcW w:w="532" w:type="pct"/>
            <w:tcBorders>
              <w:top w:val="nil"/>
              <w:left w:val="nil"/>
              <w:bottom w:val="single" w:color="000000" w:sz="8" w:space="0"/>
              <w:right w:val="single" w:color="000000" w:sz="8" w:space="0"/>
            </w:tcBorders>
            <w:shd w:val="clear" w:color="auto" w:fill="auto"/>
            <w:vAlign w:val="center"/>
          </w:tcPr>
          <w:p w14:paraId="3965A17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燃气管测量</w:t>
            </w:r>
          </w:p>
        </w:tc>
        <w:tc>
          <w:tcPr>
            <w:tcW w:w="532" w:type="pct"/>
            <w:tcBorders>
              <w:top w:val="nil"/>
              <w:left w:val="nil"/>
              <w:bottom w:val="single" w:color="000000" w:sz="8" w:space="0"/>
              <w:right w:val="single" w:color="000000" w:sz="8" w:space="0"/>
            </w:tcBorders>
            <w:shd w:val="clear" w:color="auto" w:fill="auto"/>
            <w:vAlign w:val="center"/>
          </w:tcPr>
          <w:p w14:paraId="69ACC21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中等</w:t>
            </w:r>
          </w:p>
        </w:tc>
        <w:tc>
          <w:tcPr>
            <w:tcW w:w="534" w:type="pct"/>
            <w:tcBorders>
              <w:top w:val="nil"/>
              <w:left w:val="nil"/>
              <w:bottom w:val="single" w:color="000000" w:sz="8" w:space="0"/>
              <w:right w:val="single" w:color="000000" w:sz="8" w:space="0"/>
            </w:tcBorders>
            <w:shd w:val="clear" w:color="auto" w:fill="auto"/>
            <w:vAlign w:val="center"/>
          </w:tcPr>
          <w:p w14:paraId="3FA8C84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4" w:type="pct"/>
            <w:tcBorders>
              <w:top w:val="nil"/>
              <w:left w:val="nil"/>
              <w:bottom w:val="single" w:color="000000" w:sz="8" w:space="0"/>
              <w:right w:val="single" w:color="000000" w:sz="8" w:space="0"/>
            </w:tcBorders>
            <w:shd w:val="clear" w:color="auto" w:fill="auto"/>
            <w:vAlign w:val="center"/>
          </w:tcPr>
          <w:p w14:paraId="13F4427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509" w:type="pct"/>
            <w:tcBorders>
              <w:top w:val="nil"/>
              <w:left w:val="nil"/>
              <w:bottom w:val="single" w:color="000000" w:sz="8" w:space="0"/>
              <w:right w:val="single" w:color="000000" w:sz="8" w:space="0"/>
            </w:tcBorders>
            <w:shd w:val="clear" w:color="auto" w:fill="auto"/>
            <w:vAlign w:val="center"/>
          </w:tcPr>
          <w:p w14:paraId="2098478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km</w:t>
            </w:r>
          </w:p>
        </w:tc>
        <w:tc>
          <w:tcPr>
            <w:tcW w:w="635" w:type="pct"/>
            <w:tcBorders>
              <w:top w:val="nil"/>
              <w:left w:val="nil"/>
              <w:bottom w:val="single" w:color="000000" w:sz="8" w:space="0"/>
              <w:right w:val="single" w:color="000000" w:sz="8" w:space="0"/>
            </w:tcBorders>
            <w:shd w:val="clear" w:color="auto" w:fill="auto"/>
            <w:vAlign w:val="center"/>
          </w:tcPr>
          <w:p w14:paraId="2D55D1D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1700</w:t>
            </w:r>
          </w:p>
        </w:tc>
        <w:tc>
          <w:tcPr>
            <w:tcW w:w="762" w:type="pct"/>
            <w:tcBorders>
              <w:top w:val="nil"/>
              <w:left w:val="nil"/>
              <w:bottom w:val="single" w:color="000000" w:sz="8" w:space="0"/>
              <w:right w:val="single" w:color="000000" w:sz="8" w:space="0"/>
            </w:tcBorders>
            <w:shd w:val="clear" w:color="auto" w:fill="auto"/>
            <w:vAlign w:val="center"/>
          </w:tcPr>
          <w:p w14:paraId="4E6F49F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3400</w:t>
            </w:r>
          </w:p>
        </w:tc>
        <w:tc>
          <w:tcPr>
            <w:tcW w:w="515" w:type="pct"/>
            <w:tcBorders>
              <w:top w:val="nil"/>
              <w:left w:val="nil"/>
              <w:bottom w:val="single" w:color="000000" w:sz="8" w:space="0"/>
              <w:right w:val="single" w:color="000000" w:sz="8" w:space="0"/>
            </w:tcBorders>
            <w:shd w:val="clear" w:color="auto" w:fill="auto"/>
            <w:vAlign w:val="center"/>
          </w:tcPr>
          <w:p w14:paraId="19855611">
            <w:pPr>
              <w:jc w:val="center"/>
              <w:rPr>
                <w:rFonts w:hint="default" w:ascii="Times New Roman" w:hAnsi="Times New Roman" w:eastAsia="宋体" w:cs="Times New Roman"/>
                <w:i w:val="0"/>
                <w:iCs w:val="0"/>
                <w:color w:val="auto"/>
                <w:sz w:val="18"/>
                <w:szCs w:val="18"/>
                <w:highlight w:val="none"/>
                <w:u w:val="none"/>
              </w:rPr>
            </w:pPr>
          </w:p>
        </w:tc>
      </w:tr>
      <w:tr w14:paraId="5D64D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7"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7D2EB21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2.7</w:t>
            </w:r>
          </w:p>
        </w:tc>
        <w:tc>
          <w:tcPr>
            <w:tcW w:w="532" w:type="pct"/>
            <w:tcBorders>
              <w:top w:val="nil"/>
              <w:left w:val="nil"/>
              <w:bottom w:val="single" w:color="000000" w:sz="8" w:space="0"/>
              <w:right w:val="single" w:color="000000" w:sz="8" w:space="0"/>
            </w:tcBorders>
            <w:shd w:val="clear" w:color="auto" w:fill="auto"/>
            <w:vAlign w:val="center"/>
          </w:tcPr>
          <w:p w14:paraId="63D8BD5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其他工业管线测量</w:t>
            </w:r>
          </w:p>
        </w:tc>
        <w:tc>
          <w:tcPr>
            <w:tcW w:w="532" w:type="pct"/>
            <w:tcBorders>
              <w:top w:val="nil"/>
              <w:left w:val="nil"/>
              <w:bottom w:val="single" w:color="000000" w:sz="8" w:space="0"/>
              <w:right w:val="single" w:color="000000" w:sz="8" w:space="0"/>
            </w:tcBorders>
            <w:shd w:val="clear" w:color="auto" w:fill="auto"/>
            <w:vAlign w:val="center"/>
          </w:tcPr>
          <w:p w14:paraId="7C754A8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中等</w:t>
            </w:r>
          </w:p>
        </w:tc>
        <w:tc>
          <w:tcPr>
            <w:tcW w:w="534" w:type="pct"/>
            <w:tcBorders>
              <w:top w:val="nil"/>
              <w:left w:val="nil"/>
              <w:bottom w:val="single" w:color="000000" w:sz="8" w:space="0"/>
              <w:right w:val="single" w:color="000000" w:sz="8" w:space="0"/>
            </w:tcBorders>
            <w:shd w:val="clear" w:color="auto" w:fill="auto"/>
            <w:vAlign w:val="center"/>
          </w:tcPr>
          <w:p w14:paraId="3088763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4" w:type="pct"/>
            <w:tcBorders>
              <w:top w:val="nil"/>
              <w:left w:val="nil"/>
              <w:bottom w:val="single" w:color="000000" w:sz="8" w:space="0"/>
              <w:right w:val="single" w:color="000000" w:sz="8" w:space="0"/>
            </w:tcBorders>
            <w:shd w:val="clear" w:color="auto" w:fill="auto"/>
            <w:vAlign w:val="center"/>
          </w:tcPr>
          <w:p w14:paraId="5D1E671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w:t>
            </w:r>
          </w:p>
        </w:tc>
        <w:tc>
          <w:tcPr>
            <w:tcW w:w="509" w:type="pct"/>
            <w:tcBorders>
              <w:top w:val="nil"/>
              <w:left w:val="nil"/>
              <w:bottom w:val="single" w:color="000000" w:sz="8" w:space="0"/>
              <w:right w:val="single" w:color="000000" w:sz="8" w:space="0"/>
            </w:tcBorders>
            <w:shd w:val="clear" w:color="auto" w:fill="auto"/>
            <w:vAlign w:val="center"/>
          </w:tcPr>
          <w:p w14:paraId="5EE5CE6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km</w:t>
            </w:r>
          </w:p>
        </w:tc>
        <w:tc>
          <w:tcPr>
            <w:tcW w:w="635" w:type="pct"/>
            <w:tcBorders>
              <w:top w:val="nil"/>
              <w:left w:val="nil"/>
              <w:bottom w:val="single" w:color="000000" w:sz="8" w:space="0"/>
              <w:right w:val="single" w:color="000000" w:sz="8" w:space="0"/>
            </w:tcBorders>
            <w:shd w:val="clear" w:color="auto" w:fill="auto"/>
            <w:vAlign w:val="center"/>
          </w:tcPr>
          <w:p w14:paraId="4FD2AC1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1700</w:t>
            </w:r>
          </w:p>
        </w:tc>
        <w:tc>
          <w:tcPr>
            <w:tcW w:w="762" w:type="pct"/>
            <w:tcBorders>
              <w:top w:val="nil"/>
              <w:left w:val="nil"/>
              <w:bottom w:val="single" w:color="000000" w:sz="8" w:space="0"/>
              <w:right w:val="single" w:color="000000" w:sz="8" w:space="0"/>
            </w:tcBorders>
            <w:shd w:val="clear" w:color="auto" w:fill="auto"/>
            <w:vAlign w:val="center"/>
          </w:tcPr>
          <w:p w14:paraId="323A349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w:t>
            </w:r>
          </w:p>
        </w:tc>
        <w:tc>
          <w:tcPr>
            <w:tcW w:w="515" w:type="pct"/>
            <w:tcBorders>
              <w:top w:val="nil"/>
              <w:left w:val="nil"/>
              <w:bottom w:val="single" w:color="000000" w:sz="8" w:space="0"/>
              <w:right w:val="single" w:color="000000" w:sz="8" w:space="0"/>
            </w:tcBorders>
            <w:shd w:val="clear" w:color="auto" w:fill="auto"/>
            <w:vAlign w:val="center"/>
          </w:tcPr>
          <w:p w14:paraId="64CA4F18">
            <w:pPr>
              <w:jc w:val="center"/>
              <w:rPr>
                <w:rFonts w:hint="default" w:ascii="Times New Roman" w:hAnsi="Times New Roman" w:eastAsia="宋体" w:cs="Times New Roman"/>
                <w:i w:val="0"/>
                <w:iCs w:val="0"/>
                <w:color w:val="auto"/>
                <w:sz w:val="18"/>
                <w:szCs w:val="18"/>
                <w:highlight w:val="none"/>
                <w:u w:val="none"/>
              </w:rPr>
            </w:pPr>
          </w:p>
        </w:tc>
      </w:tr>
      <w:tr w14:paraId="40E18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0BC8C1A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2.8</w:t>
            </w:r>
          </w:p>
        </w:tc>
        <w:tc>
          <w:tcPr>
            <w:tcW w:w="532" w:type="pct"/>
            <w:tcBorders>
              <w:top w:val="nil"/>
              <w:left w:val="nil"/>
              <w:bottom w:val="single" w:color="000000" w:sz="8" w:space="0"/>
              <w:right w:val="single" w:color="000000" w:sz="8" w:space="0"/>
            </w:tcBorders>
            <w:shd w:val="clear" w:color="auto" w:fill="auto"/>
            <w:vAlign w:val="center"/>
          </w:tcPr>
          <w:p w14:paraId="2EFF56B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标高测点</w:t>
            </w:r>
          </w:p>
        </w:tc>
        <w:tc>
          <w:tcPr>
            <w:tcW w:w="532" w:type="pct"/>
            <w:tcBorders>
              <w:top w:val="nil"/>
              <w:left w:val="nil"/>
              <w:bottom w:val="single" w:color="000000" w:sz="8" w:space="0"/>
              <w:right w:val="single" w:color="000000" w:sz="8" w:space="0"/>
            </w:tcBorders>
            <w:shd w:val="clear" w:color="auto" w:fill="auto"/>
            <w:vAlign w:val="center"/>
          </w:tcPr>
          <w:p w14:paraId="36453F2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中等</w:t>
            </w:r>
          </w:p>
        </w:tc>
        <w:tc>
          <w:tcPr>
            <w:tcW w:w="534" w:type="pct"/>
            <w:tcBorders>
              <w:top w:val="nil"/>
              <w:left w:val="nil"/>
              <w:bottom w:val="single" w:color="000000" w:sz="8" w:space="0"/>
              <w:right w:val="single" w:color="000000" w:sz="8" w:space="0"/>
            </w:tcBorders>
            <w:shd w:val="clear" w:color="auto" w:fill="auto"/>
            <w:vAlign w:val="center"/>
          </w:tcPr>
          <w:p w14:paraId="538D472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34" w:type="pct"/>
            <w:tcBorders>
              <w:top w:val="nil"/>
              <w:left w:val="nil"/>
              <w:bottom w:val="single" w:color="000000" w:sz="8" w:space="0"/>
              <w:right w:val="single" w:color="000000" w:sz="8" w:space="0"/>
            </w:tcBorders>
            <w:shd w:val="clear" w:color="auto" w:fill="auto"/>
            <w:vAlign w:val="center"/>
          </w:tcPr>
          <w:p w14:paraId="19ED6E6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100</w:t>
            </w:r>
          </w:p>
        </w:tc>
        <w:tc>
          <w:tcPr>
            <w:tcW w:w="509" w:type="pct"/>
            <w:tcBorders>
              <w:top w:val="nil"/>
              <w:left w:val="nil"/>
              <w:bottom w:val="single" w:color="000000" w:sz="8" w:space="0"/>
              <w:right w:val="single" w:color="000000" w:sz="8" w:space="0"/>
            </w:tcBorders>
            <w:shd w:val="clear" w:color="auto" w:fill="auto"/>
            <w:vAlign w:val="center"/>
          </w:tcPr>
          <w:p w14:paraId="2241FAA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点</w:t>
            </w:r>
          </w:p>
        </w:tc>
        <w:tc>
          <w:tcPr>
            <w:tcW w:w="635" w:type="pct"/>
            <w:tcBorders>
              <w:top w:val="nil"/>
              <w:left w:val="nil"/>
              <w:bottom w:val="single" w:color="000000" w:sz="8" w:space="0"/>
              <w:right w:val="single" w:color="000000" w:sz="8" w:space="0"/>
            </w:tcBorders>
            <w:shd w:val="clear" w:color="auto" w:fill="auto"/>
            <w:vAlign w:val="center"/>
          </w:tcPr>
          <w:p w14:paraId="18B38D0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60</w:t>
            </w:r>
          </w:p>
        </w:tc>
        <w:tc>
          <w:tcPr>
            <w:tcW w:w="762" w:type="pct"/>
            <w:tcBorders>
              <w:top w:val="nil"/>
              <w:left w:val="nil"/>
              <w:bottom w:val="single" w:color="000000" w:sz="8" w:space="0"/>
              <w:right w:val="single" w:color="000000" w:sz="8" w:space="0"/>
            </w:tcBorders>
            <w:shd w:val="clear" w:color="auto" w:fill="auto"/>
            <w:vAlign w:val="center"/>
          </w:tcPr>
          <w:p w14:paraId="780E948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6000</w:t>
            </w:r>
          </w:p>
        </w:tc>
        <w:tc>
          <w:tcPr>
            <w:tcW w:w="515" w:type="pct"/>
            <w:tcBorders>
              <w:top w:val="nil"/>
              <w:left w:val="nil"/>
              <w:bottom w:val="single" w:color="000000" w:sz="8" w:space="0"/>
              <w:right w:val="single" w:color="000000" w:sz="8" w:space="0"/>
            </w:tcBorders>
            <w:shd w:val="clear" w:color="auto" w:fill="auto"/>
            <w:vAlign w:val="center"/>
          </w:tcPr>
          <w:p w14:paraId="3B7C5DAC">
            <w:pPr>
              <w:jc w:val="center"/>
              <w:rPr>
                <w:rFonts w:hint="default" w:ascii="Times New Roman" w:hAnsi="Times New Roman" w:eastAsia="宋体" w:cs="Times New Roman"/>
                <w:i w:val="0"/>
                <w:iCs w:val="0"/>
                <w:color w:val="auto"/>
                <w:sz w:val="18"/>
                <w:szCs w:val="18"/>
                <w:highlight w:val="none"/>
                <w:u w:val="none"/>
              </w:rPr>
            </w:pPr>
          </w:p>
        </w:tc>
      </w:tr>
      <w:tr w14:paraId="0680C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681E629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2.9</w:t>
            </w:r>
          </w:p>
        </w:tc>
        <w:tc>
          <w:tcPr>
            <w:tcW w:w="532" w:type="pct"/>
            <w:tcBorders>
              <w:top w:val="nil"/>
              <w:left w:val="nil"/>
              <w:bottom w:val="single" w:color="000000" w:sz="8" w:space="0"/>
              <w:right w:val="single" w:color="000000" w:sz="8" w:space="0"/>
            </w:tcBorders>
            <w:shd w:val="clear" w:color="auto" w:fill="auto"/>
            <w:vAlign w:val="center"/>
          </w:tcPr>
          <w:p w14:paraId="55EEC97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小计</w:t>
            </w:r>
          </w:p>
        </w:tc>
        <w:tc>
          <w:tcPr>
            <w:tcW w:w="532" w:type="pct"/>
            <w:tcBorders>
              <w:top w:val="nil"/>
              <w:left w:val="nil"/>
              <w:bottom w:val="single" w:color="000000" w:sz="8" w:space="0"/>
              <w:right w:val="single" w:color="000000" w:sz="8" w:space="0"/>
            </w:tcBorders>
            <w:shd w:val="clear" w:color="auto" w:fill="auto"/>
            <w:vAlign w:val="center"/>
          </w:tcPr>
          <w:p w14:paraId="22011A32">
            <w:pPr>
              <w:jc w:val="center"/>
              <w:rPr>
                <w:rFonts w:hint="default" w:ascii="Times New Roman" w:hAnsi="Times New Roman" w:eastAsia="宋体" w:cs="Times New Roman"/>
                <w:i w:val="0"/>
                <w:iCs w:val="0"/>
                <w:strike/>
                <w:color w:val="auto"/>
                <w:sz w:val="18"/>
                <w:szCs w:val="18"/>
                <w:highlight w:val="none"/>
              </w:rPr>
            </w:pPr>
          </w:p>
        </w:tc>
        <w:tc>
          <w:tcPr>
            <w:tcW w:w="534" w:type="pct"/>
            <w:tcBorders>
              <w:top w:val="nil"/>
              <w:left w:val="nil"/>
              <w:bottom w:val="single" w:color="000000" w:sz="8" w:space="0"/>
              <w:right w:val="single" w:color="000000" w:sz="8" w:space="0"/>
            </w:tcBorders>
            <w:shd w:val="clear" w:color="auto" w:fill="auto"/>
            <w:vAlign w:val="center"/>
          </w:tcPr>
          <w:p w14:paraId="6945621C">
            <w:pPr>
              <w:jc w:val="center"/>
              <w:rPr>
                <w:rFonts w:hint="default" w:ascii="Times New Roman" w:hAnsi="Times New Roman" w:eastAsia="宋体" w:cs="Times New Roman"/>
                <w:i w:val="0"/>
                <w:iCs w:val="0"/>
                <w:strike/>
                <w:color w:val="auto"/>
                <w:sz w:val="18"/>
                <w:szCs w:val="18"/>
                <w:highlight w:val="none"/>
              </w:rPr>
            </w:pPr>
          </w:p>
        </w:tc>
        <w:tc>
          <w:tcPr>
            <w:tcW w:w="534" w:type="pct"/>
            <w:tcBorders>
              <w:top w:val="nil"/>
              <w:left w:val="nil"/>
              <w:bottom w:val="single" w:color="000000" w:sz="8" w:space="0"/>
              <w:right w:val="single" w:color="000000" w:sz="8" w:space="0"/>
            </w:tcBorders>
            <w:shd w:val="clear" w:color="auto" w:fill="auto"/>
            <w:noWrap/>
            <w:vAlign w:val="center"/>
          </w:tcPr>
          <w:p w14:paraId="4917A92F">
            <w:pPr>
              <w:rPr>
                <w:rFonts w:hint="eastAsia" w:ascii="宋体" w:hAnsi="宋体" w:eastAsia="宋体" w:cs="宋体"/>
                <w:i w:val="0"/>
                <w:iCs w:val="0"/>
                <w:color w:val="auto"/>
                <w:sz w:val="22"/>
                <w:szCs w:val="22"/>
                <w:highlight w:val="none"/>
                <w:u w:val="none"/>
              </w:rPr>
            </w:pPr>
          </w:p>
        </w:tc>
        <w:tc>
          <w:tcPr>
            <w:tcW w:w="509" w:type="pct"/>
            <w:tcBorders>
              <w:top w:val="nil"/>
              <w:left w:val="nil"/>
              <w:bottom w:val="single" w:color="000000" w:sz="8" w:space="0"/>
              <w:right w:val="single" w:color="000000" w:sz="8" w:space="0"/>
            </w:tcBorders>
            <w:shd w:val="clear" w:color="auto" w:fill="auto"/>
            <w:vAlign w:val="center"/>
          </w:tcPr>
          <w:p w14:paraId="1BC15EB4">
            <w:pPr>
              <w:jc w:val="center"/>
              <w:rPr>
                <w:rFonts w:hint="default" w:ascii="Times New Roman" w:hAnsi="Times New Roman" w:eastAsia="宋体" w:cs="Times New Roman"/>
                <w:i w:val="0"/>
                <w:iCs w:val="0"/>
                <w:strike/>
                <w:color w:val="auto"/>
                <w:sz w:val="18"/>
                <w:szCs w:val="18"/>
                <w:highlight w:val="none"/>
              </w:rPr>
            </w:pPr>
          </w:p>
        </w:tc>
        <w:tc>
          <w:tcPr>
            <w:tcW w:w="635" w:type="pct"/>
            <w:tcBorders>
              <w:top w:val="nil"/>
              <w:left w:val="nil"/>
              <w:bottom w:val="single" w:color="000000" w:sz="8" w:space="0"/>
              <w:right w:val="single" w:color="000000" w:sz="8" w:space="0"/>
            </w:tcBorders>
            <w:shd w:val="clear" w:color="auto" w:fill="auto"/>
            <w:vAlign w:val="center"/>
          </w:tcPr>
          <w:p w14:paraId="3FD80724">
            <w:pPr>
              <w:jc w:val="center"/>
              <w:rPr>
                <w:rFonts w:hint="default" w:ascii="Times New Roman" w:hAnsi="Times New Roman" w:eastAsia="宋体" w:cs="Times New Roman"/>
                <w:i w:val="0"/>
                <w:iCs w:val="0"/>
                <w:strike/>
                <w:color w:val="auto"/>
                <w:sz w:val="18"/>
                <w:szCs w:val="18"/>
                <w:highlight w:val="none"/>
              </w:rPr>
            </w:pPr>
          </w:p>
        </w:tc>
        <w:tc>
          <w:tcPr>
            <w:tcW w:w="762" w:type="pct"/>
            <w:tcBorders>
              <w:top w:val="nil"/>
              <w:left w:val="nil"/>
              <w:bottom w:val="single" w:color="000000" w:sz="8" w:space="0"/>
              <w:right w:val="single" w:color="000000" w:sz="8" w:space="0"/>
            </w:tcBorders>
            <w:shd w:val="clear" w:color="auto" w:fill="auto"/>
            <w:vAlign w:val="center"/>
          </w:tcPr>
          <w:p w14:paraId="5C8019C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41801.08</w:t>
            </w:r>
          </w:p>
        </w:tc>
        <w:tc>
          <w:tcPr>
            <w:tcW w:w="515" w:type="pct"/>
            <w:tcBorders>
              <w:top w:val="nil"/>
              <w:left w:val="nil"/>
              <w:bottom w:val="single" w:color="000000" w:sz="8" w:space="0"/>
              <w:right w:val="single" w:color="000000" w:sz="8" w:space="0"/>
            </w:tcBorders>
            <w:shd w:val="clear" w:color="auto" w:fill="auto"/>
            <w:vAlign w:val="center"/>
          </w:tcPr>
          <w:p w14:paraId="6BA4B5B4">
            <w:pPr>
              <w:jc w:val="center"/>
              <w:rPr>
                <w:rFonts w:hint="default" w:ascii="Times New Roman" w:hAnsi="Times New Roman" w:eastAsia="宋体" w:cs="Times New Roman"/>
                <w:i w:val="0"/>
                <w:iCs w:val="0"/>
                <w:color w:val="auto"/>
                <w:sz w:val="18"/>
                <w:szCs w:val="18"/>
                <w:highlight w:val="none"/>
                <w:u w:val="none"/>
              </w:rPr>
            </w:pPr>
          </w:p>
        </w:tc>
      </w:tr>
      <w:tr w14:paraId="3CEDD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092CAEF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w:t>
            </w:r>
          </w:p>
        </w:tc>
        <w:tc>
          <w:tcPr>
            <w:tcW w:w="532" w:type="pct"/>
            <w:tcBorders>
              <w:top w:val="nil"/>
              <w:left w:val="nil"/>
              <w:bottom w:val="single" w:color="000000" w:sz="8" w:space="0"/>
              <w:right w:val="single" w:color="000000" w:sz="8" w:space="0"/>
            </w:tcBorders>
            <w:shd w:val="clear" w:color="auto" w:fill="auto"/>
            <w:vAlign w:val="center"/>
          </w:tcPr>
          <w:p w14:paraId="08AE391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技术工作费</w:t>
            </w:r>
          </w:p>
        </w:tc>
        <w:tc>
          <w:tcPr>
            <w:tcW w:w="2745" w:type="pct"/>
            <w:gridSpan w:val="5"/>
            <w:tcBorders>
              <w:top w:val="nil"/>
              <w:left w:val="nil"/>
              <w:bottom w:val="single" w:color="000000" w:sz="8" w:space="0"/>
              <w:right w:val="single" w:color="000000" w:sz="8" w:space="0"/>
            </w:tcBorders>
            <w:shd w:val="clear" w:color="auto" w:fill="auto"/>
            <w:vAlign w:val="center"/>
          </w:tcPr>
          <w:p w14:paraId="1F07C48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22%</w:t>
            </w:r>
          </w:p>
        </w:tc>
        <w:tc>
          <w:tcPr>
            <w:tcW w:w="762" w:type="pct"/>
            <w:tcBorders>
              <w:top w:val="nil"/>
              <w:left w:val="nil"/>
              <w:bottom w:val="single" w:color="000000" w:sz="8" w:space="0"/>
              <w:right w:val="single" w:color="000000" w:sz="8" w:space="0"/>
            </w:tcBorders>
            <w:shd w:val="clear" w:color="auto" w:fill="auto"/>
            <w:vAlign w:val="center"/>
          </w:tcPr>
          <w:p w14:paraId="1164C2D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25358.9776</w:t>
            </w:r>
          </w:p>
        </w:tc>
        <w:tc>
          <w:tcPr>
            <w:tcW w:w="515" w:type="pct"/>
            <w:tcBorders>
              <w:top w:val="nil"/>
              <w:left w:val="nil"/>
              <w:bottom w:val="single" w:color="000000" w:sz="8" w:space="0"/>
              <w:right w:val="single" w:color="000000" w:sz="8" w:space="0"/>
            </w:tcBorders>
            <w:shd w:val="clear" w:color="auto" w:fill="auto"/>
            <w:vAlign w:val="center"/>
          </w:tcPr>
          <w:p w14:paraId="5552E7ED">
            <w:pPr>
              <w:jc w:val="center"/>
              <w:rPr>
                <w:rFonts w:hint="default" w:ascii="Times New Roman" w:hAnsi="Times New Roman" w:eastAsia="宋体" w:cs="Times New Roman"/>
                <w:i w:val="0"/>
                <w:iCs w:val="0"/>
                <w:color w:val="auto"/>
                <w:sz w:val="18"/>
                <w:szCs w:val="18"/>
                <w:highlight w:val="none"/>
                <w:u w:val="none"/>
              </w:rPr>
            </w:pPr>
          </w:p>
        </w:tc>
      </w:tr>
      <w:tr w14:paraId="672FC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1C34B0E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w:t>
            </w:r>
          </w:p>
        </w:tc>
        <w:tc>
          <w:tcPr>
            <w:tcW w:w="532" w:type="pct"/>
            <w:tcBorders>
              <w:top w:val="nil"/>
              <w:left w:val="nil"/>
              <w:bottom w:val="single" w:color="000000" w:sz="8" w:space="0"/>
              <w:right w:val="single" w:color="000000" w:sz="8" w:space="0"/>
            </w:tcBorders>
            <w:shd w:val="clear" w:color="auto" w:fill="auto"/>
            <w:vAlign w:val="center"/>
          </w:tcPr>
          <w:p w14:paraId="78C2447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合计</w:t>
            </w:r>
          </w:p>
        </w:tc>
        <w:tc>
          <w:tcPr>
            <w:tcW w:w="2745" w:type="pct"/>
            <w:gridSpan w:val="5"/>
            <w:tcBorders>
              <w:top w:val="nil"/>
              <w:left w:val="nil"/>
              <w:bottom w:val="single" w:color="000000" w:sz="8" w:space="0"/>
              <w:right w:val="single" w:color="000000" w:sz="8" w:space="0"/>
            </w:tcBorders>
            <w:shd w:val="clear" w:color="auto" w:fill="auto"/>
            <w:vAlign w:val="center"/>
          </w:tcPr>
          <w:p w14:paraId="0E80746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下浮</w:t>
            </w:r>
            <w:r>
              <w:rPr>
                <w:rFonts w:hint="default" w:ascii="Times New Roman" w:hAnsi="Times New Roman" w:eastAsia="宋体" w:cs="Times New Roman"/>
                <w:i w:val="0"/>
                <w:iCs w:val="0"/>
                <w:color w:val="auto"/>
                <w:kern w:val="0"/>
                <w:sz w:val="18"/>
                <w:szCs w:val="18"/>
                <w:highlight w:val="none"/>
                <w:u w:val="none"/>
                <w:lang w:val="en-US" w:eastAsia="zh-CN" w:bidi="ar"/>
              </w:rPr>
              <w:t>30%</w:t>
            </w:r>
          </w:p>
        </w:tc>
        <w:tc>
          <w:tcPr>
            <w:tcW w:w="762" w:type="pct"/>
            <w:tcBorders>
              <w:top w:val="nil"/>
              <w:left w:val="nil"/>
              <w:bottom w:val="single" w:color="000000" w:sz="8" w:space="0"/>
              <w:right w:val="single" w:color="000000" w:sz="8" w:space="0"/>
            </w:tcBorders>
            <w:shd w:val="clear" w:color="auto" w:fill="auto"/>
            <w:vAlign w:val="center"/>
          </w:tcPr>
          <w:p w14:paraId="2E5B06E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98438.94</w:t>
            </w:r>
          </w:p>
        </w:tc>
        <w:tc>
          <w:tcPr>
            <w:tcW w:w="515" w:type="pct"/>
            <w:tcBorders>
              <w:top w:val="nil"/>
              <w:left w:val="nil"/>
              <w:bottom w:val="single" w:color="000000" w:sz="8" w:space="0"/>
              <w:right w:val="single" w:color="000000" w:sz="8" w:space="0"/>
            </w:tcBorders>
            <w:shd w:val="clear" w:color="auto" w:fill="auto"/>
            <w:vAlign w:val="center"/>
          </w:tcPr>
          <w:p w14:paraId="7F807495">
            <w:pPr>
              <w:jc w:val="center"/>
              <w:rPr>
                <w:rFonts w:hint="default" w:ascii="Times New Roman" w:hAnsi="Times New Roman" w:eastAsia="宋体" w:cs="Times New Roman"/>
                <w:i w:val="0"/>
                <w:iCs w:val="0"/>
                <w:color w:val="auto"/>
                <w:sz w:val="18"/>
                <w:szCs w:val="18"/>
                <w:highlight w:val="none"/>
                <w:u w:val="none"/>
              </w:rPr>
            </w:pPr>
          </w:p>
        </w:tc>
      </w:tr>
      <w:tr w14:paraId="5CA15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2" w:hRule="atLeast"/>
        </w:trPr>
        <w:tc>
          <w:tcPr>
            <w:tcW w:w="444" w:type="pct"/>
            <w:tcBorders>
              <w:top w:val="nil"/>
              <w:left w:val="single" w:color="000000" w:sz="8" w:space="0"/>
              <w:bottom w:val="single" w:color="000000" w:sz="8" w:space="0"/>
              <w:right w:val="single" w:color="000000" w:sz="8" w:space="0"/>
            </w:tcBorders>
            <w:shd w:val="clear" w:color="auto" w:fill="auto"/>
            <w:vAlign w:val="center"/>
          </w:tcPr>
          <w:p w14:paraId="3DD5F9C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w:t>
            </w:r>
          </w:p>
        </w:tc>
        <w:tc>
          <w:tcPr>
            <w:tcW w:w="532" w:type="pct"/>
            <w:tcBorders>
              <w:top w:val="nil"/>
              <w:left w:val="nil"/>
              <w:bottom w:val="single" w:color="000000" w:sz="8" w:space="0"/>
              <w:right w:val="single" w:color="000000" w:sz="8" w:space="0"/>
            </w:tcBorders>
            <w:shd w:val="clear" w:color="auto" w:fill="auto"/>
            <w:vAlign w:val="center"/>
          </w:tcPr>
          <w:p w14:paraId="78E2BBB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实际应收费</w:t>
            </w:r>
          </w:p>
        </w:tc>
        <w:tc>
          <w:tcPr>
            <w:tcW w:w="2745" w:type="pct"/>
            <w:gridSpan w:val="5"/>
            <w:tcBorders>
              <w:top w:val="nil"/>
              <w:left w:val="nil"/>
              <w:bottom w:val="single" w:color="000000" w:sz="8" w:space="0"/>
              <w:right w:val="single" w:color="000000" w:sz="8" w:space="0"/>
            </w:tcBorders>
            <w:shd w:val="clear" w:color="auto" w:fill="auto"/>
            <w:vAlign w:val="center"/>
          </w:tcPr>
          <w:p w14:paraId="1157C8F4">
            <w:pPr>
              <w:jc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一+二</w:t>
            </w:r>
          </w:p>
        </w:tc>
        <w:tc>
          <w:tcPr>
            <w:tcW w:w="762" w:type="pct"/>
            <w:tcBorders>
              <w:top w:val="nil"/>
              <w:left w:val="nil"/>
              <w:bottom w:val="single" w:color="000000" w:sz="8" w:space="0"/>
              <w:right w:val="single" w:color="000000" w:sz="8" w:space="0"/>
            </w:tcBorders>
            <w:shd w:val="clear" w:color="auto" w:fill="auto"/>
            <w:vAlign w:val="center"/>
          </w:tcPr>
          <w:p w14:paraId="6C769BE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391048.96</w:t>
            </w:r>
          </w:p>
        </w:tc>
        <w:tc>
          <w:tcPr>
            <w:tcW w:w="515" w:type="pct"/>
            <w:tcBorders>
              <w:top w:val="nil"/>
              <w:left w:val="nil"/>
              <w:bottom w:val="single" w:color="000000" w:sz="8" w:space="0"/>
              <w:right w:val="single" w:color="000000" w:sz="8" w:space="0"/>
            </w:tcBorders>
            <w:shd w:val="clear" w:color="auto" w:fill="auto"/>
            <w:noWrap/>
            <w:vAlign w:val="center"/>
          </w:tcPr>
          <w:p w14:paraId="26CFC19E">
            <w:pPr>
              <w:rPr>
                <w:rFonts w:hint="eastAsia" w:ascii="宋体" w:hAnsi="宋体" w:eastAsia="宋体" w:cs="宋体"/>
                <w:i w:val="0"/>
                <w:iCs w:val="0"/>
                <w:color w:val="auto"/>
                <w:sz w:val="22"/>
                <w:szCs w:val="22"/>
                <w:highlight w:val="none"/>
                <w:u w:val="none"/>
              </w:rPr>
            </w:pPr>
          </w:p>
        </w:tc>
      </w:tr>
    </w:tbl>
    <w:p w14:paraId="0626FCB2">
      <w:pPr>
        <w:widowControl/>
        <w:jc w:val="left"/>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注：</w:t>
      </w:r>
    </w:p>
    <w:p w14:paraId="76B9FBA2">
      <w:pPr>
        <w:widowControl/>
        <w:jc w:val="left"/>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最终</w:t>
      </w:r>
      <w:r>
        <w:rPr>
          <w:rFonts w:hint="eastAsia" w:ascii="宋体" w:hAnsi="宋体" w:eastAsia="宋体" w:cs="Times New Roman"/>
          <w:color w:val="auto"/>
          <w:kern w:val="0"/>
          <w:szCs w:val="21"/>
          <w:highlight w:val="none"/>
          <w:lang w:val="en-US" w:eastAsia="zh-CN"/>
        </w:rPr>
        <w:t>测量</w:t>
      </w:r>
      <w:r>
        <w:rPr>
          <w:rFonts w:hint="eastAsia" w:ascii="宋体" w:hAnsi="宋体" w:eastAsia="宋体" w:cs="Times New Roman"/>
          <w:color w:val="auto"/>
          <w:kern w:val="0"/>
          <w:szCs w:val="21"/>
          <w:highlight w:val="none"/>
        </w:rPr>
        <w:t>内容和工作量以招标人根据现场实际情况确认为准。</w:t>
      </w:r>
    </w:p>
    <w:p w14:paraId="77F57FF1">
      <w:pPr>
        <w:spacing w:line="320" w:lineRule="exact"/>
        <w:rPr>
          <w:rFonts w:ascii="宋体" w:hAnsi="宋体" w:eastAsia="宋体" w:cs="Times New Roman"/>
          <w:color w:val="auto"/>
          <w:sz w:val="24"/>
          <w:szCs w:val="24"/>
          <w:highlight w:val="none"/>
        </w:rPr>
      </w:pPr>
      <w:r>
        <w:rPr>
          <w:rFonts w:hint="eastAsia" w:ascii="宋体" w:hAnsi="宋体" w:eastAsia="宋体" w:cs="Times New Roman"/>
          <w:color w:val="auto"/>
          <w:kern w:val="0"/>
          <w:szCs w:val="21"/>
          <w:highlight w:val="none"/>
        </w:rPr>
        <w:t>本工程测量如含文物、坟墓等重要构、建筑物测量，费用由投标人在投标报价中综合考虑。</w:t>
      </w:r>
    </w:p>
    <w:p w14:paraId="35F59B6B">
      <w:pPr>
        <w:autoSpaceDE w:val="0"/>
        <w:autoSpaceDN w:val="0"/>
        <w:spacing w:line="366" w:lineRule="exact"/>
        <w:rPr>
          <w:rFonts w:ascii="宋体" w:hAnsi="宋体" w:eastAsia="宋体" w:cs="Times New Roman"/>
          <w:color w:val="auto"/>
          <w:kern w:val="0"/>
          <w:szCs w:val="21"/>
          <w:highlight w:val="none"/>
        </w:rPr>
      </w:pPr>
    </w:p>
    <w:p w14:paraId="2A581EE8">
      <w:pPr>
        <w:widowControl/>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br w:type="page"/>
      </w:r>
    </w:p>
    <w:p w14:paraId="11A66541">
      <w:pPr>
        <w:autoSpaceDE w:val="0"/>
        <w:autoSpaceDN w:val="0"/>
        <w:adjustRightInd w:val="0"/>
        <w:spacing w:line="276" w:lineRule="auto"/>
        <w:ind w:left="284" w:hanging="284"/>
        <w:jc w:val="left"/>
        <w:outlineLvl w:val="4"/>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2-1 设计费用清单</w:t>
      </w:r>
    </w:p>
    <w:tbl>
      <w:tblPr>
        <w:tblStyle w:val="4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
        <w:gridCol w:w="1255"/>
        <w:gridCol w:w="1339"/>
        <w:gridCol w:w="2001"/>
        <w:gridCol w:w="1477"/>
        <w:gridCol w:w="1582"/>
        <w:gridCol w:w="573"/>
      </w:tblGrid>
      <w:tr w14:paraId="56B91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321" w:type="pct"/>
            <w:noWrap w:val="0"/>
            <w:vAlign w:val="center"/>
          </w:tcPr>
          <w:p w14:paraId="03BF226F">
            <w:pPr>
              <w:wordWrap w:val="0"/>
              <w:topLinePunct/>
              <w:jc w:val="center"/>
              <w:rPr>
                <w:rFonts w:hint="eastAsia" w:ascii="宋体" w:hAnsi="宋体"/>
                <w:color w:val="auto"/>
                <w:szCs w:val="21"/>
                <w:highlight w:val="none"/>
              </w:rPr>
            </w:pPr>
            <w:r>
              <w:rPr>
                <w:rFonts w:hint="eastAsia" w:ascii="宋体" w:hAnsi="宋体"/>
                <w:color w:val="auto"/>
                <w:highlight w:val="none"/>
              </w:rPr>
              <w:t>序号</w:t>
            </w:r>
          </w:p>
        </w:tc>
        <w:tc>
          <w:tcPr>
            <w:tcW w:w="762" w:type="pct"/>
            <w:noWrap w:val="0"/>
            <w:vAlign w:val="center"/>
          </w:tcPr>
          <w:p w14:paraId="1986AE76">
            <w:pPr>
              <w:wordWrap w:val="0"/>
              <w:topLinePunct/>
              <w:jc w:val="center"/>
              <w:rPr>
                <w:rFonts w:hint="eastAsia" w:ascii="宋体" w:hAnsi="宋体"/>
                <w:color w:val="auto"/>
                <w:highlight w:val="none"/>
              </w:rPr>
            </w:pPr>
            <w:r>
              <w:rPr>
                <w:rFonts w:hint="eastAsia" w:ascii="宋体" w:hAnsi="宋体"/>
                <w:color w:val="auto"/>
                <w:highlight w:val="none"/>
              </w:rPr>
              <w:t>项目名称</w:t>
            </w:r>
          </w:p>
        </w:tc>
        <w:tc>
          <w:tcPr>
            <w:tcW w:w="810" w:type="pct"/>
            <w:noWrap w:val="0"/>
            <w:vAlign w:val="center"/>
          </w:tcPr>
          <w:p w14:paraId="3B44ED2F">
            <w:pPr>
              <w:wordWrap w:val="0"/>
              <w:topLinePunct/>
              <w:jc w:val="center"/>
              <w:rPr>
                <w:rFonts w:hint="eastAsia" w:ascii="宋体" w:hAnsi="宋体"/>
                <w:color w:val="auto"/>
                <w:highlight w:val="none"/>
              </w:rPr>
            </w:pPr>
            <w:r>
              <w:rPr>
                <w:rFonts w:hint="eastAsia" w:ascii="宋体" w:hAnsi="宋体" w:cs="宋体"/>
                <w:color w:val="auto"/>
                <w:kern w:val="0"/>
                <w:szCs w:val="21"/>
                <w:highlight w:val="none"/>
              </w:rPr>
              <w:t>建筑安装工程费</w:t>
            </w:r>
            <w:r>
              <w:rPr>
                <w:rFonts w:hint="eastAsia" w:ascii="宋体" w:hAnsi="宋体"/>
                <w:color w:val="auto"/>
                <w:highlight w:val="none"/>
              </w:rPr>
              <w:t>(万元）</w:t>
            </w:r>
          </w:p>
        </w:tc>
        <w:tc>
          <w:tcPr>
            <w:tcW w:w="1118" w:type="pct"/>
            <w:noWrap w:val="0"/>
            <w:vAlign w:val="center"/>
          </w:tcPr>
          <w:p w14:paraId="4F2C90CE">
            <w:pPr>
              <w:wordWrap w:val="0"/>
              <w:topLinePunct/>
              <w:jc w:val="center"/>
              <w:rPr>
                <w:rFonts w:hint="eastAsia" w:ascii="宋体" w:hAnsi="宋体"/>
                <w:color w:val="auto"/>
                <w:highlight w:val="none"/>
              </w:rPr>
            </w:pPr>
            <w:r>
              <w:rPr>
                <w:rFonts w:hint="eastAsia" w:ascii="宋体" w:hAnsi="宋体"/>
                <w:color w:val="auto"/>
                <w:highlight w:val="none"/>
              </w:rPr>
              <w:t>工程设计收费基价</w:t>
            </w:r>
          </w:p>
          <w:p w14:paraId="6845F6EE">
            <w:pPr>
              <w:wordWrap w:val="0"/>
              <w:topLinePunct/>
              <w:jc w:val="center"/>
              <w:rPr>
                <w:rFonts w:hint="eastAsia" w:ascii="宋体" w:hAnsi="宋体"/>
                <w:color w:val="auto"/>
                <w:highlight w:val="none"/>
              </w:rPr>
            </w:pPr>
            <w:r>
              <w:rPr>
                <w:rFonts w:hint="eastAsia" w:ascii="宋体" w:hAnsi="宋体"/>
                <w:color w:val="auto"/>
                <w:highlight w:val="none"/>
              </w:rPr>
              <w:t>（万元）</w:t>
            </w:r>
          </w:p>
        </w:tc>
        <w:tc>
          <w:tcPr>
            <w:tcW w:w="788" w:type="pct"/>
            <w:noWrap w:val="0"/>
            <w:vAlign w:val="center"/>
          </w:tcPr>
          <w:p w14:paraId="59E76C8D">
            <w:pPr>
              <w:wordWrap w:val="0"/>
              <w:topLinePunct/>
              <w:jc w:val="center"/>
              <w:rPr>
                <w:rFonts w:hint="eastAsia" w:ascii="宋体" w:hAnsi="宋体"/>
                <w:color w:val="auto"/>
                <w:highlight w:val="none"/>
              </w:rPr>
            </w:pPr>
            <w:r>
              <w:rPr>
                <w:rFonts w:hint="eastAsia" w:ascii="宋体" w:hAnsi="宋体"/>
                <w:color w:val="auto"/>
                <w:highlight w:val="none"/>
              </w:rPr>
              <w:t>调整系数</w:t>
            </w:r>
          </w:p>
        </w:tc>
        <w:tc>
          <w:tcPr>
            <w:tcW w:w="827" w:type="pct"/>
            <w:noWrap w:val="0"/>
            <w:vAlign w:val="center"/>
          </w:tcPr>
          <w:p w14:paraId="4CE4E89F">
            <w:pPr>
              <w:wordWrap w:val="0"/>
              <w:topLinePunct/>
              <w:jc w:val="center"/>
              <w:rPr>
                <w:rFonts w:hint="eastAsia" w:ascii="宋体" w:hAnsi="宋体"/>
                <w:color w:val="auto"/>
                <w:highlight w:val="none"/>
              </w:rPr>
            </w:pPr>
            <w:r>
              <w:rPr>
                <w:rFonts w:hint="eastAsia" w:ascii="宋体" w:hAnsi="宋体"/>
                <w:color w:val="auto"/>
                <w:highlight w:val="none"/>
              </w:rPr>
              <w:t>基本设计费</w:t>
            </w:r>
          </w:p>
          <w:p w14:paraId="1EAB1D66">
            <w:pPr>
              <w:wordWrap w:val="0"/>
              <w:topLinePunct/>
              <w:jc w:val="center"/>
              <w:rPr>
                <w:rFonts w:hint="eastAsia" w:ascii="宋体" w:hAnsi="宋体"/>
                <w:color w:val="auto"/>
                <w:highlight w:val="none"/>
              </w:rPr>
            </w:pPr>
            <w:r>
              <w:rPr>
                <w:rFonts w:hint="eastAsia" w:ascii="宋体" w:hAnsi="宋体"/>
                <w:color w:val="auto"/>
                <w:highlight w:val="none"/>
              </w:rPr>
              <w:t>（万元）</w:t>
            </w:r>
          </w:p>
        </w:tc>
        <w:tc>
          <w:tcPr>
            <w:tcW w:w="370" w:type="pct"/>
            <w:noWrap w:val="0"/>
            <w:vAlign w:val="center"/>
          </w:tcPr>
          <w:p w14:paraId="7A47A7B5">
            <w:pPr>
              <w:wordWrap w:val="0"/>
              <w:topLinePunct/>
              <w:jc w:val="center"/>
              <w:rPr>
                <w:rFonts w:hint="eastAsia" w:ascii="宋体" w:hAnsi="宋体"/>
                <w:color w:val="auto"/>
                <w:highlight w:val="none"/>
              </w:rPr>
            </w:pPr>
            <w:r>
              <w:rPr>
                <w:rFonts w:hint="eastAsia" w:ascii="宋体" w:hAnsi="宋体"/>
                <w:color w:val="auto"/>
                <w:highlight w:val="none"/>
              </w:rPr>
              <w:t>备注</w:t>
            </w:r>
          </w:p>
        </w:tc>
      </w:tr>
      <w:tr w14:paraId="3854A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321" w:type="pct"/>
            <w:noWrap w:val="0"/>
            <w:vAlign w:val="center"/>
          </w:tcPr>
          <w:p w14:paraId="4E18C646">
            <w:pPr>
              <w:wordWrap w:val="0"/>
              <w:topLinePunct/>
              <w:jc w:val="center"/>
              <w:rPr>
                <w:rFonts w:hint="eastAsia" w:ascii="宋体" w:hAnsi="宋体"/>
                <w:color w:val="auto"/>
                <w:highlight w:val="none"/>
              </w:rPr>
            </w:pPr>
            <w:r>
              <w:rPr>
                <w:rFonts w:hint="eastAsia" w:ascii="宋体" w:hAnsi="宋体"/>
                <w:color w:val="auto"/>
                <w:highlight w:val="none"/>
              </w:rPr>
              <w:t>一</w:t>
            </w:r>
          </w:p>
        </w:tc>
        <w:tc>
          <w:tcPr>
            <w:tcW w:w="762" w:type="pct"/>
            <w:noWrap w:val="0"/>
            <w:vAlign w:val="center"/>
          </w:tcPr>
          <w:p w14:paraId="52ACAC9F">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项目总投资</w:t>
            </w:r>
          </w:p>
        </w:tc>
        <w:tc>
          <w:tcPr>
            <w:tcW w:w="810" w:type="pct"/>
            <w:noWrap w:val="0"/>
            <w:vAlign w:val="center"/>
          </w:tcPr>
          <w:p w14:paraId="3D1704CF">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A=20901.33</w:t>
            </w:r>
          </w:p>
        </w:tc>
        <w:tc>
          <w:tcPr>
            <w:tcW w:w="1118" w:type="pct"/>
            <w:shd w:val="clear" w:color="auto" w:fill="auto"/>
            <w:noWrap w:val="0"/>
            <w:vAlign w:val="center"/>
          </w:tcPr>
          <w:p w14:paraId="2BC0418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L=588.756399</w:t>
            </w:r>
          </w:p>
        </w:tc>
        <w:tc>
          <w:tcPr>
            <w:tcW w:w="788" w:type="pct"/>
            <w:noWrap w:val="0"/>
            <w:vAlign w:val="center"/>
          </w:tcPr>
          <w:p w14:paraId="057A82AC">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1.0*1.0*1.0</w:t>
            </w:r>
          </w:p>
        </w:tc>
        <w:tc>
          <w:tcPr>
            <w:tcW w:w="827" w:type="pct"/>
            <w:noWrap w:val="0"/>
            <w:vAlign w:val="center"/>
          </w:tcPr>
          <w:p w14:paraId="5CD3D867">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B=588.756399</w:t>
            </w:r>
          </w:p>
        </w:tc>
        <w:tc>
          <w:tcPr>
            <w:tcW w:w="370" w:type="pct"/>
            <w:noWrap w:val="0"/>
            <w:vAlign w:val="center"/>
          </w:tcPr>
          <w:p w14:paraId="41515438">
            <w:pPr>
              <w:wordWrap w:val="0"/>
              <w:topLinePunct/>
              <w:jc w:val="center"/>
              <w:rPr>
                <w:rFonts w:hint="eastAsia" w:ascii="宋体" w:hAnsi="宋体"/>
                <w:color w:val="auto"/>
                <w:highlight w:val="none"/>
              </w:rPr>
            </w:pPr>
          </w:p>
        </w:tc>
      </w:tr>
      <w:tr w14:paraId="6EFC6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321" w:type="pct"/>
            <w:noWrap w:val="0"/>
            <w:vAlign w:val="center"/>
          </w:tcPr>
          <w:p w14:paraId="41DC2A82">
            <w:pPr>
              <w:wordWrap w:val="0"/>
              <w:topLinePunct/>
              <w:jc w:val="center"/>
              <w:rPr>
                <w:rFonts w:hint="eastAsia" w:ascii="宋体" w:hAnsi="宋体"/>
                <w:color w:val="auto"/>
                <w:highlight w:val="none"/>
              </w:rPr>
            </w:pPr>
            <w:r>
              <w:rPr>
                <w:rFonts w:hint="eastAsia" w:ascii="宋体" w:hAnsi="宋体"/>
                <w:color w:val="auto"/>
                <w:highlight w:val="none"/>
              </w:rPr>
              <w:t>1</w:t>
            </w:r>
          </w:p>
        </w:tc>
        <w:tc>
          <w:tcPr>
            <w:tcW w:w="762" w:type="pct"/>
            <w:noWrap w:val="0"/>
            <w:vAlign w:val="center"/>
          </w:tcPr>
          <w:p w14:paraId="4788DCBE">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道路工程</w:t>
            </w:r>
          </w:p>
        </w:tc>
        <w:tc>
          <w:tcPr>
            <w:tcW w:w="810" w:type="pct"/>
            <w:noWrap w:val="0"/>
            <w:vAlign w:val="center"/>
          </w:tcPr>
          <w:p w14:paraId="6872A1C5">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C1=7868.78</w:t>
            </w:r>
          </w:p>
        </w:tc>
        <w:tc>
          <w:tcPr>
            <w:tcW w:w="1118" w:type="pct"/>
            <w:noWrap w:val="0"/>
            <w:vAlign w:val="center"/>
          </w:tcPr>
          <w:p w14:paraId="281AFCB7">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C1/A*B=221.650707</w:t>
            </w:r>
          </w:p>
        </w:tc>
        <w:tc>
          <w:tcPr>
            <w:tcW w:w="788" w:type="pct"/>
            <w:noWrap w:val="0"/>
            <w:vAlign w:val="center"/>
          </w:tcPr>
          <w:p w14:paraId="024B4DC0">
            <w:pPr>
              <w:keepNext w:val="0"/>
              <w:keepLines w:val="0"/>
              <w:widowControl/>
              <w:suppressLineNumbers w:val="0"/>
              <w:jc w:val="center"/>
              <w:textAlignment w:val="center"/>
              <w:rPr>
                <w:rFonts w:hint="default" w:ascii="宋体" w:hAnsi="宋体" w:eastAsia="宋体"/>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0.9*1.0*1.0</w:t>
            </w:r>
          </w:p>
        </w:tc>
        <w:tc>
          <w:tcPr>
            <w:tcW w:w="827" w:type="pct"/>
            <w:noWrap w:val="0"/>
            <w:vAlign w:val="center"/>
          </w:tcPr>
          <w:p w14:paraId="17BBC837">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D1=199.485636</w:t>
            </w:r>
          </w:p>
        </w:tc>
        <w:tc>
          <w:tcPr>
            <w:tcW w:w="370" w:type="pct"/>
            <w:noWrap w:val="0"/>
            <w:vAlign w:val="center"/>
          </w:tcPr>
          <w:p w14:paraId="68F314BD">
            <w:pPr>
              <w:wordWrap w:val="0"/>
              <w:topLinePunct/>
              <w:jc w:val="center"/>
              <w:rPr>
                <w:rFonts w:hint="eastAsia" w:ascii="宋体" w:hAnsi="宋体"/>
                <w:color w:val="auto"/>
                <w:highlight w:val="none"/>
              </w:rPr>
            </w:pPr>
          </w:p>
        </w:tc>
      </w:tr>
      <w:tr w14:paraId="51500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321" w:type="pct"/>
            <w:noWrap w:val="0"/>
            <w:vAlign w:val="center"/>
          </w:tcPr>
          <w:p w14:paraId="780768B5">
            <w:pPr>
              <w:wordWrap w:val="0"/>
              <w:topLinePunct/>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2</w:t>
            </w:r>
          </w:p>
        </w:tc>
        <w:tc>
          <w:tcPr>
            <w:tcW w:w="762" w:type="pct"/>
            <w:noWrap w:val="0"/>
            <w:vAlign w:val="center"/>
          </w:tcPr>
          <w:p w14:paraId="6DA1C25D">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给水工程</w:t>
            </w:r>
          </w:p>
        </w:tc>
        <w:tc>
          <w:tcPr>
            <w:tcW w:w="810" w:type="pct"/>
            <w:noWrap w:val="0"/>
            <w:vAlign w:val="center"/>
          </w:tcPr>
          <w:p w14:paraId="091B0C34">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C2=369.53</w:t>
            </w:r>
          </w:p>
        </w:tc>
        <w:tc>
          <w:tcPr>
            <w:tcW w:w="1118" w:type="pct"/>
            <w:noWrap w:val="0"/>
            <w:vAlign w:val="center"/>
          </w:tcPr>
          <w:p w14:paraId="72B0BF72">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C2/A*B=10.409058</w:t>
            </w:r>
          </w:p>
        </w:tc>
        <w:tc>
          <w:tcPr>
            <w:tcW w:w="788" w:type="pct"/>
            <w:noWrap w:val="0"/>
            <w:vAlign w:val="center"/>
          </w:tcPr>
          <w:p w14:paraId="2DFF9C25">
            <w:pPr>
              <w:keepNext w:val="0"/>
              <w:keepLines w:val="0"/>
              <w:widowControl/>
              <w:suppressLineNumbers w:val="0"/>
              <w:jc w:val="center"/>
              <w:textAlignment w:val="center"/>
              <w:rPr>
                <w:rFonts w:hint="default" w:ascii="宋体" w:hAnsi="宋体" w:eastAsia="宋体"/>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1.0*1.0*1.0</w:t>
            </w:r>
          </w:p>
        </w:tc>
        <w:tc>
          <w:tcPr>
            <w:tcW w:w="827" w:type="pct"/>
            <w:noWrap w:val="0"/>
            <w:vAlign w:val="center"/>
          </w:tcPr>
          <w:p w14:paraId="519F22B3">
            <w:pPr>
              <w:keepNext w:val="0"/>
              <w:keepLines w:val="0"/>
              <w:widowControl/>
              <w:suppressLineNumbers w:val="0"/>
              <w:jc w:val="center"/>
              <w:textAlignment w:val="center"/>
              <w:rPr>
                <w:rFonts w:hint="eastAsia" w:ascii="宋体" w:hAnsi="宋体" w:eastAsia="宋体"/>
                <w:color w:val="auto"/>
                <w:highlight w:val="none"/>
                <w:lang w:eastAsia="zh-CN"/>
              </w:rPr>
            </w:pPr>
            <w:r>
              <w:rPr>
                <w:rFonts w:hint="eastAsia" w:ascii="宋体" w:hAnsi="宋体" w:eastAsia="宋体" w:cs="宋体"/>
                <w:i w:val="0"/>
                <w:iCs w:val="0"/>
                <w:color w:val="auto"/>
                <w:kern w:val="0"/>
                <w:sz w:val="21"/>
                <w:szCs w:val="21"/>
                <w:highlight w:val="none"/>
                <w:u w:val="none"/>
                <w:lang w:val="en-US" w:eastAsia="zh-CN" w:bidi="ar"/>
              </w:rPr>
              <w:t>D2=10.409058</w:t>
            </w:r>
          </w:p>
        </w:tc>
        <w:tc>
          <w:tcPr>
            <w:tcW w:w="370" w:type="pct"/>
            <w:noWrap w:val="0"/>
            <w:vAlign w:val="center"/>
          </w:tcPr>
          <w:p w14:paraId="1EA470D1">
            <w:pPr>
              <w:wordWrap w:val="0"/>
              <w:topLinePunct/>
              <w:jc w:val="center"/>
              <w:rPr>
                <w:rFonts w:hint="eastAsia" w:ascii="宋体" w:hAnsi="宋体"/>
                <w:color w:val="auto"/>
                <w:highlight w:val="none"/>
              </w:rPr>
            </w:pPr>
          </w:p>
        </w:tc>
      </w:tr>
      <w:tr w14:paraId="41994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321" w:type="pct"/>
            <w:noWrap w:val="0"/>
            <w:vAlign w:val="center"/>
          </w:tcPr>
          <w:p w14:paraId="1ED41D8E">
            <w:pPr>
              <w:wordWrap w:val="0"/>
              <w:topLinePunct/>
              <w:jc w:val="center"/>
              <w:rPr>
                <w:rFonts w:hint="eastAsia" w:ascii="宋体" w:hAnsi="宋体" w:eastAsia="宋体"/>
                <w:color w:val="auto"/>
                <w:highlight w:val="none"/>
                <w:lang w:eastAsia="zh-CN"/>
              </w:rPr>
            </w:pPr>
            <w:r>
              <w:rPr>
                <w:rFonts w:hint="eastAsia" w:ascii="宋体" w:hAnsi="宋体"/>
                <w:color w:val="auto"/>
                <w:highlight w:val="none"/>
                <w:lang w:val="en-US" w:eastAsia="zh-CN"/>
              </w:rPr>
              <w:t>3</w:t>
            </w:r>
          </w:p>
        </w:tc>
        <w:tc>
          <w:tcPr>
            <w:tcW w:w="762" w:type="pct"/>
            <w:noWrap w:val="0"/>
            <w:vAlign w:val="center"/>
          </w:tcPr>
          <w:p w14:paraId="0042C596">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排水工程</w:t>
            </w:r>
          </w:p>
        </w:tc>
        <w:tc>
          <w:tcPr>
            <w:tcW w:w="810" w:type="pct"/>
            <w:noWrap w:val="0"/>
            <w:vAlign w:val="center"/>
          </w:tcPr>
          <w:p w14:paraId="3CBDC3FD">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C3=2670.10</w:t>
            </w:r>
          </w:p>
        </w:tc>
        <w:tc>
          <w:tcPr>
            <w:tcW w:w="1118" w:type="pct"/>
            <w:noWrap w:val="0"/>
            <w:vAlign w:val="center"/>
          </w:tcPr>
          <w:p w14:paraId="117D09D8">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C3/A*B=75.212365</w:t>
            </w:r>
          </w:p>
        </w:tc>
        <w:tc>
          <w:tcPr>
            <w:tcW w:w="788" w:type="pct"/>
            <w:noWrap w:val="0"/>
            <w:vAlign w:val="center"/>
          </w:tcPr>
          <w:p w14:paraId="0E75AEFD">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1.0*1.0*1.0</w:t>
            </w:r>
          </w:p>
        </w:tc>
        <w:tc>
          <w:tcPr>
            <w:tcW w:w="827" w:type="pct"/>
            <w:noWrap w:val="0"/>
            <w:vAlign w:val="center"/>
          </w:tcPr>
          <w:p w14:paraId="616DDBFC">
            <w:pPr>
              <w:keepNext w:val="0"/>
              <w:keepLines w:val="0"/>
              <w:widowControl/>
              <w:suppressLineNumbers w:val="0"/>
              <w:jc w:val="center"/>
              <w:textAlignment w:val="center"/>
              <w:rPr>
                <w:rFonts w:hint="eastAsia" w:ascii="宋体" w:hAnsi="宋体" w:eastAsia="宋体"/>
                <w:color w:val="auto"/>
                <w:highlight w:val="none"/>
                <w:lang w:eastAsia="zh-CN"/>
              </w:rPr>
            </w:pPr>
            <w:r>
              <w:rPr>
                <w:rFonts w:hint="eastAsia" w:ascii="宋体" w:hAnsi="宋体" w:eastAsia="宋体" w:cs="宋体"/>
                <w:i w:val="0"/>
                <w:iCs w:val="0"/>
                <w:color w:val="auto"/>
                <w:kern w:val="0"/>
                <w:sz w:val="21"/>
                <w:szCs w:val="21"/>
                <w:highlight w:val="none"/>
                <w:u w:val="none"/>
                <w:lang w:val="en-US" w:eastAsia="zh-CN" w:bidi="ar"/>
              </w:rPr>
              <w:t>D3=75.212365</w:t>
            </w:r>
          </w:p>
        </w:tc>
        <w:tc>
          <w:tcPr>
            <w:tcW w:w="370" w:type="pct"/>
            <w:noWrap w:val="0"/>
            <w:vAlign w:val="center"/>
          </w:tcPr>
          <w:p w14:paraId="3EC3D178">
            <w:pPr>
              <w:wordWrap w:val="0"/>
              <w:topLinePunct/>
              <w:jc w:val="center"/>
              <w:rPr>
                <w:rFonts w:hint="eastAsia" w:ascii="宋体" w:hAnsi="宋体"/>
                <w:color w:val="auto"/>
                <w:highlight w:val="none"/>
              </w:rPr>
            </w:pPr>
          </w:p>
        </w:tc>
      </w:tr>
      <w:tr w14:paraId="14987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321" w:type="pct"/>
            <w:noWrap w:val="0"/>
            <w:vAlign w:val="center"/>
          </w:tcPr>
          <w:p w14:paraId="045D93AE">
            <w:pPr>
              <w:wordWrap w:val="0"/>
              <w:topLinePunct/>
              <w:jc w:val="center"/>
              <w:rPr>
                <w:rFonts w:hint="eastAsia" w:ascii="宋体" w:hAnsi="宋体" w:eastAsia="宋体"/>
                <w:color w:val="auto"/>
                <w:highlight w:val="none"/>
                <w:lang w:eastAsia="zh-CN"/>
              </w:rPr>
            </w:pPr>
            <w:r>
              <w:rPr>
                <w:rFonts w:hint="eastAsia" w:ascii="宋体" w:hAnsi="宋体"/>
                <w:color w:val="auto"/>
                <w:highlight w:val="none"/>
                <w:lang w:val="en-US" w:eastAsia="zh-CN"/>
              </w:rPr>
              <w:t>4</w:t>
            </w:r>
          </w:p>
        </w:tc>
        <w:tc>
          <w:tcPr>
            <w:tcW w:w="762" w:type="pct"/>
            <w:noWrap w:val="0"/>
            <w:vAlign w:val="center"/>
          </w:tcPr>
          <w:p w14:paraId="10945537">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交通工程与交通疏解</w:t>
            </w:r>
          </w:p>
        </w:tc>
        <w:tc>
          <w:tcPr>
            <w:tcW w:w="810" w:type="pct"/>
            <w:noWrap w:val="0"/>
            <w:vAlign w:val="center"/>
          </w:tcPr>
          <w:p w14:paraId="0570D44A">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C4=954.49</w:t>
            </w:r>
          </w:p>
        </w:tc>
        <w:tc>
          <w:tcPr>
            <w:tcW w:w="1118" w:type="pct"/>
            <w:noWrap w:val="0"/>
            <w:vAlign w:val="center"/>
          </w:tcPr>
          <w:p w14:paraId="4A429984">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C4/A*B=26.886428</w:t>
            </w:r>
          </w:p>
        </w:tc>
        <w:tc>
          <w:tcPr>
            <w:tcW w:w="788" w:type="pct"/>
            <w:noWrap w:val="0"/>
            <w:vAlign w:val="center"/>
          </w:tcPr>
          <w:p w14:paraId="7CA26317">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0.9*1.0*1.0</w:t>
            </w:r>
          </w:p>
        </w:tc>
        <w:tc>
          <w:tcPr>
            <w:tcW w:w="827" w:type="pct"/>
            <w:noWrap w:val="0"/>
            <w:vAlign w:val="center"/>
          </w:tcPr>
          <w:p w14:paraId="349FB7B8">
            <w:pPr>
              <w:keepNext w:val="0"/>
              <w:keepLines w:val="0"/>
              <w:widowControl/>
              <w:suppressLineNumbers w:val="0"/>
              <w:jc w:val="center"/>
              <w:textAlignment w:val="center"/>
              <w:rPr>
                <w:rFonts w:hint="eastAsia" w:ascii="宋体" w:hAnsi="宋体" w:eastAsia="宋体"/>
                <w:color w:val="auto"/>
                <w:highlight w:val="none"/>
                <w:lang w:eastAsia="zh-CN"/>
              </w:rPr>
            </w:pPr>
            <w:r>
              <w:rPr>
                <w:rFonts w:hint="eastAsia" w:ascii="宋体" w:hAnsi="宋体" w:eastAsia="宋体" w:cs="宋体"/>
                <w:i w:val="0"/>
                <w:iCs w:val="0"/>
                <w:color w:val="auto"/>
                <w:kern w:val="0"/>
                <w:sz w:val="21"/>
                <w:szCs w:val="21"/>
                <w:highlight w:val="none"/>
                <w:u w:val="none"/>
                <w:lang w:val="en-US" w:eastAsia="zh-CN" w:bidi="ar"/>
              </w:rPr>
              <w:t>D4=24.197785</w:t>
            </w:r>
          </w:p>
        </w:tc>
        <w:tc>
          <w:tcPr>
            <w:tcW w:w="370" w:type="pct"/>
            <w:noWrap w:val="0"/>
            <w:vAlign w:val="center"/>
          </w:tcPr>
          <w:p w14:paraId="76DE3ADB">
            <w:pPr>
              <w:wordWrap w:val="0"/>
              <w:topLinePunct/>
              <w:jc w:val="center"/>
              <w:rPr>
                <w:rFonts w:hint="eastAsia" w:ascii="宋体" w:hAnsi="宋体"/>
                <w:color w:val="auto"/>
                <w:highlight w:val="none"/>
              </w:rPr>
            </w:pPr>
          </w:p>
        </w:tc>
      </w:tr>
      <w:tr w14:paraId="34DDE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321" w:type="pct"/>
            <w:noWrap w:val="0"/>
            <w:vAlign w:val="center"/>
          </w:tcPr>
          <w:p w14:paraId="75EC7172">
            <w:pPr>
              <w:wordWrap w:val="0"/>
              <w:topLinePunct/>
              <w:jc w:val="center"/>
              <w:rPr>
                <w:rFonts w:hint="eastAsia" w:ascii="宋体" w:hAnsi="宋体" w:eastAsia="宋体"/>
                <w:color w:val="auto"/>
                <w:highlight w:val="none"/>
                <w:lang w:eastAsia="zh-CN"/>
              </w:rPr>
            </w:pPr>
            <w:r>
              <w:rPr>
                <w:rFonts w:hint="eastAsia" w:ascii="宋体" w:hAnsi="宋体"/>
                <w:color w:val="auto"/>
                <w:highlight w:val="none"/>
                <w:lang w:val="en-US" w:eastAsia="zh-CN"/>
              </w:rPr>
              <w:t>5</w:t>
            </w:r>
          </w:p>
        </w:tc>
        <w:tc>
          <w:tcPr>
            <w:tcW w:w="762" w:type="pct"/>
            <w:noWrap w:val="0"/>
            <w:vAlign w:val="center"/>
          </w:tcPr>
          <w:p w14:paraId="675CA7AB">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照明工程</w:t>
            </w:r>
          </w:p>
        </w:tc>
        <w:tc>
          <w:tcPr>
            <w:tcW w:w="810" w:type="pct"/>
            <w:noWrap w:val="0"/>
            <w:vAlign w:val="center"/>
          </w:tcPr>
          <w:p w14:paraId="33AF8677">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C5=695.44</w:t>
            </w:r>
          </w:p>
        </w:tc>
        <w:tc>
          <w:tcPr>
            <w:tcW w:w="1118" w:type="pct"/>
            <w:noWrap w:val="0"/>
            <w:vAlign w:val="center"/>
          </w:tcPr>
          <w:p w14:paraId="064FEAEF">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C5/A*B=19.589411</w:t>
            </w:r>
          </w:p>
        </w:tc>
        <w:tc>
          <w:tcPr>
            <w:tcW w:w="788" w:type="pct"/>
            <w:noWrap w:val="0"/>
            <w:vAlign w:val="center"/>
          </w:tcPr>
          <w:p w14:paraId="40B12437">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1.0*1.0*1.0</w:t>
            </w:r>
          </w:p>
        </w:tc>
        <w:tc>
          <w:tcPr>
            <w:tcW w:w="827" w:type="pct"/>
            <w:noWrap w:val="0"/>
            <w:vAlign w:val="center"/>
          </w:tcPr>
          <w:p w14:paraId="00F21775">
            <w:pPr>
              <w:keepNext w:val="0"/>
              <w:keepLines w:val="0"/>
              <w:widowControl/>
              <w:suppressLineNumbers w:val="0"/>
              <w:jc w:val="center"/>
              <w:textAlignment w:val="center"/>
              <w:rPr>
                <w:rFonts w:hint="eastAsia" w:ascii="宋体" w:hAnsi="宋体" w:eastAsia="宋体"/>
                <w:color w:val="auto"/>
                <w:highlight w:val="none"/>
                <w:lang w:eastAsia="zh-CN"/>
              </w:rPr>
            </w:pPr>
            <w:r>
              <w:rPr>
                <w:rFonts w:hint="eastAsia" w:ascii="宋体" w:hAnsi="宋体" w:eastAsia="宋体" w:cs="宋体"/>
                <w:i w:val="0"/>
                <w:iCs w:val="0"/>
                <w:color w:val="auto"/>
                <w:kern w:val="0"/>
                <w:sz w:val="21"/>
                <w:szCs w:val="21"/>
                <w:highlight w:val="none"/>
                <w:u w:val="none"/>
                <w:lang w:val="en-US" w:eastAsia="zh-CN" w:bidi="ar"/>
              </w:rPr>
              <w:t>D5=19.589411</w:t>
            </w:r>
          </w:p>
        </w:tc>
        <w:tc>
          <w:tcPr>
            <w:tcW w:w="370" w:type="pct"/>
            <w:noWrap w:val="0"/>
            <w:vAlign w:val="center"/>
          </w:tcPr>
          <w:p w14:paraId="5E69561C">
            <w:pPr>
              <w:wordWrap w:val="0"/>
              <w:topLinePunct/>
              <w:jc w:val="center"/>
              <w:rPr>
                <w:rFonts w:hint="eastAsia" w:ascii="宋体" w:hAnsi="宋体"/>
                <w:color w:val="auto"/>
                <w:highlight w:val="none"/>
              </w:rPr>
            </w:pPr>
          </w:p>
        </w:tc>
      </w:tr>
      <w:tr w14:paraId="657D1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321" w:type="pct"/>
            <w:noWrap w:val="0"/>
            <w:vAlign w:val="center"/>
          </w:tcPr>
          <w:p w14:paraId="191FCDD8">
            <w:pPr>
              <w:wordWrap w:val="0"/>
              <w:topLinePunct/>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6</w:t>
            </w:r>
          </w:p>
        </w:tc>
        <w:tc>
          <w:tcPr>
            <w:tcW w:w="762" w:type="pct"/>
            <w:noWrap w:val="0"/>
            <w:vAlign w:val="center"/>
          </w:tcPr>
          <w:p w14:paraId="4F60F98F">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电力管沟工程</w:t>
            </w:r>
          </w:p>
        </w:tc>
        <w:tc>
          <w:tcPr>
            <w:tcW w:w="810" w:type="pct"/>
            <w:noWrap w:val="0"/>
            <w:vAlign w:val="center"/>
          </w:tcPr>
          <w:p w14:paraId="240DC7B6">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C6=1276.34</w:t>
            </w:r>
          </w:p>
        </w:tc>
        <w:tc>
          <w:tcPr>
            <w:tcW w:w="1118" w:type="pct"/>
            <w:noWrap w:val="0"/>
            <w:vAlign w:val="center"/>
          </w:tcPr>
          <w:p w14:paraId="54429086">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C6/A*B=35.952417</w:t>
            </w:r>
          </w:p>
        </w:tc>
        <w:tc>
          <w:tcPr>
            <w:tcW w:w="788" w:type="pct"/>
            <w:noWrap w:val="0"/>
            <w:vAlign w:val="center"/>
          </w:tcPr>
          <w:p w14:paraId="34D82A69">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1.0*1.0*1.0</w:t>
            </w:r>
          </w:p>
        </w:tc>
        <w:tc>
          <w:tcPr>
            <w:tcW w:w="827" w:type="pct"/>
            <w:noWrap w:val="0"/>
            <w:vAlign w:val="center"/>
          </w:tcPr>
          <w:p w14:paraId="4ACA814D">
            <w:pPr>
              <w:keepNext w:val="0"/>
              <w:keepLines w:val="0"/>
              <w:widowControl/>
              <w:suppressLineNumbers w:val="0"/>
              <w:jc w:val="center"/>
              <w:textAlignment w:val="center"/>
              <w:rPr>
                <w:rFonts w:hint="eastAsia" w:ascii="宋体" w:hAnsi="宋体" w:eastAsia="宋体"/>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D6=35.952417</w:t>
            </w:r>
          </w:p>
        </w:tc>
        <w:tc>
          <w:tcPr>
            <w:tcW w:w="370" w:type="pct"/>
            <w:noWrap w:val="0"/>
            <w:vAlign w:val="center"/>
          </w:tcPr>
          <w:p w14:paraId="4D0AC09E">
            <w:pPr>
              <w:wordWrap w:val="0"/>
              <w:topLinePunct/>
              <w:jc w:val="center"/>
              <w:rPr>
                <w:rFonts w:hint="eastAsia" w:ascii="宋体" w:hAnsi="宋体"/>
                <w:color w:val="auto"/>
                <w:highlight w:val="none"/>
              </w:rPr>
            </w:pPr>
          </w:p>
        </w:tc>
      </w:tr>
      <w:tr w14:paraId="71CB5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21" w:type="pct"/>
            <w:noWrap w:val="0"/>
            <w:vAlign w:val="center"/>
          </w:tcPr>
          <w:p w14:paraId="1E37BED6">
            <w:pPr>
              <w:wordWrap w:val="0"/>
              <w:topLinePunct/>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7</w:t>
            </w:r>
          </w:p>
        </w:tc>
        <w:tc>
          <w:tcPr>
            <w:tcW w:w="762" w:type="pct"/>
            <w:noWrap w:val="0"/>
            <w:vAlign w:val="center"/>
          </w:tcPr>
          <w:p w14:paraId="238BDC33">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绿化工程</w:t>
            </w:r>
          </w:p>
        </w:tc>
        <w:tc>
          <w:tcPr>
            <w:tcW w:w="810" w:type="pct"/>
            <w:noWrap w:val="0"/>
            <w:vAlign w:val="center"/>
          </w:tcPr>
          <w:p w14:paraId="55BCF357">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C7=668.10</w:t>
            </w:r>
          </w:p>
        </w:tc>
        <w:tc>
          <w:tcPr>
            <w:tcW w:w="1118" w:type="pct"/>
            <w:noWrap w:val="0"/>
            <w:vAlign w:val="center"/>
          </w:tcPr>
          <w:p w14:paraId="5595041D">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C7/A*B=18.819288</w:t>
            </w:r>
          </w:p>
        </w:tc>
        <w:tc>
          <w:tcPr>
            <w:tcW w:w="788" w:type="pct"/>
            <w:noWrap w:val="0"/>
            <w:vAlign w:val="center"/>
          </w:tcPr>
          <w:p w14:paraId="02571372">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1.0*0.85*1.0</w:t>
            </w:r>
          </w:p>
        </w:tc>
        <w:tc>
          <w:tcPr>
            <w:tcW w:w="827" w:type="pct"/>
            <w:noWrap w:val="0"/>
            <w:vAlign w:val="center"/>
          </w:tcPr>
          <w:p w14:paraId="05C11292">
            <w:pPr>
              <w:keepNext w:val="0"/>
              <w:keepLines w:val="0"/>
              <w:widowControl/>
              <w:suppressLineNumbers w:val="0"/>
              <w:jc w:val="center"/>
              <w:textAlignment w:val="center"/>
              <w:rPr>
                <w:rFonts w:hint="eastAsia" w:ascii="宋体" w:hAnsi="宋体" w:eastAsia="宋体"/>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D7=15.996395</w:t>
            </w:r>
          </w:p>
        </w:tc>
        <w:tc>
          <w:tcPr>
            <w:tcW w:w="370" w:type="pct"/>
            <w:noWrap w:val="0"/>
            <w:vAlign w:val="center"/>
          </w:tcPr>
          <w:p w14:paraId="67FF8CF7">
            <w:pPr>
              <w:wordWrap w:val="0"/>
              <w:topLinePunct/>
              <w:jc w:val="center"/>
              <w:rPr>
                <w:rFonts w:hint="eastAsia" w:ascii="宋体" w:hAnsi="宋体"/>
                <w:color w:val="auto"/>
                <w:highlight w:val="none"/>
              </w:rPr>
            </w:pPr>
          </w:p>
        </w:tc>
      </w:tr>
      <w:tr w14:paraId="3AEAB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321" w:type="pct"/>
            <w:noWrap w:val="0"/>
            <w:vAlign w:val="center"/>
          </w:tcPr>
          <w:p w14:paraId="7D3405CA">
            <w:pPr>
              <w:wordWrap w:val="0"/>
              <w:topLinePunct/>
              <w:jc w:val="center"/>
              <w:rPr>
                <w:rFonts w:hint="eastAsia" w:ascii="宋体" w:hAnsi="宋体" w:eastAsia="宋体"/>
                <w:color w:val="auto"/>
                <w:highlight w:val="none"/>
                <w:lang w:eastAsia="zh-CN"/>
              </w:rPr>
            </w:pPr>
            <w:r>
              <w:rPr>
                <w:rFonts w:hint="eastAsia" w:ascii="宋体" w:hAnsi="宋体"/>
                <w:color w:val="auto"/>
                <w:highlight w:val="none"/>
                <w:lang w:val="en-US" w:eastAsia="zh-CN"/>
              </w:rPr>
              <w:t>8</w:t>
            </w:r>
          </w:p>
        </w:tc>
        <w:tc>
          <w:tcPr>
            <w:tcW w:w="762" w:type="pct"/>
            <w:noWrap w:val="0"/>
            <w:vAlign w:val="center"/>
          </w:tcPr>
          <w:p w14:paraId="64787768">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其他工程</w:t>
            </w:r>
          </w:p>
        </w:tc>
        <w:tc>
          <w:tcPr>
            <w:tcW w:w="810" w:type="pct"/>
            <w:noWrap w:val="0"/>
            <w:vAlign w:val="center"/>
          </w:tcPr>
          <w:p w14:paraId="30B765DB">
            <w:pPr>
              <w:keepNext w:val="0"/>
              <w:keepLines w:val="0"/>
              <w:widowControl/>
              <w:suppressLineNumbers w:val="0"/>
              <w:jc w:val="center"/>
              <w:textAlignment w:val="center"/>
              <w:rPr>
                <w:rFonts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C8=0.00</w:t>
            </w:r>
          </w:p>
        </w:tc>
        <w:tc>
          <w:tcPr>
            <w:tcW w:w="1118" w:type="pct"/>
            <w:noWrap w:val="0"/>
            <w:vAlign w:val="center"/>
          </w:tcPr>
          <w:p w14:paraId="3DD7BA47">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C8/A*B=0.000000</w:t>
            </w:r>
          </w:p>
        </w:tc>
        <w:tc>
          <w:tcPr>
            <w:tcW w:w="788" w:type="pct"/>
            <w:noWrap w:val="0"/>
            <w:vAlign w:val="center"/>
          </w:tcPr>
          <w:p w14:paraId="7304951F">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1.0*1.0*1.0</w:t>
            </w:r>
          </w:p>
        </w:tc>
        <w:tc>
          <w:tcPr>
            <w:tcW w:w="827" w:type="pct"/>
            <w:noWrap w:val="0"/>
            <w:vAlign w:val="center"/>
          </w:tcPr>
          <w:p w14:paraId="008D5E01">
            <w:pPr>
              <w:keepNext w:val="0"/>
              <w:keepLines w:val="0"/>
              <w:widowControl/>
              <w:suppressLineNumbers w:val="0"/>
              <w:jc w:val="center"/>
              <w:textAlignment w:val="center"/>
              <w:rPr>
                <w:rFonts w:hint="eastAsia" w:ascii="宋体" w:hAnsi="宋体" w:eastAsia="宋体"/>
                <w:color w:val="auto"/>
                <w:highlight w:val="none"/>
                <w:lang w:eastAsia="zh-CN"/>
              </w:rPr>
            </w:pPr>
            <w:r>
              <w:rPr>
                <w:rFonts w:hint="eastAsia" w:ascii="宋体" w:hAnsi="宋体" w:eastAsia="宋体" w:cs="宋体"/>
                <w:i w:val="0"/>
                <w:iCs w:val="0"/>
                <w:color w:val="auto"/>
                <w:kern w:val="0"/>
                <w:sz w:val="21"/>
                <w:szCs w:val="21"/>
                <w:highlight w:val="none"/>
                <w:u w:val="none"/>
                <w:lang w:val="en-US" w:eastAsia="zh-CN" w:bidi="ar"/>
              </w:rPr>
              <w:t>D8=0.000000</w:t>
            </w:r>
          </w:p>
        </w:tc>
        <w:tc>
          <w:tcPr>
            <w:tcW w:w="370" w:type="pct"/>
            <w:noWrap w:val="0"/>
            <w:vAlign w:val="center"/>
          </w:tcPr>
          <w:p w14:paraId="0EAE5452">
            <w:pPr>
              <w:wordWrap w:val="0"/>
              <w:topLinePunct/>
              <w:jc w:val="center"/>
              <w:rPr>
                <w:rFonts w:hint="eastAsia" w:ascii="宋体" w:hAnsi="宋体"/>
                <w:color w:val="auto"/>
                <w:highlight w:val="none"/>
              </w:rPr>
            </w:pPr>
          </w:p>
        </w:tc>
      </w:tr>
      <w:tr w14:paraId="6C8BB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321" w:type="pct"/>
            <w:noWrap w:val="0"/>
            <w:vAlign w:val="center"/>
          </w:tcPr>
          <w:p w14:paraId="43EDB822">
            <w:pPr>
              <w:keepNext w:val="0"/>
              <w:keepLines w:val="0"/>
              <w:widowControl/>
              <w:suppressLineNumbers w:val="0"/>
              <w:jc w:val="center"/>
              <w:textAlignment w:val="center"/>
              <w:rPr>
                <w:rFonts w:hint="eastAsia" w:ascii="宋体" w:hAnsi="宋体"/>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9</w:t>
            </w:r>
          </w:p>
        </w:tc>
        <w:tc>
          <w:tcPr>
            <w:tcW w:w="762" w:type="pct"/>
            <w:noWrap w:val="0"/>
            <w:vAlign w:val="center"/>
          </w:tcPr>
          <w:p w14:paraId="437E94F6">
            <w:pPr>
              <w:keepNext w:val="0"/>
              <w:keepLines w:val="0"/>
              <w:widowControl/>
              <w:suppressLineNumbers w:val="0"/>
              <w:jc w:val="center"/>
              <w:textAlignment w:val="center"/>
              <w:rPr>
                <w:rFonts w:hint="eastAsia" w:ascii="宋体" w:hAnsi="宋体"/>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桥梁工程</w:t>
            </w:r>
          </w:p>
        </w:tc>
        <w:tc>
          <w:tcPr>
            <w:tcW w:w="810" w:type="pct"/>
            <w:noWrap w:val="0"/>
            <w:vAlign w:val="center"/>
          </w:tcPr>
          <w:p w14:paraId="2BA2769A">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C9=6398.55</w:t>
            </w:r>
          </w:p>
        </w:tc>
        <w:tc>
          <w:tcPr>
            <w:tcW w:w="1118" w:type="pct"/>
            <w:noWrap w:val="0"/>
            <w:vAlign w:val="center"/>
          </w:tcPr>
          <w:p w14:paraId="61C6D35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C9/A*B=180.236724</w:t>
            </w:r>
          </w:p>
        </w:tc>
        <w:tc>
          <w:tcPr>
            <w:tcW w:w="788" w:type="pct"/>
            <w:noWrap w:val="0"/>
            <w:vAlign w:val="center"/>
          </w:tcPr>
          <w:p w14:paraId="00242CC6">
            <w:pPr>
              <w:keepNext w:val="0"/>
              <w:keepLines w:val="0"/>
              <w:widowControl/>
              <w:suppressLineNumbers w:val="0"/>
              <w:jc w:val="center"/>
              <w:textAlignment w:val="center"/>
              <w:rPr>
                <w:rFonts w:hint="eastAsia" w:ascii="宋体" w:hAnsi="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1.1*1.0*1.0</w:t>
            </w:r>
          </w:p>
        </w:tc>
        <w:tc>
          <w:tcPr>
            <w:tcW w:w="827" w:type="pct"/>
            <w:noWrap w:val="0"/>
            <w:vAlign w:val="center"/>
          </w:tcPr>
          <w:p w14:paraId="0708A7B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D9=198.260396</w:t>
            </w:r>
          </w:p>
        </w:tc>
        <w:tc>
          <w:tcPr>
            <w:tcW w:w="370" w:type="pct"/>
            <w:noWrap w:val="0"/>
            <w:vAlign w:val="center"/>
          </w:tcPr>
          <w:p w14:paraId="63970DE2">
            <w:pPr>
              <w:wordWrap w:val="0"/>
              <w:topLinePunct/>
              <w:jc w:val="center"/>
              <w:rPr>
                <w:rFonts w:hint="eastAsia" w:ascii="宋体" w:hAnsi="宋体"/>
                <w:color w:val="auto"/>
                <w:highlight w:val="none"/>
              </w:rPr>
            </w:pPr>
          </w:p>
        </w:tc>
      </w:tr>
      <w:tr w14:paraId="29BE4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21" w:type="pct"/>
            <w:noWrap w:val="0"/>
            <w:vAlign w:val="center"/>
          </w:tcPr>
          <w:p w14:paraId="61297F4C">
            <w:pPr>
              <w:wordWrap w:val="0"/>
              <w:topLinePunct/>
              <w:jc w:val="center"/>
              <w:rPr>
                <w:rFonts w:hint="eastAsia" w:ascii="宋体" w:hAnsi="宋体"/>
                <w:color w:val="auto"/>
                <w:highlight w:val="none"/>
              </w:rPr>
            </w:pPr>
            <w:r>
              <w:rPr>
                <w:rFonts w:hint="eastAsia" w:ascii="宋体" w:hAnsi="宋体"/>
                <w:color w:val="auto"/>
                <w:highlight w:val="none"/>
              </w:rPr>
              <w:t>二</w:t>
            </w:r>
          </w:p>
        </w:tc>
        <w:tc>
          <w:tcPr>
            <w:tcW w:w="762" w:type="pct"/>
            <w:noWrap w:val="0"/>
            <w:vAlign w:val="center"/>
          </w:tcPr>
          <w:p w14:paraId="6A83658D">
            <w:pPr>
              <w:wordWrap w:val="0"/>
              <w:topLinePunct/>
              <w:jc w:val="center"/>
              <w:rPr>
                <w:rFonts w:hint="eastAsia" w:ascii="宋体" w:hAnsi="宋体"/>
                <w:color w:val="auto"/>
                <w:highlight w:val="none"/>
              </w:rPr>
            </w:pPr>
            <w:r>
              <w:rPr>
                <w:rFonts w:hint="eastAsia" w:ascii="宋体" w:hAnsi="宋体"/>
                <w:color w:val="auto"/>
                <w:highlight w:val="none"/>
              </w:rPr>
              <w:t>设计总收费</w:t>
            </w:r>
          </w:p>
        </w:tc>
        <w:tc>
          <w:tcPr>
            <w:tcW w:w="3545" w:type="pct"/>
            <w:gridSpan w:val="4"/>
            <w:noWrap w:val="0"/>
            <w:vAlign w:val="center"/>
          </w:tcPr>
          <w:p w14:paraId="3169E637">
            <w:pPr>
              <w:wordWrap w:val="0"/>
              <w:topLinePunct/>
              <w:jc w:val="center"/>
              <w:rPr>
                <w:rFonts w:hint="default" w:ascii="宋体" w:hAnsi="宋体" w:eastAsia="宋体"/>
                <w:color w:val="auto"/>
                <w:highlight w:val="none"/>
                <w:lang w:val="en-US" w:eastAsia="zh-CN"/>
              </w:rPr>
            </w:pPr>
            <w:r>
              <w:rPr>
                <w:rFonts w:hint="eastAsia" w:ascii="宋体" w:hAnsi="宋体"/>
                <w:color w:val="auto"/>
                <w:highlight w:val="none"/>
              </w:rPr>
              <w:t>（D1+D2+…+D</w:t>
            </w:r>
            <w:r>
              <w:rPr>
                <w:rFonts w:hint="eastAsia" w:ascii="宋体" w:hAnsi="宋体"/>
                <w:color w:val="auto"/>
                <w:highlight w:val="none"/>
                <w:lang w:val="en-US" w:eastAsia="zh-CN"/>
              </w:rPr>
              <w:t>9</w:t>
            </w:r>
            <w:r>
              <w:rPr>
                <w:rFonts w:hint="eastAsia" w:ascii="宋体" w:hAnsi="宋体"/>
                <w:color w:val="auto"/>
                <w:highlight w:val="none"/>
              </w:rPr>
              <w:t>）*80%=</w:t>
            </w:r>
            <w:r>
              <w:rPr>
                <w:rFonts w:hint="eastAsia" w:ascii="宋体" w:hAnsi="宋体"/>
                <w:b/>
                <w:bCs/>
                <w:color w:val="auto"/>
                <w:highlight w:val="none"/>
                <w:lang w:val="en-US" w:eastAsia="zh-CN"/>
              </w:rPr>
              <w:t>463.282770</w:t>
            </w:r>
          </w:p>
        </w:tc>
        <w:tc>
          <w:tcPr>
            <w:tcW w:w="370" w:type="pct"/>
            <w:noWrap w:val="0"/>
            <w:vAlign w:val="center"/>
          </w:tcPr>
          <w:p w14:paraId="36AAEC56">
            <w:pPr>
              <w:wordWrap w:val="0"/>
              <w:topLinePunct/>
              <w:jc w:val="center"/>
              <w:rPr>
                <w:rFonts w:hint="eastAsia" w:ascii="宋体" w:hAnsi="宋体"/>
                <w:color w:val="auto"/>
                <w:highlight w:val="none"/>
              </w:rPr>
            </w:pPr>
          </w:p>
        </w:tc>
      </w:tr>
    </w:tbl>
    <w:p w14:paraId="33EAAD4A">
      <w:pPr>
        <w:wordWrap w:val="0"/>
        <w:spacing w:line="360" w:lineRule="auto"/>
        <w:rPr>
          <w:rFonts w:ascii="宋体" w:hAnsi="宋体" w:eastAsia="宋体" w:cs="宋体"/>
          <w:bCs/>
          <w:color w:val="auto"/>
          <w:kern w:val="0"/>
          <w:szCs w:val="21"/>
          <w:highlight w:val="none"/>
        </w:rPr>
      </w:pPr>
    </w:p>
    <w:p w14:paraId="0FE05B9F">
      <w:pPr>
        <w:widowControl/>
        <w:jc w:val="left"/>
        <w:rPr>
          <w:rFonts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br w:type="page"/>
      </w:r>
    </w:p>
    <w:p w14:paraId="2D278BF9">
      <w:pPr>
        <w:autoSpaceDE w:val="0"/>
        <w:autoSpaceDN w:val="0"/>
        <w:adjustRightInd w:val="0"/>
        <w:spacing w:line="360" w:lineRule="auto"/>
        <w:jc w:val="center"/>
        <w:outlineLvl w:val="3"/>
        <w:rPr>
          <w:rFonts w:ascii="宋体" w:hAnsi="宋体" w:eastAsia="宋体" w:cs="Times New Roman"/>
          <w:b/>
          <w:color w:val="auto"/>
          <w:kern w:val="0"/>
          <w:sz w:val="28"/>
          <w:szCs w:val="28"/>
          <w:highlight w:val="none"/>
          <w:lang w:val="zh-CN"/>
        </w:rPr>
      </w:pPr>
      <w:r>
        <w:rPr>
          <w:rFonts w:hint="eastAsia" w:ascii="宋体" w:hAnsi="宋体" w:eastAsia="宋体" w:cs="Times New Roman"/>
          <w:b/>
          <w:color w:val="auto"/>
          <w:kern w:val="0"/>
          <w:sz w:val="28"/>
          <w:szCs w:val="28"/>
          <w:highlight w:val="none"/>
          <w:lang w:val="zh-CN"/>
        </w:rPr>
        <w:t>七、资格审查资料</w:t>
      </w:r>
    </w:p>
    <w:p w14:paraId="6131A58C">
      <w:pPr>
        <w:widowControl/>
        <w:spacing w:line="360" w:lineRule="auto"/>
        <w:jc w:val="left"/>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（1）营业执照或事业单位登记机构核发的事业单位法人证书、资质证书、香港企业相关证明资料；</w:t>
      </w:r>
    </w:p>
    <w:p w14:paraId="48A8E0BF">
      <w:pPr>
        <w:widowControl/>
        <w:spacing w:line="360" w:lineRule="auto"/>
        <w:jc w:val="left"/>
        <w:rPr>
          <w:rFonts w:ascii="宋体" w:hAnsi="宋体" w:eastAsia="宋体"/>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olor w:val="auto"/>
          <w:sz w:val="24"/>
          <w:szCs w:val="24"/>
          <w:highlight w:val="none"/>
        </w:rPr>
        <w:t>项目负责人资格证明资料；</w:t>
      </w:r>
    </w:p>
    <w:p w14:paraId="11C2E704">
      <w:pPr>
        <w:widowControl/>
        <w:spacing w:line="360" w:lineRule="auto"/>
        <w:jc w:val="left"/>
        <w:rPr>
          <w:rFonts w:ascii="宋体" w:hAnsi="宋体" w:eastAsia="宋体" w:cs="宋体"/>
          <w:bCs/>
          <w:color w:val="auto"/>
          <w:sz w:val="24"/>
          <w:szCs w:val="24"/>
          <w:highlight w:val="none"/>
        </w:rPr>
      </w:pPr>
      <w:r>
        <w:rPr>
          <w:rFonts w:hint="eastAsia" w:ascii="宋体" w:hAnsi="宋体" w:eastAsia="宋体"/>
          <w:color w:val="auto"/>
          <w:sz w:val="24"/>
          <w:szCs w:val="24"/>
          <w:highlight w:val="none"/>
        </w:rPr>
        <w:t>（3）</w:t>
      </w:r>
      <w:r>
        <w:rPr>
          <w:rFonts w:hint="eastAsia" w:ascii="宋体" w:hAnsi="宋体" w:eastAsia="宋体" w:cs="宋体"/>
          <w:bCs/>
          <w:color w:val="auto"/>
          <w:sz w:val="24"/>
          <w:szCs w:val="24"/>
          <w:highlight w:val="none"/>
        </w:rPr>
        <w:t>廉洁承诺书；</w:t>
      </w:r>
    </w:p>
    <w:p w14:paraId="7D253FF1">
      <w:pPr>
        <w:widowControl/>
        <w:spacing w:line="360" w:lineRule="auto"/>
        <w:jc w:val="left"/>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（4）满足招标公告评审要求的其他资料。</w:t>
      </w:r>
    </w:p>
    <w:p w14:paraId="1913094C">
      <w:pPr>
        <w:widowControl/>
        <w:jc w:val="left"/>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0A586F1F">
      <w:pPr>
        <w:widowControl/>
        <w:jc w:val="cente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廉洁承诺书</w:t>
      </w:r>
    </w:p>
    <w:p w14:paraId="7DABA8D0">
      <w:pPr>
        <w:wordWrap w:val="0"/>
        <w:spacing w:line="360" w:lineRule="auto"/>
        <w:ind w:firstLine="629"/>
        <w:rPr>
          <w:rFonts w:ascii="宋体" w:hAnsi="宋体" w:eastAsia="宋体" w:cs="宋体"/>
          <w:color w:val="auto"/>
          <w:kern w:val="0"/>
          <w:sz w:val="24"/>
          <w:szCs w:val="24"/>
          <w:highlight w:val="none"/>
        </w:rPr>
      </w:pPr>
    </w:p>
    <w:p w14:paraId="3D782860">
      <w:pPr>
        <w:wordWrap w:val="0"/>
        <w:spacing w:line="360" w:lineRule="auto"/>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本招标项目招标人及招标监管机构：</w:t>
      </w:r>
    </w:p>
    <w:p w14:paraId="45B1CB9B">
      <w:pPr>
        <w:wordWrap w:val="0"/>
        <w:spacing w:line="360" w:lineRule="auto"/>
        <w:ind w:firstLine="566" w:firstLineChars="236"/>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本公司参加了</w:t>
      </w:r>
      <w:r>
        <w:rPr>
          <w:rFonts w:hint="eastAsia" w:ascii="宋体" w:hAnsi="宋体" w:eastAsia="宋体" w:cs="宋体"/>
          <w:color w:val="auto"/>
          <w:kern w:val="0"/>
          <w:sz w:val="24"/>
          <w:szCs w:val="24"/>
          <w:highlight w:val="none"/>
          <w:u w:val="single"/>
        </w:rPr>
        <w:t xml:space="preserve">      （项目名称）</w:t>
      </w:r>
      <w:r>
        <w:rPr>
          <w:rFonts w:hint="eastAsia" w:ascii="宋体" w:hAnsi="宋体" w:eastAsia="宋体" w:cs="宋体"/>
          <w:color w:val="auto"/>
          <w:kern w:val="0"/>
          <w:sz w:val="24"/>
          <w:szCs w:val="24"/>
          <w:highlight w:val="none"/>
        </w:rPr>
        <w:t>投标，为确保招标工作的公平、公正、公开、有序进行，我们保证遵守《中华人民共和国招标投标法》、《中华人民共和国招标投标法实施条例》、《广东省实施&lt;中华人民共和国招标投标法&gt;办法》等法律法规，特承诺如下事项：</w:t>
      </w:r>
    </w:p>
    <w:p w14:paraId="50DCE641">
      <w:pPr>
        <w:wordWrap w:val="0"/>
        <w:spacing w:line="360" w:lineRule="auto"/>
        <w:ind w:firstLine="566" w:firstLineChars="236"/>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一、自觉遵守国家有关法律法规及廉洁规定。</w:t>
      </w:r>
    </w:p>
    <w:p w14:paraId="457A2980">
      <w:pPr>
        <w:wordWrap w:val="0"/>
        <w:spacing w:line="360" w:lineRule="auto"/>
        <w:ind w:firstLine="566" w:firstLineChars="236"/>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二、不与招标单位工作人员串通投标，损害国家利益、企业利益以及他人的合法利益；</w:t>
      </w:r>
    </w:p>
    <w:p w14:paraId="7A96DDD3">
      <w:pPr>
        <w:wordWrap w:val="0"/>
        <w:spacing w:line="360" w:lineRule="auto"/>
        <w:ind w:firstLine="566" w:firstLineChars="236"/>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三、不与其他单位围标、串标，不出让投标资格，不向招标人或评标委员会成员行贿。</w:t>
      </w:r>
    </w:p>
    <w:p w14:paraId="08C8EF0D">
      <w:pPr>
        <w:wordWrap w:val="0"/>
        <w:spacing w:line="360" w:lineRule="auto"/>
        <w:ind w:firstLine="566" w:firstLineChars="236"/>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四、不以任何名义向参与招标、评标工作的有关人员提供高消费宴请及娱乐活动和赠送回扣、红包、礼金、购物卡、有价证券、贵重物品和好处费、感谢费等； </w:t>
      </w:r>
    </w:p>
    <w:p w14:paraId="1F8781E4">
      <w:pPr>
        <w:wordWrap w:val="0"/>
        <w:spacing w:line="360" w:lineRule="auto"/>
        <w:ind w:firstLine="566" w:firstLineChars="236"/>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五、不以任何名义为参与招标、评标工作的有关人员装修住房、婚丧嫁娶、配偶子女的工作安排以及境内外旅游等提供方便；</w:t>
      </w:r>
    </w:p>
    <w:p w14:paraId="2C8EDC33">
      <w:pPr>
        <w:wordWrap w:val="0"/>
        <w:spacing w:line="360" w:lineRule="auto"/>
        <w:ind w:firstLine="566" w:firstLineChars="236"/>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六、不以谋取非正当利益为目的，擅自与参与招标、评标工作的有关人员就业务问题进行私下商谈或者达成利益默契。</w:t>
      </w:r>
    </w:p>
    <w:p w14:paraId="7FA2583B">
      <w:pPr>
        <w:wordWrap w:val="0"/>
        <w:spacing w:line="360" w:lineRule="auto"/>
        <w:ind w:firstLine="566" w:firstLineChars="236"/>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本公司违反上述承诺，或本承诺陈述与事实不符，经查实，本公司愿意接受公开通报，被招标监管部门信用评价记录不良行为并扣分，并承担由此带来的法律后果。</w:t>
      </w:r>
    </w:p>
    <w:p w14:paraId="121FC91F">
      <w:pPr>
        <w:wordWrap w:val="0"/>
        <w:spacing w:line="360" w:lineRule="auto"/>
        <w:jc w:val="left"/>
        <w:rPr>
          <w:rFonts w:ascii="宋体" w:hAnsi="宋体" w:eastAsia="宋体" w:cs="宋体"/>
          <w:color w:val="auto"/>
          <w:kern w:val="0"/>
          <w:sz w:val="24"/>
          <w:szCs w:val="24"/>
          <w:highlight w:val="none"/>
        </w:rPr>
      </w:pPr>
    </w:p>
    <w:p w14:paraId="68735D23">
      <w:pPr>
        <w:wordWrap w:val="0"/>
        <w:spacing w:line="360" w:lineRule="auto"/>
        <w:jc w:val="left"/>
        <w:rPr>
          <w:rFonts w:ascii="宋体" w:hAnsi="宋体" w:eastAsia="宋体" w:cs="宋体"/>
          <w:color w:val="auto"/>
          <w:kern w:val="0"/>
          <w:sz w:val="24"/>
          <w:szCs w:val="24"/>
          <w:highlight w:val="none"/>
        </w:rPr>
      </w:pPr>
    </w:p>
    <w:p w14:paraId="2CC8EE5E">
      <w:pPr>
        <w:wordWrap w:val="0"/>
        <w:spacing w:line="360" w:lineRule="auto"/>
        <w:ind w:firstLine="4080" w:firstLineChars="1700"/>
        <w:jc w:val="righ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投标人（盖章）：</w:t>
      </w:r>
    </w:p>
    <w:p w14:paraId="336D6025">
      <w:pPr>
        <w:wordWrap w:val="0"/>
        <w:spacing w:line="360" w:lineRule="auto"/>
        <w:jc w:val="righ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年   月   日</w:t>
      </w:r>
    </w:p>
    <w:p w14:paraId="060E36AC">
      <w:pPr>
        <w:wordWrap w:val="0"/>
        <w:spacing w:line="360" w:lineRule="auto"/>
        <w:jc w:val="left"/>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u w:val="single"/>
        </w:rPr>
        <w:t>（注：如联合体投标人，由投标主办方盖章即可。）</w:t>
      </w:r>
    </w:p>
    <w:p w14:paraId="6A54260B">
      <w:pPr>
        <w:widowControl/>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394471BA">
      <w:pPr>
        <w:autoSpaceDE w:val="0"/>
        <w:autoSpaceDN w:val="0"/>
        <w:adjustRightInd w:val="0"/>
        <w:spacing w:line="360" w:lineRule="auto"/>
        <w:jc w:val="center"/>
        <w:outlineLvl w:val="3"/>
        <w:rPr>
          <w:rFonts w:ascii="宋体" w:hAnsi="宋体" w:eastAsia="宋体" w:cs="宋体"/>
          <w:b/>
          <w:color w:val="auto"/>
          <w:kern w:val="0"/>
          <w:sz w:val="28"/>
          <w:szCs w:val="28"/>
          <w:highlight w:val="none"/>
          <w:lang w:val="zh-CN"/>
        </w:rPr>
      </w:pPr>
      <w:r>
        <w:rPr>
          <w:rFonts w:hint="eastAsia" w:ascii="宋体" w:hAnsi="宋体" w:eastAsia="宋体" w:cs="Times New Roman"/>
          <w:b/>
          <w:color w:val="auto"/>
          <w:kern w:val="0"/>
          <w:sz w:val="28"/>
          <w:szCs w:val="28"/>
          <w:highlight w:val="none"/>
          <w:lang w:val="zh-CN"/>
        </w:rPr>
        <w:t>八、投标人须知前附表规定的其他资料</w:t>
      </w:r>
    </w:p>
    <w:p w14:paraId="11CBBE78">
      <w:pPr>
        <w:autoSpaceDE w:val="0"/>
        <w:autoSpaceDN w:val="0"/>
        <w:adjustRightInd w:val="0"/>
        <w:spacing w:line="276" w:lineRule="auto"/>
        <w:ind w:left="284" w:hanging="284"/>
        <w:jc w:val="left"/>
        <w:outlineLvl w:val="4"/>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（1）本项目拟投入的人员基本情况表</w:t>
      </w:r>
    </w:p>
    <w:tbl>
      <w:tblPr>
        <w:tblStyle w:val="46"/>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5"/>
        <w:gridCol w:w="769"/>
        <w:gridCol w:w="649"/>
        <w:gridCol w:w="748"/>
        <w:gridCol w:w="990"/>
        <w:gridCol w:w="979"/>
        <w:gridCol w:w="1134"/>
        <w:gridCol w:w="1404"/>
      </w:tblGrid>
      <w:tr w14:paraId="404DB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855" w:type="dxa"/>
            <w:vAlign w:val="center"/>
          </w:tcPr>
          <w:p w14:paraId="5056C986">
            <w:pPr>
              <w:wordWrap w:val="0"/>
              <w:topLinePunct/>
              <w:jc w:val="center"/>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人员安排</w:t>
            </w:r>
          </w:p>
        </w:tc>
        <w:tc>
          <w:tcPr>
            <w:tcW w:w="769" w:type="dxa"/>
            <w:vAlign w:val="center"/>
          </w:tcPr>
          <w:p w14:paraId="2C7E01E8">
            <w:pPr>
              <w:wordWrap w:val="0"/>
              <w:topLinePunct/>
              <w:jc w:val="both"/>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姓名</w:t>
            </w:r>
          </w:p>
        </w:tc>
        <w:tc>
          <w:tcPr>
            <w:tcW w:w="649" w:type="dxa"/>
            <w:vAlign w:val="center"/>
          </w:tcPr>
          <w:p w14:paraId="791BEE28">
            <w:pPr>
              <w:wordWrap w:val="0"/>
              <w:topLinePunct/>
              <w:jc w:val="both"/>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年龄</w:t>
            </w:r>
          </w:p>
        </w:tc>
        <w:tc>
          <w:tcPr>
            <w:tcW w:w="748" w:type="dxa"/>
            <w:vAlign w:val="center"/>
          </w:tcPr>
          <w:p w14:paraId="3F8C5C4F">
            <w:pPr>
              <w:wordWrap w:val="0"/>
              <w:topLinePunct/>
              <w:jc w:val="center"/>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专业</w:t>
            </w:r>
          </w:p>
        </w:tc>
        <w:tc>
          <w:tcPr>
            <w:tcW w:w="990" w:type="dxa"/>
            <w:vAlign w:val="center"/>
          </w:tcPr>
          <w:p w14:paraId="06BE0C35">
            <w:pPr>
              <w:wordWrap w:val="0"/>
              <w:topLinePunct/>
              <w:jc w:val="center"/>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资格条件</w:t>
            </w:r>
          </w:p>
        </w:tc>
        <w:tc>
          <w:tcPr>
            <w:tcW w:w="979" w:type="dxa"/>
            <w:vAlign w:val="center"/>
          </w:tcPr>
          <w:p w14:paraId="43E707FF">
            <w:pPr>
              <w:wordWrap w:val="0"/>
              <w:topLinePunct/>
              <w:jc w:val="center"/>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从业年限</w:t>
            </w:r>
          </w:p>
        </w:tc>
        <w:tc>
          <w:tcPr>
            <w:tcW w:w="1134" w:type="dxa"/>
            <w:vAlign w:val="center"/>
          </w:tcPr>
          <w:p w14:paraId="112AAB10">
            <w:pPr>
              <w:wordWrap w:val="0"/>
              <w:topLinePunct/>
              <w:jc w:val="center"/>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获奖情况</w:t>
            </w:r>
          </w:p>
        </w:tc>
        <w:tc>
          <w:tcPr>
            <w:tcW w:w="1404" w:type="dxa"/>
            <w:vAlign w:val="center"/>
          </w:tcPr>
          <w:p w14:paraId="2CF14E18">
            <w:pPr>
              <w:wordWrap w:val="0"/>
              <w:topLinePunct/>
              <w:jc w:val="center"/>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已完成类似的项目</w:t>
            </w:r>
          </w:p>
        </w:tc>
      </w:tr>
      <w:tr w14:paraId="6DBA1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855" w:type="dxa"/>
            <w:vAlign w:val="center"/>
          </w:tcPr>
          <w:p w14:paraId="0108BF2A">
            <w:pPr>
              <w:wordWrap w:val="0"/>
              <w:topLinePunct/>
              <w:rPr>
                <w:rFonts w:ascii="宋体" w:hAnsi="宋体" w:eastAsia="宋体" w:cs="Times New Roman"/>
                <w:color w:val="auto"/>
                <w:szCs w:val="24"/>
                <w:highlight w:val="none"/>
              </w:rPr>
            </w:pPr>
            <w:r>
              <w:rPr>
                <w:rFonts w:hint="eastAsia" w:ascii="宋体" w:hAnsi="宋体" w:eastAsia="宋体" w:cs="宋体"/>
                <w:b/>
                <w:color w:val="auto"/>
                <w:szCs w:val="24"/>
                <w:highlight w:val="none"/>
              </w:rPr>
              <w:t>项目负责人</w:t>
            </w:r>
          </w:p>
        </w:tc>
        <w:tc>
          <w:tcPr>
            <w:tcW w:w="769" w:type="dxa"/>
            <w:vAlign w:val="center"/>
          </w:tcPr>
          <w:p w14:paraId="479A500D">
            <w:pPr>
              <w:wordWrap w:val="0"/>
              <w:topLinePunct/>
              <w:rPr>
                <w:rFonts w:ascii="宋体" w:hAnsi="宋体" w:eastAsia="宋体" w:cs="Times New Roman"/>
                <w:color w:val="auto"/>
                <w:szCs w:val="24"/>
                <w:highlight w:val="none"/>
              </w:rPr>
            </w:pPr>
          </w:p>
        </w:tc>
        <w:tc>
          <w:tcPr>
            <w:tcW w:w="649" w:type="dxa"/>
          </w:tcPr>
          <w:p w14:paraId="05FDD97F">
            <w:pPr>
              <w:wordWrap w:val="0"/>
              <w:topLinePunct/>
              <w:rPr>
                <w:rFonts w:ascii="宋体" w:hAnsi="宋体" w:eastAsia="宋体" w:cs="Times New Roman"/>
                <w:color w:val="auto"/>
                <w:szCs w:val="24"/>
                <w:highlight w:val="none"/>
              </w:rPr>
            </w:pPr>
          </w:p>
        </w:tc>
        <w:tc>
          <w:tcPr>
            <w:tcW w:w="748" w:type="dxa"/>
            <w:vAlign w:val="center"/>
          </w:tcPr>
          <w:p w14:paraId="768D82BF">
            <w:pPr>
              <w:wordWrap w:val="0"/>
              <w:topLinePunct/>
              <w:rPr>
                <w:rFonts w:ascii="宋体" w:hAnsi="宋体" w:eastAsia="宋体" w:cs="Times New Roman"/>
                <w:color w:val="auto"/>
                <w:szCs w:val="24"/>
                <w:highlight w:val="none"/>
              </w:rPr>
            </w:pPr>
          </w:p>
        </w:tc>
        <w:tc>
          <w:tcPr>
            <w:tcW w:w="990" w:type="dxa"/>
            <w:vAlign w:val="center"/>
          </w:tcPr>
          <w:p w14:paraId="2DDDE0A2">
            <w:pPr>
              <w:wordWrap w:val="0"/>
              <w:topLinePunct/>
              <w:rPr>
                <w:rFonts w:ascii="宋体" w:hAnsi="宋体" w:eastAsia="宋体" w:cs="Times New Roman"/>
                <w:color w:val="auto"/>
                <w:szCs w:val="24"/>
                <w:highlight w:val="none"/>
              </w:rPr>
            </w:pPr>
          </w:p>
        </w:tc>
        <w:tc>
          <w:tcPr>
            <w:tcW w:w="979" w:type="dxa"/>
            <w:vAlign w:val="center"/>
          </w:tcPr>
          <w:p w14:paraId="33FF7B72">
            <w:pPr>
              <w:wordWrap w:val="0"/>
              <w:topLinePunct/>
              <w:rPr>
                <w:rFonts w:ascii="宋体" w:hAnsi="宋体" w:eastAsia="宋体" w:cs="Times New Roman"/>
                <w:color w:val="auto"/>
                <w:szCs w:val="24"/>
                <w:highlight w:val="none"/>
              </w:rPr>
            </w:pPr>
          </w:p>
        </w:tc>
        <w:tc>
          <w:tcPr>
            <w:tcW w:w="1134" w:type="dxa"/>
            <w:vAlign w:val="center"/>
          </w:tcPr>
          <w:p w14:paraId="6B2FA106">
            <w:pPr>
              <w:wordWrap w:val="0"/>
              <w:topLinePunct/>
              <w:rPr>
                <w:rFonts w:ascii="宋体" w:hAnsi="宋体" w:eastAsia="宋体" w:cs="Times New Roman"/>
                <w:color w:val="auto"/>
                <w:szCs w:val="24"/>
                <w:highlight w:val="none"/>
              </w:rPr>
            </w:pPr>
          </w:p>
        </w:tc>
        <w:tc>
          <w:tcPr>
            <w:tcW w:w="1404" w:type="dxa"/>
            <w:vAlign w:val="center"/>
          </w:tcPr>
          <w:p w14:paraId="1D415081">
            <w:pPr>
              <w:wordWrap w:val="0"/>
              <w:topLinePunct/>
              <w:rPr>
                <w:rFonts w:ascii="宋体" w:hAnsi="宋体" w:eastAsia="宋体" w:cs="Times New Roman"/>
                <w:color w:val="auto"/>
                <w:szCs w:val="24"/>
                <w:highlight w:val="none"/>
              </w:rPr>
            </w:pPr>
          </w:p>
        </w:tc>
      </w:tr>
      <w:tr w14:paraId="21705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55" w:type="dxa"/>
            <w:vAlign w:val="center"/>
          </w:tcPr>
          <w:p w14:paraId="175B923F">
            <w:pPr>
              <w:jc w:val="left"/>
              <w:rPr>
                <w:rFonts w:ascii="宋体" w:hAnsi="宋体" w:eastAsia="宋体" w:cs="Times New Roman"/>
                <w:color w:val="auto"/>
                <w:szCs w:val="24"/>
                <w:highlight w:val="none"/>
              </w:rPr>
            </w:pPr>
            <w:r>
              <w:rPr>
                <w:rFonts w:hint="eastAsia" w:ascii="宋体" w:hAnsi="宋体" w:eastAsia="宋体" w:cs="宋体"/>
                <w:b/>
                <w:bCs/>
                <w:color w:val="auto"/>
                <w:szCs w:val="24"/>
                <w:highlight w:val="none"/>
              </w:rPr>
              <w:t>道路专业负责人</w:t>
            </w:r>
          </w:p>
        </w:tc>
        <w:tc>
          <w:tcPr>
            <w:tcW w:w="769" w:type="dxa"/>
            <w:vAlign w:val="center"/>
          </w:tcPr>
          <w:p w14:paraId="2F063375">
            <w:pPr>
              <w:wordWrap w:val="0"/>
              <w:topLinePunct/>
              <w:rPr>
                <w:rFonts w:ascii="宋体" w:hAnsi="宋体" w:eastAsia="宋体" w:cs="Times New Roman"/>
                <w:color w:val="auto"/>
                <w:szCs w:val="24"/>
                <w:highlight w:val="none"/>
              </w:rPr>
            </w:pPr>
          </w:p>
        </w:tc>
        <w:tc>
          <w:tcPr>
            <w:tcW w:w="649" w:type="dxa"/>
          </w:tcPr>
          <w:p w14:paraId="1BF0EEAA">
            <w:pPr>
              <w:wordWrap w:val="0"/>
              <w:topLinePunct/>
              <w:rPr>
                <w:rFonts w:ascii="宋体" w:hAnsi="宋体" w:eastAsia="宋体" w:cs="Times New Roman"/>
                <w:color w:val="auto"/>
                <w:szCs w:val="24"/>
                <w:highlight w:val="none"/>
              </w:rPr>
            </w:pPr>
          </w:p>
        </w:tc>
        <w:tc>
          <w:tcPr>
            <w:tcW w:w="748" w:type="dxa"/>
            <w:vAlign w:val="center"/>
          </w:tcPr>
          <w:p w14:paraId="0500BD76">
            <w:pPr>
              <w:wordWrap w:val="0"/>
              <w:topLinePunct/>
              <w:rPr>
                <w:rFonts w:ascii="宋体" w:hAnsi="宋体" w:eastAsia="宋体" w:cs="Times New Roman"/>
                <w:color w:val="auto"/>
                <w:szCs w:val="24"/>
                <w:highlight w:val="none"/>
              </w:rPr>
            </w:pPr>
          </w:p>
        </w:tc>
        <w:tc>
          <w:tcPr>
            <w:tcW w:w="990" w:type="dxa"/>
            <w:vAlign w:val="center"/>
          </w:tcPr>
          <w:p w14:paraId="08711935">
            <w:pPr>
              <w:wordWrap w:val="0"/>
              <w:topLinePunct/>
              <w:rPr>
                <w:rFonts w:ascii="宋体" w:hAnsi="宋体" w:eastAsia="宋体" w:cs="Times New Roman"/>
                <w:color w:val="auto"/>
                <w:szCs w:val="24"/>
                <w:highlight w:val="none"/>
              </w:rPr>
            </w:pPr>
          </w:p>
        </w:tc>
        <w:tc>
          <w:tcPr>
            <w:tcW w:w="979" w:type="dxa"/>
            <w:vAlign w:val="center"/>
          </w:tcPr>
          <w:p w14:paraId="75E0C8B6">
            <w:pPr>
              <w:wordWrap w:val="0"/>
              <w:topLinePunct/>
              <w:rPr>
                <w:rFonts w:ascii="宋体" w:hAnsi="宋体" w:eastAsia="宋体" w:cs="Times New Roman"/>
                <w:color w:val="auto"/>
                <w:szCs w:val="24"/>
                <w:highlight w:val="none"/>
              </w:rPr>
            </w:pPr>
          </w:p>
        </w:tc>
        <w:tc>
          <w:tcPr>
            <w:tcW w:w="1134" w:type="dxa"/>
            <w:vAlign w:val="center"/>
          </w:tcPr>
          <w:p w14:paraId="4B80F2BD">
            <w:pPr>
              <w:wordWrap w:val="0"/>
              <w:topLinePunct/>
              <w:rPr>
                <w:rFonts w:ascii="宋体" w:hAnsi="宋体" w:eastAsia="宋体" w:cs="Times New Roman"/>
                <w:color w:val="auto"/>
                <w:szCs w:val="24"/>
                <w:highlight w:val="none"/>
              </w:rPr>
            </w:pPr>
          </w:p>
        </w:tc>
        <w:tc>
          <w:tcPr>
            <w:tcW w:w="1404" w:type="dxa"/>
            <w:vAlign w:val="center"/>
          </w:tcPr>
          <w:p w14:paraId="2CED29FB">
            <w:pPr>
              <w:wordWrap w:val="0"/>
              <w:topLinePunct/>
              <w:rPr>
                <w:rFonts w:ascii="宋体" w:hAnsi="宋体" w:eastAsia="宋体" w:cs="Times New Roman"/>
                <w:color w:val="auto"/>
                <w:szCs w:val="24"/>
                <w:highlight w:val="none"/>
              </w:rPr>
            </w:pPr>
          </w:p>
        </w:tc>
      </w:tr>
      <w:tr w14:paraId="0FA51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55" w:type="dxa"/>
            <w:vAlign w:val="center"/>
          </w:tcPr>
          <w:p w14:paraId="6E9B42F2">
            <w:pPr>
              <w:jc w:val="left"/>
              <w:rPr>
                <w:rFonts w:ascii="宋体" w:hAnsi="宋体" w:eastAsia="宋体" w:cs="Times New Roman"/>
                <w:color w:val="auto"/>
                <w:szCs w:val="24"/>
                <w:highlight w:val="none"/>
              </w:rPr>
            </w:pPr>
            <w:r>
              <w:rPr>
                <w:rFonts w:hint="eastAsia" w:ascii="宋体" w:hAnsi="宋体" w:eastAsia="宋体" w:cs="宋体"/>
                <w:color w:val="auto"/>
                <w:szCs w:val="24"/>
                <w:highlight w:val="none"/>
              </w:rPr>
              <w:t>道路专业设计人</w:t>
            </w:r>
          </w:p>
        </w:tc>
        <w:tc>
          <w:tcPr>
            <w:tcW w:w="769" w:type="dxa"/>
            <w:vAlign w:val="center"/>
          </w:tcPr>
          <w:p w14:paraId="556420D2">
            <w:pPr>
              <w:wordWrap w:val="0"/>
              <w:topLinePunct/>
              <w:rPr>
                <w:rFonts w:ascii="宋体" w:hAnsi="宋体" w:eastAsia="宋体" w:cs="Times New Roman"/>
                <w:color w:val="auto"/>
                <w:szCs w:val="24"/>
                <w:highlight w:val="none"/>
              </w:rPr>
            </w:pPr>
          </w:p>
        </w:tc>
        <w:tc>
          <w:tcPr>
            <w:tcW w:w="649" w:type="dxa"/>
          </w:tcPr>
          <w:p w14:paraId="7D4BE922">
            <w:pPr>
              <w:wordWrap w:val="0"/>
              <w:topLinePunct/>
              <w:rPr>
                <w:rFonts w:ascii="宋体" w:hAnsi="宋体" w:eastAsia="宋体" w:cs="Times New Roman"/>
                <w:color w:val="auto"/>
                <w:szCs w:val="24"/>
                <w:highlight w:val="none"/>
              </w:rPr>
            </w:pPr>
          </w:p>
        </w:tc>
        <w:tc>
          <w:tcPr>
            <w:tcW w:w="748" w:type="dxa"/>
            <w:vAlign w:val="center"/>
          </w:tcPr>
          <w:p w14:paraId="643BBD2D">
            <w:pPr>
              <w:wordWrap w:val="0"/>
              <w:topLinePunct/>
              <w:rPr>
                <w:rFonts w:ascii="宋体" w:hAnsi="宋体" w:eastAsia="宋体" w:cs="Times New Roman"/>
                <w:color w:val="auto"/>
                <w:szCs w:val="24"/>
                <w:highlight w:val="none"/>
              </w:rPr>
            </w:pPr>
          </w:p>
        </w:tc>
        <w:tc>
          <w:tcPr>
            <w:tcW w:w="990" w:type="dxa"/>
            <w:vAlign w:val="center"/>
          </w:tcPr>
          <w:p w14:paraId="62D5630D">
            <w:pPr>
              <w:wordWrap w:val="0"/>
              <w:topLinePunct/>
              <w:rPr>
                <w:rFonts w:ascii="宋体" w:hAnsi="宋体" w:eastAsia="宋体" w:cs="Times New Roman"/>
                <w:color w:val="auto"/>
                <w:szCs w:val="24"/>
                <w:highlight w:val="none"/>
              </w:rPr>
            </w:pPr>
          </w:p>
        </w:tc>
        <w:tc>
          <w:tcPr>
            <w:tcW w:w="979" w:type="dxa"/>
            <w:vAlign w:val="center"/>
          </w:tcPr>
          <w:p w14:paraId="2F45E5A8">
            <w:pPr>
              <w:wordWrap w:val="0"/>
              <w:topLinePunct/>
              <w:rPr>
                <w:rFonts w:ascii="宋体" w:hAnsi="宋体" w:eastAsia="宋体" w:cs="Times New Roman"/>
                <w:color w:val="auto"/>
                <w:szCs w:val="24"/>
                <w:highlight w:val="none"/>
              </w:rPr>
            </w:pPr>
          </w:p>
        </w:tc>
        <w:tc>
          <w:tcPr>
            <w:tcW w:w="1134" w:type="dxa"/>
            <w:vAlign w:val="center"/>
          </w:tcPr>
          <w:p w14:paraId="27882225">
            <w:pPr>
              <w:wordWrap w:val="0"/>
              <w:topLinePunct/>
              <w:rPr>
                <w:rFonts w:ascii="宋体" w:hAnsi="宋体" w:eastAsia="宋体" w:cs="Times New Roman"/>
                <w:color w:val="auto"/>
                <w:szCs w:val="24"/>
                <w:highlight w:val="none"/>
              </w:rPr>
            </w:pPr>
          </w:p>
        </w:tc>
        <w:tc>
          <w:tcPr>
            <w:tcW w:w="1404" w:type="dxa"/>
            <w:vAlign w:val="center"/>
          </w:tcPr>
          <w:p w14:paraId="2C929D31">
            <w:pPr>
              <w:wordWrap w:val="0"/>
              <w:topLinePunct/>
              <w:rPr>
                <w:rFonts w:ascii="宋体" w:hAnsi="宋体" w:eastAsia="宋体" w:cs="Times New Roman"/>
                <w:color w:val="auto"/>
                <w:szCs w:val="24"/>
                <w:highlight w:val="none"/>
              </w:rPr>
            </w:pPr>
          </w:p>
        </w:tc>
      </w:tr>
      <w:tr w14:paraId="2125E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55" w:type="dxa"/>
            <w:vAlign w:val="center"/>
          </w:tcPr>
          <w:p w14:paraId="1EA9218D">
            <w:pPr>
              <w:jc w:val="left"/>
              <w:rPr>
                <w:rFonts w:hint="eastAsia" w:ascii="宋体" w:hAnsi="宋体" w:eastAsia="宋体" w:cs="宋体"/>
                <w:color w:val="auto"/>
                <w:szCs w:val="24"/>
                <w:highlight w:val="none"/>
              </w:rPr>
            </w:pPr>
            <w:r>
              <w:rPr>
                <w:rFonts w:hint="eastAsia" w:ascii="宋体" w:hAnsi="宋体" w:eastAsia="宋体" w:cs="宋体"/>
                <w:b/>
                <w:bCs/>
                <w:color w:val="auto"/>
                <w:highlight w:val="none"/>
              </w:rPr>
              <w:t>桥梁专业负责人</w:t>
            </w:r>
          </w:p>
        </w:tc>
        <w:tc>
          <w:tcPr>
            <w:tcW w:w="769" w:type="dxa"/>
            <w:vAlign w:val="center"/>
          </w:tcPr>
          <w:p w14:paraId="20EB38B5">
            <w:pPr>
              <w:wordWrap w:val="0"/>
              <w:topLinePunct/>
              <w:rPr>
                <w:rFonts w:ascii="宋体" w:hAnsi="宋体" w:eastAsia="宋体" w:cs="Times New Roman"/>
                <w:color w:val="auto"/>
                <w:szCs w:val="24"/>
                <w:highlight w:val="none"/>
              </w:rPr>
            </w:pPr>
          </w:p>
        </w:tc>
        <w:tc>
          <w:tcPr>
            <w:tcW w:w="649" w:type="dxa"/>
          </w:tcPr>
          <w:p w14:paraId="59A1D140">
            <w:pPr>
              <w:wordWrap w:val="0"/>
              <w:topLinePunct/>
              <w:rPr>
                <w:rFonts w:ascii="宋体" w:hAnsi="宋体" w:eastAsia="宋体" w:cs="Times New Roman"/>
                <w:color w:val="auto"/>
                <w:szCs w:val="24"/>
                <w:highlight w:val="none"/>
              </w:rPr>
            </w:pPr>
          </w:p>
        </w:tc>
        <w:tc>
          <w:tcPr>
            <w:tcW w:w="748" w:type="dxa"/>
            <w:vAlign w:val="center"/>
          </w:tcPr>
          <w:p w14:paraId="713FEECA">
            <w:pPr>
              <w:wordWrap w:val="0"/>
              <w:topLinePunct/>
              <w:rPr>
                <w:rFonts w:ascii="宋体" w:hAnsi="宋体" w:eastAsia="宋体" w:cs="Times New Roman"/>
                <w:color w:val="auto"/>
                <w:szCs w:val="24"/>
                <w:highlight w:val="none"/>
              </w:rPr>
            </w:pPr>
          </w:p>
        </w:tc>
        <w:tc>
          <w:tcPr>
            <w:tcW w:w="990" w:type="dxa"/>
            <w:vAlign w:val="center"/>
          </w:tcPr>
          <w:p w14:paraId="3FEEE2A5">
            <w:pPr>
              <w:wordWrap w:val="0"/>
              <w:topLinePunct/>
              <w:rPr>
                <w:rFonts w:ascii="宋体" w:hAnsi="宋体" w:eastAsia="宋体" w:cs="Times New Roman"/>
                <w:color w:val="auto"/>
                <w:szCs w:val="24"/>
                <w:highlight w:val="none"/>
              </w:rPr>
            </w:pPr>
          </w:p>
        </w:tc>
        <w:tc>
          <w:tcPr>
            <w:tcW w:w="979" w:type="dxa"/>
            <w:vAlign w:val="center"/>
          </w:tcPr>
          <w:p w14:paraId="6221882A">
            <w:pPr>
              <w:wordWrap w:val="0"/>
              <w:topLinePunct/>
              <w:rPr>
                <w:rFonts w:ascii="宋体" w:hAnsi="宋体" w:eastAsia="宋体" w:cs="Times New Roman"/>
                <w:color w:val="auto"/>
                <w:szCs w:val="24"/>
                <w:highlight w:val="none"/>
              </w:rPr>
            </w:pPr>
          </w:p>
        </w:tc>
        <w:tc>
          <w:tcPr>
            <w:tcW w:w="1134" w:type="dxa"/>
            <w:vAlign w:val="center"/>
          </w:tcPr>
          <w:p w14:paraId="1E2341E4">
            <w:pPr>
              <w:wordWrap w:val="0"/>
              <w:topLinePunct/>
              <w:rPr>
                <w:rFonts w:ascii="宋体" w:hAnsi="宋体" w:eastAsia="宋体" w:cs="Times New Roman"/>
                <w:color w:val="auto"/>
                <w:szCs w:val="24"/>
                <w:highlight w:val="none"/>
              </w:rPr>
            </w:pPr>
          </w:p>
        </w:tc>
        <w:tc>
          <w:tcPr>
            <w:tcW w:w="1404" w:type="dxa"/>
            <w:vAlign w:val="center"/>
          </w:tcPr>
          <w:p w14:paraId="2C5CB35F">
            <w:pPr>
              <w:wordWrap w:val="0"/>
              <w:topLinePunct/>
              <w:rPr>
                <w:rFonts w:ascii="宋体" w:hAnsi="宋体" w:eastAsia="宋体" w:cs="Times New Roman"/>
                <w:color w:val="auto"/>
                <w:szCs w:val="24"/>
                <w:highlight w:val="none"/>
              </w:rPr>
            </w:pPr>
          </w:p>
        </w:tc>
      </w:tr>
      <w:tr w14:paraId="4497D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55" w:type="dxa"/>
            <w:vAlign w:val="center"/>
          </w:tcPr>
          <w:p w14:paraId="4E563430">
            <w:pPr>
              <w:jc w:val="left"/>
              <w:rPr>
                <w:rFonts w:hint="eastAsia" w:ascii="宋体" w:hAnsi="宋体" w:eastAsia="宋体" w:cs="宋体"/>
                <w:color w:val="auto"/>
                <w:szCs w:val="24"/>
                <w:highlight w:val="none"/>
              </w:rPr>
            </w:pPr>
            <w:r>
              <w:rPr>
                <w:rFonts w:hint="eastAsia" w:ascii="宋体" w:hAnsi="宋体" w:eastAsia="宋体" w:cs="宋体"/>
                <w:b w:val="0"/>
                <w:bCs w:val="0"/>
                <w:color w:val="auto"/>
                <w:highlight w:val="none"/>
                <w:lang w:val="en-US" w:eastAsia="zh-CN"/>
              </w:rPr>
              <w:t>桥梁专业设计人</w:t>
            </w:r>
          </w:p>
        </w:tc>
        <w:tc>
          <w:tcPr>
            <w:tcW w:w="769" w:type="dxa"/>
            <w:vAlign w:val="center"/>
          </w:tcPr>
          <w:p w14:paraId="56737427">
            <w:pPr>
              <w:wordWrap w:val="0"/>
              <w:topLinePunct/>
              <w:rPr>
                <w:rFonts w:ascii="宋体" w:hAnsi="宋体" w:eastAsia="宋体" w:cs="Times New Roman"/>
                <w:color w:val="auto"/>
                <w:szCs w:val="24"/>
                <w:highlight w:val="none"/>
              </w:rPr>
            </w:pPr>
          </w:p>
        </w:tc>
        <w:tc>
          <w:tcPr>
            <w:tcW w:w="649" w:type="dxa"/>
          </w:tcPr>
          <w:p w14:paraId="42E43B28">
            <w:pPr>
              <w:wordWrap w:val="0"/>
              <w:topLinePunct/>
              <w:rPr>
                <w:rFonts w:ascii="宋体" w:hAnsi="宋体" w:eastAsia="宋体" w:cs="Times New Roman"/>
                <w:color w:val="auto"/>
                <w:szCs w:val="24"/>
                <w:highlight w:val="none"/>
              </w:rPr>
            </w:pPr>
          </w:p>
        </w:tc>
        <w:tc>
          <w:tcPr>
            <w:tcW w:w="748" w:type="dxa"/>
            <w:vAlign w:val="center"/>
          </w:tcPr>
          <w:p w14:paraId="5E71A885">
            <w:pPr>
              <w:wordWrap w:val="0"/>
              <w:topLinePunct/>
              <w:rPr>
                <w:rFonts w:ascii="宋体" w:hAnsi="宋体" w:eastAsia="宋体" w:cs="Times New Roman"/>
                <w:color w:val="auto"/>
                <w:szCs w:val="24"/>
                <w:highlight w:val="none"/>
              </w:rPr>
            </w:pPr>
          </w:p>
        </w:tc>
        <w:tc>
          <w:tcPr>
            <w:tcW w:w="990" w:type="dxa"/>
            <w:vAlign w:val="center"/>
          </w:tcPr>
          <w:p w14:paraId="399647D4">
            <w:pPr>
              <w:wordWrap w:val="0"/>
              <w:topLinePunct/>
              <w:rPr>
                <w:rFonts w:ascii="宋体" w:hAnsi="宋体" w:eastAsia="宋体" w:cs="Times New Roman"/>
                <w:color w:val="auto"/>
                <w:szCs w:val="24"/>
                <w:highlight w:val="none"/>
              </w:rPr>
            </w:pPr>
          </w:p>
        </w:tc>
        <w:tc>
          <w:tcPr>
            <w:tcW w:w="979" w:type="dxa"/>
            <w:vAlign w:val="center"/>
          </w:tcPr>
          <w:p w14:paraId="543FAFC3">
            <w:pPr>
              <w:wordWrap w:val="0"/>
              <w:topLinePunct/>
              <w:rPr>
                <w:rFonts w:ascii="宋体" w:hAnsi="宋体" w:eastAsia="宋体" w:cs="Times New Roman"/>
                <w:color w:val="auto"/>
                <w:szCs w:val="24"/>
                <w:highlight w:val="none"/>
              </w:rPr>
            </w:pPr>
          </w:p>
        </w:tc>
        <w:tc>
          <w:tcPr>
            <w:tcW w:w="1134" w:type="dxa"/>
            <w:vAlign w:val="center"/>
          </w:tcPr>
          <w:p w14:paraId="248AE584">
            <w:pPr>
              <w:wordWrap w:val="0"/>
              <w:topLinePunct/>
              <w:rPr>
                <w:rFonts w:ascii="宋体" w:hAnsi="宋体" w:eastAsia="宋体" w:cs="Times New Roman"/>
                <w:color w:val="auto"/>
                <w:szCs w:val="24"/>
                <w:highlight w:val="none"/>
              </w:rPr>
            </w:pPr>
          </w:p>
        </w:tc>
        <w:tc>
          <w:tcPr>
            <w:tcW w:w="1404" w:type="dxa"/>
            <w:vAlign w:val="center"/>
          </w:tcPr>
          <w:p w14:paraId="1CF3D406">
            <w:pPr>
              <w:wordWrap w:val="0"/>
              <w:topLinePunct/>
              <w:rPr>
                <w:rFonts w:ascii="宋体" w:hAnsi="宋体" w:eastAsia="宋体" w:cs="Times New Roman"/>
                <w:color w:val="auto"/>
                <w:szCs w:val="24"/>
                <w:highlight w:val="none"/>
              </w:rPr>
            </w:pPr>
          </w:p>
        </w:tc>
      </w:tr>
      <w:tr w14:paraId="0D52E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55" w:type="dxa"/>
            <w:vAlign w:val="center"/>
          </w:tcPr>
          <w:p w14:paraId="4BD6B027">
            <w:pPr>
              <w:jc w:val="left"/>
              <w:rPr>
                <w:rFonts w:ascii="宋体" w:hAnsi="宋体" w:eastAsia="宋体" w:cs="Times New Roman"/>
                <w:color w:val="auto"/>
                <w:szCs w:val="24"/>
                <w:highlight w:val="none"/>
              </w:rPr>
            </w:pPr>
            <w:r>
              <w:rPr>
                <w:rFonts w:hint="eastAsia" w:ascii="宋体" w:hAnsi="宋体" w:eastAsia="宋体" w:cs="宋体"/>
                <w:b/>
                <w:bCs/>
                <w:color w:val="auto"/>
                <w:szCs w:val="24"/>
                <w:highlight w:val="none"/>
              </w:rPr>
              <w:t>给排水专业负责人</w:t>
            </w:r>
          </w:p>
        </w:tc>
        <w:tc>
          <w:tcPr>
            <w:tcW w:w="769" w:type="dxa"/>
            <w:vAlign w:val="center"/>
          </w:tcPr>
          <w:p w14:paraId="0630ABC0">
            <w:pPr>
              <w:wordWrap w:val="0"/>
              <w:topLinePunct/>
              <w:rPr>
                <w:rFonts w:ascii="宋体" w:hAnsi="宋体" w:eastAsia="宋体" w:cs="Times New Roman"/>
                <w:color w:val="auto"/>
                <w:szCs w:val="24"/>
                <w:highlight w:val="none"/>
              </w:rPr>
            </w:pPr>
          </w:p>
        </w:tc>
        <w:tc>
          <w:tcPr>
            <w:tcW w:w="649" w:type="dxa"/>
          </w:tcPr>
          <w:p w14:paraId="1439A797">
            <w:pPr>
              <w:wordWrap w:val="0"/>
              <w:topLinePunct/>
              <w:rPr>
                <w:rFonts w:ascii="宋体" w:hAnsi="宋体" w:eastAsia="宋体" w:cs="Times New Roman"/>
                <w:color w:val="auto"/>
                <w:szCs w:val="24"/>
                <w:highlight w:val="none"/>
              </w:rPr>
            </w:pPr>
          </w:p>
        </w:tc>
        <w:tc>
          <w:tcPr>
            <w:tcW w:w="748" w:type="dxa"/>
            <w:vAlign w:val="center"/>
          </w:tcPr>
          <w:p w14:paraId="02DF003C">
            <w:pPr>
              <w:wordWrap w:val="0"/>
              <w:topLinePunct/>
              <w:rPr>
                <w:rFonts w:ascii="宋体" w:hAnsi="宋体" w:eastAsia="宋体" w:cs="Times New Roman"/>
                <w:color w:val="auto"/>
                <w:szCs w:val="24"/>
                <w:highlight w:val="none"/>
              </w:rPr>
            </w:pPr>
          </w:p>
        </w:tc>
        <w:tc>
          <w:tcPr>
            <w:tcW w:w="990" w:type="dxa"/>
            <w:vAlign w:val="center"/>
          </w:tcPr>
          <w:p w14:paraId="4018B000">
            <w:pPr>
              <w:wordWrap w:val="0"/>
              <w:topLinePunct/>
              <w:rPr>
                <w:rFonts w:ascii="宋体" w:hAnsi="宋体" w:eastAsia="宋体" w:cs="Times New Roman"/>
                <w:color w:val="auto"/>
                <w:szCs w:val="24"/>
                <w:highlight w:val="none"/>
              </w:rPr>
            </w:pPr>
          </w:p>
        </w:tc>
        <w:tc>
          <w:tcPr>
            <w:tcW w:w="979" w:type="dxa"/>
            <w:vAlign w:val="center"/>
          </w:tcPr>
          <w:p w14:paraId="0E24BE4E">
            <w:pPr>
              <w:wordWrap w:val="0"/>
              <w:topLinePunct/>
              <w:rPr>
                <w:rFonts w:ascii="宋体" w:hAnsi="宋体" w:eastAsia="宋体" w:cs="Times New Roman"/>
                <w:color w:val="auto"/>
                <w:szCs w:val="24"/>
                <w:highlight w:val="none"/>
              </w:rPr>
            </w:pPr>
          </w:p>
        </w:tc>
        <w:tc>
          <w:tcPr>
            <w:tcW w:w="1134" w:type="dxa"/>
            <w:vAlign w:val="center"/>
          </w:tcPr>
          <w:p w14:paraId="32A579B3">
            <w:pPr>
              <w:wordWrap w:val="0"/>
              <w:topLinePunct/>
              <w:rPr>
                <w:rFonts w:ascii="宋体" w:hAnsi="宋体" w:eastAsia="宋体" w:cs="Times New Roman"/>
                <w:color w:val="auto"/>
                <w:szCs w:val="24"/>
                <w:highlight w:val="none"/>
              </w:rPr>
            </w:pPr>
          </w:p>
        </w:tc>
        <w:tc>
          <w:tcPr>
            <w:tcW w:w="1404" w:type="dxa"/>
            <w:vAlign w:val="center"/>
          </w:tcPr>
          <w:p w14:paraId="113A86D2">
            <w:pPr>
              <w:wordWrap w:val="0"/>
              <w:topLinePunct/>
              <w:rPr>
                <w:rFonts w:ascii="宋体" w:hAnsi="宋体" w:eastAsia="宋体" w:cs="Times New Roman"/>
                <w:color w:val="auto"/>
                <w:szCs w:val="24"/>
                <w:highlight w:val="none"/>
              </w:rPr>
            </w:pPr>
          </w:p>
        </w:tc>
      </w:tr>
      <w:tr w14:paraId="0A062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55" w:type="dxa"/>
            <w:vAlign w:val="center"/>
          </w:tcPr>
          <w:p w14:paraId="3FB537A6">
            <w:pPr>
              <w:jc w:val="left"/>
              <w:rPr>
                <w:rFonts w:ascii="宋体" w:hAnsi="宋体" w:eastAsia="宋体" w:cs="Times New Roman"/>
                <w:color w:val="auto"/>
                <w:szCs w:val="24"/>
                <w:highlight w:val="none"/>
              </w:rPr>
            </w:pPr>
            <w:r>
              <w:rPr>
                <w:rFonts w:hint="eastAsia" w:ascii="宋体" w:hAnsi="宋体" w:eastAsia="宋体" w:cs="宋体"/>
                <w:color w:val="auto"/>
                <w:szCs w:val="24"/>
                <w:highlight w:val="none"/>
              </w:rPr>
              <w:t>给排水专业设计人</w:t>
            </w:r>
          </w:p>
        </w:tc>
        <w:tc>
          <w:tcPr>
            <w:tcW w:w="769" w:type="dxa"/>
            <w:vAlign w:val="center"/>
          </w:tcPr>
          <w:p w14:paraId="2624BBBD">
            <w:pPr>
              <w:wordWrap w:val="0"/>
              <w:topLinePunct/>
              <w:rPr>
                <w:rFonts w:ascii="宋体" w:hAnsi="宋体" w:eastAsia="宋体" w:cs="Times New Roman"/>
                <w:color w:val="auto"/>
                <w:szCs w:val="24"/>
                <w:highlight w:val="none"/>
              </w:rPr>
            </w:pPr>
          </w:p>
        </w:tc>
        <w:tc>
          <w:tcPr>
            <w:tcW w:w="649" w:type="dxa"/>
          </w:tcPr>
          <w:p w14:paraId="6A4312BB">
            <w:pPr>
              <w:wordWrap w:val="0"/>
              <w:topLinePunct/>
              <w:rPr>
                <w:rFonts w:ascii="宋体" w:hAnsi="宋体" w:eastAsia="宋体" w:cs="Times New Roman"/>
                <w:color w:val="auto"/>
                <w:szCs w:val="24"/>
                <w:highlight w:val="none"/>
              </w:rPr>
            </w:pPr>
          </w:p>
        </w:tc>
        <w:tc>
          <w:tcPr>
            <w:tcW w:w="748" w:type="dxa"/>
            <w:vAlign w:val="center"/>
          </w:tcPr>
          <w:p w14:paraId="2A327E4E">
            <w:pPr>
              <w:wordWrap w:val="0"/>
              <w:topLinePunct/>
              <w:rPr>
                <w:rFonts w:ascii="宋体" w:hAnsi="宋体" w:eastAsia="宋体" w:cs="Times New Roman"/>
                <w:color w:val="auto"/>
                <w:szCs w:val="24"/>
                <w:highlight w:val="none"/>
              </w:rPr>
            </w:pPr>
          </w:p>
        </w:tc>
        <w:tc>
          <w:tcPr>
            <w:tcW w:w="990" w:type="dxa"/>
            <w:vAlign w:val="center"/>
          </w:tcPr>
          <w:p w14:paraId="6E243F2A">
            <w:pPr>
              <w:wordWrap w:val="0"/>
              <w:topLinePunct/>
              <w:rPr>
                <w:rFonts w:ascii="宋体" w:hAnsi="宋体" w:eastAsia="宋体" w:cs="Times New Roman"/>
                <w:color w:val="auto"/>
                <w:szCs w:val="24"/>
                <w:highlight w:val="none"/>
              </w:rPr>
            </w:pPr>
          </w:p>
        </w:tc>
        <w:tc>
          <w:tcPr>
            <w:tcW w:w="979" w:type="dxa"/>
            <w:vAlign w:val="center"/>
          </w:tcPr>
          <w:p w14:paraId="7F981D5F">
            <w:pPr>
              <w:wordWrap w:val="0"/>
              <w:topLinePunct/>
              <w:rPr>
                <w:rFonts w:ascii="宋体" w:hAnsi="宋体" w:eastAsia="宋体" w:cs="Times New Roman"/>
                <w:color w:val="auto"/>
                <w:szCs w:val="24"/>
                <w:highlight w:val="none"/>
              </w:rPr>
            </w:pPr>
          </w:p>
        </w:tc>
        <w:tc>
          <w:tcPr>
            <w:tcW w:w="1134" w:type="dxa"/>
            <w:vAlign w:val="center"/>
          </w:tcPr>
          <w:p w14:paraId="09ABD41B">
            <w:pPr>
              <w:wordWrap w:val="0"/>
              <w:topLinePunct/>
              <w:rPr>
                <w:rFonts w:ascii="宋体" w:hAnsi="宋体" w:eastAsia="宋体" w:cs="Times New Roman"/>
                <w:color w:val="auto"/>
                <w:szCs w:val="24"/>
                <w:highlight w:val="none"/>
              </w:rPr>
            </w:pPr>
          </w:p>
        </w:tc>
        <w:tc>
          <w:tcPr>
            <w:tcW w:w="1404" w:type="dxa"/>
            <w:vAlign w:val="center"/>
          </w:tcPr>
          <w:p w14:paraId="1FF4B666">
            <w:pPr>
              <w:wordWrap w:val="0"/>
              <w:topLinePunct/>
              <w:rPr>
                <w:rFonts w:ascii="宋体" w:hAnsi="宋体" w:eastAsia="宋体" w:cs="Times New Roman"/>
                <w:color w:val="auto"/>
                <w:szCs w:val="24"/>
                <w:highlight w:val="none"/>
              </w:rPr>
            </w:pPr>
          </w:p>
        </w:tc>
      </w:tr>
      <w:tr w14:paraId="193DE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55" w:type="dxa"/>
            <w:vAlign w:val="center"/>
          </w:tcPr>
          <w:p w14:paraId="2A56A0FF">
            <w:pPr>
              <w:jc w:val="left"/>
              <w:rPr>
                <w:rFonts w:ascii="宋体" w:hAnsi="宋体" w:eastAsia="宋体" w:cs="宋体"/>
                <w:color w:val="auto"/>
                <w:szCs w:val="24"/>
                <w:highlight w:val="none"/>
              </w:rPr>
            </w:pPr>
            <w:r>
              <w:rPr>
                <w:rFonts w:hint="eastAsia" w:ascii="宋体" w:hAnsi="宋体" w:eastAsia="宋体" w:cs="Times New Roman"/>
                <w:b/>
                <w:bCs/>
                <w:color w:val="auto"/>
                <w:szCs w:val="24"/>
                <w:highlight w:val="none"/>
              </w:rPr>
              <w:t>交通专业负责人</w:t>
            </w:r>
          </w:p>
        </w:tc>
        <w:tc>
          <w:tcPr>
            <w:tcW w:w="769" w:type="dxa"/>
            <w:vAlign w:val="center"/>
          </w:tcPr>
          <w:p w14:paraId="586B3126">
            <w:pPr>
              <w:wordWrap w:val="0"/>
              <w:topLinePunct/>
              <w:rPr>
                <w:rFonts w:ascii="宋体" w:hAnsi="宋体" w:eastAsia="宋体" w:cs="Times New Roman"/>
                <w:color w:val="auto"/>
                <w:szCs w:val="24"/>
                <w:highlight w:val="none"/>
              </w:rPr>
            </w:pPr>
          </w:p>
        </w:tc>
        <w:tc>
          <w:tcPr>
            <w:tcW w:w="649" w:type="dxa"/>
          </w:tcPr>
          <w:p w14:paraId="234968D5">
            <w:pPr>
              <w:wordWrap w:val="0"/>
              <w:topLinePunct/>
              <w:rPr>
                <w:rFonts w:ascii="宋体" w:hAnsi="宋体" w:eastAsia="宋体" w:cs="Times New Roman"/>
                <w:color w:val="auto"/>
                <w:szCs w:val="24"/>
                <w:highlight w:val="none"/>
              </w:rPr>
            </w:pPr>
          </w:p>
        </w:tc>
        <w:tc>
          <w:tcPr>
            <w:tcW w:w="748" w:type="dxa"/>
            <w:vAlign w:val="center"/>
          </w:tcPr>
          <w:p w14:paraId="524767AE">
            <w:pPr>
              <w:wordWrap w:val="0"/>
              <w:topLinePunct/>
              <w:rPr>
                <w:rFonts w:ascii="宋体" w:hAnsi="宋体" w:eastAsia="宋体" w:cs="Times New Roman"/>
                <w:color w:val="auto"/>
                <w:szCs w:val="24"/>
                <w:highlight w:val="none"/>
              </w:rPr>
            </w:pPr>
          </w:p>
        </w:tc>
        <w:tc>
          <w:tcPr>
            <w:tcW w:w="990" w:type="dxa"/>
            <w:vAlign w:val="center"/>
          </w:tcPr>
          <w:p w14:paraId="18614FD0">
            <w:pPr>
              <w:wordWrap w:val="0"/>
              <w:topLinePunct/>
              <w:rPr>
                <w:rFonts w:ascii="宋体" w:hAnsi="宋体" w:eastAsia="宋体" w:cs="Times New Roman"/>
                <w:color w:val="auto"/>
                <w:szCs w:val="24"/>
                <w:highlight w:val="none"/>
              </w:rPr>
            </w:pPr>
          </w:p>
        </w:tc>
        <w:tc>
          <w:tcPr>
            <w:tcW w:w="979" w:type="dxa"/>
            <w:vAlign w:val="center"/>
          </w:tcPr>
          <w:p w14:paraId="683F8A9E">
            <w:pPr>
              <w:wordWrap w:val="0"/>
              <w:topLinePunct/>
              <w:rPr>
                <w:rFonts w:ascii="宋体" w:hAnsi="宋体" w:eastAsia="宋体" w:cs="Times New Roman"/>
                <w:color w:val="auto"/>
                <w:szCs w:val="24"/>
                <w:highlight w:val="none"/>
              </w:rPr>
            </w:pPr>
          </w:p>
        </w:tc>
        <w:tc>
          <w:tcPr>
            <w:tcW w:w="1134" w:type="dxa"/>
            <w:vAlign w:val="center"/>
          </w:tcPr>
          <w:p w14:paraId="68B5C81B">
            <w:pPr>
              <w:wordWrap w:val="0"/>
              <w:topLinePunct/>
              <w:rPr>
                <w:rFonts w:ascii="宋体" w:hAnsi="宋体" w:eastAsia="宋体" w:cs="Times New Roman"/>
                <w:color w:val="auto"/>
                <w:szCs w:val="24"/>
                <w:highlight w:val="none"/>
              </w:rPr>
            </w:pPr>
          </w:p>
        </w:tc>
        <w:tc>
          <w:tcPr>
            <w:tcW w:w="1404" w:type="dxa"/>
            <w:vAlign w:val="center"/>
          </w:tcPr>
          <w:p w14:paraId="20CAA58D">
            <w:pPr>
              <w:wordWrap w:val="0"/>
              <w:topLinePunct/>
              <w:rPr>
                <w:rFonts w:ascii="宋体" w:hAnsi="宋体" w:eastAsia="宋体" w:cs="Times New Roman"/>
                <w:color w:val="auto"/>
                <w:szCs w:val="24"/>
                <w:highlight w:val="none"/>
              </w:rPr>
            </w:pPr>
          </w:p>
        </w:tc>
      </w:tr>
      <w:tr w14:paraId="2CCCA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55" w:type="dxa"/>
            <w:vAlign w:val="center"/>
          </w:tcPr>
          <w:p w14:paraId="76094554">
            <w:pPr>
              <w:jc w:val="left"/>
              <w:rPr>
                <w:rFonts w:ascii="宋体" w:hAnsi="宋体" w:eastAsia="宋体" w:cs="宋体"/>
                <w:color w:val="auto"/>
                <w:szCs w:val="24"/>
                <w:highlight w:val="none"/>
              </w:rPr>
            </w:pPr>
            <w:r>
              <w:rPr>
                <w:rFonts w:hint="eastAsia" w:ascii="宋体" w:hAnsi="宋体" w:eastAsia="宋体" w:cs="Times New Roman"/>
                <w:color w:val="auto"/>
                <w:szCs w:val="24"/>
                <w:highlight w:val="none"/>
              </w:rPr>
              <w:t>交通专业设计人</w:t>
            </w:r>
          </w:p>
        </w:tc>
        <w:tc>
          <w:tcPr>
            <w:tcW w:w="769" w:type="dxa"/>
            <w:vAlign w:val="center"/>
          </w:tcPr>
          <w:p w14:paraId="5CB5A086">
            <w:pPr>
              <w:wordWrap w:val="0"/>
              <w:topLinePunct/>
              <w:rPr>
                <w:rFonts w:ascii="宋体" w:hAnsi="宋体" w:eastAsia="宋体" w:cs="Times New Roman"/>
                <w:color w:val="auto"/>
                <w:szCs w:val="24"/>
                <w:highlight w:val="none"/>
              </w:rPr>
            </w:pPr>
          </w:p>
        </w:tc>
        <w:tc>
          <w:tcPr>
            <w:tcW w:w="649" w:type="dxa"/>
          </w:tcPr>
          <w:p w14:paraId="3EDC1C02">
            <w:pPr>
              <w:wordWrap w:val="0"/>
              <w:topLinePunct/>
              <w:rPr>
                <w:rFonts w:ascii="宋体" w:hAnsi="宋体" w:eastAsia="宋体" w:cs="Times New Roman"/>
                <w:color w:val="auto"/>
                <w:szCs w:val="24"/>
                <w:highlight w:val="none"/>
              </w:rPr>
            </w:pPr>
          </w:p>
        </w:tc>
        <w:tc>
          <w:tcPr>
            <w:tcW w:w="748" w:type="dxa"/>
            <w:vAlign w:val="center"/>
          </w:tcPr>
          <w:p w14:paraId="1D2B3EB6">
            <w:pPr>
              <w:wordWrap w:val="0"/>
              <w:topLinePunct/>
              <w:rPr>
                <w:rFonts w:ascii="宋体" w:hAnsi="宋体" w:eastAsia="宋体" w:cs="Times New Roman"/>
                <w:color w:val="auto"/>
                <w:szCs w:val="24"/>
                <w:highlight w:val="none"/>
              </w:rPr>
            </w:pPr>
          </w:p>
        </w:tc>
        <w:tc>
          <w:tcPr>
            <w:tcW w:w="990" w:type="dxa"/>
            <w:vAlign w:val="center"/>
          </w:tcPr>
          <w:p w14:paraId="1F11989F">
            <w:pPr>
              <w:wordWrap w:val="0"/>
              <w:topLinePunct/>
              <w:rPr>
                <w:rFonts w:ascii="宋体" w:hAnsi="宋体" w:eastAsia="宋体" w:cs="Times New Roman"/>
                <w:color w:val="auto"/>
                <w:szCs w:val="24"/>
                <w:highlight w:val="none"/>
              </w:rPr>
            </w:pPr>
          </w:p>
        </w:tc>
        <w:tc>
          <w:tcPr>
            <w:tcW w:w="979" w:type="dxa"/>
            <w:vAlign w:val="center"/>
          </w:tcPr>
          <w:p w14:paraId="0118D0B3">
            <w:pPr>
              <w:wordWrap w:val="0"/>
              <w:topLinePunct/>
              <w:rPr>
                <w:rFonts w:ascii="宋体" w:hAnsi="宋体" w:eastAsia="宋体" w:cs="Times New Roman"/>
                <w:color w:val="auto"/>
                <w:szCs w:val="24"/>
                <w:highlight w:val="none"/>
              </w:rPr>
            </w:pPr>
          </w:p>
        </w:tc>
        <w:tc>
          <w:tcPr>
            <w:tcW w:w="1134" w:type="dxa"/>
            <w:vAlign w:val="center"/>
          </w:tcPr>
          <w:p w14:paraId="300B1AB3">
            <w:pPr>
              <w:wordWrap w:val="0"/>
              <w:topLinePunct/>
              <w:rPr>
                <w:rFonts w:ascii="宋体" w:hAnsi="宋体" w:eastAsia="宋体" w:cs="Times New Roman"/>
                <w:color w:val="auto"/>
                <w:szCs w:val="24"/>
                <w:highlight w:val="none"/>
              </w:rPr>
            </w:pPr>
          </w:p>
        </w:tc>
        <w:tc>
          <w:tcPr>
            <w:tcW w:w="1404" w:type="dxa"/>
            <w:vAlign w:val="center"/>
          </w:tcPr>
          <w:p w14:paraId="350C1D4C">
            <w:pPr>
              <w:wordWrap w:val="0"/>
              <w:topLinePunct/>
              <w:rPr>
                <w:rFonts w:ascii="宋体" w:hAnsi="宋体" w:eastAsia="宋体" w:cs="Times New Roman"/>
                <w:color w:val="auto"/>
                <w:szCs w:val="24"/>
                <w:highlight w:val="none"/>
              </w:rPr>
            </w:pPr>
          </w:p>
        </w:tc>
      </w:tr>
      <w:tr w14:paraId="6C57D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55" w:type="dxa"/>
            <w:vAlign w:val="center"/>
          </w:tcPr>
          <w:p w14:paraId="42B73BA0">
            <w:pPr>
              <w:jc w:val="left"/>
              <w:rPr>
                <w:rFonts w:ascii="宋体" w:hAnsi="宋体" w:eastAsia="宋体" w:cs="宋体"/>
                <w:b/>
                <w:bCs/>
                <w:color w:val="auto"/>
                <w:szCs w:val="24"/>
                <w:highlight w:val="none"/>
              </w:rPr>
            </w:pPr>
            <w:r>
              <w:rPr>
                <w:rFonts w:hint="eastAsia" w:ascii="宋体" w:hAnsi="宋体" w:eastAsia="宋体" w:cs="宋体"/>
                <w:b/>
                <w:bCs/>
                <w:color w:val="auto"/>
                <w:szCs w:val="24"/>
                <w:highlight w:val="none"/>
              </w:rPr>
              <w:t>照明专业负责人</w:t>
            </w:r>
          </w:p>
        </w:tc>
        <w:tc>
          <w:tcPr>
            <w:tcW w:w="769" w:type="dxa"/>
            <w:vAlign w:val="center"/>
          </w:tcPr>
          <w:p w14:paraId="0A772FE6">
            <w:pPr>
              <w:wordWrap w:val="0"/>
              <w:topLinePunct/>
              <w:rPr>
                <w:rFonts w:ascii="宋体" w:hAnsi="宋体" w:eastAsia="宋体" w:cs="Times New Roman"/>
                <w:color w:val="auto"/>
                <w:szCs w:val="24"/>
                <w:highlight w:val="none"/>
              </w:rPr>
            </w:pPr>
          </w:p>
        </w:tc>
        <w:tc>
          <w:tcPr>
            <w:tcW w:w="649" w:type="dxa"/>
          </w:tcPr>
          <w:p w14:paraId="1975405B">
            <w:pPr>
              <w:wordWrap w:val="0"/>
              <w:topLinePunct/>
              <w:rPr>
                <w:rFonts w:ascii="宋体" w:hAnsi="宋体" w:eastAsia="宋体" w:cs="Times New Roman"/>
                <w:color w:val="auto"/>
                <w:szCs w:val="24"/>
                <w:highlight w:val="none"/>
              </w:rPr>
            </w:pPr>
          </w:p>
        </w:tc>
        <w:tc>
          <w:tcPr>
            <w:tcW w:w="748" w:type="dxa"/>
            <w:vAlign w:val="center"/>
          </w:tcPr>
          <w:p w14:paraId="4232A692">
            <w:pPr>
              <w:wordWrap w:val="0"/>
              <w:topLinePunct/>
              <w:rPr>
                <w:rFonts w:ascii="宋体" w:hAnsi="宋体" w:eastAsia="宋体" w:cs="Times New Roman"/>
                <w:color w:val="auto"/>
                <w:szCs w:val="24"/>
                <w:highlight w:val="none"/>
              </w:rPr>
            </w:pPr>
          </w:p>
        </w:tc>
        <w:tc>
          <w:tcPr>
            <w:tcW w:w="990" w:type="dxa"/>
            <w:vAlign w:val="center"/>
          </w:tcPr>
          <w:p w14:paraId="2C2CFBC4">
            <w:pPr>
              <w:wordWrap w:val="0"/>
              <w:topLinePunct/>
              <w:rPr>
                <w:rFonts w:ascii="宋体" w:hAnsi="宋体" w:eastAsia="宋体" w:cs="Times New Roman"/>
                <w:color w:val="auto"/>
                <w:szCs w:val="24"/>
                <w:highlight w:val="none"/>
              </w:rPr>
            </w:pPr>
          </w:p>
        </w:tc>
        <w:tc>
          <w:tcPr>
            <w:tcW w:w="979" w:type="dxa"/>
            <w:vAlign w:val="center"/>
          </w:tcPr>
          <w:p w14:paraId="54C3680B">
            <w:pPr>
              <w:wordWrap w:val="0"/>
              <w:topLinePunct/>
              <w:rPr>
                <w:rFonts w:ascii="宋体" w:hAnsi="宋体" w:eastAsia="宋体" w:cs="Times New Roman"/>
                <w:color w:val="auto"/>
                <w:szCs w:val="24"/>
                <w:highlight w:val="none"/>
              </w:rPr>
            </w:pPr>
          </w:p>
        </w:tc>
        <w:tc>
          <w:tcPr>
            <w:tcW w:w="1134" w:type="dxa"/>
            <w:vAlign w:val="center"/>
          </w:tcPr>
          <w:p w14:paraId="677B3FAA">
            <w:pPr>
              <w:wordWrap w:val="0"/>
              <w:topLinePunct/>
              <w:rPr>
                <w:rFonts w:ascii="宋体" w:hAnsi="宋体" w:eastAsia="宋体" w:cs="Times New Roman"/>
                <w:color w:val="auto"/>
                <w:szCs w:val="24"/>
                <w:highlight w:val="none"/>
              </w:rPr>
            </w:pPr>
          </w:p>
        </w:tc>
        <w:tc>
          <w:tcPr>
            <w:tcW w:w="1404" w:type="dxa"/>
            <w:vAlign w:val="center"/>
          </w:tcPr>
          <w:p w14:paraId="7E465C82">
            <w:pPr>
              <w:wordWrap w:val="0"/>
              <w:topLinePunct/>
              <w:rPr>
                <w:rFonts w:ascii="宋体" w:hAnsi="宋体" w:eastAsia="宋体" w:cs="Times New Roman"/>
                <w:color w:val="auto"/>
                <w:szCs w:val="24"/>
                <w:highlight w:val="none"/>
              </w:rPr>
            </w:pPr>
          </w:p>
        </w:tc>
      </w:tr>
      <w:tr w14:paraId="22C96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55" w:type="dxa"/>
            <w:vAlign w:val="center"/>
          </w:tcPr>
          <w:p w14:paraId="0198ACAF">
            <w:pPr>
              <w:jc w:val="left"/>
              <w:rPr>
                <w:rFonts w:ascii="宋体" w:hAnsi="宋体" w:eastAsia="宋体" w:cs="宋体"/>
                <w:bCs/>
                <w:color w:val="auto"/>
                <w:szCs w:val="24"/>
                <w:highlight w:val="none"/>
              </w:rPr>
            </w:pPr>
            <w:r>
              <w:rPr>
                <w:rFonts w:hint="eastAsia" w:ascii="宋体" w:hAnsi="宋体" w:eastAsia="宋体" w:cs="宋体"/>
                <w:bCs/>
                <w:color w:val="auto"/>
                <w:szCs w:val="24"/>
                <w:highlight w:val="none"/>
              </w:rPr>
              <w:t>照明专业设计人</w:t>
            </w:r>
          </w:p>
        </w:tc>
        <w:tc>
          <w:tcPr>
            <w:tcW w:w="769" w:type="dxa"/>
            <w:vAlign w:val="center"/>
          </w:tcPr>
          <w:p w14:paraId="59255B43">
            <w:pPr>
              <w:wordWrap w:val="0"/>
              <w:topLinePunct/>
              <w:rPr>
                <w:rFonts w:ascii="宋体" w:hAnsi="宋体" w:eastAsia="宋体" w:cs="Times New Roman"/>
                <w:color w:val="auto"/>
                <w:szCs w:val="24"/>
                <w:highlight w:val="none"/>
              </w:rPr>
            </w:pPr>
          </w:p>
        </w:tc>
        <w:tc>
          <w:tcPr>
            <w:tcW w:w="649" w:type="dxa"/>
          </w:tcPr>
          <w:p w14:paraId="092B0132">
            <w:pPr>
              <w:wordWrap w:val="0"/>
              <w:topLinePunct/>
              <w:rPr>
                <w:rFonts w:ascii="宋体" w:hAnsi="宋体" w:eastAsia="宋体" w:cs="Times New Roman"/>
                <w:color w:val="auto"/>
                <w:szCs w:val="24"/>
                <w:highlight w:val="none"/>
              </w:rPr>
            </w:pPr>
          </w:p>
        </w:tc>
        <w:tc>
          <w:tcPr>
            <w:tcW w:w="748" w:type="dxa"/>
            <w:vAlign w:val="center"/>
          </w:tcPr>
          <w:p w14:paraId="51D990A9">
            <w:pPr>
              <w:wordWrap w:val="0"/>
              <w:topLinePunct/>
              <w:rPr>
                <w:rFonts w:ascii="宋体" w:hAnsi="宋体" w:eastAsia="宋体" w:cs="Times New Roman"/>
                <w:color w:val="auto"/>
                <w:szCs w:val="24"/>
                <w:highlight w:val="none"/>
              </w:rPr>
            </w:pPr>
          </w:p>
        </w:tc>
        <w:tc>
          <w:tcPr>
            <w:tcW w:w="990" w:type="dxa"/>
            <w:vAlign w:val="center"/>
          </w:tcPr>
          <w:p w14:paraId="228F97C3">
            <w:pPr>
              <w:wordWrap w:val="0"/>
              <w:topLinePunct/>
              <w:rPr>
                <w:rFonts w:ascii="宋体" w:hAnsi="宋体" w:eastAsia="宋体" w:cs="Times New Roman"/>
                <w:color w:val="auto"/>
                <w:szCs w:val="24"/>
                <w:highlight w:val="none"/>
              </w:rPr>
            </w:pPr>
          </w:p>
        </w:tc>
        <w:tc>
          <w:tcPr>
            <w:tcW w:w="979" w:type="dxa"/>
            <w:vAlign w:val="center"/>
          </w:tcPr>
          <w:p w14:paraId="79BDCAAF">
            <w:pPr>
              <w:wordWrap w:val="0"/>
              <w:topLinePunct/>
              <w:rPr>
                <w:rFonts w:ascii="宋体" w:hAnsi="宋体" w:eastAsia="宋体" w:cs="Times New Roman"/>
                <w:color w:val="auto"/>
                <w:szCs w:val="24"/>
                <w:highlight w:val="none"/>
              </w:rPr>
            </w:pPr>
          </w:p>
        </w:tc>
        <w:tc>
          <w:tcPr>
            <w:tcW w:w="1134" w:type="dxa"/>
            <w:vAlign w:val="center"/>
          </w:tcPr>
          <w:p w14:paraId="01159A48">
            <w:pPr>
              <w:wordWrap w:val="0"/>
              <w:topLinePunct/>
              <w:rPr>
                <w:rFonts w:ascii="宋体" w:hAnsi="宋体" w:eastAsia="宋体" w:cs="Times New Roman"/>
                <w:color w:val="auto"/>
                <w:szCs w:val="24"/>
                <w:highlight w:val="none"/>
              </w:rPr>
            </w:pPr>
          </w:p>
        </w:tc>
        <w:tc>
          <w:tcPr>
            <w:tcW w:w="1404" w:type="dxa"/>
            <w:vAlign w:val="center"/>
          </w:tcPr>
          <w:p w14:paraId="34CC75A1">
            <w:pPr>
              <w:wordWrap w:val="0"/>
              <w:topLinePunct/>
              <w:rPr>
                <w:rFonts w:ascii="宋体" w:hAnsi="宋体" w:eastAsia="宋体" w:cs="Times New Roman"/>
                <w:color w:val="auto"/>
                <w:szCs w:val="24"/>
                <w:highlight w:val="none"/>
              </w:rPr>
            </w:pPr>
          </w:p>
        </w:tc>
      </w:tr>
      <w:tr w14:paraId="28969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55" w:type="dxa"/>
            <w:vAlign w:val="center"/>
          </w:tcPr>
          <w:p w14:paraId="22A1EFD3">
            <w:pPr>
              <w:jc w:val="left"/>
              <w:rPr>
                <w:rFonts w:ascii="宋体" w:hAnsi="宋体" w:eastAsia="宋体" w:cs="宋体"/>
                <w:b/>
                <w:bCs/>
                <w:color w:val="auto"/>
                <w:szCs w:val="24"/>
                <w:highlight w:val="none"/>
              </w:rPr>
            </w:pPr>
            <w:r>
              <w:rPr>
                <w:rFonts w:hint="eastAsia" w:ascii="宋体" w:hAnsi="宋体" w:eastAsia="宋体" w:cs="宋体"/>
                <w:b/>
                <w:bCs/>
                <w:color w:val="auto"/>
                <w:szCs w:val="24"/>
                <w:highlight w:val="none"/>
              </w:rPr>
              <w:t>电力管沟专业负责人</w:t>
            </w:r>
          </w:p>
        </w:tc>
        <w:tc>
          <w:tcPr>
            <w:tcW w:w="769" w:type="dxa"/>
            <w:vAlign w:val="center"/>
          </w:tcPr>
          <w:p w14:paraId="397A4622">
            <w:pPr>
              <w:wordWrap w:val="0"/>
              <w:topLinePunct/>
              <w:rPr>
                <w:rFonts w:ascii="宋体" w:hAnsi="宋体" w:eastAsia="宋体" w:cs="Times New Roman"/>
                <w:color w:val="auto"/>
                <w:szCs w:val="24"/>
                <w:highlight w:val="none"/>
              </w:rPr>
            </w:pPr>
          </w:p>
        </w:tc>
        <w:tc>
          <w:tcPr>
            <w:tcW w:w="649" w:type="dxa"/>
          </w:tcPr>
          <w:p w14:paraId="22E16BB2">
            <w:pPr>
              <w:wordWrap w:val="0"/>
              <w:topLinePunct/>
              <w:rPr>
                <w:rFonts w:ascii="宋体" w:hAnsi="宋体" w:eastAsia="宋体" w:cs="Times New Roman"/>
                <w:color w:val="auto"/>
                <w:szCs w:val="24"/>
                <w:highlight w:val="none"/>
              </w:rPr>
            </w:pPr>
          </w:p>
        </w:tc>
        <w:tc>
          <w:tcPr>
            <w:tcW w:w="748" w:type="dxa"/>
            <w:vAlign w:val="center"/>
          </w:tcPr>
          <w:p w14:paraId="3CED45A9">
            <w:pPr>
              <w:wordWrap w:val="0"/>
              <w:topLinePunct/>
              <w:rPr>
                <w:rFonts w:ascii="宋体" w:hAnsi="宋体" w:eastAsia="宋体" w:cs="Times New Roman"/>
                <w:color w:val="auto"/>
                <w:szCs w:val="24"/>
                <w:highlight w:val="none"/>
              </w:rPr>
            </w:pPr>
          </w:p>
        </w:tc>
        <w:tc>
          <w:tcPr>
            <w:tcW w:w="990" w:type="dxa"/>
            <w:vAlign w:val="center"/>
          </w:tcPr>
          <w:p w14:paraId="75962E7F">
            <w:pPr>
              <w:wordWrap w:val="0"/>
              <w:topLinePunct/>
              <w:rPr>
                <w:rFonts w:ascii="宋体" w:hAnsi="宋体" w:eastAsia="宋体" w:cs="Times New Roman"/>
                <w:color w:val="auto"/>
                <w:szCs w:val="24"/>
                <w:highlight w:val="none"/>
              </w:rPr>
            </w:pPr>
          </w:p>
        </w:tc>
        <w:tc>
          <w:tcPr>
            <w:tcW w:w="979" w:type="dxa"/>
            <w:vAlign w:val="center"/>
          </w:tcPr>
          <w:p w14:paraId="1D82B0A1">
            <w:pPr>
              <w:wordWrap w:val="0"/>
              <w:topLinePunct/>
              <w:rPr>
                <w:rFonts w:ascii="宋体" w:hAnsi="宋体" w:eastAsia="宋体" w:cs="Times New Roman"/>
                <w:color w:val="auto"/>
                <w:szCs w:val="24"/>
                <w:highlight w:val="none"/>
              </w:rPr>
            </w:pPr>
          </w:p>
        </w:tc>
        <w:tc>
          <w:tcPr>
            <w:tcW w:w="1134" w:type="dxa"/>
            <w:vAlign w:val="center"/>
          </w:tcPr>
          <w:p w14:paraId="39BED8F2">
            <w:pPr>
              <w:wordWrap w:val="0"/>
              <w:topLinePunct/>
              <w:rPr>
                <w:rFonts w:ascii="宋体" w:hAnsi="宋体" w:eastAsia="宋体" w:cs="Times New Roman"/>
                <w:color w:val="auto"/>
                <w:szCs w:val="24"/>
                <w:highlight w:val="none"/>
              </w:rPr>
            </w:pPr>
          </w:p>
        </w:tc>
        <w:tc>
          <w:tcPr>
            <w:tcW w:w="1404" w:type="dxa"/>
            <w:vAlign w:val="center"/>
          </w:tcPr>
          <w:p w14:paraId="69958830">
            <w:pPr>
              <w:wordWrap w:val="0"/>
              <w:topLinePunct/>
              <w:rPr>
                <w:rFonts w:ascii="宋体" w:hAnsi="宋体" w:eastAsia="宋体" w:cs="Times New Roman"/>
                <w:color w:val="auto"/>
                <w:szCs w:val="24"/>
                <w:highlight w:val="none"/>
              </w:rPr>
            </w:pPr>
          </w:p>
        </w:tc>
      </w:tr>
      <w:tr w14:paraId="526D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55" w:type="dxa"/>
            <w:vAlign w:val="center"/>
          </w:tcPr>
          <w:p w14:paraId="340CC033">
            <w:pPr>
              <w:jc w:val="left"/>
              <w:rPr>
                <w:rFonts w:ascii="宋体" w:hAnsi="宋体" w:eastAsia="宋体" w:cs="宋体"/>
                <w:bCs/>
                <w:color w:val="auto"/>
                <w:szCs w:val="24"/>
                <w:highlight w:val="none"/>
              </w:rPr>
            </w:pPr>
            <w:r>
              <w:rPr>
                <w:rFonts w:hint="eastAsia" w:ascii="宋体" w:hAnsi="宋体" w:eastAsia="宋体" w:cs="宋体"/>
                <w:bCs/>
                <w:color w:val="auto"/>
                <w:szCs w:val="24"/>
                <w:highlight w:val="none"/>
              </w:rPr>
              <w:t>电力管沟专业设计人</w:t>
            </w:r>
          </w:p>
        </w:tc>
        <w:tc>
          <w:tcPr>
            <w:tcW w:w="769" w:type="dxa"/>
            <w:vAlign w:val="center"/>
          </w:tcPr>
          <w:p w14:paraId="68363BAB">
            <w:pPr>
              <w:wordWrap w:val="0"/>
              <w:topLinePunct/>
              <w:rPr>
                <w:rFonts w:ascii="宋体" w:hAnsi="宋体" w:eastAsia="宋体" w:cs="Times New Roman"/>
                <w:color w:val="auto"/>
                <w:szCs w:val="24"/>
                <w:highlight w:val="none"/>
              </w:rPr>
            </w:pPr>
          </w:p>
        </w:tc>
        <w:tc>
          <w:tcPr>
            <w:tcW w:w="649" w:type="dxa"/>
          </w:tcPr>
          <w:p w14:paraId="039BF27B">
            <w:pPr>
              <w:wordWrap w:val="0"/>
              <w:topLinePunct/>
              <w:rPr>
                <w:rFonts w:ascii="宋体" w:hAnsi="宋体" w:eastAsia="宋体" w:cs="Times New Roman"/>
                <w:color w:val="auto"/>
                <w:szCs w:val="24"/>
                <w:highlight w:val="none"/>
              </w:rPr>
            </w:pPr>
          </w:p>
        </w:tc>
        <w:tc>
          <w:tcPr>
            <w:tcW w:w="748" w:type="dxa"/>
            <w:vAlign w:val="center"/>
          </w:tcPr>
          <w:p w14:paraId="10B2069E">
            <w:pPr>
              <w:wordWrap w:val="0"/>
              <w:topLinePunct/>
              <w:rPr>
                <w:rFonts w:ascii="宋体" w:hAnsi="宋体" w:eastAsia="宋体" w:cs="Times New Roman"/>
                <w:color w:val="auto"/>
                <w:szCs w:val="24"/>
                <w:highlight w:val="none"/>
              </w:rPr>
            </w:pPr>
          </w:p>
        </w:tc>
        <w:tc>
          <w:tcPr>
            <w:tcW w:w="990" w:type="dxa"/>
            <w:vAlign w:val="center"/>
          </w:tcPr>
          <w:p w14:paraId="18B49C24">
            <w:pPr>
              <w:wordWrap w:val="0"/>
              <w:topLinePunct/>
              <w:rPr>
                <w:rFonts w:ascii="宋体" w:hAnsi="宋体" w:eastAsia="宋体" w:cs="Times New Roman"/>
                <w:color w:val="auto"/>
                <w:szCs w:val="24"/>
                <w:highlight w:val="none"/>
              </w:rPr>
            </w:pPr>
          </w:p>
        </w:tc>
        <w:tc>
          <w:tcPr>
            <w:tcW w:w="979" w:type="dxa"/>
            <w:vAlign w:val="center"/>
          </w:tcPr>
          <w:p w14:paraId="63D6C228">
            <w:pPr>
              <w:wordWrap w:val="0"/>
              <w:topLinePunct/>
              <w:rPr>
                <w:rFonts w:ascii="宋体" w:hAnsi="宋体" w:eastAsia="宋体" w:cs="Times New Roman"/>
                <w:color w:val="auto"/>
                <w:szCs w:val="24"/>
                <w:highlight w:val="none"/>
              </w:rPr>
            </w:pPr>
          </w:p>
        </w:tc>
        <w:tc>
          <w:tcPr>
            <w:tcW w:w="1134" w:type="dxa"/>
            <w:vAlign w:val="center"/>
          </w:tcPr>
          <w:p w14:paraId="40E35165">
            <w:pPr>
              <w:wordWrap w:val="0"/>
              <w:topLinePunct/>
              <w:rPr>
                <w:rFonts w:ascii="宋体" w:hAnsi="宋体" w:eastAsia="宋体" w:cs="Times New Roman"/>
                <w:color w:val="auto"/>
                <w:szCs w:val="24"/>
                <w:highlight w:val="none"/>
              </w:rPr>
            </w:pPr>
          </w:p>
        </w:tc>
        <w:tc>
          <w:tcPr>
            <w:tcW w:w="1404" w:type="dxa"/>
            <w:vAlign w:val="center"/>
          </w:tcPr>
          <w:p w14:paraId="6BB679DD">
            <w:pPr>
              <w:wordWrap w:val="0"/>
              <w:topLinePunct/>
              <w:rPr>
                <w:rFonts w:ascii="宋体" w:hAnsi="宋体" w:eastAsia="宋体" w:cs="Times New Roman"/>
                <w:color w:val="auto"/>
                <w:szCs w:val="24"/>
                <w:highlight w:val="none"/>
              </w:rPr>
            </w:pPr>
          </w:p>
        </w:tc>
      </w:tr>
      <w:tr w14:paraId="766C8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55" w:type="dxa"/>
            <w:vAlign w:val="center"/>
          </w:tcPr>
          <w:p w14:paraId="6064FCD1">
            <w:pPr>
              <w:jc w:val="left"/>
              <w:rPr>
                <w:rFonts w:ascii="宋体" w:hAnsi="宋体" w:eastAsia="宋体" w:cs="Times New Roman"/>
                <w:color w:val="auto"/>
                <w:szCs w:val="24"/>
                <w:highlight w:val="none"/>
              </w:rPr>
            </w:pPr>
            <w:r>
              <w:rPr>
                <w:rFonts w:hint="eastAsia" w:ascii="宋体" w:hAnsi="宋体" w:eastAsia="宋体" w:cs="宋体"/>
                <w:b/>
                <w:bCs/>
                <w:color w:val="auto"/>
                <w:szCs w:val="24"/>
                <w:highlight w:val="none"/>
              </w:rPr>
              <w:t>绿化专业负责人</w:t>
            </w:r>
          </w:p>
        </w:tc>
        <w:tc>
          <w:tcPr>
            <w:tcW w:w="769" w:type="dxa"/>
            <w:vAlign w:val="center"/>
          </w:tcPr>
          <w:p w14:paraId="1D43D776">
            <w:pPr>
              <w:wordWrap w:val="0"/>
              <w:topLinePunct/>
              <w:rPr>
                <w:rFonts w:ascii="宋体" w:hAnsi="宋体" w:eastAsia="宋体" w:cs="Times New Roman"/>
                <w:color w:val="auto"/>
                <w:szCs w:val="24"/>
                <w:highlight w:val="none"/>
              </w:rPr>
            </w:pPr>
          </w:p>
        </w:tc>
        <w:tc>
          <w:tcPr>
            <w:tcW w:w="649" w:type="dxa"/>
          </w:tcPr>
          <w:p w14:paraId="4EAD952B">
            <w:pPr>
              <w:wordWrap w:val="0"/>
              <w:topLinePunct/>
              <w:rPr>
                <w:rFonts w:ascii="宋体" w:hAnsi="宋体" w:eastAsia="宋体" w:cs="Times New Roman"/>
                <w:color w:val="auto"/>
                <w:szCs w:val="24"/>
                <w:highlight w:val="none"/>
              </w:rPr>
            </w:pPr>
          </w:p>
        </w:tc>
        <w:tc>
          <w:tcPr>
            <w:tcW w:w="748" w:type="dxa"/>
            <w:vAlign w:val="center"/>
          </w:tcPr>
          <w:p w14:paraId="74408183">
            <w:pPr>
              <w:wordWrap w:val="0"/>
              <w:topLinePunct/>
              <w:rPr>
                <w:rFonts w:ascii="宋体" w:hAnsi="宋体" w:eastAsia="宋体" w:cs="Times New Roman"/>
                <w:color w:val="auto"/>
                <w:szCs w:val="24"/>
                <w:highlight w:val="none"/>
              </w:rPr>
            </w:pPr>
          </w:p>
        </w:tc>
        <w:tc>
          <w:tcPr>
            <w:tcW w:w="990" w:type="dxa"/>
            <w:vAlign w:val="center"/>
          </w:tcPr>
          <w:p w14:paraId="69B57832">
            <w:pPr>
              <w:wordWrap w:val="0"/>
              <w:topLinePunct/>
              <w:rPr>
                <w:rFonts w:ascii="宋体" w:hAnsi="宋体" w:eastAsia="宋体" w:cs="Times New Roman"/>
                <w:color w:val="auto"/>
                <w:szCs w:val="24"/>
                <w:highlight w:val="none"/>
              </w:rPr>
            </w:pPr>
          </w:p>
        </w:tc>
        <w:tc>
          <w:tcPr>
            <w:tcW w:w="979" w:type="dxa"/>
            <w:vAlign w:val="center"/>
          </w:tcPr>
          <w:p w14:paraId="71D10EDF">
            <w:pPr>
              <w:wordWrap w:val="0"/>
              <w:topLinePunct/>
              <w:rPr>
                <w:rFonts w:ascii="宋体" w:hAnsi="宋体" w:eastAsia="宋体" w:cs="Times New Roman"/>
                <w:color w:val="auto"/>
                <w:szCs w:val="24"/>
                <w:highlight w:val="none"/>
              </w:rPr>
            </w:pPr>
          </w:p>
        </w:tc>
        <w:tc>
          <w:tcPr>
            <w:tcW w:w="1134" w:type="dxa"/>
            <w:vAlign w:val="center"/>
          </w:tcPr>
          <w:p w14:paraId="7C3472C0">
            <w:pPr>
              <w:wordWrap w:val="0"/>
              <w:topLinePunct/>
              <w:rPr>
                <w:rFonts w:ascii="宋体" w:hAnsi="宋体" w:eastAsia="宋体" w:cs="Times New Roman"/>
                <w:color w:val="auto"/>
                <w:szCs w:val="24"/>
                <w:highlight w:val="none"/>
              </w:rPr>
            </w:pPr>
          </w:p>
        </w:tc>
        <w:tc>
          <w:tcPr>
            <w:tcW w:w="1404" w:type="dxa"/>
            <w:vAlign w:val="center"/>
          </w:tcPr>
          <w:p w14:paraId="032325C4">
            <w:pPr>
              <w:wordWrap w:val="0"/>
              <w:topLinePunct/>
              <w:rPr>
                <w:rFonts w:ascii="宋体" w:hAnsi="宋体" w:eastAsia="宋体" w:cs="Times New Roman"/>
                <w:color w:val="auto"/>
                <w:szCs w:val="24"/>
                <w:highlight w:val="none"/>
              </w:rPr>
            </w:pPr>
          </w:p>
        </w:tc>
      </w:tr>
      <w:tr w14:paraId="10E72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55" w:type="dxa"/>
            <w:vAlign w:val="center"/>
          </w:tcPr>
          <w:p w14:paraId="3C82F632">
            <w:pPr>
              <w:jc w:val="left"/>
              <w:rPr>
                <w:rFonts w:ascii="宋体" w:hAnsi="宋体" w:eastAsia="宋体" w:cs="Times New Roman"/>
                <w:color w:val="auto"/>
                <w:szCs w:val="24"/>
                <w:highlight w:val="none"/>
              </w:rPr>
            </w:pPr>
            <w:r>
              <w:rPr>
                <w:rFonts w:hint="eastAsia" w:ascii="宋体" w:hAnsi="宋体" w:eastAsia="宋体" w:cs="宋体"/>
                <w:color w:val="auto"/>
                <w:szCs w:val="24"/>
                <w:highlight w:val="none"/>
              </w:rPr>
              <w:t>绿化专业设计人</w:t>
            </w:r>
          </w:p>
        </w:tc>
        <w:tc>
          <w:tcPr>
            <w:tcW w:w="769" w:type="dxa"/>
            <w:vAlign w:val="center"/>
          </w:tcPr>
          <w:p w14:paraId="072BB0C3">
            <w:pPr>
              <w:wordWrap w:val="0"/>
              <w:topLinePunct/>
              <w:rPr>
                <w:rFonts w:ascii="宋体" w:hAnsi="宋体" w:eastAsia="宋体" w:cs="Times New Roman"/>
                <w:color w:val="auto"/>
                <w:szCs w:val="24"/>
                <w:highlight w:val="none"/>
              </w:rPr>
            </w:pPr>
          </w:p>
        </w:tc>
        <w:tc>
          <w:tcPr>
            <w:tcW w:w="649" w:type="dxa"/>
          </w:tcPr>
          <w:p w14:paraId="3228DF17">
            <w:pPr>
              <w:wordWrap w:val="0"/>
              <w:topLinePunct/>
              <w:rPr>
                <w:rFonts w:ascii="宋体" w:hAnsi="宋体" w:eastAsia="宋体" w:cs="Times New Roman"/>
                <w:color w:val="auto"/>
                <w:szCs w:val="24"/>
                <w:highlight w:val="none"/>
              </w:rPr>
            </w:pPr>
          </w:p>
        </w:tc>
        <w:tc>
          <w:tcPr>
            <w:tcW w:w="748" w:type="dxa"/>
            <w:vAlign w:val="center"/>
          </w:tcPr>
          <w:p w14:paraId="65033C50">
            <w:pPr>
              <w:wordWrap w:val="0"/>
              <w:topLinePunct/>
              <w:rPr>
                <w:rFonts w:ascii="宋体" w:hAnsi="宋体" w:eastAsia="宋体" w:cs="Times New Roman"/>
                <w:color w:val="auto"/>
                <w:szCs w:val="24"/>
                <w:highlight w:val="none"/>
              </w:rPr>
            </w:pPr>
          </w:p>
        </w:tc>
        <w:tc>
          <w:tcPr>
            <w:tcW w:w="990" w:type="dxa"/>
            <w:vAlign w:val="center"/>
          </w:tcPr>
          <w:p w14:paraId="482DA36D">
            <w:pPr>
              <w:wordWrap w:val="0"/>
              <w:topLinePunct/>
              <w:rPr>
                <w:rFonts w:ascii="宋体" w:hAnsi="宋体" w:eastAsia="宋体" w:cs="Times New Roman"/>
                <w:color w:val="auto"/>
                <w:szCs w:val="24"/>
                <w:highlight w:val="none"/>
              </w:rPr>
            </w:pPr>
          </w:p>
        </w:tc>
        <w:tc>
          <w:tcPr>
            <w:tcW w:w="979" w:type="dxa"/>
            <w:vAlign w:val="center"/>
          </w:tcPr>
          <w:p w14:paraId="19E368B0">
            <w:pPr>
              <w:wordWrap w:val="0"/>
              <w:topLinePunct/>
              <w:rPr>
                <w:rFonts w:ascii="宋体" w:hAnsi="宋体" w:eastAsia="宋体" w:cs="Times New Roman"/>
                <w:color w:val="auto"/>
                <w:szCs w:val="24"/>
                <w:highlight w:val="none"/>
              </w:rPr>
            </w:pPr>
          </w:p>
        </w:tc>
        <w:tc>
          <w:tcPr>
            <w:tcW w:w="1134" w:type="dxa"/>
            <w:vAlign w:val="center"/>
          </w:tcPr>
          <w:p w14:paraId="4433E47B">
            <w:pPr>
              <w:wordWrap w:val="0"/>
              <w:topLinePunct/>
              <w:rPr>
                <w:rFonts w:ascii="宋体" w:hAnsi="宋体" w:eastAsia="宋体" w:cs="Times New Roman"/>
                <w:color w:val="auto"/>
                <w:szCs w:val="24"/>
                <w:highlight w:val="none"/>
              </w:rPr>
            </w:pPr>
          </w:p>
        </w:tc>
        <w:tc>
          <w:tcPr>
            <w:tcW w:w="1404" w:type="dxa"/>
            <w:vAlign w:val="center"/>
          </w:tcPr>
          <w:p w14:paraId="15D11389">
            <w:pPr>
              <w:wordWrap w:val="0"/>
              <w:topLinePunct/>
              <w:rPr>
                <w:rFonts w:ascii="宋体" w:hAnsi="宋体" w:eastAsia="宋体" w:cs="Times New Roman"/>
                <w:color w:val="auto"/>
                <w:szCs w:val="24"/>
                <w:highlight w:val="none"/>
              </w:rPr>
            </w:pPr>
          </w:p>
        </w:tc>
      </w:tr>
      <w:tr w14:paraId="26F97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55" w:type="dxa"/>
            <w:vAlign w:val="center"/>
          </w:tcPr>
          <w:p w14:paraId="0E0B3D35">
            <w:pPr>
              <w:jc w:val="left"/>
              <w:rPr>
                <w:rFonts w:ascii="宋体" w:hAnsi="宋体" w:eastAsia="宋体" w:cs="Times New Roman"/>
                <w:color w:val="auto"/>
                <w:szCs w:val="24"/>
                <w:highlight w:val="none"/>
              </w:rPr>
            </w:pPr>
            <w:r>
              <w:rPr>
                <w:rFonts w:hint="eastAsia" w:ascii="宋体" w:hAnsi="宋体" w:eastAsia="宋体" w:cs="宋体"/>
                <w:b/>
                <w:bCs/>
                <w:color w:val="auto"/>
                <w:szCs w:val="24"/>
                <w:highlight w:val="none"/>
              </w:rPr>
              <w:t>造价专业负责人</w:t>
            </w:r>
          </w:p>
        </w:tc>
        <w:tc>
          <w:tcPr>
            <w:tcW w:w="769" w:type="dxa"/>
            <w:vAlign w:val="center"/>
          </w:tcPr>
          <w:p w14:paraId="6037E1E2">
            <w:pPr>
              <w:wordWrap w:val="0"/>
              <w:topLinePunct/>
              <w:rPr>
                <w:rFonts w:ascii="宋体" w:hAnsi="宋体" w:eastAsia="宋体" w:cs="Times New Roman"/>
                <w:color w:val="auto"/>
                <w:szCs w:val="24"/>
                <w:highlight w:val="none"/>
              </w:rPr>
            </w:pPr>
          </w:p>
        </w:tc>
        <w:tc>
          <w:tcPr>
            <w:tcW w:w="649" w:type="dxa"/>
          </w:tcPr>
          <w:p w14:paraId="5AE18DD1">
            <w:pPr>
              <w:wordWrap w:val="0"/>
              <w:topLinePunct/>
              <w:rPr>
                <w:rFonts w:ascii="宋体" w:hAnsi="宋体" w:eastAsia="宋体" w:cs="Times New Roman"/>
                <w:color w:val="auto"/>
                <w:szCs w:val="24"/>
                <w:highlight w:val="none"/>
              </w:rPr>
            </w:pPr>
          </w:p>
        </w:tc>
        <w:tc>
          <w:tcPr>
            <w:tcW w:w="748" w:type="dxa"/>
            <w:vAlign w:val="center"/>
          </w:tcPr>
          <w:p w14:paraId="1A0A684A">
            <w:pPr>
              <w:wordWrap w:val="0"/>
              <w:topLinePunct/>
              <w:rPr>
                <w:rFonts w:ascii="宋体" w:hAnsi="宋体" w:eastAsia="宋体" w:cs="Times New Roman"/>
                <w:color w:val="auto"/>
                <w:szCs w:val="24"/>
                <w:highlight w:val="none"/>
              </w:rPr>
            </w:pPr>
          </w:p>
        </w:tc>
        <w:tc>
          <w:tcPr>
            <w:tcW w:w="990" w:type="dxa"/>
            <w:vAlign w:val="center"/>
          </w:tcPr>
          <w:p w14:paraId="1C4F9ECD">
            <w:pPr>
              <w:wordWrap w:val="0"/>
              <w:topLinePunct/>
              <w:rPr>
                <w:rFonts w:ascii="宋体" w:hAnsi="宋体" w:eastAsia="宋体" w:cs="Times New Roman"/>
                <w:color w:val="auto"/>
                <w:szCs w:val="24"/>
                <w:highlight w:val="none"/>
              </w:rPr>
            </w:pPr>
          </w:p>
        </w:tc>
        <w:tc>
          <w:tcPr>
            <w:tcW w:w="979" w:type="dxa"/>
            <w:vAlign w:val="center"/>
          </w:tcPr>
          <w:p w14:paraId="358BCFA0">
            <w:pPr>
              <w:wordWrap w:val="0"/>
              <w:topLinePunct/>
              <w:rPr>
                <w:rFonts w:ascii="宋体" w:hAnsi="宋体" w:eastAsia="宋体" w:cs="Times New Roman"/>
                <w:color w:val="auto"/>
                <w:szCs w:val="24"/>
                <w:highlight w:val="none"/>
              </w:rPr>
            </w:pPr>
          </w:p>
        </w:tc>
        <w:tc>
          <w:tcPr>
            <w:tcW w:w="1134" w:type="dxa"/>
            <w:vAlign w:val="center"/>
          </w:tcPr>
          <w:p w14:paraId="4FA90CF5">
            <w:pPr>
              <w:wordWrap w:val="0"/>
              <w:topLinePunct/>
              <w:rPr>
                <w:rFonts w:ascii="宋体" w:hAnsi="宋体" w:eastAsia="宋体" w:cs="Times New Roman"/>
                <w:color w:val="auto"/>
                <w:szCs w:val="24"/>
                <w:highlight w:val="none"/>
              </w:rPr>
            </w:pPr>
          </w:p>
        </w:tc>
        <w:tc>
          <w:tcPr>
            <w:tcW w:w="1404" w:type="dxa"/>
            <w:vAlign w:val="center"/>
          </w:tcPr>
          <w:p w14:paraId="2362F90F">
            <w:pPr>
              <w:wordWrap w:val="0"/>
              <w:topLinePunct/>
              <w:rPr>
                <w:rFonts w:ascii="宋体" w:hAnsi="宋体" w:eastAsia="宋体" w:cs="Times New Roman"/>
                <w:color w:val="auto"/>
                <w:szCs w:val="24"/>
                <w:highlight w:val="none"/>
              </w:rPr>
            </w:pPr>
          </w:p>
        </w:tc>
      </w:tr>
      <w:tr w14:paraId="44F92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55" w:type="dxa"/>
            <w:vAlign w:val="center"/>
          </w:tcPr>
          <w:p w14:paraId="4B5966A5">
            <w:pPr>
              <w:jc w:val="left"/>
              <w:rPr>
                <w:rFonts w:ascii="宋体" w:hAnsi="宋体" w:eastAsia="宋体" w:cs="Times New Roman"/>
                <w:color w:val="auto"/>
                <w:szCs w:val="24"/>
                <w:highlight w:val="none"/>
              </w:rPr>
            </w:pPr>
            <w:r>
              <w:rPr>
                <w:rFonts w:hint="eastAsia" w:ascii="宋体" w:hAnsi="宋体" w:eastAsia="宋体" w:cs="宋体"/>
                <w:color w:val="auto"/>
                <w:szCs w:val="24"/>
                <w:highlight w:val="none"/>
              </w:rPr>
              <w:t>造价专业编制人</w:t>
            </w:r>
          </w:p>
        </w:tc>
        <w:tc>
          <w:tcPr>
            <w:tcW w:w="769" w:type="dxa"/>
            <w:vAlign w:val="center"/>
          </w:tcPr>
          <w:p w14:paraId="3FC3ACDF">
            <w:pPr>
              <w:wordWrap w:val="0"/>
              <w:topLinePunct/>
              <w:rPr>
                <w:rFonts w:ascii="宋体" w:hAnsi="宋体" w:eastAsia="宋体" w:cs="Times New Roman"/>
                <w:color w:val="auto"/>
                <w:szCs w:val="24"/>
                <w:highlight w:val="none"/>
              </w:rPr>
            </w:pPr>
          </w:p>
        </w:tc>
        <w:tc>
          <w:tcPr>
            <w:tcW w:w="649" w:type="dxa"/>
          </w:tcPr>
          <w:p w14:paraId="50CBB430">
            <w:pPr>
              <w:wordWrap w:val="0"/>
              <w:topLinePunct/>
              <w:rPr>
                <w:rFonts w:ascii="宋体" w:hAnsi="宋体" w:eastAsia="宋体" w:cs="Times New Roman"/>
                <w:color w:val="auto"/>
                <w:szCs w:val="24"/>
                <w:highlight w:val="none"/>
              </w:rPr>
            </w:pPr>
          </w:p>
        </w:tc>
        <w:tc>
          <w:tcPr>
            <w:tcW w:w="748" w:type="dxa"/>
            <w:vAlign w:val="center"/>
          </w:tcPr>
          <w:p w14:paraId="31CC72B9">
            <w:pPr>
              <w:wordWrap w:val="0"/>
              <w:topLinePunct/>
              <w:rPr>
                <w:rFonts w:ascii="宋体" w:hAnsi="宋体" w:eastAsia="宋体" w:cs="Times New Roman"/>
                <w:color w:val="auto"/>
                <w:szCs w:val="24"/>
                <w:highlight w:val="none"/>
              </w:rPr>
            </w:pPr>
          </w:p>
        </w:tc>
        <w:tc>
          <w:tcPr>
            <w:tcW w:w="990" w:type="dxa"/>
            <w:vAlign w:val="center"/>
          </w:tcPr>
          <w:p w14:paraId="0B5A0285">
            <w:pPr>
              <w:wordWrap w:val="0"/>
              <w:topLinePunct/>
              <w:rPr>
                <w:rFonts w:ascii="宋体" w:hAnsi="宋体" w:eastAsia="宋体" w:cs="Times New Roman"/>
                <w:color w:val="auto"/>
                <w:szCs w:val="24"/>
                <w:highlight w:val="none"/>
              </w:rPr>
            </w:pPr>
          </w:p>
        </w:tc>
        <w:tc>
          <w:tcPr>
            <w:tcW w:w="979" w:type="dxa"/>
            <w:vAlign w:val="center"/>
          </w:tcPr>
          <w:p w14:paraId="171F5D98">
            <w:pPr>
              <w:wordWrap w:val="0"/>
              <w:topLinePunct/>
              <w:rPr>
                <w:rFonts w:ascii="宋体" w:hAnsi="宋体" w:eastAsia="宋体" w:cs="Times New Roman"/>
                <w:color w:val="auto"/>
                <w:szCs w:val="24"/>
                <w:highlight w:val="none"/>
              </w:rPr>
            </w:pPr>
          </w:p>
        </w:tc>
        <w:tc>
          <w:tcPr>
            <w:tcW w:w="1134" w:type="dxa"/>
            <w:vAlign w:val="center"/>
          </w:tcPr>
          <w:p w14:paraId="29564951">
            <w:pPr>
              <w:wordWrap w:val="0"/>
              <w:topLinePunct/>
              <w:rPr>
                <w:rFonts w:ascii="宋体" w:hAnsi="宋体" w:eastAsia="宋体" w:cs="Times New Roman"/>
                <w:color w:val="auto"/>
                <w:szCs w:val="24"/>
                <w:highlight w:val="none"/>
              </w:rPr>
            </w:pPr>
          </w:p>
        </w:tc>
        <w:tc>
          <w:tcPr>
            <w:tcW w:w="1404" w:type="dxa"/>
            <w:vAlign w:val="center"/>
          </w:tcPr>
          <w:p w14:paraId="6E476BA2">
            <w:pPr>
              <w:wordWrap w:val="0"/>
              <w:topLinePunct/>
              <w:rPr>
                <w:rFonts w:ascii="宋体" w:hAnsi="宋体" w:eastAsia="宋体" w:cs="Times New Roman"/>
                <w:color w:val="auto"/>
                <w:szCs w:val="24"/>
                <w:highlight w:val="none"/>
              </w:rPr>
            </w:pPr>
          </w:p>
        </w:tc>
      </w:tr>
      <w:tr w14:paraId="2E6E2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55" w:type="dxa"/>
            <w:vAlign w:val="center"/>
          </w:tcPr>
          <w:p w14:paraId="24D11D49">
            <w:pPr>
              <w:jc w:val="left"/>
              <w:rPr>
                <w:rFonts w:ascii="宋体" w:hAnsi="宋体" w:eastAsia="宋体" w:cs="Times New Roman"/>
                <w:color w:val="auto"/>
                <w:szCs w:val="24"/>
                <w:highlight w:val="none"/>
              </w:rPr>
            </w:pPr>
            <w:r>
              <w:rPr>
                <w:rFonts w:hint="eastAsia" w:ascii="宋体" w:hAnsi="宋体" w:eastAsia="宋体" w:cs="宋体"/>
                <w:b/>
                <w:bCs/>
                <w:color w:val="auto"/>
                <w:szCs w:val="24"/>
                <w:highlight w:val="none"/>
              </w:rPr>
              <w:t>勘察专业负责人</w:t>
            </w:r>
          </w:p>
        </w:tc>
        <w:tc>
          <w:tcPr>
            <w:tcW w:w="769" w:type="dxa"/>
            <w:vAlign w:val="center"/>
          </w:tcPr>
          <w:p w14:paraId="055D49B2">
            <w:pPr>
              <w:wordWrap w:val="0"/>
              <w:topLinePunct/>
              <w:rPr>
                <w:rFonts w:ascii="宋体" w:hAnsi="宋体" w:eastAsia="宋体" w:cs="Times New Roman"/>
                <w:color w:val="auto"/>
                <w:szCs w:val="24"/>
                <w:highlight w:val="none"/>
              </w:rPr>
            </w:pPr>
          </w:p>
        </w:tc>
        <w:tc>
          <w:tcPr>
            <w:tcW w:w="649" w:type="dxa"/>
          </w:tcPr>
          <w:p w14:paraId="66E0F2C6">
            <w:pPr>
              <w:wordWrap w:val="0"/>
              <w:topLinePunct/>
              <w:rPr>
                <w:rFonts w:ascii="宋体" w:hAnsi="宋体" w:eastAsia="宋体" w:cs="Times New Roman"/>
                <w:color w:val="auto"/>
                <w:szCs w:val="24"/>
                <w:highlight w:val="none"/>
              </w:rPr>
            </w:pPr>
          </w:p>
        </w:tc>
        <w:tc>
          <w:tcPr>
            <w:tcW w:w="748" w:type="dxa"/>
            <w:vAlign w:val="center"/>
          </w:tcPr>
          <w:p w14:paraId="5ECE9036">
            <w:pPr>
              <w:wordWrap w:val="0"/>
              <w:topLinePunct/>
              <w:rPr>
                <w:rFonts w:ascii="宋体" w:hAnsi="宋体" w:eastAsia="宋体" w:cs="Times New Roman"/>
                <w:color w:val="auto"/>
                <w:szCs w:val="24"/>
                <w:highlight w:val="none"/>
              </w:rPr>
            </w:pPr>
          </w:p>
        </w:tc>
        <w:tc>
          <w:tcPr>
            <w:tcW w:w="990" w:type="dxa"/>
            <w:vAlign w:val="center"/>
          </w:tcPr>
          <w:p w14:paraId="357F523E">
            <w:pPr>
              <w:wordWrap w:val="0"/>
              <w:topLinePunct/>
              <w:rPr>
                <w:rFonts w:ascii="宋体" w:hAnsi="宋体" w:eastAsia="宋体" w:cs="Times New Roman"/>
                <w:color w:val="auto"/>
                <w:szCs w:val="24"/>
                <w:highlight w:val="none"/>
              </w:rPr>
            </w:pPr>
          </w:p>
        </w:tc>
        <w:tc>
          <w:tcPr>
            <w:tcW w:w="979" w:type="dxa"/>
            <w:vAlign w:val="center"/>
          </w:tcPr>
          <w:p w14:paraId="7082DA34">
            <w:pPr>
              <w:wordWrap w:val="0"/>
              <w:topLinePunct/>
              <w:rPr>
                <w:rFonts w:ascii="宋体" w:hAnsi="宋体" w:eastAsia="宋体" w:cs="Times New Roman"/>
                <w:color w:val="auto"/>
                <w:szCs w:val="24"/>
                <w:highlight w:val="none"/>
              </w:rPr>
            </w:pPr>
          </w:p>
        </w:tc>
        <w:tc>
          <w:tcPr>
            <w:tcW w:w="1134" w:type="dxa"/>
            <w:vAlign w:val="center"/>
          </w:tcPr>
          <w:p w14:paraId="66F9FA3E">
            <w:pPr>
              <w:wordWrap w:val="0"/>
              <w:topLinePunct/>
              <w:rPr>
                <w:rFonts w:ascii="宋体" w:hAnsi="宋体" w:eastAsia="宋体" w:cs="Times New Roman"/>
                <w:color w:val="auto"/>
                <w:szCs w:val="24"/>
                <w:highlight w:val="none"/>
              </w:rPr>
            </w:pPr>
          </w:p>
        </w:tc>
        <w:tc>
          <w:tcPr>
            <w:tcW w:w="1404" w:type="dxa"/>
            <w:vAlign w:val="center"/>
          </w:tcPr>
          <w:p w14:paraId="1F021862">
            <w:pPr>
              <w:wordWrap w:val="0"/>
              <w:topLinePunct/>
              <w:rPr>
                <w:rFonts w:ascii="宋体" w:hAnsi="宋体" w:eastAsia="宋体" w:cs="Times New Roman"/>
                <w:color w:val="auto"/>
                <w:szCs w:val="24"/>
                <w:highlight w:val="none"/>
              </w:rPr>
            </w:pPr>
          </w:p>
        </w:tc>
      </w:tr>
      <w:tr w14:paraId="3BDFC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55" w:type="dxa"/>
            <w:vAlign w:val="center"/>
          </w:tcPr>
          <w:p w14:paraId="52846F41">
            <w:pPr>
              <w:jc w:val="left"/>
              <w:rPr>
                <w:rFonts w:ascii="宋体" w:hAnsi="宋体" w:eastAsia="宋体" w:cs="Times New Roman"/>
                <w:color w:val="auto"/>
                <w:szCs w:val="24"/>
                <w:highlight w:val="none"/>
              </w:rPr>
            </w:pPr>
            <w:r>
              <w:rPr>
                <w:rFonts w:hint="eastAsia" w:ascii="宋体" w:hAnsi="宋体" w:eastAsia="宋体" w:cs="宋体"/>
                <w:color w:val="auto"/>
                <w:szCs w:val="24"/>
                <w:highlight w:val="none"/>
              </w:rPr>
              <w:t>勘察专业技术人员</w:t>
            </w:r>
          </w:p>
        </w:tc>
        <w:tc>
          <w:tcPr>
            <w:tcW w:w="769" w:type="dxa"/>
            <w:vAlign w:val="center"/>
          </w:tcPr>
          <w:p w14:paraId="3DACEF79">
            <w:pPr>
              <w:wordWrap w:val="0"/>
              <w:topLinePunct/>
              <w:rPr>
                <w:rFonts w:ascii="宋体" w:hAnsi="宋体" w:eastAsia="宋体" w:cs="Times New Roman"/>
                <w:color w:val="auto"/>
                <w:szCs w:val="24"/>
                <w:highlight w:val="none"/>
              </w:rPr>
            </w:pPr>
          </w:p>
        </w:tc>
        <w:tc>
          <w:tcPr>
            <w:tcW w:w="649" w:type="dxa"/>
          </w:tcPr>
          <w:p w14:paraId="2E6BCD26">
            <w:pPr>
              <w:wordWrap w:val="0"/>
              <w:topLinePunct/>
              <w:rPr>
                <w:rFonts w:ascii="宋体" w:hAnsi="宋体" w:eastAsia="宋体" w:cs="Times New Roman"/>
                <w:color w:val="auto"/>
                <w:szCs w:val="24"/>
                <w:highlight w:val="none"/>
              </w:rPr>
            </w:pPr>
          </w:p>
        </w:tc>
        <w:tc>
          <w:tcPr>
            <w:tcW w:w="748" w:type="dxa"/>
            <w:vAlign w:val="center"/>
          </w:tcPr>
          <w:p w14:paraId="78A9FCA0">
            <w:pPr>
              <w:wordWrap w:val="0"/>
              <w:topLinePunct/>
              <w:rPr>
                <w:rFonts w:ascii="宋体" w:hAnsi="宋体" w:eastAsia="宋体" w:cs="Times New Roman"/>
                <w:color w:val="auto"/>
                <w:szCs w:val="24"/>
                <w:highlight w:val="none"/>
              </w:rPr>
            </w:pPr>
          </w:p>
        </w:tc>
        <w:tc>
          <w:tcPr>
            <w:tcW w:w="990" w:type="dxa"/>
            <w:vAlign w:val="center"/>
          </w:tcPr>
          <w:p w14:paraId="2C4D6D74">
            <w:pPr>
              <w:wordWrap w:val="0"/>
              <w:topLinePunct/>
              <w:rPr>
                <w:rFonts w:ascii="宋体" w:hAnsi="宋体" w:eastAsia="宋体" w:cs="Times New Roman"/>
                <w:color w:val="auto"/>
                <w:szCs w:val="24"/>
                <w:highlight w:val="none"/>
              </w:rPr>
            </w:pPr>
          </w:p>
        </w:tc>
        <w:tc>
          <w:tcPr>
            <w:tcW w:w="979" w:type="dxa"/>
            <w:vAlign w:val="center"/>
          </w:tcPr>
          <w:p w14:paraId="316CC133">
            <w:pPr>
              <w:wordWrap w:val="0"/>
              <w:topLinePunct/>
              <w:rPr>
                <w:rFonts w:ascii="宋体" w:hAnsi="宋体" w:eastAsia="宋体" w:cs="Times New Roman"/>
                <w:color w:val="auto"/>
                <w:szCs w:val="24"/>
                <w:highlight w:val="none"/>
              </w:rPr>
            </w:pPr>
          </w:p>
        </w:tc>
        <w:tc>
          <w:tcPr>
            <w:tcW w:w="1134" w:type="dxa"/>
            <w:vAlign w:val="center"/>
          </w:tcPr>
          <w:p w14:paraId="343C9500">
            <w:pPr>
              <w:wordWrap w:val="0"/>
              <w:topLinePunct/>
              <w:rPr>
                <w:rFonts w:ascii="宋体" w:hAnsi="宋体" w:eastAsia="宋体" w:cs="Times New Roman"/>
                <w:color w:val="auto"/>
                <w:szCs w:val="24"/>
                <w:highlight w:val="none"/>
              </w:rPr>
            </w:pPr>
          </w:p>
        </w:tc>
        <w:tc>
          <w:tcPr>
            <w:tcW w:w="1404" w:type="dxa"/>
            <w:vAlign w:val="center"/>
          </w:tcPr>
          <w:p w14:paraId="132CE1D1">
            <w:pPr>
              <w:wordWrap w:val="0"/>
              <w:topLinePunct/>
              <w:rPr>
                <w:rFonts w:ascii="宋体" w:hAnsi="宋体" w:eastAsia="宋体" w:cs="Times New Roman"/>
                <w:color w:val="auto"/>
                <w:szCs w:val="24"/>
                <w:highlight w:val="none"/>
              </w:rPr>
            </w:pPr>
          </w:p>
        </w:tc>
      </w:tr>
      <w:tr w14:paraId="67DA2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55" w:type="dxa"/>
            <w:vAlign w:val="center"/>
          </w:tcPr>
          <w:p w14:paraId="12E11334">
            <w:pPr>
              <w:jc w:val="left"/>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w:t>
            </w:r>
          </w:p>
        </w:tc>
        <w:tc>
          <w:tcPr>
            <w:tcW w:w="769" w:type="dxa"/>
            <w:vAlign w:val="center"/>
          </w:tcPr>
          <w:p w14:paraId="5FAA7613">
            <w:pPr>
              <w:wordWrap w:val="0"/>
              <w:topLinePunct/>
              <w:rPr>
                <w:rFonts w:ascii="宋体" w:hAnsi="宋体" w:eastAsia="宋体" w:cs="Times New Roman"/>
                <w:color w:val="auto"/>
                <w:szCs w:val="24"/>
                <w:highlight w:val="none"/>
              </w:rPr>
            </w:pPr>
          </w:p>
        </w:tc>
        <w:tc>
          <w:tcPr>
            <w:tcW w:w="649" w:type="dxa"/>
          </w:tcPr>
          <w:p w14:paraId="29809BFB">
            <w:pPr>
              <w:wordWrap w:val="0"/>
              <w:topLinePunct/>
              <w:rPr>
                <w:rFonts w:ascii="宋体" w:hAnsi="宋体" w:eastAsia="宋体" w:cs="Times New Roman"/>
                <w:color w:val="auto"/>
                <w:szCs w:val="24"/>
                <w:highlight w:val="none"/>
              </w:rPr>
            </w:pPr>
          </w:p>
        </w:tc>
        <w:tc>
          <w:tcPr>
            <w:tcW w:w="748" w:type="dxa"/>
            <w:vAlign w:val="center"/>
          </w:tcPr>
          <w:p w14:paraId="45ECC74C">
            <w:pPr>
              <w:wordWrap w:val="0"/>
              <w:topLinePunct/>
              <w:rPr>
                <w:rFonts w:ascii="宋体" w:hAnsi="宋体" w:eastAsia="宋体" w:cs="Times New Roman"/>
                <w:color w:val="auto"/>
                <w:szCs w:val="24"/>
                <w:highlight w:val="none"/>
              </w:rPr>
            </w:pPr>
          </w:p>
        </w:tc>
        <w:tc>
          <w:tcPr>
            <w:tcW w:w="990" w:type="dxa"/>
            <w:vAlign w:val="center"/>
          </w:tcPr>
          <w:p w14:paraId="27A683A8">
            <w:pPr>
              <w:wordWrap w:val="0"/>
              <w:topLinePunct/>
              <w:rPr>
                <w:rFonts w:ascii="宋体" w:hAnsi="宋体" w:eastAsia="宋体" w:cs="Times New Roman"/>
                <w:color w:val="auto"/>
                <w:szCs w:val="24"/>
                <w:highlight w:val="none"/>
              </w:rPr>
            </w:pPr>
          </w:p>
        </w:tc>
        <w:tc>
          <w:tcPr>
            <w:tcW w:w="979" w:type="dxa"/>
            <w:vAlign w:val="center"/>
          </w:tcPr>
          <w:p w14:paraId="3A157DBA">
            <w:pPr>
              <w:wordWrap w:val="0"/>
              <w:topLinePunct/>
              <w:rPr>
                <w:rFonts w:ascii="宋体" w:hAnsi="宋体" w:eastAsia="宋体" w:cs="Times New Roman"/>
                <w:color w:val="auto"/>
                <w:szCs w:val="24"/>
                <w:highlight w:val="none"/>
              </w:rPr>
            </w:pPr>
          </w:p>
        </w:tc>
        <w:tc>
          <w:tcPr>
            <w:tcW w:w="1134" w:type="dxa"/>
            <w:vAlign w:val="center"/>
          </w:tcPr>
          <w:p w14:paraId="65851D2A">
            <w:pPr>
              <w:wordWrap w:val="0"/>
              <w:topLinePunct/>
              <w:rPr>
                <w:rFonts w:ascii="宋体" w:hAnsi="宋体" w:eastAsia="宋体" w:cs="Times New Roman"/>
                <w:color w:val="auto"/>
                <w:szCs w:val="24"/>
                <w:highlight w:val="none"/>
              </w:rPr>
            </w:pPr>
          </w:p>
        </w:tc>
        <w:tc>
          <w:tcPr>
            <w:tcW w:w="1404" w:type="dxa"/>
            <w:vAlign w:val="center"/>
          </w:tcPr>
          <w:p w14:paraId="3EBCB0DF">
            <w:pPr>
              <w:wordWrap w:val="0"/>
              <w:topLinePunct/>
              <w:rPr>
                <w:rFonts w:ascii="宋体" w:hAnsi="宋体" w:eastAsia="宋体" w:cs="Times New Roman"/>
                <w:color w:val="auto"/>
                <w:szCs w:val="24"/>
                <w:highlight w:val="none"/>
              </w:rPr>
            </w:pPr>
          </w:p>
        </w:tc>
      </w:tr>
    </w:tbl>
    <w:p w14:paraId="36560175">
      <w:pPr>
        <w:wordWrap w:val="0"/>
        <w:topLinePunct/>
        <w:spacing w:line="360" w:lineRule="auto"/>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注：①投标人应根据招标文件要求和招标项目的实际需要，列出项目负责人及各专业负责人。</w:t>
      </w:r>
    </w:p>
    <w:p w14:paraId="1C82C198">
      <w:pPr>
        <w:wordWrap w:val="0"/>
        <w:topLinePunct/>
        <w:spacing w:line="360" w:lineRule="auto"/>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②投标人应按本表所列的项目负责人和各专业负责人填写资历表。</w:t>
      </w:r>
    </w:p>
    <w:p w14:paraId="5F49A0C2">
      <w:pPr>
        <w:wordWrap w:val="0"/>
        <w:topLinePunct/>
        <w:spacing w:line="360" w:lineRule="auto"/>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③投标人拟投入的人员应为本单位人员</w:t>
      </w:r>
      <w:r>
        <w:rPr>
          <w:rFonts w:hint="eastAsia" w:ascii="宋体" w:hAnsi="宋体" w:eastAsia="宋体" w:cs="Times New Roman"/>
          <w:color w:val="auto"/>
          <w:szCs w:val="21"/>
          <w:highlight w:val="none"/>
          <w:lang w:val="zh-CN"/>
        </w:rPr>
        <w:t>（</w:t>
      </w:r>
      <w:r>
        <w:rPr>
          <w:rFonts w:hint="eastAsia" w:ascii="宋体" w:hAnsi="宋体" w:eastAsia="宋体" w:cs="Times New Roman"/>
          <w:color w:val="auto"/>
          <w:szCs w:val="21"/>
          <w:highlight w:val="none"/>
        </w:rPr>
        <w:t>若为联合体，勘察专业负责人、勘察专业技术人员由联合体共同投标协议中承担</w:t>
      </w:r>
      <w:r>
        <w:rPr>
          <w:rFonts w:hint="eastAsia" w:ascii="宋体" w:hAnsi="宋体"/>
          <w:color w:val="auto"/>
          <w:szCs w:val="21"/>
          <w:highlight w:val="none"/>
        </w:rPr>
        <w:t>全部或主要</w:t>
      </w:r>
      <w:r>
        <w:rPr>
          <w:rFonts w:hint="eastAsia" w:ascii="宋体" w:hAnsi="宋体" w:eastAsia="宋体" w:cs="Times New Roman"/>
          <w:color w:val="auto"/>
          <w:szCs w:val="21"/>
          <w:highlight w:val="none"/>
        </w:rPr>
        <w:t>勘察工作的联合体成员提供，项目负责人由主办方提供，其余人员由承担设计工作的联合体各方提供</w:t>
      </w:r>
      <w:r>
        <w:rPr>
          <w:rFonts w:hint="eastAsia" w:ascii="宋体" w:hAnsi="宋体" w:eastAsia="宋体" w:cs="Times New Roman"/>
          <w:color w:val="auto"/>
          <w:szCs w:val="21"/>
          <w:highlight w:val="none"/>
          <w:lang w:val="zh-CN"/>
        </w:rPr>
        <w:t>）</w:t>
      </w:r>
      <w:r>
        <w:rPr>
          <w:rFonts w:hint="eastAsia" w:ascii="宋体" w:hAnsi="宋体" w:eastAsia="宋体" w:cs="Times New Roman"/>
          <w:color w:val="auto"/>
          <w:szCs w:val="21"/>
          <w:highlight w:val="none"/>
        </w:rPr>
        <w:t>，并提供本表所列人员</w:t>
      </w:r>
      <w:r>
        <w:rPr>
          <w:rFonts w:hint="eastAsia" w:ascii="宋体" w:hAnsi="宋体" w:eastAsia="宋体" w:cs="Times New Roman"/>
          <w:color w:val="auto"/>
          <w:szCs w:val="21"/>
          <w:highlight w:val="none"/>
          <w:lang w:val="zh-CN"/>
        </w:rPr>
        <w:t>参保</w:t>
      </w:r>
      <w:r>
        <w:rPr>
          <w:rFonts w:hint="eastAsia" w:ascii="宋体" w:hAnsi="宋体" w:eastAsia="宋体" w:cs="Times New Roman"/>
          <w:color w:val="auto"/>
          <w:szCs w:val="21"/>
          <w:highlight w:val="none"/>
        </w:rPr>
        <w:t>社保证（含分公司或分支机构社保缴纳记录)。</w:t>
      </w:r>
    </w:p>
    <w:p w14:paraId="26A929B0">
      <w:pPr>
        <w:spacing w:line="360" w:lineRule="auto"/>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④资格条件含职称、注册资格。</w:t>
      </w:r>
    </w:p>
    <w:p w14:paraId="1FE82A9D">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14:paraId="28B790AB">
      <w:pPr>
        <w:autoSpaceDE w:val="0"/>
        <w:autoSpaceDN w:val="0"/>
        <w:adjustRightInd w:val="0"/>
        <w:spacing w:line="276" w:lineRule="auto"/>
        <w:ind w:left="284" w:hanging="284"/>
        <w:jc w:val="left"/>
        <w:outlineLvl w:val="4"/>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（2）项目负责资历表</w:t>
      </w:r>
    </w:p>
    <w:tbl>
      <w:tblPr>
        <w:tblStyle w:val="46"/>
        <w:tblW w:w="0" w:type="auto"/>
        <w:jc w:val="center"/>
        <w:tblCellSpacing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60" w:type="dxa"/>
          <w:left w:w="60" w:type="dxa"/>
          <w:bottom w:w="60" w:type="dxa"/>
          <w:right w:w="60" w:type="dxa"/>
        </w:tblCellMar>
      </w:tblPr>
      <w:tblGrid>
        <w:gridCol w:w="1007"/>
        <w:gridCol w:w="1860"/>
        <w:gridCol w:w="759"/>
        <w:gridCol w:w="760"/>
        <w:gridCol w:w="171"/>
        <w:gridCol w:w="1181"/>
        <w:gridCol w:w="931"/>
        <w:gridCol w:w="1780"/>
      </w:tblGrid>
      <w:tr w14:paraId="6C6285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60" w:type="dxa"/>
            <w:left w:w="60" w:type="dxa"/>
            <w:bottom w:w="60" w:type="dxa"/>
            <w:right w:w="60" w:type="dxa"/>
          </w:tblCellMar>
        </w:tblPrEx>
        <w:trPr>
          <w:trHeight w:val="720" w:hRule="atLeast"/>
          <w:tblCellSpacing w:w="0" w:type="dxa"/>
          <w:jc w:val="center"/>
        </w:trPr>
        <w:tc>
          <w:tcPr>
            <w:tcW w:w="1007" w:type="dxa"/>
            <w:vAlign w:val="center"/>
          </w:tcPr>
          <w:p w14:paraId="2535BC7A">
            <w:pPr>
              <w:widowControl/>
              <w:spacing w:before="120" w:beforeLines="50" w:after="120" w:afterLines="50" w:line="360" w:lineRule="auto"/>
              <w:jc w:val="center"/>
              <w:rPr>
                <w:rFonts w:ascii="宋体" w:hAnsi="宋体" w:eastAsia="宋体" w:cs="Times New Roman"/>
                <w:color w:val="auto"/>
                <w:kern w:val="0"/>
                <w:sz w:val="22"/>
                <w:highlight w:val="none"/>
              </w:rPr>
            </w:pPr>
            <w:r>
              <w:rPr>
                <w:rFonts w:hint="eastAsia" w:ascii="宋体" w:hAnsi="宋体" w:eastAsia="宋体" w:cs="Times New Roman"/>
                <w:color w:val="auto"/>
                <w:kern w:val="0"/>
                <w:sz w:val="22"/>
                <w:highlight w:val="none"/>
              </w:rPr>
              <w:t>姓名</w:t>
            </w:r>
          </w:p>
        </w:tc>
        <w:tc>
          <w:tcPr>
            <w:tcW w:w="1860" w:type="dxa"/>
            <w:vAlign w:val="center"/>
          </w:tcPr>
          <w:p w14:paraId="198C4B52">
            <w:pPr>
              <w:widowControl/>
              <w:spacing w:before="120" w:beforeLines="50" w:after="120" w:afterLines="50" w:line="360" w:lineRule="auto"/>
              <w:jc w:val="center"/>
              <w:rPr>
                <w:rFonts w:ascii="宋体" w:hAnsi="宋体" w:eastAsia="宋体" w:cs="Times New Roman"/>
                <w:color w:val="auto"/>
                <w:kern w:val="0"/>
                <w:sz w:val="22"/>
                <w:highlight w:val="none"/>
              </w:rPr>
            </w:pPr>
          </w:p>
        </w:tc>
        <w:tc>
          <w:tcPr>
            <w:tcW w:w="759" w:type="dxa"/>
            <w:vAlign w:val="center"/>
          </w:tcPr>
          <w:p w14:paraId="363248B4">
            <w:pPr>
              <w:widowControl/>
              <w:spacing w:before="120" w:beforeLines="50" w:after="120" w:afterLines="50" w:line="360" w:lineRule="auto"/>
              <w:jc w:val="center"/>
              <w:rPr>
                <w:rFonts w:ascii="宋体" w:hAnsi="宋体" w:eastAsia="宋体" w:cs="Times New Roman"/>
                <w:color w:val="auto"/>
                <w:kern w:val="0"/>
                <w:sz w:val="22"/>
                <w:highlight w:val="none"/>
              </w:rPr>
            </w:pPr>
            <w:r>
              <w:rPr>
                <w:rFonts w:hint="eastAsia" w:ascii="宋体" w:hAnsi="宋体" w:eastAsia="宋体" w:cs="Times New Roman"/>
                <w:color w:val="auto"/>
                <w:kern w:val="0"/>
                <w:sz w:val="22"/>
                <w:highlight w:val="none"/>
              </w:rPr>
              <w:t>性别</w:t>
            </w:r>
          </w:p>
        </w:tc>
        <w:tc>
          <w:tcPr>
            <w:tcW w:w="2112" w:type="dxa"/>
            <w:gridSpan w:val="3"/>
            <w:vAlign w:val="center"/>
          </w:tcPr>
          <w:p w14:paraId="421BF8E8">
            <w:pPr>
              <w:widowControl/>
              <w:spacing w:before="120" w:beforeLines="50" w:after="120" w:afterLines="50" w:line="360" w:lineRule="auto"/>
              <w:jc w:val="center"/>
              <w:rPr>
                <w:rFonts w:ascii="宋体" w:hAnsi="宋体" w:eastAsia="宋体" w:cs="Times New Roman"/>
                <w:color w:val="auto"/>
                <w:kern w:val="0"/>
                <w:sz w:val="22"/>
                <w:highlight w:val="none"/>
              </w:rPr>
            </w:pPr>
          </w:p>
        </w:tc>
        <w:tc>
          <w:tcPr>
            <w:tcW w:w="931" w:type="dxa"/>
            <w:vAlign w:val="center"/>
          </w:tcPr>
          <w:p w14:paraId="4628BC1D">
            <w:pPr>
              <w:widowControl/>
              <w:spacing w:before="120" w:beforeLines="50" w:after="120" w:afterLines="50" w:line="360" w:lineRule="auto"/>
              <w:jc w:val="center"/>
              <w:rPr>
                <w:rFonts w:ascii="宋体" w:hAnsi="宋体" w:eastAsia="宋体" w:cs="Times New Roman"/>
                <w:color w:val="auto"/>
                <w:kern w:val="0"/>
                <w:sz w:val="22"/>
                <w:highlight w:val="none"/>
              </w:rPr>
            </w:pPr>
            <w:r>
              <w:rPr>
                <w:rFonts w:hint="eastAsia" w:ascii="宋体" w:hAnsi="宋体" w:eastAsia="宋体" w:cs="Times New Roman"/>
                <w:color w:val="auto"/>
                <w:kern w:val="0"/>
                <w:sz w:val="22"/>
                <w:highlight w:val="none"/>
              </w:rPr>
              <w:t>年龄</w:t>
            </w:r>
          </w:p>
        </w:tc>
        <w:tc>
          <w:tcPr>
            <w:tcW w:w="1780" w:type="dxa"/>
            <w:vAlign w:val="center"/>
          </w:tcPr>
          <w:p w14:paraId="23C58A97">
            <w:pPr>
              <w:widowControl/>
              <w:spacing w:before="120" w:beforeLines="50" w:after="120" w:afterLines="50" w:line="360" w:lineRule="auto"/>
              <w:jc w:val="center"/>
              <w:rPr>
                <w:rFonts w:ascii="宋体" w:hAnsi="宋体" w:eastAsia="宋体" w:cs="Times New Roman"/>
                <w:color w:val="auto"/>
                <w:kern w:val="0"/>
                <w:sz w:val="22"/>
                <w:highlight w:val="none"/>
              </w:rPr>
            </w:pPr>
          </w:p>
        </w:tc>
      </w:tr>
      <w:tr w14:paraId="10ACF9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60" w:type="dxa"/>
            <w:left w:w="60" w:type="dxa"/>
            <w:bottom w:w="60" w:type="dxa"/>
            <w:right w:w="60" w:type="dxa"/>
          </w:tblCellMar>
        </w:tblPrEx>
        <w:trPr>
          <w:trHeight w:val="735" w:hRule="atLeast"/>
          <w:tblCellSpacing w:w="0" w:type="dxa"/>
          <w:jc w:val="center"/>
        </w:trPr>
        <w:tc>
          <w:tcPr>
            <w:tcW w:w="1007" w:type="dxa"/>
            <w:vAlign w:val="center"/>
          </w:tcPr>
          <w:p w14:paraId="1AA7126E">
            <w:pPr>
              <w:widowControl/>
              <w:spacing w:before="120" w:beforeLines="50" w:after="120" w:afterLines="50" w:line="360" w:lineRule="auto"/>
              <w:jc w:val="center"/>
              <w:rPr>
                <w:rFonts w:ascii="宋体" w:hAnsi="宋体" w:eastAsia="宋体" w:cs="Times New Roman"/>
                <w:color w:val="auto"/>
                <w:kern w:val="0"/>
                <w:sz w:val="22"/>
                <w:highlight w:val="none"/>
              </w:rPr>
            </w:pPr>
            <w:r>
              <w:rPr>
                <w:rFonts w:hint="eastAsia" w:ascii="宋体" w:hAnsi="宋体" w:eastAsia="宋体" w:cs="Times New Roman"/>
                <w:color w:val="auto"/>
                <w:kern w:val="0"/>
                <w:sz w:val="22"/>
                <w:highlight w:val="none"/>
              </w:rPr>
              <w:t>职务</w:t>
            </w:r>
          </w:p>
        </w:tc>
        <w:tc>
          <w:tcPr>
            <w:tcW w:w="1860" w:type="dxa"/>
            <w:vAlign w:val="center"/>
          </w:tcPr>
          <w:p w14:paraId="167AC487">
            <w:pPr>
              <w:widowControl/>
              <w:spacing w:before="120" w:beforeLines="50" w:after="120" w:afterLines="50" w:line="360" w:lineRule="auto"/>
              <w:jc w:val="center"/>
              <w:rPr>
                <w:rFonts w:ascii="宋体" w:hAnsi="宋体" w:eastAsia="宋体" w:cs="Times New Roman"/>
                <w:color w:val="auto"/>
                <w:kern w:val="0"/>
                <w:sz w:val="22"/>
                <w:highlight w:val="none"/>
              </w:rPr>
            </w:pPr>
          </w:p>
        </w:tc>
        <w:tc>
          <w:tcPr>
            <w:tcW w:w="759" w:type="dxa"/>
            <w:vAlign w:val="center"/>
          </w:tcPr>
          <w:p w14:paraId="7ED23C37">
            <w:pPr>
              <w:widowControl/>
              <w:spacing w:before="120" w:beforeLines="50" w:after="120" w:afterLines="50" w:line="360" w:lineRule="auto"/>
              <w:jc w:val="center"/>
              <w:rPr>
                <w:rFonts w:ascii="宋体" w:hAnsi="宋体" w:eastAsia="宋体" w:cs="Times New Roman"/>
                <w:color w:val="auto"/>
                <w:kern w:val="0"/>
                <w:sz w:val="22"/>
                <w:highlight w:val="none"/>
              </w:rPr>
            </w:pPr>
            <w:r>
              <w:rPr>
                <w:rFonts w:hint="eastAsia" w:ascii="宋体" w:hAnsi="宋体" w:eastAsia="宋体" w:cs="Times New Roman"/>
                <w:color w:val="auto"/>
                <w:kern w:val="0"/>
                <w:sz w:val="22"/>
                <w:highlight w:val="none"/>
              </w:rPr>
              <w:t>职称</w:t>
            </w:r>
          </w:p>
        </w:tc>
        <w:tc>
          <w:tcPr>
            <w:tcW w:w="2112" w:type="dxa"/>
            <w:gridSpan w:val="3"/>
            <w:vAlign w:val="center"/>
          </w:tcPr>
          <w:p w14:paraId="625D0DA1">
            <w:pPr>
              <w:widowControl/>
              <w:spacing w:before="120" w:beforeLines="50" w:after="120" w:afterLines="50" w:line="360" w:lineRule="auto"/>
              <w:jc w:val="center"/>
              <w:rPr>
                <w:rFonts w:ascii="宋体" w:hAnsi="宋体" w:eastAsia="宋体" w:cs="Times New Roman"/>
                <w:color w:val="auto"/>
                <w:kern w:val="0"/>
                <w:sz w:val="22"/>
                <w:highlight w:val="none"/>
              </w:rPr>
            </w:pPr>
          </w:p>
        </w:tc>
        <w:tc>
          <w:tcPr>
            <w:tcW w:w="931" w:type="dxa"/>
            <w:vAlign w:val="center"/>
          </w:tcPr>
          <w:p w14:paraId="26E0B8E0">
            <w:pPr>
              <w:widowControl/>
              <w:spacing w:before="120" w:beforeLines="50" w:after="120" w:afterLines="50" w:line="360" w:lineRule="auto"/>
              <w:jc w:val="center"/>
              <w:rPr>
                <w:rFonts w:ascii="宋体" w:hAnsi="宋体" w:eastAsia="宋体" w:cs="Times New Roman"/>
                <w:color w:val="auto"/>
                <w:kern w:val="0"/>
                <w:sz w:val="22"/>
                <w:highlight w:val="none"/>
              </w:rPr>
            </w:pPr>
            <w:r>
              <w:rPr>
                <w:rFonts w:hint="eastAsia" w:ascii="宋体" w:hAnsi="宋体" w:eastAsia="宋体" w:cs="Times New Roman"/>
                <w:color w:val="auto"/>
                <w:kern w:val="0"/>
                <w:sz w:val="22"/>
                <w:highlight w:val="none"/>
              </w:rPr>
              <w:t>学历</w:t>
            </w:r>
          </w:p>
        </w:tc>
        <w:tc>
          <w:tcPr>
            <w:tcW w:w="1780" w:type="dxa"/>
            <w:vAlign w:val="center"/>
          </w:tcPr>
          <w:p w14:paraId="1621259F">
            <w:pPr>
              <w:widowControl/>
              <w:spacing w:before="120" w:beforeLines="50" w:after="120" w:afterLines="50" w:line="360" w:lineRule="auto"/>
              <w:jc w:val="center"/>
              <w:rPr>
                <w:rFonts w:ascii="宋体" w:hAnsi="宋体" w:eastAsia="宋体" w:cs="Times New Roman"/>
                <w:color w:val="auto"/>
                <w:kern w:val="0"/>
                <w:sz w:val="22"/>
                <w:highlight w:val="none"/>
              </w:rPr>
            </w:pPr>
          </w:p>
        </w:tc>
      </w:tr>
      <w:tr w14:paraId="323DCB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60" w:type="dxa"/>
            <w:left w:w="60" w:type="dxa"/>
            <w:bottom w:w="60" w:type="dxa"/>
            <w:right w:w="60" w:type="dxa"/>
          </w:tblCellMar>
        </w:tblPrEx>
        <w:trPr>
          <w:trHeight w:val="735" w:hRule="atLeast"/>
          <w:tblCellSpacing w:w="0" w:type="dxa"/>
          <w:jc w:val="center"/>
        </w:trPr>
        <w:tc>
          <w:tcPr>
            <w:tcW w:w="2867" w:type="dxa"/>
            <w:gridSpan w:val="2"/>
            <w:vAlign w:val="center"/>
          </w:tcPr>
          <w:p w14:paraId="56F58B3F">
            <w:pPr>
              <w:widowControl/>
              <w:spacing w:before="120" w:beforeLines="50" w:after="120" w:afterLines="50" w:line="360" w:lineRule="auto"/>
              <w:jc w:val="center"/>
              <w:rPr>
                <w:rFonts w:ascii="宋体" w:hAnsi="宋体" w:eastAsia="宋体" w:cs="Times New Roman"/>
                <w:color w:val="auto"/>
                <w:kern w:val="0"/>
                <w:sz w:val="22"/>
                <w:highlight w:val="none"/>
              </w:rPr>
            </w:pPr>
            <w:r>
              <w:rPr>
                <w:rFonts w:hint="eastAsia" w:ascii="宋体" w:hAnsi="宋体" w:eastAsia="宋体" w:cs="Times New Roman"/>
                <w:color w:val="auto"/>
                <w:kern w:val="0"/>
                <w:sz w:val="22"/>
                <w:highlight w:val="none"/>
              </w:rPr>
              <w:t>参加工作时间</w:t>
            </w:r>
          </w:p>
        </w:tc>
        <w:tc>
          <w:tcPr>
            <w:tcW w:w="1690" w:type="dxa"/>
            <w:gridSpan w:val="3"/>
            <w:vAlign w:val="center"/>
          </w:tcPr>
          <w:p w14:paraId="24EBC395">
            <w:pPr>
              <w:widowControl/>
              <w:spacing w:before="120" w:beforeLines="50" w:after="120" w:afterLines="50" w:line="360" w:lineRule="auto"/>
              <w:jc w:val="center"/>
              <w:rPr>
                <w:rFonts w:ascii="宋体" w:hAnsi="宋体" w:eastAsia="宋体" w:cs="Times New Roman"/>
                <w:color w:val="auto"/>
                <w:kern w:val="0"/>
                <w:sz w:val="22"/>
                <w:highlight w:val="none"/>
              </w:rPr>
            </w:pPr>
          </w:p>
        </w:tc>
        <w:tc>
          <w:tcPr>
            <w:tcW w:w="2112" w:type="dxa"/>
            <w:gridSpan w:val="2"/>
            <w:vAlign w:val="center"/>
          </w:tcPr>
          <w:p w14:paraId="03BB00DA">
            <w:pPr>
              <w:widowControl/>
              <w:spacing w:before="120" w:beforeLines="50" w:after="120" w:afterLines="50" w:line="360" w:lineRule="auto"/>
              <w:jc w:val="center"/>
              <w:rPr>
                <w:rFonts w:ascii="宋体" w:hAnsi="宋体" w:eastAsia="宋体" w:cs="Times New Roman"/>
                <w:color w:val="auto"/>
                <w:kern w:val="0"/>
                <w:sz w:val="22"/>
                <w:highlight w:val="none"/>
              </w:rPr>
            </w:pPr>
            <w:r>
              <w:rPr>
                <w:rFonts w:hint="eastAsia" w:ascii="宋体" w:hAnsi="宋体" w:eastAsia="宋体" w:cs="Times New Roman"/>
                <w:color w:val="auto"/>
                <w:kern w:val="0"/>
                <w:sz w:val="22"/>
                <w:highlight w:val="none"/>
              </w:rPr>
              <w:t>担任相应职务年限</w:t>
            </w:r>
          </w:p>
        </w:tc>
        <w:tc>
          <w:tcPr>
            <w:tcW w:w="1780" w:type="dxa"/>
            <w:vAlign w:val="center"/>
          </w:tcPr>
          <w:p w14:paraId="381C56E1">
            <w:pPr>
              <w:widowControl/>
              <w:spacing w:before="120" w:beforeLines="50" w:after="120" w:afterLines="50" w:line="360" w:lineRule="auto"/>
              <w:jc w:val="center"/>
              <w:rPr>
                <w:rFonts w:ascii="宋体" w:hAnsi="宋体" w:eastAsia="宋体" w:cs="Times New Roman"/>
                <w:color w:val="auto"/>
                <w:kern w:val="0"/>
                <w:sz w:val="22"/>
                <w:highlight w:val="none"/>
              </w:rPr>
            </w:pPr>
          </w:p>
        </w:tc>
      </w:tr>
      <w:tr w14:paraId="73BD4E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60" w:type="dxa"/>
            <w:left w:w="60" w:type="dxa"/>
            <w:bottom w:w="60" w:type="dxa"/>
            <w:right w:w="60" w:type="dxa"/>
          </w:tblCellMar>
        </w:tblPrEx>
        <w:trPr>
          <w:trHeight w:val="735" w:hRule="atLeast"/>
          <w:tblCellSpacing w:w="0" w:type="dxa"/>
          <w:jc w:val="center"/>
        </w:trPr>
        <w:tc>
          <w:tcPr>
            <w:tcW w:w="2867" w:type="dxa"/>
            <w:gridSpan w:val="2"/>
            <w:vAlign w:val="center"/>
          </w:tcPr>
          <w:p w14:paraId="07B8D94C">
            <w:pPr>
              <w:widowControl/>
              <w:spacing w:before="120" w:beforeLines="50" w:after="120" w:afterLines="50" w:line="360" w:lineRule="auto"/>
              <w:jc w:val="center"/>
              <w:rPr>
                <w:rFonts w:ascii="宋体" w:hAnsi="宋体" w:eastAsia="宋体" w:cs="Times New Roman"/>
                <w:color w:val="auto"/>
                <w:kern w:val="0"/>
                <w:sz w:val="22"/>
                <w:highlight w:val="none"/>
              </w:rPr>
            </w:pPr>
            <w:r>
              <w:rPr>
                <w:rFonts w:hint="eastAsia" w:ascii="宋体" w:hAnsi="宋体" w:eastAsia="宋体" w:cs="Times New Roman"/>
                <w:color w:val="auto"/>
                <w:kern w:val="0"/>
                <w:sz w:val="22"/>
                <w:highlight w:val="none"/>
              </w:rPr>
              <w:t>注册执业资格证书号</w:t>
            </w:r>
          </w:p>
        </w:tc>
        <w:tc>
          <w:tcPr>
            <w:tcW w:w="5582" w:type="dxa"/>
            <w:gridSpan w:val="6"/>
            <w:vAlign w:val="center"/>
          </w:tcPr>
          <w:p w14:paraId="5974DFDF">
            <w:pPr>
              <w:widowControl/>
              <w:spacing w:before="120" w:beforeLines="50" w:after="120" w:afterLines="50" w:line="360" w:lineRule="auto"/>
              <w:jc w:val="center"/>
              <w:rPr>
                <w:rFonts w:ascii="宋体" w:hAnsi="宋体" w:eastAsia="宋体" w:cs="Times New Roman"/>
                <w:color w:val="auto"/>
                <w:kern w:val="0"/>
                <w:sz w:val="22"/>
                <w:highlight w:val="none"/>
              </w:rPr>
            </w:pPr>
          </w:p>
        </w:tc>
      </w:tr>
      <w:tr w14:paraId="7271F7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60" w:type="dxa"/>
            <w:left w:w="60" w:type="dxa"/>
            <w:bottom w:w="60" w:type="dxa"/>
            <w:right w:w="60" w:type="dxa"/>
          </w:tblCellMar>
        </w:tblPrEx>
        <w:trPr>
          <w:trHeight w:val="735" w:hRule="atLeast"/>
          <w:tblCellSpacing w:w="0" w:type="dxa"/>
          <w:jc w:val="center"/>
        </w:trPr>
        <w:tc>
          <w:tcPr>
            <w:tcW w:w="8449" w:type="dxa"/>
            <w:gridSpan w:val="8"/>
            <w:vAlign w:val="center"/>
          </w:tcPr>
          <w:p w14:paraId="4082BBF8">
            <w:pPr>
              <w:widowControl/>
              <w:spacing w:before="120" w:beforeLines="50" w:after="120" w:afterLines="50" w:line="360" w:lineRule="auto"/>
              <w:jc w:val="center"/>
              <w:rPr>
                <w:rFonts w:ascii="宋体" w:hAnsi="宋体" w:eastAsia="宋体" w:cs="Times New Roman"/>
                <w:color w:val="auto"/>
                <w:kern w:val="0"/>
                <w:sz w:val="22"/>
                <w:highlight w:val="none"/>
              </w:rPr>
            </w:pPr>
            <w:r>
              <w:rPr>
                <w:rFonts w:hint="eastAsia" w:ascii="宋体" w:hAnsi="宋体" w:eastAsia="宋体" w:cs="Times New Roman"/>
                <w:color w:val="auto"/>
                <w:kern w:val="0"/>
                <w:sz w:val="22"/>
                <w:highlight w:val="none"/>
              </w:rPr>
              <w:t>获奖情况</w:t>
            </w:r>
          </w:p>
        </w:tc>
      </w:tr>
      <w:tr w14:paraId="21FB35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60" w:type="dxa"/>
            <w:left w:w="60" w:type="dxa"/>
            <w:bottom w:w="60" w:type="dxa"/>
            <w:right w:w="60" w:type="dxa"/>
          </w:tblCellMar>
        </w:tblPrEx>
        <w:trPr>
          <w:trHeight w:val="735" w:hRule="atLeast"/>
          <w:tblCellSpacing w:w="0" w:type="dxa"/>
          <w:jc w:val="center"/>
        </w:trPr>
        <w:tc>
          <w:tcPr>
            <w:tcW w:w="1007" w:type="dxa"/>
            <w:vAlign w:val="center"/>
          </w:tcPr>
          <w:p w14:paraId="19228542">
            <w:pPr>
              <w:widowControl/>
              <w:spacing w:before="120" w:beforeLines="50" w:after="120" w:afterLines="50"/>
              <w:jc w:val="center"/>
              <w:rPr>
                <w:rFonts w:ascii="宋体" w:hAnsi="宋体" w:eastAsia="宋体" w:cs="Times New Roman"/>
                <w:color w:val="auto"/>
                <w:kern w:val="0"/>
                <w:sz w:val="22"/>
                <w:highlight w:val="none"/>
              </w:rPr>
            </w:pPr>
            <w:r>
              <w:rPr>
                <w:rFonts w:hint="eastAsia" w:ascii="宋体" w:hAnsi="宋体" w:eastAsia="宋体" w:cs="Times New Roman"/>
                <w:color w:val="auto"/>
                <w:kern w:val="0"/>
                <w:sz w:val="22"/>
                <w:highlight w:val="none"/>
              </w:rPr>
              <w:t>建设</w:t>
            </w:r>
          </w:p>
          <w:p w14:paraId="5C5EE78D">
            <w:pPr>
              <w:widowControl/>
              <w:spacing w:before="120" w:beforeLines="50" w:after="120" w:afterLines="50"/>
              <w:jc w:val="center"/>
              <w:rPr>
                <w:rFonts w:ascii="宋体" w:hAnsi="宋体" w:eastAsia="宋体" w:cs="Times New Roman"/>
                <w:color w:val="auto"/>
                <w:kern w:val="0"/>
                <w:sz w:val="22"/>
                <w:highlight w:val="none"/>
              </w:rPr>
            </w:pPr>
            <w:r>
              <w:rPr>
                <w:rFonts w:hint="eastAsia" w:ascii="宋体" w:hAnsi="宋体" w:eastAsia="宋体" w:cs="Times New Roman"/>
                <w:color w:val="auto"/>
                <w:kern w:val="0"/>
                <w:sz w:val="22"/>
                <w:highlight w:val="none"/>
              </w:rPr>
              <w:t>单位</w:t>
            </w:r>
          </w:p>
        </w:tc>
        <w:tc>
          <w:tcPr>
            <w:tcW w:w="1860" w:type="dxa"/>
            <w:vAlign w:val="center"/>
          </w:tcPr>
          <w:p w14:paraId="3FE5FD5D">
            <w:pPr>
              <w:widowControl/>
              <w:spacing w:before="120" w:beforeLines="50" w:after="120" w:afterLines="50" w:line="360" w:lineRule="auto"/>
              <w:jc w:val="center"/>
              <w:rPr>
                <w:rFonts w:ascii="宋体" w:hAnsi="宋体" w:eastAsia="宋体" w:cs="Times New Roman"/>
                <w:color w:val="auto"/>
                <w:kern w:val="0"/>
                <w:sz w:val="22"/>
                <w:highlight w:val="none"/>
              </w:rPr>
            </w:pPr>
            <w:r>
              <w:rPr>
                <w:rFonts w:hint="eastAsia" w:ascii="宋体" w:hAnsi="宋体" w:eastAsia="宋体" w:cs="Times New Roman"/>
                <w:color w:val="auto"/>
                <w:kern w:val="0"/>
                <w:sz w:val="22"/>
                <w:highlight w:val="none"/>
              </w:rPr>
              <w:t>项目名称</w:t>
            </w:r>
          </w:p>
        </w:tc>
        <w:tc>
          <w:tcPr>
            <w:tcW w:w="1519" w:type="dxa"/>
            <w:gridSpan w:val="2"/>
            <w:vAlign w:val="center"/>
          </w:tcPr>
          <w:p w14:paraId="7535BD43">
            <w:pPr>
              <w:widowControl/>
              <w:spacing w:before="120" w:beforeLines="50" w:after="120" w:afterLines="50" w:line="360" w:lineRule="auto"/>
              <w:jc w:val="center"/>
              <w:rPr>
                <w:rFonts w:ascii="宋体" w:hAnsi="宋体" w:eastAsia="宋体" w:cs="Times New Roman"/>
                <w:color w:val="auto"/>
                <w:kern w:val="0"/>
                <w:sz w:val="22"/>
                <w:highlight w:val="none"/>
              </w:rPr>
            </w:pPr>
            <w:r>
              <w:rPr>
                <w:rFonts w:hint="eastAsia" w:ascii="宋体" w:hAnsi="宋体" w:eastAsia="宋体" w:cs="Times New Roman"/>
                <w:color w:val="auto"/>
                <w:kern w:val="0"/>
                <w:sz w:val="22"/>
                <w:highlight w:val="none"/>
              </w:rPr>
              <w:t>建设规模</w:t>
            </w:r>
          </w:p>
        </w:tc>
        <w:tc>
          <w:tcPr>
            <w:tcW w:w="1352" w:type="dxa"/>
            <w:gridSpan w:val="2"/>
            <w:vAlign w:val="center"/>
          </w:tcPr>
          <w:p w14:paraId="29AAA36F">
            <w:pPr>
              <w:widowControl/>
              <w:spacing w:before="120" w:beforeLines="50" w:after="120" w:afterLines="50" w:line="360" w:lineRule="auto"/>
              <w:jc w:val="center"/>
              <w:rPr>
                <w:rFonts w:ascii="宋体" w:hAnsi="宋体" w:eastAsia="宋体" w:cs="Times New Roman"/>
                <w:color w:val="auto"/>
                <w:kern w:val="0"/>
                <w:sz w:val="22"/>
                <w:highlight w:val="none"/>
              </w:rPr>
            </w:pPr>
            <w:r>
              <w:rPr>
                <w:rFonts w:hint="eastAsia" w:ascii="宋体" w:hAnsi="宋体" w:eastAsia="宋体" w:cs="Times New Roman"/>
                <w:color w:val="auto"/>
                <w:kern w:val="0"/>
                <w:sz w:val="22"/>
                <w:highlight w:val="none"/>
              </w:rPr>
              <w:t>总投资</w:t>
            </w:r>
          </w:p>
        </w:tc>
        <w:tc>
          <w:tcPr>
            <w:tcW w:w="2711" w:type="dxa"/>
            <w:gridSpan w:val="2"/>
            <w:vAlign w:val="center"/>
          </w:tcPr>
          <w:p w14:paraId="124CA8FA">
            <w:pPr>
              <w:widowControl/>
              <w:spacing w:before="120" w:beforeLines="50" w:after="120" w:afterLines="50" w:line="360" w:lineRule="auto"/>
              <w:jc w:val="center"/>
              <w:rPr>
                <w:rFonts w:ascii="宋体" w:hAnsi="宋体" w:eastAsia="宋体" w:cs="Times New Roman"/>
                <w:color w:val="auto"/>
                <w:kern w:val="0"/>
                <w:sz w:val="22"/>
                <w:highlight w:val="none"/>
              </w:rPr>
            </w:pPr>
            <w:r>
              <w:rPr>
                <w:rFonts w:hint="eastAsia" w:ascii="宋体" w:hAnsi="宋体" w:eastAsia="宋体" w:cs="Times New Roman"/>
                <w:color w:val="auto"/>
                <w:kern w:val="0"/>
                <w:sz w:val="22"/>
                <w:highlight w:val="none"/>
              </w:rPr>
              <w:t>所获得奖项</w:t>
            </w:r>
          </w:p>
        </w:tc>
      </w:tr>
      <w:tr w14:paraId="75E8C4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60" w:type="dxa"/>
            <w:left w:w="60" w:type="dxa"/>
            <w:bottom w:w="60" w:type="dxa"/>
            <w:right w:w="60" w:type="dxa"/>
          </w:tblCellMar>
        </w:tblPrEx>
        <w:trPr>
          <w:trHeight w:val="735" w:hRule="atLeast"/>
          <w:tblCellSpacing w:w="0" w:type="dxa"/>
          <w:jc w:val="center"/>
        </w:trPr>
        <w:tc>
          <w:tcPr>
            <w:tcW w:w="1007" w:type="dxa"/>
            <w:vAlign w:val="center"/>
          </w:tcPr>
          <w:p w14:paraId="3D40F9B8">
            <w:pPr>
              <w:widowControl/>
              <w:spacing w:before="120" w:beforeLines="50" w:after="120" w:afterLines="50" w:line="360" w:lineRule="auto"/>
              <w:jc w:val="center"/>
              <w:rPr>
                <w:rFonts w:ascii="宋体" w:hAnsi="宋体" w:eastAsia="宋体" w:cs="Times New Roman"/>
                <w:color w:val="auto"/>
                <w:kern w:val="0"/>
                <w:sz w:val="22"/>
                <w:highlight w:val="none"/>
              </w:rPr>
            </w:pPr>
          </w:p>
        </w:tc>
        <w:tc>
          <w:tcPr>
            <w:tcW w:w="1860" w:type="dxa"/>
            <w:vAlign w:val="center"/>
          </w:tcPr>
          <w:p w14:paraId="00B8EFD9">
            <w:pPr>
              <w:widowControl/>
              <w:spacing w:before="120" w:beforeLines="50" w:after="120" w:afterLines="50" w:line="360" w:lineRule="auto"/>
              <w:jc w:val="center"/>
              <w:rPr>
                <w:rFonts w:ascii="宋体" w:hAnsi="宋体" w:eastAsia="宋体" w:cs="Times New Roman"/>
                <w:color w:val="auto"/>
                <w:kern w:val="0"/>
                <w:sz w:val="22"/>
                <w:highlight w:val="none"/>
              </w:rPr>
            </w:pPr>
          </w:p>
        </w:tc>
        <w:tc>
          <w:tcPr>
            <w:tcW w:w="1519" w:type="dxa"/>
            <w:gridSpan w:val="2"/>
            <w:vAlign w:val="center"/>
          </w:tcPr>
          <w:p w14:paraId="51D60FCD">
            <w:pPr>
              <w:widowControl/>
              <w:spacing w:before="120" w:beforeLines="50" w:after="120" w:afterLines="50" w:line="360" w:lineRule="auto"/>
              <w:jc w:val="center"/>
              <w:rPr>
                <w:rFonts w:ascii="宋体" w:hAnsi="宋体" w:eastAsia="宋体" w:cs="Times New Roman"/>
                <w:color w:val="auto"/>
                <w:kern w:val="0"/>
                <w:sz w:val="22"/>
                <w:highlight w:val="none"/>
              </w:rPr>
            </w:pPr>
          </w:p>
        </w:tc>
        <w:tc>
          <w:tcPr>
            <w:tcW w:w="1352" w:type="dxa"/>
            <w:gridSpan w:val="2"/>
            <w:vAlign w:val="center"/>
          </w:tcPr>
          <w:p w14:paraId="1C291F9D">
            <w:pPr>
              <w:widowControl/>
              <w:spacing w:before="120" w:beforeLines="50" w:after="120" w:afterLines="50" w:line="360" w:lineRule="auto"/>
              <w:jc w:val="center"/>
              <w:rPr>
                <w:rFonts w:ascii="宋体" w:hAnsi="宋体" w:eastAsia="宋体" w:cs="Times New Roman"/>
                <w:color w:val="auto"/>
                <w:kern w:val="0"/>
                <w:sz w:val="22"/>
                <w:highlight w:val="none"/>
              </w:rPr>
            </w:pPr>
          </w:p>
        </w:tc>
        <w:tc>
          <w:tcPr>
            <w:tcW w:w="2711" w:type="dxa"/>
            <w:gridSpan w:val="2"/>
            <w:vAlign w:val="center"/>
          </w:tcPr>
          <w:p w14:paraId="70AE9DCD">
            <w:pPr>
              <w:widowControl/>
              <w:spacing w:before="120" w:beforeLines="50" w:after="120" w:afterLines="50" w:line="360" w:lineRule="auto"/>
              <w:jc w:val="center"/>
              <w:rPr>
                <w:rFonts w:ascii="宋体" w:hAnsi="宋体" w:eastAsia="宋体" w:cs="Times New Roman"/>
                <w:color w:val="auto"/>
                <w:kern w:val="0"/>
                <w:sz w:val="22"/>
                <w:highlight w:val="none"/>
              </w:rPr>
            </w:pPr>
          </w:p>
        </w:tc>
      </w:tr>
      <w:tr w14:paraId="615B59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60" w:type="dxa"/>
            <w:left w:w="60" w:type="dxa"/>
            <w:bottom w:w="60" w:type="dxa"/>
            <w:right w:w="60" w:type="dxa"/>
          </w:tblCellMar>
        </w:tblPrEx>
        <w:trPr>
          <w:trHeight w:val="735" w:hRule="atLeast"/>
          <w:tblCellSpacing w:w="0" w:type="dxa"/>
          <w:jc w:val="center"/>
        </w:trPr>
        <w:tc>
          <w:tcPr>
            <w:tcW w:w="1007" w:type="dxa"/>
            <w:vAlign w:val="center"/>
          </w:tcPr>
          <w:p w14:paraId="7DC816AD">
            <w:pPr>
              <w:widowControl/>
              <w:spacing w:before="120" w:beforeLines="50" w:after="120" w:afterLines="50" w:line="360" w:lineRule="auto"/>
              <w:jc w:val="center"/>
              <w:rPr>
                <w:rFonts w:ascii="宋体" w:hAnsi="宋体" w:eastAsia="宋体" w:cs="Times New Roman"/>
                <w:color w:val="auto"/>
                <w:kern w:val="0"/>
                <w:sz w:val="22"/>
                <w:highlight w:val="none"/>
              </w:rPr>
            </w:pPr>
          </w:p>
        </w:tc>
        <w:tc>
          <w:tcPr>
            <w:tcW w:w="1860" w:type="dxa"/>
            <w:vAlign w:val="center"/>
          </w:tcPr>
          <w:p w14:paraId="001AEE80">
            <w:pPr>
              <w:widowControl/>
              <w:spacing w:before="120" w:beforeLines="50" w:after="120" w:afterLines="50" w:line="360" w:lineRule="auto"/>
              <w:jc w:val="center"/>
              <w:rPr>
                <w:rFonts w:ascii="宋体" w:hAnsi="宋体" w:eastAsia="宋体" w:cs="Times New Roman"/>
                <w:color w:val="auto"/>
                <w:kern w:val="0"/>
                <w:sz w:val="22"/>
                <w:highlight w:val="none"/>
              </w:rPr>
            </w:pPr>
          </w:p>
        </w:tc>
        <w:tc>
          <w:tcPr>
            <w:tcW w:w="1519" w:type="dxa"/>
            <w:gridSpan w:val="2"/>
            <w:vAlign w:val="center"/>
          </w:tcPr>
          <w:p w14:paraId="243C5D86">
            <w:pPr>
              <w:widowControl/>
              <w:spacing w:before="120" w:beforeLines="50" w:after="120" w:afterLines="50" w:line="360" w:lineRule="auto"/>
              <w:jc w:val="center"/>
              <w:rPr>
                <w:rFonts w:ascii="宋体" w:hAnsi="宋体" w:eastAsia="宋体" w:cs="Times New Roman"/>
                <w:color w:val="auto"/>
                <w:kern w:val="0"/>
                <w:sz w:val="22"/>
                <w:highlight w:val="none"/>
              </w:rPr>
            </w:pPr>
          </w:p>
        </w:tc>
        <w:tc>
          <w:tcPr>
            <w:tcW w:w="1352" w:type="dxa"/>
            <w:gridSpan w:val="2"/>
            <w:vAlign w:val="center"/>
          </w:tcPr>
          <w:p w14:paraId="3ADC99ED">
            <w:pPr>
              <w:widowControl/>
              <w:spacing w:before="120" w:beforeLines="50" w:after="120" w:afterLines="50" w:line="360" w:lineRule="auto"/>
              <w:jc w:val="center"/>
              <w:rPr>
                <w:rFonts w:ascii="宋体" w:hAnsi="宋体" w:eastAsia="宋体" w:cs="Times New Roman"/>
                <w:color w:val="auto"/>
                <w:kern w:val="0"/>
                <w:sz w:val="22"/>
                <w:highlight w:val="none"/>
              </w:rPr>
            </w:pPr>
          </w:p>
        </w:tc>
        <w:tc>
          <w:tcPr>
            <w:tcW w:w="2711" w:type="dxa"/>
            <w:gridSpan w:val="2"/>
            <w:vAlign w:val="center"/>
          </w:tcPr>
          <w:p w14:paraId="3C09DC75">
            <w:pPr>
              <w:widowControl/>
              <w:spacing w:before="120" w:beforeLines="50" w:after="120" w:afterLines="50" w:line="360" w:lineRule="auto"/>
              <w:jc w:val="center"/>
              <w:rPr>
                <w:rFonts w:ascii="宋体" w:hAnsi="宋体" w:eastAsia="宋体" w:cs="Times New Roman"/>
                <w:color w:val="auto"/>
                <w:kern w:val="0"/>
                <w:sz w:val="22"/>
                <w:highlight w:val="none"/>
              </w:rPr>
            </w:pPr>
          </w:p>
        </w:tc>
      </w:tr>
      <w:tr w14:paraId="4A5A86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60" w:type="dxa"/>
            <w:left w:w="60" w:type="dxa"/>
            <w:bottom w:w="60" w:type="dxa"/>
            <w:right w:w="60" w:type="dxa"/>
          </w:tblCellMar>
        </w:tblPrEx>
        <w:trPr>
          <w:trHeight w:val="80" w:hRule="atLeast"/>
          <w:tblCellSpacing w:w="0" w:type="dxa"/>
          <w:jc w:val="center"/>
        </w:trPr>
        <w:tc>
          <w:tcPr>
            <w:tcW w:w="1007" w:type="dxa"/>
            <w:vAlign w:val="center"/>
          </w:tcPr>
          <w:p w14:paraId="088B641E">
            <w:pPr>
              <w:widowControl/>
              <w:spacing w:before="120" w:beforeLines="50" w:after="120" w:afterLines="50" w:line="360" w:lineRule="auto"/>
              <w:jc w:val="center"/>
              <w:rPr>
                <w:rFonts w:ascii="宋体" w:hAnsi="宋体" w:eastAsia="宋体" w:cs="Times New Roman"/>
                <w:color w:val="auto"/>
                <w:kern w:val="0"/>
                <w:sz w:val="22"/>
                <w:highlight w:val="none"/>
              </w:rPr>
            </w:pPr>
          </w:p>
        </w:tc>
        <w:tc>
          <w:tcPr>
            <w:tcW w:w="1860" w:type="dxa"/>
            <w:vAlign w:val="center"/>
          </w:tcPr>
          <w:p w14:paraId="668C7D75">
            <w:pPr>
              <w:widowControl/>
              <w:spacing w:before="120" w:beforeLines="50" w:after="120" w:afterLines="50" w:line="360" w:lineRule="auto"/>
              <w:jc w:val="center"/>
              <w:rPr>
                <w:rFonts w:ascii="宋体" w:hAnsi="宋体" w:eastAsia="宋体" w:cs="Times New Roman"/>
                <w:color w:val="auto"/>
                <w:kern w:val="0"/>
                <w:sz w:val="22"/>
                <w:highlight w:val="none"/>
              </w:rPr>
            </w:pPr>
          </w:p>
        </w:tc>
        <w:tc>
          <w:tcPr>
            <w:tcW w:w="1519" w:type="dxa"/>
            <w:gridSpan w:val="2"/>
            <w:vAlign w:val="center"/>
          </w:tcPr>
          <w:p w14:paraId="36B5D1F0">
            <w:pPr>
              <w:widowControl/>
              <w:spacing w:before="120" w:beforeLines="50" w:after="120" w:afterLines="50" w:line="360" w:lineRule="auto"/>
              <w:jc w:val="center"/>
              <w:rPr>
                <w:rFonts w:ascii="宋体" w:hAnsi="宋体" w:eastAsia="宋体" w:cs="Times New Roman"/>
                <w:color w:val="auto"/>
                <w:kern w:val="0"/>
                <w:sz w:val="22"/>
                <w:highlight w:val="none"/>
              </w:rPr>
            </w:pPr>
          </w:p>
        </w:tc>
        <w:tc>
          <w:tcPr>
            <w:tcW w:w="1352" w:type="dxa"/>
            <w:gridSpan w:val="2"/>
            <w:vAlign w:val="center"/>
          </w:tcPr>
          <w:p w14:paraId="7843B542">
            <w:pPr>
              <w:widowControl/>
              <w:spacing w:before="120" w:beforeLines="50" w:after="120" w:afterLines="50" w:line="360" w:lineRule="auto"/>
              <w:jc w:val="center"/>
              <w:rPr>
                <w:rFonts w:ascii="宋体" w:hAnsi="宋体" w:eastAsia="宋体" w:cs="Times New Roman"/>
                <w:color w:val="auto"/>
                <w:kern w:val="0"/>
                <w:sz w:val="22"/>
                <w:highlight w:val="none"/>
              </w:rPr>
            </w:pPr>
          </w:p>
        </w:tc>
        <w:tc>
          <w:tcPr>
            <w:tcW w:w="2711" w:type="dxa"/>
            <w:gridSpan w:val="2"/>
            <w:vAlign w:val="center"/>
          </w:tcPr>
          <w:p w14:paraId="588D9358">
            <w:pPr>
              <w:widowControl/>
              <w:spacing w:before="120" w:beforeLines="50" w:after="120" w:afterLines="50" w:line="360" w:lineRule="auto"/>
              <w:jc w:val="center"/>
              <w:rPr>
                <w:rFonts w:ascii="宋体" w:hAnsi="宋体" w:eastAsia="宋体" w:cs="Times New Roman"/>
                <w:color w:val="auto"/>
                <w:kern w:val="0"/>
                <w:sz w:val="22"/>
                <w:highlight w:val="none"/>
              </w:rPr>
            </w:pPr>
          </w:p>
        </w:tc>
      </w:tr>
    </w:tbl>
    <w:p w14:paraId="0DDCA1E3">
      <w:pPr>
        <w:wordWrap w:val="0"/>
        <w:topLinePunct/>
        <w:spacing w:line="360" w:lineRule="auto"/>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注:①在本表后应附有身份证、毕业证、注册执业资格证书（如有）、职称证书和社保证明等证明材料。如为香港专业人士，则提交在广东省住房和城乡建设主管部门备案且备案的业务范围符合本项目对项目负责人要求的证明材料。</w:t>
      </w:r>
    </w:p>
    <w:p w14:paraId="643B3F21">
      <w:pPr>
        <w:wordWrap w:val="0"/>
        <w:spacing w:line="360" w:lineRule="auto"/>
        <w:rPr>
          <w:rFonts w:ascii="宋体" w:hAnsi="宋体" w:eastAsia="宋体" w:cs="宋体"/>
          <w:color w:val="auto"/>
          <w:kern w:val="0"/>
          <w:sz w:val="24"/>
          <w:szCs w:val="24"/>
          <w:highlight w:val="none"/>
          <w:u w:val="single"/>
        </w:rPr>
      </w:pPr>
      <w:r>
        <w:rPr>
          <w:rFonts w:hint="eastAsia" w:ascii="宋体" w:hAnsi="宋体" w:eastAsia="宋体" w:cs="Times New Roman"/>
          <w:color w:val="auto"/>
          <w:szCs w:val="21"/>
          <w:highlight w:val="none"/>
        </w:rPr>
        <w:t>②项目负责人满足《商务文件评分表》评审要求的其他资料（如有）。</w:t>
      </w:r>
    </w:p>
    <w:p w14:paraId="4FF1C1A2">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14:paraId="089E4C3B">
      <w:pPr>
        <w:autoSpaceDE w:val="0"/>
        <w:autoSpaceDN w:val="0"/>
        <w:adjustRightInd w:val="0"/>
        <w:spacing w:line="276" w:lineRule="auto"/>
        <w:ind w:left="284" w:hanging="284"/>
        <w:jc w:val="left"/>
        <w:outlineLvl w:val="4"/>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（3）专业人员资历表</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078"/>
        <w:gridCol w:w="179"/>
        <w:gridCol w:w="900"/>
        <w:gridCol w:w="899"/>
        <w:gridCol w:w="1620"/>
        <w:gridCol w:w="379"/>
        <w:gridCol w:w="160"/>
        <w:gridCol w:w="771"/>
        <w:gridCol w:w="1715"/>
      </w:tblGrid>
      <w:tr w14:paraId="7DEE9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824" w:type="dxa"/>
            <w:vAlign w:val="center"/>
          </w:tcPr>
          <w:p w14:paraId="3BDF27E2">
            <w:pPr>
              <w:jc w:val="center"/>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姓名</w:t>
            </w:r>
          </w:p>
        </w:tc>
        <w:tc>
          <w:tcPr>
            <w:tcW w:w="2157" w:type="dxa"/>
            <w:gridSpan w:val="3"/>
            <w:vAlign w:val="center"/>
          </w:tcPr>
          <w:p w14:paraId="7B09E8A2">
            <w:pPr>
              <w:jc w:val="center"/>
              <w:rPr>
                <w:rFonts w:ascii="宋体" w:hAnsi="宋体" w:eastAsia="宋体" w:cs="Times New Roman"/>
                <w:color w:val="auto"/>
                <w:szCs w:val="24"/>
                <w:highlight w:val="none"/>
              </w:rPr>
            </w:pPr>
          </w:p>
        </w:tc>
        <w:tc>
          <w:tcPr>
            <w:tcW w:w="899" w:type="dxa"/>
            <w:vAlign w:val="center"/>
          </w:tcPr>
          <w:p w14:paraId="462E7F65">
            <w:pPr>
              <w:jc w:val="center"/>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性别</w:t>
            </w:r>
          </w:p>
        </w:tc>
        <w:tc>
          <w:tcPr>
            <w:tcW w:w="1999" w:type="dxa"/>
            <w:gridSpan w:val="2"/>
            <w:tcBorders>
              <w:right w:val="single" w:color="auto" w:sz="6" w:space="0"/>
            </w:tcBorders>
            <w:vAlign w:val="center"/>
          </w:tcPr>
          <w:p w14:paraId="00DA18F1">
            <w:pPr>
              <w:jc w:val="center"/>
              <w:rPr>
                <w:rFonts w:ascii="宋体" w:hAnsi="宋体" w:eastAsia="宋体" w:cs="Times New Roman"/>
                <w:color w:val="auto"/>
                <w:szCs w:val="24"/>
                <w:highlight w:val="none"/>
              </w:rPr>
            </w:pPr>
          </w:p>
        </w:tc>
        <w:tc>
          <w:tcPr>
            <w:tcW w:w="931" w:type="dxa"/>
            <w:gridSpan w:val="2"/>
            <w:tcBorders>
              <w:left w:val="single" w:color="auto" w:sz="6" w:space="0"/>
            </w:tcBorders>
            <w:vAlign w:val="center"/>
          </w:tcPr>
          <w:p w14:paraId="49FB8175">
            <w:pPr>
              <w:jc w:val="center"/>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年龄</w:t>
            </w:r>
          </w:p>
        </w:tc>
        <w:tc>
          <w:tcPr>
            <w:tcW w:w="1715" w:type="dxa"/>
            <w:vAlign w:val="center"/>
          </w:tcPr>
          <w:p w14:paraId="50A25047">
            <w:pPr>
              <w:jc w:val="center"/>
              <w:rPr>
                <w:rFonts w:ascii="宋体" w:hAnsi="宋体" w:eastAsia="宋体" w:cs="Times New Roman"/>
                <w:color w:val="auto"/>
                <w:szCs w:val="24"/>
                <w:highlight w:val="none"/>
              </w:rPr>
            </w:pPr>
          </w:p>
        </w:tc>
      </w:tr>
      <w:tr w14:paraId="1580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824" w:type="dxa"/>
            <w:vAlign w:val="center"/>
          </w:tcPr>
          <w:p w14:paraId="44858878">
            <w:pPr>
              <w:jc w:val="center"/>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职务</w:t>
            </w:r>
          </w:p>
        </w:tc>
        <w:tc>
          <w:tcPr>
            <w:tcW w:w="2157" w:type="dxa"/>
            <w:gridSpan w:val="3"/>
            <w:vAlign w:val="center"/>
          </w:tcPr>
          <w:p w14:paraId="51D14F6A">
            <w:pPr>
              <w:jc w:val="center"/>
              <w:rPr>
                <w:rFonts w:ascii="宋体" w:hAnsi="宋体" w:eastAsia="宋体" w:cs="Times New Roman"/>
                <w:color w:val="auto"/>
                <w:szCs w:val="24"/>
                <w:highlight w:val="none"/>
              </w:rPr>
            </w:pPr>
          </w:p>
        </w:tc>
        <w:tc>
          <w:tcPr>
            <w:tcW w:w="899" w:type="dxa"/>
            <w:vAlign w:val="center"/>
          </w:tcPr>
          <w:p w14:paraId="65E07DF5">
            <w:pPr>
              <w:jc w:val="center"/>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职称</w:t>
            </w:r>
          </w:p>
        </w:tc>
        <w:tc>
          <w:tcPr>
            <w:tcW w:w="1999" w:type="dxa"/>
            <w:gridSpan w:val="2"/>
            <w:tcBorders>
              <w:right w:val="single" w:color="auto" w:sz="6" w:space="0"/>
            </w:tcBorders>
            <w:vAlign w:val="center"/>
          </w:tcPr>
          <w:p w14:paraId="704D01C8">
            <w:pPr>
              <w:jc w:val="center"/>
              <w:rPr>
                <w:rFonts w:ascii="宋体" w:hAnsi="宋体" w:eastAsia="宋体" w:cs="Times New Roman"/>
                <w:color w:val="auto"/>
                <w:szCs w:val="24"/>
                <w:highlight w:val="none"/>
              </w:rPr>
            </w:pPr>
          </w:p>
        </w:tc>
        <w:tc>
          <w:tcPr>
            <w:tcW w:w="931" w:type="dxa"/>
            <w:gridSpan w:val="2"/>
            <w:tcBorders>
              <w:left w:val="single" w:color="auto" w:sz="6" w:space="0"/>
            </w:tcBorders>
            <w:vAlign w:val="center"/>
          </w:tcPr>
          <w:p w14:paraId="554A576E">
            <w:pPr>
              <w:jc w:val="center"/>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学历</w:t>
            </w:r>
          </w:p>
        </w:tc>
        <w:tc>
          <w:tcPr>
            <w:tcW w:w="1715" w:type="dxa"/>
            <w:vAlign w:val="center"/>
          </w:tcPr>
          <w:p w14:paraId="200907E1">
            <w:pPr>
              <w:jc w:val="center"/>
              <w:rPr>
                <w:rFonts w:ascii="宋体" w:hAnsi="宋体" w:eastAsia="宋体" w:cs="Times New Roman"/>
                <w:color w:val="auto"/>
                <w:szCs w:val="24"/>
                <w:highlight w:val="none"/>
              </w:rPr>
            </w:pPr>
          </w:p>
        </w:tc>
      </w:tr>
      <w:tr w14:paraId="1226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6" w:hRule="atLeast"/>
          <w:jc w:val="center"/>
        </w:trPr>
        <w:tc>
          <w:tcPr>
            <w:tcW w:w="2981" w:type="dxa"/>
            <w:gridSpan w:val="4"/>
            <w:vAlign w:val="center"/>
          </w:tcPr>
          <w:p w14:paraId="6D4B5D27">
            <w:pPr>
              <w:jc w:val="center"/>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执业注册</w:t>
            </w:r>
            <w:r>
              <w:rPr>
                <w:rFonts w:hint="eastAsia" w:ascii="宋体" w:hAnsi="宋体" w:eastAsia="宋体" w:cs="Times New Roman"/>
                <w:color w:val="auto"/>
                <w:szCs w:val="24"/>
                <w:highlight w:val="none"/>
                <w:lang w:val="en-US" w:eastAsia="zh-CN"/>
              </w:rPr>
              <w:t>资</w:t>
            </w:r>
            <w:r>
              <w:rPr>
                <w:rFonts w:hint="eastAsia" w:ascii="宋体" w:hAnsi="宋体" w:eastAsia="宋体" w:cs="Times New Roman"/>
                <w:color w:val="auto"/>
                <w:szCs w:val="24"/>
                <w:highlight w:val="none"/>
              </w:rPr>
              <w:t>格及证书号</w:t>
            </w:r>
          </w:p>
        </w:tc>
        <w:tc>
          <w:tcPr>
            <w:tcW w:w="5544" w:type="dxa"/>
            <w:gridSpan w:val="6"/>
            <w:vAlign w:val="center"/>
          </w:tcPr>
          <w:p w14:paraId="7F41960D">
            <w:pPr>
              <w:jc w:val="center"/>
              <w:rPr>
                <w:rFonts w:ascii="宋体" w:hAnsi="宋体" w:eastAsia="宋体" w:cs="Times New Roman"/>
                <w:color w:val="auto"/>
                <w:szCs w:val="24"/>
                <w:highlight w:val="none"/>
              </w:rPr>
            </w:pPr>
          </w:p>
        </w:tc>
      </w:tr>
      <w:tr w14:paraId="64177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jc w:val="center"/>
        </w:trPr>
        <w:tc>
          <w:tcPr>
            <w:tcW w:w="2081" w:type="dxa"/>
            <w:gridSpan w:val="3"/>
            <w:vAlign w:val="center"/>
          </w:tcPr>
          <w:p w14:paraId="69D7EE0C">
            <w:pPr>
              <w:jc w:val="center"/>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参加工作时间</w:t>
            </w:r>
          </w:p>
        </w:tc>
        <w:tc>
          <w:tcPr>
            <w:tcW w:w="1799" w:type="dxa"/>
            <w:gridSpan w:val="2"/>
            <w:vAlign w:val="center"/>
          </w:tcPr>
          <w:p w14:paraId="1BD42BB6">
            <w:pPr>
              <w:jc w:val="center"/>
              <w:rPr>
                <w:rFonts w:ascii="宋体" w:hAnsi="宋体" w:eastAsia="宋体" w:cs="Times New Roman"/>
                <w:color w:val="auto"/>
                <w:szCs w:val="24"/>
                <w:highlight w:val="none"/>
              </w:rPr>
            </w:pPr>
          </w:p>
        </w:tc>
        <w:tc>
          <w:tcPr>
            <w:tcW w:w="2159" w:type="dxa"/>
            <w:gridSpan w:val="3"/>
            <w:vAlign w:val="center"/>
          </w:tcPr>
          <w:p w14:paraId="359DA76E">
            <w:pPr>
              <w:jc w:val="center"/>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从事项目负责年限</w:t>
            </w:r>
          </w:p>
        </w:tc>
        <w:tc>
          <w:tcPr>
            <w:tcW w:w="2486" w:type="dxa"/>
            <w:gridSpan w:val="2"/>
            <w:vAlign w:val="center"/>
          </w:tcPr>
          <w:p w14:paraId="7C2CF748">
            <w:pPr>
              <w:jc w:val="center"/>
              <w:rPr>
                <w:rFonts w:ascii="宋体" w:hAnsi="宋体" w:eastAsia="宋体" w:cs="Times New Roman"/>
                <w:color w:val="auto"/>
                <w:szCs w:val="24"/>
                <w:highlight w:val="none"/>
              </w:rPr>
            </w:pPr>
          </w:p>
        </w:tc>
      </w:tr>
      <w:tr w14:paraId="0DCC7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8525" w:type="dxa"/>
            <w:gridSpan w:val="10"/>
            <w:vAlign w:val="center"/>
          </w:tcPr>
          <w:p w14:paraId="73C5FECA">
            <w:pPr>
              <w:jc w:val="center"/>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获奖情况</w:t>
            </w:r>
          </w:p>
        </w:tc>
      </w:tr>
      <w:tr w14:paraId="6817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1902" w:type="dxa"/>
            <w:gridSpan w:val="2"/>
            <w:vAlign w:val="center"/>
          </w:tcPr>
          <w:p w14:paraId="7900033C">
            <w:pPr>
              <w:jc w:val="center"/>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项目名称</w:t>
            </w:r>
          </w:p>
        </w:tc>
        <w:tc>
          <w:tcPr>
            <w:tcW w:w="1978" w:type="dxa"/>
            <w:gridSpan w:val="3"/>
            <w:vAlign w:val="center"/>
          </w:tcPr>
          <w:p w14:paraId="10891D9F">
            <w:pPr>
              <w:jc w:val="center"/>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建设规模</w:t>
            </w:r>
          </w:p>
        </w:tc>
        <w:tc>
          <w:tcPr>
            <w:tcW w:w="1620" w:type="dxa"/>
            <w:vAlign w:val="center"/>
          </w:tcPr>
          <w:p w14:paraId="774203F2">
            <w:pPr>
              <w:jc w:val="center"/>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总投资</w:t>
            </w:r>
          </w:p>
        </w:tc>
        <w:tc>
          <w:tcPr>
            <w:tcW w:w="3025" w:type="dxa"/>
            <w:gridSpan w:val="4"/>
            <w:vAlign w:val="center"/>
          </w:tcPr>
          <w:p w14:paraId="3A9E5B0B">
            <w:pPr>
              <w:jc w:val="center"/>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所获得奖项</w:t>
            </w:r>
          </w:p>
        </w:tc>
      </w:tr>
      <w:tr w14:paraId="63A01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1902" w:type="dxa"/>
            <w:gridSpan w:val="2"/>
            <w:vAlign w:val="center"/>
          </w:tcPr>
          <w:p w14:paraId="68909347">
            <w:pPr>
              <w:jc w:val="center"/>
              <w:rPr>
                <w:rFonts w:ascii="宋体" w:hAnsi="宋体" w:eastAsia="宋体" w:cs="Times New Roman"/>
                <w:color w:val="auto"/>
                <w:szCs w:val="24"/>
                <w:highlight w:val="none"/>
              </w:rPr>
            </w:pPr>
          </w:p>
        </w:tc>
        <w:tc>
          <w:tcPr>
            <w:tcW w:w="1978" w:type="dxa"/>
            <w:gridSpan w:val="3"/>
            <w:vAlign w:val="center"/>
          </w:tcPr>
          <w:p w14:paraId="0D6EF6C5">
            <w:pPr>
              <w:jc w:val="center"/>
              <w:rPr>
                <w:rFonts w:ascii="宋体" w:hAnsi="宋体" w:eastAsia="宋体" w:cs="Times New Roman"/>
                <w:color w:val="auto"/>
                <w:szCs w:val="24"/>
                <w:highlight w:val="none"/>
              </w:rPr>
            </w:pPr>
          </w:p>
        </w:tc>
        <w:tc>
          <w:tcPr>
            <w:tcW w:w="1620" w:type="dxa"/>
            <w:vAlign w:val="center"/>
          </w:tcPr>
          <w:p w14:paraId="74FD8D39">
            <w:pPr>
              <w:jc w:val="center"/>
              <w:rPr>
                <w:rFonts w:ascii="宋体" w:hAnsi="宋体" w:eastAsia="宋体" w:cs="Times New Roman"/>
                <w:color w:val="auto"/>
                <w:szCs w:val="24"/>
                <w:highlight w:val="none"/>
              </w:rPr>
            </w:pPr>
          </w:p>
        </w:tc>
        <w:tc>
          <w:tcPr>
            <w:tcW w:w="3025" w:type="dxa"/>
            <w:gridSpan w:val="4"/>
            <w:vAlign w:val="center"/>
          </w:tcPr>
          <w:p w14:paraId="3E1FC39C">
            <w:pPr>
              <w:jc w:val="center"/>
              <w:rPr>
                <w:rFonts w:ascii="宋体" w:hAnsi="宋体" w:eastAsia="宋体" w:cs="Times New Roman"/>
                <w:color w:val="auto"/>
                <w:szCs w:val="24"/>
                <w:highlight w:val="none"/>
              </w:rPr>
            </w:pPr>
          </w:p>
        </w:tc>
      </w:tr>
      <w:tr w14:paraId="5C3AB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1902" w:type="dxa"/>
            <w:gridSpan w:val="2"/>
            <w:vAlign w:val="center"/>
          </w:tcPr>
          <w:p w14:paraId="0F289C20">
            <w:pPr>
              <w:jc w:val="center"/>
              <w:rPr>
                <w:rFonts w:ascii="宋体" w:hAnsi="宋体" w:eastAsia="宋体" w:cs="Times New Roman"/>
                <w:color w:val="auto"/>
                <w:szCs w:val="24"/>
                <w:highlight w:val="none"/>
              </w:rPr>
            </w:pPr>
          </w:p>
        </w:tc>
        <w:tc>
          <w:tcPr>
            <w:tcW w:w="1978" w:type="dxa"/>
            <w:gridSpan w:val="3"/>
            <w:vAlign w:val="center"/>
          </w:tcPr>
          <w:p w14:paraId="23FA403C">
            <w:pPr>
              <w:jc w:val="center"/>
              <w:rPr>
                <w:rFonts w:ascii="宋体" w:hAnsi="宋体" w:eastAsia="宋体" w:cs="Times New Roman"/>
                <w:color w:val="auto"/>
                <w:szCs w:val="24"/>
                <w:highlight w:val="none"/>
              </w:rPr>
            </w:pPr>
          </w:p>
        </w:tc>
        <w:tc>
          <w:tcPr>
            <w:tcW w:w="1620" w:type="dxa"/>
            <w:vAlign w:val="center"/>
          </w:tcPr>
          <w:p w14:paraId="527EF1A5">
            <w:pPr>
              <w:jc w:val="center"/>
              <w:rPr>
                <w:rFonts w:ascii="宋体" w:hAnsi="宋体" w:eastAsia="宋体" w:cs="Times New Roman"/>
                <w:color w:val="auto"/>
                <w:szCs w:val="24"/>
                <w:highlight w:val="none"/>
              </w:rPr>
            </w:pPr>
          </w:p>
        </w:tc>
        <w:tc>
          <w:tcPr>
            <w:tcW w:w="3025" w:type="dxa"/>
            <w:gridSpan w:val="4"/>
            <w:vAlign w:val="center"/>
          </w:tcPr>
          <w:p w14:paraId="6B093B74">
            <w:pPr>
              <w:jc w:val="center"/>
              <w:rPr>
                <w:rFonts w:ascii="宋体" w:hAnsi="宋体" w:eastAsia="宋体" w:cs="Times New Roman"/>
                <w:color w:val="auto"/>
                <w:szCs w:val="24"/>
                <w:highlight w:val="none"/>
              </w:rPr>
            </w:pPr>
          </w:p>
        </w:tc>
      </w:tr>
      <w:tr w14:paraId="285EA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1902" w:type="dxa"/>
            <w:gridSpan w:val="2"/>
            <w:vAlign w:val="center"/>
          </w:tcPr>
          <w:p w14:paraId="54563321">
            <w:pPr>
              <w:jc w:val="center"/>
              <w:rPr>
                <w:rFonts w:ascii="宋体" w:hAnsi="宋体" w:eastAsia="宋体" w:cs="Times New Roman"/>
                <w:color w:val="auto"/>
                <w:szCs w:val="24"/>
                <w:highlight w:val="none"/>
              </w:rPr>
            </w:pPr>
          </w:p>
        </w:tc>
        <w:tc>
          <w:tcPr>
            <w:tcW w:w="1978" w:type="dxa"/>
            <w:gridSpan w:val="3"/>
            <w:vAlign w:val="center"/>
          </w:tcPr>
          <w:p w14:paraId="09F46770">
            <w:pPr>
              <w:jc w:val="center"/>
              <w:rPr>
                <w:rFonts w:ascii="宋体" w:hAnsi="宋体" w:eastAsia="宋体" w:cs="Times New Roman"/>
                <w:color w:val="auto"/>
                <w:szCs w:val="24"/>
                <w:highlight w:val="none"/>
              </w:rPr>
            </w:pPr>
          </w:p>
        </w:tc>
        <w:tc>
          <w:tcPr>
            <w:tcW w:w="1620" w:type="dxa"/>
            <w:vAlign w:val="center"/>
          </w:tcPr>
          <w:p w14:paraId="0030DD21">
            <w:pPr>
              <w:jc w:val="center"/>
              <w:rPr>
                <w:rFonts w:ascii="宋体" w:hAnsi="宋体" w:eastAsia="宋体" w:cs="Times New Roman"/>
                <w:color w:val="auto"/>
                <w:szCs w:val="24"/>
                <w:highlight w:val="none"/>
              </w:rPr>
            </w:pPr>
          </w:p>
        </w:tc>
        <w:tc>
          <w:tcPr>
            <w:tcW w:w="3025" w:type="dxa"/>
            <w:gridSpan w:val="4"/>
            <w:vAlign w:val="center"/>
          </w:tcPr>
          <w:p w14:paraId="6D9FD942">
            <w:pPr>
              <w:jc w:val="center"/>
              <w:rPr>
                <w:rFonts w:ascii="宋体" w:hAnsi="宋体" w:eastAsia="宋体" w:cs="Times New Roman"/>
                <w:color w:val="auto"/>
                <w:szCs w:val="24"/>
                <w:highlight w:val="none"/>
              </w:rPr>
            </w:pPr>
          </w:p>
        </w:tc>
      </w:tr>
      <w:tr w14:paraId="7956F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1902" w:type="dxa"/>
            <w:gridSpan w:val="2"/>
            <w:vAlign w:val="center"/>
          </w:tcPr>
          <w:p w14:paraId="5166A2B6">
            <w:pPr>
              <w:jc w:val="center"/>
              <w:rPr>
                <w:rFonts w:ascii="宋体" w:hAnsi="宋体" w:eastAsia="宋体" w:cs="Times New Roman"/>
                <w:color w:val="auto"/>
                <w:szCs w:val="24"/>
                <w:highlight w:val="none"/>
              </w:rPr>
            </w:pPr>
          </w:p>
        </w:tc>
        <w:tc>
          <w:tcPr>
            <w:tcW w:w="1978" w:type="dxa"/>
            <w:gridSpan w:val="3"/>
            <w:vAlign w:val="center"/>
          </w:tcPr>
          <w:p w14:paraId="697CF994">
            <w:pPr>
              <w:jc w:val="center"/>
              <w:rPr>
                <w:rFonts w:ascii="宋体" w:hAnsi="宋体" w:eastAsia="宋体" w:cs="Times New Roman"/>
                <w:color w:val="auto"/>
                <w:szCs w:val="24"/>
                <w:highlight w:val="none"/>
              </w:rPr>
            </w:pPr>
          </w:p>
        </w:tc>
        <w:tc>
          <w:tcPr>
            <w:tcW w:w="1620" w:type="dxa"/>
            <w:vAlign w:val="center"/>
          </w:tcPr>
          <w:p w14:paraId="7A7F9E52">
            <w:pPr>
              <w:jc w:val="center"/>
              <w:rPr>
                <w:rFonts w:ascii="宋体" w:hAnsi="宋体" w:eastAsia="宋体" w:cs="Times New Roman"/>
                <w:color w:val="auto"/>
                <w:szCs w:val="24"/>
                <w:highlight w:val="none"/>
              </w:rPr>
            </w:pPr>
          </w:p>
        </w:tc>
        <w:tc>
          <w:tcPr>
            <w:tcW w:w="3025" w:type="dxa"/>
            <w:gridSpan w:val="4"/>
            <w:vAlign w:val="center"/>
          </w:tcPr>
          <w:p w14:paraId="0CE99DCA">
            <w:pPr>
              <w:jc w:val="center"/>
              <w:rPr>
                <w:rFonts w:ascii="宋体" w:hAnsi="宋体" w:eastAsia="宋体" w:cs="Times New Roman"/>
                <w:color w:val="auto"/>
                <w:szCs w:val="24"/>
                <w:highlight w:val="none"/>
              </w:rPr>
            </w:pPr>
          </w:p>
        </w:tc>
      </w:tr>
      <w:tr w14:paraId="56859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1902" w:type="dxa"/>
            <w:gridSpan w:val="2"/>
            <w:vAlign w:val="center"/>
          </w:tcPr>
          <w:p w14:paraId="17E9BDE0">
            <w:pPr>
              <w:jc w:val="center"/>
              <w:rPr>
                <w:rFonts w:ascii="宋体" w:hAnsi="宋体" w:eastAsia="宋体" w:cs="Times New Roman"/>
                <w:color w:val="auto"/>
                <w:szCs w:val="24"/>
                <w:highlight w:val="none"/>
              </w:rPr>
            </w:pPr>
          </w:p>
        </w:tc>
        <w:tc>
          <w:tcPr>
            <w:tcW w:w="1978" w:type="dxa"/>
            <w:gridSpan w:val="3"/>
            <w:vAlign w:val="center"/>
          </w:tcPr>
          <w:p w14:paraId="7D25FA6F">
            <w:pPr>
              <w:jc w:val="center"/>
              <w:rPr>
                <w:rFonts w:ascii="宋体" w:hAnsi="宋体" w:eastAsia="宋体" w:cs="Times New Roman"/>
                <w:color w:val="auto"/>
                <w:szCs w:val="24"/>
                <w:highlight w:val="none"/>
              </w:rPr>
            </w:pPr>
          </w:p>
        </w:tc>
        <w:tc>
          <w:tcPr>
            <w:tcW w:w="1620" w:type="dxa"/>
            <w:vAlign w:val="center"/>
          </w:tcPr>
          <w:p w14:paraId="35058024">
            <w:pPr>
              <w:jc w:val="center"/>
              <w:rPr>
                <w:rFonts w:ascii="宋体" w:hAnsi="宋体" w:eastAsia="宋体" w:cs="Times New Roman"/>
                <w:color w:val="auto"/>
                <w:szCs w:val="24"/>
                <w:highlight w:val="none"/>
              </w:rPr>
            </w:pPr>
          </w:p>
        </w:tc>
        <w:tc>
          <w:tcPr>
            <w:tcW w:w="3025" w:type="dxa"/>
            <w:gridSpan w:val="4"/>
            <w:vAlign w:val="center"/>
          </w:tcPr>
          <w:p w14:paraId="2F11BCD2">
            <w:pPr>
              <w:jc w:val="center"/>
              <w:rPr>
                <w:rFonts w:ascii="宋体" w:hAnsi="宋体" w:eastAsia="宋体" w:cs="Times New Roman"/>
                <w:color w:val="auto"/>
                <w:szCs w:val="24"/>
                <w:highlight w:val="none"/>
              </w:rPr>
            </w:pPr>
          </w:p>
        </w:tc>
      </w:tr>
      <w:tr w14:paraId="2D7F9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1902" w:type="dxa"/>
            <w:gridSpan w:val="2"/>
            <w:vAlign w:val="center"/>
          </w:tcPr>
          <w:p w14:paraId="5D585D72">
            <w:pPr>
              <w:jc w:val="center"/>
              <w:rPr>
                <w:rFonts w:ascii="宋体" w:hAnsi="宋体" w:eastAsia="宋体" w:cs="Times New Roman"/>
                <w:color w:val="auto"/>
                <w:szCs w:val="24"/>
                <w:highlight w:val="none"/>
              </w:rPr>
            </w:pPr>
          </w:p>
        </w:tc>
        <w:tc>
          <w:tcPr>
            <w:tcW w:w="1978" w:type="dxa"/>
            <w:gridSpan w:val="3"/>
            <w:vAlign w:val="center"/>
          </w:tcPr>
          <w:p w14:paraId="2205C884">
            <w:pPr>
              <w:jc w:val="center"/>
              <w:rPr>
                <w:rFonts w:ascii="宋体" w:hAnsi="宋体" w:eastAsia="宋体" w:cs="Times New Roman"/>
                <w:color w:val="auto"/>
                <w:szCs w:val="24"/>
                <w:highlight w:val="none"/>
              </w:rPr>
            </w:pPr>
          </w:p>
        </w:tc>
        <w:tc>
          <w:tcPr>
            <w:tcW w:w="1620" w:type="dxa"/>
            <w:vAlign w:val="center"/>
          </w:tcPr>
          <w:p w14:paraId="52EA2B38">
            <w:pPr>
              <w:jc w:val="center"/>
              <w:rPr>
                <w:rFonts w:ascii="宋体" w:hAnsi="宋体" w:eastAsia="宋体" w:cs="Times New Roman"/>
                <w:color w:val="auto"/>
                <w:szCs w:val="24"/>
                <w:highlight w:val="none"/>
              </w:rPr>
            </w:pPr>
          </w:p>
        </w:tc>
        <w:tc>
          <w:tcPr>
            <w:tcW w:w="3025" w:type="dxa"/>
            <w:gridSpan w:val="4"/>
            <w:vAlign w:val="center"/>
          </w:tcPr>
          <w:p w14:paraId="7C88F72E">
            <w:pPr>
              <w:jc w:val="center"/>
              <w:rPr>
                <w:rFonts w:ascii="宋体" w:hAnsi="宋体" w:eastAsia="宋体" w:cs="Times New Roman"/>
                <w:color w:val="auto"/>
                <w:szCs w:val="24"/>
                <w:highlight w:val="none"/>
              </w:rPr>
            </w:pPr>
          </w:p>
        </w:tc>
      </w:tr>
      <w:tr w14:paraId="42131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1902" w:type="dxa"/>
            <w:gridSpan w:val="2"/>
            <w:vAlign w:val="center"/>
          </w:tcPr>
          <w:p w14:paraId="131871EA">
            <w:pPr>
              <w:jc w:val="center"/>
              <w:rPr>
                <w:rFonts w:ascii="宋体" w:hAnsi="宋体" w:eastAsia="宋体" w:cs="Times New Roman"/>
                <w:color w:val="auto"/>
                <w:szCs w:val="24"/>
                <w:highlight w:val="none"/>
              </w:rPr>
            </w:pPr>
          </w:p>
        </w:tc>
        <w:tc>
          <w:tcPr>
            <w:tcW w:w="1978" w:type="dxa"/>
            <w:gridSpan w:val="3"/>
            <w:vAlign w:val="center"/>
          </w:tcPr>
          <w:p w14:paraId="2BD6DBC0">
            <w:pPr>
              <w:jc w:val="center"/>
              <w:rPr>
                <w:rFonts w:ascii="宋体" w:hAnsi="宋体" w:eastAsia="宋体" w:cs="Times New Roman"/>
                <w:color w:val="auto"/>
                <w:szCs w:val="24"/>
                <w:highlight w:val="none"/>
              </w:rPr>
            </w:pPr>
          </w:p>
        </w:tc>
        <w:tc>
          <w:tcPr>
            <w:tcW w:w="1620" w:type="dxa"/>
            <w:vAlign w:val="center"/>
          </w:tcPr>
          <w:p w14:paraId="6CB92200">
            <w:pPr>
              <w:jc w:val="center"/>
              <w:rPr>
                <w:rFonts w:ascii="宋体" w:hAnsi="宋体" w:eastAsia="宋体" w:cs="Times New Roman"/>
                <w:color w:val="auto"/>
                <w:szCs w:val="24"/>
                <w:highlight w:val="none"/>
              </w:rPr>
            </w:pPr>
          </w:p>
        </w:tc>
        <w:tc>
          <w:tcPr>
            <w:tcW w:w="3025" w:type="dxa"/>
            <w:gridSpan w:val="4"/>
            <w:vAlign w:val="center"/>
          </w:tcPr>
          <w:p w14:paraId="155A3E42">
            <w:pPr>
              <w:jc w:val="center"/>
              <w:rPr>
                <w:rFonts w:ascii="宋体" w:hAnsi="宋体" w:eastAsia="宋体" w:cs="Times New Roman"/>
                <w:color w:val="auto"/>
                <w:szCs w:val="24"/>
                <w:highlight w:val="none"/>
              </w:rPr>
            </w:pPr>
          </w:p>
        </w:tc>
      </w:tr>
      <w:tr w14:paraId="21CB0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1902" w:type="dxa"/>
            <w:gridSpan w:val="2"/>
            <w:vAlign w:val="center"/>
          </w:tcPr>
          <w:p w14:paraId="72973A39">
            <w:pPr>
              <w:jc w:val="center"/>
              <w:rPr>
                <w:rFonts w:ascii="宋体" w:hAnsi="宋体" w:eastAsia="宋体" w:cs="Times New Roman"/>
                <w:color w:val="auto"/>
                <w:szCs w:val="24"/>
                <w:highlight w:val="none"/>
              </w:rPr>
            </w:pPr>
          </w:p>
        </w:tc>
        <w:tc>
          <w:tcPr>
            <w:tcW w:w="1978" w:type="dxa"/>
            <w:gridSpan w:val="3"/>
            <w:vAlign w:val="center"/>
          </w:tcPr>
          <w:p w14:paraId="2EA196C4">
            <w:pPr>
              <w:jc w:val="center"/>
              <w:rPr>
                <w:rFonts w:ascii="宋体" w:hAnsi="宋体" w:eastAsia="宋体" w:cs="Times New Roman"/>
                <w:color w:val="auto"/>
                <w:szCs w:val="24"/>
                <w:highlight w:val="none"/>
              </w:rPr>
            </w:pPr>
          </w:p>
        </w:tc>
        <w:tc>
          <w:tcPr>
            <w:tcW w:w="1620" w:type="dxa"/>
            <w:vAlign w:val="center"/>
          </w:tcPr>
          <w:p w14:paraId="0821B300">
            <w:pPr>
              <w:jc w:val="center"/>
              <w:rPr>
                <w:rFonts w:ascii="宋体" w:hAnsi="宋体" w:eastAsia="宋体" w:cs="Times New Roman"/>
                <w:color w:val="auto"/>
                <w:szCs w:val="24"/>
                <w:highlight w:val="none"/>
              </w:rPr>
            </w:pPr>
          </w:p>
        </w:tc>
        <w:tc>
          <w:tcPr>
            <w:tcW w:w="3025" w:type="dxa"/>
            <w:gridSpan w:val="4"/>
            <w:vAlign w:val="center"/>
          </w:tcPr>
          <w:p w14:paraId="0FDCB9A8">
            <w:pPr>
              <w:jc w:val="center"/>
              <w:rPr>
                <w:rFonts w:ascii="宋体" w:hAnsi="宋体" w:eastAsia="宋体" w:cs="Times New Roman"/>
                <w:color w:val="auto"/>
                <w:szCs w:val="24"/>
                <w:highlight w:val="none"/>
              </w:rPr>
            </w:pPr>
          </w:p>
        </w:tc>
      </w:tr>
    </w:tbl>
    <w:p w14:paraId="05CE7BDF">
      <w:pPr>
        <w:spacing w:line="360" w:lineRule="auto"/>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注:①各专业负责人需要填写此表，其他人员不需要填写。</w:t>
      </w:r>
    </w:p>
    <w:p w14:paraId="5D72BDC0">
      <w:pPr>
        <w:wordWrap w:val="0"/>
        <w:topLinePunct/>
        <w:spacing w:line="360" w:lineRule="auto"/>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②在本表后应附有身份证、毕业证（如有）、注册执业资格证书（如有）、职称证书（如有）和社证明等证明材料。</w:t>
      </w:r>
    </w:p>
    <w:p w14:paraId="15E6613E">
      <w:pPr>
        <w:wordWrap w:val="0"/>
        <w:spacing w:line="360" w:lineRule="auto"/>
        <w:rPr>
          <w:rFonts w:ascii="宋体" w:hAnsi="宋体" w:eastAsia="宋体" w:cs="宋体"/>
          <w:color w:val="auto"/>
          <w:kern w:val="0"/>
          <w:sz w:val="24"/>
          <w:szCs w:val="24"/>
          <w:highlight w:val="none"/>
        </w:rPr>
      </w:pPr>
      <w:r>
        <w:rPr>
          <w:rFonts w:hint="eastAsia" w:ascii="宋体" w:hAnsi="宋体" w:eastAsia="宋体" w:cs="Times New Roman"/>
          <w:color w:val="auto"/>
          <w:szCs w:val="21"/>
          <w:highlight w:val="none"/>
        </w:rPr>
        <w:t>③各专业负责人满足《商务文件</w:t>
      </w:r>
      <w:bookmarkStart w:id="227" w:name="_GoBack"/>
      <w:bookmarkEnd w:id="227"/>
      <w:r>
        <w:rPr>
          <w:rFonts w:hint="eastAsia" w:ascii="宋体" w:hAnsi="宋体" w:eastAsia="宋体" w:cs="Times New Roman"/>
          <w:color w:val="auto"/>
          <w:szCs w:val="21"/>
          <w:highlight w:val="none"/>
        </w:rPr>
        <w:t>评分表》评审要求的其他资料（如有）。</w:t>
      </w:r>
    </w:p>
    <w:p w14:paraId="422D4FFB">
      <w:pPr>
        <w:widowControl/>
        <w:jc w:val="left"/>
        <w:rPr>
          <w:rFonts w:ascii="宋体" w:hAnsi="宋体" w:eastAsia="宋体" w:cs="Times New Roman"/>
          <w:b/>
          <w:color w:val="auto"/>
          <w:kern w:val="0"/>
          <w:sz w:val="24"/>
          <w:szCs w:val="24"/>
          <w:highlight w:val="none"/>
          <w:lang w:val="zh-CN"/>
        </w:rPr>
      </w:pPr>
      <w:r>
        <w:rPr>
          <w:rFonts w:hint="eastAsia" w:ascii="宋体" w:hAnsi="宋体" w:eastAsia="宋体"/>
          <w:color w:val="auto"/>
          <w:highlight w:val="none"/>
        </w:rPr>
        <w:br w:type="page"/>
      </w:r>
    </w:p>
    <w:p w14:paraId="5F621C76">
      <w:pPr>
        <w:autoSpaceDE w:val="0"/>
        <w:autoSpaceDN w:val="0"/>
        <w:adjustRightInd w:val="0"/>
        <w:spacing w:line="276" w:lineRule="auto"/>
        <w:ind w:left="284" w:hanging="284"/>
        <w:jc w:val="left"/>
        <w:outlineLvl w:val="4"/>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（4）投标人已完成项目情况</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1429"/>
        <w:gridCol w:w="1429"/>
        <w:gridCol w:w="1427"/>
        <w:gridCol w:w="783"/>
        <w:gridCol w:w="769"/>
        <w:gridCol w:w="1260"/>
      </w:tblGrid>
      <w:tr w14:paraId="3B6D0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1428" w:type="dxa"/>
            <w:vMerge w:val="restart"/>
            <w:vAlign w:val="center"/>
          </w:tcPr>
          <w:p w14:paraId="51EAB142">
            <w:pPr>
              <w:jc w:val="center"/>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合同签订时间</w:t>
            </w:r>
          </w:p>
        </w:tc>
        <w:tc>
          <w:tcPr>
            <w:tcW w:w="1429" w:type="dxa"/>
            <w:vMerge w:val="restart"/>
            <w:vAlign w:val="center"/>
          </w:tcPr>
          <w:p w14:paraId="339F1B60">
            <w:pPr>
              <w:jc w:val="center"/>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项目概况</w:t>
            </w:r>
          </w:p>
        </w:tc>
        <w:tc>
          <w:tcPr>
            <w:tcW w:w="1429" w:type="dxa"/>
            <w:vMerge w:val="restart"/>
            <w:vAlign w:val="center"/>
          </w:tcPr>
          <w:p w14:paraId="79EA0903">
            <w:pPr>
              <w:jc w:val="center"/>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业主单位</w:t>
            </w:r>
          </w:p>
        </w:tc>
        <w:tc>
          <w:tcPr>
            <w:tcW w:w="1427" w:type="dxa"/>
            <w:vMerge w:val="restart"/>
            <w:vAlign w:val="center"/>
          </w:tcPr>
          <w:p w14:paraId="2268C1CF">
            <w:pPr>
              <w:jc w:val="center"/>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完成情况</w:t>
            </w:r>
          </w:p>
        </w:tc>
        <w:tc>
          <w:tcPr>
            <w:tcW w:w="1552" w:type="dxa"/>
            <w:gridSpan w:val="2"/>
            <w:vAlign w:val="center"/>
          </w:tcPr>
          <w:p w14:paraId="27DFF6A5">
            <w:pPr>
              <w:ind w:left="210" w:leftChars="100"/>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业绩类型 （请勾选）</w:t>
            </w:r>
          </w:p>
        </w:tc>
        <w:tc>
          <w:tcPr>
            <w:tcW w:w="1260" w:type="dxa"/>
            <w:vMerge w:val="restart"/>
            <w:vAlign w:val="center"/>
          </w:tcPr>
          <w:p w14:paraId="5605E69D">
            <w:pPr>
              <w:jc w:val="center"/>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备注</w:t>
            </w:r>
          </w:p>
        </w:tc>
      </w:tr>
      <w:tr w14:paraId="193E2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1428" w:type="dxa"/>
            <w:vMerge w:val="continue"/>
            <w:vAlign w:val="center"/>
          </w:tcPr>
          <w:p w14:paraId="613C6932">
            <w:pPr>
              <w:jc w:val="center"/>
              <w:rPr>
                <w:rFonts w:ascii="宋体" w:hAnsi="宋体" w:eastAsia="宋体" w:cs="Times New Roman"/>
                <w:color w:val="auto"/>
                <w:szCs w:val="24"/>
                <w:highlight w:val="none"/>
              </w:rPr>
            </w:pPr>
          </w:p>
        </w:tc>
        <w:tc>
          <w:tcPr>
            <w:tcW w:w="1429" w:type="dxa"/>
            <w:vMerge w:val="continue"/>
            <w:vAlign w:val="center"/>
          </w:tcPr>
          <w:p w14:paraId="659C864B">
            <w:pPr>
              <w:jc w:val="center"/>
              <w:rPr>
                <w:rFonts w:ascii="宋体" w:hAnsi="宋体" w:eastAsia="宋体" w:cs="Times New Roman"/>
                <w:color w:val="auto"/>
                <w:szCs w:val="24"/>
                <w:highlight w:val="none"/>
              </w:rPr>
            </w:pPr>
          </w:p>
        </w:tc>
        <w:tc>
          <w:tcPr>
            <w:tcW w:w="1429" w:type="dxa"/>
            <w:vMerge w:val="continue"/>
            <w:vAlign w:val="center"/>
          </w:tcPr>
          <w:p w14:paraId="40D8D100">
            <w:pPr>
              <w:jc w:val="center"/>
              <w:rPr>
                <w:rFonts w:ascii="宋体" w:hAnsi="宋体" w:eastAsia="宋体" w:cs="Times New Roman"/>
                <w:color w:val="auto"/>
                <w:szCs w:val="24"/>
                <w:highlight w:val="none"/>
              </w:rPr>
            </w:pPr>
          </w:p>
        </w:tc>
        <w:tc>
          <w:tcPr>
            <w:tcW w:w="1427" w:type="dxa"/>
            <w:vMerge w:val="continue"/>
            <w:vAlign w:val="center"/>
          </w:tcPr>
          <w:p w14:paraId="58D6BA1A">
            <w:pPr>
              <w:jc w:val="center"/>
              <w:rPr>
                <w:rFonts w:ascii="宋体" w:hAnsi="宋体" w:eastAsia="宋体" w:cs="Times New Roman"/>
                <w:color w:val="auto"/>
                <w:szCs w:val="24"/>
                <w:highlight w:val="none"/>
              </w:rPr>
            </w:pPr>
          </w:p>
        </w:tc>
        <w:tc>
          <w:tcPr>
            <w:tcW w:w="783" w:type="dxa"/>
            <w:vAlign w:val="center"/>
          </w:tcPr>
          <w:p w14:paraId="40AE4DC3">
            <w:pPr>
              <w:jc w:val="center"/>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勘察</w:t>
            </w:r>
          </w:p>
        </w:tc>
        <w:tc>
          <w:tcPr>
            <w:tcW w:w="769" w:type="dxa"/>
            <w:vAlign w:val="center"/>
          </w:tcPr>
          <w:p w14:paraId="79EA1544">
            <w:pPr>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设计</w:t>
            </w:r>
          </w:p>
        </w:tc>
        <w:tc>
          <w:tcPr>
            <w:tcW w:w="1260" w:type="dxa"/>
            <w:vMerge w:val="continue"/>
            <w:vAlign w:val="center"/>
          </w:tcPr>
          <w:p w14:paraId="243ED355">
            <w:pPr>
              <w:jc w:val="center"/>
              <w:rPr>
                <w:rFonts w:ascii="宋体" w:hAnsi="宋体" w:eastAsia="宋体" w:cs="Times New Roman"/>
                <w:color w:val="auto"/>
                <w:szCs w:val="24"/>
                <w:highlight w:val="none"/>
              </w:rPr>
            </w:pPr>
          </w:p>
        </w:tc>
      </w:tr>
      <w:tr w14:paraId="6AD4C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trPr>
        <w:tc>
          <w:tcPr>
            <w:tcW w:w="1428" w:type="dxa"/>
            <w:vAlign w:val="center"/>
          </w:tcPr>
          <w:p w14:paraId="7F773FB1">
            <w:pPr>
              <w:jc w:val="center"/>
              <w:rPr>
                <w:rFonts w:ascii="宋体" w:hAnsi="宋体" w:eastAsia="宋体" w:cs="Times New Roman"/>
                <w:color w:val="auto"/>
                <w:szCs w:val="24"/>
                <w:highlight w:val="none"/>
              </w:rPr>
            </w:pPr>
          </w:p>
        </w:tc>
        <w:tc>
          <w:tcPr>
            <w:tcW w:w="1429" w:type="dxa"/>
            <w:vAlign w:val="center"/>
          </w:tcPr>
          <w:p w14:paraId="1CD35CC5">
            <w:pPr>
              <w:jc w:val="center"/>
              <w:rPr>
                <w:rFonts w:ascii="宋体" w:hAnsi="宋体" w:eastAsia="宋体" w:cs="Times New Roman"/>
                <w:color w:val="auto"/>
                <w:szCs w:val="24"/>
                <w:highlight w:val="none"/>
              </w:rPr>
            </w:pPr>
          </w:p>
        </w:tc>
        <w:tc>
          <w:tcPr>
            <w:tcW w:w="1429" w:type="dxa"/>
            <w:vAlign w:val="center"/>
          </w:tcPr>
          <w:p w14:paraId="739AA198">
            <w:pPr>
              <w:jc w:val="center"/>
              <w:rPr>
                <w:rFonts w:ascii="宋体" w:hAnsi="宋体" w:eastAsia="宋体" w:cs="Times New Roman"/>
                <w:color w:val="auto"/>
                <w:szCs w:val="24"/>
                <w:highlight w:val="none"/>
              </w:rPr>
            </w:pPr>
          </w:p>
        </w:tc>
        <w:tc>
          <w:tcPr>
            <w:tcW w:w="1427" w:type="dxa"/>
            <w:vAlign w:val="center"/>
          </w:tcPr>
          <w:p w14:paraId="0E362E9F">
            <w:pPr>
              <w:jc w:val="center"/>
              <w:rPr>
                <w:rFonts w:ascii="宋体" w:hAnsi="宋体" w:eastAsia="宋体" w:cs="Times New Roman"/>
                <w:color w:val="auto"/>
                <w:szCs w:val="24"/>
                <w:highlight w:val="none"/>
              </w:rPr>
            </w:pPr>
          </w:p>
        </w:tc>
        <w:tc>
          <w:tcPr>
            <w:tcW w:w="783" w:type="dxa"/>
            <w:vAlign w:val="center"/>
          </w:tcPr>
          <w:p w14:paraId="4FA73A8A">
            <w:pPr>
              <w:jc w:val="center"/>
              <w:rPr>
                <w:rFonts w:ascii="宋体" w:hAnsi="宋体" w:eastAsia="宋体" w:cs="Times New Roman"/>
                <w:color w:val="auto"/>
                <w:szCs w:val="24"/>
                <w:highlight w:val="none"/>
              </w:rPr>
            </w:pPr>
          </w:p>
        </w:tc>
        <w:tc>
          <w:tcPr>
            <w:tcW w:w="769" w:type="dxa"/>
            <w:vAlign w:val="center"/>
          </w:tcPr>
          <w:p w14:paraId="5D7DA37C">
            <w:pPr>
              <w:jc w:val="center"/>
              <w:rPr>
                <w:rFonts w:ascii="宋体" w:hAnsi="宋体" w:eastAsia="宋体" w:cs="Times New Roman"/>
                <w:color w:val="auto"/>
                <w:szCs w:val="24"/>
                <w:highlight w:val="none"/>
              </w:rPr>
            </w:pPr>
          </w:p>
        </w:tc>
        <w:tc>
          <w:tcPr>
            <w:tcW w:w="1260" w:type="dxa"/>
            <w:vAlign w:val="center"/>
          </w:tcPr>
          <w:p w14:paraId="37F5C6B5">
            <w:pPr>
              <w:jc w:val="center"/>
              <w:rPr>
                <w:rFonts w:ascii="宋体" w:hAnsi="宋体" w:eastAsia="宋体" w:cs="Times New Roman"/>
                <w:color w:val="auto"/>
                <w:szCs w:val="24"/>
                <w:highlight w:val="none"/>
              </w:rPr>
            </w:pPr>
          </w:p>
        </w:tc>
      </w:tr>
      <w:tr w14:paraId="436E0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428" w:type="dxa"/>
            <w:vAlign w:val="center"/>
          </w:tcPr>
          <w:p w14:paraId="01028F38">
            <w:pPr>
              <w:jc w:val="center"/>
              <w:rPr>
                <w:rFonts w:ascii="宋体" w:hAnsi="宋体" w:eastAsia="宋体" w:cs="Times New Roman"/>
                <w:color w:val="auto"/>
                <w:szCs w:val="24"/>
                <w:highlight w:val="none"/>
              </w:rPr>
            </w:pPr>
          </w:p>
        </w:tc>
        <w:tc>
          <w:tcPr>
            <w:tcW w:w="1429" w:type="dxa"/>
            <w:vAlign w:val="center"/>
          </w:tcPr>
          <w:p w14:paraId="5A3D09EB">
            <w:pPr>
              <w:jc w:val="center"/>
              <w:rPr>
                <w:rFonts w:ascii="宋体" w:hAnsi="宋体" w:eastAsia="宋体" w:cs="Times New Roman"/>
                <w:color w:val="auto"/>
                <w:szCs w:val="24"/>
                <w:highlight w:val="none"/>
              </w:rPr>
            </w:pPr>
          </w:p>
        </w:tc>
        <w:tc>
          <w:tcPr>
            <w:tcW w:w="1429" w:type="dxa"/>
            <w:vAlign w:val="center"/>
          </w:tcPr>
          <w:p w14:paraId="72B26D83">
            <w:pPr>
              <w:jc w:val="center"/>
              <w:rPr>
                <w:rFonts w:ascii="宋体" w:hAnsi="宋体" w:eastAsia="宋体" w:cs="Times New Roman"/>
                <w:color w:val="auto"/>
                <w:szCs w:val="24"/>
                <w:highlight w:val="none"/>
              </w:rPr>
            </w:pPr>
          </w:p>
        </w:tc>
        <w:tc>
          <w:tcPr>
            <w:tcW w:w="1427" w:type="dxa"/>
            <w:vAlign w:val="center"/>
          </w:tcPr>
          <w:p w14:paraId="42202A88">
            <w:pPr>
              <w:jc w:val="center"/>
              <w:rPr>
                <w:rFonts w:ascii="宋体" w:hAnsi="宋体" w:eastAsia="宋体" w:cs="Times New Roman"/>
                <w:color w:val="auto"/>
                <w:szCs w:val="24"/>
                <w:highlight w:val="none"/>
              </w:rPr>
            </w:pPr>
          </w:p>
        </w:tc>
        <w:tc>
          <w:tcPr>
            <w:tcW w:w="783" w:type="dxa"/>
            <w:vAlign w:val="center"/>
          </w:tcPr>
          <w:p w14:paraId="670C8BA1">
            <w:pPr>
              <w:jc w:val="center"/>
              <w:rPr>
                <w:rFonts w:ascii="宋体" w:hAnsi="宋体" w:eastAsia="宋体" w:cs="Times New Roman"/>
                <w:color w:val="auto"/>
                <w:szCs w:val="24"/>
                <w:highlight w:val="none"/>
              </w:rPr>
            </w:pPr>
          </w:p>
        </w:tc>
        <w:tc>
          <w:tcPr>
            <w:tcW w:w="769" w:type="dxa"/>
            <w:vAlign w:val="center"/>
          </w:tcPr>
          <w:p w14:paraId="675592BA">
            <w:pPr>
              <w:jc w:val="center"/>
              <w:rPr>
                <w:rFonts w:ascii="宋体" w:hAnsi="宋体" w:eastAsia="宋体" w:cs="Times New Roman"/>
                <w:color w:val="auto"/>
                <w:szCs w:val="24"/>
                <w:highlight w:val="none"/>
              </w:rPr>
            </w:pPr>
          </w:p>
        </w:tc>
        <w:tc>
          <w:tcPr>
            <w:tcW w:w="1260" w:type="dxa"/>
            <w:vAlign w:val="center"/>
          </w:tcPr>
          <w:p w14:paraId="58EAD158">
            <w:pPr>
              <w:jc w:val="center"/>
              <w:rPr>
                <w:rFonts w:ascii="宋体" w:hAnsi="宋体" w:eastAsia="宋体" w:cs="Times New Roman"/>
                <w:color w:val="auto"/>
                <w:szCs w:val="24"/>
                <w:highlight w:val="none"/>
              </w:rPr>
            </w:pPr>
          </w:p>
        </w:tc>
      </w:tr>
      <w:tr w14:paraId="7720C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428" w:type="dxa"/>
            <w:vAlign w:val="center"/>
          </w:tcPr>
          <w:p w14:paraId="6FEC6EFA">
            <w:pPr>
              <w:jc w:val="center"/>
              <w:rPr>
                <w:rFonts w:ascii="宋体" w:hAnsi="宋体" w:eastAsia="宋体" w:cs="Times New Roman"/>
                <w:color w:val="auto"/>
                <w:szCs w:val="24"/>
                <w:highlight w:val="none"/>
              </w:rPr>
            </w:pPr>
          </w:p>
        </w:tc>
        <w:tc>
          <w:tcPr>
            <w:tcW w:w="1429" w:type="dxa"/>
            <w:vAlign w:val="center"/>
          </w:tcPr>
          <w:p w14:paraId="5C6A5A5D">
            <w:pPr>
              <w:jc w:val="center"/>
              <w:rPr>
                <w:rFonts w:ascii="宋体" w:hAnsi="宋体" w:eastAsia="宋体" w:cs="Times New Roman"/>
                <w:color w:val="auto"/>
                <w:szCs w:val="24"/>
                <w:highlight w:val="none"/>
              </w:rPr>
            </w:pPr>
          </w:p>
        </w:tc>
        <w:tc>
          <w:tcPr>
            <w:tcW w:w="1429" w:type="dxa"/>
            <w:vAlign w:val="center"/>
          </w:tcPr>
          <w:p w14:paraId="77199133">
            <w:pPr>
              <w:jc w:val="center"/>
              <w:rPr>
                <w:rFonts w:ascii="宋体" w:hAnsi="宋体" w:eastAsia="宋体" w:cs="Times New Roman"/>
                <w:color w:val="auto"/>
                <w:szCs w:val="24"/>
                <w:highlight w:val="none"/>
              </w:rPr>
            </w:pPr>
          </w:p>
        </w:tc>
        <w:tc>
          <w:tcPr>
            <w:tcW w:w="1427" w:type="dxa"/>
            <w:vAlign w:val="center"/>
          </w:tcPr>
          <w:p w14:paraId="2AE4558D">
            <w:pPr>
              <w:jc w:val="center"/>
              <w:rPr>
                <w:rFonts w:ascii="宋体" w:hAnsi="宋体" w:eastAsia="宋体" w:cs="Times New Roman"/>
                <w:color w:val="auto"/>
                <w:szCs w:val="24"/>
                <w:highlight w:val="none"/>
              </w:rPr>
            </w:pPr>
          </w:p>
        </w:tc>
        <w:tc>
          <w:tcPr>
            <w:tcW w:w="783" w:type="dxa"/>
            <w:vAlign w:val="center"/>
          </w:tcPr>
          <w:p w14:paraId="14B2DE2A">
            <w:pPr>
              <w:jc w:val="center"/>
              <w:rPr>
                <w:rFonts w:ascii="宋体" w:hAnsi="宋体" w:eastAsia="宋体" w:cs="Times New Roman"/>
                <w:color w:val="auto"/>
                <w:szCs w:val="24"/>
                <w:highlight w:val="none"/>
              </w:rPr>
            </w:pPr>
          </w:p>
        </w:tc>
        <w:tc>
          <w:tcPr>
            <w:tcW w:w="769" w:type="dxa"/>
            <w:vAlign w:val="center"/>
          </w:tcPr>
          <w:p w14:paraId="2D019FDD">
            <w:pPr>
              <w:jc w:val="center"/>
              <w:rPr>
                <w:rFonts w:ascii="宋体" w:hAnsi="宋体" w:eastAsia="宋体" w:cs="Times New Roman"/>
                <w:color w:val="auto"/>
                <w:szCs w:val="24"/>
                <w:highlight w:val="none"/>
              </w:rPr>
            </w:pPr>
          </w:p>
        </w:tc>
        <w:tc>
          <w:tcPr>
            <w:tcW w:w="1260" w:type="dxa"/>
            <w:vAlign w:val="center"/>
          </w:tcPr>
          <w:p w14:paraId="325EBA60">
            <w:pPr>
              <w:jc w:val="center"/>
              <w:rPr>
                <w:rFonts w:ascii="宋体" w:hAnsi="宋体" w:eastAsia="宋体" w:cs="Times New Roman"/>
                <w:color w:val="auto"/>
                <w:szCs w:val="24"/>
                <w:highlight w:val="none"/>
              </w:rPr>
            </w:pPr>
          </w:p>
        </w:tc>
      </w:tr>
      <w:tr w14:paraId="062AD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1428" w:type="dxa"/>
            <w:vAlign w:val="center"/>
          </w:tcPr>
          <w:p w14:paraId="407BF618">
            <w:pPr>
              <w:jc w:val="center"/>
              <w:rPr>
                <w:rFonts w:ascii="宋体" w:hAnsi="宋体" w:eastAsia="宋体" w:cs="Times New Roman"/>
                <w:color w:val="auto"/>
                <w:szCs w:val="24"/>
                <w:highlight w:val="none"/>
              </w:rPr>
            </w:pPr>
          </w:p>
        </w:tc>
        <w:tc>
          <w:tcPr>
            <w:tcW w:w="1429" w:type="dxa"/>
            <w:vAlign w:val="center"/>
          </w:tcPr>
          <w:p w14:paraId="6E9CC145">
            <w:pPr>
              <w:jc w:val="center"/>
              <w:rPr>
                <w:rFonts w:ascii="宋体" w:hAnsi="宋体" w:eastAsia="宋体" w:cs="Times New Roman"/>
                <w:color w:val="auto"/>
                <w:szCs w:val="24"/>
                <w:highlight w:val="none"/>
              </w:rPr>
            </w:pPr>
          </w:p>
        </w:tc>
        <w:tc>
          <w:tcPr>
            <w:tcW w:w="1429" w:type="dxa"/>
            <w:vAlign w:val="center"/>
          </w:tcPr>
          <w:p w14:paraId="0EAF6A02">
            <w:pPr>
              <w:jc w:val="center"/>
              <w:rPr>
                <w:rFonts w:ascii="宋体" w:hAnsi="宋体" w:eastAsia="宋体" w:cs="Times New Roman"/>
                <w:color w:val="auto"/>
                <w:szCs w:val="24"/>
                <w:highlight w:val="none"/>
              </w:rPr>
            </w:pPr>
          </w:p>
        </w:tc>
        <w:tc>
          <w:tcPr>
            <w:tcW w:w="1427" w:type="dxa"/>
            <w:vAlign w:val="center"/>
          </w:tcPr>
          <w:p w14:paraId="7A827E9A">
            <w:pPr>
              <w:jc w:val="center"/>
              <w:rPr>
                <w:rFonts w:ascii="宋体" w:hAnsi="宋体" w:eastAsia="宋体" w:cs="Times New Roman"/>
                <w:color w:val="auto"/>
                <w:szCs w:val="24"/>
                <w:highlight w:val="none"/>
              </w:rPr>
            </w:pPr>
          </w:p>
        </w:tc>
        <w:tc>
          <w:tcPr>
            <w:tcW w:w="783" w:type="dxa"/>
            <w:vAlign w:val="center"/>
          </w:tcPr>
          <w:p w14:paraId="7B3FDCC4">
            <w:pPr>
              <w:jc w:val="center"/>
              <w:rPr>
                <w:rFonts w:ascii="宋体" w:hAnsi="宋体" w:eastAsia="宋体" w:cs="Times New Roman"/>
                <w:color w:val="auto"/>
                <w:szCs w:val="24"/>
                <w:highlight w:val="none"/>
              </w:rPr>
            </w:pPr>
          </w:p>
        </w:tc>
        <w:tc>
          <w:tcPr>
            <w:tcW w:w="769" w:type="dxa"/>
            <w:vAlign w:val="center"/>
          </w:tcPr>
          <w:p w14:paraId="5C055119">
            <w:pPr>
              <w:jc w:val="center"/>
              <w:rPr>
                <w:rFonts w:ascii="宋体" w:hAnsi="宋体" w:eastAsia="宋体" w:cs="Times New Roman"/>
                <w:color w:val="auto"/>
                <w:szCs w:val="24"/>
                <w:highlight w:val="none"/>
              </w:rPr>
            </w:pPr>
          </w:p>
        </w:tc>
        <w:tc>
          <w:tcPr>
            <w:tcW w:w="1260" w:type="dxa"/>
            <w:vAlign w:val="center"/>
          </w:tcPr>
          <w:p w14:paraId="53051CB3">
            <w:pPr>
              <w:jc w:val="center"/>
              <w:rPr>
                <w:rFonts w:ascii="宋体" w:hAnsi="宋体" w:eastAsia="宋体" w:cs="Times New Roman"/>
                <w:color w:val="auto"/>
                <w:szCs w:val="24"/>
                <w:highlight w:val="none"/>
              </w:rPr>
            </w:pPr>
          </w:p>
        </w:tc>
      </w:tr>
      <w:tr w14:paraId="063D2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1428" w:type="dxa"/>
            <w:vAlign w:val="center"/>
          </w:tcPr>
          <w:p w14:paraId="34D72DEF">
            <w:pPr>
              <w:jc w:val="center"/>
              <w:rPr>
                <w:rFonts w:ascii="宋体" w:hAnsi="宋体" w:eastAsia="宋体" w:cs="Times New Roman"/>
                <w:color w:val="auto"/>
                <w:szCs w:val="24"/>
                <w:highlight w:val="none"/>
              </w:rPr>
            </w:pPr>
          </w:p>
        </w:tc>
        <w:tc>
          <w:tcPr>
            <w:tcW w:w="1429" w:type="dxa"/>
            <w:vAlign w:val="center"/>
          </w:tcPr>
          <w:p w14:paraId="3E09F6DA">
            <w:pPr>
              <w:jc w:val="center"/>
              <w:rPr>
                <w:rFonts w:ascii="宋体" w:hAnsi="宋体" w:eastAsia="宋体" w:cs="Times New Roman"/>
                <w:color w:val="auto"/>
                <w:szCs w:val="24"/>
                <w:highlight w:val="none"/>
              </w:rPr>
            </w:pPr>
          </w:p>
        </w:tc>
        <w:tc>
          <w:tcPr>
            <w:tcW w:w="1429" w:type="dxa"/>
            <w:vAlign w:val="center"/>
          </w:tcPr>
          <w:p w14:paraId="1F4FD88C">
            <w:pPr>
              <w:jc w:val="center"/>
              <w:rPr>
                <w:rFonts w:ascii="宋体" w:hAnsi="宋体" w:eastAsia="宋体" w:cs="Times New Roman"/>
                <w:color w:val="auto"/>
                <w:szCs w:val="24"/>
                <w:highlight w:val="none"/>
              </w:rPr>
            </w:pPr>
          </w:p>
        </w:tc>
        <w:tc>
          <w:tcPr>
            <w:tcW w:w="1427" w:type="dxa"/>
            <w:vAlign w:val="center"/>
          </w:tcPr>
          <w:p w14:paraId="5533340C">
            <w:pPr>
              <w:jc w:val="center"/>
              <w:rPr>
                <w:rFonts w:ascii="宋体" w:hAnsi="宋体" w:eastAsia="宋体" w:cs="Times New Roman"/>
                <w:color w:val="auto"/>
                <w:szCs w:val="24"/>
                <w:highlight w:val="none"/>
              </w:rPr>
            </w:pPr>
          </w:p>
        </w:tc>
        <w:tc>
          <w:tcPr>
            <w:tcW w:w="783" w:type="dxa"/>
            <w:vAlign w:val="center"/>
          </w:tcPr>
          <w:p w14:paraId="28608B40">
            <w:pPr>
              <w:jc w:val="center"/>
              <w:rPr>
                <w:rFonts w:ascii="宋体" w:hAnsi="宋体" w:eastAsia="宋体" w:cs="Times New Roman"/>
                <w:color w:val="auto"/>
                <w:szCs w:val="24"/>
                <w:highlight w:val="none"/>
              </w:rPr>
            </w:pPr>
          </w:p>
        </w:tc>
        <w:tc>
          <w:tcPr>
            <w:tcW w:w="769" w:type="dxa"/>
            <w:vAlign w:val="center"/>
          </w:tcPr>
          <w:p w14:paraId="1ACAD664">
            <w:pPr>
              <w:jc w:val="center"/>
              <w:rPr>
                <w:rFonts w:ascii="宋体" w:hAnsi="宋体" w:eastAsia="宋体" w:cs="Times New Roman"/>
                <w:color w:val="auto"/>
                <w:szCs w:val="24"/>
                <w:highlight w:val="none"/>
              </w:rPr>
            </w:pPr>
          </w:p>
        </w:tc>
        <w:tc>
          <w:tcPr>
            <w:tcW w:w="1260" w:type="dxa"/>
            <w:vAlign w:val="center"/>
          </w:tcPr>
          <w:p w14:paraId="728F8062">
            <w:pPr>
              <w:jc w:val="center"/>
              <w:rPr>
                <w:rFonts w:ascii="宋体" w:hAnsi="宋体" w:eastAsia="宋体" w:cs="Times New Roman"/>
                <w:color w:val="auto"/>
                <w:szCs w:val="24"/>
                <w:highlight w:val="none"/>
              </w:rPr>
            </w:pPr>
          </w:p>
        </w:tc>
      </w:tr>
      <w:tr w14:paraId="222E0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1428" w:type="dxa"/>
          </w:tcPr>
          <w:p w14:paraId="736B6EA6">
            <w:pPr>
              <w:rPr>
                <w:rFonts w:ascii="宋体" w:hAnsi="宋体" w:eastAsia="宋体" w:cs="Times New Roman"/>
                <w:color w:val="auto"/>
                <w:szCs w:val="24"/>
                <w:highlight w:val="none"/>
              </w:rPr>
            </w:pPr>
          </w:p>
        </w:tc>
        <w:tc>
          <w:tcPr>
            <w:tcW w:w="1429" w:type="dxa"/>
          </w:tcPr>
          <w:p w14:paraId="7B80C2A6">
            <w:pPr>
              <w:rPr>
                <w:rFonts w:ascii="宋体" w:hAnsi="宋体" w:eastAsia="宋体" w:cs="Times New Roman"/>
                <w:color w:val="auto"/>
                <w:szCs w:val="24"/>
                <w:highlight w:val="none"/>
              </w:rPr>
            </w:pPr>
          </w:p>
        </w:tc>
        <w:tc>
          <w:tcPr>
            <w:tcW w:w="1429" w:type="dxa"/>
          </w:tcPr>
          <w:p w14:paraId="15B84D53">
            <w:pPr>
              <w:rPr>
                <w:rFonts w:ascii="宋体" w:hAnsi="宋体" w:eastAsia="宋体" w:cs="Times New Roman"/>
                <w:color w:val="auto"/>
                <w:szCs w:val="24"/>
                <w:highlight w:val="none"/>
              </w:rPr>
            </w:pPr>
          </w:p>
        </w:tc>
        <w:tc>
          <w:tcPr>
            <w:tcW w:w="1427" w:type="dxa"/>
          </w:tcPr>
          <w:p w14:paraId="5A7B15BC">
            <w:pPr>
              <w:rPr>
                <w:rFonts w:ascii="宋体" w:hAnsi="宋体" w:eastAsia="宋体" w:cs="Times New Roman"/>
                <w:color w:val="auto"/>
                <w:szCs w:val="24"/>
                <w:highlight w:val="none"/>
              </w:rPr>
            </w:pPr>
          </w:p>
        </w:tc>
        <w:tc>
          <w:tcPr>
            <w:tcW w:w="783" w:type="dxa"/>
          </w:tcPr>
          <w:p w14:paraId="3EFDAA0F">
            <w:pPr>
              <w:rPr>
                <w:rFonts w:ascii="宋体" w:hAnsi="宋体" w:eastAsia="宋体" w:cs="Times New Roman"/>
                <w:color w:val="auto"/>
                <w:szCs w:val="24"/>
                <w:highlight w:val="none"/>
              </w:rPr>
            </w:pPr>
          </w:p>
        </w:tc>
        <w:tc>
          <w:tcPr>
            <w:tcW w:w="769" w:type="dxa"/>
          </w:tcPr>
          <w:p w14:paraId="2471D658">
            <w:pPr>
              <w:rPr>
                <w:rFonts w:ascii="宋体" w:hAnsi="宋体" w:eastAsia="宋体" w:cs="Times New Roman"/>
                <w:color w:val="auto"/>
                <w:szCs w:val="24"/>
                <w:highlight w:val="none"/>
              </w:rPr>
            </w:pPr>
          </w:p>
        </w:tc>
        <w:tc>
          <w:tcPr>
            <w:tcW w:w="1260" w:type="dxa"/>
          </w:tcPr>
          <w:p w14:paraId="3E38C017">
            <w:pPr>
              <w:rPr>
                <w:rFonts w:ascii="宋体" w:hAnsi="宋体" w:eastAsia="宋体" w:cs="Times New Roman"/>
                <w:color w:val="auto"/>
                <w:szCs w:val="24"/>
                <w:highlight w:val="none"/>
              </w:rPr>
            </w:pPr>
          </w:p>
        </w:tc>
      </w:tr>
    </w:tbl>
    <w:p w14:paraId="5C09A6A9">
      <w:pPr>
        <w:spacing w:line="276" w:lineRule="auto"/>
        <w:rPr>
          <w:rFonts w:ascii="宋体" w:hAnsi="宋体" w:eastAsia="宋体"/>
          <w:dstrike/>
          <w:color w:val="auto"/>
          <w:highlight w:val="none"/>
        </w:rPr>
      </w:pPr>
      <w:r>
        <w:rPr>
          <w:rFonts w:hint="eastAsia" w:ascii="宋体" w:hAnsi="宋体" w:eastAsia="宋体"/>
          <w:color w:val="auto"/>
          <w:highlight w:val="none"/>
        </w:rPr>
        <w:t>注：①投标人应将已完成的</w:t>
      </w:r>
      <w:r>
        <w:rPr>
          <w:rFonts w:hint="eastAsia" w:ascii="宋体" w:hAnsi="宋体" w:eastAsia="宋体"/>
          <w:color w:val="auto"/>
          <w:szCs w:val="21"/>
          <w:highlight w:val="none"/>
        </w:rPr>
        <w:t>满足《商务文件评分表》评审要求的</w:t>
      </w:r>
      <w:r>
        <w:rPr>
          <w:rFonts w:hint="eastAsia" w:ascii="宋体" w:hAnsi="宋体" w:eastAsia="宋体"/>
          <w:color w:val="auto"/>
          <w:highlight w:val="none"/>
        </w:rPr>
        <w:t>类似勘察或设计项目情况填入本表中，以合同签</w:t>
      </w:r>
      <w:r>
        <w:rPr>
          <w:rFonts w:hint="eastAsia" w:ascii="宋体" w:hAnsi="宋体" w:eastAsia="宋体"/>
          <w:color w:val="auto"/>
          <w:highlight w:val="none"/>
          <w:lang w:val="en-US" w:eastAsia="zh-CN"/>
        </w:rPr>
        <w:t>订</w:t>
      </w:r>
      <w:r>
        <w:rPr>
          <w:rFonts w:hint="eastAsia" w:ascii="宋体" w:hAnsi="宋体" w:eastAsia="宋体"/>
          <w:color w:val="auto"/>
          <w:highlight w:val="none"/>
        </w:rPr>
        <w:t>时间为准。</w:t>
      </w:r>
    </w:p>
    <w:p w14:paraId="794B95C1">
      <w:pPr>
        <w:spacing w:line="276" w:lineRule="auto"/>
        <w:rPr>
          <w:rFonts w:ascii="宋体" w:hAnsi="宋体" w:eastAsia="宋体"/>
          <w:color w:val="auto"/>
          <w:highlight w:val="none"/>
        </w:rPr>
      </w:pPr>
      <w:r>
        <w:rPr>
          <w:rFonts w:hint="eastAsia" w:ascii="宋体" w:hAnsi="宋体" w:eastAsia="宋体"/>
          <w:color w:val="auto"/>
          <w:highlight w:val="none"/>
        </w:rPr>
        <w:t>②项目概况包括：项目名称、项目等级、规模、建安费或总投资。</w:t>
      </w:r>
    </w:p>
    <w:p w14:paraId="63BD10AF">
      <w:pPr>
        <w:spacing w:line="276" w:lineRule="auto"/>
        <w:rPr>
          <w:rFonts w:ascii="宋体" w:hAnsi="宋体" w:eastAsia="宋体"/>
          <w:color w:val="auto"/>
          <w:highlight w:val="none"/>
        </w:rPr>
      </w:pPr>
      <w:r>
        <w:rPr>
          <w:rFonts w:hint="eastAsia" w:ascii="宋体" w:hAnsi="宋体" w:eastAsia="宋体"/>
          <w:color w:val="auto"/>
          <w:highlight w:val="none"/>
        </w:rPr>
        <w:t>③完成情况：已完成初步设计或施工图设计或已竣工。</w:t>
      </w:r>
    </w:p>
    <w:p w14:paraId="67360847">
      <w:pPr>
        <w:spacing w:line="276" w:lineRule="auto"/>
        <w:rPr>
          <w:rFonts w:ascii="宋体" w:hAnsi="宋体" w:eastAsia="宋体"/>
          <w:color w:val="auto"/>
          <w:highlight w:val="none"/>
        </w:rPr>
      </w:pPr>
      <w:r>
        <w:rPr>
          <w:rFonts w:hint="eastAsia" w:ascii="宋体" w:hAnsi="宋体" w:eastAsia="宋体"/>
          <w:color w:val="auto"/>
          <w:highlight w:val="none"/>
        </w:rPr>
        <w:t>④投标人应随本表所填项目同时提供合同文本主要页、中标通知书（或免招标证明文件）和</w:t>
      </w:r>
      <w:r>
        <w:rPr>
          <w:rFonts w:hint="eastAsia" w:ascii="宋体" w:hAnsi="宋体" w:eastAsia="宋体"/>
          <w:color w:val="auto"/>
          <w:szCs w:val="21"/>
          <w:highlight w:val="none"/>
        </w:rPr>
        <w:t>满足《商务文件评分表》的其中资料</w:t>
      </w:r>
      <w:r>
        <w:rPr>
          <w:rFonts w:hint="eastAsia" w:ascii="宋体" w:hAnsi="宋体" w:eastAsia="宋体"/>
          <w:color w:val="auto"/>
          <w:highlight w:val="none"/>
        </w:rPr>
        <w:t>；获奖业绩须提交获奖证书或获奖证明文件；否则，招标人将不考虑投标人所填项目的业绩和奖项。合同文本应含：项目名称，甲、乙方单位名称，勘察设计工作内容、工作时间，甲、乙方单位签约人签名及单位公章等内容。</w:t>
      </w:r>
    </w:p>
    <w:p w14:paraId="1EE86B8E">
      <w:pPr>
        <w:spacing w:line="276" w:lineRule="auto"/>
        <w:rPr>
          <w:rFonts w:ascii="宋体" w:hAnsi="宋体" w:eastAsia="宋体"/>
          <w:color w:val="auto"/>
          <w:highlight w:val="none"/>
        </w:rPr>
      </w:pPr>
      <w:r>
        <w:rPr>
          <w:rFonts w:hint="eastAsia" w:ascii="宋体" w:hAnsi="宋体" w:eastAsia="宋体"/>
          <w:color w:val="auto"/>
          <w:highlight w:val="none"/>
        </w:rPr>
        <w:t>⑤投标人所提供的证明材料，应如实反映出各勘察设计项目的建设规模等相关数据。</w:t>
      </w:r>
    </w:p>
    <w:p w14:paraId="5572DF4E">
      <w:pPr>
        <w:spacing w:line="276" w:lineRule="auto"/>
        <w:rPr>
          <w:rFonts w:ascii="宋体" w:hAnsi="宋体" w:eastAsia="宋体"/>
          <w:color w:val="auto"/>
          <w:highlight w:val="none"/>
        </w:rPr>
      </w:pPr>
      <w:r>
        <w:rPr>
          <w:rFonts w:hint="eastAsia" w:ascii="宋体" w:hAnsi="宋体" w:eastAsia="宋体"/>
          <w:color w:val="auto"/>
          <w:highlight w:val="none"/>
        </w:rPr>
        <w:t>⑥对应《商务文件评分表》评审要求，请在备注中选择填写“企业类似业绩或奖项”或“项目负责人业绩或奖项”或“专业负责人业绩或奖项”；同时满足前述多项评审要求，可在备注中同时填写前述多个选项。</w:t>
      </w:r>
    </w:p>
    <w:p w14:paraId="32EDA06F">
      <w:pPr>
        <w:widowControl/>
        <w:jc w:val="left"/>
        <w:rPr>
          <w:rFonts w:ascii="宋体" w:hAnsi="宋体" w:eastAsia="宋体" w:cs="Times New Roman"/>
          <w:b/>
          <w:color w:val="auto"/>
          <w:kern w:val="0"/>
          <w:sz w:val="24"/>
          <w:szCs w:val="24"/>
          <w:highlight w:val="none"/>
          <w:lang w:val="zh-CN"/>
        </w:rPr>
      </w:pPr>
      <w:r>
        <w:rPr>
          <w:rFonts w:hint="eastAsia" w:ascii="宋体" w:hAnsi="宋体" w:eastAsia="宋体"/>
          <w:color w:val="auto"/>
          <w:highlight w:val="none"/>
        </w:rPr>
        <w:br w:type="page"/>
      </w:r>
    </w:p>
    <w:p w14:paraId="613087C8">
      <w:pPr>
        <w:autoSpaceDE w:val="0"/>
        <w:autoSpaceDN w:val="0"/>
        <w:adjustRightInd w:val="0"/>
        <w:spacing w:line="276" w:lineRule="auto"/>
        <w:ind w:left="284" w:hanging="284"/>
        <w:jc w:val="left"/>
        <w:outlineLvl w:val="4"/>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（5）中小企业声明函（如有）</w:t>
      </w:r>
    </w:p>
    <w:p w14:paraId="1DD5EC1C">
      <w:pPr>
        <w:spacing w:line="360" w:lineRule="auto"/>
        <w:jc w:val="center"/>
        <w:rPr>
          <w:rFonts w:ascii="宋体" w:hAnsi="宋体" w:eastAsia="宋体" w:cs="Times New Roman"/>
          <w:b/>
          <w:bCs/>
          <w:color w:val="auto"/>
          <w:sz w:val="28"/>
          <w:szCs w:val="28"/>
          <w:highlight w:val="none"/>
        </w:rPr>
      </w:pPr>
      <w:r>
        <w:rPr>
          <w:rFonts w:hint="eastAsia" w:ascii="宋体" w:hAnsi="宋体" w:eastAsia="宋体" w:cs="Times New Roman"/>
          <w:b/>
          <w:bCs/>
          <w:color w:val="auto"/>
          <w:sz w:val="28"/>
          <w:szCs w:val="28"/>
          <w:highlight w:val="none"/>
        </w:rPr>
        <w:t>中小企业声明函（如有）</w:t>
      </w:r>
    </w:p>
    <w:p w14:paraId="32CFA997">
      <w:pPr>
        <w:spacing w:line="360" w:lineRule="auto"/>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lang w:bidi="ar"/>
        </w:rPr>
        <w:t xml:space="preserve">   （投标人）    </w:t>
      </w:r>
      <w:r>
        <w:rPr>
          <w:rFonts w:hint="eastAsia" w:ascii="宋体" w:hAnsi="宋体" w:eastAsia="宋体" w:cs="宋体"/>
          <w:color w:val="auto"/>
          <w:sz w:val="24"/>
          <w:szCs w:val="24"/>
          <w:highlight w:val="none"/>
          <w:lang w:bidi="ar"/>
        </w:rPr>
        <w:t>郑重声明，根据《关于印发中小企业划型标准规定的通知》（工信部联企业〔2011〕300号）的规定，</w:t>
      </w:r>
      <w:r>
        <w:rPr>
          <w:rFonts w:hint="eastAsia" w:ascii="宋体" w:hAnsi="宋体" w:eastAsia="宋体" w:cs="宋体"/>
          <w:color w:val="auto"/>
          <w:sz w:val="24"/>
          <w:szCs w:val="24"/>
          <w:highlight w:val="none"/>
          <w:u w:val="single"/>
          <w:lang w:bidi="ar"/>
        </w:rPr>
        <w:t xml:space="preserve">（投标人名称）... </w:t>
      </w:r>
      <w:r>
        <w:rPr>
          <w:rFonts w:hint="eastAsia" w:ascii="宋体" w:hAnsi="宋体" w:eastAsia="宋体" w:cs="宋体"/>
          <w:color w:val="auto"/>
          <w:sz w:val="24"/>
          <w:szCs w:val="24"/>
          <w:highlight w:val="none"/>
          <w:lang w:bidi="ar"/>
        </w:rPr>
        <w:t>为符合政策要求的中小企业。</w:t>
      </w:r>
    </w:p>
    <w:p w14:paraId="63A9E144">
      <w:pPr>
        <w:spacing w:line="360" w:lineRule="auto"/>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具体情况如下：</w:t>
      </w:r>
    </w:p>
    <w:p w14:paraId="0733DEA0">
      <w:pPr>
        <w:numPr>
          <w:ilvl w:val="0"/>
          <w:numId w:val="3"/>
        </w:numPr>
        <w:spacing w:line="360" w:lineRule="auto"/>
        <w:ind w:firstLine="48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u w:val="single"/>
        </w:rPr>
        <w:t>（项目名称）</w:t>
      </w:r>
      <w:r>
        <w:rPr>
          <w:rFonts w:hint="eastAsia" w:ascii="宋体" w:hAnsi="宋体" w:eastAsia="宋体" w:cs="宋体"/>
          <w:color w:val="auto"/>
          <w:sz w:val="24"/>
          <w:szCs w:val="24"/>
          <w:highlight w:val="none"/>
          <w:lang w:bidi="ar"/>
        </w:rPr>
        <w:t>，属于</w:t>
      </w:r>
      <w:r>
        <w:rPr>
          <w:rFonts w:hint="eastAsia" w:ascii="宋体" w:hAnsi="宋体" w:eastAsia="宋体" w:cs="宋体"/>
          <w:color w:val="auto"/>
          <w:sz w:val="24"/>
          <w:szCs w:val="24"/>
          <w:highlight w:val="none"/>
          <w:u w:val="single"/>
          <w:lang w:bidi="ar"/>
        </w:rPr>
        <w:t>中小企业划型标准规定的</w:t>
      </w:r>
      <w:r>
        <w:rPr>
          <w:rFonts w:hint="eastAsia" w:ascii="宋体" w:hAnsi="宋体" w:eastAsia="宋体" w:cs="宋体"/>
          <w:b/>
          <w:bCs/>
          <w:color w:val="auto"/>
          <w:sz w:val="24"/>
          <w:szCs w:val="24"/>
          <w:highlight w:val="none"/>
          <w:u w:val="single"/>
          <w:lang w:bidi="ar"/>
        </w:rPr>
        <w:t>其他未列明</w:t>
      </w:r>
      <w:r>
        <w:rPr>
          <w:rFonts w:hint="eastAsia" w:ascii="宋体" w:hAnsi="宋体" w:eastAsia="宋体" w:cs="宋体"/>
          <w:color w:val="auto"/>
          <w:sz w:val="24"/>
          <w:szCs w:val="24"/>
          <w:highlight w:val="none"/>
          <w:lang w:bidi="ar"/>
        </w:rPr>
        <w:t>行业；承接企业为</w:t>
      </w:r>
      <w:r>
        <w:rPr>
          <w:rFonts w:hint="eastAsia" w:ascii="宋体" w:hAnsi="宋体" w:eastAsia="宋体" w:cs="宋体"/>
          <w:color w:val="auto"/>
          <w:sz w:val="24"/>
          <w:szCs w:val="24"/>
          <w:highlight w:val="none"/>
          <w:u w:val="single"/>
          <w:lang w:bidi="ar"/>
        </w:rPr>
        <w:t xml:space="preserve">   （企业名称）   </w:t>
      </w:r>
      <w:r>
        <w:rPr>
          <w:rFonts w:hint="eastAsia" w:ascii="宋体" w:hAnsi="宋体" w:eastAsia="宋体" w:cs="宋体"/>
          <w:color w:val="auto"/>
          <w:sz w:val="24"/>
          <w:szCs w:val="24"/>
          <w:highlight w:val="none"/>
          <w:lang w:bidi="ar"/>
        </w:rPr>
        <w:t>，从业人员____________人，营业收入为</w:t>
      </w:r>
      <w:r>
        <w:rPr>
          <w:rFonts w:hint="eastAsia" w:ascii="宋体" w:hAnsi="宋体" w:cs="宋体"/>
          <w:color w:val="auto"/>
          <w:sz w:val="24"/>
          <w:szCs w:val="24"/>
          <w:highlight w:val="none"/>
          <w:u w:val="single"/>
          <w:lang w:val="en-US" w:eastAsia="zh-CN" w:bidi="ar"/>
        </w:rPr>
        <w:t xml:space="preserve">     </w:t>
      </w:r>
      <w:r>
        <w:rPr>
          <w:rFonts w:hint="eastAsia" w:ascii="宋体" w:hAnsi="宋体" w:eastAsia="宋体" w:cs="宋体"/>
          <w:color w:val="auto"/>
          <w:sz w:val="24"/>
          <w:szCs w:val="24"/>
          <w:highlight w:val="none"/>
          <w:lang w:bidi="ar"/>
        </w:rPr>
        <w:t>万元，资产总额为__________________万元，属于</w:t>
      </w:r>
      <w:r>
        <w:rPr>
          <w:rFonts w:hint="eastAsia" w:ascii="宋体" w:hAnsi="宋体" w:eastAsia="宋体" w:cs="宋体"/>
          <w:color w:val="auto"/>
          <w:sz w:val="24"/>
          <w:szCs w:val="24"/>
          <w:highlight w:val="none"/>
          <w:u w:val="single"/>
          <w:lang w:bidi="ar"/>
        </w:rPr>
        <w:t>（小型企业、微型企业）</w:t>
      </w:r>
      <w:r>
        <w:rPr>
          <w:rFonts w:hint="eastAsia" w:ascii="宋体" w:hAnsi="宋体" w:eastAsia="宋体" w:cs="宋体"/>
          <w:color w:val="auto"/>
          <w:sz w:val="24"/>
          <w:szCs w:val="24"/>
          <w:highlight w:val="none"/>
          <w:lang w:bidi="ar"/>
        </w:rPr>
        <w:t>；在本项目中拟承担</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工作，在本项目的合同份额占合同总金额</w:t>
      </w:r>
      <w:r>
        <w:rPr>
          <w:rFonts w:hint="eastAsia" w:ascii="宋体" w:hAnsi="宋体" w:eastAsia="宋体" w:cs="宋体"/>
          <w:b/>
          <w:bCs/>
          <w:color w:val="auto"/>
          <w:sz w:val="24"/>
          <w:szCs w:val="24"/>
          <w:highlight w:val="none"/>
          <w:u w:val="single"/>
          <w:lang w:bidi="ar"/>
        </w:rPr>
        <w:t xml:space="preserve">    </w:t>
      </w:r>
      <w:r>
        <w:rPr>
          <w:rFonts w:hint="eastAsia" w:ascii="宋体" w:hAnsi="宋体" w:eastAsia="宋体" w:cs="宋体"/>
          <w:b/>
          <w:bCs/>
          <w:color w:val="auto"/>
          <w:sz w:val="24"/>
          <w:szCs w:val="24"/>
          <w:highlight w:val="none"/>
          <w:lang w:bidi="ar"/>
        </w:rPr>
        <w:t>%</w:t>
      </w:r>
      <w:r>
        <w:rPr>
          <w:rFonts w:hint="eastAsia" w:ascii="宋体" w:hAnsi="宋体" w:eastAsia="宋体" w:cs="宋体"/>
          <w:color w:val="auto"/>
          <w:sz w:val="24"/>
          <w:szCs w:val="24"/>
          <w:highlight w:val="none"/>
          <w:lang w:bidi="ar"/>
        </w:rPr>
        <w:t>。</w:t>
      </w:r>
    </w:p>
    <w:p w14:paraId="6BF04955">
      <w:pPr>
        <w:numPr>
          <w:ilvl w:val="0"/>
          <w:numId w:val="3"/>
        </w:numPr>
        <w:spacing w:line="360" w:lineRule="auto"/>
        <w:ind w:firstLine="48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u w:val="single"/>
        </w:rPr>
        <w:t>（项目名称）</w:t>
      </w:r>
      <w:r>
        <w:rPr>
          <w:rFonts w:hint="eastAsia" w:ascii="宋体" w:hAnsi="宋体" w:eastAsia="宋体" w:cs="宋体"/>
          <w:color w:val="auto"/>
          <w:sz w:val="24"/>
          <w:szCs w:val="24"/>
          <w:highlight w:val="none"/>
          <w:lang w:bidi="ar"/>
        </w:rPr>
        <w:t>，属于</w:t>
      </w:r>
      <w:r>
        <w:rPr>
          <w:rFonts w:hint="eastAsia" w:ascii="宋体" w:hAnsi="宋体" w:eastAsia="宋体" w:cs="宋体"/>
          <w:color w:val="auto"/>
          <w:sz w:val="24"/>
          <w:szCs w:val="24"/>
          <w:highlight w:val="none"/>
          <w:u w:val="single"/>
          <w:lang w:bidi="ar"/>
        </w:rPr>
        <w:t>中小企业划型标准规定的</w:t>
      </w:r>
      <w:r>
        <w:rPr>
          <w:rFonts w:hint="eastAsia" w:ascii="宋体" w:hAnsi="宋体" w:eastAsia="宋体" w:cs="宋体"/>
          <w:b/>
          <w:bCs/>
          <w:color w:val="auto"/>
          <w:sz w:val="24"/>
          <w:szCs w:val="24"/>
          <w:highlight w:val="none"/>
          <w:u w:val="single"/>
          <w:lang w:bidi="ar"/>
        </w:rPr>
        <w:t>其他未列明</w:t>
      </w:r>
      <w:r>
        <w:rPr>
          <w:rFonts w:hint="eastAsia" w:ascii="宋体" w:hAnsi="宋体" w:eastAsia="宋体" w:cs="宋体"/>
          <w:color w:val="auto"/>
          <w:sz w:val="24"/>
          <w:szCs w:val="24"/>
          <w:highlight w:val="none"/>
          <w:lang w:bidi="ar"/>
        </w:rPr>
        <w:t>行业；承接企业为</w:t>
      </w:r>
      <w:r>
        <w:rPr>
          <w:rFonts w:hint="eastAsia" w:ascii="宋体" w:hAnsi="宋体" w:eastAsia="宋体" w:cs="宋体"/>
          <w:color w:val="auto"/>
          <w:sz w:val="24"/>
          <w:szCs w:val="24"/>
          <w:highlight w:val="none"/>
          <w:u w:val="single"/>
          <w:lang w:bidi="ar"/>
        </w:rPr>
        <w:t xml:space="preserve">   （企业名称）   </w:t>
      </w:r>
      <w:r>
        <w:rPr>
          <w:rFonts w:hint="eastAsia" w:ascii="宋体" w:hAnsi="宋体" w:eastAsia="宋体" w:cs="宋体"/>
          <w:color w:val="auto"/>
          <w:sz w:val="24"/>
          <w:szCs w:val="24"/>
          <w:highlight w:val="none"/>
          <w:lang w:bidi="ar"/>
        </w:rPr>
        <w:t>，从业人员___________ 人，营业收入为</w:t>
      </w:r>
      <w:r>
        <w:rPr>
          <w:rFonts w:hint="eastAsia" w:ascii="宋体" w:hAnsi="宋体" w:cs="宋体"/>
          <w:color w:val="auto"/>
          <w:sz w:val="24"/>
          <w:szCs w:val="24"/>
          <w:highlight w:val="none"/>
          <w:u w:val="single"/>
          <w:lang w:val="en-US" w:eastAsia="zh-CN" w:bidi="ar"/>
        </w:rPr>
        <w:t xml:space="preserve">     </w:t>
      </w:r>
      <w:r>
        <w:rPr>
          <w:rFonts w:hint="eastAsia" w:ascii="宋体" w:hAnsi="宋体" w:eastAsia="宋体" w:cs="宋体"/>
          <w:color w:val="auto"/>
          <w:sz w:val="24"/>
          <w:szCs w:val="24"/>
          <w:highlight w:val="none"/>
          <w:lang w:bidi="ar"/>
        </w:rPr>
        <w:t>万元，资产总额为__________________万元</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属于</w:t>
      </w:r>
      <w:r>
        <w:rPr>
          <w:rFonts w:hint="eastAsia" w:ascii="宋体" w:hAnsi="宋体" w:eastAsia="宋体" w:cs="宋体"/>
          <w:color w:val="auto"/>
          <w:sz w:val="24"/>
          <w:szCs w:val="24"/>
          <w:highlight w:val="none"/>
          <w:u w:val="single"/>
          <w:lang w:bidi="ar"/>
        </w:rPr>
        <w:t>（小型企业、微型企业）</w:t>
      </w:r>
      <w:r>
        <w:rPr>
          <w:rFonts w:hint="eastAsia" w:ascii="宋体" w:hAnsi="宋体" w:eastAsia="宋体" w:cs="宋体"/>
          <w:color w:val="auto"/>
          <w:sz w:val="24"/>
          <w:szCs w:val="24"/>
          <w:highlight w:val="none"/>
          <w:lang w:bidi="ar"/>
        </w:rPr>
        <w:t>；在本项目中拟承担</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工作，在本项目的合同份额占合同总金额</w:t>
      </w:r>
      <w:r>
        <w:rPr>
          <w:rFonts w:hint="eastAsia" w:ascii="宋体" w:hAnsi="宋体" w:eastAsia="宋体" w:cs="宋体"/>
          <w:b/>
          <w:bCs/>
          <w:color w:val="auto"/>
          <w:sz w:val="24"/>
          <w:szCs w:val="24"/>
          <w:highlight w:val="none"/>
          <w:u w:val="single"/>
          <w:lang w:bidi="ar"/>
        </w:rPr>
        <w:t xml:space="preserve">    </w:t>
      </w:r>
      <w:r>
        <w:rPr>
          <w:rFonts w:hint="eastAsia" w:ascii="宋体" w:hAnsi="宋体" w:eastAsia="宋体" w:cs="宋体"/>
          <w:b/>
          <w:bCs/>
          <w:color w:val="auto"/>
          <w:sz w:val="24"/>
          <w:szCs w:val="24"/>
          <w:highlight w:val="none"/>
          <w:lang w:bidi="ar"/>
        </w:rPr>
        <w:t>%</w:t>
      </w:r>
      <w:r>
        <w:rPr>
          <w:rFonts w:hint="eastAsia" w:ascii="宋体" w:hAnsi="宋体" w:eastAsia="宋体" w:cs="宋体"/>
          <w:color w:val="auto"/>
          <w:sz w:val="24"/>
          <w:szCs w:val="24"/>
          <w:highlight w:val="none"/>
          <w:lang w:bidi="ar"/>
        </w:rPr>
        <w:t>。</w:t>
      </w:r>
    </w:p>
    <w:p w14:paraId="7C3A3E55">
      <w:pPr>
        <w:spacing w:line="360" w:lineRule="auto"/>
        <w:ind w:firstLine="48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w:t>
      </w:r>
    </w:p>
    <w:p w14:paraId="617637D7">
      <w:pPr>
        <w:spacing w:line="360" w:lineRule="auto"/>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以上企业，不属于大企业的分支机构，不存在控股股东为大企业的情形，也不存在与大企业的负责人为同一人的情形。</w:t>
      </w:r>
    </w:p>
    <w:p w14:paraId="0F4921C7">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本企业对上述声明内容的真实性负责。如有虚假，将依法承担相应责任。</w:t>
      </w:r>
    </w:p>
    <w:p w14:paraId="03A18DA3">
      <w:pPr>
        <w:spacing w:line="360" w:lineRule="auto"/>
        <w:jc w:val="right"/>
        <w:rPr>
          <w:rFonts w:ascii="宋体" w:hAnsi="宋体" w:eastAsia="宋体" w:cs="宋体"/>
          <w:color w:val="auto"/>
          <w:sz w:val="24"/>
          <w:szCs w:val="24"/>
          <w:highlight w:val="none"/>
        </w:rPr>
      </w:pPr>
    </w:p>
    <w:p w14:paraId="67C35E7C">
      <w:pPr>
        <w:spacing w:line="360" w:lineRule="auto"/>
        <w:jc w:val="righ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投标人（盖章）：</w:t>
      </w:r>
    </w:p>
    <w:p w14:paraId="4D0CA4B2">
      <w:pPr>
        <w:spacing w:line="360" w:lineRule="auto"/>
        <w:jc w:val="right"/>
        <w:rPr>
          <w:rFonts w:ascii="宋体" w:hAnsi="宋体" w:eastAsia="宋体" w:cs="Times New Roman"/>
          <w:color w:val="auto"/>
          <w:sz w:val="24"/>
          <w:szCs w:val="24"/>
          <w:highlight w:val="none"/>
        </w:rPr>
      </w:pPr>
      <w:r>
        <w:rPr>
          <w:rFonts w:hint="eastAsia" w:ascii="宋体" w:hAnsi="宋体" w:eastAsia="宋体" w:cs="宋体"/>
          <w:color w:val="auto"/>
          <w:sz w:val="24"/>
          <w:szCs w:val="24"/>
          <w:highlight w:val="none"/>
        </w:rPr>
        <w:t xml:space="preserve">             日期：</w:t>
      </w:r>
    </w:p>
    <w:p w14:paraId="79171ED9">
      <w:pPr>
        <w:wordWrap w:val="0"/>
        <w:topLinePunct/>
        <w:spacing w:line="276" w:lineRule="auto"/>
        <w:jc w:val="left"/>
        <w:rPr>
          <w:rFonts w:ascii="宋体" w:hAnsi="宋体" w:eastAsia="宋体" w:cs="Times New Roman"/>
          <w:color w:val="auto"/>
          <w:szCs w:val="21"/>
          <w:highlight w:val="none"/>
        </w:rPr>
      </w:pPr>
    </w:p>
    <w:p w14:paraId="0707510A">
      <w:pPr>
        <w:wordWrap w:val="0"/>
        <w:topLinePunct/>
        <w:spacing w:line="276" w:lineRule="auto"/>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注：</w:t>
      </w:r>
    </w:p>
    <w:p w14:paraId="3EBC96D1">
      <w:pPr>
        <w:wordWrap w:val="0"/>
        <w:topLinePunct/>
        <w:spacing w:line="276" w:lineRule="auto"/>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1、营业收入、资产总额填报上一年度数据，无上一年度数据的新成立企业可不填报。</w:t>
      </w:r>
    </w:p>
    <w:p w14:paraId="63F2B3E1">
      <w:pPr>
        <w:wordWrap w:val="0"/>
        <w:topLinePunct/>
        <w:spacing w:line="276" w:lineRule="auto"/>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2、投标人可参考《广东省财政厅关于进一步规范政府采购活动中落实促进中小企业发展政策的通知（粤财采购〔2024〕11 号）》（http://czt.gd.gov.cn/zfcg/content/post_4497011.html）、《广州市政府采购中心关于规范填写《中小企业声明函》的温馨提示》（集团公告- 详情页https://www.gzggzy.cn/jtgg/1001279.jhtml）填写，《中小企业声明函》由参加招投标活动的</w:t>
      </w:r>
      <w:r>
        <w:rPr>
          <w:rFonts w:hint="eastAsia" w:ascii="宋体" w:hAnsi="宋体" w:eastAsia="宋体" w:cs="Times New Roman"/>
          <w:b/>
          <w:bCs/>
          <w:color w:val="auto"/>
          <w:szCs w:val="21"/>
          <w:highlight w:val="none"/>
        </w:rPr>
        <w:t>投标人</w:t>
      </w:r>
      <w:r>
        <w:rPr>
          <w:rFonts w:hint="eastAsia" w:ascii="宋体" w:hAnsi="宋体" w:eastAsia="宋体" w:cs="Times New Roman"/>
          <w:color w:val="auto"/>
          <w:szCs w:val="21"/>
          <w:highlight w:val="none"/>
        </w:rPr>
        <w:t>出具。</w:t>
      </w:r>
      <w:r>
        <w:rPr>
          <w:rFonts w:hint="eastAsia" w:ascii="宋体" w:hAnsi="宋体" w:eastAsia="宋体" w:cs="Times New Roman"/>
          <w:b/>
          <w:bCs/>
          <w:color w:val="auto"/>
          <w:szCs w:val="21"/>
          <w:highlight w:val="none"/>
        </w:rPr>
        <w:t>以联合体形式参加投标活动的，《中小企业声明函》中需填写联合体中的小微企业相关信息。</w:t>
      </w:r>
    </w:p>
    <w:p w14:paraId="70EBA46A">
      <w:pPr>
        <w:wordWrap w:val="0"/>
        <w:topLinePunct/>
        <w:spacing w:line="276" w:lineRule="auto"/>
        <w:jc w:val="left"/>
        <w:rPr>
          <w:rFonts w:ascii="宋体" w:hAnsi="宋体" w:eastAsia="宋体"/>
          <w:color w:val="auto"/>
          <w:szCs w:val="21"/>
          <w:highlight w:val="none"/>
        </w:rPr>
      </w:pPr>
      <w:r>
        <w:rPr>
          <w:rFonts w:hint="eastAsia" w:ascii="宋体" w:hAnsi="宋体" w:eastAsia="宋体" w:cs="Times New Roman"/>
          <w:color w:val="auto"/>
          <w:szCs w:val="21"/>
          <w:highlight w:val="none"/>
        </w:rPr>
        <w:t>3、投标人应当自行核实是否属于小微企业，并认真填写中小企业声明函，若有虚假将追究其责任。</w:t>
      </w:r>
    </w:p>
    <w:p w14:paraId="1B0F6302">
      <w:pPr>
        <w:wordWrap w:val="0"/>
        <w:topLinePunct/>
        <w:spacing w:line="276" w:lineRule="auto"/>
        <w:jc w:val="left"/>
        <w:rPr>
          <w:rFonts w:ascii="宋体" w:hAnsi="宋体" w:eastAsia="宋体"/>
          <w:color w:val="auto"/>
          <w:highlight w:val="none"/>
        </w:rPr>
      </w:pPr>
      <w:r>
        <w:rPr>
          <w:rFonts w:hint="eastAsia" w:ascii="宋体" w:hAnsi="宋体" w:eastAsia="宋体" w:cs="Times New Roman"/>
          <w:color w:val="auto"/>
          <w:szCs w:val="21"/>
          <w:highlight w:val="none"/>
        </w:rPr>
        <w:t>4、《中小企业声明函》，只作为报价评审优惠依据，不作为否决投标条款。</w:t>
      </w:r>
    </w:p>
    <w:p w14:paraId="3855F7CD">
      <w:pPr>
        <w:widowControl/>
        <w:jc w:val="left"/>
        <w:rPr>
          <w:rFonts w:ascii="宋体" w:hAnsi="宋体" w:eastAsia="宋体" w:cs="Times New Roman"/>
          <w:b/>
          <w:color w:val="auto"/>
          <w:kern w:val="0"/>
          <w:sz w:val="24"/>
          <w:szCs w:val="24"/>
          <w:highlight w:val="none"/>
          <w:lang w:val="zh-CN"/>
        </w:rPr>
      </w:pPr>
      <w:r>
        <w:rPr>
          <w:rFonts w:hint="eastAsia" w:ascii="宋体" w:hAnsi="宋体" w:eastAsia="宋体"/>
          <w:color w:val="auto"/>
          <w:highlight w:val="none"/>
        </w:rPr>
        <w:br w:type="page"/>
      </w:r>
    </w:p>
    <w:p w14:paraId="55105687">
      <w:pPr>
        <w:autoSpaceDE w:val="0"/>
        <w:autoSpaceDN w:val="0"/>
        <w:adjustRightInd w:val="0"/>
        <w:spacing w:line="276" w:lineRule="auto"/>
        <w:ind w:left="284" w:hanging="284"/>
        <w:jc w:val="left"/>
        <w:outlineLvl w:val="4"/>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（6）分包意向协议书（如有）</w:t>
      </w:r>
    </w:p>
    <w:p w14:paraId="6ED457D3">
      <w:pPr>
        <w:spacing w:line="360" w:lineRule="auto"/>
        <w:jc w:val="center"/>
        <w:rPr>
          <w:rFonts w:ascii="宋体" w:hAnsi="宋体" w:eastAsia="宋体" w:cs="Times New Roman"/>
          <w:b/>
          <w:bCs/>
          <w:color w:val="auto"/>
          <w:sz w:val="28"/>
          <w:szCs w:val="28"/>
          <w:highlight w:val="none"/>
        </w:rPr>
      </w:pPr>
      <w:r>
        <w:rPr>
          <w:rFonts w:hint="eastAsia" w:ascii="宋体" w:hAnsi="宋体" w:eastAsia="宋体" w:cs="Times New Roman"/>
          <w:b/>
          <w:bCs/>
          <w:color w:val="auto"/>
          <w:sz w:val="28"/>
          <w:szCs w:val="28"/>
          <w:highlight w:val="none"/>
        </w:rPr>
        <w:t>分包意向协议书（如有）</w:t>
      </w:r>
    </w:p>
    <w:p w14:paraId="633A313C">
      <w:pPr>
        <w:autoSpaceDE w:val="0"/>
        <w:autoSpaceDN w:val="0"/>
        <w:spacing w:line="276" w:lineRule="auto"/>
        <w:jc w:val="left"/>
        <w:rPr>
          <w:rFonts w:ascii="宋体" w:hAnsi="宋体" w:eastAsia="宋体" w:cs="Times New Roman"/>
          <w:color w:val="auto"/>
          <w:kern w:val="0"/>
          <w:szCs w:val="21"/>
          <w:highlight w:val="none"/>
          <w:u w:val="single"/>
        </w:rPr>
      </w:pPr>
      <w:r>
        <w:rPr>
          <w:rFonts w:hint="eastAsia" w:ascii="宋体" w:hAnsi="宋体" w:eastAsia="宋体" w:cs="Times New Roman"/>
          <w:color w:val="auto"/>
          <w:kern w:val="10"/>
          <w:szCs w:val="21"/>
          <w:highlight w:val="none"/>
        </w:rPr>
        <w:t>立约方：</w:t>
      </w:r>
      <w:r>
        <w:rPr>
          <w:rFonts w:hint="eastAsia" w:ascii="宋体" w:hAnsi="宋体" w:eastAsia="宋体" w:cs="Times New Roman"/>
          <w:color w:val="auto"/>
          <w:kern w:val="0"/>
          <w:szCs w:val="21"/>
          <w:highlight w:val="none"/>
          <w:u w:val="single"/>
        </w:rPr>
        <w:t>（甲公司全称）</w:t>
      </w:r>
    </w:p>
    <w:p w14:paraId="4A7FC71A">
      <w:pPr>
        <w:autoSpaceDE w:val="0"/>
        <w:autoSpaceDN w:val="0"/>
        <w:spacing w:line="276" w:lineRule="auto"/>
        <w:ind w:firstLine="840" w:firstLineChars="400"/>
        <w:jc w:val="left"/>
        <w:rPr>
          <w:rFonts w:ascii="宋体" w:hAnsi="宋体" w:eastAsia="宋体" w:cs="Times New Roman"/>
          <w:color w:val="auto"/>
          <w:kern w:val="0"/>
          <w:szCs w:val="21"/>
          <w:highlight w:val="none"/>
          <w:u w:val="single"/>
        </w:rPr>
      </w:pPr>
      <w:r>
        <w:rPr>
          <w:rFonts w:hint="eastAsia" w:ascii="宋体" w:hAnsi="宋体" w:eastAsia="宋体" w:cs="Times New Roman"/>
          <w:color w:val="auto"/>
          <w:kern w:val="0"/>
          <w:szCs w:val="21"/>
          <w:highlight w:val="none"/>
          <w:u w:val="single"/>
        </w:rPr>
        <w:t>（乙公司全称）</w:t>
      </w:r>
    </w:p>
    <w:p w14:paraId="23061766">
      <w:pPr>
        <w:autoSpaceDE w:val="0"/>
        <w:autoSpaceDN w:val="0"/>
        <w:spacing w:line="276" w:lineRule="auto"/>
        <w:ind w:firstLine="840" w:firstLineChars="400"/>
        <w:jc w:val="left"/>
        <w:rPr>
          <w:rFonts w:ascii="宋体" w:hAnsi="宋体" w:eastAsia="宋体" w:cs="Times New Roman"/>
          <w:color w:val="auto"/>
          <w:kern w:val="0"/>
          <w:szCs w:val="21"/>
          <w:highlight w:val="none"/>
          <w:u w:val="single"/>
        </w:rPr>
      </w:pPr>
      <w:r>
        <w:rPr>
          <w:rFonts w:hint="eastAsia" w:ascii="宋体" w:hAnsi="宋体" w:eastAsia="宋体" w:cs="Times New Roman"/>
          <w:color w:val="auto"/>
          <w:kern w:val="0"/>
          <w:szCs w:val="21"/>
          <w:highlight w:val="none"/>
          <w:u w:val="single"/>
        </w:rPr>
        <w:t>（……公司全称）</w:t>
      </w:r>
    </w:p>
    <w:p w14:paraId="3BBC6D8F">
      <w:pPr>
        <w:autoSpaceDE w:val="0"/>
        <w:autoSpaceDN w:val="0"/>
        <w:spacing w:line="276"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u w:val="single"/>
        </w:rPr>
        <w:t>（甲公司全称）</w:t>
      </w:r>
      <w:r>
        <w:rPr>
          <w:rFonts w:hint="eastAsia"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u w:val="single"/>
        </w:rPr>
        <w:t>（乙公司全称）</w:t>
      </w:r>
      <w:r>
        <w:rPr>
          <w:rFonts w:hint="eastAsia"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u w:val="single"/>
        </w:rPr>
        <w:t>（……公司全称）</w:t>
      </w:r>
      <w:r>
        <w:rPr>
          <w:rFonts w:hint="eastAsia" w:ascii="宋体" w:hAnsi="宋体" w:eastAsia="宋体" w:cs="Times New Roman"/>
          <w:color w:val="auto"/>
          <w:kern w:val="0"/>
          <w:szCs w:val="21"/>
          <w:highlight w:val="none"/>
        </w:rPr>
        <w:t>自愿达成分包意向，参加</w:t>
      </w:r>
      <w:r>
        <w:rPr>
          <w:rFonts w:hint="eastAsia" w:ascii="宋体" w:hAnsi="宋体" w:eastAsia="宋体" w:cs="Times New Roman"/>
          <w:color w:val="auto"/>
          <w:kern w:val="0"/>
          <w:szCs w:val="21"/>
          <w:highlight w:val="none"/>
          <w:u w:val="single"/>
        </w:rPr>
        <w:t>（项目名称）</w:t>
      </w:r>
      <w:r>
        <w:rPr>
          <w:rFonts w:hint="eastAsia" w:ascii="宋体" w:hAnsi="宋体" w:eastAsia="宋体" w:cs="Times New Roman"/>
          <w:color w:val="auto"/>
          <w:kern w:val="0"/>
          <w:szCs w:val="21"/>
          <w:highlight w:val="none"/>
        </w:rPr>
        <w:t>的投标活动。经各方充分协商一致，就</w:t>
      </w:r>
      <w:r>
        <w:rPr>
          <w:rFonts w:hint="eastAsia" w:ascii="宋体" w:hAnsi="宋体" w:eastAsia="宋体" w:cs="Times New Roman"/>
          <w:color w:val="auto"/>
          <w:kern w:val="10"/>
          <w:szCs w:val="21"/>
          <w:highlight w:val="none"/>
        </w:rPr>
        <w:t>项目的</w:t>
      </w:r>
      <w:r>
        <w:rPr>
          <w:rFonts w:hint="eastAsia" w:ascii="宋体" w:hAnsi="宋体" w:eastAsia="宋体" w:cs="Times New Roman"/>
          <w:color w:val="auto"/>
          <w:kern w:val="0"/>
          <w:szCs w:val="21"/>
          <w:highlight w:val="none"/>
        </w:rPr>
        <w:t>投标</w:t>
      </w:r>
      <w:r>
        <w:rPr>
          <w:rFonts w:hint="eastAsia" w:ascii="宋体" w:hAnsi="宋体" w:eastAsia="宋体" w:cs="Times New Roman"/>
          <w:color w:val="auto"/>
          <w:kern w:val="10"/>
          <w:szCs w:val="21"/>
          <w:highlight w:val="none"/>
        </w:rPr>
        <w:t>和合同实施阶段的有关事务协商一致</w:t>
      </w:r>
      <w:r>
        <w:rPr>
          <w:rFonts w:hint="eastAsia" w:ascii="宋体" w:hAnsi="宋体" w:eastAsia="宋体" w:cs="Times New Roman"/>
          <w:color w:val="auto"/>
          <w:kern w:val="0"/>
          <w:szCs w:val="21"/>
          <w:highlight w:val="none"/>
        </w:rPr>
        <w:t>订立意向如下：</w:t>
      </w:r>
    </w:p>
    <w:p w14:paraId="46C3E80E">
      <w:pPr>
        <w:autoSpaceDE w:val="0"/>
        <w:autoSpaceDN w:val="0"/>
        <w:spacing w:line="276"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一、分包意向各方关系</w:t>
      </w:r>
    </w:p>
    <w:p w14:paraId="64AA4A82">
      <w:pPr>
        <w:autoSpaceDE w:val="0"/>
        <w:autoSpaceDN w:val="0"/>
        <w:spacing w:line="276"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u w:val="single"/>
        </w:rPr>
        <w:t>（甲公司全称）为投标人</w:t>
      </w:r>
      <w:r>
        <w:rPr>
          <w:rFonts w:hint="eastAsia"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u w:val="single"/>
        </w:rPr>
        <w:t>（乙公司全称）</w:t>
      </w:r>
      <w:r>
        <w:rPr>
          <w:rFonts w:hint="eastAsia"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u w:val="single"/>
        </w:rPr>
        <w:t>（……公司全称）</w:t>
      </w:r>
      <w:r>
        <w:rPr>
          <w:rFonts w:hint="eastAsia" w:ascii="宋体" w:hAnsi="宋体" w:eastAsia="宋体" w:cs="Times New Roman"/>
          <w:color w:val="auto"/>
          <w:kern w:val="0"/>
          <w:szCs w:val="21"/>
          <w:highlight w:val="none"/>
        </w:rPr>
        <w:t>为分包意向单位，</w:t>
      </w:r>
      <w:r>
        <w:rPr>
          <w:rFonts w:hint="eastAsia" w:ascii="宋体" w:hAnsi="宋体" w:eastAsia="宋体" w:cs="Times New Roman"/>
          <w:color w:val="auto"/>
          <w:kern w:val="0"/>
          <w:szCs w:val="21"/>
          <w:highlight w:val="none"/>
          <w:u w:val="single"/>
        </w:rPr>
        <w:t>（甲公司全称）</w:t>
      </w:r>
      <w:r>
        <w:rPr>
          <w:rFonts w:hint="eastAsia" w:ascii="宋体" w:hAnsi="宋体" w:eastAsia="宋体" w:cs="Times New Roman"/>
          <w:color w:val="auto"/>
          <w:kern w:val="0"/>
          <w:szCs w:val="21"/>
          <w:highlight w:val="none"/>
        </w:rPr>
        <w:t>以投标人的身份参加本项目的投标。若中标，</w:t>
      </w:r>
      <w:r>
        <w:rPr>
          <w:rFonts w:hint="eastAsia" w:ascii="宋体" w:hAnsi="宋体" w:eastAsia="宋体" w:cs="Times New Roman"/>
          <w:color w:val="auto"/>
          <w:kern w:val="0"/>
          <w:szCs w:val="21"/>
          <w:highlight w:val="none"/>
          <w:u w:val="single"/>
        </w:rPr>
        <w:t>（甲公司全称）与招标人</w:t>
      </w:r>
      <w:r>
        <w:rPr>
          <w:rFonts w:hint="eastAsia" w:ascii="宋体" w:hAnsi="宋体" w:eastAsia="宋体" w:cs="Times New Roman"/>
          <w:color w:val="auto"/>
          <w:kern w:val="0"/>
          <w:szCs w:val="21"/>
          <w:highlight w:val="none"/>
        </w:rPr>
        <w:t>签订勘察设计合同。承接分包意向的各单位与</w:t>
      </w:r>
      <w:r>
        <w:rPr>
          <w:rFonts w:hint="eastAsia" w:ascii="宋体" w:hAnsi="宋体" w:eastAsia="宋体" w:cs="Times New Roman"/>
          <w:color w:val="auto"/>
          <w:kern w:val="0"/>
          <w:szCs w:val="21"/>
          <w:highlight w:val="none"/>
          <w:u w:val="single"/>
        </w:rPr>
        <w:t>（甲公司全称）</w:t>
      </w:r>
      <w:r>
        <w:rPr>
          <w:rFonts w:hint="eastAsia" w:ascii="宋体" w:hAnsi="宋体" w:eastAsia="宋体" w:cs="Times New Roman"/>
          <w:color w:val="auto"/>
          <w:kern w:val="0"/>
          <w:szCs w:val="21"/>
          <w:highlight w:val="none"/>
        </w:rPr>
        <w:t>签订分包合同。</w:t>
      </w:r>
      <w:r>
        <w:rPr>
          <w:rFonts w:hint="eastAsia" w:ascii="宋体" w:hAnsi="宋体" w:eastAsia="宋体" w:cs="Times New Roman"/>
          <w:color w:val="auto"/>
          <w:kern w:val="0"/>
          <w:szCs w:val="21"/>
          <w:highlight w:val="none"/>
          <w:u w:val="single"/>
        </w:rPr>
        <w:t>（甲公司全称）</w:t>
      </w:r>
      <w:r>
        <w:rPr>
          <w:rFonts w:hint="eastAsia" w:ascii="宋体" w:hAnsi="宋体" w:eastAsia="宋体" w:cs="Times New Roman"/>
          <w:color w:val="auto"/>
          <w:kern w:val="0"/>
          <w:szCs w:val="21"/>
          <w:highlight w:val="none"/>
        </w:rPr>
        <w:t>就招标项目和分包项目向招标人负责，分包单位就分包项目承担责任。</w:t>
      </w:r>
    </w:p>
    <w:p w14:paraId="73F94CDE">
      <w:pPr>
        <w:autoSpaceDE w:val="0"/>
        <w:autoSpaceDN w:val="0"/>
        <w:spacing w:line="276"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二、有关事项约定如下：</w:t>
      </w:r>
    </w:p>
    <w:p w14:paraId="3E06D337">
      <w:pPr>
        <w:autoSpaceDE w:val="0"/>
        <w:autoSpaceDN w:val="0"/>
        <w:spacing w:line="276"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1.如中标，分包单位分别与</w:t>
      </w:r>
      <w:r>
        <w:rPr>
          <w:rFonts w:hint="eastAsia" w:ascii="宋体" w:hAnsi="宋体" w:eastAsia="宋体" w:cs="Times New Roman"/>
          <w:color w:val="auto"/>
          <w:kern w:val="0"/>
          <w:szCs w:val="21"/>
          <w:highlight w:val="none"/>
          <w:u w:val="single"/>
        </w:rPr>
        <w:t>（甲公司全称）</w:t>
      </w:r>
      <w:r>
        <w:rPr>
          <w:rFonts w:hint="eastAsia" w:ascii="宋体" w:hAnsi="宋体" w:eastAsia="宋体" w:cs="Times New Roman"/>
          <w:color w:val="auto"/>
          <w:kern w:val="0"/>
          <w:szCs w:val="21"/>
          <w:highlight w:val="none"/>
        </w:rPr>
        <w:t>签订合同书，并就中标项目分包部分承担法律责任；</w:t>
      </w:r>
    </w:p>
    <w:p w14:paraId="26E1B47B">
      <w:pPr>
        <w:autoSpaceDE w:val="0"/>
        <w:autoSpaceDN w:val="0"/>
        <w:spacing w:line="276"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2.分包意向单位1</w:t>
      </w:r>
      <w:r>
        <w:rPr>
          <w:rFonts w:hint="eastAsia" w:ascii="宋体" w:hAnsi="宋体" w:eastAsia="宋体" w:cs="Times New Roman"/>
          <w:color w:val="auto"/>
          <w:kern w:val="0"/>
          <w:szCs w:val="21"/>
          <w:highlight w:val="none"/>
          <w:u w:val="single"/>
        </w:rPr>
        <w:t xml:space="preserve"> （乙公司全称） </w:t>
      </w:r>
      <w:r>
        <w:rPr>
          <w:rFonts w:hint="eastAsia" w:ascii="宋体" w:hAnsi="宋体" w:eastAsia="宋体" w:cs="Times New Roman"/>
          <w:color w:val="auto"/>
          <w:kern w:val="0"/>
          <w:szCs w:val="21"/>
          <w:highlight w:val="none"/>
        </w:rPr>
        <w:t>为</w:t>
      </w:r>
      <w:r>
        <w:rPr>
          <w:rFonts w:hint="eastAsia" w:ascii="宋体" w:hAnsi="宋体" w:eastAsia="宋体" w:cs="Times New Roman"/>
          <w:color w:val="auto"/>
          <w:kern w:val="0"/>
          <w:szCs w:val="21"/>
          <w:highlight w:val="none"/>
          <w:u w:val="single"/>
        </w:rPr>
        <w:t>（请填写：小型、微型）</w:t>
      </w:r>
      <w:r>
        <w:rPr>
          <w:rFonts w:hint="eastAsia" w:ascii="宋体" w:hAnsi="宋体" w:eastAsia="宋体" w:cs="Times New Roman"/>
          <w:color w:val="auto"/>
          <w:kern w:val="0"/>
          <w:szCs w:val="21"/>
          <w:highlight w:val="none"/>
        </w:rPr>
        <w:t>企业，将承担适宜分包部分</w:t>
      </w:r>
      <w:r>
        <w:rPr>
          <w:rFonts w:hint="eastAsia" w:ascii="宋体" w:hAnsi="宋体" w:eastAsia="宋体" w:cs="Times New Roman"/>
          <w:color w:val="auto"/>
          <w:kern w:val="0"/>
          <w:szCs w:val="21"/>
          <w:highlight w:val="none"/>
          <w:u w:val="single"/>
        </w:rPr>
        <w:t xml:space="preserve"> （具体分包内容）</w:t>
      </w:r>
      <w:r>
        <w:rPr>
          <w:rFonts w:hint="eastAsia" w:ascii="宋体" w:hAnsi="宋体" w:eastAsia="宋体" w:cs="Times New Roman"/>
          <w:color w:val="auto"/>
          <w:kern w:val="0"/>
          <w:szCs w:val="21"/>
          <w:highlight w:val="none"/>
        </w:rPr>
        <w:t>占合同总金额</w:t>
      </w:r>
      <w:r>
        <w:rPr>
          <w:rFonts w:hint="eastAsia" w:ascii="宋体" w:hAnsi="宋体" w:eastAsia="宋体" w:cs="Times New Roman"/>
          <w:b/>
          <w:bCs/>
          <w:color w:val="auto"/>
          <w:kern w:val="0"/>
          <w:szCs w:val="21"/>
          <w:highlight w:val="none"/>
          <w:u w:val="single"/>
        </w:rPr>
        <w:t xml:space="preserve">     </w:t>
      </w:r>
      <w:r>
        <w:rPr>
          <w:rFonts w:hint="eastAsia" w:ascii="宋体" w:hAnsi="宋体" w:eastAsia="宋体" w:cs="Times New Roman"/>
          <w:b/>
          <w:bCs/>
          <w:color w:val="auto"/>
          <w:kern w:val="0"/>
          <w:szCs w:val="21"/>
          <w:highlight w:val="none"/>
        </w:rPr>
        <w:t>%</w:t>
      </w:r>
      <w:r>
        <w:rPr>
          <w:rFonts w:hint="eastAsia" w:ascii="宋体" w:hAnsi="宋体" w:eastAsia="宋体" w:cs="Times New Roman"/>
          <w:color w:val="auto"/>
          <w:kern w:val="0"/>
          <w:szCs w:val="21"/>
          <w:highlight w:val="none"/>
        </w:rPr>
        <w:t>的工作内容。</w:t>
      </w:r>
    </w:p>
    <w:p w14:paraId="3BD5A1CF">
      <w:pPr>
        <w:autoSpaceDE w:val="0"/>
        <w:autoSpaceDN w:val="0"/>
        <w:spacing w:line="276"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3.分包意向单位2</w:t>
      </w:r>
      <w:r>
        <w:rPr>
          <w:rFonts w:hint="eastAsia" w:ascii="宋体" w:hAnsi="宋体" w:eastAsia="宋体" w:cs="Times New Roman"/>
          <w:color w:val="auto"/>
          <w:kern w:val="0"/>
          <w:szCs w:val="21"/>
          <w:highlight w:val="none"/>
          <w:u w:val="single"/>
        </w:rPr>
        <w:t xml:space="preserve"> （……公司全称）</w:t>
      </w:r>
      <w:r>
        <w:rPr>
          <w:rFonts w:hint="eastAsia" w:ascii="宋体" w:hAnsi="宋体" w:eastAsia="宋体" w:cs="Times New Roman"/>
          <w:color w:val="auto"/>
          <w:kern w:val="0"/>
          <w:szCs w:val="21"/>
          <w:highlight w:val="none"/>
        </w:rPr>
        <w:t>为</w:t>
      </w:r>
      <w:r>
        <w:rPr>
          <w:rFonts w:hint="eastAsia" w:ascii="宋体" w:hAnsi="宋体" w:eastAsia="宋体" w:cs="Times New Roman"/>
          <w:color w:val="auto"/>
          <w:kern w:val="0"/>
          <w:szCs w:val="21"/>
          <w:highlight w:val="none"/>
          <w:u w:val="single"/>
        </w:rPr>
        <w:t>（请填写：小型、微型）</w:t>
      </w:r>
      <w:r>
        <w:rPr>
          <w:rFonts w:hint="eastAsia" w:ascii="宋体" w:hAnsi="宋体" w:eastAsia="宋体" w:cs="Times New Roman"/>
          <w:color w:val="auto"/>
          <w:kern w:val="0"/>
          <w:szCs w:val="21"/>
          <w:highlight w:val="none"/>
        </w:rPr>
        <w:t>企业，将承担适宜分包部分</w:t>
      </w:r>
      <w:r>
        <w:rPr>
          <w:rFonts w:hint="eastAsia" w:ascii="宋体" w:hAnsi="宋体" w:eastAsia="宋体" w:cs="Times New Roman"/>
          <w:color w:val="auto"/>
          <w:kern w:val="0"/>
          <w:szCs w:val="21"/>
          <w:highlight w:val="none"/>
          <w:u w:val="single"/>
        </w:rPr>
        <w:t>（具体分包内容）占</w:t>
      </w:r>
      <w:r>
        <w:rPr>
          <w:rFonts w:hint="eastAsia" w:ascii="宋体" w:hAnsi="宋体" w:eastAsia="宋体" w:cs="Times New Roman"/>
          <w:color w:val="auto"/>
          <w:kern w:val="0"/>
          <w:szCs w:val="21"/>
          <w:highlight w:val="none"/>
        </w:rPr>
        <w:t>合同总金额</w:t>
      </w:r>
      <w:r>
        <w:rPr>
          <w:rFonts w:hint="eastAsia" w:ascii="宋体" w:hAnsi="宋体" w:eastAsia="宋体" w:cs="Times New Roman"/>
          <w:b/>
          <w:bCs/>
          <w:color w:val="auto"/>
          <w:kern w:val="0"/>
          <w:szCs w:val="21"/>
          <w:highlight w:val="none"/>
          <w:u w:val="single"/>
        </w:rPr>
        <w:t xml:space="preserve">      </w:t>
      </w:r>
      <w:r>
        <w:rPr>
          <w:rFonts w:hint="eastAsia" w:ascii="宋体" w:hAnsi="宋体" w:eastAsia="宋体" w:cs="Times New Roman"/>
          <w:b/>
          <w:bCs/>
          <w:color w:val="auto"/>
          <w:kern w:val="0"/>
          <w:szCs w:val="21"/>
          <w:highlight w:val="none"/>
        </w:rPr>
        <w:t>%</w:t>
      </w:r>
      <w:r>
        <w:rPr>
          <w:rFonts w:hint="eastAsia" w:ascii="宋体" w:hAnsi="宋体" w:eastAsia="宋体" w:cs="Times New Roman"/>
          <w:color w:val="auto"/>
          <w:kern w:val="0"/>
          <w:szCs w:val="21"/>
          <w:highlight w:val="none"/>
        </w:rPr>
        <w:t>的工作内容。</w:t>
      </w:r>
    </w:p>
    <w:p w14:paraId="0DAD54D9">
      <w:pPr>
        <w:autoSpaceDE w:val="0"/>
        <w:autoSpaceDN w:val="0"/>
        <w:spacing w:line="276"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p>
    <w:p w14:paraId="4D9CC9B8">
      <w:pPr>
        <w:autoSpaceDE w:val="0"/>
        <w:autoSpaceDN w:val="0"/>
        <w:spacing w:line="276"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三、接受分包的企业与投标人之间的关系：</w:t>
      </w:r>
    </w:p>
    <w:p w14:paraId="12F37D3A">
      <w:pPr>
        <w:autoSpaceDE w:val="0"/>
        <w:autoSpaceDN w:val="0"/>
        <w:spacing w:line="276"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1.分包意向单位1</w:t>
      </w:r>
      <w:r>
        <w:rPr>
          <w:rFonts w:hint="eastAsia" w:ascii="宋体" w:hAnsi="宋体" w:eastAsia="宋体" w:cs="Times New Roman"/>
          <w:color w:val="auto"/>
          <w:kern w:val="0"/>
          <w:szCs w:val="21"/>
          <w:highlight w:val="none"/>
          <w:u w:val="single"/>
        </w:rPr>
        <w:t xml:space="preserve"> （公司全称）</w:t>
      </w:r>
      <w:r>
        <w:rPr>
          <w:rFonts w:hint="eastAsia" w:ascii="宋体" w:hAnsi="宋体" w:eastAsia="宋体" w:cs="Times New Roman"/>
          <w:color w:val="auto"/>
          <w:kern w:val="0"/>
          <w:szCs w:val="21"/>
          <w:highlight w:val="none"/>
        </w:rPr>
        <w:t>与投标人之间</w:t>
      </w:r>
      <w:r>
        <w:rPr>
          <w:rFonts w:hint="eastAsia" w:ascii="宋体" w:hAnsi="宋体" w:eastAsia="宋体" w:cs="Times New Roman"/>
          <w:color w:val="auto"/>
          <w:kern w:val="0"/>
          <w:szCs w:val="21"/>
          <w:highlight w:val="none"/>
          <w:u w:val="single"/>
        </w:rPr>
        <w:t>（请填写：是否存在）</w:t>
      </w:r>
      <w:r>
        <w:rPr>
          <w:rFonts w:hint="eastAsia" w:ascii="宋体" w:hAnsi="宋体" w:eastAsia="宋体" w:cs="Times New Roman"/>
          <w:color w:val="auto"/>
          <w:kern w:val="0"/>
          <w:szCs w:val="21"/>
          <w:highlight w:val="none"/>
        </w:rPr>
        <w:t>直接控股、管理关系的情形。</w:t>
      </w:r>
    </w:p>
    <w:p w14:paraId="2217C455">
      <w:pPr>
        <w:autoSpaceDE w:val="0"/>
        <w:autoSpaceDN w:val="0"/>
        <w:spacing w:line="276"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2.分包意向单位2</w:t>
      </w:r>
      <w:r>
        <w:rPr>
          <w:rFonts w:hint="eastAsia" w:ascii="宋体" w:hAnsi="宋体" w:eastAsia="宋体" w:cs="Times New Roman"/>
          <w:color w:val="auto"/>
          <w:kern w:val="0"/>
          <w:szCs w:val="21"/>
          <w:highlight w:val="none"/>
          <w:u w:val="single"/>
        </w:rPr>
        <w:t xml:space="preserve"> （公司全称）</w:t>
      </w:r>
      <w:r>
        <w:rPr>
          <w:rFonts w:hint="eastAsia" w:ascii="宋体" w:hAnsi="宋体" w:eastAsia="宋体" w:cs="Times New Roman"/>
          <w:color w:val="auto"/>
          <w:kern w:val="0"/>
          <w:szCs w:val="21"/>
          <w:highlight w:val="none"/>
        </w:rPr>
        <w:t>与投标人之间</w:t>
      </w:r>
      <w:r>
        <w:rPr>
          <w:rFonts w:hint="eastAsia" w:ascii="宋体" w:hAnsi="宋体" w:eastAsia="宋体" w:cs="Times New Roman"/>
          <w:color w:val="auto"/>
          <w:kern w:val="0"/>
          <w:szCs w:val="21"/>
          <w:highlight w:val="none"/>
          <w:u w:val="single"/>
        </w:rPr>
        <w:t>（请填写：是否存在）</w:t>
      </w:r>
      <w:r>
        <w:rPr>
          <w:rFonts w:hint="eastAsia" w:ascii="宋体" w:hAnsi="宋体" w:eastAsia="宋体" w:cs="Times New Roman"/>
          <w:color w:val="auto"/>
          <w:kern w:val="0"/>
          <w:szCs w:val="21"/>
          <w:highlight w:val="none"/>
        </w:rPr>
        <w:t>直接控股、管理关系的情形。</w:t>
      </w:r>
    </w:p>
    <w:p w14:paraId="04D3B571">
      <w:pPr>
        <w:autoSpaceDE w:val="0"/>
        <w:autoSpaceDN w:val="0"/>
        <w:spacing w:line="276"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w:t>
      </w:r>
    </w:p>
    <w:p w14:paraId="48E46B3E">
      <w:pPr>
        <w:autoSpaceDE w:val="0"/>
        <w:autoSpaceDN w:val="0"/>
        <w:spacing w:line="276"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四、如因违约过失责任而导致招标人经济损失或被索赔时，</w:t>
      </w:r>
      <w:r>
        <w:rPr>
          <w:rFonts w:hint="eastAsia" w:ascii="宋体" w:hAnsi="宋体" w:eastAsia="宋体" w:cs="Times New Roman"/>
          <w:color w:val="auto"/>
          <w:kern w:val="0"/>
          <w:szCs w:val="21"/>
          <w:highlight w:val="none"/>
          <w:u w:val="single"/>
        </w:rPr>
        <w:t>（甲公司全称）</w:t>
      </w:r>
      <w:r>
        <w:rPr>
          <w:rFonts w:hint="eastAsia" w:ascii="宋体" w:hAnsi="宋体" w:eastAsia="宋体" w:cs="Times New Roman"/>
          <w:color w:val="auto"/>
          <w:kern w:val="0"/>
          <w:szCs w:val="21"/>
          <w:highlight w:val="none"/>
        </w:rPr>
        <w:t>同意无条件优先清偿招标人的一切债务和经济赔偿。</w:t>
      </w:r>
    </w:p>
    <w:p w14:paraId="7DF31664">
      <w:pPr>
        <w:autoSpaceDE w:val="0"/>
        <w:autoSpaceDN w:val="0"/>
        <w:spacing w:line="276"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五、如中标，分包意向单位不得以任何理由提出终止本意向协议。</w:t>
      </w:r>
    </w:p>
    <w:p w14:paraId="71AEF79B">
      <w:pPr>
        <w:autoSpaceDE w:val="0"/>
        <w:autoSpaceDN w:val="0"/>
        <w:spacing w:line="276" w:lineRule="auto"/>
        <w:ind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六、如中标，分包意向单位确定后，不得擅自变更。</w:t>
      </w:r>
    </w:p>
    <w:p w14:paraId="605DEA1F">
      <w:pPr>
        <w:autoSpaceDE w:val="0"/>
        <w:autoSpaceDN w:val="0"/>
        <w:spacing w:line="276" w:lineRule="auto"/>
        <w:ind w:left="23" w:leftChars="11" w:firstLine="420" w:firstLineChars="2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七、本意向书在自签署之日起生效，有效期内有效，如获中标资格，有效期延续至合同履行完毕之日。</w:t>
      </w:r>
    </w:p>
    <w:p w14:paraId="0DEB87FF">
      <w:pPr>
        <w:widowControl/>
        <w:autoSpaceDE w:val="0"/>
        <w:autoSpaceDN w:val="0"/>
        <w:spacing w:line="276" w:lineRule="auto"/>
        <w:jc w:val="left"/>
        <w:rPr>
          <w:rFonts w:ascii="宋体" w:hAnsi="宋体" w:eastAsia="宋体" w:cs="Times New Roman"/>
          <w:color w:val="auto"/>
          <w:kern w:val="0"/>
          <w:szCs w:val="21"/>
          <w:highlight w:val="none"/>
        </w:rPr>
      </w:pPr>
    </w:p>
    <w:p w14:paraId="1FCD0839">
      <w:pPr>
        <w:widowControl/>
        <w:autoSpaceDE w:val="0"/>
        <w:autoSpaceDN w:val="0"/>
        <w:spacing w:line="276" w:lineRule="auto"/>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 xml:space="preserve">甲公司全称：（盖章） </w:t>
      </w:r>
      <w:r>
        <w:rPr>
          <w:rFonts w:hint="eastAsia" w:ascii="宋体" w:hAnsi="宋体" w:eastAsia="宋体" w:cs="Times New Roman"/>
          <w:color w:val="auto"/>
          <w:kern w:val="0"/>
          <w:szCs w:val="21"/>
          <w:highlight w:val="none"/>
        </w:rPr>
        <w:tab/>
      </w:r>
    </w:p>
    <w:p w14:paraId="17C12A3B">
      <w:pPr>
        <w:widowControl/>
        <w:autoSpaceDE w:val="0"/>
        <w:autoSpaceDN w:val="0"/>
        <w:spacing w:line="276" w:lineRule="auto"/>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法定代表人（签字或盖章）</w:t>
      </w:r>
    </w:p>
    <w:p w14:paraId="687DE3C3">
      <w:pPr>
        <w:widowControl/>
        <w:autoSpaceDE w:val="0"/>
        <w:autoSpaceDN w:val="0"/>
        <w:spacing w:line="276" w:lineRule="auto"/>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 xml:space="preserve">  年  月  日</w:t>
      </w:r>
      <w:r>
        <w:rPr>
          <w:rFonts w:hint="eastAsia" w:ascii="宋体" w:hAnsi="宋体" w:eastAsia="宋体" w:cs="Times New Roman"/>
          <w:color w:val="auto"/>
          <w:kern w:val="0"/>
          <w:szCs w:val="21"/>
          <w:highlight w:val="none"/>
        </w:rPr>
        <w:tab/>
      </w:r>
    </w:p>
    <w:p w14:paraId="409790DF">
      <w:pPr>
        <w:widowControl/>
        <w:autoSpaceDE w:val="0"/>
        <w:autoSpaceDN w:val="0"/>
        <w:spacing w:line="276" w:lineRule="auto"/>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 xml:space="preserve"> </w:t>
      </w:r>
    </w:p>
    <w:p w14:paraId="119D9D78">
      <w:pPr>
        <w:widowControl/>
        <w:autoSpaceDE w:val="0"/>
        <w:autoSpaceDN w:val="0"/>
        <w:spacing w:line="276" w:lineRule="auto"/>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乙公司全称：（盖章）</w:t>
      </w:r>
      <w:r>
        <w:rPr>
          <w:rFonts w:hint="eastAsia" w:ascii="宋体" w:hAnsi="宋体" w:eastAsia="宋体" w:cs="Times New Roman"/>
          <w:color w:val="auto"/>
          <w:kern w:val="0"/>
          <w:szCs w:val="21"/>
          <w:highlight w:val="none"/>
        </w:rPr>
        <w:tab/>
      </w:r>
    </w:p>
    <w:p w14:paraId="66AED1FE">
      <w:pPr>
        <w:autoSpaceDE w:val="0"/>
        <w:autoSpaceDN w:val="0"/>
        <w:spacing w:line="276" w:lineRule="auto"/>
        <w:ind w:left="617" w:hanging="617" w:hangingChars="294"/>
        <w:jc w:val="left"/>
        <w:rPr>
          <w:rFonts w:ascii="宋体" w:hAnsi="宋体" w:eastAsia="宋体" w:cs="Times New Roman"/>
          <w:b/>
          <w:color w:val="auto"/>
          <w:kern w:val="0"/>
          <w:szCs w:val="21"/>
          <w:highlight w:val="none"/>
        </w:rPr>
      </w:pPr>
      <w:r>
        <w:rPr>
          <w:rFonts w:hint="eastAsia" w:ascii="宋体" w:hAnsi="宋体" w:eastAsia="宋体" w:cs="Times New Roman"/>
          <w:color w:val="auto"/>
          <w:kern w:val="0"/>
          <w:szCs w:val="21"/>
          <w:highlight w:val="none"/>
        </w:rPr>
        <w:t>法定代表人（签字或盖章）</w:t>
      </w:r>
      <w:r>
        <w:rPr>
          <w:rFonts w:hint="eastAsia" w:ascii="宋体" w:hAnsi="宋体" w:eastAsia="宋体" w:cs="Times New Roman"/>
          <w:color w:val="auto"/>
          <w:kern w:val="0"/>
          <w:szCs w:val="21"/>
          <w:highlight w:val="none"/>
        </w:rPr>
        <w:tab/>
      </w:r>
    </w:p>
    <w:p w14:paraId="5BBAEF76">
      <w:pPr>
        <w:widowControl/>
        <w:autoSpaceDE w:val="0"/>
        <w:autoSpaceDN w:val="0"/>
        <w:spacing w:line="276" w:lineRule="auto"/>
        <w:ind w:firstLine="405"/>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年  月  日</w:t>
      </w:r>
      <w:r>
        <w:rPr>
          <w:rFonts w:hint="eastAsia" w:ascii="宋体" w:hAnsi="宋体" w:eastAsia="宋体" w:cs="Times New Roman"/>
          <w:color w:val="auto"/>
          <w:kern w:val="0"/>
          <w:szCs w:val="21"/>
          <w:highlight w:val="none"/>
        </w:rPr>
        <w:tab/>
      </w:r>
    </w:p>
    <w:p w14:paraId="2D817B2D">
      <w:pPr>
        <w:widowControl/>
        <w:autoSpaceDE w:val="0"/>
        <w:autoSpaceDN w:val="0"/>
        <w:spacing w:line="276" w:lineRule="auto"/>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 xml:space="preserve"> </w:t>
      </w:r>
    </w:p>
    <w:p w14:paraId="5B5F4A1C">
      <w:pPr>
        <w:widowControl/>
        <w:autoSpaceDE w:val="0"/>
        <w:autoSpaceDN w:val="0"/>
        <w:spacing w:line="276" w:lineRule="auto"/>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……公司全称（盖章）</w:t>
      </w:r>
    </w:p>
    <w:p w14:paraId="71AAE910">
      <w:pPr>
        <w:autoSpaceDE w:val="0"/>
        <w:autoSpaceDN w:val="0"/>
        <w:spacing w:line="276" w:lineRule="auto"/>
        <w:ind w:left="617" w:hanging="617" w:hangingChars="294"/>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法定代表人：（签字或盖章）</w:t>
      </w:r>
    </w:p>
    <w:p w14:paraId="44BC034C">
      <w:pPr>
        <w:autoSpaceDE w:val="0"/>
        <w:autoSpaceDN w:val="0"/>
        <w:spacing w:line="276" w:lineRule="auto"/>
        <w:ind w:left="617" w:hanging="617" w:hangingChars="294"/>
        <w:jc w:val="left"/>
        <w:rPr>
          <w:rFonts w:ascii="宋体" w:hAnsi="宋体" w:eastAsia="宋体" w:cs="Times New Roman"/>
          <w:b/>
          <w:color w:val="auto"/>
          <w:kern w:val="0"/>
          <w:szCs w:val="21"/>
          <w:highlight w:val="none"/>
        </w:rPr>
      </w:pPr>
      <w:r>
        <w:rPr>
          <w:rFonts w:hint="eastAsia" w:ascii="宋体" w:hAnsi="宋体" w:eastAsia="宋体" w:cs="Times New Roman"/>
          <w:color w:val="auto"/>
          <w:kern w:val="0"/>
          <w:szCs w:val="21"/>
          <w:highlight w:val="none"/>
        </w:rPr>
        <w:t xml:space="preserve">  年  月  日</w:t>
      </w:r>
    </w:p>
    <w:p w14:paraId="7BD75771">
      <w:pPr>
        <w:autoSpaceDE w:val="0"/>
        <w:autoSpaceDN w:val="0"/>
        <w:spacing w:line="276" w:lineRule="auto"/>
        <w:ind w:left="620" w:hanging="620" w:hangingChars="294"/>
        <w:jc w:val="left"/>
        <w:rPr>
          <w:rFonts w:ascii="宋体" w:hAnsi="宋体" w:eastAsia="宋体" w:cs="Times New Roman"/>
          <w:b/>
          <w:color w:val="auto"/>
          <w:kern w:val="0"/>
          <w:szCs w:val="21"/>
          <w:highlight w:val="none"/>
        </w:rPr>
      </w:pPr>
      <w:r>
        <w:rPr>
          <w:rFonts w:hint="eastAsia" w:ascii="宋体" w:hAnsi="宋体" w:eastAsia="宋体" w:cs="Times New Roman"/>
          <w:b/>
          <w:color w:val="auto"/>
          <w:kern w:val="0"/>
          <w:szCs w:val="21"/>
          <w:highlight w:val="none"/>
        </w:rPr>
        <w:t xml:space="preserve"> </w:t>
      </w:r>
    </w:p>
    <w:p w14:paraId="0F428C48">
      <w:pPr>
        <w:autoSpaceDE w:val="0"/>
        <w:autoSpaceDN w:val="0"/>
        <w:spacing w:line="276" w:lineRule="auto"/>
        <w:ind w:left="620" w:hanging="620" w:hangingChars="294"/>
        <w:jc w:val="left"/>
        <w:rPr>
          <w:rFonts w:ascii="宋体" w:hAnsi="宋体" w:eastAsia="宋体" w:cs="Times New Roman"/>
          <w:b/>
          <w:color w:val="auto"/>
          <w:kern w:val="0"/>
          <w:szCs w:val="21"/>
          <w:highlight w:val="none"/>
          <w:u w:val="single"/>
        </w:rPr>
      </w:pPr>
      <w:r>
        <w:rPr>
          <w:rFonts w:hint="eastAsia" w:ascii="宋体" w:hAnsi="宋体" w:eastAsia="宋体" w:cs="Times New Roman"/>
          <w:b/>
          <w:color w:val="auto"/>
          <w:kern w:val="0"/>
          <w:szCs w:val="21"/>
          <w:highlight w:val="none"/>
          <w:u w:val="single"/>
        </w:rPr>
        <w:t>注：1．各方成员应在本意向书上共同盖章确认。</w:t>
      </w:r>
    </w:p>
    <w:p w14:paraId="070C4DF2">
      <w:pPr>
        <w:ind w:firstLine="422" w:firstLineChars="200"/>
        <w:rPr>
          <w:rFonts w:ascii="宋体" w:hAnsi="宋体" w:eastAsia="宋体" w:cs="Times New Roman"/>
          <w:color w:val="auto"/>
          <w:szCs w:val="24"/>
          <w:highlight w:val="none"/>
        </w:rPr>
      </w:pPr>
      <w:r>
        <w:rPr>
          <w:rFonts w:hint="eastAsia" w:ascii="宋体" w:hAnsi="宋体" w:eastAsia="宋体" w:cs="Times New Roman"/>
          <w:b/>
          <w:color w:val="auto"/>
          <w:kern w:val="0"/>
          <w:szCs w:val="21"/>
          <w:highlight w:val="none"/>
          <w:u w:val="single"/>
        </w:rPr>
        <w:t>2．本意向书内容将作为签订合同的附件之一。</w:t>
      </w:r>
    </w:p>
    <w:p w14:paraId="7E1701B2">
      <w:pPr>
        <w:widowControl/>
        <w:jc w:val="left"/>
        <w:rPr>
          <w:rFonts w:ascii="宋体" w:hAnsi="宋体" w:eastAsia="宋体" w:cs="Times New Roman"/>
          <w:b/>
          <w:bCs/>
          <w:color w:val="auto"/>
          <w:kern w:val="44"/>
          <w:sz w:val="32"/>
          <w:szCs w:val="32"/>
          <w:highlight w:val="none"/>
          <w:lang w:val="zh-CN"/>
        </w:rPr>
      </w:pPr>
      <w:r>
        <w:rPr>
          <w:rFonts w:hint="eastAsia" w:ascii="宋体" w:hAnsi="宋体" w:eastAsia="宋体" w:cs="Times New Roman"/>
          <w:b/>
          <w:bCs/>
          <w:color w:val="auto"/>
          <w:kern w:val="44"/>
          <w:sz w:val="32"/>
          <w:szCs w:val="32"/>
          <w:highlight w:val="none"/>
          <w:lang w:val="zh-CN"/>
        </w:rPr>
        <w:br w:type="page"/>
      </w:r>
    </w:p>
    <w:p w14:paraId="53A90020">
      <w:pPr>
        <w:autoSpaceDE w:val="0"/>
        <w:autoSpaceDN w:val="0"/>
        <w:adjustRightInd w:val="0"/>
        <w:spacing w:line="276" w:lineRule="auto"/>
        <w:ind w:left="284" w:hanging="284"/>
        <w:jc w:val="left"/>
        <w:outlineLvl w:val="4"/>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（7）监狱企业证明文件（如有）</w:t>
      </w:r>
    </w:p>
    <w:p w14:paraId="1576AC36">
      <w:pPr>
        <w:spacing w:line="360" w:lineRule="auto"/>
        <w:jc w:val="center"/>
        <w:rPr>
          <w:rFonts w:ascii="宋体" w:hAnsi="宋体" w:eastAsia="宋体" w:cs="Times New Roman"/>
          <w:b/>
          <w:bCs/>
          <w:color w:val="auto"/>
          <w:sz w:val="28"/>
          <w:szCs w:val="28"/>
          <w:highlight w:val="none"/>
        </w:rPr>
      </w:pPr>
      <w:r>
        <w:rPr>
          <w:rFonts w:hint="eastAsia" w:ascii="宋体" w:hAnsi="宋体" w:eastAsia="宋体" w:cs="Times New Roman"/>
          <w:b/>
          <w:bCs/>
          <w:color w:val="auto"/>
          <w:sz w:val="28"/>
          <w:szCs w:val="28"/>
          <w:highlight w:val="none"/>
        </w:rPr>
        <w:t>监狱企业证明文件（如有）</w:t>
      </w:r>
    </w:p>
    <w:p w14:paraId="04B94C44">
      <w:pPr>
        <w:widowControl/>
        <w:ind w:firstLine="480"/>
        <w:jc w:val="left"/>
        <w:rPr>
          <w:rFonts w:ascii="宋体" w:hAnsi="宋体" w:eastAsia="宋体" w:cs="Times New Roman"/>
          <w:bCs/>
          <w:color w:val="auto"/>
          <w:kern w:val="0"/>
          <w:sz w:val="20"/>
          <w:szCs w:val="20"/>
          <w:highlight w:val="none"/>
        </w:rPr>
      </w:pPr>
    </w:p>
    <w:p w14:paraId="53AF8C77">
      <w:pPr>
        <w:widowControl/>
        <w:ind w:firstLine="480"/>
        <w:jc w:val="left"/>
        <w:rPr>
          <w:rFonts w:ascii="宋体" w:hAnsi="宋体" w:eastAsia="宋体" w:cs="Times New Roman"/>
          <w:bCs/>
          <w:color w:val="auto"/>
          <w:kern w:val="0"/>
          <w:sz w:val="20"/>
          <w:szCs w:val="20"/>
          <w:highlight w:val="none"/>
        </w:rPr>
      </w:pPr>
    </w:p>
    <w:p w14:paraId="10ACA12D">
      <w:pPr>
        <w:widowControl/>
        <w:ind w:firstLine="480"/>
        <w:jc w:val="left"/>
        <w:rPr>
          <w:rFonts w:ascii="宋体" w:hAnsi="宋体" w:eastAsia="宋体" w:cs="Times New Roman"/>
          <w:bCs/>
          <w:color w:val="auto"/>
          <w:kern w:val="0"/>
          <w:sz w:val="20"/>
          <w:szCs w:val="20"/>
          <w:highlight w:val="none"/>
        </w:rPr>
      </w:pPr>
    </w:p>
    <w:p w14:paraId="49AFFD0F">
      <w:pPr>
        <w:widowControl/>
        <w:ind w:firstLine="480"/>
        <w:jc w:val="left"/>
        <w:rPr>
          <w:rFonts w:ascii="宋体" w:hAnsi="宋体" w:eastAsia="宋体" w:cs="Times New Roman"/>
          <w:bCs/>
          <w:color w:val="auto"/>
          <w:kern w:val="0"/>
          <w:sz w:val="20"/>
          <w:szCs w:val="20"/>
          <w:highlight w:val="none"/>
        </w:rPr>
      </w:pPr>
    </w:p>
    <w:p w14:paraId="7F8C0DC0">
      <w:pPr>
        <w:widowControl/>
        <w:ind w:firstLine="480"/>
        <w:jc w:val="left"/>
        <w:rPr>
          <w:rFonts w:ascii="宋体" w:hAnsi="宋体" w:eastAsia="宋体" w:cs="Times New Roman"/>
          <w:bCs/>
          <w:color w:val="auto"/>
          <w:kern w:val="0"/>
          <w:sz w:val="20"/>
          <w:szCs w:val="20"/>
          <w:highlight w:val="none"/>
        </w:rPr>
      </w:pPr>
    </w:p>
    <w:p w14:paraId="3AF86EC5">
      <w:pPr>
        <w:widowControl/>
        <w:ind w:firstLine="480"/>
        <w:jc w:val="left"/>
        <w:rPr>
          <w:rFonts w:ascii="宋体" w:hAnsi="宋体" w:eastAsia="宋体" w:cs="Times New Roman"/>
          <w:bCs/>
          <w:color w:val="auto"/>
          <w:kern w:val="0"/>
          <w:sz w:val="20"/>
          <w:szCs w:val="20"/>
          <w:highlight w:val="none"/>
        </w:rPr>
      </w:pPr>
    </w:p>
    <w:p w14:paraId="67BE4452">
      <w:pPr>
        <w:widowControl/>
        <w:ind w:firstLine="480"/>
        <w:jc w:val="left"/>
        <w:rPr>
          <w:rFonts w:ascii="宋体" w:hAnsi="宋体" w:eastAsia="宋体" w:cs="Times New Roman"/>
          <w:bCs/>
          <w:color w:val="auto"/>
          <w:kern w:val="0"/>
          <w:sz w:val="20"/>
          <w:szCs w:val="20"/>
          <w:highlight w:val="none"/>
        </w:rPr>
      </w:pPr>
    </w:p>
    <w:p w14:paraId="094FE5F1">
      <w:pPr>
        <w:widowControl/>
        <w:ind w:firstLine="480"/>
        <w:jc w:val="left"/>
        <w:rPr>
          <w:rFonts w:ascii="宋体" w:hAnsi="宋体" w:eastAsia="宋体" w:cs="Times New Roman"/>
          <w:bCs/>
          <w:color w:val="auto"/>
          <w:kern w:val="0"/>
          <w:sz w:val="20"/>
          <w:szCs w:val="20"/>
          <w:highlight w:val="none"/>
        </w:rPr>
      </w:pPr>
    </w:p>
    <w:p w14:paraId="59351475">
      <w:pPr>
        <w:widowControl/>
        <w:ind w:firstLine="480"/>
        <w:jc w:val="left"/>
        <w:rPr>
          <w:rFonts w:ascii="宋体" w:hAnsi="宋体" w:eastAsia="宋体" w:cs="Times New Roman"/>
          <w:bCs/>
          <w:color w:val="auto"/>
          <w:kern w:val="0"/>
          <w:sz w:val="20"/>
          <w:szCs w:val="20"/>
          <w:highlight w:val="none"/>
        </w:rPr>
      </w:pPr>
    </w:p>
    <w:p w14:paraId="645EB866">
      <w:pPr>
        <w:widowControl/>
        <w:ind w:firstLine="480"/>
        <w:jc w:val="left"/>
        <w:rPr>
          <w:rFonts w:ascii="宋体" w:hAnsi="宋体" w:eastAsia="宋体" w:cs="Times New Roman"/>
          <w:bCs/>
          <w:color w:val="auto"/>
          <w:kern w:val="0"/>
          <w:sz w:val="20"/>
          <w:szCs w:val="20"/>
          <w:highlight w:val="none"/>
        </w:rPr>
      </w:pPr>
    </w:p>
    <w:p w14:paraId="20D5107A">
      <w:pPr>
        <w:widowControl/>
        <w:ind w:firstLine="480"/>
        <w:jc w:val="left"/>
        <w:rPr>
          <w:rFonts w:ascii="宋体" w:hAnsi="宋体" w:eastAsia="宋体" w:cs="Times New Roman"/>
          <w:bCs/>
          <w:color w:val="auto"/>
          <w:kern w:val="0"/>
          <w:sz w:val="20"/>
          <w:szCs w:val="20"/>
          <w:highlight w:val="none"/>
        </w:rPr>
      </w:pPr>
    </w:p>
    <w:p w14:paraId="28E5CF9E">
      <w:pPr>
        <w:widowControl/>
        <w:ind w:firstLine="480"/>
        <w:jc w:val="left"/>
        <w:rPr>
          <w:rFonts w:ascii="宋体" w:hAnsi="宋体" w:eastAsia="宋体" w:cs="Times New Roman"/>
          <w:bCs/>
          <w:color w:val="auto"/>
          <w:kern w:val="0"/>
          <w:sz w:val="20"/>
          <w:szCs w:val="20"/>
          <w:highlight w:val="none"/>
        </w:rPr>
      </w:pPr>
    </w:p>
    <w:p w14:paraId="135ABC30">
      <w:pPr>
        <w:widowControl/>
        <w:ind w:firstLine="480"/>
        <w:jc w:val="left"/>
        <w:rPr>
          <w:rFonts w:ascii="宋体" w:hAnsi="宋体" w:eastAsia="宋体" w:cs="Times New Roman"/>
          <w:bCs/>
          <w:color w:val="auto"/>
          <w:kern w:val="0"/>
          <w:sz w:val="20"/>
          <w:szCs w:val="20"/>
          <w:highlight w:val="none"/>
        </w:rPr>
      </w:pPr>
    </w:p>
    <w:p w14:paraId="1AF24479">
      <w:pPr>
        <w:widowControl/>
        <w:ind w:firstLine="480"/>
        <w:jc w:val="left"/>
        <w:rPr>
          <w:rFonts w:ascii="宋体" w:hAnsi="宋体" w:eastAsia="宋体" w:cs="Times New Roman"/>
          <w:bCs/>
          <w:color w:val="auto"/>
          <w:kern w:val="0"/>
          <w:sz w:val="20"/>
          <w:szCs w:val="20"/>
          <w:highlight w:val="none"/>
        </w:rPr>
      </w:pPr>
    </w:p>
    <w:p w14:paraId="5B3990ED">
      <w:pPr>
        <w:widowControl/>
        <w:ind w:firstLine="480"/>
        <w:jc w:val="left"/>
        <w:rPr>
          <w:rFonts w:ascii="宋体" w:hAnsi="宋体" w:eastAsia="宋体" w:cs="Times New Roman"/>
          <w:bCs/>
          <w:color w:val="auto"/>
          <w:kern w:val="0"/>
          <w:sz w:val="20"/>
          <w:szCs w:val="20"/>
          <w:highlight w:val="none"/>
        </w:rPr>
      </w:pPr>
    </w:p>
    <w:p w14:paraId="4A79AC10">
      <w:pPr>
        <w:widowControl/>
        <w:ind w:firstLine="480"/>
        <w:jc w:val="left"/>
        <w:rPr>
          <w:rFonts w:ascii="宋体" w:hAnsi="宋体" w:eastAsia="宋体" w:cs="Times New Roman"/>
          <w:bCs/>
          <w:color w:val="auto"/>
          <w:kern w:val="0"/>
          <w:sz w:val="20"/>
          <w:szCs w:val="20"/>
          <w:highlight w:val="none"/>
        </w:rPr>
      </w:pPr>
    </w:p>
    <w:p w14:paraId="38CAC518">
      <w:pPr>
        <w:widowControl/>
        <w:ind w:firstLine="480"/>
        <w:jc w:val="left"/>
        <w:rPr>
          <w:rFonts w:ascii="宋体" w:hAnsi="宋体" w:eastAsia="宋体" w:cs="Times New Roman"/>
          <w:bCs/>
          <w:color w:val="auto"/>
          <w:kern w:val="0"/>
          <w:sz w:val="20"/>
          <w:szCs w:val="20"/>
          <w:highlight w:val="none"/>
        </w:rPr>
      </w:pPr>
    </w:p>
    <w:p w14:paraId="55F7F70B">
      <w:pPr>
        <w:widowControl/>
        <w:ind w:firstLine="480"/>
        <w:jc w:val="left"/>
        <w:rPr>
          <w:rFonts w:ascii="宋体" w:hAnsi="宋体" w:eastAsia="宋体" w:cs="Times New Roman"/>
          <w:bCs/>
          <w:color w:val="auto"/>
          <w:kern w:val="0"/>
          <w:sz w:val="20"/>
          <w:szCs w:val="20"/>
          <w:highlight w:val="none"/>
        </w:rPr>
      </w:pPr>
    </w:p>
    <w:p w14:paraId="24CD4C38">
      <w:pPr>
        <w:widowControl/>
        <w:ind w:firstLine="480"/>
        <w:jc w:val="left"/>
        <w:rPr>
          <w:rFonts w:ascii="宋体" w:hAnsi="宋体" w:eastAsia="宋体" w:cs="Times New Roman"/>
          <w:bCs/>
          <w:color w:val="auto"/>
          <w:kern w:val="0"/>
          <w:sz w:val="20"/>
          <w:szCs w:val="20"/>
          <w:highlight w:val="none"/>
        </w:rPr>
      </w:pPr>
    </w:p>
    <w:p w14:paraId="72F1D768">
      <w:pPr>
        <w:widowControl/>
        <w:ind w:firstLine="480"/>
        <w:jc w:val="left"/>
        <w:rPr>
          <w:rFonts w:ascii="宋体" w:hAnsi="宋体" w:eastAsia="宋体" w:cs="Times New Roman"/>
          <w:bCs/>
          <w:color w:val="auto"/>
          <w:kern w:val="0"/>
          <w:sz w:val="20"/>
          <w:szCs w:val="20"/>
          <w:highlight w:val="none"/>
        </w:rPr>
      </w:pPr>
    </w:p>
    <w:p w14:paraId="42E1B388">
      <w:pPr>
        <w:widowControl/>
        <w:ind w:firstLine="480"/>
        <w:jc w:val="left"/>
        <w:rPr>
          <w:rFonts w:ascii="宋体" w:hAnsi="宋体" w:eastAsia="宋体" w:cs="Times New Roman"/>
          <w:bCs/>
          <w:color w:val="auto"/>
          <w:kern w:val="0"/>
          <w:sz w:val="20"/>
          <w:szCs w:val="20"/>
          <w:highlight w:val="none"/>
        </w:rPr>
      </w:pPr>
    </w:p>
    <w:p w14:paraId="67B140E5">
      <w:pPr>
        <w:widowControl/>
        <w:ind w:firstLine="480"/>
        <w:jc w:val="left"/>
        <w:rPr>
          <w:rFonts w:ascii="宋体" w:hAnsi="宋体" w:eastAsia="宋体" w:cs="Times New Roman"/>
          <w:bCs/>
          <w:color w:val="auto"/>
          <w:kern w:val="0"/>
          <w:sz w:val="20"/>
          <w:szCs w:val="20"/>
          <w:highlight w:val="none"/>
        </w:rPr>
      </w:pPr>
    </w:p>
    <w:p w14:paraId="16137EE4">
      <w:pPr>
        <w:widowControl/>
        <w:ind w:firstLine="480"/>
        <w:jc w:val="left"/>
        <w:rPr>
          <w:rFonts w:ascii="宋体" w:hAnsi="宋体" w:eastAsia="宋体" w:cs="Times New Roman"/>
          <w:bCs/>
          <w:color w:val="auto"/>
          <w:kern w:val="0"/>
          <w:sz w:val="20"/>
          <w:szCs w:val="20"/>
          <w:highlight w:val="none"/>
        </w:rPr>
      </w:pPr>
    </w:p>
    <w:p w14:paraId="04F7A150">
      <w:pPr>
        <w:widowControl/>
        <w:ind w:firstLine="480"/>
        <w:jc w:val="left"/>
        <w:rPr>
          <w:rFonts w:ascii="宋体" w:hAnsi="宋体" w:eastAsia="宋体" w:cs="Times New Roman"/>
          <w:bCs/>
          <w:color w:val="auto"/>
          <w:kern w:val="0"/>
          <w:sz w:val="20"/>
          <w:szCs w:val="20"/>
          <w:highlight w:val="none"/>
        </w:rPr>
      </w:pPr>
    </w:p>
    <w:p w14:paraId="2AF41B2F">
      <w:pPr>
        <w:widowControl/>
        <w:ind w:firstLine="480"/>
        <w:jc w:val="left"/>
        <w:rPr>
          <w:rFonts w:ascii="宋体" w:hAnsi="宋体" w:eastAsia="宋体" w:cs="Times New Roman"/>
          <w:bCs/>
          <w:color w:val="auto"/>
          <w:kern w:val="0"/>
          <w:sz w:val="20"/>
          <w:szCs w:val="20"/>
          <w:highlight w:val="none"/>
        </w:rPr>
      </w:pPr>
    </w:p>
    <w:p w14:paraId="71C3987D">
      <w:pPr>
        <w:widowControl/>
        <w:ind w:firstLine="480"/>
        <w:jc w:val="left"/>
        <w:rPr>
          <w:rFonts w:ascii="宋体" w:hAnsi="宋体" w:eastAsia="宋体" w:cs="Times New Roman"/>
          <w:bCs/>
          <w:color w:val="auto"/>
          <w:kern w:val="0"/>
          <w:sz w:val="20"/>
          <w:szCs w:val="20"/>
          <w:highlight w:val="none"/>
        </w:rPr>
      </w:pPr>
    </w:p>
    <w:p w14:paraId="77BDD903">
      <w:pPr>
        <w:widowControl/>
        <w:ind w:firstLine="480"/>
        <w:jc w:val="left"/>
        <w:rPr>
          <w:rFonts w:ascii="宋体" w:hAnsi="宋体" w:eastAsia="宋体" w:cs="Times New Roman"/>
          <w:bCs/>
          <w:color w:val="auto"/>
          <w:kern w:val="0"/>
          <w:sz w:val="20"/>
          <w:szCs w:val="20"/>
          <w:highlight w:val="none"/>
        </w:rPr>
      </w:pPr>
    </w:p>
    <w:p w14:paraId="493B2D9E">
      <w:pPr>
        <w:widowControl/>
        <w:ind w:firstLine="480"/>
        <w:jc w:val="left"/>
        <w:rPr>
          <w:rFonts w:ascii="宋体" w:hAnsi="宋体" w:eastAsia="宋体" w:cs="Times New Roman"/>
          <w:bCs/>
          <w:color w:val="auto"/>
          <w:kern w:val="0"/>
          <w:sz w:val="20"/>
          <w:szCs w:val="20"/>
          <w:highlight w:val="none"/>
        </w:rPr>
      </w:pPr>
    </w:p>
    <w:p w14:paraId="7E51E508">
      <w:pPr>
        <w:widowControl/>
        <w:ind w:firstLine="480"/>
        <w:jc w:val="left"/>
        <w:rPr>
          <w:rFonts w:ascii="宋体" w:hAnsi="宋体" w:eastAsia="宋体" w:cs="Times New Roman"/>
          <w:bCs/>
          <w:color w:val="auto"/>
          <w:kern w:val="0"/>
          <w:sz w:val="20"/>
          <w:szCs w:val="20"/>
          <w:highlight w:val="none"/>
        </w:rPr>
      </w:pPr>
    </w:p>
    <w:p w14:paraId="26CC4D8F">
      <w:pPr>
        <w:ind w:firstLine="420" w:firstLineChars="200"/>
        <w:rPr>
          <w:rFonts w:ascii="宋体" w:hAnsi="宋体" w:eastAsia="宋体" w:cs="宋体"/>
          <w:bCs/>
          <w:color w:val="auto"/>
          <w:szCs w:val="21"/>
          <w:highlight w:val="none"/>
        </w:rPr>
      </w:pPr>
      <w:r>
        <w:rPr>
          <w:rFonts w:hint="eastAsia" w:ascii="宋体" w:hAnsi="宋体" w:eastAsia="宋体" w:cs="宋体"/>
          <w:bCs/>
          <w:color w:val="auto"/>
          <w:szCs w:val="21"/>
          <w:highlight w:val="none"/>
        </w:rPr>
        <w:t>注：1、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6C81EED">
      <w:pPr>
        <w:ind w:firstLine="840" w:firstLineChars="400"/>
        <w:rPr>
          <w:rFonts w:ascii="宋体" w:hAnsi="宋体" w:eastAsia="宋体" w:cs="宋体"/>
          <w:bCs/>
          <w:color w:val="auto"/>
          <w:szCs w:val="21"/>
          <w:highlight w:val="none"/>
        </w:rPr>
      </w:pPr>
      <w:r>
        <w:rPr>
          <w:rFonts w:hint="eastAsia" w:ascii="宋体" w:hAnsi="宋体" w:eastAsia="宋体" w:cs="宋体"/>
          <w:bCs/>
          <w:color w:val="auto"/>
          <w:szCs w:val="21"/>
          <w:highlight w:val="none"/>
        </w:rPr>
        <w:t>2、监狱企业参与投标的，需提供由省级以上监狱管理局、戒毒管理局（含新疆生产建设兵团）出具的属于监狱企业的证明文件。</w:t>
      </w:r>
      <w:r>
        <w:rPr>
          <w:rFonts w:hint="eastAsia" w:ascii="宋体" w:hAnsi="宋体" w:eastAsia="宋体" w:cs="宋体"/>
          <w:b/>
          <w:color w:val="auto"/>
          <w:szCs w:val="21"/>
          <w:highlight w:val="none"/>
        </w:rPr>
        <w:t>监狱企业视同小微企业，无需再提供《中小企业声明函》。</w:t>
      </w:r>
    </w:p>
    <w:p w14:paraId="46571183">
      <w:pPr>
        <w:ind w:firstLine="840" w:firstLineChars="400"/>
        <w:rPr>
          <w:rFonts w:ascii="宋体" w:hAnsi="宋体" w:eastAsia="宋体" w:cs="宋体"/>
          <w:bCs/>
          <w:color w:val="auto"/>
          <w:szCs w:val="21"/>
          <w:highlight w:val="none"/>
        </w:rPr>
      </w:pPr>
      <w:r>
        <w:rPr>
          <w:rFonts w:hint="eastAsia" w:ascii="宋体" w:hAnsi="宋体" w:eastAsia="宋体" w:cs="宋体"/>
          <w:bCs/>
          <w:color w:val="auto"/>
          <w:szCs w:val="21"/>
          <w:highlight w:val="none"/>
        </w:rPr>
        <w:t>3、如非监狱企业，不需要提供证明文件。</w:t>
      </w:r>
    </w:p>
    <w:p w14:paraId="154796E6">
      <w:pPr>
        <w:ind w:left="210"/>
        <w:jc w:val="left"/>
        <w:rPr>
          <w:rFonts w:ascii="宋体" w:hAnsi="宋体" w:eastAsia="宋体" w:cs="Times New Roman"/>
          <w:smallCaps/>
          <w:color w:val="auto"/>
          <w:sz w:val="20"/>
          <w:szCs w:val="20"/>
          <w:highlight w:val="none"/>
        </w:rPr>
      </w:pPr>
      <w:r>
        <w:rPr>
          <w:rFonts w:hint="eastAsia" w:ascii="宋体" w:hAnsi="宋体" w:eastAsia="宋体" w:cs="Times New Roman"/>
          <w:smallCaps/>
          <w:color w:val="auto"/>
          <w:sz w:val="20"/>
          <w:szCs w:val="20"/>
          <w:highlight w:val="none"/>
        </w:rPr>
        <w:br w:type="page"/>
      </w:r>
    </w:p>
    <w:p w14:paraId="7674B3E4">
      <w:pPr>
        <w:autoSpaceDE w:val="0"/>
        <w:autoSpaceDN w:val="0"/>
        <w:adjustRightInd w:val="0"/>
        <w:spacing w:line="276" w:lineRule="auto"/>
        <w:ind w:left="284" w:hanging="284"/>
        <w:jc w:val="left"/>
        <w:outlineLvl w:val="4"/>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（8）残疾人福利性单位声明函（如有）</w:t>
      </w:r>
    </w:p>
    <w:p w14:paraId="762636D3">
      <w:pPr>
        <w:spacing w:line="360" w:lineRule="auto"/>
        <w:jc w:val="center"/>
        <w:rPr>
          <w:rFonts w:ascii="宋体" w:hAnsi="宋体" w:eastAsia="宋体" w:cs="Times New Roman"/>
          <w:b/>
          <w:bCs/>
          <w:color w:val="auto"/>
          <w:sz w:val="28"/>
          <w:szCs w:val="28"/>
          <w:highlight w:val="none"/>
        </w:rPr>
      </w:pPr>
      <w:r>
        <w:rPr>
          <w:rFonts w:hint="eastAsia" w:ascii="宋体" w:hAnsi="宋体" w:eastAsia="宋体" w:cs="Times New Roman"/>
          <w:b/>
          <w:bCs/>
          <w:color w:val="auto"/>
          <w:sz w:val="28"/>
          <w:szCs w:val="28"/>
          <w:highlight w:val="none"/>
        </w:rPr>
        <w:t>残疾人福利性单位声明函（如有）</w:t>
      </w:r>
    </w:p>
    <w:p w14:paraId="33122661">
      <w:pPr>
        <w:widowControl/>
        <w:spacing w:line="360" w:lineRule="auto"/>
        <w:ind w:firstLine="480" w:firstLineChars="200"/>
        <w:jc w:val="left"/>
        <w:rPr>
          <w:rFonts w:ascii="宋体" w:hAnsi="宋体" w:eastAsia="宋体" w:cs="宋体"/>
          <w:color w:val="auto"/>
          <w:kern w:val="0"/>
          <w:sz w:val="24"/>
          <w:szCs w:val="20"/>
          <w:highlight w:val="none"/>
          <w:lang w:eastAsia="zh-Hans"/>
        </w:rPr>
      </w:pPr>
    </w:p>
    <w:p w14:paraId="5A57161A">
      <w:pPr>
        <w:widowControl/>
        <w:spacing w:line="360" w:lineRule="auto"/>
        <w:jc w:val="left"/>
        <w:rPr>
          <w:rFonts w:ascii="宋体" w:hAnsi="宋体" w:eastAsia="宋体" w:cs="Times New Roman"/>
          <w:color w:val="auto"/>
          <w:kern w:val="0"/>
          <w:sz w:val="20"/>
          <w:szCs w:val="20"/>
          <w:highlight w:val="none"/>
          <w:lang w:eastAsia="zh-Hans"/>
        </w:rPr>
      </w:pPr>
      <w:r>
        <w:rPr>
          <w:rFonts w:hint="eastAsia" w:ascii="宋体" w:hAnsi="宋体" w:eastAsia="宋体" w:cs="宋体"/>
          <w:color w:val="auto"/>
          <w:kern w:val="0"/>
          <w:sz w:val="24"/>
          <w:szCs w:val="20"/>
          <w:highlight w:val="none"/>
          <w:lang w:eastAsia="zh-Hans"/>
        </w:rPr>
        <w:t>致：</w:t>
      </w:r>
      <w:r>
        <w:rPr>
          <w:rFonts w:hint="eastAsia" w:ascii="宋体" w:hAnsi="宋体" w:eastAsia="宋体" w:cs="宋体"/>
          <w:color w:val="auto"/>
          <w:kern w:val="0"/>
          <w:sz w:val="24"/>
          <w:szCs w:val="20"/>
          <w:highlight w:val="none"/>
          <w:u w:val="single"/>
          <w:lang w:eastAsia="zh-Hans"/>
        </w:rPr>
        <w:t xml:space="preserve">        （招标人）</w:t>
      </w:r>
      <w:r>
        <w:rPr>
          <w:rFonts w:hint="eastAsia" w:ascii="宋体" w:hAnsi="宋体" w:eastAsia="宋体" w:cs="宋体"/>
          <w:color w:val="auto"/>
          <w:kern w:val="0"/>
          <w:sz w:val="24"/>
          <w:szCs w:val="20"/>
          <w:highlight w:val="none"/>
          <w:u w:val="single"/>
        </w:rPr>
        <w:t xml:space="preserve">         </w:t>
      </w:r>
    </w:p>
    <w:p w14:paraId="59F7CC7E">
      <w:pPr>
        <w:widowControl/>
        <w:spacing w:line="360" w:lineRule="auto"/>
        <w:ind w:firstLine="480" w:firstLineChars="200"/>
        <w:jc w:val="left"/>
        <w:rPr>
          <w:rFonts w:ascii="宋体" w:hAnsi="宋体" w:eastAsia="宋体" w:cs="宋体"/>
          <w:color w:val="auto"/>
          <w:kern w:val="0"/>
          <w:sz w:val="24"/>
          <w:szCs w:val="24"/>
          <w:highlight w:val="none"/>
          <w:lang w:eastAsia="zh-Hans"/>
        </w:rPr>
      </w:pPr>
      <w:r>
        <w:rPr>
          <w:rFonts w:hint="eastAsia" w:ascii="宋体" w:hAnsi="宋体" w:eastAsia="宋体" w:cs="宋体"/>
          <w:color w:val="auto"/>
          <w:kern w:val="0"/>
          <w:sz w:val="24"/>
          <w:szCs w:val="24"/>
          <w:highlight w:val="none"/>
          <w:lang w:eastAsia="zh-Hans"/>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kern w:val="0"/>
          <w:sz w:val="24"/>
          <w:szCs w:val="20"/>
          <w:highlight w:val="none"/>
          <w:u w:val="single"/>
          <w:lang w:eastAsia="zh-Hans"/>
        </w:rPr>
        <w:t xml:space="preserve">        （招标人）</w:t>
      </w:r>
      <w:r>
        <w:rPr>
          <w:rFonts w:hint="eastAsia" w:ascii="宋体" w:hAnsi="宋体" w:eastAsia="宋体" w:cs="宋体"/>
          <w:color w:val="auto"/>
          <w:kern w:val="0"/>
          <w:sz w:val="24"/>
          <w:szCs w:val="20"/>
          <w:highlight w:val="none"/>
          <w:u w:val="single"/>
        </w:rPr>
        <w:t xml:space="preserve">         </w:t>
      </w:r>
      <w:r>
        <w:rPr>
          <w:rFonts w:hint="eastAsia" w:ascii="宋体" w:hAnsi="宋体" w:eastAsia="宋体" w:cs="宋体"/>
          <w:color w:val="auto"/>
          <w:kern w:val="0"/>
          <w:sz w:val="24"/>
          <w:szCs w:val="24"/>
          <w:highlight w:val="none"/>
          <w:lang w:eastAsia="zh-Hans"/>
        </w:rPr>
        <w:t>单位的</w:t>
      </w:r>
      <w:r>
        <w:rPr>
          <w:rFonts w:hint="eastAsia" w:ascii="宋体" w:hAnsi="宋体" w:eastAsia="宋体" w:cs="宋体"/>
          <w:color w:val="auto"/>
          <w:kern w:val="0"/>
          <w:sz w:val="24"/>
          <w:szCs w:val="20"/>
          <w:highlight w:val="none"/>
          <w:u w:val="single"/>
          <w:lang w:eastAsia="zh-Hans"/>
        </w:rPr>
        <w:t xml:space="preserve">        （</w:t>
      </w:r>
      <w:r>
        <w:rPr>
          <w:rFonts w:hint="eastAsia" w:ascii="宋体" w:hAnsi="宋体" w:eastAsia="宋体" w:cs="宋体"/>
          <w:color w:val="auto"/>
          <w:kern w:val="0"/>
          <w:sz w:val="24"/>
          <w:szCs w:val="20"/>
          <w:highlight w:val="none"/>
          <w:u w:val="single"/>
        </w:rPr>
        <w:t>项目名称</w:t>
      </w:r>
      <w:r>
        <w:rPr>
          <w:rFonts w:hint="eastAsia" w:ascii="宋体" w:hAnsi="宋体" w:eastAsia="宋体" w:cs="宋体"/>
          <w:color w:val="auto"/>
          <w:kern w:val="0"/>
          <w:sz w:val="24"/>
          <w:szCs w:val="20"/>
          <w:highlight w:val="none"/>
          <w:u w:val="single"/>
          <w:lang w:eastAsia="zh-Hans"/>
        </w:rPr>
        <w:t>）</w:t>
      </w:r>
      <w:r>
        <w:rPr>
          <w:rFonts w:hint="eastAsia" w:ascii="宋体" w:hAnsi="宋体" w:eastAsia="宋体" w:cs="宋体"/>
          <w:color w:val="auto"/>
          <w:kern w:val="0"/>
          <w:sz w:val="24"/>
          <w:szCs w:val="20"/>
          <w:highlight w:val="none"/>
          <w:u w:val="single"/>
        </w:rPr>
        <w:t xml:space="preserve">         </w:t>
      </w:r>
      <w:r>
        <w:rPr>
          <w:rFonts w:hint="eastAsia" w:ascii="宋体" w:hAnsi="宋体" w:eastAsia="宋体" w:cs="宋体"/>
          <w:color w:val="auto"/>
          <w:kern w:val="0"/>
          <w:sz w:val="24"/>
          <w:szCs w:val="20"/>
          <w:highlight w:val="none"/>
        </w:rPr>
        <w:t>项目</w:t>
      </w:r>
      <w:r>
        <w:rPr>
          <w:rFonts w:hint="eastAsia" w:ascii="宋体" w:hAnsi="宋体" w:eastAsia="宋体" w:cs="宋体"/>
          <w:color w:val="auto"/>
          <w:kern w:val="0"/>
          <w:sz w:val="24"/>
          <w:szCs w:val="24"/>
          <w:highlight w:val="none"/>
        </w:rPr>
        <w:t>招标</w:t>
      </w:r>
      <w:r>
        <w:rPr>
          <w:rFonts w:hint="eastAsia" w:ascii="宋体" w:hAnsi="宋体" w:eastAsia="宋体" w:cs="宋体"/>
          <w:color w:val="auto"/>
          <w:kern w:val="0"/>
          <w:sz w:val="24"/>
          <w:szCs w:val="24"/>
          <w:highlight w:val="none"/>
          <w:lang w:eastAsia="zh-Hans"/>
        </w:rPr>
        <w:t>活动</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eastAsia="zh-Hans"/>
        </w:rPr>
        <w:t>由本单位承担工程。</w:t>
      </w:r>
    </w:p>
    <w:p w14:paraId="126CF0F1">
      <w:pPr>
        <w:widowControl/>
        <w:spacing w:line="360" w:lineRule="auto"/>
        <w:ind w:firstLine="480" w:firstLineChars="200"/>
        <w:jc w:val="left"/>
        <w:rPr>
          <w:rFonts w:ascii="宋体" w:hAnsi="宋体" w:eastAsia="宋体" w:cs="Times New Roman"/>
          <w:color w:val="auto"/>
          <w:kern w:val="0"/>
          <w:sz w:val="20"/>
          <w:szCs w:val="20"/>
          <w:highlight w:val="none"/>
          <w:lang w:eastAsia="zh-Hans"/>
        </w:rPr>
      </w:pPr>
      <w:r>
        <w:rPr>
          <w:rFonts w:hint="eastAsia" w:ascii="宋体" w:hAnsi="宋体" w:eastAsia="宋体" w:cs="宋体"/>
          <w:color w:val="auto"/>
          <w:kern w:val="0"/>
          <w:sz w:val="24"/>
          <w:szCs w:val="24"/>
          <w:highlight w:val="none"/>
          <w:lang w:eastAsia="zh-Hans"/>
        </w:rPr>
        <w:t>本单位对上述声明的真实性负责。如有虚假，将依法承担相应责任。</w:t>
      </w:r>
    </w:p>
    <w:p w14:paraId="786407FE">
      <w:pPr>
        <w:spacing w:line="360" w:lineRule="auto"/>
        <w:ind w:firstLine="5040" w:firstLineChars="2100"/>
        <w:rPr>
          <w:rFonts w:ascii="宋体" w:hAnsi="宋体" w:eastAsia="宋体" w:cs="宋体"/>
          <w:color w:val="auto"/>
          <w:sz w:val="24"/>
          <w:szCs w:val="20"/>
          <w:highlight w:val="none"/>
        </w:rPr>
      </w:pPr>
    </w:p>
    <w:p w14:paraId="30938F30">
      <w:pPr>
        <w:spacing w:line="360" w:lineRule="auto"/>
        <w:ind w:firstLine="5040" w:firstLineChars="2100"/>
        <w:rPr>
          <w:rFonts w:ascii="宋体" w:hAnsi="宋体" w:eastAsia="宋体" w:cs="宋体"/>
          <w:color w:val="auto"/>
          <w:sz w:val="24"/>
          <w:szCs w:val="20"/>
          <w:highlight w:val="none"/>
        </w:rPr>
      </w:pPr>
    </w:p>
    <w:p w14:paraId="27E8FE47">
      <w:pPr>
        <w:rPr>
          <w:rFonts w:ascii="宋体" w:hAnsi="宋体" w:eastAsia="宋体" w:cs="宋体"/>
          <w:color w:val="auto"/>
          <w:kern w:val="0"/>
          <w:sz w:val="24"/>
          <w:szCs w:val="20"/>
          <w:highlight w:val="none"/>
        </w:rPr>
      </w:pPr>
    </w:p>
    <w:p w14:paraId="306FBB77">
      <w:pPr>
        <w:rPr>
          <w:rFonts w:ascii="宋体" w:hAnsi="宋体" w:eastAsia="宋体" w:cs="宋体"/>
          <w:color w:val="auto"/>
          <w:kern w:val="0"/>
          <w:sz w:val="24"/>
          <w:szCs w:val="20"/>
          <w:highlight w:val="none"/>
        </w:rPr>
      </w:pPr>
    </w:p>
    <w:p w14:paraId="49779D9F">
      <w:pPr>
        <w:spacing w:line="360" w:lineRule="auto"/>
        <w:ind w:firstLine="4080" w:firstLineChars="1700"/>
        <w:rPr>
          <w:rFonts w:ascii="宋体" w:hAnsi="宋体" w:eastAsia="宋体" w:cs="宋体"/>
          <w:color w:val="auto"/>
          <w:sz w:val="24"/>
          <w:szCs w:val="20"/>
          <w:highlight w:val="none"/>
        </w:rPr>
      </w:pPr>
      <w:r>
        <w:rPr>
          <w:rFonts w:hint="eastAsia" w:ascii="宋体" w:hAnsi="宋体" w:eastAsia="宋体" w:cs="宋体"/>
          <w:color w:val="auto"/>
          <w:sz w:val="24"/>
          <w:szCs w:val="20"/>
          <w:highlight w:val="none"/>
        </w:rPr>
        <w:t>声明单位名称（盖章或电子印章）：</w:t>
      </w:r>
    </w:p>
    <w:p w14:paraId="0CE6AAFE">
      <w:pPr>
        <w:spacing w:line="360" w:lineRule="auto"/>
        <w:ind w:firstLine="5040" w:firstLineChars="2100"/>
        <w:rPr>
          <w:rFonts w:ascii="宋体" w:hAnsi="宋体" w:eastAsia="宋体" w:cs="Times New Roman"/>
          <w:color w:val="auto"/>
          <w:highlight w:val="none"/>
        </w:rPr>
      </w:pPr>
      <w:r>
        <w:rPr>
          <w:rFonts w:hint="eastAsia" w:ascii="宋体" w:hAnsi="宋体" w:eastAsia="宋体" w:cs="宋体"/>
          <w:color w:val="auto"/>
          <w:sz w:val="24"/>
          <w:szCs w:val="20"/>
          <w:highlight w:val="none"/>
        </w:rPr>
        <w:t>日   期：     年   月   日</w:t>
      </w:r>
    </w:p>
    <w:p w14:paraId="083A77AB">
      <w:pPr>
        <w:spacing w:line="360" w:lineRule="auto"/>
        <w:jc w:val="left"/>
        <w:rPr>
          <w:rFonts w:ascii="宋体" w:hAnsi="宋体" w:eastAsia="宋体" w:cs="宋体"/>
          <w:snapToGrid w:val="0"/>
          <w:color w:val="auto"/>
          <w:kern w:val="0"/>
          <w:sz w:val="24"/>
          <w:szCs w:val="24"/>
          <w:highlight w:val="none"/>
        </w:rPr>
      </w:pPr>
    </w:p>
    <w:p w14:paraId="460D80BC">
      <w:pPr>
        <w:spacing w:line="360" w:lineRule="auto"/>
        <w:jc w:val="left"/>
        <w:rPr>
          <w:rFonts w:ascii="宋体" w:hAnsi="宋体" w:eastAsia="宋体" w:cs="宋体"/>
          <w:snapToGrid w:val="0"/>
          <w:color w:val="auto"/>
          <w:kern w:val="0"/>
          <w:sz w:val="24"/>
          <w:szCs w:val="24"/>
          <w:highlight w:val="none"/>
        </w:rPr>
      </w:pPr>
    </w:p>
    <w:p w14:paraId="0F108D2F">
      <w:pPr>
        <w:spacing w:line="360" w:lineRule="auto"/>
        <w:jc w:val="left"/>
        <w:rPr>
          <w:rFonts w:ascii="宋体" w:hAnsi="宋体" w:eastAsia="宋体" w:cs="宋体"/>
          <w:snapToGrid w:val="0"/>
          <w:color w:val="auto"/>
          <w:kern w:val="0"/>
          <w:sz w:val="24"/>
          <w:szCs w:val="24"/>
          <w:highlight w:val="none"/>
        </w:rPr>
      </w:pPr>
    </w:p>
    <w:p w14:paraId="0904F23C">
      <w:pPr>
        <w:spacing w:line="360" w:lineRule="auto"/>
        <w:jc w:val="left"/>
        <w:rPr>
          <w:rFonts w:ascii="宋体" w:hAnsi="宋体" w:eastAsia="宋体" w:cs="宋体"/>
          <w:snapToGrid w:val="0"/>
          <w:color w:val="auto"/>
          <w:kern w:val="0"/>
          <w:sz w:val="24"/>
          <w:szCs w:val="24"/>
          <w:highlight w:val="none"/>
        </w:rPr>
      </w:pPr>
    </w:p>
    <w:p w14:paraId="1DCD9714">
      <w:pPr>
        <w:spacing w:line="360" w:lineRule="auto"/>
        <w:jc w:val="left"/>
        <w:rPr>
          <w:rFonts w:ascii="宋体" w:hAnsi="宋体" w:eastAsia="宋体" w:cs="宋体"/>
          <w:snapToGrid w:val="0"/>
          <w:color w:val="auto"/>
          <w:kern w:val="0"/>
          <w:sz w:val="24"/>
          <w:szCs w:val="24"/>
          <w:highlight w:val="none"/>
        </w:rPr>
      </w:pPr>
    </w:p>
    <w:p w14:paraId="7329A557">
      <w:pPr>
        <w:rPr>
          <w:rFonts w:ascii="宋体" w:hAnsi="宋体" w:eastAsia="宋体" w:cs="宋体"/>
          <w:color w:val="auto"/>
          <w:szCs w:val="21"/>
          <w:highlight w:val="none"/>
        </w:rPr>
      </w:pPr>
      <w:r>
        <w:rPr>
          <w:rFonts w:hint="eastAsia" w:ascii="宋体" w:hAnsi="宋体" w:eastAsia="宋体" w:cs="宋体"/>
          <w:color w:val="auto"/>
          <w:szCs w:val="21"/>
          <w:highlight w:val="none"/>
        </w:rPr>
        <w:t>注：1、残疾人福利性单位声明函（如有）适用于残疾人福利性单位参加招投标活动的。本函未填写的视作未做声明。</w:t>
      </w:r>
      <w:r>
        <w:rPr>
          <w:rFonts w:hint="eastAsia" w:ascii="宋体" w:hAnsi="宋体" w:eastAsia="宋体" w:cs="Times New Roman"/>
          <w:color w:val="auto"/>
          <w:szCs w:val="21"/>
          <w:highlight w:val="none"/>
        </w:rPr>
        <w:t>如不适用，本格式不需要提供。</w:t>
      </w:r>
    </w:p>
    <w:p w14:paraId="1FB8FAF6">
      <w:pPr>
        <w:ind w:firstLine="420" w:firstLineChars="200"/>
        <w:rPr>
          <w:rFonts w:ascii="宋体" w:hAnsi="宋体" w:eastAsia="宋体" w:cs="宋体"/>
          <w:b/>
          <w:bCs/>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b/>
          <w:bCs/>
          <w:color w:val="auto"/>
          <w:szCs w:val="21"/>
          <w:highlight w:val="none"/>
        </w:rPr>
        <w:t>残疾人福利性单位视同小微企业，无需再提供《中小企业声明函》。</w:t>
      </w:r>
    </w:p>
    <w:p w14:paraId="168068B1">
      <w:pPr>
        <w:keepNext/>
        <w:keepLines/>
        <w:widowControl/>
        <w:wordWrap w:val="0"/>
        <w:spacing w:line="360" w:lineRule="auto"/>
        <w:jc w:val="left"/>
        <w:outlineLvl w:val="0"/>
        <w:rPr>
          <w:rFonts w:ascii="宋体" w:hAnsi="宋体" w:eastAsia="宋体" w:cs="Times New Roman"/>
          <w:b/>
          <w:bCs/>
          <w:color w:val="auto"/>
          <w:kern w:val="44"/>
          <w:sz w:val="32"/>
          <w:szCs w:val="21"/>
          <w:highlight w:val="none"/>
          <w:lang w:val="zh-CN"/>
        </w:rPr>
      </w:pPr>
      <w:r>
        <w:rPr>
          <w:rFonts w:hint="eastAsia" w:ascii="宋体" w:hAnsi="宋体" w:eastAsia="宋体" w:cs="Times New Roman"/>
          <w:b/>
          <w:bCs/>
          <w:color w:val="auto"/>
          <w:kern w:val="44"/>
          <w:sz w:val="32"/>
          <w:szCs w:val="32"/>
          <w:highlight w:val="none"/>
          <w:lang w:val="zh-CN"/>
        </w:rPr>
        <w:br w:type="page"/>
      </w:r>
    </w:p>
    <w:p w14:paraId="573D000D">
      <w:pPr>
        <w:keepNext/>
        <w:keepLines/>
        <w:wordWrap w:val="0"/>
        <w:spacing w:line="360" w:lineRule="auto"/>
        <w:outlineLvl w:val="2"/>
        <w:rPr>
          <w:rFonts w:ascii="宋体" w:hAnsi="宋体" w:eastAsia="宋体"/>
          <w:b/>
          <w:bCs/>
          <w:color w:val="auto"/>
          <w:spacing w:val="1"/>
          <w:sz w:val="28"/>
          <w:szCs w:val="32"/>
          <w:highlight w:val="none"/>
          <w:lang w:val="zh-CN"/>
        </w:rPr>
      </w:pPr>
      <w:r>
        <w:rPr>
          <w:rFonts w:hint="eastAsia" w:ascii="宋体" w:hAnsi="宋体" w:eastAsia="宋体"/>
          <w:b/>
          <w:bCs/>
          <w:color w:val="auto"/>
          <w:spacing w:val="1"/>
          <w:sz w:val="28"/>
          <w:szCs w:val="32"/>
          <w:highlight w:val="none"/>
          <w:lang w:val="zh-CN"/>
        </w:rPr>
        <w:t>2. 技术文件编制</w:t>
      </w:r>
    </w:p>
    <w:p w14:paraId="5A37E3F0">
      <w:pPr>
        <w:wordWrap w:val="0"/>
        <w:spacing w:line="360" w:lineRule="auto"/>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2.1技术文件暗标，由下列资料组成：（电子文档上传不超500M，总页码不超过300页）</w:t>
      </w:r>
    </w:p>
    <w:p w14:paraId="2D3059A3">
      <w:pPr>
        <w:wordWrap w:val="0"/>
        <w:spacing w:line="360" w:lineRule="auto"/>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（1）设计方案文本文件：</w:t>
      </w:r>
    </w:p>
    <w:p w14:paraId="32EB87D3">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(a) 首页：写明项目名称、编制年月。</w:t>
      </w:r>
    </w:p>
    <w:p w14:paraId="10C679AE">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(b) 目录。</w:t>
      </w:r>
    </w:p>
    <w:p w14:paraId="2936BB64">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(c) 设计说明书（含本项目的难点、建议和工程创新）。</w:t>
      </w:r>
    </w:p>
    <w:p w14:paraId="33BFA121">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(d) 设计图纸。</w:t>
      </w:r>
    </w:p>
    <w:p w14:paraId="5995327F">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(e) 《工期计划表》（方案修改、初步设计、施工图设计的总工时和工期）。</w:t>
      </w:r>
    </w:p>
    <w:p w14:paraId="4BBF253A">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(f) 投标人认为有必要提供的其他资料。</w:t>
      </w:r>
    </w:p>
    <w:p w14:paraId="7F03FBE8">
      <w:pPr>
        <w:wordWrap w:val="0"/>
        <w:spacing w:line="360" w:lineRule="auto"/>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zh-CN"/>
        </w:rPr>
        <w:t>勘察方案文本文件</w:t>
      </w:r>
      <w:r>
        <w:rPr>
          <w:rFonts w:hint="eastAsia" w:ascii="宋体" w:hAnsi="宋体" w:eastAsia="宋体" w:cs="宋体"/>
          <w:b/>
          <w:color w:val="auto"/>
          <w:sz w:val="24"/>
          <w:szCs w:val="24"/>
          <w:highlight w:val="none"/>
        </w:rPr>
        <w:t>：</w:t>
      </w:r>
    </w:p>
    <w:p w14:paraId="56E3EB51">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(a) 针对项目场地及工程性质采用的勘察方案及建议，本次勘察的重点、难点及建议。</w:t>
      </w:r>
    </w:p>
    <w:p w14:paraId="00C75BF8">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(b) 勘察工作流程和相应工期进度计划。</w:t>
      </w:r>
    </w:p>
    <w:p w14:paraId="7B1FEEE4">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(c) 勘察报告综合评价深度，勘察成果文件内容目录。</w:t>
      </w:r>
    </w:p>
    <w:p w14:paraId="131C8AB5">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(d) 投标人掌握的勘察工作有关的法律法规、标准、规范一览表。</w:t>
      </w:r>
    </w:p>
    <w:p w14:paraId="4901F3BB">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(e) 需要建设单位配合的事项。</w:t>
      </w:r>
    </w:p>
    <w:p w14:paraId="6AF02CB1">
      <w:pPr>
        <w:wordWrap w:val="0"/>
        <w:spacing w:line="360" w:lineRule="auto"/>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2.2 保密要求</w:t>
      </w:r>
    </w:p>
    <w:p w14:paraId="1AEF6163">
      <w:pPr>
        <w:wordWrap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勘察设计方案必须隐匿投标人及专业技术人员的名称及投标报价信息，投标人不得在勘察设计方案上标注或做任何可以辨认投标人及专业技术人员身份的名称、印章、商标，也</w:t>
      </w:r>
      <w:r>
        <w:rPr>
          <w:rFonts w:hint="eastAsia" w:ascii="宋体" w:hAnsi="宋体" w:eastAsia="宋体" w:cs="宋体"/>
          <w:b/>
          <w:color w:val="auto"/>
          <w:sz w:val="24"/>
          <w:szCs w:val="24"/>
          <w:highlight w:val="none"/>
        </w:rPr>
        <w:t>不得显示投标报价信息</w:t>
      </w:r>
      <w:r>
        <w:rPr>
          <w:rFonts w:hint="eastAsia" w:ascii="宋体" w:hAnsi="宋体" w:eastAsia="宋体" w:cs="宋体"/>
          <w:color w:val="auto"/>
          <w:sz w:val="24"/>
          <w:szCs w:val="24"/>
          <w:highlight w:val="none"/>
        </w:rPr>
        <w:t>。</w:t>
      </w:r>
    </w:p>
    <w:p w14:paraId="3FEC4AB0">
      <w:pPr>
        <w:wordWrap w:val="0"/>
        <w:rPr>
          <w:rFonts w:ascii="宋体" w:hAnsi="宋体" w:eastAsia="宋体"/>
          <w:strike/>
          <w:color w:val="auto"/>
          <w:highlight w:val="none"/>
        </w:rPr>
      </w:pPr>
      <w:bookmarkStart w:id="223" w:name="bookmark212"/>
      <w:bookmarkEnd w:id="223"/>
      <w:bookmarkStart w:id="224" w:name="bookmark211"/>
      <w:bookmarkEnd w:id="224"/>
      <w:bookmarkStart w:id="225" w:name="bookmark209"/>
      <w:bookmarkEnd w:id="225"/>
      <w:bookmarkStart w:id="226" w:name="bookmark210"/>
      <w:bookmarkEnd w:id="226"/>
    </w:p>
    <w:sectPr>
      <w:footerReference r:id="rId8" w:type="default"/>
      <w:pgSz w:w="11905" w:h="16838"/>
      <w:pgMar w:top="1474" w:right="1701" w:bottom="1474" w:left="1701"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listo MT">
    <w:panose1 w:val="02040603050505030304"/>
    <w:charset w:val="00"/>
    <w:family w:val="roman"/>
    <w:pitch w:val="default"/>
    <w:sig w:usb0="00000003" w:usb1="00000000" w:usb2="00000000" w:usb3="00000000" w:csb0="2000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7210166"/>
    </w:sdtPr>
    <w:sdtContent>
      <w:p w14:paraId="6DCD3992">
        <w:pPr>
          <w:pStyle w:val="31"/>
          <w:jc w:val="center"/>
        </w:pPr>
        <w:r>
          <w:fldChar w:fldCharType="begin"/>
        </w:r>
        <w:r>
          <w:instrText xml:space="preserve">PAGE   \* MERGEFORMAT</w:instrText>
        </w:r>
        <w:r>
          <w:fldChar w:fldCharType="separate"/>
        </w:r>
        <w:r>
          <w:rPr>
            <w:lang w:val="zh-CN"/>
          </w:rPr>
          <w:t>1</w:t>
        </w:r>
        <w:r>
          <w:fldChar w:fldCharType="end"/>
        </w:r>
      </w:p>
    </w:sdtContent>
  </w:sdt>
  <w:p w14:paraId="75268C46">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F05E9">
    <w:pPr>
      <w:pStyle w:val="31"/>
      <w:jc w:val="center"/>
    </w:pPr>
    <w:r>
      <w:fldChar w:fldCharType="begin"/>
    </w:r>
    <w:r>
      <w:instrText xml:space="preserve"> PAGE   \* MERGEFORMAT </w:instrText>
    </w:r>
    <w:r>
      <w:fldChar w:fldCharType="separate"/>
    </w:r>
    <w:r>
      <w:rPr>
        <w:lang w:val="zh-CN"/>
      </w:rPr>
      <w:t>53</w:t>
    </w:r>
    <w:r>
      <w:fldChar w:fldCharType="end"/>
    </w:r>
  </w:p>
  <w:p w14:paraId="2852A37F">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BD0C9">
    <w:pPr>
      <w:pStyle w:val="31"/>
      <w:jc w:val="center"/>
    </w:pPr>
    <w:r>
      <w:fldChar w:fldCharType="begin"/>
    </w:r>
    <w:r>
      <w:instrText xml:space="preserve">PAGE   \* MERGEFORMAT</w:instrText>
    </w:r>
    <w:r>
      <w:fldChar w:fldCharType="separate"/>
    </w:r>
    <w:r>
      <w:rPr>
        <w:lang w:val="zh-CN"/>
      </w:rPr>
      <w:t>83</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75234310"/>
    </w:sdtPr>
    <w:sdtContent>
      <w:p w14:paraId="16975567">
        <w:pPr>
          <w:pStyle w:val="31"/>
          <w:jc w:val="center"/>
        </w:pPr>
        <w:r>
          <w:fldChar w:fldCharType="begin"/>
        </w:r>
        <w:r>
          <w:instrText xml:space="preserve">PAGE   \* MERGEFORMAT</w:instrText>
        </w:r>
        <w:r>
          <w:fldChar w:fldCharType="separate"/>
        </w:r>
        <w:r>
          <w:rPr>
            <w:lang w:val="zh-CN"/>
          </w:rPr>
          <w:t>133</w:t>
        </w:r>
        <w:r>
          <w:fldChar w:fldCharType="end"/>
        </w:r>
      </w:p>
    </w:sdtContent>
  </w:sdt>
  <w:p w14:paraId="46B41AF9">
    <w:pPr>
      <w:pStyle w:val="3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28F03">
    <w:pPr>
      <w:pStyle w:val="31"/>
      <w:framePr w:wrap="around" w:vAnchor="text" w:hAnchor="margin" w:xAlign="center" w:y="1"/>
      <w:rPr>
        <w:rStyle w:val="50"/>
      </w:rPr>
    </w:pPr>
    <w:r>
      <w:fldChar w:fldCharType="begin"/>
    </w:r>
    <w:r>
      <w:rPr>
        <w:rStyle w:val="50"/>
      </w:rPr>
      <w:instrText xml:space="preserve">PAGE  </w:instrText>
    </w:r>
    <w:r>
      <w:fldChar w:fldCharType="end"/>
    </w:r>
  </w:p>
  <w:p w14:paraId="5095282D">
    <w:pPr>
      <w:pStyle w:val="3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E1300">
    <w:pPr>
      <w:spacing w:line="178" w:lineRule="auto"/>
      <w:ind w:left="4199"/>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2443682">
                          <w:pPr>
                            <w:pStyle w:val="31"/>
                          </w:pPr>
                          <w:r>
                            <w:fldChar w:fldCharType="begin"/>
                          </w:r>
                          <w:r>
                            <w:instrText xml:space="preserve"> PAGE  \* MERGEFORMAT </w:instrText>
                          </w:r>
                          <w:r>
                            <w:fldChar w:fldCharType="separate"/>
                          </w:r>
                          <w:r>
                            <w:t>178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hdABcz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dUK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Iwe5aF&#10;jb63PEJHebxd7gPkTCpHUXol0J14wPSlPp03JY73n+cU9fj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hdABczAgAAZQQAAA4AAAAAAAAAAQAgAAAAHwEAAGRycy9lMm9Eb2MueG1sUEsF&#10;BgAAAAAGAAYAWQEAAMQFAAAAAA==&#10;">
              <v:fill on="f" focussize="0,0"/>
              <v:stroke on="f" weight="0.5pt"/>
              <v:imagedata o:title=""/>
              <o:lock v:ext="edit" aspectratio="f"/>
              <v:textbox inset="0mm,0mm,0mm,0mm" style="mso-fit-shape-to-text:t;">
                <w:txbxContent>
                  <w:p w14:paraId="22443682">
                    <w:pPr>
                      <w:pStyle w:val="31"/>
                    </w:pPr>
                    <w:r>
                      <w:fldChar w:fldCharType="begin"/>
                    </w:r>
                    <w:r>
                      <w:instrText xml:space="preserve"> PAGE  \* MERGEFORMAT </w:instrText>
                    </w:r>
                    <w:r>
                      <w:fldChar w:fldCharType="separate"/>
                    </w:r>
                    <w:r>
                      <w:t>178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893E7B"/>
    <w:multiLevelType w:val="singleLevel"/>
    <w:tmpl w:val="16893E7B"/>
    <w:lvl w:ilvl="0" w:tentative="0">
      <w:start w:val="1"/>
      <w:numFmt w:val="decimal"/>
      <w:lvlText w:val="%1)"/>
      <w:lvlJc w:val="left"/>
      <w:pPr>
        <w:ind w:left="425" w:hanging="425"/>
      </w:pPr>
      <w:rPr>
        <w:rFonts w:hint="default"/>
      </w:rPr>
    </w:lvl>
  </w:abstractNum>
  <w:abstractNum w:abstractNumId="1">
    <w:nsid w:val="3035DD9E"/>
    <w:multiLevelType w:val="singleLevel"/>
    <w:tmpl w:val="3035DD9E"/>
    <w:lvl w:ilvl="0" w:tentative="0">
      <w:start w:val="1"/>
      <w:numFmt w:val="decimal"/>
      <w:lvlText w:val="%1."/>
      <w:lvlJc w:val="left"/>
      <w:pPr>
        <w:tabs>
          <w:tab w:val="left" w:pos="312"/>
        </w:tabs>
      </w:pPr>
    </w:lvl>
  </w:abstractNum>
  <w:abstractNum w:abstractNumId="2">
    <w:nsid w:val="62B44056"/>
    <w:multiLevelType w:val="singleLevel"/>
    <w:tmpl w:val="62B44056"/>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017"/>
    <w:rsid w:val="000020AF"/>
    <w:rsid w:val="0001017D"/>
    <w:rsid w:val="000179C6"/>
    <w:rsid w:val="000242C6"/>
    <w:rsid w:val="00027D0F"/>
    <w:rsid w:val="0003155C"/>
    <w:rsid w:val="00033F07"/>
    <w:rsid w:val="00036BF4"/>
    <w:rsid w:val="0003797C"/>
    <w:rsid w:val="00050490"/>
    <w:rsid w:val="00050866"/>
    <w:rsid w:val="00051096"/>
    <w:rsid w:val="00052804"/>
    <w:rsid w:val="0005535B"/>
    <w:rsid w:val="00056BC5"/>
    <w:rsid w:val="00065327"/>
    <w:rsid w:val="000723FD"/>
    <w:rsid w:val="000751EA"/>
    <w:rsid w:val="00082242"/>
    <w:rsid w:val="00086B37"/>
    <w:rsid w:val="00091692"/>
    <w:rsid w:val="0009184D"/>
    <w:rsid w:val="00092B00"/>
    <w:rsid w:val="0009472D"/>
    <w:rsid w:val="000947BF"/>
    <w:rsid w:val="00095825"/>
    <w:rsid w:val="000963B9"/>
    <w:rsid w:val="000A5DAE"/>
    <w:rsid w:val="000B1C61"/>
    <w:rsid w:val="000B3F7A"/>
    <w:rsid w:val="000C14BB"/>
    <w:rsid w:val="000C66B8"/>
    <w:rsid w:val="000C6E87"/>
    <w:rsid w:val="000D107C"/>
    <w:rsid w:val="000D2903"/>
    <w:rsid w:val="000D2CF7"/>
    <w:rsid w:val="000D3491"/>
    <w:rsid w:val="000D4C7B"/>
    <w:rsid w:val="000E3E93"/>
    <w:rsid w:val="000E3F61"/>
    <w:rsid w:val="000E4830"/>
    <w:rsid w:val="000F1237"/>
    <w:rsid w:val="000F2F98"/>
    <w:rsid w:val="000F6183"/>
    <w:rsid w:val="000F777B"/>
    <w:rsid w:val="00100CA0"/>
    <w:rsid w:val="00105C58"/>
    <w:rsid w:val="00105E13"/>
    <w:rsid w:val="00111695"/>
    <w:rsid w:val="001133F7"/>
    <w:rsid w:val="00114525"/>
    <w:rsid w:val="00116DF5"/>
    <w:rsid w:val="00117D81"/>
    <w:rsid w:val="00121872"/>
    <w:rsid w:val="00121CF0"/>
    <w:rsid w:val="00125CC6"/>
    <w:rsid w:val="001260B3"/>
    <w:rsid w:val="00126DBA"/>
    <w:rsid w:val="001328C6"/>
    <w:rsid w:val="00136C66"/>
    <w:rsid w:val="00141195"/>
    <w:rsid w:val="00144AF1"/>
    <w:rsid w:val="00150776"/>
    <w:rsid w:val="0015125E"/>
    <w:rsid w:val="00151A27"/>
    <w:rsid w:val="00160116"/>
    <w:rsid w:val="00165682"/>
    <w:rsid w:val="00166893"/>
    <w:rsid w:val="00173865"/>
    <w:rsid w:val="00173CF7"/>
    <w:rsid w:val="00181DEC"/>
    <w:rsid w:val="00186298"/>
    <w:rsid w:val="00187C45"/>
    <w:rsid w:val="00192AF9"/>
    <w:rsid w:val="00194AD4"/>
    <w:rsid w:val="001950BF"/>
    <w:rsid w:val="0019544D"/>
    <w:rsid w:val="001A0D43"/>
    <w:rsid w:val="001A0DD2"/>
    <w:rsid w:val="001A2E3B"/>
    <w:rsid w:val="001A4B26"/>
    <w:rsid w:val="001A5358"/>
    <w:rsid w:val="001A64AE"/>
    <w:rsid w:val="001B068D"/>
    <w:rsid w:val="001B3CAD"/>
    <w:rsid w:val="001B6471"/>
    <w:rsid w:val="001C245A"/>
    <w:rsid w:val="001C2CA6"/>
    <w:rsid w:val="001C2FFD"/>
    <w:rsid w:val="001C3276"/>
    <w:rsid w:val="001C33ED"/>
    <w:rsid w:val="001D2CCB"/>
    <w:rsid w:val="001D7730"/>
    <w:rsid w:val="001E4F57"/>
    <w:rsid w:val="001E5C63"/>
    <w:rsid w:val="001E5FCA"/>
    <w:rsid w:val="001F0150"/>
    <w:rsid w:val="001F3C67"/>
    <w:rsid w:val="001F6132"/>
    <w:rsid w:val="0020173B"/>
    <w:rsid w:val="00202FBA"/>
    <w:rsid w:val="00203461"/>
    <w:rsid w:val="002155F9"/>
    <w:rsid w:val="00215E1C"/>
    <w:rsid w:val="00215E49"/>
    <w:rsid w:val="00216349"/>
    <w:rsid w:val="002176A1"/>
    <w:rsid w:val="00220ED3"/>
    <w:rsid w:val="0022112D"/>
    <w:rsid w:val="00222217"/>
    <w:rsid w:val="00224046"/>
    <w:rsid w:val="00232C1B"/>
    <w:rsid w:val="00232F19"/>
    <w:rsid w:val="00236A71"/>
    <w:rsid w:val="00237017"/>
    <w:rsid w:val="00240083"/>
    <w:rsid w:val="002420DB"/>
    <w:rsid w:val="00244564"/>
    <w:rsid w:val="00246F6A"/>
    <w:rsid w:val="002507A7"/>
    <w:rsid w:val="0025334C"/>
    <w:rsid w:val="00253ADC"/>
    <w:rsid w:val="002543FF"/>
    <w:rsid w:val="002548A2"/>
    <w:rsid w:val="002573FB"/>
    <w:rsid w:val="002605C9"/>
    <w:rsid w:val="002610AA"/>
    <w:rsid w:val="00263AEA"/>
    <w:rsid w:val="00267488"/>
    <w:rsid w:val="00270218"/>
    <w:rsid w:val="002745DF"/>
    <w:rsid w:val="002831F3"/>
    <w:rsid w:val="0028421B"/>
    <w:rsid w:val="00287FB0"/>
    <w:rsid w:val="00292E4B"/>
    <w:rsid w:val="002A1071"/>
    <w:rsid w:val="002A114E"/>
    <w:rsid w:val="002A50C3"/>
    <w:rsid w:val="002A7C01"/>
    <w:rsid w:val="002B2FBE"/>
    <w:rsid w:val="002C555B"/>
    <w:rsid w:val="002D5DD9"/>
    <w:rsid w:val="002D7472"/>
    <w:rsid w:val="002E02F3"/>
    <w:rsid w:val="002E2EC6"/>
    <w:rsid w:val="002E30C4"/>
    <w:rsid w:val="002F1C20"/>
    <w:rsid w:val="002F23F7"/>
    <w:rsid w:val="002F34C1"/>
    <w:rsid w:val="002F44AF"/>
    <w:rsid w:val="002F583F"/>
    <w:rsid w:val="003026AC"/>
    <w:rsid w:val="0030422D"/>
    <w:rsid w:val="00305DD4"/>
    <w:rsid w:val="00306782"/>
    <w:rsid w:val="00311B09"/>
    <w:rsid w:val="003141EC"/>
    <w:rsid w:val="00317808"/>
    <w:rsid w:val="0032037B"/>
    <w:rsid w:val="0032123B"/>
    <w:rsid w:val="003217D3"/>
    <w:rsid w:val="00322D37"/>
    <w:rsid w:val="0032790E"/>
    <w:rsid w:val="00331AE1"/>
    <w:rsid w:val="003328F5"/>
    <w:rsid w:val="00333211"/>
    <w:rsid w:val="00344CCA"/>
    <w:rsid w:val="00345A44"/>
    <w:rsid w:val="003476D9"/>
    <w:rsid w:val="00350179"/>
    <w:rsid w:val="0035094F"/>
    <w:rsid w:val="00351663"/>
    <w:rsid w:val="003578AF"/>
    <w:rsid w:val="00357EEF"/>
    <w:rsid w:val="00360106"/>
    <w:rsid w:val="00360440"/>
    <w:rsid w:val="00362F4F"/>
    <w:rsid w:val="003639B8"/>
    <w:rsid w:val="00363A04"/>
    <w:rsid w:val="00372A70"/>
    <w:rsid w:val="0037316F"/>
    <w:rsid w:val="003739FC"/>
    <w:rsid w:val="00375D70"/>
    <w:rsid w:val="00377872"/>
    <w:rsid w:val="00380B83"/>
    <w:rsid w:val="00385EFB"/>
    <w:rsid w:val="003906DC"/>
    <w:rsid w:val="003908DF"/>
    <w:rsid w:val="003914F5"/>
    <w:rsid w:val="00391A7A"/>
    <w:rsid w:val="00393CDC"/>
    <w:rsid w:val="003A03A3"/>
    <w:rsid w:val="003B0260"/>
    <w:rsid w:val="003B5DC9"/>
    <w:rsid w:val="003B6D0C"/>
    <w:rsid w:val="003B6F32"/>
    <w:rsid w:val="003B7C3E"/>
    <w:rsid w:val="003C0492"/>
    <w:rsid w:val="003C1CEB"/>
    <w:rsid w:val="003C543B"/>
    <w:rsid w:val="003D1752"/>
    <w:rsid w:val="003D33BC"/>
    <w:rsid w:val="003F3DDC"/>
    <w:rsid w:val="003F702A"/>
    <w:rsid w:val="004005FE"/>
    <w:rsid w:val="004026ED"/>
    <w:rsid w:val="00404198"/>
    <w:rsid w:val="004056B5"/>
    <w:rsid w:val="004164FA"/>
    <w:rsid w:val="004165B5"/>
    <w:rsid w:val="00416A5A"/>
    <w:rsid w:val="00420F62"/>
    <w:rsid w:val="004213FF"/>
    <w:rsid w:val="00421F68"/>
    <w:rsid w:val="0042261D"/>
    <w:rsid w:val="0042528F"/>
    <w:rsid w:val="00430F9E"/>
    <w:rsid w:val="004339A3"/>
    <w:rsid w:val="00453149"/>
    <w:rsid w:val="004549E3"/>
    <w:rsid w:val="00455812"/>
    <w:rsid w:val="00455814"/>
    <w:rsid w:val="00465FA2"/>
    <w:rsid w:val="00466BC3"/>
    <w:rsid w:val="004711E8"/>
    <w:rsid w:val="004741C6"/>
    <w:rsid w:val="004765E6"/>
    <w:rsid w:val="0047676E"/>
    <w:rsid w:val="004811E7"/>
    <w:rsid w:val="00484BC3"/>
    <w:rsid w:val="00486FFC"/>
    <w:rsid w:val="00491CE7"/>
    <w:rsid w:val="00495A4B"/>
    <w:rsid w:val="004A0728"/>
    <w:rsid w:val="004A2D6A"/>
    <w:rsid w:val="004A40C2"/>
    <w:rsid w:val="004A418A"/>
    <w:rsid w:val="004A428F"/>
    <w:rsid w:val="004A45B4"/>
    <w:rsid w:val="004B3655"/>
    <w:rsid w:val="004B4FAE"/>
    <w:rsid w:val="004C3DF6"/>
    <w:rsid w:val="004C5589"/>
    <w:rsid w:val="004C7A21"/>
    <w:rsid w:val="004C7BE6"/>
    <w:rsid w:val="004D1054"/>
    <w:rsid w:val="004D1466"/>
    <w:rsid w:val="004D3BC4"/>
    <w:rsid w:val="004D4C5A"/>
    <w:rsid w:val="004E167F"/>
    <w:rsid w:val="004E2A21"/>
    <w:rsid w:val="004E3382"/>
    <w:rsid w:val="004E4967"/>
    <w:rsid w:val="004E525C"/>
    <w:rsid w:val="004E5D9D"/>
    <w:rsid w:val="004F23EE"/>
    <w:rsid w:val="004F5E90"/>
    <w:rsid w:val="004F6AB2"/>
    <w:rsid w:val="0050777E"/>
    <w:rsid w:val="00510996"/>
    <w:rsid w:val="00510E72"/>
    <w:rsid w:val="005137AC"/>
    <w:rsid w:val="005155F3"/>
    <w:rsid w:val="00515951"/>
    <w:rsid w:val="00523889"/>
    <w:rsid w:val="00527C4C"/>
    <w:rsid w:val="005310CF"/>
    <w:rsid w:val="00544656"/>
    <w:rsid w:val="00547C26"/>
    <w:rsid w:val="00547D15"/>
    <w:rsid w:val="00557AD7"/>
    <w:rsid w:val="005600C0"/>
    <w:rsid w:val="005817EE"/>
    <w:rsid w:val="00584B44"/>
    <w:rsid w:val="00587C9A"/>
    <w:rsid w:val="00590D2E"/>
    <w:rsid w:val="005921B8"/>
    <w:rsid w:val="005969A5"/>
    <w:rsid w:val="00597D19"/>
    <w:rsid w:val="005A1186"/>
    <w:rsid w:val="005A3666"/>
    <w:rsid w:val="005B183B"/>
    <w:rsid w:val="005B48EF"/>
    <w:rsid w:val="005B5023"/>
    <w:rsid w:val="005C1186"/>
    <w:rsid w:val="005C3690"/>
    <w:rsid w:val="005C5D94"/>
    <w:rsid w:val="005D1314"/>
    <w:rsid w:val="005D3A27"/>
    <w:rsid w:val="005D3FA6"/>
    <w:rsid w:val="005D5774"/>
    <w:rsid w:val="005D5FB7"/>
    <w:rsid w:val="005E0B4F"/>
    <w:rsid w:val="005E1373"/>
    <w:rsid w:val="005E3B8E"/>
    <w:rsid w:val="005E50CE"/>
    <w:rsid w:val="005E5707"/>
    <w:rsid w:val="005E58CF"/>
    <w:rsid w:val="005E7A5F"/>
    <w:rsid w:val="005F247C"/>
    <w:rsid w:val="005F4280"/>
    <w:rsid w:val="00600FB5"/>
    <w:rsid w:val="00601528"/>
    <w:rsid w:val="006020CE"/>
    <w:rsid w:val="00606F6C"/>
    <w:rsid w:val="006071A5"/>
    <w:rsid w:val="0061085A"/>
    <w:rsid w:val="00613B63"/>
    <w:rsid w:val="00615E11"/>
    <w:rsid w:val="00617F31"/>
    <w:rsid w:val="0062205C"/>
    <w:rsid w:val="006255D7"/>
    <w:rsid w:val="00634E70"/>
    <w:rsid w:val="00644CDC"/>
    <w:rsid w:val="0065295D"/>
    <w:rsid w:val="00653E56"/>
    <w:rsid w:val="00656350"/>
    <w:rsid w:val="006626A3"/>
    <w:rsid w:val="00663D15"/>
    <w:rsid w:val="00667A50"/>
    <w:rsid w:val="00670439"/>
    <w:rsid w:val="00673877"/>
    <w:rsid w:val="00680C1D"/>
    <w:rsid w:val="00682A9F"/>
    <w:rsid w:val="00682CEB"/>
    <w:rsid w:val="00684BA3"/>
    <w:rsid w:val="00685811"/>
    <w:rsid w:val="00685F47"/>
    <w:rsid w:val="006864E5"/>
    <w:rsid w:val="006870A2"/>
    <w:rsid w:val="0068713D"/>
    <w:rsid w:val="006876A1"/>
    <w:rsid w:val="00690354"/>
    <w:rsid w:val="00691FCD"/>
    <w:rsid w:val="00694C28"/>
    <w:rsid w:val="00697403"/>
    <w:rsid w:val="006978F2"/>
    <w:rsid w:val="006A0291"/>
    <w:rsid w:val="006A0935"/>
    <w:rsid w:val="006A0A85"/>
    <w:rsid w:val="006B01AC"/>
    <w:rsid w:val="006B0D74"/>
    <w:rsid w:val="006B5DFF"/>
    <w:rsid w:val="006C1B4D"/>
    <w:rsid w:val="006C5CF8"/>
    <w:rsid w:val="006C5D28"/>
    <w:rsid w:val="006C6AF0"/>
    <w:rsid w:val="006C789D"/>
    <w:rsid w:val="006D0A15"/>
    <w:rsid w:val="006D1F9F"/>
    <w:rsid w:val="006D27BE"/>
    <w:rsid w:val="006D3BB5"/>
    <w:rsid w:val="006E0C12"/>
    <w:rsid w:val="006E0C6F"/>
    <w:rsid w:val="006E602F"/>
    <w:rsid w:val="006E749F"/>
    <w:rsid w:val="00702D80"/>
    <w:rsid w:val="007065FB"/>
    <w:rsid w:val="00716D38"/>
    <w:rsid w:val="0072081B"/>
    <w:rsid w:val="0072138A"/>
    <w:rsid w:val="007213E7"/>
    <w:rsid w:val="00722747"/>
    <w:rsid w:val="00723D96"/>
    <w:rsid w:val="00723DDC"/>
    <w:rsid w:val="00727BA4"/>
    <w:rsid w:val="007348EA"/>
    <w:rsid w:val="00737E69"/>
    <w:rsid w:val="00746064"/>
    <w:rsid w:val="0074622C"/>
    <w:rsid w:val="007518AF"/>
    <w:rsid w:val="0075431A"/>
    <w:rsid w:val="0075531C"/>
    <w:rsid w:val="0076314A"/>
    <w:rsid w:val="007662A6"/>
    <w:rsid w:val="00770108"/>
    <w:rsid w:val="00770CF7"/>
    <w:rsid w:val="00770D94"/>
    <w:rsid w:val="00773A41"/>
    <w:rsid w:val="00773E72"/>
    <w:rsid w:val="0078062C"/>
    <w:rsid w:val="00786707"/>
    <w:rsid w:val="00786F4B"/>
    <w:rsid w:val="00787542"/>
    <w:rsid w:val="007911A5"/>
    <w:rsid w:val="0079675A"/>
    <w:rsid w:val="007A562A"/>
    <w:rsid w:val="007A5E0C"/>
    <w:rsid w:val="007A72B1"/>
    <w:rsid w:val="007B22AF"/>
    <w:rsid w:val="007B32F7"/>
    <w:rsid w:val="007B563C"/>
    <w:rsid w:val="007B77EB"/>
    <w:rsid w:val="007C2EFE"/>
    <w:rsid w:val="007C3A39"/>
    <w:rsid w:val="007C5560"/>
    <w:rsid w:val="007C7DF1"/>
    <w:rsid w:val="007D399A"/>
    <w:rsid w:val="007D69CC"/>
    <w:rsid w:val="007E121D"/>
    <w:rsid w:val="007E1EEB"/>
    <w:rsid w:val="007E308A"/>
    <w:rsid w:val="007E3D84"/>
    <w:rsid w:val="007E7B1B"/>
    <w:rsid w:val="007F2D90"/>
    <w:rsid w:val="007F2EF2"/>
    <w:rsid w:val="007F62D9"/>
    <w:rsid w:val="00805D7F"/>
    <w:rsid w:val="00806033"/>
    <w:rsid w:val="008102E0"/>
    <w:rsid w:val="00810609"/>
    <w:rsid w:val="00811613"/>
    <w:rsid w:val="0081278D"/>
    <w:rsid w:val="008219DE"/>
    <w:rsid w:val="008232A8"/>
    <w:rsid w:val="008248F5"/>
    <w:rsid w:val="008250EA"/>
    <w:rsid w:val="008265D1"/>
    <w:rsid w:val="00826633"/>
    <w:rsid w:val="008271E7"/>
    <w:rsid w:val="00831A33"/>
    <w:rsid w:val="00831B1A"/>
    <w:rsid w:val="008340F9"/>
    <w:rsid w:val="0083550A"/>
    <w:rsid w:val="00837D56"/>
    <w:rsid w:val="00841B8C"/>
    <w:rsid w:val="00850636"/>
    <w:rsid w:val="00852281"/>
    <w:rsid w:val="00855747"/>
    <w:rsid w:val="00860620"/>
    <w:rsid w:val="008615B8"/>
    <w:rsid w:val="00871591"/>
    <w:rsid w:val="0087727A"/>
    <w:rsid w:val="00881067"/>
    <w:rsid w:val="00882390"/>
    <w:rsid w:val="0088305A"/>
    <w:rsid w:val="0089072C"/>
    <w:rsid w:val="00895C57"/>
    <w:rsid w:val="008A3F60"/>
    <w:rsid w:val="008B340E"/>
    <w:rsid w:val="008B4A25"/>
    <w:rsid w:val="008B4C9B"/>
    <w:rsid w:val="008B511F"/>
    <w:rsid w:val="008C4BBB"/>
    <w:rsid w:val="008C7BCD"/>
    <w:rsid w:val="008D3190"/>
    <w:rsid w:val="008D5EE2"/>
    <w:rsid w:val="008D7608"/>
    <w:rsid w:val="008E02B1"/>
    <w:rsid w:val="008E5867"/>
    <w:rsid w:val="008E7FEA"/>
    <w:rsid w:val="008F0618"/>
    <w:rsid w:val="008F40AC"/>
    <w:rsid w:val="008F5BC7"/>
    <w:rsid w:val="009015AA"/>
    <w:rsid w:val="009018AB"/>
    <w:rsid w:val="00902A11"/>
    <w:rsid w:val="009031E8"/>
    <w:rsid w:val="00905A16"/>
    <w:rsid w:val="00905DBE"/>
    <w:rsid w:val="009139E3"/>
    <w:rsid w:val="009207EB"/>
    <w:rsid w:val="00920F35"/>
    <w:rsid w:val="00922DD8"/>
    <w:rsid w:val="009254C9"/>
    <w:rsid w:val="009265A6"/>
    <w:rsid w:val="009273B0"/>
    <w:rsid w:val="00927630"/>
    <w:rsid w:val="0093248A"/>
    <w:rsid w:val="00934DC1"/>
    <w:rsid w:val="00936482"/>
    <w:rsid w:val="0094015E"/>
    <w:rsid w:val="00945842"/>
    <w:rsid w:val="0094680B"/>
    <w:rsid w:val="00947739"/>
    <w:rsid w:val="00951015"/>
    <w:rsid w:val="0095152B"/>
    <w:rsid w:val="00955806"/>
    <w:rsid w:val="00957F45"/>
    <w:rsid w:val="009613D0"/>
    <w:rsid w:val="00961919"/>
    <w:rsid w:val="009627F1"/>
    <w:rsid w:val="0096387A"/>
    <w:rsid w:val="00966B1E"/>
    <w:rsid w:val="00972698"/>
    <w:rsid w:val="00973485"/>
    <w:rsid w:val="00973C00"/>
    <w:rsid w:val="00976633"/>
    <w:rsid w:val="00977B04"/>
    <w:rsid w:val="0098079F"/>
    <w:rsid w:val="00980C9B"/>
    <w:rsid w:val="00980E1F"/>
    <w:rsid w:val="00983169"/>
    <w:rsid w:val="00993434"/>
    <w:rsid w:val="00993B96"/>
    <w:rsid w:val="009979FD"/>
    <w:rsid w:val="00997CFD"/>
    <w:rsid w:val="009A0AA9"/>
    <w:rsid w:val="009A7AE3"/>
    <w:rsid w:val="009B0EA5"/>
    <w:rsid w:val="009B5946"/>
    <w:rsid w:val="009B64F5"/>
    <w:rsid w:val="009C30E8"/>
    <w:rsid w:val="009C345A"/>
    <w:rsid w:val="009C5AC5"/>
    <w:rsid w:val="009C7279"/>
    <w:rsid w:val="009D2D2F"/>
    <w:rsid w:val="009D46F5"/>
    <w:rsid w:val="009D68E7"/>
    <w:rsid w:val="009E40BC"/>
    <w:rsid w:val="009F2791"/>
    <w:rsid w:val="00A00C84"/>
    <w:rsid w:val="00A0178C"/>
    <w:rsid w:val="00A01888"/>
    <w:rsid w:val="00A058DF"/>
    <w:rsid w:val="00A105A5"/>
    <w:rsid w:val="00A13532"/>
    <w:rsid w:val="00A143FD"/>
    <w:rsid w:val="00A2332C"/>
    <w:rsid w:val="00A26183"/>
    <w:rsid w:val="00A26EBD"/>
    <w:rsid w:val="00A3621E"/>
    <w:rsid w:val="00A3646C"/>
    <w:rsid w:val="00A425FE"/>
    <w:rsid w:val="00A45D31"/>
    <w:rsid w:val="00A461F0"/>
    <w:rsid w:val="00A531D2"/>
    <w:rsid w:val="00A63E1B"/>
    <w:rsid w:val="00A66FDB"/>
    <w:rsid w:val="00A72FBE"/>
    <w:rsid w:val="00A73C47"/>
    <w:rsid w:val="00A752F6"/>
    <w:rsid w:val="00A80709"/>
    <w:rsid w:val="00A81AC4"/>
    <w:rsid w:val="00A83969"/>
    <w:rsid w:val="00A92C18"/>
    <w:rsid w:val="00A947D3"/>
    <w:rsid w:val="00A956B2"/>
    <w:rsid w:val="00A964FE"/>
    <w:rsid w:val="00A97CF9"/>
    <w:rsid w:val="00AA1E93"/>
    <w:rsid w:val="00AA72C4"/>
    <w:rsid w:val="00AB116E"/>
    <w:rsid w:val="00AB1F8E"/>
    <w:rsid w:val="00AB4E0C"/>
    <w:rsid w:val="00AC5E57"/>
    <w:rsid w:val="00AC7005"/>
    <w:rsid w:val="00AD13B1"/>
    <w:rsid w:val="00AD50A7"/>
    <w:rsid w:val="00AD62DA"/>
    <w:rsid w:val="00AD67A9"/>
    <w:rsid w:val="00AD6B04"/>
    <w:rsid w:val="00AD75D5"/>
    <w:rsid w:val="00AE420E"/>
    <w:rsid w:val="00AE4AF1"/>
    <w:rsid w:val="00AE57CA"/>
    <w:rsid w:val="00AE6C9B"/>
    <w:rsid w:val="00AE7BE9"/>
    <w:rsid w:val="00B02B66"/>
    <w:rsid w:val="00B05CCF"/>
    <w:rsid w:val="00B1125A"/>
    <w:rsid w:val="00B141EE"/>
    <w:rsid w:val="00B14A71"/>
    <w:rsid w:val="00B2042F"/>
    <w:rsid w:val="00B23087"/>
    <w:rsid w:val="00B24329"/>
    <w:rsid w:val="00B24E19"/>
    <w:rsid w:val="00B257BA"/>
    <w:rsid w:val="00B3186D"/>
    <w:rsid w:val="00B41C87"/>
    <w:rsid w:val="00B46DA9"/>
    <w:rsid w:val="00B50282"/>
    <w:rsid w:val="00B56083"/>
    <w:rsid w:val="00B63632"/>
    <w:rsid w:val="00B63F7E"/>
    <w:rsid w:val="00B71221"/>
    <w:rsid w:val="00B72A5C"/>
    <w:rsid w:val="00B72BA4"/>
    <w:rsid w:val="00B766B4"/>
    <w:rsid w:val="00B82CCC"/>
    <w:rsid w:val="00B82D9C"/>
    <w:rsid w:val="00B8387F"/>
    <w:rsid w:val="00B8464D"/>
    <w:rsid w:val="00B85C9F"/>
    <w:rsid w:val="00B86BEF"/>
    <w:rsid w:val="00B877EE"/>
    <w:rsid w:val="00B92F2C"/>
    <w:rsid w:val="00B9543D"/>
    <w:rsid w:val="00B95C84"/>
    <w:rsid w:val="00BA21DC"/>
    <w:rsid w:val="00BA2232"/>
    <w:rsid w:val="00BA2A31"/>
    <w:rsid w:val="00BA2BBE"/>
    <w:rsid w:val="00BA35C2"/>
    <w:rsid w:val="00BB1C86"/>
    <w:rsid w:val="00BB2672"/>
    <w:rsid w:val="00BB62D6"/>
    <w:rsid w:val="00BE0EDF"/>
    <w:rsid w:val="00BE1068"/>
    <w:rsid w:val="00BE2EEE"/>
    <w:rsid w:val="00BF1936"/>
    <w:rsid w:val="00BF477D"/>
    <w:rsid w:val="00BF62B1"/>
    <w:rsid w:val="00C009FD"/>
    <w:rsid w:val="00C078A6"/>
    <w:rsid w:val="00C15C17"/>
    <w:rsid w:val="00C166C1"/>
    <w:rsid w:val="00C1700E"/>
    <w:rsid w:val="00C27ADF"/>
    <w:rsid w:val="00C357A4"/>
    <w:rsid w:val="00C4071E"/>
    <w:rsid w:val="00C42D39"/>
    <w:rsid w:val="00C46379"/>
    <w:rsid w:val="00C51DD1"/>
    <w:rsid w:val="00C520D9"/>
    <w:rsid w:val="00C521E7"/>
    <w:rsid w:val="00C53534"/>
    <w:rsid w:val="00C53615"/>
    <w:rsid w:val="00C53875"/>
    <w:rsid w:val="00C539F3"/>
    <w:rsid w:val="00C5536B"/>
    <w:rsid w:val="00C608D2"/>
    <w:rsid w:val="00C623A3"/>
    <w:rsid w:val="00C6589B"/>
    <w:rsid w:val="00C704DA"/>
    <w:rsid w:val="00C7352B"/>
    <w:rsid w:val="00C73B12"/>
    <w:rsid w:val="00C740D5"/>
    <w:rsid w:val="00C77B4A"/>
    <w:rsid w:val="00C80A2D"/>
    <w:rsid w:val="00C81073"/>
    <w:rsid w:val="00C81891"/>
    <w:rsid w:val="00C82445"/>
    <w:rsid w:val="00C824FA"/>
    <w:rsid w:val="00C84F8B"/>
    <w:rsid w:val="00CA5AC4"/>
    <w:rsid w:val="00CA5D98"/>
    <w:rsid w:val="00CB0B09"/>
    <w:rsid w:val="00CB1724"/>
    <w:rsid w:val="00CB1B6A"/>
    <w:rsid w:val="00CB2755"/>
    <w:rsid w:val="00CB3E72"/>
    <w:rsid w:val="00CB430D"/>
    <w:rsid w:val="00CB63AE"/>
    <w:rsid w:val="00CB7485"/>
    <w:rsid w:val="00CB7F43"/>
    <w:rsid w:val="00CC1634"/>
    <w:rsid w:val="00CC28C8"/>
    <w:rsid w:val="00CC5F8E"/>
    <w:rsid w:val="00CD06C8"/>
    <w:rsid w:val="00CD2177"/>
    <w:rsid w:val="00CD2322"/>
    <w:rsid w:val="00CE0B23"/>
    <w:rsid w:val="00CE0F05"/>
    <w:rsid w:val="00CE672E"/>
    <w:rsid w:val="00CF0236"/>
    <w:rsid w:val="00CF0433"/>
    <w:rsid w:val="00CF76B9"/>
    <w:rsid w:val="00D0671B"/>
    <w:rsid w:val="00D07AF2"/>
    <w:rsid w:val="00D10CE3"/>
    <w:rsid w:val="00D111FE"/>
    <w:rsid w:val="00D135D3"/>
    <w:rsid w:val="00D13D82"/>
    <w:rsid w:val="00D22026"/>
    <w:rsid w:val="00D2533C"/>
    <w:rsid w:val="00D2628D"/>
    <w:rsid w:val="00D27AED"/>
    <w:rsid w:val="00D306A0"/>
    <w:rsid w:val="00D341FF"/>
    <w:rsid w:val="00D417C5"/>
    <w:rsid w:val="00D42FCF"/>
    <w:rsid w:val="00D63051"/>
    <w:rsid w:val="00D64FA6"/>
    <w:rsid w:val="00D65FD0"/>
    <w:rsid w:val="00D6761F"/>
    <w:rsid w:val="00D715A2"/>
    <w:rsid w:val="00D731B9"/>
    <w:rsid w:val="00D77D70"/>
    <w:rsid w:val="00D81C49"/>
    <w:rsid w:val="00D82277"/>
    <w:rsid w:val="00D8355E"/>
    <w:rsid w:val="00D86E1D"/>
    <w:rsid w:val="00D87A48"/>
    <w:rsid w:val="00D927F4"/>
    <w:rsid w:val="00D97A87"/>
    <w:rsid w:val="00DA0AC1"/>
    <w:rsid w:val="00DB06F8"/>
    <w:rsid w:val="00DB118E"/>
    <w:rsid w:val="00DB4051"/>
    <w:rsid w:val="00DB49A9"/>
    <w:rsid w:val="00DB6377"/>
    <w:rsid w:val="00DC15E9"/>
    <w:rsid w:val="00DC50B0"/>
    <w:rsid w:val="00DC52D0"/>
    <w:rsid w:val="00DC5330"/>
    <w:rsid w:val="00DC6556"/>
    <w:rsid w:val="00DD0B3F"/>
    <w:rsid w:val="00DD0F1E"/>
    <w:rsid w:val="00DD55AD"/>
    <w:rsid w:val="00DD6613"/>
    <w:rsid w:val="00DE0151"/>
    <w:rsid w:val="00DE1F50"/>
    <w:rsid w:val="00DE4712"/>
    <w:rsid w:val="00DE693C"/>
    <w:rsid w:val="00DE6C93"/>
    <w:rsid w:val="00DF249B"/>
    <w:rsid w:val="00DF36D9"/>
    <w:rsid w:val="00DF786D"/>
    <w:rsid w:val="00DF7E99"/>
    <w:rsid w:val="00E01228"/>
    <w:rsid w:val="00E01C45"/>
    <w:rsid w:val="00E02C60"/>
    <w:rsid w:val="00E072B0"/>
    <w:rsid w:val="00E07C39"/>
    <w:rsid w:val="00E16421"/>
    <w:rsid w:val="00E20A08"/>
    <w:rsid w:val="00E20F05"/>
    <w:rsid w:val="00E263E4"/>
    <w:rsid w:val="00E26AFF"/>
    <w:rsid w:val="00E40CC3"/>
    <w:rsid w:val="00E41BA1"/>
    <w:rsid w:val="00E470DE"/>
    <w:rsid w:val="00E51285"/>
    <w:rsid w:val="00E52BC8"/>
    <w:rsid w:val="00E56EEB"/>
    <w:rsid w:val="00E64D9C"/>
    <w:rsid w:val="00E65A3A"/>
    <w:rsid w:val="00E670D3"/>
    <w:rsid w:val="00E70728"/>
    <w:rsid w:val="00E72C2B"/>
    <w:rsid w:val="00E74878"/>
    <w:rsid w:val="00E77A44"/>
    <w:rsid w:val="00E8350B"/>
    <w:rsid w:val="00E85834"/>
    <w:rsid w:val="00E91C52"/>
    <w:rsid w:val="00E92A7D"/>
    <w:rsid w:val="00E933B8"/>
    <w:rsid w:val="00E94537"/>
    <w:rsid w:val="00EA2124"/>
    <w:rsid w:val="00EA45ED"/>
    <w:rsid w:val="00EA5A13"/>
    <w:rsid w:val="00EA6AE2"/>
    <w:rsid w:val="00EB3868"/>
    <w:rsid w:val="00EB7358"/>
    <w:rsid w:val="00EC31E1"/>
    <w:rsid w:val="00EC4989"/>
    <w:rsid w:val="00ED032E"/>
    <w:rsid w:val="00ED28E5"/>
    <w:rsid w:val="00ED3D9B"/>
    <w:rsid w:val="00ED7EEA"/>
    <w:rsid w:val="00ED7F08"/>
    <w:rsid w:val="00EE22C4"/>
    <w:rsid w:val="00EF4C70"/>
    <w:rsid w:val="00EF5D17"/>
    <w:rsid w:val="00F01545"/>
    <w:rsid w:val="00F067AF"/>
    <w:rsid w:val="00F11FC8"/>
    <w:rsid w:val="00F1274D"/>
    <w:rsid w:val="00F15C62"/>
    <w:rsid w:val="00F20075"/>
    <w:rsid w:val="00F20957"/>
    <w:rsid w:val="00F24A26"/>
    <w:rsid w:val="00F27633"/>
    <w:rsid w:val="00F32AA9"/>
    <w:rsid w:val="00F335A6"/>
    <w:rsid w:val="00F352B5"/>
    <w:rsid w:val="00F3564E"/>
    <w:rsid w:val="00F4672F"/>
    <w:rsid w:val="00F5006D"/>
    <w:rsid w:val="00F52892"/>
    <w:rsid w:val="00F5736D"/>
    <w:rsid w:val="00F6097F"/>
    <w:rsid w:val="00F6138F"/>
    <w:rsid w:val="00F616E7"/>
    <w:rsid w:val="00F630D0"/>
    <w:rsid w:val="00F6429C"/>
    <w:rsid w:val="00F64394"/>
    <w:rsid w:val="00F65C01"/>
    <w:rsid w:val="00F70FB6"/>
    <w:rsid w:val="00F72222"/>
    <w:rsid w:val="00F7313A"/>
    <w:rsid w:val="00F76B60"/>
    <w:rsid w:val="00F83358"/>
    <w:rsid w:val="00F8369D"/>
    <w:rsid w:val="00F86E13"/>
    <w:rsid w:val="00FA386C"/>
    <w:rsid w:val="00FB1615"/>
    <w:rsid w:val="00FB4B53"/>
    <w:rsid w:val="00FB78FA"/>
    <w:rsid w:val="00FC546C"/>
    <w:rsid w:val="00FD0A5A"/>
    <w:rsid w:val="00FD2F96"/>
    <w:rsid w:val="00FD72CC"/>
    <w:rsid w:val="00FD7FB3"/>
    <w:rsid w:val="00FE0890"/>
    <w:rsid w:val="00FE199D"/>
    <w:rsid w:val="00FE4FAE"/>
    <w:rsid w:val="00FE5160"/>
    <w:rsid w:val="00FF54C4"/>
    <w:rsid w:val="00FF7286"/>
    <w:rsid w:val="014D4677"/>
    <w:rsid w:val="01F01E34"/>
    <w:rsid w:val="02A25720"/>
    <w:rsid w:val="03AD1C84"/>
    <w:rsid w:val="0577129F"/>
    <w:rsid w:val="06D51D52"/>
    <w:rsid w:val="07AA02BB"/>
    <w:rsid w:val="09A33FA9"/>
    <w:rsid w:val="0A0B5E86"/>
    <w:rsid w:val="0DE46715"/>
    <w:rsid w:val="0E8C7683"/>
    <w:rsid w:val="10BC0731"/>
    <w:rsid w:val="13675A6C"/>
    <w:rsid w:val="13BA5B9C"/>
    <w:rsid w:val="13F872F3"/>
    <w:rsid w:val="140C2D0D"/>
    <w:rsid w:val="15393220"/>
    <w:rsid w:val="15AD7E31"/>
    <w:rsid w:val="1B41150C"/>
    <w:rsid w:val="1E5D0198"/>
    <w:rsid w:val="1EC3743C"/>
    <w:rsid w:val="23197760"/>
    <w:rsid w:val="234C0E45"/>
    <w:rsid w:val="26466E58"/>
    <w:rsid w:val="27AB3D22"/>
    <w:rsid w:val="2BAC62BA"/>
    <w:rsid w:val="2C6C40D0"/>
    <w:rsid w:val="32A6694D"/>
    <w:rsid w:val="33C57F19"/>
    <w:rsid w:val="34732160"/>
    <w:rsid w:val="34D950A9"/>
    <w:rsid w:val="386C7100"/>
    <w:rsid w:val="3B6E70E8"/>
    <w:rsid w:val="40167D4F"/>
    <w:rsid w:val="40594421"/>
    <w:rsid w:val="418E63EC"/>
    <w:rsid w:val="44051933"/>
    <w:rsid w:val="447A08AC"/>
    <w:rsid w:val="44F05012"/>
    <w:rsid w:val="45050ADD"/>
    <w:rsid w:val="45717F85"/>
    <w:rsid w:val="467F3C5C"/>
    <w:rsid w:val="48C412E7"/>
    <w:rsid w:val="48F0497F"/>
    <w:rsid w:val="49384ACD"/>
    <w:rsid w:val="49973CAE"/>
    <w:rsid w:val="4AE76E36"/>
    <w:rsid w:val="4CE52F83"/>
    <w:rsid w:val="4EB256E8"/>
    <w:rsid w:val="4FF04118"/>
    <w:rsid w:val="51B11685"/>
    <w:rsid w:val="56AD083F"/>
    <w:rsid w:val="56F2016D"/>
    <w:rsid w:val="58C7653A"/>
    <w:rsid w:val="59CA5CAF"/>
    <w:rsid w:val="5E8D73FA"/>
    <w:rsid w:val="60420F7F"/>
    <w:rsid w:val="61B700CB"/>
    <w:rsid w:val="61C10F04"/>
    <w:rsid w:val="61F96E5C"/>
    <w:rsid w:val="64AD3C9F"/>
    <w:rsid w:val="66A73751"/>
    <w:rsid w:val="69BC28BE"/>
    <w:rsid w:val="785E3A65"/>
    <w:rsid w:val="78A83877"/>
    <w:rsid w:val="7A1C2E94"/>
    <w:rsid w:val="7D107EF5"/>
    <w:rsid w:val="7D127AB7"/>
    <w:rsid w:val="7E6706B0"/>
    <w:rsid w:val="7E672870"/>
    <w:rsid w:val="7ECE30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iPriority="99"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qFormat="1" w:unhideWhenUsed="0" w:uiPriority="0" w:semiHidden="0"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60"/>
    <w:qFormat/>
    <w:uiPriority w:val="0"/>
    <w:pPr>
      <w:keepNext/>
      <w:keepLines/>
      <w:wordWrap w:val="0"/>
      <w:spacing w:line="360" w:lineRule="auto"/>
      <w:jc w:val="center"/>
      <w:outlineLvl w:val="0"/>
    </w:pPr>
    <w:rPr>
      <w:rFonts w:ascii="Times New Roman" w:hAnsi="Times New Roman" w:eastAsia="宋体" w:cs="Times New Roman"/>
      <w:kern w:val="44"/>
      <w:sz w:val="32"/>
      <w:szCs w:val="32"/>
      <w:lang w:val="zh-CN"/>
    </w:rPr>
  </w:style>
  <w:style w:type="paragraph" w:styleId="4">
    <w:name w:val="heading 2"/>
    <w:basedOn w:val="1"/>
    <w:next w:val="1"/>
    <w:link w:val="61"/>
    <w:qFormat/>
    <w:uiPriority w:val="0"/>
    <w:pPr>
      <w:keepNext/>
      <w:keepLines/>
      <w:spacing w:line="360" w:lineRule="auto"/>
      <w:jc w:val="center"/>
      <w:outlineLvl w:val="1"/>
    </w:pPr>
    <w:rPr>
      <w:rFonts w:ascii="Cambria" w:hAnsi="Cambria" w:eastAsia="宋体" w:cs="Times New Roman"/>
      <w:b/>
      <w:bCs/>
      <w:kern w:val="0"/>
      <w:sz w:val="30"/>
      <w:szCs w:val="30"/>
      <w:lang w:val="zh-CN"/>
    </w:rPr>
  </w:style>
  <w:style w:type="paragraph" w:styleId="5">
    <w:name w:val="heading 3"/>
    <w:basedOn w:val="1"/>
    <w:next w:val="1"/>
    <w:link w:val="69"/>
    <w:unhideWhenUsed/>
    <w:qFormat/>
    <w:uiPriority w:val="0"/>
    <w:pPr>
      <w:keepNext/>
      <w:keepLines/>
      <w:spacing w:line="360" w:lineRule="auto"/>
      <w:outlineLvl w:val="2"/>
    </w:pPr>
    <w:rPr>
      <w:rFonts w:ascii="宋体" w:hAnsi="宋体" w:eastAsia="宋体"/>
      <w:b/>
      <w:bCs/>
      <w:spacing w:val="1"/>
      <w:sz w:val="28"/>
      <w:szCs w:val="32"/>
      <w:lang w:val="zh-CN"/>
    </w:rPr>
  </w:style>
  <w:style w:type="paragraph" w:styleId="6">
    <w:name w:val="heading 4"/>
    <w:basedOn w:val="1"/>
    <w:next w:val="1"/>
    <w:link w:val="63"/>
    <w:qFormat/>
    <w:uiPriority w:val="0"/>
    <w:pPr>
      <w:autoSpaceDE w:val="0"/>
      <w:autoSpaceDN w:val="0"/>
      <w:adjustRightInd w:val="0"/>
      <w:spacing w:line="360" w:lineRule="auto"/>
      <w:jc w:val="center"/>
      <w:outlineLvl w:val="3"/>
    </w:pPr>
    <w:rPr>
      <w:rFonts w:ascii="宋体" w:hAnsi="宋体" w:eastAsia="宋体" w:cs="Times New Roman"/>
      <w:b/>
      <w:kern w:val="0"/>
      <w:sz w:val="28"/>
      <w:szCs w:val="28"/>
      <w:lang w:val="zh-CN"/>
    </w:rPr>
  </w:style>
  <w:style w:type="paragraph" w:styleId="7">
    <w:name w:val="heading 5"/>
    <w:basedOn w:val="6"/>
    <w:next w:val="8"/>
    <w:link w:val="64"/>
    <w:qFormat/>
    <w:uiPriority w:val="0"/>
    <w:pPr>
      <w:spacing w:line="276" w:lineRule="auto"/>
      <w:ind w:left="284" w:hanging="284"/>
      <w:jc w:val="left"/>
      <w:outlineLvl w:val="4"/>
    </w:pPr>
    <w:rPr>
      <w:kern w:val="2"/>
      <w:sz w:val="21"/>
      <w:szCs w:val="21"/>
      <w:lang w:val="en-US"/>
    </w:rPr>
  </w:style>
  <w:style w:type="paragraph" w:styleId="9">
    <w:name w:val="heading 6"/>
    <w:basedOn w:val="1"/>
    <w:next w:val="1"/>
    <w:link w:val="65"/>
    <w:qFormat/>
    <w:uiPriority w:val="0"/>
    <w:pPr>
      <w:keepNext/>
      <w:keepLines/>
      <w:spacing w:before="240" w:after="64" w:line="320" w:lineRule="auto"/>
      <w:outlineLvl w:val="5"/>
    </w:pPr>
    <w:rPr>
      <w:rFonts w:ascii="Arial" w:hAnsi="Arial" w:eastAsia="黑体" w:cs="Times New Roman"/>
      <w:b/>
      <w:bCs/>
      <w:sz w:val="24"/>
      <w:szCs w:val="24"/>
    </w:rPr>
  </w:style>
  <w:style w:type="paragraph" w:styleId="10">
    <w:name w:val="heading 7"/>
    <w:basedOn w:val="1"/>
    <w:next w:val="8"/>
    <w:link w:val="66"/>
    <w:qFormat/>
    <w:uiPriority w:val="0"/>
    <w:pPr>
      <w:keepNext/>
      <w:keepLines/>
      <w:spacing w:before="240" w:after="64" w:line="320" w:lineRule="auto"/>
      <w:outlineLvl w:val="6"/>
    </w:pPr>
    <w:rPr>
      <w:rFonts w:ascii="Times New Roman" w:hAnsi="Times New Roman" w:eastAsia="宋体" w:cs="Times New Roman"/>
      <w:b/>
      <w:sz w:val="24"/>
      <w:szCs w:val="20"/>
    </w:rPr>
  </w:style>
  <w:style w:type="paragraph" w:styleId="11">
    <w:name w:val="heading 8"/>
    <w:basedOn w:val="1"/>
    <w:next w:val="8"/>
    <w:link w:val="67"/>
    <w:qFormat/>
    <w:uiPriority w:val="0"/>
    <w:pPr>
      <w:keepNext/>
      <w:keepLines/>
      <w:spacing w:before="240" w:after="64" w:line="320" w:lineRule="auto"/>
      <w:outlineLvl w:val="7"/>
    </w:pPr>
    <w:rPr>
      <w:rFonts w:ascii="Arial" w:hAnsi="Arial" w:eastAsia="黑体" w:cs="Times New Roman"/>
      <w:sz w:val="24"/>
      <w:szCs w:val="20"/>
    </w:rPr>
  </w:style>
  <w:style w:type="paragraph" w:styleId="12">
    <w:name w:val="heading 9"/>
    <w:basedOn w:val="1"/>
    <w:next w:val="8"/>
    <w:link w:val="68"/>
    <w:qFormat/>
    <w:uiPriority w:val="0"/>
    <w:pPr>
      <w:keepNext/>
      <w:keepLines/>
      <w:spacing w:before="240" w:after="64" w:line="320" w:lineRule="auto"/>
      <w:outlineLvl w:val="8"/>
    </w:pPr>
    <w:rPr>
      <w:rFonts w:ascii="Arial" w:hAnsi="Arial" w:eastAsia="黑体" w:cs="Times New Roman"/>
      <w:szCs w:val="20"/>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3">
    <w:name w:val="Title"/>
    <w:basedOn w:val="1"/>
    <w:next w:val="1"/>
    <w:link w:val="83"/>
    <w:qFormat/>
    <w:uiPriority w:val="0"/>
    <w:pPr>
      <w:spacing w:before="240" w:after="60"/>
      <w:jc w:val="center"/>
      <w:outlineLvl w:val="0"/>
    </w:pPr>
    <w:rPr>
      <w:rFonts w:ascii="Arial" w:hAnsi="Arial" w:eastAsia="宋体" w:cs="Times New Roman"/>
      <w:b/>
      <w:bCs/>
      <w:kern w:val="0"/>
      <w:sz w:val="32"/>
      <w:szCs w:val="32"/>
      <w:lang w:val="zh-CN"/>
    </w:rPr>
  </w:style>
  <w:style w:type="paragraph" w:styleId="8">
    <w:name w:val="Normal Indent"/>
    <w:basedOn w:val="1"/>
    <w:next w:val="1"/>
    <w:link w:val="88"/>
    <w:unhideWhenUsed/>
    <w:qFormat/>
    <w:uiPriority w:val="0"/>
    <w:pPr>
      <w:ind w:firstLine="420" w:firstLineChars="200"/>
    </w:pPr>
    <w:rPr>
      <w:rFonts w:ascii="Times New Roman" w:hAnsi="Times New Roman" w:eastAsia="宋体" w:cs="Times New Roman"/>
      <w:szCs w:val="24"/>
    </w:rPr>
  </w:style>
  <w:style w:type="paragraph" w:styleId="13">
    <w:name w:val="List 3"/>
    <w:basedOn w:val="1"/>
    <w:qFormat/>
    <w:uiPriority w:val="0"/>
    <w:pPr>
      <w:ind w:left="100" w:leftChars="400" w:hanging="200" w:hangingChars="200"/>
    </w:pPr>
    <w:rPr>
      <w:rFonts w:ascii="Times New Roman" w:hAnsi="Times New Roman" w:eastAsia="宋体" w:cs="Times New Roman"/>
      <w:szCs w:val="24"/>
    </w:rPr>
  </w:style>
  <w:style w:type="paragraph" w:styleId="14">
    <w:name w:val="toc 7"/>
    <w:basedOn w:val="1"/>
    <w:next w:val="1"/>
    <w:qFormat/>
    <w:uiPriority w:val="39"/>
    <w:pPr>
      <w:ind w:left="1260"/>
      <w:jc w:val="left"/>
    </w:pPr>
    <w:rPr>
      <w:rFonts w:ascii="Calibri" w:hAnsi="Calibri" w:eastAsia="宋体" w:cs="Calibri"/>
      <w:sz w:val="18"/>
      <w:szCs w:val="18"/>
    </w:rPr>
  </w:style>
  <w:style w:type="paragraph" w:styleId="15">
    <w:name w:val="caption"/>
    <w:basedOn w:val="1"/>
    <w:next w:val="1"/>
    <w:qFormat/>
    <w:uiPriority w:val="0"/>
    <w:rPr>
      <w:rFonts w:ascii="Arial" w:hAnsi="Arial" w:eastAsia="黑体" w:cs="Arial"/>
      <w:sz w:val="20"/>
      <w:szCs w:val="20"/>
    </w:rPr>
  </w:style>
  <w:style w:type="paragraph" w:styleId="16">
    <w:name w:val="Document Map"/>
    <w:basedOn w:val="1"/>
    <w:link w:val="70"/>
    <w:qFormat/>
    <w:uiPriority w:val="0"/>
    <w:rPr>
      <w:rFonts w:ascii="宋体" w:hAnsi="Times New Roman" w:eastAsia="宋体" w:cs="Times New Roman"/>
      <w:kern w:val="0"/>
      <w:sz w:val="18"/>
      <w:szCs w:val="18"/>
      <w:lang w:val="zh-CN"/>
    </w:rPr>
  </w:style>
  <w:style w:type="paragraph" w:styleId="17">
    <w:name w:val="annotation text"/>
    <w:basedOn w:val="1"/>
    <w:link w:val="71"/>
    <w:qFormat/>
    <w:uiPriority w:val="0"/>
    <w:pPr>
      <w:jc w:val="left"/>
    </w:pPr>
    <w:rPr>
      <w:rFonts w:ascii="Times New Roman" w:hAnsi="Times New Roman" w:eastAsia="宋体" w:cs="Times New Roman"/>
      <w:szCs w:val="24"/>
      <w:lang w:val="zh-CN"/>
    </w:rPr>
  </w:style>
  <w:style w:type="paragraph" w:styleId="18">
    <w:name w:val="Salutation"/>
    <w:basedOn w:val="1"/>
    <w:next w:val="1"/>
    <w:link w:val="72"/>
    <w:qFormat/>
    <w:uiPriority w:val="0"/>
    <w:rPr>
      <w:rFonts w:ascii="Calibri" w:hAnsi="Calibri" w:eastAsia="宋体" w:cs="Times New Roman"/>
      <w:kern w:val="0"/>
      <w:sz w:val="32"/>
      <w:szCs w:val="24"/>
    </w:rPr>
  </w:style>
  <w:style w:type="paragraph" w:styleId="19">
    <w:name w:val="Body Text 3"/>
    <w:basedOn w:val="1"/>
    <w:link w:val="73"/>
    <w:qFormat/>
    <w:uiPriority w:val="0"/>
    <w:pPr>
      <w:spacing w:after="120"/>
    </w:pPr>
    <w:rPr>
      <w:rFonts w:ascii="Times New Roman" w:hAnsi="Times New Roman" w:eastAsia="宋体" w:cs="Times New Roman"/>
      <w:kern w:val="0"/>
      <w:sz w:val="16"/>
      <w:szCs w:val="16"/>
      <w:lang w:val="zh-CN"/>
    </w:rPr>
  </w:style>
  <w:style w:type="paragraph" w:styleId="20">
    <w:name w:val="Body Text"/>
    <w:basedOn w:val="1"/>
    <w:next w:val="1"/>
    <w:link w:val="74"/>
    <w:qFormat/>
    <w:uiPriority w:val="99"/>
    <w:pPr>
      <w:pBdr>
        <w:top w:val="single" w:color="auto" w:sz="4" w:space="1"/>
      </w:pBdr>
    </w:pPr>
    <w:rPr>
      <w:rFonts w:ascii="Times New Roman" w:hAnsi="Times New Roman" w:eastAsia="宋体" w:cs="Times New Roman"/>
      <w:b/>
      <w:bCs/>
      <w:szCs w:val="24"/>
    </w:rPr>
  </w:style>
  <w:style w:type="paragraph" w:styleId="21">
    <w:name w:val="Body Text Indent"/>
    <w:basedOn w:val="1"/>
    <w:next w:val="22"/>
    <w:link w:val="75"/>
    <w:qFormat/>
    <w:uiPriority w:val="0"/>
    <w:pPr>
      <w:ind w:firstLine="600" w:firstLineChars="200"/>
    </w:pPr>
    <w:rPr>
      <w:rFonts w:ascii="宋体" w:hAnsi="Times New Roman" w:eastAsia="宋体" w:cs="Times New Roman"/>
      <w:sz w:val="30"/>
      <w:szCs w:val="20"/>
      <w:lang w:val="zh-CN"/>
    </w:rPr>
  </w:style>
  <w:style w:type="paragraph" w:styleId="22">
    <w:name w:val="envelope return"/>
    <w:basedOn w:val="1"/>
    <w:qFormat/>
    <w:uiPriority w:val="0"/>
    <w:pPr>
      <w:snapToGrid w:val="0"/>
    </w:pPr>
    <w:rPr>
      <w:rFonts w:ascii="Arial" w:hAnsi="Arial" w:eastAsia="宋体" w:cs="Times New Roman"/>
      <w:szCs w:val="24"/>
    </w:rPr>
  </w:style>
  <w:style w:type="paragraph" w:styleId="23">
    <w:name w:val="index 4"/>
    <w:basedOn w:val="1"/>
    <w:next w:val="1"/>
    <w:unhideWhenUsed/>
    <w:qFormat/>
    <w:uiPriority w:val="99"/>
    <w:pPr>
      <w:ind w:left="600" w:leftChars="600"/>
    </w:pPr>
    <w:rPr>
      <w:rFonts w:ascii="Times New Roman" w:hAnsi="Times New Roman" w:eastAsia="宋体" w:cs="Times New Roman"/>
      <w:szCs w:val="24"/>
    </w:rPr>
  </w:style>
  <w:style w:type="paragraph" w:styleId="24">
    <w:name w:val="toc 5"/>
    <w:basedOn w:val="1"/>
    <w:next w:val="1"/>
    <w:qFormat/>
    <w:uiPriority w:val="39"/>
    <w:pPr>
      <w:ind w:left="840"/>
      <w:jc w:val="left"/>
    </w:pPr>
    <w:rPr>
      <w:rFonts w:ascii="Calibri" w:hAnsi="Calibri" w:eastAsia="宋体" w:cs="Calibri"/>
      <w:sz w:val="18"/>
      <w:szCs w:val="18"/>
    </w:rPr>
  </w:style>
  <w:style w:type="paragraph" w:styleId="25">
    <w:name w:val="toc 3"/>
    <w:basedOn w:val="1"/>
    <w:next w:val="1"/>
    <w:qFormat/>
    <w:uiPriority w:val="39"/>
    <w:pPr>
      <w:ind w:left="840" w:leftChars="400"/>
    </w:pPr>
    <w:rPr>
      <w:rFonts w:ascii="Times New Roman" w:hAnsi="Times New Roman" w:eastAsia="宋体" w:cs="Times New Roman"/>
      <w:szCs w:val="24"/>
    </w:rPr>
  </w:style>
  <w:style w:type="paragraph" w:styleId="26">
    <w:name w:val="Plain Text"/>
    <w:basedOn w:val="1"/>
    <w:next w:val="1"/>
    <w:link w:val="76"/>
    <w:qFormat/>
    <w:uiPriority w:val="0"/>
    <w:rPr>
      <w:rFonts w:ascii="宋体" w:hAnsi="Courier New" w:eastAsia="宋体" w:cs="Times New Roman"/>
      <w:szCs w:val="20"/>
      <w:lang w:val="zh-CN"/>
    </w:rPr>
  </w:style>
  <w:style w:type="paragraph" w:styleId="27">
    <w:name w:val="toc 8"/>
    <w:basedOn w:val="1"/>
    <w:next w:val="1"/>
    <w:qFormat/>
    <w:uiPriority w:val="39"/>
    <w:pPr>
      <w:ind w:left="1470"/>
      <w:jc w:val="left"/>
    </w:pPr>
    <w:rPr>
      <w:rFonts w:ascii="Calibri" w:hAnsi="Calibri" w:eastAsia="宋体" w:cs="Calibri"/>
      <w:sz w:val="18"/>
      <w:szCs w:val="18"/>
    </w:rPr>
  </w:style>
  <w:style w:type="paragraph" w:styleId="28">
    <w:name w:val="Date"/>
    <w:basedOn w:val="1"/>
    <w:next w:val="1"/>
    <w:link w:val="77"/>
    <w:qFormat/>
    <w:uiPriority w:val="0"/>
    <w:pPr>
      <w:ind w:left="100" w:leftChars="2500"/>
    </w:pPr>
    <w:rPr>
      <w:rFonts w:ascii="Calibri" w:hAnsi="Calibri" w:eastAsia="宋体" w:cs="Times New Roman"/>
      <w:kern w:val="0"/>
      <w:sz w:val="20"/>
      <w:szCs w:val="24"/>
    </w:rPr>
  </w:style>
  <w:style w:type="paragraph" w:styleId="29">
    <w:name w:val="Body Text Indent 2"/>
    <w:basedOn w:val="1"/>
    <w:link w:val="78"/>
    <w:qFormat/>
    <w:uiPriority w:val="0"/>
    <w:pPr>
      <w:spacing w:after="120" w:line="480" w:lineRule="auto"/>
      <w:ind w:left="420" w:leftChars="200"/>
    </w:pPr>
    <w:rPr>
      <w:rFonts w:ascii="Times New Roman" w:hAnsi="Times New Roman" w:eastAsia="Courier New" w:cs="Times New Roman"/>
      <w:kern w:val="0"/>
      <w:sz w:val="20"/>
      <w:szCs w:val="20"/>
      <w:lang w:val="zh-CN"/>
    </w:rPr>
  </w:style>
  <w:style w:type="paragraph" w:styleId="30">
    <w:name w:val="Balloon Text"/>
    <w:basedOn w:val="1"/>
    <w:link w:val="79"/>
    <w:qFormat/>
    <w:uiPriority w:val="0"/>
    <w:rPr>
      <w:rFonts w:ascii="Times New Roman" w:hAnsi="Times New Roman" w:eastAsia="宋体" w:cs="Times New Roman"/>
      <w:sz w:val="18"/>
      <w:szCs w:val="18"/>
      <w:lang w:val="zh-CN"/>
    </w:rPr>
  </w:style>
  <w:style w:type="paragraph" w:styleId="31">
    <w:name w:val="footer"/>
    <w:basedOn w:val="1"/>
    <w:link w:val="59"/>
    <w:unhideWhenUsed/>
    <w:qFormat/>
    <w:uiPriority w:val="99"/>
    <w:pPr>
      <w:tabs>
        <w:tab w:val="center" w:pos="4153"/>
        <w:tab w:val="right" w:pos="8306"/>
      </w:tabs>
      <w:snapToGrid w:val="0"/>
      <w:jc w:val="left"/>
    </w:pPr>
    <w:rPr>
      <w:sz w:val="18"/>
      <w:szCs w:val="18"/>
    </w:rPr>
  </w:style>
  <w:style w:type="paragraph" w:styleId="32">
    <w:name w:val="header"/>
    <w:basedOn w:val="1"/>
    <w:link w:val="58"/>
    <w:unhideWhenUsed/>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before="120" w:after="120"/>
      <w:jc w:val="left"/>
    </w:pPr>
    <w:rPr>
      <w:rFonts w:ascii="Calibri" w:hAnsi="Calibri" w:eastAsia="宋体" w:cs="Calibri"/>
      <w:b/>
      <w:bCs/>
      <w:caps/>
      <w:sz w:val="20"/>
      <w:szCs w:val="20"/>
    </w:rPr>
  </w:style>
  <w:style w:type="paragraph" w:styleId="34">
    <w:name w:val="toc 4"/>
    <w:basedOn w:val="1"/>
    <w:next w:val="1"/>
    <w:qFormat/>
    <w:uiPriority w:val="39"/>
    <w:pPr>
      <w:ind w:left="630"/>
      <w:jc w:val="left"/>
    </w:pPr>
    <w:rPr>
      <w:rFonts w:ascii="Calibri" w:hAnsi="Calibri" w:eastAsia="宋体" w:cs="Calibri"/>
      <w:sz w:val="18"/>
      <w:szCs w:val="18"/>
    </w:rPr>
  </w:style>
  <w:style w:type="paragraph" w:styleId="35">
    <w:name w:val="toc 6"/>
    <w:basedOn w:val="1"/>
    <w:next w:val="1"/>
    <w:qFormat/>
    <w:uiPriority w:val="39"/>
    <w:pPr>
      <w:ind w:left="1050"/>
      <w:jc w:val="left"/>
    </w:pPr>
    <w:rPr>
      <w:rFonts w:ascii="Calibri" w:hAnsi="Calibri" w:eastAsia="宋体" w:cs="Calibri"/>
      <w:sz w:val="18"/>
      <w:szCs w:val="18"/>
    </w:rPr>
  </w:style>
  <w:style w:type="paragraph" w:styleId="36">
    <w:name w:val="Body Text Indent 3"/>
    <w:basedOn w:val="1"/>
    <w:link w:val="80"/>
    <w:qFormat/>
    <w:uiPriority w:val="0"/>
    <w:pPr>
      <w:spacing w:after="120"/>
      <w:ind w:left="420" w:leftChars="200"/>
    </w:pPr>
    <w:rPr>
      <w:rFonts w:ascii="Calibri" w:hAnsi="Calibri" w:eastAsia="宋体" w:cs="Times New Roman"/>
      <w:kern w:val="0"/>
      <w:sz w:val="16"/>
      <w:szCs w:val="20"/>
    </w:rPr>
  </w:style>
  <w:style w:type="paragraph" w:styleId="37">
    <w:name w:val="toc 2"/>
    <w:basedOn w:val="1"/>
    <w:next w:val="1"/>
    <w:unhideWhenUsed/>
    <w:qFormat/>
    <w:uiPriority w:val="39"/>
    <w:pPr>
      <w:ind w:left="420" w:leftChars="200"/>
    </w:pPr>
    <w:rPr>
      <w:rFonts w:ascii="Times New Roman" w:hAnsi="Times New Roman" w:eastAsia="宋体" w:cs="Times New Roman"/>
      <w:szCs w:val="24"/>
    </w:rPr>
  </w:style>
  <w:style w:type="paragraph" w:styleId="38">
    <w:name w:val="toc 9"/>
    <w:basedOn w:val="1"/>
    <w:next w:val="1"/>
    <w:qFormat/>
    <w:uiPriority w:val="39"/>
    <w:pPr>
      <w:ind w:left="1680"/>
      <w:jc w:val="left"/>
    </w:pPr>
    <w:rPr>
      <w:rFonts w:ascii="Calibri" w:hAnsi="Calibri" w:eastAsia="宋体" w:cs="Calibri"/>
      <w:sz w:val="18"/>
      <w:szCs w:val="18"/>
    </w:rPr>
  </w:style>
  <w:style w:type="paragraph" w:styleId="39">
    <w:name w:val="Body Text 2"/>
    <w:basedOn w:val="1"/>
    <w:link w:val="81"/>
    <w:qFormat/>
    <w:uiPriority w:val="0"/>
    <w:pPr>
      <w:spacing w:after="120" w:line="480" w:lineRule="auto"/>
    </w:pPr>
    <w:rPr>
      <w:rFonts w:ascii="Times New Roman" w:hAnsi="Times New Roman" w:eastAsia="宋体" w:cs="Times New Roman"/>
      <w:kern w:val="0"/>
      <w:sz w:val="20"/>
      <w:szCs w:val="24"/>
      <w:lang w:val="zh-CN"/>
    </w:rPr>
  </w:style>
  <w:style w:type="paragraph" w:styleId="40">
    <w:name w:val="HTML Preformatted"/>
    <w:basedOn w:val="1"/>
    <w:link w:val="8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Calibri" w:hAnsi="Calibri" w:eastAsia="宋体" w:cs="Times New Roman"/>
      <w:kern w:val="0"/>
      <w:sz w:val="20"/>
      <w:szCs w:val="21"/>
    </w:rPr>
  </w:style>
  <w:style w:type="paragraph" w:styleId="41">
    <w:name w:val="Normal (Web)"/>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42">
    <w:name w:val="annotation subject"/>
    <w:basedOn w:val="17"/>
    <w:next w:val="17"/>
    <w:link w:val="84"/>
    <w:qFormat/>
    <w:uiPriority w:val="0"/>
    <w:rPr>
      <w:b/>
      <w:bCs/>
    </w:rPr>
  </w:style>
  <w:style w:type="paragraph" w:styleId="43">
    <w:name w:val="Body Text First Indent"/>
    <w:basedOn w:val="20"/>
    <w:link w:val="85"/>
    <w:qFormat/>
    <w:uiPriority w:val="0"/>
    <w:pPr>
      <w:pBdr>
        <w:top w:val="none" w:color="auto" w:sz="0" w:space="0"/>
      </w:pBdr>
      <w:spacing w:after="120"/>
      <w:ind w:firstLine="420" w:firstLineChars="100"/>
    </w:pPr>
    <w:rPr>
      <w:b w:val="0"/>
      <w:bCs w:val="0"/>
      <w:kern w:val="0"/>
      <w:sz w:val="20"/>
      <w:szCs w:val="20"/>
    </w:rPr>
  </w:style>
  <w:style w:type="paragraph" w:styleId="44">
    <w:name w:val="Body Text First Indent 2"/>
    <w:basedOn w:val="21"/>
    <w:next w:val="45"/>
    <w:link w:val="86"/>
    <w:qFormat/>
    <w:uiPriority w:val="0"/>
    <w:pPr>
      <w:spacing w:after="120"/>
      <w:ind w:left="420" w:leftChars="200" w:firstLine="420"/>
    </w:pPr>
    <w:rPr>
      <w:rFonts w:ascii="Times New Roman"/>
      <w:kern w:val="0"/>
      <w:sz w:val="20"/>
      <w:szCs w:val="24"/>
    </w:rPr>
  </w:style>
  <w:style w:type="paragraph" w:customStyle="1" w:styleId="45">
    <w:name w:val="样式 正文首行缩进 2 + Arial"/>
    <w:basedOn w:val="1"/>
    <w:next w:val="1"/>
    <w:unhideWhenUsed/>
    <w:qFormat/>
    <w:uiPriority w:val="0"/>
    <w:pPr>
      <w:spacing w:before="100" w:beforeAutospacing="1" w:after="120" w:line="320" w:lineRule="atLeast"/>
      <w:ind w:firstLine="200" w:firstLineChars="200"/>
    </w:pPr>
    <w:rPr>
      <w:rFonts w:ascii="Arial" w:hAnsi="Arial" w:cs="Arial"/>
      <w:sz w:val="24"/>
      <w:szCs w:val="24"/>
    </w:rPr>
  </w:style>
  <w:style w:type="table" w:styleId="47">
    <w:name w:val="Table Grid"/>
    <w:basedOn w:val="4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basedOn w:val="48"/>
    <w:qFormat/>
    <w:uiPriority w:val="22"/>
    <w:rPr>
      <w:b/>
      <w:bCs/>
    </w:rPr>
  </w:style>
  <w:style w:type="character" w:styleId="50">
    <w:name w:val="page number"/>
    <w:qFormat/>
    <w:uiPriority w:val="0"/>
  </w:style>
  <w:style w:type="character" w:styleId="51">
    <w:name w:val="FollowedHyperlink"/>
    <w:basedOn w:val="48"/>
    <w:semiHidden/>
    <w:unhideWhenUsed/>
    <w:qFormat/>
    <w:uiPriority w:val="99"/>
    <w:rPr>
      <w:color w:val="954F72" w:themeColor="followedHyperlink"/>
      <w:u w:val="single"/>
      <w14:textFill>
        <w14:solidFill>
          <w14:schemeClr w14:val="folHlink"/>
        </w14:solidFill>
      </w14:textFill>
    </w:rPr>
  </w:style>
  <w:style w:type="character" w:styleId="52">
    <w:name w:val="HTML Definition"/>
    <w:basedOn w:val="48"/>
    <w:semiHidden/>
    <w:unhideWhenUsed/>
    <w:qFormat/>
    <w:uiPriority w:val="99"/>
    <w:rPr>
      <w:i/>
      <w:iCs/>
    </w:rPr>
  </w:style>
  <w:style w:type="character" w:styleId="53">
    <w:name w:val="Hyperlink"/>
    <w:qFormat/>
    <w:uiPriority w:val="99"/>
    <w:rPr>
      <w:color w:val="0000FF"/>
      <w:u w:val="single"/>
    </w:rPr>
  </w:style>
  <w:style w:type="character" w:styleId="54">
    <w:name w:val="HTML Code"/>
    <w:basedOn w:val="48"/>
    <w:semiHidden/>
    <w:unhideWhenUsed/>
    <w:qFormat/>
    <w:uiPriority w:val="99"/>
    <w:rPr>
      <w:rFonts w:ascii="Consolas" w:hAnsi="Consolas" w:eastAsia="Consolas" w:cs="Consolas"/>
      <w:color w:val="C7254E"/>
      <w:sz w:val="21"/>
      <w:szCs w:val="21"/>
      <w:bdr w:val="single" w:color="E1E1E1" w:sz="6" w:space="0"/>
      <w:shd w:val="clear" w:color="auto" w:fill="F9F2F4"/>
    </w:rPr>
  </w:style>
  <w:style w:type="character" w:styleId="55">
    <w:name w:val="annotation reference"/>
    <w:qFormat/>
    <w:uiPriority w:val="0"/>
    <w:rPr>
      <w:sz w:val="21"/>
      <w:szCs w:val="21"/>
    </w:rPr>
  </w:style>
  <w:style w:type="character" w:styleId="56">
    <w:name w:val="HTML Keyboard"/>
    <w:basedOn w:val="48"/>
    <w:semiHidden/>
    <w:unhideWhenUsed/>
    <w:qFormat/>
    <w:uiPriority w:val="99"/>
    <w:rPr>
      <w:rFonts w:hint="default" w:ascii="Consolas" w:hAnsi="Consolas" w:eastAsia="Consolas" w:cs="Consolas"/>
      <w:color w:val="FFFFFF"/>
      <w:sz w:val="21"/>
      <w:szCs w:val="21"/>
      <w:shd w:val="clear" w:color="auto" w:fill="333333"/>
    </w:rPr>
  </w:style>
  <w:style w:type="character" w:styleId="57">
    <w:name w:val="HTML Sample"/>
    <w:basedOn w:val="48"/>
    <w:semiHidden/>
    <w:unhideWhenUsed/>
    <w:qFormat/>
    <w:uiPriority w:val="99"/>
    <w:rPr>
      <w:rFonts w:hint="default" w:ascii="Consolas" w:hAnsi="Consolas" w:eastAsia="Consolas" w:cs="Consolas"/>
      <w:sz w:val="21"/>
      <w:szCs w:val="21"/>
    </w:rPr>
  </w:style>
  <w:style w:type="character" w:customStyle="1" w:styleId="58">
    <w:name w:val="页眉 字符"/>
    <w:basedOn w:val="48"/>
    <w:link w:val="32"/>
    <w:qFormat/>
    <w:uiPriority w:val="0"/>
    <w:rPr>
      <w:sz w:val="18"/>
      <w:szCs w:val="18"/>
    </w:rPr>
  </w:style>
  <w:style w:type="character" w:customStyle="1" w:styleId="59">
    <w:name w:val="页脚 字符"/>
    <w:basedOn w:val="48"/>
    <w:link w:val="31"/>
    <w:qFormat/>
    <w:uiPriority w:val="99"/>
    <w:rPr>
      <w:sz w:val="18"/>
      <w:szCs w:val="18"/>
    </w:rPr>
  </w:style>
  <w:style w:type="character" w:customStyle="1" w:styleId="60">
    <w:name w:val="标题 1 字符"/>
    <w:basedOn w:val="48"/>
    <w:link w:val="2"/>
    <w:qFormat/>
    <w:uiPriority w:val="0"/>
    <w:rPr>
      <w:rFonts w:ascii="Times New Roman" w:hAnsi="Times New Roman" w:eastAsia="宋体" w:cs="Times New Roman"/>
      <w:b/>
      <w:bCs/>
      <w:kern w:val="44"/>
      <w:sz w:val="32"/>
      <w:szCs w:val="32"/>
      <w:lang w:val="zh-CN"/>
    </w:rPr>
  </w:style>
  <w:style w:type="character" w:customStyle="1" w:styleId="61">
    <w:name w:val="标题 2 字符"/>
    <w:basedOn w:val="48"/>
    <w:link w:val="4"/>
    <w:qFormat/>
    <w:uiPriority w:val="0"/>
    <w:rPr>
      <w:rFonts w:ascii="Cambria" w:hAnsi="Cambria" w:eastAsia="宋体" w:cs="Times New Roman"/>
      <w:b/>
      <w:bCs/>
      <w:kern w:val="0"/>
      <w:sz w:val="30"/>
      <w:szCs w:val="30"/>
      <w:lang w:val="zh-CN"/>
    </w:rPr>
  </w:style>
  <w:style w:type="paragraph" w:customStyle="1" w:styleId="62">
    <w:name w:val="标题 31"/>
    <w:basedOn w:val="1"/>
    <w:next w:val="8"/>
    <w:qFormat/>
    <w:uiPriority w:val="0"/>
    <w:pPr>
      <w:keepNext/>
      <w:keepLines/>
      <w:spacing w:before="260" w:line="416" w:lineRule="auto"/>
      <w:outlineLvl w:val="2"/>
    </w:pPr>
    <w:rPr>
      <w:rFonts w:ascii="宋体" w:hAnsi="宋体" w:cs="Times New Roman"/>
      <w:b/>
      <w:bCs/>
      <w:spacing w:val="1"/>
      <w:sz w:val="28"/>
      <w:szCs w:val="32"/>
      <w:lang w:val="zh-CN"/>
    </w:rPr>
  </w:style>
  <w:style w:type="character" w:customStyle="1" w:styleId="63">
    <w:name w:val="标题 4 字符"/>
    <w:basedOn w:val="48"/>
    <w:link w:val="6"/>
    <w:qFormat/>
    <w:uiPriority w:val="0"/>
    <w:rPr>
      <w:rFonts w:ascii="宋体" w:hAnsi="宋体" w:eastAsia="宋体" w:cs="Times New Roman"/>
      <w:b/>
      <w:sz w:val="28"/>
      <w:szCs w:val="28"/>
      <w:lang w:val="zh-CN"/>
    </w:rPr>
  </w:style>
  <w:style w:type="character" w:customStyle="1" w:styleId="64">
    <w:name w:val="标题 5 字符"/>
    <w:basedOn w:val="48"/>
    <w:link w:val="7"/>
    <w:qFormat/>
    <w:uiPriority w:val="0"/>
    <w:rPr>
      <w:rFonts w:ascii="宋体" w:hAnsi="宋体" w:eastAsia="宋体" w:cs="Times New Roman"/>
      <w:b/>
      <w:kern w:val="2"/>
      <w:sz w:val="21"/>
      <w:szCs w:val="21"/>
    </w:rPr>
  </w:style>
  <w:style w:type="character" w:customStyle="1" w:styleId="65">
    <w:name w:val="标题 6 字符"/>
    <w:basedOn w:val="48"/>
    <w:link w:val="9"/>
    <w:qFormat/>
    <w:uiPriority w:val="0"/>
    <w:rPr>
      <w:rFonts w:ascii="Arial" w:hAnsi="Arial" w:eastAsia="黑体" w:cs="Times New Roman"/>
      <w:b/>
      <w:bCs/>
      <w:sz w:val="24"/>
      <w:szCs w:val="24"/>
    </w:rPr>
  </w:style>
  <w:style w:type="character" w:customStyle="1" w:styleId="66">
    <w:name w:val="标题 7 字符"/>
    <w:basedOn w:val="48"/>
    <w:link w:val="10"/>
    <w:qFormat/>
    <w:uiPriority w:val="0"/>
    <w:rPr>
      <w:rFonts w:ascii="Times New Roman" w:hAnsi="Times New Roman" w:eastAsia="宋体" w:cs="Times New Roman"/>
      <w:b/>
      <w:sz w:val="24"/>
      <w:szCs w:val="20"/>
    </w:rPr>
  </w:style>
  <w:style w:type="character" w:customStyle="1" w:styleId="67">
    <w:name w:val="标题 8 字符"/>
    <w:basedOn w:val="48"/>
    <w:link w:val="11"/>
    <w:qFormat/>
    <w:uiPriority w:val="0"/>
    <w:rPr>
      <w:rFonts w:ascii="Arial" w:hAnsi="Arial" w:eastAsia="黑体" w:cs="Times New Roman"/>
      <w:sz w:val="24"/>
      <w:szCs w:val="20"/>
    </w:rPr>
  </w:style>
  <w:style w:type="character" w:customStyle="1" w:styleId="68">
    <w:name w:val="标题 9 字符"/>
    <w:basedOn w:val="48"/>
    <w:link w:val="12"/>
    <w:qFormat/>
    <w:uiPriority w:val="0"/>
    <w:rPr>
      <w:rFonts w:ascii="Arial" w:hAnsi="Arial" w:eastAsia="黑体" w:cs="Times New Roman"/>
      <w:szCs w:val="20"/>
    </w:rPr>
  </w:style>
  <w:style w:type="character" w:customStyle="1" w:styleId="69">
    <w:name w:val="标题 3 字符"/>
    <w:basedOn w:val="48"/>
    <w:link w:val="5"/>
    <w:qFormat/>
    <w:uiPriority w:val="0"/>
    <w:rPr>
      <w:rFonts w:ascii="宋体" w:hAnsi="宋体" w:eastAsia="宋体"/>
      <w:b/>
      <w:bCs/>
      <w:spacing w:val="1"/>
      <w:sz w:val="28"/>
      <w:szCs w:val="32"/>
      <w:lang w:val="zh-CN"/>
    </w:rPr>
  </w:style>
  <w:style w:type="character" w:customStyle="1" w:styleId="70">
    <w:name w:val="文档结构图 字符"/>
    <w:basedOn w:val="48"/>
    <w:link w:val="16"/>
    <w:qFormat/>
    <w:uiPriority w:val="0"/>
    <w:rPr>
      <w:rFonts w:ascii="宋体" w:hAnsi="Times New Roman" w:eastAsia="宋体" w:cs="Times New Roman"/>
      <w:kern w:val="0"/>
      <w:sz w:val="18"/>
      <w:szCs w:val="18"/>
      <w:lang w:val="zh-CN"/>
    </w:rPr>
  </w:style>
  <w:style w:type="character" w:customStyle="1" w:styleId="71">
    <w:name w:val="批注文字 字符"/>
    <w:basedOn w:val="48"/>
    <w:link w:val="17"/>
    <w:qFormat/>
    <w:uiPriority w:val="0"/>
    <w:rPr>
      <w:rFonts w:ascii="Times New Roman" w:hAnsi="Times New Roman" w:eastAsia="宋体" w:cs="Times New Roman"/>
      <w:szCs w:val="24"/>
      <w:lang w:val="zh-CN"/>
    </w:rPr>
  </w:style>
  <w:style w:type="character" w:customStyle="1" w:styleId="72">
    <w:name w:val="称呼 字符"/>
    <w:basedOn w:val="48"/>
    <w:link w:val="18"/>
    <w:qFormat/>
    <w:uiPriority w:val="0"/>
    <w:rPr>
      <w:rFonts w:ascii="Calibri" w:hAnsi="Calibri" w:eastAsia="宋体" w:cs="Times New Roman"/>
      <w:kern w:val="0"/>
      <w:sz w:val="32"/>
      <w:szCs w:val="24"/>
    </w:rPr>
  </w:style>
  <w:style w:type="character" w:customStyle="1" w:styleId="73">
    <w:name w:val="正文文本 3 字符"/>
    <w:basedOn w:val="48"/>
    <w:link w:val="19"/>
    <w:qFormat/>
    <w:uiPriority w:val="0"/>
    <w:rPr>
      <w:rFonts w:ascii="Times New Roman" w:hAnsi="Times New Roman" w:eastAsia="宋体" w:cs="Times New Roman"/>
      <w:kern w:val="0"/>
      <w:sz w:val="16"/>
      <w:szCs w:val="16"/>
      <w:lang w:val="zh-CN"/>
    </w:rPr>
  </w:style>
  <w:style w:type="character" w:customStyle="1" w:styleId="74">
    <w:name w:val="正文文本 字符"/>
    <w:basedOn w:val="48"/>
    <w:link w:val="20"/>
    <w:qFormat/>
    <w:uiPriority w:val="99"/>
    <w:rPr>
      <w:rFonts w:ascii="Times New Roman" w:hAnsi="Times New Roman" w:eastAsia="宋体" w:cs="Times New Roman"/>
      <w:b/>
      <w:bCs/>
      <w:szCs w:val="24"/>
    </w:rPr>
  </w:style>
  <w:style w:type="character" w:customStyle="1" w:styleId="75">
    <w:name w:val="正文文本缩进 字符"/>
    <w:basedOn w:val="48"/>
    <w:link w:val="21"/>
    <w:qFormat/>
    <w:uiPriority w:val="0"/>
    <w:rPr>
      <w:rFonts w:ascii="宋体" w:hAnsi="Times New Roman" w:eastAsia="宋体" w:cs="Times New Roman"/>
      <w:sz w:val="30"/>
      <w:szCs w:val="20"/>
      <w:lang w:val="zh-CN"/>
    </w:rPr>
  </w:style>
  <w:style w:type="character" w:customStyle="1" w:styleId="76">
    <w:name w:val="纯文本 字符"/>
    <w:basedOn w:val="48"/>
    <w:link w:val="26"/>
    <w:qFormat/>
    <w:uiPriority w:val="0"/>
    <w:rPr>
      <w:rFonts w:ascii="宋体" w:hAnsi="Courier New" w:eastAsia="宋体" w:cs="Times New Roman"/>
      <w:szCs w:val="20"/>
      <w:lang w:val="zh-CN"/>
    </w:rPr>
  </w:style>
  <w:style w:type="character" w:customStyle="1" w:styleId="77">
    <w:name w:val="日期 字符"/>
    <w:basedOn w:val="48"/>
    <w:link w:val="28"/>
    <w:qFormat/>
    <w:uiPriority w:val="0"/>
    <w:rPr>
      <w:rFonts w:ascii="Calibri" w:hAnsi="Calibri" w:eastAsia="宋体" w:cs="Times New Roman"/>
      <w:kern w:val="0"/>
      <w:sz w:val="20"/>
      <w:szCs w:val="24"/>
    </w:rPr>
  </w:style>
  <w:style w:type="character" w:customStyle="1" w:styleId="78">
    <w:name w:val="正文文本缩进 2 字符"/>
    <w:basedOn w:val="48"/>
    <w:link w:val="29"/>
    <w:qFormat/>
    <w:uiPriority w:val="0"/>
    <w:rPr>
      <w:rFonts w:ascii="Times New Roman" w:hAnsi="Times New Roman" w:eastAsia="Courier New" w:cs="Times New Roman"/>
      <w:kern w:val="0"/>
      <w:sz w:val="20"/>
      <w:szCs w:val="20"/>
      <w:lang w:val="zh-CN"/>
    </w:rPr>
  </w:style>
  <w:style w:type="character" w:customStyle="1" w:styleId="79">
    <w:name w:val="批注框文本 字符"/>
    <w:basedOn w:val="48"/>
    <w:link w:val="30"/>
    <w:qFormat/>
    <w:uiPriority w:val="0"/>
    <w:rPr>
      <w:rFonts w:ascii="Times New Roman" w:hAnsi="Times New Roman" w:eastAsia="宋体" w:cs="Times New Roman"/>
      <w:sz w:val="18"/>
      <w:szCs w:val="18"/>
      <w:lang w:val="zh-CN"/>
    </w:rPr>
  </w:style>
  <w:style w:type="character" w:customStyle="1" w:styleId="80">
    <w:name w:val="正文文本缩进 3 字符"/>
    <w:basedOn w:val="48"/>
    <w:link w:val="36"/>
    <w:qFormat/>
    <w:uiPriority w:val="0"/>
    <w:rPr>
      <w:rFonts w:ascii="Calibri" w:hAnsi="Calibri" w:eastAsia="宋体" w:cs="Times New Roman"/>
      <w:kern w:val="0"/>
      <w:sz w:val="16"/>
      <w:szCs w:val="20"/>
    </w:rPr>
  </w:style>
  <w:style w:type="character" w:customStyle="1" w:styleId="81">
    <w:name w:val="正文文本 2 字符"/>
    <w:basedOn w:val="48"/>
    <w:link w:val="39"/>
    <w:qFormat/>
    <w:uiPriority w:val="0"/>
    <w:rPr>
      <w:rFonts w:ascii="Times New Roman" w:hAnsi="Times New Roman" w:eastAsia="宋体" w:cs="Times New Roman"/>
      <w:kern w:val="0"/>
      <w:sz w:val="20"/>
      <w:szCs w:val="24"/>
      <w:lang w:val="zh-CN"/>
    </w:rPr>
  </w:style>
  <w:style w:type="character" w:customStyle="1" w:styleId="82">
    <w:name w:val="HTML 预设格式 字符"/>
    <w:basedOn w:val="48"/>
    <w:link w:val="40"/>
    <w:qFormat/>
    <w:uiPriority w:val="0"/>
    <w:rPr>
      <w:rFonts w:ascii="Calibri" w:hAnsi="Calibri" w:eastAsia="宋体" w:cs="Times New Roman"/>
      <w:kern w:val="0"/>
      <w:sz w:val="20"/>
      <w:szCs w:val="21"/>
    </w:rPr>
  </w:style>
  <w:style w:type="character" w:customStyle="1" w:styleId="83">
    <w:name w:val="标题 字符"/>
    <w:basedOn w:val="48"/>
    <w:link w:val="3"/>
    <w:qFormat/>
    <w:uiPriority w:val="0"/>
    <w:rPr>
      <w:rFonts w:ascii="Arial" w:hAnsi="Arial" w:eastAsia="宋体" w:cs="Times New Roman"/>
      <w:b/>
      <w:bCs/>
      <w:kern w:val="0"/>
      <w:sz w:val="32"/>
      <w:szCs w:val="32"/>
      <w:lang w:val="zh-CN"/>
    </w:rPr>
  </w:style>
  <w:style w:type="character" w:customStyle="1" w:styleId="84">
    <w:name w:val="批注主题 字符"/>
    <w:basedOn w:val="71"/>
    <w:link w:val="42"/>
    <w:qFormat/>
    <w:uiPriority w:val="0"/>
    <w:rPr>
      <w:rFonts w:ascii="Times New Roman" w:hAnsi="Times New Roman" w:eastAsia="宋体" w:cs="Times New Roman"/>
      <w:b/>
      <w:bCs/>
      <w:szCs w:val="24"/>
      <w:lang w:val="zh-CN"/>
    </w:rPr>
  </w:style>
  <w:style w:type="character" w:customStyle="1" w:styleId="85">
    <w:name w:val="正文首行缩进 字符"/>
    <w:basedOn w:val="74"/>
    <w:link w:val="43"/>
    <w:qFormat/>
    <w:uiPriority w:val="0"/>
    <w:rPr>
      <w:rFonts w:ascii="Times New Roman" w:hAnsi="Times New Roman" w:eastAsia="宋体" w:cs="Times New Roman"/>
      <w:b w:val="0"/>
      <w:bCs w:val="0"/>
      <w:kern w:val="0"/>
      <w:sz w:val="20"/>
      <w:szCs w:val="20"/>
    </w:rPr>
  </w:style>
  <w:style w:type="character" w:customStyle="1" w:styleId="86">
    <w:name w:val="正文首行缩进 2 字符"/>
    <w:basedOn w:val="75"/>
    <w:link w:val="44"/>
    <w:qFormat/>
    <w:uiPriority w:val="0"/>
    <w:rPr>
      <w:rFonts w:ascii="Times New Roman" w:hAnsi="Times New Roman" w:eastAsia="宋体" w:cs="Times New Roman"/>
      <w:kern w:val="0"/>
      <w:sz w:val="20"/>
      <w:szCs w:val="24"/>
      <w:lang w:val="zh-CN"/>
    </w:rPr>
  </w:style>
  <w:style w:type="character" w:customStyle="1" w:styleId="87">
    <w:name w:val="访问过的超链接1"/>
    <w:basedOn w:val="48"/>
    <w:semiHidden/>
    <w:unhideWhenUsed/>
    <w:qFormat/>
    <w:uiPriority w:val="99"/>
    <w:rPr>
      <w:color w:val="800080"/>
      <w:u w:val="single"/>
    </w:rPr>
  </w:style>
  <w:style w:type="character" w:customStyle="1" w:styleId="88">
    <w:name w:val="正文缩进 字符"/>
    <w:link w:val="8"/>
    <w:qFormat/>
    <w:uiPriority w:val="0"/>
    <w:rPr>
      <w:rFonts w:ascii="Times New Roman" w:hAnsi="Times New Roman" w:eastAsia="宋体" w:cs="Times New Roman"/>
      <w:szCs w:val="24"/>
    </w:rPr>
  </w:style>
  <w:style w:type="paragraph" w:customStyle="1" w:styleId="89">
    <w:name w:val="_Style 75"/>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90">
    <w:name w:val="插图名称 Char Char"/>
    <w:link w:val="91"/>
    <w:qFormat/>
    <w:uiPriority w:val="0"/>
    <w:rPr>
      <w:rFonts w:eastAsia="Times New Roman"/>
      <w:szCs w:val="24"/>
    </w:rPr>
  </w:style>
  <w:style w:type="paragraph" w:customStyle="1" w:styleId="91">
    <w:name w:val="插图名称"/>
    <w:link w:val="90"/>
    <w:qFormat/>
    <w:uiPriority w:val="0"/>
    <w:pPr>
      <w:jc w:val="center"/>
      <w:outlineLvl w:val="8"/>
    </w:pPr>
    <w:rPr>
      <w:rFonts w:eastAsia="Times New Roman" w:asciiTheme="minorHAnsi" w:hAnsiTheme="minorHAnsi" w:cstheme="minorBidi"/>
      <w:kern w:val="2"/>
      <w:sz w:val="21"/>
      <w:szCs w:val="24"/>
      <w:lang w:val="en-US" w:eastAsia="zh-CN" w:bidi="ar-SA"/>
    </w:rPr>
  </w:style>
  <w:style w:type="character" w:customStyle="1" w:styleId="92">
    <w:name w:val="表格文字 Char"/>
    <w:qFormat/>
    <w:uiPriority w:val="0"/>
    <w:rPr>
      <w:rFonts w:ascii="宋体" w:hAnsi="Courier New"/>
    </w:rPr>
  </w:style>
  <w:style w:type="character" w:customStyle="1" w:styleId="93">
    <w:name w:val="19"/>
    <w:qFormat/>
    <w:uiPriority w:val="0"/>
    <w:rPr>
      <w:rFonts w:hint="default" w:ascii="Calibri" w:hAnsi="Calibri" w:cs="Calibri"/>
      <w:b/>
      <w:bCs/>
      <w:kern w:val="44"/>
      <w:sz w:val="44"/>
      <w:szCs w:val="44"/>
    </w:rPr>
  </w:style>
  <w:style w:type="character" w:customStyle="1" w:styleId="94">
    <w:name w:val="17"/>
    <w:qFormat/>
    <w:uiPriority w:val="0"/>
    <w:rPr>
      <w:rFonts w:hint="default" w:ascii="Calibri" w:hAnsi="Calibri" w:cs="Calibri"/>
    </w:rPr>
  </w:style>
  <w:style w:type="character" w:customStyle="1" w:styleId="95">
    <w:name w:val="Char Char10"/>
    <w:qFormat/>
    <w:uiPriority w:val="0"/>
    <w:rPr>
      <w:rFonts w:ascii="宋体" w:hAnsi="Courier New" w:eastAsia="宋体" w:cs="Times New Roman"/>
      <w:szCs w:val="20"/>
    </w:rPr>
  </w:style>
  <w:style w:type="character" w:customStyle="1" w:styleId="96">
    <w:name w:val="3eee Char Char"/>
    <w:link w:val="97"/>
    <w:qFormat/>
    <w:uiPriority w:val="0"/>
    <w:rPr>
      <w:rFonts w:ascii="Courier New" w:hAnsi="Courier New" w:eastAsia="Courier New"/>
      <w:sz w:val="24"/>
      <w:szCs w:val="24"/>
    </w:rPr>
  </w:style>
  <w:style w:type="paragraph" w:customStyle="1" w:styleId="97">
    <w:name w:val="3eee"/>
    <w:basedOn w:val="1"/>
    <w:link w:val="96"/>
    <w:qFormat/>
    <w:uiPriority w:val="0"/>
    <w:pPr>
      <w:spacing w:line="440" w:lineRule="exact"/>
      <w:ind w:firstLine="480" w:firstLineChars="200"/>
    </w:pPr>
    <w:rPr>
      <w:rFonts w:ascii="Courier New" w:hAnsi="Courier New" w:eastAsia="Courier New"/>
      <w:sz w:val="24"/>
      <w:szCs w:val="24"/>
    </w:rPr>
  </w:style>
  <w:style w:type="character" w:customStyle="1" w:styleId="98">
    <w:name w:val="样式 宋体 小四 Char Char"/>
    <w:link w:val="99"/>
    <w:qFormat/>
    <w:uiPriority w:val="0"/>
    <w:rPr>
      <w:rFonts w:ascii="Courier New" w:hAnsi="Courier New" w:eastAsia="Courier New"/>
      <w:sz w:val="24"/>
    </w:rPr>
  </w:style>
  <w:style w:type="paragraph" w:customStyle="1" w:styleId="99">
    <w:name w:val="样式 宋体 小四"/>
    <w:basedOn w:val="1"/>
    <w:link w:val="98"/>
    <w:qFormat/>
    <w:uiPriority w:val="0"/>
    <w:pPr>
      <w:adjustRightInd w:val="0"/>
      <w:snapToGrid w:val="0"/>
      <w:spacing w:line="480" w:lineRule="exact"/>
      <w:ind w:firstLine="200" w:firstLineChars="200"/>
    </w:pPr>
    <w:rPr>
      <w:rFonts w:ascii="Courier New" w:hAnsi="Courier New" w:eastAsia="Courier New"/>
      <w:sz w:val="24"/>
    </w:rPr>
  </w:style>
  <w:style w:type="character" w:customStyle="1" w:styleId="100">
    <w:name w:val="Default Paragraph Font New"/>
    <w:qFormat/>
    <w:uiPriority w:val="0"/>
    <w:rPr>
      <w:rFonts w:hint="default"/>
    </w:rPr>
  </w:style>
  <w:style w:type="character" w:customStyle="1" w:styleId="101">
    <w:name w:val="文一 Char Char"/>
    <w:link w:val="102"/>
    <w:qFormat/>
    <w:uiPriority w:val="0"/>
    <w:rPr>
      <w:spacing w:val="4"/>
      <w:sz w:val="24"/>
      <w:szCs w:val="24"/>
    </w:rPr>
  </w:style>
  <w:style w:type="paragraph" w:customStyle="1" w:styleId="102">
    <w:name w:val="文一"/>
    <w:basedOn w:val="1"/>
    <w:link w:val="101"/>
    <w:qFormat/>
    <w:uiPriority w:val="0"/>
    <w:pPr>
      <w:topLinePunct/>
      <w:adjustRightInd w:val="0"/>
      <w:snapToGrid w:val="0"/>
      <w:spacing w:line="360" w:lineRule="auto"/>
      <w:ind w:firstLine="200" w:firstLineChars="200"/>
    </w:pPr>
    <w:rPr>
      <w:spacing w:val="4"/>
      <w:sz w:val="24"/>
      <w:szCs w:val="24"/>
    </w:rPr>
  </w:style>
  <w:style w:type="character" w:customStyle="1" w:styleId="103">
    <w:name w:val="无间隔 Char Char"/>
    <w:link w:val="104"/>
    <w:qFormat/>
    <w:uiPriority w:val="0"/>
    <w:rPr>
      <w:szCs w:val="24"/>
    </w:rPr>
  </w:style>
  <w:style w:type="paragraph" w:customStyle="1" w:styleId="104">
    <w:name w:val="无间隔1"/>
    <w:link w:val="103"/>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customStyle="1" w:styleId="105">
    <w:name w:val="18"/>
    <w:qFormat/>
    <w:uiPriority w:val="0"/>
    <w:rPr>
      <w:rFonts w:hint="default" w:ascii="Calibri" w:hAnsi="Calibri" w:cs="Calibri"/>
      <w:b/>
      <w:bCs/>
      <w:sz w:val="30"/>
      <w:szCs w:val="30"/>
    </w:rPr>
  </w:style>
  <w:style w:type="character" w:customStyle="1" w:styleId="106">
    <w:name w:val="16"/>
    <w:qFormat/>
    <w:uiPriority w:val="0"/>
    <w:rPr>
      <w:rFonts w:hint="default" w:ascii="Calibri" w:hAnsi="Calibri" w:cs="Calibri"/>
      <w:color w:val="0000FF"/>
      <w:u w:val="single"/>
    </w:rPr>
  </w:style>
  <w:style w:type="character" w:customStyle="1" w:styleId="107">
    <w:name w:val="样式3 Char Char"/>
    <w:link w:val="108"/>
    <w:qFormat/>
    <w:uiPriority w:val="0"/>
    <w:rPr>
      <w:rFonts w:eastAsia="Times New Roman"/>
      <w:b/>
      <w:sz w:val="24"/>
    </w:rPr>
  </w:style>
  <w:style w:type="paragraph" w:customStyle="1" w:styleId="108">
    <w:name w:val="样式3"/>
    <w:link w:val="107"/>
    <w:qFormat/>
    <w:uiPriority w:val="0"/>
    <w:pPr>
      <w:tabs>
        <w:tab w:val="left" w:pos="1140"/>
      </w:tabs>
      <w:spacing w:line="480" w:lineRule="exact"/>
      <w:ind w:left="1140" w:hanging="720"/>
    </w:pPr>
    <w:rPr>
      <w:rFonts w:eastAsia="Times New Roman" w:asciiTheme="minorHAnsi" w:hAnsiTheme="minorHAnsi" w:cstheme="minorBidi"/>
      <w:b/>
      <w:kern w:val="2"/>
      <w:sz w:val="24"/>
      <w:szCs w:val="22"/>
      <w:lang w:val="en-US" w:eastAsia="zh-CN" w:bidi="ar-SA"/>
    </w:rPr>
  </w:style>
  <w:style w:type="character" w:customStyle="1" w:styleId="109">
    <w:name w:val="一级标题 Char Char"/>
    <w:link w:val="110"/>
    <w:qFormat/>
    <w:uiPriority w:val="0"/>
    <w:rPr>
      <w:b/>
      <w:sz w:val="30"/>
      <w:szCs w:val="30"/>
    </w:rPr>
  </w:style>
  <w:style w:type="paragraph" w:customStyle="1" w:styleId="110">
    <w:name w:val="一级标题"/>
    <w:basedOn w:val="1"/>
    <w:link w:val="109"/>
    <w:qFormat/>
    <w:uiPriority w:val="0"/>
    <w:pPr>
      <w:spacing w:line="360" w:lineRule="auto"/>
      <w:outlineLvl w:val="0"/>
    </w:pPr>
    <w:rPr>
      <w:b/>
      <w:sz w:val="30"/>
      <w:szCs w:val="30"/>
    </w:rPr>
  </w:style>
  <w:style w:type="character" w:customStyle="1" w:styleId="111">
    <w:name w:val="Default Paragraph Font New New New"/>
    <w:qFormat/>
    <w:uiPriority w:val="0"/>
    <w:rPr>
      <w:rFonts w:hint="default"/>
    </w:rPr>
  </w:style>
  <w:style w:type="character" w:customStyle="1" w:styleId="112">
    <w:name w:val="默认段落字体1"/>
    <w:qFormat/>
    <w:uiPriority w:val="0"/>
    <w:rPr>
      <w:rFonts w:hint="default"/>
    </w:rPr>
  </w:style>
  <w:style w:type="character" w:customStyle="1" w:styleId="113">
    <w:name w:val="正文(仿)首缩 Char"/>
    <w:link w:val="114"/>
    <w:qFormat/>
    <w:uiPriority w:val="0"/>
    <w:rPr>
      <w:rFonts w:ascii="仿宋_GB2312" w:eastAsia="仿宋_GB2312"/>
      <w:sz w:val="28"/>
    </w:rPr>
  </w:style>
  <w:style w:type="paragraph" w:customStyle="1" w:styleId="114">
    <w:name w:val="正文(仿)首缩"/>
    <w:basedOn w:val="1"/>
    <w:link w:val="113"/>
    <w:qFormat/>
    <w:uiPriority w:val="0"/>
    <w:pPr>
      <w:ind w:firstLine="554" w:firstLineChars="200"/>
    </w:pPr>
    <w:rPr>
      <w:rFonts w:ascii="仿宋_GB2312" w:eastAsia="仿宋_GB2312"/>
      <w:sz w:val="28"/>
    </w:rPr>
  </w:style>
  <w:style w:type="character" w:customStyle="1" w:styleId="115">
    <w:name w:val="表格00 Char1"/>
    <w:link w:val="116"/>
    <w:qFormat/>
    <w:uiPriority w:val="0"/>
    <w:rPr>
      <w:rFonts w:eastAsia="Times New Roman"/>
      <w:szCs w:val="21"/>
    </w:rPr>
  </w:style>
  <w:style w:type="paragraph" w:customStyle="1" w:styleId="116">
    <w:name w:val="表格00"/>
    <w:link w:val="115"/>
    <w:qFormat/>
    <w:uiPriority w:val="0"/>
    <w:pPr>
      <w:widowControl w:val="0"/>
      <w:adjustRightInd w:val="0"/>
      <w:spacing w:line="140" w:lineRule="atLeast"/>
      <w:jc w:val="center"/>
      <w:outlineLvl w:val="8"/>
    </w:pPr>
    <w:rPr>
      <w:rFonts w:eastAsia="Times New Roman" w:asciiTheme="minorHAnsi" w:hAnsiTheme="minorHAnsi" w:cstheme="minorBidi"/>
      <w:kern w:val="2"/>
      <w:sz w:val="21"/>
      <w:szCs w:val="21"/>
      <w:lang w:val="en-US" w:eastAsia="zh-CN" w:bidi="ar-SA"/>
    </w:rPr>
  </w:style>
  <w:style w:type="character" w:customStyle="1" w:styleId="117">
    <w:name w:val="样式 小四 首行缩进:  0.85 厘米 行距: 1.5 倍行距 Char1"/>
    <w:link w:val="118"/>
    <w:qFormat/>
    <w:uiPriority w:val="0"/>
    <w:rPr>
      <w:rFonts w:ascii="Courier New" w:hAnsi="Courier New" w:eastAsia="Courier New"/>
      <w:bCs/>
      <w:sz w:val="24"/>
      <w:szCs w:val="28"/>
    </w:rPr>
  </w:style>
  <w:style w:type="paragraph" w:customStyle="1" w:styleId="118">
    <w:name w:val="样式 小四 首行缩进:  0.85 厘米 行距: 1.5 倍行距"/>
    <w:basedOn w:val="1"/>
    <w:next w:val="1"/>
    <w:link w:val="117"/>
    <w:qFormat/>
    <w:uiPriority w:val="0"/>
    <w:pPr>
      <w:spacing w:line="360" w:lineRule="auto"/>
      <w:ind w:firstLine="480"/>
    </w:pPr>
    <w:rPr>
      <w:rFonts w:ascii="Courier New" w:hAnsi="Courier New" w:eastAsia="Courier New"/>
      <w:bCs/>
      <w:sz w:val="24"/>
      <w:szCs w:val="28"/>
    </w:rPr>
  </w:style>
  <w:style w:type="character" w:customStyle="1" w:styleId="119">
    <w:name w:val="Default Paragraph Font New New"/>
    <w:qFormat/>
    <w:uiPriority w:val="0"/>
    <w:rPr>
      <w:rFonts w:hint="default"/>
    </w:rPr>
  </w:style>
  <w:style w:type="character" w:customStyle="1" w:styleId="120">
    <w:name w:val="泉州师院正文 Char Char"/>
    <w:link w:val="121"/>
    <w:qFormat/>
    <w:uiPriority w:val="0"/>
    <w:rPr>
      <w:sz w:val="24"/>
      <w:szCs w:val="24"/>
    </w:rPr>
  </w:style>
  <w:style w:type="paragraph" w:customStyle="1" w:styleId="121">
    <w:name w:val="泉州师院正文"/>
    <w:basedOn w:val="1"/>
    <w:link w:val="120"/>
    <w:qFormat/>
    <w:uiPriority w:val="0"/>
    <w:pPr>
      <w:spacing w:line="360" w:lineRule="auto"/>
      <w:ind w:firstLine="480" w:firstLineChars="200"/>
    </w:pPr>
    <w:rPr>
      <w:sz w:val="24"/>
      <w:szCs w:val="24"/>
    </w:rPr>
  </w:style>
  <w:style w:type="character" w:customStyle="1" w:styleId="122">
    <w:name w:val="10"/>
    <w:qFormat/>
    <w:uiPriority w:val="0"/>
    <w:rPr>
      <w:rFonts w:hint="default" w:ascii="Calibri" w:hAnsi="Calibri" w:cs="Calibri"/>
    </w:rPr>
  </w:style>
  <w:style w:type="character" w:customStyle="1" w:styleId="123">
    <w:name w:val="15"/>
    <w:qFormat/>
    <w:uiPriority w:val="0"/>
    <w:rPr>
      <w:rFonts w:hint="default" w:ascii="Calibri" w:hAnsi="Calibri" w:cs="Calibri"/>
      <w:color w:val="0000FF"/>
      <w:u w:val="single"/>
    </w:rPr>
  </w:style>
  <w:style w:type="paragraph" w:customStyle="1" w:styleId="124">
    <w:name w:val="Normal New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25">
    <w:name w:val="正题"/>
    <w:basedOn w:val="102"/>
    <w:next w:val="102"/>
    <w:qFormat/>
    <w:uiPriority w:val="0"/>
    <w:pPr>
      <w:ind w:firstLine="0" w:firstLineChars="0"/>
      <w:jc w:val="center"/>
    </w:pPr>
    <w:rPr>
      <w:rFonts w:ascii="等线" w:hAnsi="等线" w:eastAsia="黑体"/>
      <w:b/>
      <w:snapToGrid w:val="0"/>
      <w:sz w:val="36"/>
      <w:szCs w:val="36"/>
    </w:rPr>
  </w:style>
  <w:style w:type="paragraph" w:customStyle="1" w:styleId="126">
    <w:name w:val="列出段落1"/>
    <w:basedOn w:val="1"/>
    <w:qFormat/>
    <w:uiPriority w:val="0"/>
    <w:pPr>
      <w:ind w:firstLine="420" w:firstLineChars="200"/>
    </w:pPr>
    <w:rPr>
      <w:rFonts w:ascii="Calibri" w:hAnsi="Calibri" w:eastAsia="宋体" w:cs="Times New Roman"/>
    </w:rPr>
  </w:style>
  <w:style w:type="paragraph" w:customStyle="1" w:styleId="127">
    <w:name w:val="Table Paragraph"/>
    <w:basedOn w:val="1"/>
    <w:qFormat/>
    <w:uiPriority w:val="1"/>
    <w:pPr>
      <w:autoSpaceDE w:val="0"/>
      <w:autoSpaceDN w:val="0"/>
      <w:adjustRightInd w:val="0"/>
      <w:jc w:val="left"/>
    </w:pPr>
    <w:rPr>
      <w:rFonts w:ascii="Times New Roman" w:hAnsi="Times New Roman" w:eastAsia="宋体" w:cs="Times New Roman"/>
      <w:kern w:val="0"/>
      <w:sz w:val="24"/>
      <w:szCs w:val="24"/>
    </w:rPr>
  </w:style>
  <w:style w:type="paragraph" w:customStyle="1" w:styleId="128">
    <w:name w:val="Char Char Char Char Char Char Char"/>
    <w:basedOn w:val="1"/>
    <w:qFormat/>
    <w:uiPriority w:val="0"/>
    <w:pPr>
      <w:tabs>
        <w:tab w:val="left" w:pos="425"/>
      </w:tabs>
      <w:ind w:left="425" w:hanging="425"/>
    </w:pPr>
    <w:rPr>
      <w:rFonts w:ascii="Times New Roman" w:hAnsi="Times New Roman" w:eastAsia="仿宋_GB2312" w:cs="Times New Roman"/>
      <w:kern w:val="24"/>
      <w:sz w:val="24"/>
      <w:szCs w:val="24"/>
    </w:rPr>
  </w:style>
  <w:style w:type="paragraph" w:styleId="129">
    <w:name w:val="List Paragraph"/>
    <w:basedOn w:val="1"/>
    <w:qFormat/>
    <w:uiPriority w:val="0"/>
    <w:pPr>
      <w:ind w:firstLine="420" w:firstLineChars="200"/>
    </w:pPr>
    <w:rPr>
      <w:rFonts w:ascii="Times New Roman" w:hAnsi="Times New Roman" w:eastAsia="宋体" w:cs="Times New Roman"/>
      <w:szCs w:val="24"/>
    </w:rPr>
  </w:style>
  <w:style w:type="paragraph" w:customStyle="1" w:styleId="130">
    <w:name w:val="1eee"/>
    <w:basedOn w:val="2"/>
    <w:qFormat/>
    <w:uiPriority w:val="0"/>
    <w:rPr>
      <w:rFonts w:eastAsia="黑体" w:cs="宋体"/>
      <w:b w:val="0"/>
      <w:sz w:val="30"/>
    </w:rPr>
  </w:style>
  <w:style w:type="paragraph" w:customStyle="1" w:styleId="131">
    <w:name w:val="正文图标题"/>
    <w:next w:val="1"/>
    <w:qFormat/>
    <w:uiPriority w:val="0"/>
    <w:pPr>
      <w:tabs>
        <w:tab w:val="left" w:pos="420"/>
      </w:tabs>
      <w:ind w:left="567" w:hanging="279"/>
      <w:jc w:val="center"/>
    </w:pPr>
    <w:rPr>
      <w:rFonts w:ascii="黑体" w:hAnsi="Times New Roman" w:eastAsia="黑体" w:cs="Times New Roman"/>
      <w:sz w:val="21"/>
      <w:lang w:val="en-US" w:eastAsia="zh-CN" w:bidi="ar-SA"/>
    </w:rPr>
  </w:style>
  <w:style w:type="paragraph" w:customStyle="1" w:styleId="132">
    <w:name w:val="文二"/>
    <w:basedOn w:val="1"/>
    <w:qFormat/>
    <w:uiPriority w:val="0"/>
    <w:pPr>
      <w:jc w:val="left"/>
    </w:pPr>
    <w:rPr>
      <w:rFonts w:ascii="宋体" w:hAnsi="宋体" w:eastAsia="宋体" w:cs="Times New Roman"/>
      <w:szCs w:val="21"/>
    </w:rPr>
  </w:style>
  <w:style w:type="paragraph" w:customStyle="1" w:styleId="133">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134">
    <w:name w:val="Normal New New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35">
    <w:name w:val="发文落款"/>
    <w:basedOn w:val="133"/>
    <w:qFormat/>
    <w:uiPriority w:val="0"/>
    <w:pPr>
      <w:ind w:left="4094" w:right="607" w:firstLine="0"/>
      <w:jc w:val="center"/>
    </w:pPr>
  </w:style>
  <w:style w:type="paragraph" w:customStyle="1" w:styleId="136">
    <w:name w:val="封一"/>
    <w:basedOn w:val="102"/>
    <w:next w:val="102"/>
    <w:qFormat/>
    <w:uiPriority w:val="0"/>
    <w:pPr>
      <w:ind w:firstLine="0" w:firstLineChars="0"/>
      <w:jc w:val="center"/>
    </w:pPr>
    <w:rPr>
      <w:rFonts w:ascii="等线" w:hAnsi="等线" w:eastAsia="黑体"/>
      <w:b/>
      <w:snapToGrid w:val="0"/>
      <w:sz w:val="84"/>
      <w:szCs w:val="84"/>
    </w:rPr>
  </w:style>
  <w:style w:type="paragraph" w:customStyle="1" w:styleId="137">
    <w:name w:val="_Style 59"/>
    <w:qFormat/>
    <w:uiPriority w:val="0"/>
    <w:pPr>
      <w:spacing w:after="160" w:line="240" w:lineRule="exact"/>
    </w:pPr>
    <w:rPr>
      <w:rFonts w:ascii="Times New Roman" w:hAnsi="Times New Roman" w:eastAsia="宋体" w:cs="Times New Roman"/>
      <w:lang w:val="en-US" w:eastAsia="zh-CN" w:bidi="ar-SA"/>
    </w:rPr>
  </w:style>
  <w:style w:type="paragraph" w:customStyle="1" w:styleId="138">
    <w:name w:val="封四"/>
    <w:basedOn w:val="102"/>
    <w:next w:val="102"/>
    <w:qFormat/>
    <w:uiPriority w:val="0"/>
    <w:pPr>
      <w:jc w:val="left"/>
    </w:pPr>
    <w:rPr>
      <w:rFonts w:ascii="等线" w:hAnsi="等线" w:eastAsia="等线"/>
      <w:snapToGrid w:val="0"/>
      <w:sz w:val="30"/>
      <w:szCs w:val="30"/>
    </w:rPr>
  </w:style>
  <w:style w:type="paragraph" w:customStyle="1" w:styleId="139">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40">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141">
    <w:name w:val="Normal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42">
    <w:name w:val="Char Char Char Char Char Char Char1"/>
    <w:basedOn w:val="1"/>
    <w:qFormat/>
    <w:uiPriority w:val="0"/>
    <w:pPr>
      <w:tabs>
        <w:tab w:val="left" w:pos="425"/>
      </w:tabs>
      <w:ind w:left="425" w:hanging="425"/>
    </w:pPr>
    <w:rPr>
      <w:rFonts w:ascii="Times New Roman" w:hAnsi="Times New Roman" w:eastAsia="仿宋_GB2312" w:cs="Times New Roman"/>
      <w:kern w:val="24"/>
      <w:sz w:val="24"/>
      <w:szCs w:val="24"/>
    </w:rPr>
  </w:style>
  <w:style w:type="paragraph" w:customStyle="1" w:styleId="143">
    <w:name w:val="修订1"/>
    <w:qFormat/>
    <w:uiPriority w:val="0"/>
    <w:rPr>
      <w:rFonts w:ascii="Times New Roman" w:hAnsi="Times New Roman" w:eastAsia="宋体" w:cs="Times New Roman"/>
      <w:kern w:val="2"/>
      <w:sz w:val="21"/>
      <w:szCs w:val="24"/>
      <w:lang w:val="en-US" w:eastAsia="zh-CN" w:bidi="ar-SA"/>
    </w:rPr>
  </w:style>
  <w:style w:type="paragraph" w:customStyle="1" w:styleId="144">
    <w:name w:val="封二"/>
    <w:basedOn w:val="102"/>
    <w:next w:val="102"/>
    <w:qFormat/>
    <w:uiPriority w:val="0"/>
    <w:pPr>
      <w:ind w:firstLine="0" w:firstLineChars="0"/>
      <w:jc w:val="center"/>
    </w:pPr>
    <w:rPr>
      <w:rFonts w:ascii="等线" w:hAnsi="等线" w:eastAsia="黑体"/>
      <w:b/>
      <w:snapToGrid w:val="0"/>
      <w:sz w:val="36"/>
      <w:szCs w:val="36"/>
    </w:rPr>
  </w:style>
  <w:style w:type="paragraph" w:customStyle="1" w:styleId="145">
    <w:name w:val="样式 标题 3 + 首行缩进:  1.06 厘米"/>
    <w:basedOn w:val="5"/>
    <w:qFormat/>
    <w:uiPriority w:val="0"/>
  </w:style>
  <w:style w:type="paragraph" w:styleId="146">
    <w:name w:val="No Spacing"/>
    <w:qFormat/>
    <w:uiPriority w:val="0"/>
    <w:pPr>
      <w:widowControl w:val="0"/>
      <w:jc w:val="both"/>
    </w:pPr>
    <w:rPr>
      <w:rFonts w:ascii="Times New Roman" w:hAnsi="Times New Roman" w:eastAsia="Times New Roman" w:cs="Times New Roman"/>
      <w:kern w:val="2"/>
      <w:sz w:val="24"/>
      <w:szCs w:val="24"/>
      <w:lang w:val="en-US" w:eastAsia="zh-CN" w:bidi="ar-SA"/>
    </w:rPr>
  </w:style>
  <w:style w:type="paragraph" w:customStyle="1" w:styleId="147">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8">
    <w:name w:val="CM15"/>
    <w:basedOn w:val="1"/>
    <w:next w:val="1"/>
    <w:qFormat/>
    <w:uiPriority w:val="0"/>
    <w:pPr>
      <w:autoSpaceDE w:val="0"/>
      <w:autoSpaceDN w:val="0"/>
      <w:adjustRightInd w:val="0"/>
      <w:spacing w:line="468" w:lineRule="atLeast"/>
      <w:jc w:val="left"/>
    </w:pPr>
    <w:rPr>
      <w:rFonts w:ascii="黑体" w:hAnsi="Calibri" w:eastAsia="黑体" w:cs="Times New Roman"/>
      <w:kern w:val="0"/>
      <w:sz w:val="24"/>
      <w:szCs w:val="24"/>
    </w:rPr>
  </w:style>
  <w:style w:type="paragraph" w:customStyle="1" w:styleId="149">
    <w:name w:val="TOC 标题1"/>
    <w:basedOn w:val="2"/>
    <w:next w:val="1"/>
    <w:qFormat/>
    <w:uiPriority w:val="0"/>
    <w:pPr>
      <w:widowControl/>
      <w:spacing w:before="480" w:line="276" w:lineRule="auto"/>
      <w:jc w:val="left"/>
      <w:outlineLvl w:val="9"/>
    </w:pPr>
    <w:rPr>
      <w:rFonts w:ascii="Cambria" w:hAnsi="Cambria"/>
      <w:color w:val="365F91"/>
      <w:kern w:val="0"/>
      <w:sz w:val="28"/>
      <w:szCs w:val="28"/>
      <w:lang w:val="en-US"/>
    </w:rPr>
  </w:style>
  <w:style w:type="paragraph" w:customStyle="1" w:styleId="150">
    <w:name w:val="表格内容"/>
    <w:basedOn w:val="1"/>
    <w:qFormat/>
    <w:uiPriority w:val="0"/>
    <w:pPr>
      <w:adjustRightInd w:val="0"/>
      <w:snapToGrid w:val="0"/>
      <w:spacing w:line="288" w:lineRule="auto"/>
      <w:jc w:val="center"/>
    </w:pPr>
    <w:rPr>
      <w:rFonts w:ascii="Times New Roman" w:hAnsi="Times New Roman" w:eastAsia="宋体" w:cs="Times New Roman"/>
      <w:szCs w:val="24"/>
    </w:rPr>
  </w:style>
  <w:style w:type="paragraph" w:customStyle="1" w:styleId="151">
    <w:name w:val="Plain Text1"/>
    <w:basedOn w:val="1"/>
    <w:qFormat/>
    <w:uiPriority w:val="99"/>
    <w:rPr>
      <w:rFonts w:ascii="宋体" w:hAnsi="Courier New" w:eastAsia="宋体" w:cs="Times New Roman"/>
      <w:kern w:val="0"/>
      <w:sz w:val="20"/>
      <w:szCs w:val="20"/>
    </w:rPr>
  </w:style>
  <w:style w:type="character" w:styleId="152">
    <w:name w:val="Placeholder Text"/>
    <w:basedOn w:val="48"/>
    <w:semiHidden/>
    <w:qFormat/>
    <w:uiPriority w:val="99"/>
    <w:rPr>
      <w:color w:val="808080"/>
    </w:rPr>
  </w:style>
  <w:style w:type="paragraph" w:customStyle="1" w:styleId="153">
    <w:name w:val="p16"/>
    <w:basedOn w:val="1"/>
    <w:qFormat/>
    <w:uiPriority w:val="0"/>
    <w:pPr>
      <w:widowControl/>
    </w:pPr>
    <w:rPr>
      <w:rFonts w:ascii="Times New Roman" w:hAnsi="Times New Roman" w:eastAsia="宋体" w:cs="Times New Roman"/>
      <w:kern w:val="0"/>
      <w:sz w:val="32"/>
      <w:szCs w:val="32"/>
    </w:rPr>
  </w:style>
  <w:style w:type="character" w:customStyle="1" w:styleId="154">
    <w:name w:val="username"/>
    <w:basedOn w:val="48"/>
    <w:qFormat/>
    <w:uiPriority w:val="0"/>
  </w:style>
  <w:style w:type="character" w:customStyle="1" w:styleId="155">
    <w:name w:val="title26"/>
    <w:basedOn w:val="48"/>
    <w:qFormat/>
    <w:uiPriority w:val="0"/>
  </w:style>
  <w:style w:type="character" w:customStyle="1" w:styleId="156">
    <w:name w:val="font01"/>
    <w:qFormat/>
    <w:uiPriority w:val="0"/>
    <w:rPr>
      <w:rFonts w:hint="eastAsia" w:ascii="宋体" w:hAnsi="宋体" w:eastAsia="宋体" w:cs="宋体"/>
      <w:color w:val="000000"/>
      <w:sz w:val="21"/>
      <w:szCs w:val="21"/>
      <w:u w:val="none"/>
    </w:rPr>
  </w:style>
  <w:style w:type="paragraph" w:customStyle="1" w:styleId="157">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8">
    <w:name w:val="title24"/>
    <w:basedOn w:val="48"/>
    <w:qFormat/>
    <w:uiPriority w:val="0"/>
  </w:style>
  <w:style w:type="paragraph" w:customStyle="1" w:styleId="159">
    <w:name w:val="正文 New New"/>
    <w:qFormat/>
    <w:uiPriority w:val="0"/>
    <w:pPr>
      <w:widowControl w:val="0"/>
      <w:jc w:val="both"/>
    </w:pPr>
    <w:rPr>
      <w:rFonts w:ascii="Times New Roman" w:hAnsi="Times New Roman" w:eastAsia="楷体_GB2312" w:cs="Times New Roman"/>
      <w:kern w:val="2"/>
      <w:sz w:val="21"/>
      <w:lang w:val="en-US" w:eastAsia="zh-CN" w:bidi="ar-SA"/>
    </w:rPr>
  </w:style>
  <w:style w:type="character" w:customStyle="1" w:styleId="160">
    <w:name w:val="标题 3 字符1"/>
    <w:basedOn w:val="48"/>
    <w:semiHidden/>
    <w:qFormat/>
    <w:uiPriority w:val="9"/>
    <w:rPr>
      <w:b/>
      <w:bCs/>
      <w:sz w:val="32"/>
      <w:szCs w:val="32"/>
    </w:rPr>
  </w:style>
  <w:style w:type="paragraph" w:customStyle="1" w:styleId="161">
    <w:name w:val="修订2"/>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162">
    <w:name w:val="标题 32"/>
    <w:basedOn w:val="1"/>
    <w:unhideWhenUsed/>
    <w:qFormat/>
    <w:uiPriority w:val="1"/>
    <w:pPr>
      <w:ind w:left="237"/>
      <w:outlineLvl w:val="2"/>
    </w:pPr>
    <w:rPr>
      <w:rFonts w:hint="eastAsia" w:ascii="宋体" w:hAnsi="宋体" w:eastAsia="宋体"/>
      <w:sz w:val="28"/>
    </w:rPr>
  </w:style>
  <w:style w:type="paragraph" w:customStyle="1" w:styleId="163">
    <w:name w:val="Char Char Char Char Char Char2 Char"/>
    <w:basedOn w:val="1"/>
    <w:qFormat/>
    <w:uiPriority w:val="0"/>
    <w:pPr>
      <w:spacing w:line="360" w:lineRule="auto"/>
      <w:ind w:firstLine="200" w:firstLineChars="200"/>
    </w:pPr>
    <w:rPr>
      <w:rFonts w:ascii="宋体" w:hAnsi="宋体" w:eastAsia="宋体" w:cs="宋体"/>
      <w:sz w:val="24"/>
      <w:szCs w:val="24"/>
    </w:rPr>
  </w:style>
  <w:style w:type="paragraph" w:customStyle="1" w:styleId="164">
    <w:name w:val="修订3"/>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165">
    <w:name w:val="标题 33"/>
    <w:basedOn w:val="1"/>
    <w:unhideWhenUsed/>
    <w:qFormat/>
    <w:uiPriority w:val="1"/>
    <w:pPr>
      <w:ind w:left="237"/>
      <w:outlineLvl w:val="2"/>
    </w:pPr>
    <w:rPr>
      <w:rFonts w:hint="eastAsia" w:ascii="宋体" w:hAnsi="宋体" w:eastAsia="宋体"/>
      <w:sz w:val="28"/>
    </w:rPr>
  </w:style>
  <w:style w:type="paragraph" w:customStyle="1" w:styleId="166">
    <w:name w:val="样式 宋体 行距: 1.5 倍行距"/>
    <w:basedOn w:val="1"/>
    <w:qFormat/>
    <w:uiPriority w:val="0"/>
    <w:pPr>
      <w:jc w:val="center"/>
    </w:pPr>
    <w:rPr>
      <w:b/>
    </w:rPr>
  </w:style>
  <w:style w:type="paragraph" w:customStyle="1" w:styleId="167">
    <w:name w:val="修订4"/>
    <w:hidden/>
    <w:semiHidden/>
    <w:qFormat/>
    <w:uiPriority w:val="99"/>
    <w:rPr>
      <w:rFonts w:asciiTheme="minorHAnsi" w:hAnsiTheme="minorHAnsi" w:eastAsiaTheme="minorEastAsia" w:cstheme="minorBidi"/>
      <w:kern w:val="2"/>
      <w:sz w:val="21"/>
      <w:szCs w:val="22"/>
      <w:lang w:val="en-US" w:eastAsia="zh-CN" w:bidi="ar-SA"/>
    </w:rPr>
  </w:style>
  <w:style w:type="table" w:customStyle="1" w:styleId="168">
    <w:name w:val="网格型1"/>
    <w:basedOn w:val="4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9">
    <w:name w:val="修订5"/>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70">
    <w:name w:val="font11"/>
    <w:basedOn w:val="48"/>
    <w:qFormat/>
    <w:uiPriority w:val="0"/>
    <w:rPr>
      <w:rFonts w:hint="default" w:ascii="仿宋_GB2312" w:eastAsia="仿宋_GB2312" w:cs="仿宋_GB2312"/>
      <w:color w:val="000000"/>
      <w:sz w:val="20"/>
      <w:szCs w:val="20"/>
      <w:u w:val="none"/>
    </w:rPr>
  </w:style>
  <w:style w:type="paragraph" w:customStyle="1" w:styleId="171">
    <w:name w:val="标题 21"/>
    <w:basedOn w:val="1"/>
    <w:unhideWhenUsed/>
    <w:qFormat/>
    <w:uiPriority w:val="1"/>
    <w:pPr>
      <w:outlineLvl w:val="1"/>
    </w:pPr>
    <w:rPr>
      <w:rFonts w:hint="eastAsia" w:ascii="宋体" w:hAnsi="宋体" w:eastAsia="宋体"/>
      <w:sz w:val="32"/>
    </w:rPr>
  </w:style>
  <w:style w:type="paragraph" w:customStyle="1" w:styleId="172">
    <w:name w:val="修订6"/>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173">
    <w:name w:val="Revision"/>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74">
    <w:name w:val="font81"/>
    <w:basedOn w:val="48"/>
    <w:qFormat/>
    <w:uiPriority w:val="0"/>
    <w:rPr>
      <w:rFonts w:hint="default" w:ascii="Times New Roman" w:hAnsi="Times New Roman" w:cs="Times New Roman"/>
      <w:color w:val="000000"/>
      <w:sz w:val="18"/>
      <w:szCs w:val="18"/>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image" Target="media/image2.emf"/><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140</Pages>
  <Words>7994</Words>
  <Characters>8506</Characters>
  <Lines>214</Lines>
  <Paragraphs>221</Paragraphs>
  <TotalTime>42</TotalTime>
  <ScaleCrop>false</ScaleCrop>
  <LinksUpToDate>false</LinksUpToDate>
  <CharactersWithSpaces>8642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2025-03-19T04:34:00Z</dcterms:created>
  <dc:creator>Admin</dc:creator>
  <cp:lastModifiedBy>C-言诺</cp:lastModifiedBy>
  <cp:lastPrinted>2025-06-25T04:12:00Z</cp:lastPrinted>
  <dcterms:modified xsi:type="dcterms:W3CDTF">2025-07-08T07:38:09Z</dcterms:modified>
  <cp:revision>738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eyJoZGlkIjoiMTllMzUzYWVlNDExMDljNzg4Y2Q5ZTEyN2FmYTAxZmMiLCJ1c2VySWQiOiIyMDYzMTExODMifQ==</vt:lpwstr>
  </property>
  <property fmtid="{D5CDD505-2E9C-101B-9397-08002B2CF9AE}" pid="3" name="KSOProductBuildVer">
    <vt:lpwstr>2052-12.1.0.21915</vt:lpwstr>
  </property>
  <property fmtid="{D5CDD505-2E9C-101B-9397-08002B2CF9AE}" pid="4" name="ICV">
    <vt:lpwstr>F8641E8A191A4933ACD078FDE28ADD46_13</vt:lpwstr>
  </property>
</Properties>
</file>