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黑体"/>
          <w:sz w:val="52"/>
          <w:szCs w:val="52"/>
        </w:rPr>
      </w:pPr>
      <w:bookmarkStart w:id="0" w:name="_Toc20597"/>
      <w:bookmarkStart w:id="1" w:name="_Toc536003221"/>
      <w:bookmarkStart w:id="2" w:name="_Toc1729021"/>
    </w:p>
    <w:p>
      <w:pPr>
        <w:spacing w:line="360" w:lineRule="auto"/>
        <w:jc w:val="center"/>
        <w:rPr>
          <w:rFonts w:eastAsia="黑体"/>
          <w:sz w:val="52"/>
          <w:szCs w:val="52"/>
        </w:rPr>
      </w:pPr>
    </w:p>
    <w:bookmarkEnd w:id="0"/>
    <w:bookmarkEnd w:id="1"/>
    <w:bookmarkEnd w:id="2"/>
    <w:p>
      <w:pPr>
        <w:rPr>
          <w:rFonts w:ascii="黑体" w:hAnsi="黑体" w:eastAsia="黑体" w:cs="黑体"/>
          <w:bCs/>
          <w:sz w:val="48"/>
          <w:szCs w:val="48"/>
        </w:rPr>
      </w:pPr>
      <w:r>
        <w:rPr>
          <w:rFonts w:hint="eastAsia" w:ascii="黑体" w:hAnsi="黑体" w:eastAsia="黑体" w:cs="黑体"/>
          <w:sz w:val="48"/>
          <w:szCs w:val="48"/>
        </w:rPr>
        <w:t>韩江榕江练江水系连通后续优化工程</w:t>
      </w:r>
    </w:p>
    <w:p>
      <w:pPr>
        <w:spacing w:line="700" w:lineRule="atLeast"/>
        <w:jc w:val="center"/>
        <w:rPr>
          <w:rFonts w:eastAsia="黑体"/>
          <w:sz w:val="52"/>
          <w:szCs w:val="52"/>
        </w:rPr>
      </w:pPr>
      <w:r>
        <w:rPr>
          <w:rFonts w:hint="eastAsia" w:eastAsia="黑体"/>
          <w:sz w:val="52"/>
          <w:szCs w:val="52"/>
        </w:rPr>
        <w:t>安全监测1标</w:t>
      </w:r>
    </w:p>
    <w:p>
      <w:pPr>
        <w:spacing w:line="700" w:lineRule="atLeast"/>
        <w:jc w:val="center"/>
        <w:rPr>
          <w:rFonts w:eastAsia="黑体"/>
          <w:sz w:val="52"/>
          <w:szCs w:val="52"/>
        </w:rPr>
      </w:pPr>
      <w:r>
        <w:rPr>
          <w:rFonts w:eastAsia="黑体"/>
          <w:sz w:val="52"/>
          <w:szCs w:val="52"/>
        </w:rPr>
        <w:t>招标文件</w:t>
      </w:r>
    </w:p>
    <w:p>
      <w:pPr>
        <w:snapToGrid w:val="0"/>
        <w:spacing w:line="700" w:lineRule="atLeast"/>
        <w:jc w:val="center"/>
        <w:rPr>
          <w:b/>
          <w:sz w:val="44"/>
          <w:szCs w:val="22"/>
        </w:rPr>
      </w:pPr>
    </w:p>
    <w:p>
      <w:pPr>
        <w:snapToGrid w:val="0"/>
        <w:spacing w:line="700" w:lineRule="atLeast"/>
        <w:jc w:val="center"/>
        <w:rPr>
          <w:rFonts w:eastAsia="黑体"/>
          <w:sz w:val="44"/>
          <w:szCs w:val="22"/>
        </w:rPr>
      </w:pPr>
      <w:r>
        <w:rPr>
          <w:rFonts w:eastAsia="黑体"/>
          <w:sz w:val="44"/>
          <w:szCs w:val="22"/>
        </w:rPr>
        <w:t>第</w:t>
      </w:r>
      <w:r>
        <w:rPr>
          <w:rFonts w:hint="eastAsia" w:ascii="宋体" w:hAnsi="宋体" w:cs="宋体"/>
          <w:b/>
          <w:sz w:val="44"/>
          <w:szCs w:val="22"/>
        </w:rPr>
        <w:t>Ⅱ</w:t>
      </w:r>
      <w:r>
        <w:rPr>
          <w:rFonts w:eastAsia="黑体"/>
          <w:sz w:val="44"/>
          <w:szCs w:val="22"/>
        </w:rPr>
        <w:t>卷  技术条款</w:t>
      </w:r>
    </w:p>
    <w:p>
      <w:pPr>
        <w:snapToGrid w:val="0"/>
        <w:spacing w:line="360" w:lineRule="auto"/>
        <w:rPr>
          <w:b/>
          <w:sz w:val="44"/>
          <w:szCs w:val="22"/>
        </w:rPr>
      </w:pPr>
    </w:p>
    <w:p>
      <w:pPr>
        <w:jc w:val="center"/>
        <w:rPr>
          <w:rFonts w:eastAsia="黑体"/>
          <w:b/>
          <w:sz w:val="44"/>
          <w:szCs w:val="44"/>
        </w:rPr>
      </w:pPr>
      <w:r>
        <w:rPr>
          <w:rFonts w:eastAsia="黑体"/>
          <w:sz w:val="32"/>
          <w:szCs w:val="22"/>
        </w:rPr>
        <w:t>招标编号</w:t>
      </w:r>
      <w:r>
        <w:rPr>
          <w:rFonts w:eastAsia="黑体"/>
          <w:sz w:val="44"/>
          <w:szCs w:val="44"/>
        </w:rPr>
        <w:t>：</w:t>
      </w:r>
    </w:p>
    <w:p>
      <w:pPr>
        <w:ind w:firstLine="883" w:firstLineChars="200"/>
        <w:rPr>
          <w:rFonts w:eastAsia="黑体"/>
          <w:b/>
          <w:sz w:val="36"/>
          <w:szCs w:val="36"/>
        </w:rPr>
      </w:pPr>
      <w:r>
        <w:rPr>
          <w:rFonts w:eastAsia="黑体"/>
          <w:b/>
          <w:sz w:val="44"/>
          <w:szCs w:val="44"/>
        </w:rPr>
        <w:t xml:space="preserve">   </w:t>
      </w:r>
    </w:p>
    <w:p>
      <w:pPr>
        <w:spacing w:line="500" w:lineRule="atLeast"/>
        <w:rPr>
          <w:sz w:val="36"/>
          <w:szCs w:val="36"/>
        </w:rPr>
      </w:pPr>
    </w:p>
    <w:p>
      <w:pPr>
        <w:spacing w:line="500" w:lineRule="atLeast"/>
        <w:ind w:firstLine="1440" w:firstLineChars="400"/>
        <w:rPr>
          <w:sz w:val="36"/>
          <w:szCs w:val="36"/>
        </w:rPr>
      </w:pPr>
    </w:p>
    <w:p>
      <w:pPr>
        <w:spacing w:line="500" w:lineRule="atLeast"/>
        <w:ind w:firstLine="1440" w:firstLineChars="400"/>
        <w:rPr>
          <w:sz w:val="36"/>
          <w:szCs w:val="36"/>
        </w:rPr>
      </w:pPr>
    </w:p>
    <w:p>
      <w:pPr>
        <w:spacing w:line="560" w:lineRule="atLeast"/>
        <w:jc w:val="center"/>
        <w:rPr>
          <w:rFonts w:eastAsia="黑体"/>
          <w:sz w:val="36"/>
          <w:szCs w:val="36"/>
        </w:rPr>
      </w:pPr>
      <w:r>
        <w:rPr>
          <w:rFonts w:hint="eastAsia" w:eastAsia="黑体"/>
          <w:sz w:val="36"/>
          <w:szCs w:val="36"/>
        </w:rPr>
        <w:t xml:space="preserve">  </w:t>
      </w:r>
    </w:p>
    <w:p>
      <w:pPr>
        <w:spacing w:line="560" w:lineRule="atLeast"/>
        <w:jc w:val="center"/>
        <w:rPr>
          <w:rFonts w:eastAsia="黑体"/>
          <w:sz w:val="36"/>
          <w:szCs w:val="36"/>
        </w:rPr>
      </w:pPr>
      <w:r>
        <w:rPr>
          <w:rFonts w:eastAsia="黑体"/>
          <w:sz w:val="36"/>
          <w:szCs w:val="36"/>
        </w:rPr>
        <w:t xml:space="preserve">  </w:t>
      </w:r>
    </w:p>
    <w:p>
      <w:pPr>
        <w:spacing w:line="560" w:lineRule="atLeast"/>
        <w:jc w:val="center"/>
        <w:rPr>
          <w:rFonts w:eastAsia="黑体"/>
          <w:sz w:val="36"/>
          <w:szCs w:val="36"/>
        </w:rPr>
      </w:pPr>
      <w:r>
        <w:rPr>
          <w:rFonts w:eastAsia="黑体"/>
          <w:sz w:val="36"/>
          <w:szCs w:val="36"/>
        </w:rPr>
        <w:t xml:space="preserve">  </w:t>
      </w:r>
    </w:p>
    <w:p>
      <w:pPr>
        <w:spacing w:line="560" w:lineRule="atLeast"/>
        <w:jc w:val="center"/>
        <w:rPr>
          <w:rFonts w:eastAsia="黑体"/>
          <w:sz w:val="36"/>
          <w:szCs w:val="36"/>
        </w:rPr>
      </w:pPr>
      <w:r>
        <w:rPr>
          <w:rFonts w:eastAsia="黑体"/>
          <w:sz w:val="36"/>
          <w:szCs w:val="36"/>
        </w:rPr>
        <w:t xml:space="preserve">  </w:t>
      </w:r>
    </w:p>
    <w:p>
      <w:pPr>
        <w:spacing w:line="560" w:lineRule="atLeast"/>
        <w:jc w:val="center"/>
        <w:rPr>
          <w:rFonts w:eastAsia="黑体"/>
          <w:sz w:val="36"/>
          <w:szCs w:val="36"/>
        </w:rPr>
      </w:pPr>
      <w:r>
        <w:rPr>
          <w:rFonts w:eastAsia="黑体"/>
          <w:sz w:val="36"/>
          <w:szCs w:val="36"/>
        </w:rPr>
        <w:t xml:space="preserve">  </w:t>
      </w:r>
    </w:p>
    <w:p>
      <w:pPr>
        <w:spacing w:line="360" w:lineRule="auto"/>
        <w:ind w:firstLine="1440" w:firstLineChars="400"/>
        <w:rPr>
          <w:rFonts w:eastAsia="黑体"/>
          <w:sz w:val="32"/>
          <w:szCs w:val="32"/>
        </w:rPr>
      </w:pPr>
      <w:r>
        <w:rPr>
          <w:rFonts w:eastAsia="黑体"/>
          <w:sz w:val="36"/>
          <w:szCs w:val="36"/>
        </w:rPr>
        <w:t xml:space="preserve">  </w:t>
      </w:r>
      <w:r>
        <w:rPr>
          <w:rFonts w:eastAsia="黑体"/>
          <w:sz w:val="32"/>
          <w:szCs w:val="32"/>
        </w:rPr>
        <w:t>招标人：广东粤海</w:t>
      </w:r>
      <w:r>
        <w:rPr>
          <w:rFonts w:hint="eastAsia" w:eastAsia="黑体"/>
          <w:sz w:val="32"/>
          <w:szCs w:val="32"/>
        </w:rPr>
        <w:t>粤东</w:t>
      </w:r>
      <w:r>
        <w:rPr>
          <w:rFonts w:eastAsia="黑体"/>
          <w:sz w:val="32"/>
          <w:szCs w:val="32"/>
        </w:rPr>
        <w:t>供水有限公司</w:t>
      </w:r>
    </w:p>
    <w:p>
      <w:pPr>
        <w:spacing w:line="360" w:lineRule="auto"/>
        <w:ind w:firstLine="1280" w:firstLineChars="400"/>
        <w:rPr>
          <w:rFonts w:eastAsia="黑体"/>
          <w:sz w:val="32"/>
          <w:szCs w:val="32"/>
        </w:rPr>
      </w:pPr>
      <w:r>
        <w:rPr>
          <w:rFonts w:eastAsia="黑体"/>
          <w:sz w:val="32"/>
          <w:szCs w:val="32"/>
        </w:rPr>
        <w:t>编制人：广东省水利电力勘测设计研究院有限公司</w:t>
      </w:r>
    </w:p>
    <w:p>
      <w:pPr>
        <w:spacing w:line="360" w:lineRule="auto"/>
        <w:jc w:val="center"/>
        <w:rPr>
          <w:rFonts w:eastAsia="黑体"/>
          <w:sz w:val="32"/>
          <w:szCs w:val="32"/>
        </w:rPr>
      </w:pPr>
      <w:r>
        <w:rPr>
          <w:rFonts w:eastAsia="黑体"/>
          <w:b/>
          <w:sz w:val="32"/>
          <w:szCs w:val="32"/>
        </w:rPr>
        <w:t>2022</w:t>
      </w:r>
      <w:r>
        <w:rPr>
          <w:rFonts w:eastAsia="黑体"/>
          <w:sz w:val="32"/>
          <w:szCs w:val="32"/>
        </w:rPr>
        <w:t>年11月</w:t>
      </w:r>
    </w:p>
    <w:p>
      <w:pPr>
        <w:spacing w:line="500" w:lineRule="atLeast"/>
        <w:jc w:val="center"/>
        <w:rPr>
          <w:sz w:val="52"/>
          <w:szCs w:val="52"/>
        </w:rPr>
        <w:sectPr>
          <w:footerReference r:id="rId5" w:type="first"/>
          <w:footerReference r:id="rId3" w:type="default"/>
          <w:footerReference r:id="rId4" w:type="even"/>
          <w:pgSz w:w="11906" w:h="16838"/>
          <w:pgMar w:top="1440" w:right="1758" w:bottom="1440" w:left="1758" w:header="851" w:footer="992" w:gutter="0"/>
          <w:pgNumType w:start="1"/>
          <w:cols w:space="720" w:num="1"/>
          <w:docGrid w:linePitch="326" w:charSpace="0"/>
        </w:sectPr>
      </w:pPr>
    </w:p>
    <w:p>
      <w:pPr>
        <w:spacing w:line="560" w:lineRule="atLeast"/>
        <w:jc w:val="center"/>
        <w:rPr>
          <w:rFonts w:eastAsia="黑体"/>
          <w:sz w:val="36"/>
          <w:szCs w:val="36"/>
        </w:rPr>
      </w:pPr>
    </w:p>
    <w:p>
      <w:pPr>
        <w:snapToGrid w:val="0"/>
        <w:spacing w:before="120" w:beforeLines="50" w:after="120" w:afterLines="50" w:line="440" w:lineRule="atLeast"/>
        <w:jc w:val="center"/>
        <w:rPr>
          <w:rFonts w:eastAsia="黑体"/>
          <w:sz w:val="36"/>
          <w:szCs w:val="36"/>
        </w:rPr>
      </w:pPr>
      <w:r>
        <w:rPr>
          <w:rFonts w:eastAsia="黑体"/>
          <w:sz w:val="36"/>
          <w:szCs w:val="36"/>
        </w:rPr>
        <w:t>目  录</w:t>
      </w:r>
    </w:p>
    <w:p>
      <w:pPr>
        <w:pStyle w:val="59"/>
        <w:spacing w:before="0" w:after="0"/>
        <w:rPr>
          <w:rFonts w:ascii="Times New Roman" w:hAnsi="Times New Roman" w:cs="Times New Roman" w:eastAsiaTheme="minorEastAsia"/>
          <w:b w:val="0"/>
          <w:bCs w:val="0"/>
          <w:sz w:val="24"/>
          <w:szCs w:val="24"/>
        </w:rPr>
      </w:pPr>
      <w:r>
        <w:rPr>
          <w:rFonts w:ascii="Times New Roman" w:hAnsi="Times New Roman" w:cs="Times New Roman"/>
          <w:b w:val="0"/>
          <w:sz w:val="24"/>
          <w:szCs w:val="24"/>
        </w:rPr>
        <w:fldChar w:fldCharType="begin"/>
      </w:r>
      <w:r>
        <w:rPr>
          <w:rFonts w:ascii="Times New Roman" w:hAnsi="Times New Roman" w:cs="Times New Roman"/>
          <w:b w:val="0"/>
          <w:sz w:val="24"/>
          <w:szCs w:val="24"/>
        </w:rPr>
        <w:instrText xml:space="preserve"> TOC \o "1-3" \h \z \u </w:instrText>
      </w:r>
      <w:r>
        <w:rPr>
          <w:rFonts w:ascii="Times New Roman" w:hAnsi="Times New Roman" w:cs="Times New Roman"/>
          <w:b w:val="0"/>
          <w:sz w:val="24"/>
          <w:szCs w:val="24"/>
        </w:rPr>
        <w:fldChar w:fldCharType="separate"/>
      </w:r>
      <w:r>
        <w:fldChar w:fldCharType="begin"/>
      </w:r>
      <w:r>
        <w:instrText xml:space="preserve"> HYPERLINK \l "_Toc118821408" </w:instrText>
      </w:r>
      <w:r>
        <w:fldChar w:fldCharType="separate"/>
      </w:r>
      <w:r>
        <w:rPr>
          <w:rStyle w:val="103"/>
          <w:rFonts w:ascii="Times New Roman" w:hAnsi="Times New Roman" w:cs="Times New Roman" w:eastAsiaTheme="minorEastAsia"/>
          <w:sz w:val="24"/>
          <w:szCs w:val="24"/>
        </w:rPr>
        <w:t>第一章  一般规定</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_Toc118821408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6</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"_Toc118821409" </w:instrText>
      </w:r>
      <w:r>
        <w:fldChar w:fldCharType="separate"/>
      </w:r>
      <w:r>
        <w:rPr>
          <w:rStyle w:val="103"/>
          <w:rFonts w:ascii="Times New Roman" w:hAnsi="Times New Roman" w:cs="Times New Roman" w:eastAsiaTheme="minorEastAsia"/>
          <w:szCs w:val="24"/>
        </w:rPr>
        <w:t>1.1  说明</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_Toc118821409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"_Toc118821410" </w:instrText>
      </w:r>
      <w:r>
        <w:fldChar w:fldCharType="separate"/>
      </w:r>
      <w:r>
        <w:rPr>
          <w:rStyle w:val="103"/>
          <w:rFonts w:ascii="Times New Roman" w:hAnsi="Times New Roman" w:cs="Times New Roman" w:eastAsiaTheme="minorEastAsia"/>
          <w:szCs w:val="24"/>
        </w:rPr>
        <w:t>1.1.1  工程概况</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_Toc118821410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"_Toc118821411" </w:instrText>
      </w:r>
      <w:r>
        <w:fldChar w:fldCharType="separate"/>
      </w:r>
      <w:r>
        <w:rPr>
          <w:rStyle w:val="103"/>
          <w:rFonts w:ascii="Times New Roman" w:hAnsi="Times New Roman" w:cs="Times New Roman" w:eastAsiaTheme="minorEastAsia"/>
          <w:szCs w:val="24"/>
        </w:rPr>
        <w:t>1.1.2  水文气象和工程地质</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_Toc118821411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"_Toc118821412" </w:instrText>
      </w:r>
      <w:r>
        <w:fldChar w:fldCharType="separate"/>
      </w:r>
      <w:r>
        <w:rPr>
          <w:rStyle w:val="103"/>
          <w:rFonts w:ascii="Times New Roman" w:hAnsi="Times New Roman" w:cs="Times New Roman" w:eastAsiaTheme="minorEastAsia"/>
          <w:szCs w:val="24"/>
        </w:rPr>
        <w:t>1.1.3  施工条件</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_Toc118821412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20</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"_Toc118821413" </w:instrText>
      </w:r>
      <w:r>
        <w:fldChar w:fldCharType="separate"/>
      </w:r>
      <w:r>
        <w:rPr>
          <w:rStyle w:val="103"/>
          <w:rFonts w:ascii="Times New Roman" w:hAnsi="Times New Roman" w:cs="Times New Roman" w:eastAsiaTheme="minorEastAsia"/>
          <w:szCs w:val="24"/>
        </w:rPr>
        <w:t>1.1.4  主要建筑材料来源、水电供应条件</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_Toc118821413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20</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"_Toc118821414" </w:instrText>
      </w:r>
      <w:r>
        <w:fldChar w:fldCharType="separate"/>
      </w:r>
      <w:r>
        <w:rPr>
          <w:rStyle w:val="103"/>
          <w:rFonts w:ascii="Times New Roman" w:hAnsi="Times New Roman" w:cs="Times New Roman" w:eastAsiaTheme="minorEastAsia"/>
          <w:szCs w:val="24"/>
        </w:rPr>
        <w:t>1.1.5  控制性进度要求</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_Toc118821414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20</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"_Toc118821415" </w:instrText>
      </w:r>
      <w:r>
        <w:fldChar w:fldCharType="separate"/>
      </w:r>
      <w:r>
        <w:rPr>
          <w:rStyle w:val="103"/>
          <w:rFonts w:ascii="Times New Roman" w:hAnsi="Times New Roman" w:cs="Times New Roman" w:eastAsiaTheme="minorEastAsia"/>
          <w:szCs w:val="24"/>
        </w:rPr>
        <w:t>1.2  主要技术规程规范</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_Toc118821415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21</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"_Toc118821416" </w:instrText>
      </w:r>
      <w:r>
        <w:fldChar w:fldCharType="separate"/>
      </w:r>
      <w:r>
        <w:rPr>
          <w:rStyle w:val="103"/>
          <w:rFonts w:ascii="Times New Roman" w:hAnsi="Times New Roman" w:cs="Times New Roman" w:eastAsiaTheme="minorEastAsia"/>
          <w:szCs w:val="24"/>
        </w:rPr>
        <w:t>1.3  安全监测布置</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_Toc118821416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22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"_Toc118821417" </w:instrText>
      </w:r>
      <w:r>
        <w:fldChar w:fldCharType="separate"/>
      </w:r>
      <w:r>
        <w:rPr>
          <w:rStyle w:val="103"/>
          <w:rFonts w:ascii="Times New Roman" w:hAnsi="Times New Roman" w:cs="Times New Roman" w:eastAsiaTheme="minorEastAsia"/>
          <w:szCs w:val="24"/>
        </w:rPr>
        <w:t>1.3.1  盾构隧洞</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_Toc118821417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22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"_Toc118821418" </w:instrText>
      </w:r>
      <w:r>
        <w:fldChar w:fldCharType="separate"/>
      </w:r>
      <w:r>
        <w:rPr>
          <w:rStyle w:val="103"/>
          <w:rFonts w:ascii="Times New Roman" w:hAnsi="Times New Roman" w:cs="Times New Roman" w:eastAsiaTheme="minorEastAsia"/>
          <w:szCs w:val="24"/>
        </w:rPr>
        <w:t>1.3.2  钻爆隧洞</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_Toc118821418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25</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"_Toc118821419" </w:instrText>
      </w:r>
      <w:r>
        <w:fldChar w:fldCharType="separate"/>
      </w:r>
      <w:r>
        <w:rPr>
          <w:rStyle w:val="103"/>
          <w:rFonts w:ascii="Times New Roman" w:hAnsi="Times New Roman" w:cs="Times New Roman" w:eastAsiaTheme="minorEastAsia"/>
          <w:szCs w:val="24"/>
        </w:rPr>
        <w:t>1.3.3  输水沿线</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_Toc118821419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27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"_Toc118821420" </w:instrText>
      </w:r>
      <w:r>
        <w:fldChar w:fldCharType="separate"/>
      </w:r>
      <w:r>
        <w:rPr>
          <w:rStyle w:val="103"/>
          <w:rFonts w:ascii="Times New Roman" w:hAnsi="Times New Roman" w:cs="Times New Roman" w:eastAsiaTheme="minorEastAsia"/>
          <w:szCs w:val="24"/>
        </w:rPr>
        <w:t>1.3.4  岭后竖井</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_Toc118821420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27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"_Toc118821421" </w:instrText>
      </w:r>
      <w:r>
        <w:fldChar w:fldCharType="separate"/>
      </w:r>
      <w:r>
        <w:rPr>
          <w:rStyle w:val="103"/>
          <w:rFonts w:ascii="Times New Roman" w:hAnsi="Times New Roman" w:cs="Times New Roman" w:eastAsiaTheme="minorEastAsia"/>
          <w:szCs w:val="24"/>
        </w:rPr>
        <w:t>1.3.5  古巷控制闸</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_Toc118821421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28</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"_Toc118821422" </w:instrText>
      </w:r>
      <w:r>
        <w:fldChar w:fldCharType="separate"/>
      </w:r>
      <w:r>
        <w:rPr>
          <w:rStyle w:val="103"/>
          <w:rFonts w:ascii="Times New Roman" w:hAnsi="Times New Roman" w:cs="Times New Roman" w:eastAsiaTheme="minorEastAsia"/>
          <w:szCs w:val="24"/>
        </w:rPr>
        <w:t>1.3.6  事故闸</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_Toc118821422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29</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"_Toc118821423" </w:instrText>
      </w:r>
      <w:r>
        <w:fldChar w:fldCharType="separate"/>
      </w:r>
      <w:r>
        <w:rPr>
          <w:rStyle w:val="103"/>
          <w:rFonts w:ascii="Times New Roman" w:hAnsi="Times New Roman" w:cs="Times New Roman" w:eastAsiaTheme="minorEastAsia"/>
          <w:szCs w:val="24"/>
        </w:rPr>
        <w:t>1.3.7  厂区边坡</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_Toc118821423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30</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"_Toc118821424" </w:instrText>
      </w:r>
      <w:r>
        <w:fldChar w:fldCharType="separate"/>
      </w:r>
      <w:r>
        <w:rPr>
          <w:rStyle w:val="103"/>
          <w:rFonts w:ascii="Times New Roman" w:hAnsi="Times New Roman" w:cs="Times New Roman" w:eastAsiaTheme="minorEastAsia"/>
          <w:szCs w:val="24"/>
        </w:rPr>
        <w:t>1.3.8  检修支洞边坡</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_Toc118821424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31</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"_Toc118821425" </w:instrText>
      </w:r>
      <w:r>
        <w:fldChar w:fldCharType="separate"/>
      </w:r>
      <w:r>
        <w:rPr>
          <w:rStyle w:val="103"/>
          <w:rFonts w:ascii="Times New Roman" w:hAnsi="Times New Roman" w:cs="Times New Roman" w:eastAsiaTheme="minorEastAsia"/>
          <w:szCs w:val="24"/>
        </w:rPr>
        <w:t>1.3.9  施工期临时监测</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_Toc118821425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31</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"_Toc118821426" </w:instrText>
      </w:r>
      <w:r>
        <w:fldChar w:fldCharType="separate"/>
      </w:r>
      <w:r>
        <w:rPr>
          <w:rStyle w:val="103"/>
          <w:rFonts w:ascii="Times New Roman" w:hAnsi="Times New Roman" w:cs="Times New Roman" w:eastAsiaTheme="minorEastAsia"/>
          <w:szCs w:val="24"/>
        </w:rPr>
        <w:t>1.3.10 隧洞施工地面建（构）筑物</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_Toc118821426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34</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"_Toc118821427" </w:instrText>
      </w:r>
      <w:r>
        <w:fldChar w:fldCharType="separate"/>
      </w:r>
      <w:r>
        <w:rPr>
          <w:rStyle w:val="103"/>
          <w:rFonts w:ascii="Times New Roman" w:hAnsi="Times New Roman" w:cs="Times New Roman" w:eastAsiaTheme="minorEastAsia"/>
          <w:szCs w:val="24"/>
        </w:rPr>
        <w:t>1.3.11  现场检查</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_Toc118821427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36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"_Toc118821428" </w:instrText>
      </w:r>
      <w:r>
        <w:fldChar w:fldCharType="separate"/>
      </w:r>
      <w:r>
        <w:rPr>
          <w:rStyle w:val="103"/>
          <w:rFonts w:ascii="Times New Roman" w:hAnsi="Times New Roman" w:cs="Times New Roman" w:eastAsiaTheme="minorEastAsia"/>
          <w:szCs w:val="24"/>
        </w:rPr>
        <w:t>1.3.12  安全监测自动化采集系统</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_Toc118821428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39</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"_Toc118821429" </w:instrText>
      </w:r>
      <w:r>
        <w:fldChar w:fldCharType="separate"/>
      </w:r>
      <w:r>
        <w:rPr>
          <w:rStyle w:val="103"/>
          <w:rFonts w:ascii="Times New Roman" w:hAnsi="Times New Roman" w:cs="Times New Roman" w:eastAsiaTheme="minorEastAsia"/>
          <w:szCs w:val="24"/>
        </w:rPr>
        <w:t>1.4  工作范围</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_Toc118821429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52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"_Toc118821430" </w:instrText>
      </w:r>
      <w:r>
        <w:fldChar w:fldCharType="separate"/>
      </w:r>
      <w:r>
        <w:rPr>
          <w:rStyle w:val="103"/>
          <w:rFonts w:ascii="Times New Roman" w:hAnsi="Times New Roman" w:cs="Times New Roman" w:eastAsiaTheme="minorEastAsia"/>
          <w:szCs w:val="24"/>
        </w:rPr>
        <w:t>1.5  承包人责任</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_Toc118821430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53</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"_Toc118821431" </w:instrText>
      </w:r>
      <w:r>
        <w:fldChar w:fldCharType="separate"/>
      </w:r>
      <w:r>
        <w:rPr>
          <w:rStyle w:val="103"/>
          <w:rFonts w:ascii="Times New Roman" w:hAnsi="Times New Roman" w:cs="Times New Roman" w:eastAsiaTheme="minorEastAsia"/>
          <w:szCs w:val="24"/>
        </w:rPr>
        <w:t>1.6  承包人主要提交件</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_Toc118821431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56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"_Toc118821432" </w:instrText>
      </w:r>
      <w:r>
        <w:fldChar w:fldCharType="separate"/>
      </w:r>
      <w:r>
        <w:rPr>
          <w:rStyle w:val="103"/>
          <w:rFonts w:ascii="Times New Roman" w:hAnsi="Times New Roman" w:cs="Times New Roman" w:eastAsiaTheme="minorEastAsia"/>
          <w:szCs w:val="24"/>
        </w:rPr>
        <w:t>1.6.1  监测仪器设备采购计划</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_Toc118821432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56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"_Toc118821433" </w:instrText>
      </w:r>
      <w:r>
        <w:fldChar w:fldCharType="separate"/>
      </w:r>
      <w:r>
        <w:rPr>
          <w:rStyle w:val="103"/>
          <w:rFonts w:ascii="Times New Roman" w:hAnsi="Times New Roman" w:cs="Times New Roman" w:eastAsiaTheme="minorEastAsia"/>
          <w:szCs w:val="24"/>
        </w:rPr>
        <w:t>1.6.2  监测仪器设备安装埋设技术措施</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_Toc118821433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56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"_Toc118821434" </w:instrText>
      </w:r>
      <w:r>
        <w:fldChar w:fldCharType="separate"/>
      </w:r>
      <w:r>
        <w:rPr>
          <w:rStyle w:val="103"/>
          <w:rFonts w:ascii="Times New Roman" w:hAnsi="Times New Roman" w:cs="Times New Roman" w:eastAsiaTheme="minorEastAsia"/>
          <w:szCs w:val="24"/>
        </w:rPr>
        <w:t>1.6.3  监测仪器设备的现场保护和维护措施计划</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_Toc118821434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57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"_Toc118821435" </w:instrText>
      </w:r>
      <w:r>
        <w:fldChar w:fldCharType="separate"/>
      </w:r>
      <w:r>
        <w:rPr>
          <w:rStyle w:val="103"/>
          <w:rFonts w:ascii="Times New Roman" w:hAnsi="Times New Roman" w:cs="Times New Roman" w:eastAsiaTheme="minorEastAsia"/>
          <w:szCs w:val="24"/>
        </w:rPr>
        <w:t>1.6.4  与其他标段相关的土建工程施工计划</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_Toc118821435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57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"_Toc118821436" </w:instrText>
      </w:r>
      <w:r>
        <w:fldChar w:fldCharType="separate"/>
      </w:r>
      <w:r>
        <w:rPr>
          <w:rStyle w:val="103"/>
          <w:rFonts w:ascii="Times New Roman" w:hAnsi="Times New Roman" w:cs="Times New Roman" w:eastAsiaTheme="minorEastAsia"/>
          <w:szCs w:val="24"/>
        </w:rPr>
        <w:t>1.6.5  本标段范围内的土建工程施工措施计划</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_Toc118821436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57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"_Toc118821437" </w:instrText>
      </w:r>
      <w:r>
        <w:fldChar w:fldCharType="separate"/>
      </w:r>
      <w:r>
        <w:rPr>
          <w:rStyle w:val="103"/>
          <w:rFonts w:ascii="Times New Roman" w:hAnsi="Times New Roman" w:cs="Times New Roman" w:eastAsiaTheme="minorEastAsia"/>
          <w:szCs w:val="24"/>
        </w:rPr>
        <w:t>1.6.6  放样剖面资料</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_Toc118821437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58</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"_Toc118821438" </w:instrText>
      </w:r>
      <w:r>
        <w:fldChar w:fldCharType="separate"/>
      </w:r>
      <w:r>
        <w:rPr>
          <w:rStyle w:val="103"/>
          <w:rFonts w:ascii="Times New Roman" w:hAnsi="Times New Roman" w:cs="Times New Roman" w:eastAsiaTheme="minorEastAsia"/>
          <w:szCs w:val="24"/>
        </w:rPr>
        <w:t>1.6.7  安装埋设记录和质量检查报表</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_Toc118821438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58</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"_Toc118821439" </w:instrText>
      </w:r>
      <w:r>
        <w:fldChar w:fldCharType="separate"/>
      </w:r>
      <w:r>
        <w:rPr>
          <w:rStyle w:val="103"/>
          <w:rFonts w:ascii="Times New Roman" w:hAnsi="Times New Roman" w:cs="Times New Roman" w:eastAsiaTheme="minorEastAsia"/>
          <w:szCs w:val="24"/>
        </w:rPr>
        <w:t>1.6.8  合同期监测规程</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_Toc118821439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58</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"_Toc118821440" </w:instrText>
      </w:r>
      <w:r>
        <w:fldChar w:fldCharType="separate"/>
      </w:r>
      <w:r>
        <w:rPr>
          <w:rStyle w:val="103"/>
          <w:rFonts w:ascii="Times New Roman" w:hAnsi="Times New Roman" w:cs="Times New Roman" w:eastAsiaTheme="minorEastAsia"/>
          <w:szCs w:val="24"/>
        </w:rPr>
        <w:t>1.6.9  合同期监测资料和监测成果分析报告</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_Toc118821440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59</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"_Toc118821441" </w:instrText>
      </w:r>
      <w:r>
        <w:fldChar w:fldCharType="separate"/>
      </w:r>
      <w:r>
        <w:rPr>
          <w:rStyle w:val="103"/>
          <w:rFonts w:ascii="Times New Roman" w:hAnsi="Times New Roman" w:cs="Times New Roman" w:eastAsiaTheme="minorEastAsia"/>
          <w:szCs w:val="24"/>
        </w:rPr>
        <w:t>1.6.10  监测自动化接入计划</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_Toc118821441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59</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"_Toc118821442" </w:instrText>
      </w:r>
      <w:r>
        <w:fldChar w:fldCharType="separate"/>
      </w:r>
      <w:r>
        <w:rPr>
          <w:rStyle w:val="103"/>
          <w:rFonts w:ascii="Times New Roman" w:hAnsi="Times New Roman" w:cs="Times New Roman" w:eastAsiaTheme="minorEastAsia"/>
          <w:szCs w:val="24"/>
        </w:rPr>
        <w:t>1.6.11  完工验收资料</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_Toc118821442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59</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"_Toc118821443" </w:instrText>
      </w:r>
      <w:r>
        <w:fldChar w:fldCharType="separate"/>
      </w:r>
      <w:r>
        <w:rPr>
          <w:rStyle w:val="103"/>
          <w:rFonts w:ascii="Times New Roman" w:hAnsi="Times New Roman" w:cs="Times New Roman" w:eastAsiaTheme="minorEastAsia"/>
          <w:szCs w:val="24"/>
        </w:rPr>
        <w:t>1.7  发包人提供的图纸</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_Toc118821443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60</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"_Toc118821444" </w:instrText>
      </w:r>
      <w:r>
        <w:fldChar w:fldCharType="separate"/>
      </w:r>
      <w:r>
        <w:rPr>
          <w:rStyle w:val="103"/>
          <w:rFonts w:ascii="Times New Roman" w:hAnsi="Times New Roman" w:cs="Times New Roman" w:eastAsiaTheme="minorEastAsia"/>
          <w:szCs w:val="24"/>
        </w:rPr>
        <w:t>1.7.1  施工图纸的提供</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_Toc118821444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60</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"_Toc118821445" </w:instrText>
      </w:r>
      <w:r>
        <w:fldChar w:fldCharType="separate"/>
      </w:r>
      <w:r>
        <w:rPr>
          <w:rStyle w:val="103"/>
          <w:rFonts w:ascii="Times New Roman" w:hAnsi="Times New Roman" w:cs="Times New Roman" w:eastAsiaTheme="minorEastAsia"/>
          <w:szCs w:val="24"/>
        </w:rPr>
        <w:t>1.7.2  设计修改</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_Toc118821445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60</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"_Toc118821446" </w:instrText>
      </w:r>
      <w:r>
        <w:fldChar w:fldCharType="separate"/>
      </w:r>
      <w:r>
        <w:rPr>
          <w:rStyle w:val="103"/>
          <w:rFonts w:ascii="Times New Roman" w:hAnsi="Times New Roman" w:cs="Times New Roman" w:eastAsiaTheme="minorEastAsia"/>
          <w:szCs w:val="24"/>
        </w:rPr>
        <w:t>1.7.3  发包人提供的其他图纸文件</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_Toc118821446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61</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"_Toc118821447" </w:instrText>
      </w:r>
      <w:r>
        <w:fldChar w:fldCharType="separate"/>
      </w:r>
      <w:r>
        <w:rPr>
          <w:rStyle w:val="103"/>
          <w:rFonts w:ascii="Times New Roman" w:hAnsi="Times New Roman" w:cs="Times New Roman" w:eastAsiaTheme="minorEastAsia"/>
          <w:szCs w:val="24"/>
        </w:rPr>
        <w:t>1.8  承包人提交的图纸、文件及相关资料</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_Toc118821447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61</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"_Toc118821448" </w:instrText>
      </w:r>
      <w:r>
        <w:fldChar w:fldCharType="separate"/>
      </w:r>
      <w:r>
        <w:rPr>
          <w:rStyle w:val="103"/>
          <w:rFonts w:ascii="Times New Roman" w:hAnsi="Times New Roman" w:cs="Times New Roman" w:eastAsiaTheme="minorEastAsia"/>
          <w:szCs w:val="24"/>
        </w:rPr>
        <w:t>1.8.1  图纸和文件的提交计划</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_Toc118821448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61</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"_Toc118821449" </w:instrText>
      </w:r>
      <w:r>
        <w:fldChar w:fldCharType="separate"/>
      </w:r>
      <w:r>
        <w:rPr>
          <w:rStyle w:val="103"/>
          <w:rFonts w:ascii="Times New Roman" w:hAnsi="Times New Roman" w:cs="Times New Roman" w:eastAsiaTheme="minorEastAsia"/>
          <w:szCs w:val="24"/>
        </w:rPr>
        <w:t>1.8.2  施工总进度计划</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_Toc118821449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61</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"_Toc118821450" </w:instrText>
      </w:r>
      <w:r>
        <w:fldChar w:fldCharType="separate"/>
      </w:r>
      <w:r>
        <w:rPr>
          <w:rStyle w:val="103"/>
          <w:rFonts w:ascii="Times New Roman" w:hAnsi="Times New Roman" w:cs="Times New Roman" w:eastAsiaTheme="minorEastAsia"/>
          <w:szCs w:val="24"/>
        </w:rPr>
        <w:t>1.8.3  施工方法和措施</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_Toc118821450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"_Toc118821451" </w:instrText>
      </w:r>
      <w:r>
        <w:fldChar w:fldCharType="separate"/>
      </w:r>
      <w:r>
        <w:rPr>
          <w:rStyle w:val="103"/>
          <w:rFonts w:ascii="Times New Roman" w:hAnsi="Times New Roman" w:cs="Times New Roman" w:eastAsiaTheme="minorEastAsia"/>
          <w:szCs w:val="24"/>
        </w:rPr>
        <w:t>1.8.4  施工图纸</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_Toc118821451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"_Toc118821452" </w:instrText>
      </w:r>
      <w:r>
        <w:fldChar w:fldCharType="separate"/>
      </w:r>
      <w:r>
        <w:rPr>
          <w:rStyle w:val="103"/>
          <w:rFonts w:ascii="Times New Roman" w:hAnsi="Times New Roman" w:cs="Times New Roman" w:eastAsiaTheme="minorEastAsia"/>
          <w:szCs w:val="24"/>
        </w:rPr>
        <w:t>1.8.5  图纸和文件的审批</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_Toc118821452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"_Toc118821453" </w:instrText>
      </w:r>
      <w:r>
        <w:fldChar w:fldCharType="separate"/>
      </w:r>
      <w:r>
        <w:rPr>
          <w:rStyle w:val="103"/>
          <w:rFonts w:ascii="Times New Roman" w:hAnsi="Times New Roman" w:cs="Times New Roman" w:eastAsiaTheme="minorEastAsia"/>
          <w:szCs w:val="24"/>
        </w:rPr>
        <w:t>1.9  进度计划的实施</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_Toc118821453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63</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"_Toc118821454" </w:instrText>
      </w:r>
      <w:r>
        <w:fldChar w:fldCharType="separate"/>
      </w:r>
      <w:r>
        <w:rPr>
          <w:rStyle w:val="103"/>
          <w:rFonts w:ascii="Times New Roman" w:hAnsi="Times New Roman" w:cs="Times New Roman" w:eastAsiaTheme="minorEastAsia"/>
          <w:szCs w:val="24"/>
        </w:rPr>
        <w:t>1.9.1  月、年进度计划</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_Toc118821454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63</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"_Toc118821455" </w:instrText>
      </w:r>
      <w:r>
        <w:fldChar w:fldCharType="separate"/>
      </w:r>
      <w:r>
        <w:rPr>
          <w:rStyle w:val="103"/>
          <w:rFonts w:ascii="Times New Roman" w:hAnsi="Times New Roman" w:cs="Times New Roman" w:eastAsiaTheme="minorEastAsia"/>
          <w:szCs w:val="24"/>
        </w:rPr>
        <w:t>1.9.2  月进度报告</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_Toc118821455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63</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"_Toc118821456" </w:instrText>
      </w:r>
      <w:r>
        <w:fldChar w:fldCharType="separate"/>
      </w:r>
      <w:r>
        <w:rPr>
          <w:rStyle w:val="103"/>
          <w:rFonts w:ascii="Times New Roman" w:hAnsi="Times New Roman" w:cs="Times New Roman" w:eastAsiaTheme="minorEastAsia"/>
          <w:szCs w:val="24"/>
        </w:rPr>
        <w:t>1.9.3  承包人提供的相关资料</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_Toc118821456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64</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"_Toc118821457" </w:instrText>
      </w:r>
      <w:r>
        <w:fldChar w:fldCharType="separate"/>
      </w:r>
      <w:r>
        <w:rPr>
          <w:rStyle w:val="103"/>
          <w:rFonts w:ascii="Times New Roman" w:hAnsi="Times New Roman" w:cs="Times New Roman" w:eastAsiaTheme="minorEastAsia"/>
          <w:szCs w:val="24"/>
        </w:rPr>
        <w:t>1.10  工程质量的检查和检验</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_Toc118821457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64</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"_Toc118821458" </w:instrText>
      </w:r>
      <w:r>
        <w:fldChar w:fldCharType="separate"/>
      </w:r>
      <w:r>
        <w:rPr>
          <w:rStyle w:val="103"/>
          <w:rFonts w:ascii="Times New Roman" w:hAnsi="Times New Roman" w:cs="Times New Roman" w:eastAsiaTheme="minorEastAsia"/>
          <w:szCs w:val="24"/>
        </w:rPr>
        <w:t>1.10.1  承包人的质量自检</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_Toc118821458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64</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"_Toc118821459" </w:instrText>
      </w:r>
      <w:r>
        <w:fldChar w:fldCharType="separate"/>
      </w:r>
      <w:r>
        <w:rPr>
          <w:rStyle w:val="103"/>
          <w:rFonts w:ascii="Times New Roman" w:hAnsi="Times New Roman" w:cs="Times New Roman" w:eastAsiaTheme="minorEastAsia"/>
          <w:szCs w:val="24"/>
        </w:rPr>
        <w:t>1.10.2  监理人的质量检查</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_Toc118821459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65</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"_Toc118821460" </w:instrText>
      </w:r>
      <w:r>
        <w:fldChar w:fldCharType="separate"/>
      </w:r>
      <w:r>
        <w:rPr>
          <w:rStyle w:val="103"/>
          <w:rFonts w:ascii="Times New Roman" w:hAnsi="Times New Roman" w:cs="Times New Roman" w:eastAsiaTheme="minorEastAsia"/>
          <w:szCs w:val="24"/>
        </w:rPr>
        <w:t>1.11  施工安全保护与卫生</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_Toc118821460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65</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"_Toc118821461" </w:instrText>
      </w:r>
      <w:r>
        <w:fldChar w:fldCharType="separate"/>
      </w:r>
      <w:r>
        <w:rPr>
          <w:rStyle w:val="103"/>
          <w:rFonts w:ascii="Times New Roman" w:hAnsi="Times New Roman" w:cs="Times New Roman" w:eastAsiaTheme="minorEastAsia"/>
          <w:szCs w:val="24"/>
        </w:rPr>
        <w:t>1.11.1  承包人的安全保护责任</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_Toc118821461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65</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"_Toc118821462" </w:instrText>
      </w:r>
      <w:r>
        <w:fldChar w:fldCharType="separate"/>
      </w:r>
      <w:r>
        <w:rPr>
          <w:rStyle w:val="103"/>
          <w:rFonts w:ascii="Times New Roman" w:hAnsi="Times New Roman" w:cs="Times New Roman" w:eastAsiaTheme="minorEastAsia"/>
          <w:szCs w:val="24"/>
        </w:rPr>
        <w:t>1.11.2  劳动保护</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_Toc118821462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"_Toc118821463" </w:instrText>
      </w:r>
      <w:r>
        <w:fldChar w:fldCharType="separate"/>
      </w:r>
      <w:r>
        <w:rPr>
          <w:rStyle w:val="103"/>
          <w:rFonts w:ascii="Times New Roman" w:hAnsi="Times New Roman" w:cs="Times New Roman" w:eastAsiaTheme="minorEastAsia"/>
          <w:szCs w:val="24"/>
        </w:rPr>
        <w:t>1.11.3  照明安全</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_Toc118821463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"_Toc118821464" </w:instrText>
      </w:r>
      <w:r>
        <w:fldChar w:fldCharType="separate"/>
      </w:r>
      <w:r>
        <w:rPr>
          <w:rStyle w:val="103"/>
          <w:rFonts w:ascii="Times New Roman" w:hAnsi="Times New Roman" w:cs="Times New Roman" w:eastAsiaTheme="minorEastAsia"/>
          <w:szCs w:val="24"/>
        </w:rPr>
        <w:t>1.11.4  接地及避雷装置</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_Toc118821464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"_Toc118821465" </w:instrText>
      </w:r>
      <w:r>
        <w:fldChar w:fldCharType="separate"/>
      </w:r>
      <w:r>
        <w:rPr>
          <w:rStyle w:val="103"/>
          <w:rFonts w:ascii="Times New Roman" w:hAnsi="Times New Roman" w:cs="Times New Roman" w:eastAsiaTheme="minorEastAsia"/>
          <w:szCs w:val="24"/>
        </w:rPr>
        <w:t>1.11.5  有害气体的控制</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_Toc118821465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"_Toc118821466" </w:instrText>
      </w:r>
      <w:r>
        <w:fldChar w:fldCharType="separate"/>
      </w:r>
      <w:r>
        <w:rPr>
          <w:rStyle w:val="103"/>
          <w:rFonts w:ascii="Times New Roman" w:hAnsi="Times New Roman" w:cs="Times New Roman" w:eastAsiaTheme="minorEastAsia"/>
          <w:szCs w:val="24"/>
        </w:rPr>
        <w:t>1.11.6  消防</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_Toc118821466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"_Toc118821467" </w:instrText>
      </w:r>
      <w:r>
        <w:fldChar w:fldCharType="separate"/>
      </w:r>
      <w:r>
        <w:rPr>
          <w:rStyle w:val="103"/>
          <w:rFonts w:ascii="Times New Roman" w:hAnsi="Times New Roman" w:cs="Times New Roman" w:eastAsiaTheme="minorEastAsia"/>
          <w:szCs w:val="24"/>
        </w:rPr>
        <w:t>1.11.7  洪水和气象灾害的防护</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_Toc118821467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"_Toc118821468" </w:instrText>
      </w:r>
      <w:r>
        <w:fldChar w:fldCharType="separate"/>
      </w:r>
      <w:r>
        <w:rPr>
          <w:rStyle w:val="103"/>
          <w:rFonts w:ascii="Times New Roman" w:hAnsi="Times New Roman" w:cs="Times New Roman" w:eastAsiaTheme="minorEastAsia"/>
          <w:szCs w:val="24"/>
        </w:rPr>
        <w:t>1.11.8  信号</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_Toc118821468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"_Toc118821469" </w:instrText>
      </w:r>
      <w:r>
        <w:fldChar w:fldCharType="separate"/>
      </w:r>
      <w:r>
        <w:rPr>
          <w:rStyle w:val="103"/>
          <w:rFonts w:ascii="Times New Roman" w:hAnsi="Times New Roman" w:cs="Times New Roman" w:eastAsiaTheme="minorEastAsia"/>
          <w:szCs w:val="24"/>
        </w:rPr>
        <w:t>1.11.9  安全防护手册</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_Toc118821469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"_Toc118821470" </w:instrText>
      </w:r>
      <w:r>
        <w:fldChar w:fldCharType="separate"/>
      </w:r>
      <w:r>
        <w:rPr>
          <w:rStyle w:val="103"/>
          <w:rFonts w:ascii="Times New Roman" w:hAnsi="Times New Roman" w:cs="Times New Roman" w:eastAsiaTheme="minorEastAsia"/>
          <w:szCs w:val="24"/>
        </w:rPr>
        <w:t>1.12  项目竣工</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_Toc118821470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68</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"_Toc118821471" </w:instrText>
      </w:r>
      <w:r>
        <w:fldChar w:fldCharType="separate"/>
      </w:r>
      <w:r>
        <w:rPr>
          <w:rStyle w:val="103"/>
          <w:rFonts w:ascii="Times New Roman" w:hAnsi="Times New Roman" w:cs="Times New Roman" w:eastAsiaTheme="minorEastAsia"/>
          <w:szCs w:val="24"/>
        </w:rPr>
        <w:t>1.13  现场施工测量</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_Toc118821471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69</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"_Toc118821472" </w:instrText>
      </w:r>
      <w:r>
        <w:fldChar w:fldCharType="separate"/>
      </w:r>
      <w:r>
        <w:rPr>
          <w:rStyle w:val="103"/>
          <w:rFonts w:ascii="Times New Roman" w:hAnsi="Times New Roman" w:cs="Times New Roman" w:eastAsiaTheme="minorEastAsia"/>
          <w:szCs w:val="24"/>
        </w:rPr>
        <w:t>1.13.1  测量基准</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_Toc118821472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69</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"_Toc118821473" </w:instrText>
      </w:r>
      <w:r>
        <w:fldChar w:fldCharType="separate"/>
      </w:r>
      <w:r>
        <w:rPr>
          <w:rStyle w:val="103"/>
          <w:rFonts w:ascii="Times New Roman" w:hAnsi="Times New Roman" w:cs="Times New Roman" w:eastAsiaTheme="minorEastAsia"/>
          <w:szCs w:val="24"/>
        </w:rPr>
        <w:t>1.13.2  施工测量</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_Toc118821473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69</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"_Toc118821474" </w:instrText>
      </w:r>
      <w:r>
        <w:fldChar w:fldCharType="separate"/>
      </w:r>
      <w:r>
        <w:rPr>
          <w:rStyle w:val="103"/>
          <w:rFonts w:ascii="Times New Roman" w:hAnsi="Times New Roman" w:cs="Times New Roman" w:eastAsiaTheme="minorEastAsia"/>
          <w:szCs w:val="24"/>
        </w:rPr>
        <w:t>1.14  承包人和其他标段承包人之间协调</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_Toc118821474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69</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"_Toc118821475" </w:instrText>
      </w:r>
      <w:r>
        <w:fldChar w:fldCharType="separate"/>
      </w:r>
      <w:r>
        <w:rPr>
          <w:rStyle w:val="103"/>
          <w:rFonts w:ascii="Times New Roman" w:hAnsi="Times New Roman" w:cs="Times New Roman" w:eastAsiaTheme="minorEastAsia"/>
          <w:szCs w:val="24"/>
        </w:rPr>
        <w:t>1.15  环境保护</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_Toc118821475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71</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"_Toc118821476" </w:instrText>
      </w:r>
      <w:r>
        <w:fldChar w:fldCharType="separate"/>
      </w:r>
      <w:r>
        <w:rPr>
          <w:rStyle w:val="103"/>
          <w:rFonts w:ascii="Times New Roman" w:hAnsi="Times New Roman" w:cs="Times New Roman" w:eastAsiaTheme="minorEastAsia"/>
          <w:szCs w:val="24"/>
        </w:rPr>
        <w:t>1.15.1  遵守环境保护的法律、法规和规章</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_Toc118821476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71</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"_Toc118821477" </w:instrText>
      </w:r>
      <w:r>
        <w:fldChar w:fldCharType="separate"/>
      </w:r>
      <w:r>
        <w:rPr>
          <w:rStyle w:val="103"/>
          <w:rFonts w:ascii="Times New Roman" w:hAnsi="Times New Roman" w:cs="Times New Roman" w:eastAsiaTheme="minorEastAsia"/>
          <w:szCs w:val="24"/>
        </w:rPr>
        <w:t>1.15.2  环境保护措施计划</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_Toc118821477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71</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"_Toc118821478" </w:instrText>
      </w:r>
      <w:r>
        <w:fldChar w:fldCharType="separate"/>
      </w:r>
      <w:r>
        <w:rPr>
          <w:rStyle w:val="103"/>
          <w:rFonts w:ascii="Times New Roman" w:hAnsi="Times New Roman" w:cs="Times New Roman" w:eastAsiaTheme="minorEastAsia"/>
          <w:szCs w:val="24"/>
        </w:rPr>
        <w:t>1.15.3  施工弃渣的治理</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_Toc118821478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"_Toc118821479" </w:instrText>
      </w:r>
      <w:r>
        <w:fldChar w:fldCharType="separate"/>
      </w:r>
      <w:r>
        <w:rPr>
          <w:rStyle w:val="103"/>
          <w:rFonts w:ascii="Times New Roman" w:hAnsi="Times New Roman" w:cs="Times New Roman" w:eastAsiaTheme="minorEastAsia"/>
          <w:szCs w:val="24"/>
        </w:rPr>
        <w:t>1.15.4  环境污染的治理</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_Toc118821479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"_Toc118821480" </w:instrText>
      </w:r>
      <w:r>
        <w:fldChar w:fldCharType="separate"/>
      </w:r>
      <w:r>
        <w:rPr>
          <w:rStyle w:val="103"/>
          <w:rFonts w:ascii="Times New Roman" w:hAnsi="Times New Roman" w:cs="Times New Roman" w:eastAsiaTheme="minorEastAsia"/>
          <w:szCs w:val="24"/>
        </w:rPr>
        <w:t>1.15.5  场地清理</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_Toc118821480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"_Toc118821481" </w:instrText>
      </w:r>
      <w:r>
        <w:fldChar w:fldCharType="separate"/>
      </w:r>
      <w:r>
        <w:rPr>
          <w:rStyle w:val="103"/>
          <w:rFonts w:ascii="Times New Roman" w:hAnsi="Times New Roman" w:cs="Times New Roman" w:eastAsiaTheme="minorEastAsia"/>
          <w:szCs w:val="24"/>
        </w:rPr>
        <w:t>1.16  工程量计量方法</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_Toc118821481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"_Toc118821482" </w:instrText>
      </w:r>
      <w:r>
        <w:fldChar w:fldCharType="separate"/>
      </w:r>
      <w:r>
        <w:rPr>
          <w:rStyle w:val="103"/>
          <w:rFonts w:ascii="Times New Roman" w:hAnsi="Times New Roman" w:cs="Times New Roman" w:eastAsiaTheme="minorEastAsia"/>
          <w:szCs w:val="24"/>
        </w:rPr>
        <w:t>1.16.1  说明</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_Toc118821482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"_Toc118821483" </w:instrText>
      </w:r>
      <w:r>
        <w:fldChar w:fldCharType="separate"/>
      </w:r>
      <w:r>
        <w:rPr>
          <w:rStyle w:val="103"/>
          <w:rFonts w:ascii="Times New Roman" w:hAnsi="Times New Roman" w:cs="Times New Roman" w:eastAsiaTheme="minorEastAsia"/>
          <w:szCs w:val="24"/>
        </w:rPr>
        <w:t>1.16.2  重量计量的计算</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_Toc118821483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73</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"_Toc118821484" </w:instrText>
      </w:r>
      <w:r>
        <w:fldChar w:fldCharType="separate"/>
      </w:r>
      <w:r>
        <w:rPr>
          <w:rStyle w:val="103"/>
          <w:rFonts w:ascii="Times New Roman" w:hAnsi="Times New Roman" w:cs="Times New Roman" w:eastAsiaTheme="minorEastAsia"/>
          <w:szCs w:val="24"/>
        </w:rPr>
        <w:t>1.16.3  面积计量的计算</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_Toc118821484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73</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"_Toc118821485" </w:instrText>
      </w:r>
      <w:r>
        <w:fldChar w:fldCharType="separate"/>
      </w:r>
      <w:r>
        <w:rPr>
          <w:rStyle w:val="103"/>
          <w:rFonts w:ascii="Times New Roman" w:hAnsi="Times New Roman" w:cs="Times New Roman" w:eastAsiaTheme="minorEastAsia"/>
          <w:szCs w:val="24"/>
        </w:rPr>
        <w:t>1.16.4  体积计量的计算</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_Toc118821485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73</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"_Toc118821486" </w:instrText>
      </w:r>
      <w:r>
        <w:fldChar w:fldCharType="separate"/>
      </w:r>
      <w:r>
        <w:rPr>
          <w:rStyle w:val="103"/>
          <w:rFonts w:ascii="Times New Roman" w:hAnsi="Times New Roman" w:cs="Times New Roman" w:eastAsiaTheme="minorEastAsia"/>
          <w:szCs w:val="24"/>
        </w:rPr>
        <w:t>1.16.4  长度计量的计算</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_Toc118821486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73</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"_Toc118821487" </w:instrText>
      </w:r>
      <w:r>
        <w:fldChar w:fldCharType="separate"/>
      </w:r>
      <w:r>
        <w:rPr>
          <w:rStyle w:val="103"/>
          <w:rFonts w:ascii="Times New Roman" w:hAnsi="Times New Roman" w:cs="Times New Roman" w:eastAsiaTheme="minorEastAsia"/>
          <w:szCs w:val="24"/>
        </w:rPr>
        <w:t>1.17  技术标准和规程规范</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_Toc118821487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73</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59"/>
        <w:spacing w:before="0" w:after="0"/>
        <w:rPr>
          <w:rFonts w:ascii="Times New Roman" w:hAnsi="Times New Roman" w:cs="Times New Roman" w:eastAsiaTheme="minorEastAsia"/>
          <w:b w:val="0"/>
          <w:bCs w:val="0"/>
          <w:sz w:val="24"/>
          <w:szCs w:val="24"/>
        </w:rPr>
      </w:pPr>
      <w:r>
        <w:fldChar w:fldCharType="begin"/>
      </w:r>
      <w:r>
        <w:instrText xml:space="preserve"> HYPERLINK \l "_Toc118821488" </w:instrText>
      </w:r>
      <w:r>
        <w:fldChar w:fldCharType="separate"/>
      </w:r>
      <w:r>
        <w:rPr>
          <w:rStyle w:val="103"/>
          <w:rFonts w:ascii="Times New Roman" w:hAnsi="Times New Roman" w:cs="Times New Roman" w:eastAsiaTheme="minorEastAsia"/>
          <w:sz w:val="24"/>
          <w:szCs w:val="24"/>
        </w:rPr>
        <w:t>第二章  监测仪器设备的采购、验收和率定</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_Toc118821488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75</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"_Toc118821489" </w:instrText>
      </w:r>
      <w:r>
        <w:fldChar w:fldCharType="separate"/>
      </w:r>
      <w:r>
        <w:rPr>
          <w:rStyle w:val="103"/>
          <w:rFonts w:ascii="Times New Roman" w:hAnsi="Times New Roman" w:cs="Times New Roman" w:eastAsiaTheme="minorEastAsia"/>
          <w:szCs w:val="24"/>
        </w:rPr>
        <w:t>2.1  仪器设备的采购</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_Toc118821489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75</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"_Toc118821490" </w:instrText>
      </w:r>
      <w:r>
        <w:fldChar w:fldCharType="separate"/>
      </w:r>
      <w:r>
        <w:rPr>
          <w:rStyle w:val="103"/>
          <w:rFonts w:ascii="Times New Roman" w:hAnsi="Times New Roman" w:cs="Times New Roman" w:eastAsiaTheme="minorEastAsia"/>
          <w:szCs w:val="24"/>
        </w:rPr>
        <w:t>2.2  仪器设备的验收和率定</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_Toc118821490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"_Toc118821491" </w:instrText>
      </w:r>
      <w:r>
        <w:fldChar w:fldCharType="separate"/>
      </w:r>
      <w:r>
        <w:rPr>
          <w:rStyle w:val="103"/>
          <w:rFonts w:ascii="Times New Roman" w:hAnsi="Times New Roman" w:cs="Times New Roman" w:eastAsiaTheme="minorEastAsia"/>
          <w:szCs w:val="24"/>
        </w:rPr>
        <w:t>2.3  仪器设备的主要技术指标要求</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_Toc118821491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77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59"/>
        <w:spacing w:before="0" w:after="0"/>
        <w:rPr>
          <w:rFonts w:ascii="Times New Roman" w:hAnsi="Times New Roman" w:cs="Times New Roman" w:eastAsiaTheme="minorEastAsia"/>
          <w:b w:val="0"/>
          <w:bCs w:val="0"/>
          <w:sz w:val="24"/>
          <w:szCs w:val="24"/>
        </w:rPr>
      </w:pPr>
      <w:r>
        <w:fldChar w:fldCharType="begin"/>
      </w:r>
      <w:r>
        <w:instrText xml:space="preserve"> HYPERLINK \l "_Toc118821492" </w:instrText>
      </w:r>
      <w:r>
        <w:fldChar w:fldCharType="separate"/>
      </w:r>
      <w:r>
        <w:rPr>
          <w:rStyle w:val="103"/>
          <w:rFonts w:ascii="Times New Roman" w:hAnsi="Times New Roman" w:cs="Times New Roman" w:eastAsiaTheme="minorEastAsia"/>
          <w:sz w:val="24"/>
          <w:szCs w:val="24"/>
        </w:rPr>
        <w:t>第三章  监测仪器设备的安装和埋设</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_Toc118821492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84</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"_Toc118821493" </w:instrText>
      </w:r>
      <w:r>
        <w:fldChar w:fldCharType="separate"/>
      </w:r>
      <w:r>
        <w:rPr>
          <w:rStyle w:val="103"/>
          <w:rFonts w:ascii="Times New Roman" w:hAnsi="Times New Roman" w:cs="Times New Roman" w:eastAsiaTheme="minorEastAsia"/>
          <w:szCs w:val="24"/>
        </w:rPr>
        <w:t>3.1   一般规定</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_Toc118821493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84</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"_Toc118821494" </w:instrText>
      </w:r>
      <w:r>
        <w:fldChar w:fldCharType="separate"/>
      </w:r>
      <w:r>
        <w:rPr>
          <w:rStyle w:val="103"/>
          <w:rFonts w:ascii="Times New Roman" w:hAnsi="Times New Roman" w:cs="Times New Roman" w:eastAsiaTheme="minorEastAsia"/>
          <w:szCs w:val="24"/>
        </w:rPr>
        <w:t>3.2  监测仪器安装埋设技术要求</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_Toc118821494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86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"_Toc118821495" </w:instrText>
      </w:r>
      <w:r>
        <w:fldChar w:fldCharType="separate"/>
      </w:r>
      <w:r>
        <w:rPr>
          <w:rStyle w:val="103"/>
          <w:rFonts w:ascii="Times New Roman" w:hAnsi="Times New Roman" w:cs="Times New Roman" w:eastAsiaTheme="minorEastAsia"/>
          <w:szCs w:val="24"/>
        </w:rPr>
        <w:t>3.2.1  变形监测仪器设备的安装埋设技术要求</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_Toc118821495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86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"_Toc118821496" </w:instrText>
      </w:r>
      <w:r>
        <w:fldChar w:fldCharType="separate"/>
      </w:r>
      <w:r>
        <w:rPr>
          <w:rStyle w:val="103"/>
          <w:rFonts w:ascii="Times New Roman" w:hAnsi="Times New Roman" w:cs="Times New Roman" w:eastAsiaTheme="minorEastAsia"/>
          <w:szCs w:val="24"/>
        </w:rPr>
        <w:t>3.2.2  渗流监测仪器设备的安装埋设技术要求</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_Toc118821496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89</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"_Toc118821497" </w:instrText>
      </w:r>
      <w:r>
        <w:fldChar w:fldCharType="separate"/>
      </w:r>
      <w:r>
        <w:rPr>
          <w:rStyle w:val="103"/>
          <w:rFonts w:ascii="Times New Roman" w:hAnsi="Times New Roman" w:cs="Times New Roman" w:eastAsiaTheme="minorEastAsia"/>
          <w:szCs w:val="24"/>
        </w:rPr>
        <w:t>3.2.3  应力监测仪器设备的安装埋设技术要求</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_Toc118821497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91</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"_Toc118821498" </w:instrText>
      </w:r>
      <w:r>
        <w:fldChar w:fldCharType="separate"/>
      </w:r>
      <w:r>
        <w:rPr>
          <w:rStyle w:val="103"/>
          <w:rFonts w:ascii="Times New Roman" w:hAnsi="Times New Roman" w:cs="Times New Roman" w:eastAsiaTheme="minorEastAsia"/>
          <w:szCs w:val="24"/>
        </w:rPr>
        <w:t>3.2.4  水位监测仪器设备的安装埋设技术要求</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_Toc118821498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92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"_Toc118821499" </w:instrText>
      </w:r>
      <w:r>
        <w:fldChar w:fldCharType="separate"/>
      </w:r>
      <w:r>
        <w:rPr>
          <w:rStyle w:val="103"/>
          <w:rFonts w:ascii="Times New Roman" w:hAnsi="Times New Roman" w:cs="Times New Roman" w:eastAsiaTheme="minorEastAsia"/>
          <w:szCs w:val="24"/>
        </w:rPr>
        <w:t>3.2.5  监测仪器线缆安装埋设技术要求</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_Toc118821499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93</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"_Toc118821500" </w:instrText>
      </w:r>
      <w:r>
        <w:fldChar w:fldCharType="separate"/>
      </w:r>
      <w:r>
        <w:rPr>
          <w:rStyle w:val="103"/>
          <w:rFonts w:ascii="Times New Roman" w:hAnsi="Times New Roman" w:cs="Times New Roman" w:eastAsiaTheme="minorEastAsia"/>
          <w:szCs w:val="24"/>
        </w:rPr>
        <w:t>3.2.6  其它仪器和设备</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_Toc118821500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97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59"/>
        <w:spacing w:before="0" w:after="0"/>
        <w:rPr>
          <w:rFonts w:ascii="Times New Roman" w:hAnsi="Times New Roman" w:cs="Times New Roman" w:eastAsiaTheme="minorEastAsia"/>
          <w:b w:val="0"/>
          <w:bCs w:val="0"/>
          <w:sz w:val="24"/>
          <w:szCs w:val="24"/>
        </w:rPr>
      </w:pPr>
      <w:r>
        <w:fldChar w:fldCharType="begin"/>
      </w:r>
      <w:r>
        <w:instrText xml:space="preserve"> HYPERLINK \l "_Toc118821501" </w:instrText>
      </w:r>
      <w:r>
        <w:fldChar w:fldCharType="separate"/>
      </w:r>
      <w:r>
        <w:rPr>
          <w:rStyle w:val="103"/>
          <w:rFonts w:ascii="Times New Roman" w:hAnsi="Times New Roman" w:cs="Times New Roman" w:eastAsiaTheme="minorEastAsia"/>
          <w:sz w:val="24"/>
          <w:szCs w:val="24"/>
        </w:rPr>
        <w:t>第四章  与仪器安装埋设相关的土建工程</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_Toc118821501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99</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"_Toc118821502" </w:instrText>
      </w:r>
      <w:r>
        <w:fldChar w:fldCharType="separate"/>
      </w:r>
      <w:r>
        <w:rPr>
          <w:rStyle w:val="103"/>
          <w:rFonts w:ascii="Times New Roman" w:hAnsi="Times New Roman" w:cs="Times New Roman" w:eastAsiaTheme="minorEastAsia"/>
          <w:szCs w:val="24"/>
        </w:rPr>
        <w:t>4.1  材料</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_Toc118821502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99</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"_Toc118821503" </w:instrText>
      </w:r>
      <w:r>
        <w:fldChar w:fldCharType="separate"/>
      </w:r>
      <w:r>
        <w:rPr>
          <w:rStyle w:val="103"/>
          <w:rFonts w:ascii="Times New Roman" w:hAnsi="Times New Roman" w:cs="Times New Roman" w:eastAsiaTheme="minorEastAsia"/>
          <w:szCs w:val="24"/>
        </w:rPr>
        <w:t>4.1.1  说明</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_Toc118821503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99</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"_Toc118821504" </w:instrText>
      </w:r>
      <w:r>
        <w:fldChar w:fldCharType="separate"/>
      </w:r>
      <w:r>
        <w:rPr>
          <w:rStyle w:val="103"/>
          <w:rFonts w:ascii="Times New Roman" w:hAnsi="Times New Roman" w:cs="Times New Roman" w:eastAsiaTheme="minorEastAsia"/>
          <w:szCs w:val="24"/>
        </w:rPr>
        <w:t>4.1.2  水泥</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_Toc118821504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99</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"_Toc118821505" </w:instrText>
      </w:r>
      <w:r>
        <w:fldChar w:fldCharType="separate"/>
      </w:r>
      <w:r>
        <w:rPr>
          <w:rStyle w:val="103"/>
          <w:rFonts w:ascii="Times New Roman" w:hAnsi="Times New Roman" w:cs="Times New Roman" w:eastAsiaTheme="minorEastAsia"/>
          <w:szCs w:val="24"/>
        </w:rPr>
        <w:t>4.1.3  钢筋</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_Toc118821505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100</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"_Toc118821506" </w:instrText>
      </w:r>
      <w:r>
        <w:fldChar w:fldCharType="separate"/>
      </w:r>
      <w:r>
        <w:rPr>
          <w:rStyle w:val="103"/>
          <w:rFonts w:ascii="Times New Roman" w:hAnsi="Times New Roman" w:cs="Times New Roman" w:eastAsiaTheme="minorEastAsia"/>
          <w:szCs w:val="24"/>
        </w:rPr>
        <w:t>4.1.4  骨料</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_Toc118821506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100</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"_Toc118821507" </w:instrText>
      </w:r>
      <w:r>
        <w:fldChar w:fldCharType="separate"/>
      </w:r>
      <w:r>
        <w:rPr>
          <w:rStyle w:val="103"/>
          <w:rFonts w:ascii="Times New Roman" w:hAnsi="Times New Roman" w:cs="Times New Roman" w:eastAsiaTheme="minorEastAsia"/>
          <w:szCs w:val="24"/>
        </w:rPr>
        <w:t>4.1.5  水</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_Toc118821507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101</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"_Toc118821508" </w:instrText>
      </w:r>
      <w:r>
        <w:fldChar w:fldCharType="separate"/>
      </w:r>
      <w:r>
        <w:rPr>
          <w:rStyle w:val="103"/>
          <w:rFonts w:ascii="Times New Roman" w:hAnsi="Times New Roman" w:cs="Times New Roman" w:eastAsiaTheme="minorEastAsia"/>
          <w:szCs w:val="24"/>
        </w:rPr>
        <w:t>4.1.6  粉煤灰和其他活性掺和料</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_Toc118821508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"_Toc118821509" </w:instrText>
      </w:r>
      <w:r>
        <w:fldChar w:fldCharType="separate"/>
      </w:r>
      <w:r>
        <w:rPr>
          <w:rStyle w:val="103"/>
          <w:rFonts w:ascii="Times New Roman" w:hAnsi="Times New Roman" w:cs="Times New Roman" w:eastAsiaTheme="minorEastAsia"/>
          <w:szCs w:val="24"/>
        </w:rPr>
        <w:t>4.1.7  外加剂</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_Toc118821509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"_Toc118821510" </w:instrText>
      </w:r>
      <w:r>
        <w:fldChar w:fldCharType="separate"/>
      </w:r>
      <w:r>
        <w:rPr>
          <w:rStyle w:val="103"/>
          <w:rFonts w:ascii="Times New Roman" w:hAnsi="Times New Roman" w:cs="Times New Roman" w:eastAsiaTheme="minorEastAsia"/>
          <w:szCs w:val="24"/>
        </w:rPr>
        <w:t>4.1.8  回填砂</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_Toc118821510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103</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"_Toc118821511" </w:instrText>
      </w:r>
      <w:r>
        <w:fldChar w:fldCharType="separate"/>
      </w:r>
      <w:r>
        <w:rPr>
          <w:rStyle w:val="103"/>
          <w:rFonts w:ascii="Times New Roman" w:hAnsi="Times New Roman" w:cs="Times New Roman" w:eastAsiaTheme="minorEastAsia"/>
          <w:szCs w:val="24"/>
        </w:rPr>
        <w:t>4.2  钻孔和回填</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_Toc118821511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103</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"_Toc118821512" </w:instrText>
      </w:r>
      <w:r>
        <w:fldChar w:fldCharType="separate"/>
      </w:r>
      <w:r>
        <w:rPr>
          <w:rStyle w:val="103"/>
          <w:rFonts w:ascii="Times New Roman" w:hAnsi="Times New Roman" w:cs="Times New Roman" w:eastAsiaTheme="minorEastAsia"/>
          <w:szCs w:val="24"/>
        </w:rPr>
        <w:t>4.2.1  设备</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_Toc118821512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103</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"_Toc118821513" </w:instrText>
      </w:r>
      <w:r>
        <w:fldChar w:fldCharType="separate"/>
      </w:r>
      <w:r>
        <w:rPr>
          <w:rStyle w:val="103"/>
          <w:rFonts w:ascii="Times New Roman" w:hAnsi="Times New Roman" w:cs="Times New Roman" w:eastAsiaTheme="minorEastAsia"/>
          <w:szCs w:val="24"/>
        </w:rPr>
        <w:t>4.2.2  钻孔</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_Toc118821513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103</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"_Toc118821514" </w:instrText>
      </w:r>
      <w:r>
        <w:fldChar w:fldCharType="separate"/>
      </w:r>
      <w:r>
        <w:rPr>
          <w:rStyle w:val="103"/>
          <w:rFonts w:ascii="Times New Roman" w:hAnsi="Times New Roman" w:cs="Times New Roman" w:eastAsiaTheme="minorEastAsia"/>
          <w:szCs w:val="24"/>
        </w:rPr>
        <w:t>4.2.3  钻孔取芯</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_Toc118821514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104</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"_Toc118821515" </w:instrText>
      </w:r>
      <w:r>
        <w:fldChar w:fldCharType="separate"/>
      </w:r>
      <w:r>
        <w:rPr>
          <w:rStyle w:val="103"/>
          <w:rFonts w:ascii="Times New Roman" w:hAnsi="Times New Roman" w:cs="Times New Roman" w:eastAsiaTheme="minorEastAsia"/>
          <w:szCs w:val="24"/>
        </w:rPr>
        <w:t>4.2.4  钻孔保护</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_Toc118821515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104</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"_Toc118821516" </w:instrText>
      </w:r>
      <w:r>
        <w:fldChar w:fldCharType="separate"/>
      </w:r>
      <w:r>
        <w:rPr>
          <w:rStyle w:val="103"/>
          <w:rFonts w:ascii="Times New Roman" w:hAnsi="Times New Roman" w:cs="Times New Roman" w:eastAsiaTheme="minorEastAsia"/>
          <w:szCs w:val="24"/>
        </w:rPr>
        <w:t>4.2.5  钻孔冲洗</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_Toc118821516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105</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"_Toc118821517" </w:instrText>
      </w:r>
      <w:r>
        <w:fldChar w:fldCharType="separate"/>
      </w:r>
      <w:r>
        <w:rPr>
          <w:rStyle w:val="103"/>
          <w:rFonts w:ascii="Times New Roman" w:hAnsi="Times New Roman" w:cs="Times New Roman" w:eastAsiaTheme="minorEastAsia"/>
          <w:szCs w:val="24"/>
        </w:rPr>
        <w:t>4.2.6  钻孔回填</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_Toc118821517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105</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"_Toc118821518" </w:instrText>
      </w:r>
      <w:r>
        <w:fldChar w:fldCharType="separate"/>
      </w:r>
      <w:r>
        <w:rPr>
          <w:rStyle w:val="103"/>
          <w:rFonts w:ascii="Times New Roman" w:hAnsi="Times New Roman" w:cs="Times New Roman" w:eastAsiaTheme="minorEastAsia"/>
          <w:szCs w:val="24"/>
        </w:rPr>
        <w:t>4.3  混凝土工程</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_Toc118821518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105</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"_Toc118821519" </w:instrText>
      </w:r>
      <w:r>
        <w:fldChar w:fldCharType="separate"/>
      </w:r>
      <w:r>
        <w:rPr>
          <w:rStyle w:val="103"/>
          <w:rFonts w:ascii="Times New Roman" w:hAnsi="Times New Roman" w:cs="Times New Roman" w:eastAsiaTheme="minorEastAsia"/>
          <w:szCs w:val="24"/>
        </w:rPr>
        <w:t>4.3.1  模板</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_Toc118821519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105</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"_Toc118821520" </w:instrText>
      </w:r>
      <w:r>
        <w:fldChar w:fldCharType="separate"/>
      </w:r>
      <w:r>
        <w:rPr>
          <w:rStyle w:val="103"/>
          <w:rFonts w:ascii="Times New Roman" w:hAnsi="Times New Roman" w:cs="Times New Roman" w:eastAsiaTheme="minorEastAsia"/>
          <w:szCs w:val="24"/>
        </w:rPr>
        <w:t>4.3.2  钢筋</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_Toc118821520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"_Toc118821521" </w:instrText>
      </w:r>
      <w:r>
        <w:fldChar w:fldCharType="separate"/>
      </w:r>
      <w:r>
        <w:rPr>
          <w:rStyle w:val="103"/>
          <w:rFonts w:ascii="Times New Roman" w:hAnsi="Times New Roman" w:cs="Times New Roman" w:eastAsiaTheme="minorEastAsia"/>
          <w:szCs w:val="24"/>
        </w:rPr>
        <w:t>4.3.3  混凝土</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_Toc118821521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59"/>
        <w:spacing w:before="0" w:after="0"/>
        <w:rPr>
          <w:rFonts w:ascii="Times New Roman" w:hAnsi="Times New Roman" w:cs="Times New Roman" w:eastAsiaTheme="minorEastAsia"/>
          <w:b w:val="0"/>
          <w:bCs w:val="0"/>
          <w:sz w:val="24"/>
          <w:szCs w:val="24"/>
        </w:rPr>
      </w:pPr>
      <w:r>
        <w:fldChar w:fldCharType="begin"/>
      </w:r>
      <w:r>
        <w:instrText xml:space="preserve"> HYPERLINK \l "_Toc118821522" </w:instrText>
      </w:r>
      <w:r>
        <w:fldChar w:fldCharType="separate"/>
      </w:r>
      <w:r>
        <w:rPr>
          <w:rStyle w:val="103"/>
          <w:rFonts w:ascii="Times New Roman" w:hAnsi="Times New Roman" w:cs="Times New Roman" w:eastAsiaTheme="minorEastAsia"/>
          <w:sz w:val="24"/>
          <w:szCs w:val="24"/>
        </w:rPr>
        <w:t>第五章  监测及监测资料的整编要求</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_Toc118821522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108</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"_Toc118821523" </w:instrText>
      </w:r>
      <w:r>
        <w:fldChar w:fldCharType="separate"/>
      </w:r>
      <w:r>
        <w:rPr>
          <w:rStyle w:val="103"/>
          <w:rFonts w:ascii="Times New Roman" w:hAnsi="Times New Roman" w:cs="Times New Roman" w:eastAsiaTheme="minorEastAsia"/>
          <w:szCs w:val="24"/>
        </w:rPr>
        <w:t>5.1  施工期监测的一般要求</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_Toc118821523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108</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"_Toc118821524" </w:instrText>
      </w:r>
      <w:r>
        <w:fldChar w:fldCharType="separate"/>
      </w:r>
      <w:r>
        <w:rPr>
          <w:rStyle w:val="103"/>
          <w:rFonts w:ascii="Times New Roman" w:hAnsi="Times New Roman" w:cs="Times New Roman" w:eastAsiaTheme="minorEastAsia"/>
          <w:szCs w:val="24"/>
        </w:rPr>
        <w:t>5.1.1  一般规定</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_Toc118821524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108</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"_Toc118821525" </w:instrText>
      </w:r>
      <w:r>
        <w:fldChar w:fldCharType="separate"/>
      </w:r>
      <w:r>
        <w:rPr>
          <w:rStyle w:val="103"/>
          <w:rFonts w:ascii="Times New Roman" w:hAnsi="Times New Roman" w:cs="Times New Roman" w:eastAsiaTheme="minorEastAsia"/>
          <w:szCs w:val="24"/>
        </w:rPr>
        <w:t>5.1.2  工程永久安全监测</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_Toc118821525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108</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"_Toc118821526" </w:instrText>
      </w:r>
      <w:r>
        <w:fldChar w:fldCharType="separate"/>
      </w:r>
      <w:r>
        <w:rPr>
          <w:rStyle w:val="103"/>
          <w:rFonts w:ascii="Times New Roman" w:hAnsi="Times New Roman" w:cs="Times New Roman" w:eastAsiaTheme="minorEastAsia"/>
          <w:szCs w:val="24"/>
        </w:rPr>
        <w:t>5.1.3  施工期工作井基坑监测</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_Toc118821526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110</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"_Toc118821527" </w:instrText>
      </w:r>
      <w:r>
        <w:fldChar w:fldCharType="separate"/>
      </w:r>
      <w:r>
        <w:rPr>
          <w:rStyle w:val="103"/>
          <w:rFonts w:ascii="Times New Roman" w:hAnsi="Times New Roman" w:cs="Times New Roman" w:eastAsiaTheme="minorEastAsia"/>
          <w:szCs w:val="24"/>
        </w:rPr>
        <w:t>5.1.4  施工期隧洞变形监测</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_Toc118821527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111</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"_Toc118821528" </w:instrText>
      </w:r>
      <w:r>
        <w:fldChar w:fldCharType="separate"/>
      </w:r>
      <w:r>
        <w:rPr>
          <w:rStyle w:val="103"/>
          <w:rFonts w:ascii="Times New Roman" w:hAnsi="Times New Roman" w:cs="Times New Roman" w:eastAsiaTheme="minorEastAsia"/>
          <w:szCs w:val="24"/>
        </w:rPr>
        <w:t>5.1.5 隧洞施工期地面建（构）筑物变形监测</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_Toc118821528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112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"_Toc118821529" </w:instrText>
      </w:r>
      <w:r>
        <w:fldChar w:fldCharType="separate"/>
      </w:r>
      <w:r>
        <w:rPr>
          <w:rStyle w:val="103"/>
          <w:rFonts w:ascii="Times New Roman" w:hAnsi="Times New Roman" w:cs="Times New Roman" w:eastAsiaTheme="minorEastAsia"/>
          <w:szCs w:val="24"/>
        </w:rPr>
        <w:t>5.2  监测资料整理分析及监测报告</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_Toc118821529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112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"_Toc118821530" </w:instrText>
      </w:r>
      <w:r>
        <w:fldChar w:fldCharType="separate"/>
      </w:r>
      <w:r>
        <w:rPr>
          <w:rStyle w:val="103"/>
          <w:rFonts w:ascii="Times New Roman" w:hAnsi="Times New Roman" w:cs="Times New Roman" w:eastAsiaTheme="minorEastAsia"/>
          <w:szCs w:val="24"/>
        </w:rPr>
        <w:t>5.2.1 施工期监测资料的整理与分析</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_Toc118821530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112</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"_Toc118821531" </w:instrText>
      </w:r>
      <w:r>
        <w:fldChar w:fldCharType="separate"/>
      </w:r>
      <w:r>
        <w:rPr>
          <w:rStyle w:val="103"/>
          <w:rFonts w:ascii="Times New Roman" w:hAnsi="Times New Roman" w:cs="Times New Roman" w:eastAsiaTheme="minorEastAsia"/>
          <w:szCs w:val="24"/>
        </w:rPr>
        <w:t>5.2.2 施工期监测报告</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_Toc118821531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113</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"_Toc118821532" </w:instrText>
      </w:r>
      <w:r>
        <w:fldChar w:fldCharType="separate"/>
      </w:r>
      <w:r>
        <w:rPr>
          <w:rStyle w:val="103"/>
          <w:rFonts w:ascii="Times New Roman" w:hAnsi="Times New Roman" w:cs="Times New Roman" w:eastAsiaTheme="minorEastAsia"/>
          <w:szCs w:val="24"/>
        </w:rPr>
        <w:t>5.2.3 监测总报告的编制</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_Toc118821532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114</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59"/>
        <w:spacing w:before="0" w:after="0"/>
        <w:rPr>
          <w:rFonts w:ascii="Times New Roman" w:hAnsi="Times New Roman" w:cs="Times New Roman" w:eastAsiaTheme="minorEastAsia"/>
          <w:b w:val="0"/>
          <w:bCs w:val="0"/>
          <w:sz w:val="24"/>
          <w:szCs w:val="24"/>
        </w:rPr>
      </w:pPr>
      <w:r>
        <w:fldChar w:fldCharType="begin"/>
      </w:r>
      <w:r>
        <w:instrText xml:space="preserve"> HYPERLINK \l "_Toc118821533" </w:instrText>
      </w:r>
      <w:r>
        <w:fldChar w:fldCharType="separate"/>
      </w:r>
      <w:r>
        <w:rPr>
          <w:rStyle w:val="103"/>
          <w:rFonts w:ascii="Times New Roman" w:hAnsi="Times New Roman" w:cs="Times New Roman" w:eastAsiaTheme="minorEastAsia"/>
          <w:sz w:val="24"/>
          <w:szCs w:val="24"/>
        </w:rPr>
        <w:t>第六章  仪器移交及质量控制</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_Toc118821533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116</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"_Toc118821534" </w:instrText>
      </w:r>
      <w:r>
        <w:fldChar w:fldCharType="separate"/>
      </w:r>
      <w:r>
        <w:rPr>
          <w:rStyle w:val="103"/>
          <w:rFonts w:ascii="Times New Roman" w:hAnsi="Times New Roman" w:cs="Times New Roman" w:eastAsiaTheme="minorEastAsia"/>
          <w:szCs w:val="24"/>
        </w:rPr>
        <w:t>6.1  仪器的移交</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_Toc118821534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116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74"/>
        <w:tabs>
          <w:tab w:val="right" w:leader="dot" w:pos="8323"/>
        </w:tabs>
        <w:spacing w:before="0"/>
        <w:rPr>
          <w:rFonts w:ascii="Times New Roman" w:hAnsi="Times New Roman" w:cs="Times New Roman" w:eastAsiaTheme="minorEastAsia"/>
          <w:iCs w:val="0"/>
          <w:szCs w:val="24"/>
        </w:rPr>
      </w:pPr>
      <w:r>
        <w:fldChar w:fldCharType="begin"/>
      </w:r>
      <w:r>
        <w:instrText xml:space="preserve"> HYPERLINK \l "_Toc118821535" </w:instrText>
      </w:r>
      <w:r>
        <w:fldChar w:fldCharType="separate"/>
      </w:r>
      <w:r>
        <w:rPr>
          <w:rStyle w:val="103"/>
          <w:rFonts w:ascii="Times New Roman" w:hAnsi="Times New Roman" w:cs="Times New Roman" w:eastAsiaTheme="minorEastAsia"/>
          <w:szCs w:val="24"/>
        </w:rPr>
        <w:t>6.2  质量控制</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_Toc118821535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116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"_Toc118821536" </w:instrText>
      </w:r>
      <w:r>
        <w:fldChar w:fldCharType="separate"/>
      </w:r>
      <w:r>
        <w:rPr>
          <w:rStyle w:val="103"/>
          <w:rFonts w:ascii="Times New Roman" w:hAnsi="Times New Roman" w:cs="Times New Roman" w:eastAsiaTheme="minorEastAsia"/>
          <w:szCs w:val="24"/>
        </w:rPr>
        <w:t>6.2.1  质量保证要求</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_Toc118821536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116</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"_Toc118821537" </w:instrText>
      </w:r>
      <w:r>
        <w:fldChar w:fldCharType="separate"/>
      </w:r>
      <w:r>
        <w:rPr>
          <w:rStyle w:val="103"/>
          <w:rFonts w:ascii="Times New Roman" w:hAnsi="Times New Roman" w:cs="Times New Roman" w:eastAsiaTheme="minorEastAsia"/>
          <w:szCs w:val="24"/>
        </w:rPr>
        <w:t>6.2.2  仪器设备的检查和交货验收</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_Toc118821537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117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44"/>
        <w:tabs>
          <w:tab w:val="right" w:leader="dot" w:pos="8323"/>
        </w:tabs>
        <w:rPr>
          <w:rFonts w:ascii="Times New Roman" w:hAnsi="Times New Roman" w:cs="Times New Roman" w:eastAsiaTheme="minorEastAsia"/>
          <w:szCs w:val="24"/>
        </w:rPr>
      </w:pPr>
      <w:r>
        <w:fldChar w:fldCharType="begin"/>
      </w:r>
      <w:r>
        <w:instrText xml:space="preserve"> HYPERLINK \l "_Toc118821538" </w:instrText>
      </w:r>
      <w:r>
        <w:fldChar w:fldCharType="separate"/>
      </w:r>
      <w:r>
        <w:rPr>
          <w:rStyle w:val="103"/>
          <w:rFonts w:ascii="Times New Roman" w:hAnsi="Times New Roman" w:cs="Times New Roman" w:eastAsiaTheme="minorEastAsia"/>
          <w:szCs w:val="24"/>
        </w:rPr>
        <w:t>6.2.3  仪器设备安装埋设质量的检查</w:t>
      </w:r>
      <w:r>
        <w:rPr>
          <w:rFonts w:ascii="Times New Roman" w:hAnsi="Times New Roman" w:cs="Times New Roman" w:eastAsiaTheme="minorEastAsia"/>
          <w:szCs w:val="24"/>
        </w:rPr>
        <w:tab/>
      </w:r>
      <w:r>
        <w:rPr>
          <w:rFonts w:ascii="Times New Roman" w:hAnsi="Times New Roman" w:cs="Times New Roman" w:eastAsiaTheme="minorEastAsia"/>
          <w:szCs w:val="24"/>
        </w:rPr>
        <w:fldChar w:fldCharType="begin"/>
      </w:r>
      <w:r>
        <w:rPr>
          <w:rFonts w:ascii="Times New Roman" w:hAnsi="Times New Roman" w:cs="Times New Roman" w:eastAsiaTheme="minorEastAsia"/>
          <w:szCs w:val="24"/>
        </w:rPr>
        <w:instrText xml:space="preserve"> PAGEREF _Toc118821538 \h </w:instrText>
      </w:r>
      <w:r>
        <w:rPr>
          <w:rFonts w:ascii="Times New Roman" w:hAnsi="Times New Roman" w:cs="Times New Roman" w:eastAsiaTheme="minorEastAsia"/>
          <w:szCs w:val="24"/>
        </w:rPr>
        <w:fldChar w:fldCharType="separate"/>
      </w:r>
      <w:r>
        <w:rPr>
          <w:rFonts w:ascii="Times New Roman" w:hAnsi="Times New Roman" w:cs="Times New Roman" w:eastAsiaTheme="minorEastAsia"/>
          <w:szCs w:val="24"/>
        </w:rPr>
        <w:t>117</w:t>
      </w:r>
      <w:r>
        <w:rPr>
          <w:rFonts w:ascii="Times New Roman" w:hAnsi="Times New Roman" w:cs="Times New Roman" w:eastAsiaTheme="minorEastAsia"/>
          <w:szCs w:val="24"/>
        </w:rPr>
        <w:fldChar w:fldCharType="end"/>
      </w:r>
      <w:r>
        <w:rPr>
          <w:rFonts w:ascii="Times New Roman" w:hAnsi="Times New Roman" w:cs="Times New Roman" w:eastAsiaTheme="minorEastAsia"/>
          <w:szCs w:val="24"/>
        </w:rPr>
        <w:fldChar w:fldCharType="end"/>
      </w:r>
    </w:p>
    <w:p>
      <w:pPr>
        <w:pStyle w:val="59"/>
        <w:spacing w:before="0" w:after="0"/>
        <w:rPr>
          <w:rFonts w:asciiTheme="minorHAnsi" w:hAnsiTheme="minorHAnsi" w:eastAsiaTheme="minorEastAsia" w:cstheme="minorBidi"/>
          <w:b w:val="0"/>
          <w:bCs w:val="0"/>
          <w:sz w:val="21"/>
          <w:szCs w:val="22"/>
        </w:rPr>
      </w:pPr>
      <w:r>
        <w:fldChar w:fldCharType="begin"/>
      </w:r>
      <w:r>
        <w:instrText xml:space="preserve"> HYPERLINK \l "_Toc118821539" </w:instrText>
      </w:r>
      <w:r>
        <w:fldChar w:fldCharType="separate"/>
      </w:r>
      <w:r>
        <w:rPr>
          <w:rStyle w:val="103"/>
          <w:rFonts w:ascii="Times New Roman" w:hAnsi="Times New Roman" w:cs="Times New Roman" w:eastAsiaTheme="minorEastAsia"/>
          <w:sz w:val="24"/>
          <w:szCs w:val="24"/>
        </w:rPr>
        <w:t>第七章 计量和支付</w:t>
      </w:r>
      <w:r>
        <w:rPr>
          <w:rFonts w:ascii="Times New Roman" w:hAnsi="Times New Roman" w:cs="Times New Roman" w:eastAsiaTheme="minorEastAsia"/>
          <w:sz w:val="24"/>
          <w:szCs w:val="24"/>
        </w:rPr>
        <w:tab/>
      </w:r>
      <w:r>
        <w:rPr>
          <w:rFonts w:ascii="Times New Roman" w:hAnsi="Times New Roman" w:cs="Times New Roman" w:eastAsiaTheme="minorEastAsia"/>
          <w:sz w:val="24"/>
          <w:szCs w:val="24"/>
        </w:rPr>
        <w:fldChar w:fldCharType="begin"/>
      </w:r>
      <w:r>
        <w:rPr>
          <w:rFonts w:ascii="Times New Roman" w:hAnsi="Times New Roman" w:cs="Times New Roman" w:eastAsiaTheme="minorEastAsia"/>
          <w:sz w:val="24"/>
          <w:szCs w:val="24"/>
        </w:rPr>
        <w:instrText xml:space="preserve"> PAGEREF _Toc118821539 \h </w:instrText>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rPr>
        <w:t>119</w: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end"/>
      </w:r>
    </w:p>
    <w:p>
      <w:pPr>
        <w:jc w:val="left"/>
        <w:rPr>
          <w:sz w:val="24"/>
        </w:rPr>
        <w:sectPr>
          <w:footerReference r:id="rId6" w:type="default"/>
          <w:pgSz w:w="11906" w:h="16838"/>
          <w:pgMar w:top="1440" w:right="1588" w:bottom="1440" w:left="1985" w:header="851" w:footer="992" w:gutter="0"/>
          <w:cols w:space="720" w:num="1"/>
          <w:docGrid w:linePitch="312" w:charSpace="0"/>
        </w:sectPr>
      </w:pPr>
      <w:r>
        <w:rPr>
          <w:bCs/>
        </w:rPr>
        <w:fldChar w:fldCharType="end"/>
      </w:r>
    </w:p>
    <w:p>
      <w:pPr>
        <w:pStyle w:val="3"/>
        <w:spacing w:before="0" w:after="0" w:line="500" w:lineRule="atLeast"/>
        <w:jc w:val="center"/>
        <w:rPr>
          <w:rFonts w:ascii="黑体" w:hAnsi="黑体" w:eastAsia="黑体"/>
          <w:b w:val="0"/>
          <w:sz w:val="30"/>
        </w:rPr>
      </w:pPr>
      <w:bookmarkStart w:id="3" w:name="_Toc414549227"/>
      <w:bookmarkStart w:id="4" w:name="_Toc414615209"/>
      <w:bookmarkStart w:id="5" w:name="_Toc414549293"/>
      <w:bookmarkStart w:id="6" w:name="_Toc414615057"/>
      <w:bookmarkStart w:id="7" w:name="_Toc414615009"/>
      <w:bookmarkStart w:id="8" w:name="_Toc20546"/>
      <w:bookmarkStart w:id="9" w:name="_Toc118821408"/>
      <w:r>
        <w:rPr>
          <w:rFonts w:ascii="黑体" w:hAnsi="黑体" w:eastAsia="黑体"/>
          <w:b w:val="0"/>
          <w:sz w:val="30"/>
        </w:rPr>
        <w:t xml:space="preserve">第一章  </w:t>
      </w:r>
      <w:bookmarkEnd w:id="3"/>
      <w:bookmarkEnd w:id="4"/>
      <w:bookmarkEnd w:id="5"/>
      <w:bookmarkEnd w:id="6"/>
      <w:bookmarkEnd w:id="7"/>
      <w:r>
        <w:rPr>
          <w:rFonts w:ascii="黑体" w:hAnsi="黑体" w:eastAsia="黑体"/>
          <w:b w:val="0"/>
          <w:sz w:val="30"/>
        </w:rPr>
        <w:t>一般规定</w:t>
      </w:r>
      <w:bookmarkEnd w:id="8"/>
      <w:bookmarkEnd w:id="9"/>
    </w:p>
    <w:p/>
    <w:p>
      <w:pPr>
        <w:pStyle w:val="4"/>
        <w:spacing w:before="0" w:after="0" w:line="500" w:lineRule="atLeast"/>
        <w:rPr>
          <w:rFonts w:ascii="黑体" w:hAnsi="黑体" w:eastAsia="黑体"/>
          <w:b w:val="0"/>
          <w:sz w:val="24"/>
          <w:szCs w:val="24"/>
        </w:rPr>
      </w:pPr>
      <w:bookmarkStart w:id="10" w:name="_Toc249322055"/>
      <w:bookmarkStart w:id="11" w:name="_Toc118821409"/>
      <w:bookmarkStart w:id="12" w:name="_Toc414615058"/>
      <w:bookmarkStart w:id="13" w:name="_Toc414615210"/>
      <w:bookmarkStart w:id="14" w:name="_Toc17157"/>
      <w:r>
        <w:rPr>
          <w:rFonts w:ascii="Times New Roman" w:hAnsi="Times New Roman"/>
          <w:sz w:val="24"/>
          <w:szCs w:val="24"/>
        </w:rPr>
        <w:t xml:space="preserve">1.1 </w:t>
      </w:r>
      <w:bookmarkEnd w:id="10"/>
      <w:r>
        <w:rPr>
          <w:rFonts w:hint="eastAsia" w:ascii="Times New Roman" w:hAnsi="Times New Roman"/>
          <w:sz w:val="24"/>
          <w:szCs w:val="24"/>
        </w:rPr>
        <w:t xml:space="preserve"> </w:t>
      </w:r>
      <w:r>
        <w:rPr>
          <w:rFonts w:ascii="黑体" w:hAnsi="黑体" w:eastAsia="黑体"/>
          <w:b w:val="0"/>
          <w:sz w:val="24"/>
          <w:szCs w:val="24"/>
        </w:rPr>
        <w:t>说明</w:t>
      </w:r>
      <w:bookmarkEnd w:id="11"/>
      <w:bookmarkEnd w:id="12"/>
      <w:bookmarkEnd w:id="13"/>
      <w:bookmarkEnd w:id="14"/>
    </w:p>
    <w:p>
      <w:pPr>
        <w:pStyle w:val="5"/>
        <w:spacing w:before="0" w:after="0" w:line="500" w:lineRule="atLeast"/>
        <w:jc w:val="both"/>
        <w:rPr>
          <w:szCs w:val="24"/>
        </w:rPr>
      </w:pPr>
      <w:bookmarkStart w:id="15" w:name="_Toc521577721"/>
      <w:bookmarkStart w:id="16" w:name="_Toc118821410"/>
      <w:bookmarkStart w:id="17" w:name="_Toc17155"/>
      <w:r>
        <w:rPr>
          <w:szCs w:val="24"/>
        </w:rPr>
        <w:t xml:space="preserve">1.1.1 </w:t>
      </w:r>
      <w:r>
        <w:rPr>
          <w:rFonts w:hint="eastAsia"/>
          <w:szCs w:val="24"/>
        </w:rPr>
        <w:t xml:space="preserve"> </w:t>
      </w:r>
      <w:r>
        <w:rPr>
          <w:szCs w:val="24"/>
        </w:rPr>
        <w:t>工程概况</w:t>
      </w:r>
      <w:bookmarkEnd w:id="15"/>
      <w:bookmarkEnd w:id="16"/>
      <w:bookmarkEnd w:id="17"/>
    </w:p>
    <w:p>
      <w:pPr>
        <w:pStyle w:val="110"/>
        <w:spacing w:line="520" w:lineRule="atLeast"/>
        <w:ind w:firstLine="480"/>
        <w:rPr>
          <w:color w:val="000000"/>
        </w:rPr>
      </w:pPr>
      <w:bookmarkStart w:id="18" w:name="_Toc521577722"/>
      <w:r>
        <w:rPr>
          <w:color w:val="000000"/>
        </w:rPr>
        <w:t>粤东水资源优化配置工程是省委、省政府从粤东地区经济社会发展的全局高度谋划建设的重大水资源配置工程，对解决粤东地区资源性缺水和工程性缺水问题，支撑粤东地区经济社会高质量发展，加快构建“一核一带一区”区域发展格局具有重要意义。根据轻重缓急，粤东水资源优化配置工程按照“整体规划、分步实施”的原则分为三期工程。其中，基本建成的韩江榕江练江水系连通工程(简称三江连通工程)为一期工程，本工程即韩江榕江练江水系连通后续优化工程(简称三江后续优化工程)为二期工程，三期工程为惠来分干线、汕尾分干线、龙颈水库扩建工程等。</w:t>
      </w:r>
    </w:p>
    <w:p>
      <w:pPr>
        <w:overflowPunct w:val="0"/>
        <w:spacing w:line="520" w:lineRule="atLeast"/>
        <w:ind w:firstLine="480" w:firstLineChars="200"/>
        <w:rPr>
          <w:sz w:val="24"/>
        </w:rPr>
      </w:pPr>
      <w:r>
        <w:rPr>
          <w:color w:val="000000"/>
          <w:sz w:val="24"/>
        </w:rPr>
        <w:t>本工程分期实施建设，近期按2035年设计流量进行设计，远期通过新建古巷泵站、金灶泵站以及关埠分水竖井至金灶泵站管道、泵组更换及部分复线或另线建设达到2050年设计流量规模目标。本报告建设内容为近期实施部分。</w:t>
      </w:r>
      <w:r>
        <w:rPr>
          <w:rFonts w:hint="eastAsia"/>
          <w:sz w:val="24"/>
        </w:rPr>
        <w:t>安全监测1标范围为古巷分水口至关埠取水口主干线的一部分，长约22.84km，主要包括12个盾构井（井号：1#井~12#井）、约18.69km的盾构隧洞（桩号：GX00+000~GX3+7</w:t>
      </w:r>
      <w:r>
        <w:rPr>
          <w:sz w:val="24"/>
        </w:rPr>
        <w:t>45</w:t>
      </w:r>
      <w:r>
        <w:rPr>
          <w:rFonts w:hint="eastAsia"/>
          <w:sz w:val="24"/>
        </w:rPr>
        <w:t>、GX7+900~GX22+841）和4.16km钻爆隧道（桩号：GX3+745~GX7+90</w:t>
      </w:r>
      <w:r>
        <w:rPr>
          <w:sz w:val="24"/>
        </w:rPr>
        <w:t>0</w:t>
      </w:r>
      <w:r>
        <w:rPr>
          <w:rFonts w:hint="eastAsia"/>
          <w:sz w:val="24"/>
        </w:rPr>
        <w:t>）。主要建筑物包括：盾构隧洞、钻爆隧洞、工作井、水闸、高位水池等。</w:t>
      </w:r>
    </w:p>
    <w:p>
      <w:pPr>
        <w:overflowPunct w:val="0"/>
        <w:spacing w:line="520" w:lineRule="atLeast"/>
        <w:ind w:firstLine="480" w:firstLineChars="200"/>
        <w:rPr>
          <w:sz w:val="24"/>
        </w:rPr>
      </w:pPr>
      <w:r>
        <w:rPr>
          <w:sz w:val="24"/>
        </w:rPr>
        <w:t>工程为Ⅱ等大(2)型工程。古巷分水口至关埠取水口段输水隧洞等主要建筑级别为2级</w:t>
      </w:r>
      <w:r>
        <w:rPr>
          <w:spacing w:val="-6"/>
          <w:sz w:val="24"/>
        </w:rPr>
        <w:t>。</w:t>
      </w:r>
    </w:p>
    <w:p>
      <w:pPr>
        <w:pStyle w:val="21"/>
      </w:pPr>
    </w:p>
    <w:p>
      <w:pPr>
        <w:overflowPunct w:val="0"/>
        <w:spacing w:line="520" w:lineRule="atLeast"/>
        <w:ind w:firstLine="420" w:firstLineChars="200"/>
        <w:jc w:val="center"/>
        <w:rPr>
          <w:sz w:val="24"/>
        </w:rPr>
      </w:pPr>
      <w:r>
        <w:drawing>
          <wp:inline distT="0" distB="0" distL="114300" distR="114300">
            <wp:extent cx="3413760" cy="39344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413760" cy="3934460"/>
                    </a:xfrm>
                    <a:prstGeom prst="rect">
                      <a:avLst/>
                    </a:prstGeom>
                    <a:noFill/>
                    <a:ln>
                      <a:noFill/>
                    </a:ln>
                  </pic:spPr>
                </pic:pic>
              </a:graphicData>
            </a:graphic>
          </wp:inline>
        </w:drawing>
      </w:r>
    </w:p>
    <w:p>
      <w:pPr>
        <w:pStyle w:val="175"/>
        <w:overflowPunct w:val="0"/>
        <w:autoSpaceDE/>
        <w:autoSpaceDN/>
        <w:spacing w:line="500" w:lineRule="atLeast"/>
        <w:rPr>
          <w:b/>
          <w:szCs w:val="24"/>
        </w:rPr>
      </w:pPr>
      <w:r>
        <w:rPr>
          <w:rFonts w:hint="eastAsia"/>
          <w:szCs w:val="24"/>
        </w:rPr>
        <w:t>图</w:t>
      </w:r>
      <w:r>
        <w:rPr>
          <w:b/>
          <w:szCs w:val="24"/>
        </w:rPr>
        <w:t>1.1.1-</w:t>
      </w:r>
      <w:r>
        <w:rPr>
          <w:b/>
          <w:szCs w:val="24"/>
        </w:rPr>
        <w:fldChar w:fldCharType="begin"/>
      </w:r>
      <w:r>
        <w:rPr>
          <w:b/>
          <w:szCs w:val="24"/>
        </w:rPr>
        <w:instrText xml:space="preserve"> SEQ 表2- \* ARABIC </w:instrText>
      </w:r>
      <w:r>
        <w:rPr>
          <w:b/>
          <w:szCs w:val="24"/>
        </w:rPr>
        <w:fldChar w:fldCharType="separate"/>
      </w:r>
      <w:r>
        <w:rPr>
          <w:b/>
          <w:szCs w:val="24"/>
        </w:rPr>
        <w:t>1</w:t>
      </w:r>
      <w:r>
        <w:rPr>
          <w:b/>
          <w:szCs w:val="24"/>
        </w:rPr>
        <w:fldChar w:fldCharType="end"/>
      </w:r>
      <w:r>
        <w:rPr>
          <w:b/>
          <w:szCs w:val="24"/>
        </w:rPr>
        <w:t xml:space="preserve">  </w:t>
      </w:r>
      <w:r>
        <w:rPr>
          <w:rFonts w:hint="eastAsia"/>
          <w:b/>
          <w:szCs w:val="24"/>
        </w:rPr>
        <w:t>安全监测1标输水线路平面示意图</w:t>
      </w:r>
    </w:p>
    <w:p>
      <w:pPr>
        <w:pStyle w:val="21"/>
      </w:pPr>
    </w:p>
    <w:p>
      <w:pPr>
        <w:pStyle w:val="21"/>
      </w:pPr>
    </w:p>
    <w:p>
      <w:pPr>
        <w:pStyle w:val="5"/>
        <w:snapToGrid w:val="0"/>
        <w:spacing w:before="0" w:after="0" w:line="500" w:lineRule="atLeast"/>
        <w:jc w:val="both"/>
        <w:rPr>
          <w:szCs w:val="24"/>
        </w:rPr>
      </w:pPr>
      <w:bookmarkStart w:id="19" w:name="_Toc17061"/>
      <w:bookmarkStart w:id="20" w:name="_Toc118821411"/>
      <w:r>
        <w:rPr>
          <w:szCs w:val="24"/>
        </w:rPr>
        <w:t xml:space="preserve">1.1.2 </w:t>
      </w:r>
      <w:r>
        <w:rPr>
          <w:rFonts w:hint="eastAsia"/>
          <w:szCs w:val="24"/>
        </w:rPr>
        <w:t xml:space="preserve"> </w:t>
      </w:r>
      <w:r>
        <w:rPr>
          <w:szCs w:val="24"/>
        </w:rPr>
        <w:t>水文气象和工程地质</w:t>
      </w:r>
      <w:bookmarkEnd w:id="18"/>
      <w:bookmarkEnd w:id="19"/>
      <w:bookmarkEnd w:id="20"/>
    </w:p>
    <w:p>
      <w:pPr>
        <w:pStyle w:val="6"/>
      </w:pPr>
      <w:bookmarkStart w:id="21" w:name="_Toc521577723"/>
      <w:bookmarkStart w:id="22" w:name="_Toc414615211"/>
      <w:bookmarkStart w:id="23" w:name="_Toc414615059"/>
      <w:r>
        <w:t>1.1.2.1  水文气象</w:t>
      </w:r>
    </w:p>
    <w:p>
      <w:pPr>
        <w:spacing w:line="500" w:lineRule="atLeast"/>
        <w:ind w:firstLine="480" w:firstLineChars="200"/>
        <w:rPr>
          <w:sz w:val="24"/>
        </w:rPr>
      </w:pPr>
      <w:r>
        <w:rPr>
          <w:sz w:val="24"/>
        </w:rPr>
        <w:t>(1)  气象</w:t>
      </w:r>
    </w:p>
    <w:p>
      <w:pPr>
        <w:overflowPunct w:val="0"/>
        <w:spacing w:line="500" w:lineRule="atLeast"/>
        <w:ind w:firstLine="480" w:firstLineChars="200"/>
        <w:rPr>
          <w:color w:val="000000"/>
          <w:sz w:val="24"/>
        </w:rPr>
      </w:pPr>
      <w:r>
        <w:rPr>
          <w:color w:val="000000"/>
          <w:sz w:val="24"/>
        </w:rPr>
        <w:t>1)  气温</w:t>
      </w:r>
    </w:p>
    <w:p>
      <w:pPr>
        <w:overflowPunct w:val="0"/>
        <w:spacing w:line="500" w:lineRule="atLeast"/>
        <w:ind w:firstLine="480" w:firstLineChars="200"/>
        <w:rPr>
          <w:color w:val="000000"/>
          <w:sz w:val="24"/>
        </w:rPr>
      </w:pPr>
      <w:r>
        <w:rPr>
          <w:color w:val="000000"/>
          <w:sz w:val="24"/>
        </w:rPr>
        <w:t>本区域地处北回归线以南，属亚热带气候，温和多雨，常受海洋性季风及热带、副热带高压气候影响。</w:t>
      </w:r>
    </w:p>
    <w:p>
      <w:pPr>
        <w:overflowPunct w:val="0"/>
        <w:spacing w:line="500" w:lineRule="atLeast"/>
        <w:ind w:firstLine="480" w:firstLineChars="200"/>
        <w:rPr>
          <w:color w:val="000000"/>
          <w:sz w:val="24"/>
        </w:rPr>
      </w:pPr>
      <w:r>
        <w:rPr>
          <w:color w:val="000000"/>
          <w:sz w:val="24"/>
        </w:rPr>
        <w:t>2)  降水</w:t>
      </w:r>
    </w:p>
    <w:p>
      <w:pPr>
        <w:overflowPunct w:val="0"/>
        <w:spacing w:line="500" w:lineRule="atLeast"/>
        <w:ind w:firstLine="480" w:firstLineChars="200"/>
        <w:rPr>
          <w:color w:val="000000"/>
          <w:sz w:val="24"/>
        </w:rPr>
      </w:pPr>
      <w:r>
        <w:rPr>
          <w:color w:val="000000"/>
          <w:sz w:val="24"/>
        </w:rPr>
        <w:t>汕头市区多年平均降水量1300mm～1800mm；潮州市多年平均降水量变幅为1496mm～2143mm；揭阳市多年平均降水量为</w:t>
      </w:r>
      <w:r>
        <w:rPr>
          <w:rFonts w:eastAsia="等线"/>
          <w:color w:val="000000"/>
          <w:sz w:val="24"/>
        </w:rPr>
        <w:t>1961.5mm</w:t>
      </w:r>
      <w:r>
        <w:rPr>
          <w:color w:val="000000"/>
          <w:sz w:val="24"/>
        </w:rPr>
        <w:t>。</w:t>
      </w:r>
    </w:p>
    <w:p>
      <w:pPr>
        <w:overflowPunct w:val="0"/>
        <w:spacing w:line="500" w:lineRule="atLeast"/>
        <w:ind w:firstLine="480" w:firstLineChars="200"/>
        <w:rPr>
          <w:color w:val="000000"/>
          <w:sz w:val="24"/>
        </w:rPr>
      </w:pPr>
      <w:r>
        <w:rPr>
          <w:color w:val="000000"/>
          <w:sz w:val="24"/>
        </w:rPr>
        <w:t>3)  蒸发</w:t>
      </w:r>
    </w:p>
    <w:p>
      <w:pPr>
        <w:overflowPunct w:val="0"/>
        <w:spacing w:line="500" w:lineRule="atLeast"/>
        <w:ind w:firstLine="480" w:firstLineChars="200"/>
        <w:rPr>
          <w:color w:val="000000"/>
          <w:sz w:val="24"/>
        </w:rPr>
      </w:pPr>
      <w:r>
        <w:rPr>
          <w:color w:val="000000"/>
          <w:sz w:val="24"/>
        </w:rPr>
        <w:t>汕头市多年平均蒸发量从省水文图集中查算，水面蒸发量汕头市区1199mm、潮南区1424mm、澄海区1316mm、南澳县1455mm，陆地蒸发量汕头市区900mm、潮阳区850mm、澄海市900mm、南澳县900mm。</w:t>
      </w:r>
    </w:p>
    <w:p>
      <w:pPr>
        <w:overflowPunct w:val="0"/>
        <w:spacing w:line="500" w:lineRule="atLeast"/>
        <w:ind w:firstLine="480" w:firstLineChars="200"/>
        <w:rPr>
          <w:color w:val="000000"/>
          <w:sz w:val="24"/>
        </w:rPr>
      </w:pPr>
      <w:r>
        <w:rPr>
          <w:color w:val="000000"/>
          <w:sz w:val="24"/>
        </w:rPr>
        <w:t>潮州市多年平均蒸发量为1169mm。</w:t>
      </w:r>
    </w:p>
    <w:p>
      <w:pPr>
        <w:overflowPunct w:val="0"/>
        <w:spacing w:line="500" w:lineRule="atLeast"/>
        <w:ind w:firstLine="480" w:firstLineChars="200"/>
        <w:rPr>
          <w:color w:val="000000"/>
          <w:sz w:val="24"/>
        </w:rPr>
      </w:pPr>
      <w:r>
        <w:rPr>
          <w:color w:val="000000"/>
          <w:sz w:val="24"/>
        </w:rPr>
        <w:t>揭阳市多年平均水面蒸发量为</w:t>
      </w:r>
      <w:r>
        <w:rPr>
          <w:rFonts w:eastAsia="等线"/>
          <w:color w:val="000000"/>
          <w:sz w:val="24"/>
        </w:rPr>
        <w:t>1100mm</w:t>
      </w:r>
      <w:r>
        <w:rPr>
          <w:color w:val="000000"/>
          <w:sz w:val="24"/>
        </w:rPr>
        <w:t>。</w:t>
      </w:r>
    </w:p>
    <w:p>
      <w:pPr>
        <w:overflowPunct w:val="0"/>
        <w:spacing w:line="500" w:lineRule="atLeast"/>
        <w:ind w:firstLine="480" w:firstLineChars="200"/>
        <w:rPr>
          <w:color w:val="000000"/>
          <w:sz w:val="24"/>
        </w:rPr>
      </w:pPr>
      <w:r>
        <w:rPr>
          <w:color w:val="000000"/>
          <w:sz w:val="24"/>
        </w:rPr>
        <w:t>4)  热带气旋、风速</w:t>
      </w:r>
    </w:p>
    <w:p>
      <w:pPr>
        <w:overflowPunct w:val="0"/>
        <w:spacing w:line="500" w:lineRule="atLeast"/>
        <w:ind w:firstLine="480" w:firstLineChars="200"/>
        <w:rPr>
          <w:color w:val="000000"/>
          <w:sz w:val="24"/>
        </w:rPr>
      </w:pPr>
      <w:r>
        <w:rPr>
          <w:color w:val="000000"/>
          <w:sz w:val="24"/>
        </w:rPr>
        <w:t>汕头市是明显的季风区，风力资源丰富。全年以偏东风最多，偏北风和偏南风次之，西风最少。</w:t>
      </w:r>
    </w:p>
    <w:p>
      <w:pPr>
        <w:overflowPunct w:val="0"/>
        <w:spacing w:line="500" w:lineRule="atLeast"/>
        <w:ind w:firstLine="480" w:firstLineChars="200"/>
        <w:rPr>
          <w:color w:val="000000"/>
          <w:sz w:val="24"/>
        </w:rPr>
      </w:pPr>
      <w:r>
        <w:rPr>
          <w:color w:val="000000"/>
          <w:sz w:val="24"/>
        </w:rPr>
        <w:t>潮州市濒临南海，海岸线长136km，受海洋性东南季风影响甚为剧烈，是热带气旋经常影响和登陆的地区。</w:t>
      </w:r>
    </w:p>
    <w:p>
      <w:pPr>
        <w:overflowPunct w:val="0"/>
        <w:spacing w:line="500" w:lineRule="atLeast"/>
        <w:ind w:firstLine="480" w:firstLineChars="200"/>
        <w:rPr>
          <w:color w:val="000000"/>
          <w:sz w:val="24"/>
        </w:rPr>
      </w:pPr>
      <w:r>
        <w:rPr>
          <w:color w:val="000000"/>
          <w:sz w:val="24"/>
        </w:rPr>
        <w:t>揭阳市滨临南海，属亚热带季风区，具有明显海洋性气候特点，是台风经常影响和登陆的地区。</w:t>
      </w:r>
    </w:p>
    <w:p>
      <w:pPr>
        <w:pStyle w:val="21"/>
        <w:rPr>
          <w:sz w:val="24"/>
        </w:rPr>
      </w:pPr>
    </w:p>
    <w:p>
      <w:pPr>
        <w:pStyle w:val="21"/>
        <w:rPr>
          <w:sz w:val="24"/>
        </w:rPr>
      </w:pPr>
    </w:p>
    <w:p>
      <w:pPr>
        <w:spacing w:line="500" w:lineRule="atLeast"/>
        <w:ind w:firstLine="480" w:firstLineChars="200"/>
        <w:rPr>
          <w:sz w:val="24"/>
        </w:rPr>
      </w:pPr>
      <w:r>
        <w:rPr>
          <w:sz w:val="24"/>
        </w:rPr>
        <w:t xml:space="preserve">(2)  </w:t>
      </w:r>
      <w:r>
        <w:rPr>
          <w:rFonts w:hint="eastAsia"/>
          <w:sz w:val="24"/>
        </w:rPr>
        <w:t>水文</w:t>
      </w:r>
    </w:p>
    <w:p>
      <w:pPr>
        <w:overflowPunct w:val="0"/>
        <w:spacing w:line="500" w:lineRule="atLeast"/>
        <w:ind w:firstLine="480" w:firstLineChars="200"/>
        <w:rPr>
          <w:color w:val="000000"/>
          <w:sz w:val="24"/>
        </w:rPr>
      </w:pPr>
      <w:r>
        <w:rPr>
          <w:color w:val="000000"/>
          <w:sz w:val="24"/>
        </w:rPr>
        <w:t xml:space="preserve">1)  </w:t>
      </w:r>
      <w:r>
        <w:rPr>
          <w:rFonts w:hint="eastAsia"/>
          <w:color w:val="000000"/>
          <w:sz w:val="24"/>
        </w:rPr>
        <w:t>河流水系概况</w:t>
      </w:r>
    </w:p>
    <w:p>
      <w:pPr>
        <w:overflowPunct w:val="0"/>
        <w:spacing w:line="500" w:lineRule="atLeast"/>
        <w:ind w:firstLine="520" w:firstLineChars="200"/>
        <w:rPr>
          <w:color w:val="000000"/>
          <w:sz w:val="24"/>
        </w:rPr>
      </w:pPr>
      <w:r>
        <w:rPr>
          <w:color w:val="000000"/>
          <w:spacing w:val="10"/>
          <w:sz w:val="24"/>
        </w:rPr>
        <w:t>韩江榕江练江后续优化工程所涉</w:t>
      </w:r>
      <w:r>
        <w:rPr>
          <w:color w:val="000000"/>
          <w:sz w:val="24"/>
        </w:rPr>
        <w:t>主要河流水系有韩江、榕江、练江等，主要河流基本情况见表1.2</w:t>
      </w:r>
      <w:r>
        <w:rPr>
          <w:color w:val="000000"/>
          <w:sz w:val="24"/>
        </w:rPr>
        <w:noBreakHyphen/>
      </w:r>
      <w:r>
        <w:rPr>
          <w:color w:val="000000"/>
          <w:sz w:val="24"/>
        </w:rPr>
        <w:t>1。</w:t>
      </w:r>
    </w:p>
    <w:p>
      <w:pPr>
        <w:spacing w:line="500" w:lineRule="atLeast"/>
        <w:jc w:val="center"/>
        <w:rPr>
          <w:rFonts w:eastAsia="黑体"/>
          <w:bCs/>
          <w:color w:val="000000"/>
          <w:kern w:val="0"/>
          <w:sz w:val="24"/>
        </w:rPr>
      </w:pPr>
      <w:r>
        <w:rPr>
          <w:rFonts w:eastAsia="黑体"/>
          <w:bCs/>
          <w:color w:val="000000"/>
          <w:kern w:val="0"/>
          <w:sz w:val="24"/>
        </w:rPr>
        <w:t>表</w:t>
      </w:r>
      <w:r>
        <w:rPr>
          <w:rFonts w:eastAsia="黑体"/>
          <w:b/>
          <w:color w:val="000000"/>
          <w:kern w:val="0"/>
          <w:sz w:val="24"/>
        </w:rPr>
        <w:t>1.</w:t>
      </w:r>
      <w:r>
        <w:rPr>
          <w:rFonts w:hint="eastAsia" w:eastAsia="黑体"/>
          <w:b/>
          <w:color w:val="000000"/>
          <w:kern w:val="0"/>
          <w:sz w:val="24"/>
        </w:rPr>
        <w:t>1.</w:t>
      </w:r>
      <w:r>
        <w:rPr>
          <w:rFonts w:eastAsia="黑体"/>
          <w:b/>
          <w:color w:val="000000"/>
          <w:kern w:val="0"/>
          <w:sz w:val="24"/>
        </w:rPr>
        <w:t xml:space="preserve">2-1 </w:t>
      </w:r>
      <w:r>
        <w:rPr>
          <w:rFonts w:eastAsia="黑体"/>
          <w:color w:val="000000"/>
          <w:kern w:val="0"/>
          <w:sz w:val="24"/>
        </w:rPr>
        <w:t xml:space="preserve"> 韩江榕江练江后续优化工程所涉主要河流</w:t>
      </w:r>
      <w:r>
        <w:rPr>
          <w:rFonts w:eastAsia="黑体"/>
          <w:bCs/>
          <w:color w:val="000000"/>
          <w:kern w:val="0"/>
          <w:sz w:val="24"/>
        </w:rPr>
        <w:t>基本情况</w:t>
      </w:r>
    </w:p>
    <w:tbl>
      <w:tblPr>
        <w:tblStyle w:val="8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057"/>
        <w:gridCol w:w="798"/>
        <w:gridCol w:w="856"/>
        <w:gridCol w:w="1842"/>
        <w:gridCol w:w="1409"/>
        <w:gridCol w:w="689"/>
        <w:gridCol w:w="751"/>
        <w:gridCol w:w="9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57" w:type="dxa"/>
            <w:vAlign w:val="center"/>
          </w:tcPr>
          <w:p>
            <w:pPr>
              <w:spacing w:before="120" w:beforeLines="50" w:after="120" w:afterLines="50" w:line="240" w:lineRule="atLeast"/>
              <w:jc w:val="center"/>
              <w:rPr>
                <w:bCs/>
                <w:color w:val="000000"/>
                <w:szCs w:val="21"/>
              </w:rPr>
            </w:pPr>
            <w:r>
              <w:rPr>
                <w:bCs/>
                <w:color w:val="000000"/>
                <w:szCs w:val="21"/>
              </w:rPr>
              <w:t>河流名称</w:t>
            </w:r>
          </w:p>
        </w:tc>
        <w:tc>
          <w:tcPr>
            <w:tcW w:w="798" w:type="dxa"/>
            <w:vAlign w:val="center"/>
          </w:tcPr>
          <w:p>
            <w:pPr>
              <w:spacing w:before="120" w:beforeLines="50" w:after="120" w:afterLines="50" w:line="240" w:lineRule="atLeast"/>
              <w:jc w:val="center"/>
              <w:rPr>
                <w:bCs/>
                <w:color w:val="000000"/>
                <w:szCs w:val="21"/>
              </w:rPr>
            </w:pPr>
            <w:r>
              <w:rPr>
                <w:bCs/>
                <w:color w:val="000000"/>
                <w:szCs w:val="21"/>
              </w:rPr>
              <w:t>河流</w:t>
            </w:r>
          </w:p>
          <w:p>
            <w:pPr>
              <w:spacing w:before="120" w:beforeLines="50" w:after="120" w:afterLines="50" w:line="240" w:lineRule="atLeast"/>
              <w:jc w:val="center"/>
              <w:rPr>
                <w:bCs/>
                <w:color w:val="000000"/>
                <w:szCs w:val="21"/>
              </w:rPr>
            </w:pPr>
            <w:r>
              <w:rPr>
                <w:bCs/>
                <w:color w:val="000000"/>
                <w:szCs w:val="21"/>
              </w:rPr>
              <w:t>等级</w:t>
            </w:r>
          </w:p>
        </w:tc>
        <w:tc>
          <w:tcPr>
            <w:tcW w:w="856" w:type="dxa"/>
            <w:vAlign w:val="center"/>
          </w:tcPr>
          <w:p>
            <w:pPr>
              <w:spacing w:before="120" w:beforeLines="50" w:after="120" w:afterLines="50" w:line="240" w:lineRule="atLeast"/>
              <w:jc w:val="center"/>
              <w:rPr>
                <w:bCs/>
                <w:color w:val="000000"/>
                <w:szCs w:val="21"/>
              </w:rPr>
            </w:pPr>
            <w:r>
              <w:rPr>
                <w:bCs/>
                <w:color w:val="000000"/>
                <w:szCs w:val="21"/>
              </w:rPr>
              <w:t>集水</w:t>
            </w:r>
          </w:p>
          <w:p>
            <w:pPr>
              <w:spacing w:before="120" w:beforeLines="50" w:after="120" w:afterLines="50" w:line="240" w:lineRule="atLeast"/>
              <w:jc w:val="center"/>
              <w:rPr>
                <w:bCs/>
                <w:color w:val="000000"/>
                <w:szCs w:val="21"/>
              </w:rPr>
            </w:pPr>
            <w:r>
              <w:rPr>
                <w:bCs/>
                <w:color w:val="000000"/>
                <w:szCs w:val="21"/>
              </w:rPr>
              <w:t>面积</w:t>
            </w:r>
          </w:p>
          <w:p>
            <w:pPr>
              <w:spacing w:before="120" w:beforeLines="50" w:after="120" w:afterLines="50" w:line="240" w:lineRule="atLeast"/>
              <w:jc w:val="center"/>
              <w:rPr>
                <w:bCs/>
                <w:color w:val="000000"/>
                <w:szCs w:val="21"/>
              </w:rPr>
            </w:pPr>
            <w:r>
              <w:rPr>
                <w:bCs/>
                <w:color w:val="000000"/>
                <w:szCs w:val="21"/>
              </w:rPr>
              <w:t>(km</w:t>
            </w:r>
            <w:r>
              <w:rPr>
                <w:bCs/>
                <w:color w:val="000000"/>
                <w:szCs w:val="21"/>
                <w:vertAlign w:val="superscript"/>
              </w:rPr>
              <w:t>2</w:t>
            </w:r>
            <w:r>
              <w:rPr>
                <w:bCs/>
                <w:color w:val="000000"/>
                <w:szCs w:val="21"/>
              </w:rPr>
              <w:t>)</w:t>
            </w:r>
          </w:p>
        </w:tc>
        <w:tc>
          <w:tcPr>
            <w:tcW w:w="1842" w:type="dxa"/>
            <w:vAlign w:val="center"/>
          </w:tcPr>
          <w:p>
            <w:pPr>
              <w:spacing w:before="120" w:beforeLines="50" w:after="120" w:afterLines="50" w:line="240" w:lineRule="atLeast"/>
              <w:jc w:val="center"/>
              <w:rPr>
                <w:bCs/>
                <w:color w:val="000000"/>
                <w:szCs w:val="21"/>
              </w:rPr>
            </w:pPr>
            <w:r>
              <w:rPr>
                <w:bCs/>
                <w:color w:val="000000"/>
                <w:szCs w:val="21"/>
              </w:rPr>
              <w:t>起点</w:t>
            </w:r>
          </w:p>
        </w:tc>
        <w:tc>
          <w:tcPr>
            <w:tcW w:w="1409" w:type="dxa"/>
            <w:vAlign w:val="center"/>
          </w:tcPr>
          <w:p>
            <w:pPr>
              <w:spacing w:before="120" w:beforeLines="50" w:after="120" w:afterLines="50" w:line="240" w:lineRule="atLeast"/>
              <w:jc w:val="center"/>
              <w:rPr>
                <w:bCs/>
                <w:color w:val="000000"/>
                <w:szCs w:val="21"/>
              </w:rPr>
            </w:pPr>
            <w:r>
              <w:rPr>
                <w:bCs/>
                <w:color w:val="000000"/>
                <w:szCs w:val="21"/>
              </w:rPr>
              <w:t>终点</w:t>
            </w:r>
          </w:p>
        </w:tc>
        <w:tc>
          <w:tcPr>
            <w:tcW w:w="689" w:type="dxa"/>
            <w:vAlign w:val="center"/>
          </w:tcPr>
          <w:p>
            <w:pPr>
              <w:spacing w:before="120" w:beforeLines="50" w:after="120" w:afterLines="50" w:line="240" w:lineRule="atLeast"/>
              <w:jc w:val="center"/>
              <w:rPr>
                <w:bCs/>
                <w:color w:val="000000"/>
                <w:szCs w:val="21"/>
              </w:rPr>
            </w:pPr>
            <w:r>
              <w:rPr>
                <w:bCs/>
                <w:color w:val="000000"/>
                <w:szCs w:val="21"/>
              </w:rPr>
              <w:t>长度</w:t>
            </w:r>
          </w:p>
          <w:p>
            <w:pPr>
              <w:spacing w:before="120" w:beforeLines="50" w:after="120" w:afterLines="50" w:line="240" w:lineRule="atLeast"/>
              <w:jc w:val="center"/>
              <w:rPr>
                <w:bCs/>
                <w:color w:val="000000"/>
                <w:szCs w:val="21"/>
              </w:rPr>
            </w:pPr>
            <w:r>
              <w:rPr>
                <w:bCs/>
                <w:color w:val="000000"/>
                <w:szCs w:val="21"/>
              </w:rPr>
              <w:t>(km)</w:t>
            </w:r>
          </w:p>
        </w:tc>
        <w:tc>
          <w:tcPr>
            <w:tcW w:w="751" w:type="dxa"/>
            <w:vAlign w:val="center"/>
          </w:tcPr>
          <w:p>
            <w:pPr>
              <w:spacing w:before="120" w:beforeLines="50" w:after="120" w:afterLines="50" w:line="240" w:lineRule="atLeast"/>
              <w:jc w:val="center"/>
              <w:rPr>
                <w:bCs/>
                <w:color w:val="000000"/>
                <w:szCs w:val="21"/>
              </w:rPr>
            </w:pPr>
            <w:r>
              <w:rPr>
                <w:bCs/>
                <w:color w:val="000000"/>
                <w:szCs w:val="21"/>
              </w:rPr>
              <w:t>平均</w:t>
            </w:r>
          </w:p>
          <w:p>
            <w:pPr>
              <w:spacing w:before="120" w:beforeLines="50" w:after="120" w:afterLines="50" w:line="240" w:lineRule="atLeast"/>
              <w:jc w:val="center"/>
              <w:rPr>
                <w:bCs/>
                <w:color w:val="000000"/>
                <w:szCs w:val="21"/>
              </w:rPr>
            </w:pPr>
            <w:r>
              <w:rPr>
                <w:bCs/>
                <w:color w:val="000000"/>
                <w:szCs w:val="21"/>
              </w:rPr>
              <w:t>坡降</w:t>
            </w:r>
          </w:p>
          <w:p>
            <w:pPr>
              <w:spacing w:before="120" w:beforeLines="50" w:after="120" w:afterLines="50" w:line="240" w:lineRule="atLeast"/>
              <w:jc w:val="center"/>
              <w:rPr>
                <w:bCs/>
                <w:color w:val="000000"/>
                <w:szCs w:val="21"/>
              </w:rPr>
            </w:pPr>
            <w:r>
              <w:rPr>
                <w:bCs/>
                <w:color w:val="000000"/>
                <w:szCs w:val="21"/>
              </w:rPr>
              <w:t>(‰)</w:t>
            </w:r>
          </w:p>
        </w:tc>
        <w:tc>
          <w:tcPr>
            <w:tcW w:w="965" w:type="dxa"/>
            <w:vAlign w:val="center"/>
          </w:tcPr>
          <w:p>
            <w:pPr>
              <w:spacing w:before="120" w:beforeLines="50" w:after="120" w:afterLines="50" w:line="240" w:lineRule="atLeast"/>
              <w:jc w:val="center"/>
              <w:rPr>
                <w:bCs/>
                <w:color w:val="000000"/>
                <w:szCs w:val="21"/>
              </w:rPr>
            </w:pPr>
            <w:r>
              <w:rPr>
                <w:bCs/>
                <w:color w:val="000000"/>
                <w:szCs w:val="21"/>
              </w:rPr>
              <w:t>年均</w:t>
            </w:r>
          </w:p>
          <w:p>
            <w:pPr>
              <w:spacing w:before="120" w:beforeLines="50" w:after="120" w:afterLines="50" w:line="240" w:lineRule="atLeast"/>
              <w:jc w:val="center"/>
              <w:rPr>
                <w:bCs/>
                <w:color w:val="000000"/>
                <w:szCs w:val="21"/>
              </w:rPr>
            </w:pPr>
            <w:r>
              <w:rPr>
                <w:bCs/>
                <w:color w:val="000000"/>
                <w:szCs w:val="21"/>
              </w:rPr>
              <w:t>径流量</w:t>
            </w:r>
          </w:p>
          <w:p>
            <w:pPr>
              <w:spacing w:before="120" w:beforeLines="50" w:after="120" w:afterLines="50" w:line="240" w:lineRule="atLeast"/>
              <w:jc w:val="center"/>
              <w:rPr>
                <w:bCs/>
                <w:color w:val="000000"/>
                <w:szCs w:val="21"/>
              </w:rPr>
            </w:pPr>
            <w:r>
              <w:rPr>
                <w:bCs/>
                <w:color w:val="000000"/>
                <w:szCs w:val="21"/>
              </w:rPr>
              <w:t>(亿m</w:t>
            </w:r>
            <w:r>
              <w:rPr>
                <w:bCs/>
                <w:color w:val="000000"/>
                <w:szCs w:val="21"/>
                <w:vertAlign w:val="superscript"/>
              </w:rPr>
              <w:t>3</w:t>
            </w:r>
            <w:r>
              <w:rPr>
                <w:bCs/>
                <w:color w:val="00000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57" w:type="dxa"/>
            <w:vAlign w:val="center"/>
          </w:tcPr>
          <w:p>
            <w:pPr>
              <w:spacing w:before="120" w:beforeLines="50" w:after="120" w:afterLines="50" w:line="240" w:lineRule="atLeast"/>
              <w:jc w:val="center"/>
              <w:rPr>
                <w:bCs/>
                <w:color w:val="000000"/>
                <w:szCs w:val="21"/>
              </w:rPr>
            </w:pPr>
            <w:r>
              <w:rPr>
                <w:bCs/>
                <w:color w:val="000000"/>
                <w:szCs w:val="21"/>
              </w:rPr>
              <w:t>韩江</w:t>
            </w:r>
          </w:p>
        </w:tc>
        <w:tc>
          <w:tcPr>
            <w:tcW w:w="798" w:type="dxa"/>
            <w:vAlign w:val="center"/>
          </w:tcPr>
          <w:p>
            <w:pPr>
              <w:spacing w:before="120" w:beforeLines="50" w:after="120" w:afterLines="50" w:line="240" w:lineRule="atLeast"/>
              <w:jc w:val="center"/>
              <w:rPr>
                <w:bCs/>
                <w:color w:val="000000"/>
                <w:szCs w:val="21"/>
              </w:rPr>
            </w:pPr>
            <w:r>
              <w:rPr>
                <w:bCs/>
                <w:color w:val="000000"/>
                <w:szCs w:val="21"/>
              </w:rPr>
              <w:t>干</w:t>
            </w:r>
          </w:p>
        </w:tc>
        <w:tc>
          <w:tcPr>
            <w:tcW w:w="856" w:type="dxa"/>
            <w:vAlign w:val="center"/>
          </w:tcPr>
          <w:p>
            <w:pPr>
              <w:spacing w:before="120" w:beforeLines="50" w:after="120" w:afterLines="50" w:line="240" w:lineRule="atLeast"/>
              <w:jc w:val="center"/>
              <w:rPr>
                <w:bCs/>
                <w:color w:val="000000"/>
                <w:szCs w:val="21"/>
              </w:rPr>
            </w:pPr>
            <w:r>
              <w:rPr>
                <w:bCs/>
                <w:color w:val="000000"/>
                <w:szCs w:val="21"/>
              </w:rPr>
              <w:t>30112</w:t>
            </w:r>
          </w:p>
        </w:tc>
        <w:tc>
          <w:tcPr>
            <w:tcW w:w="1842" w:type="dxa"/>
            <w:vAlign w:val="center"/>
          </w:tcPr>
          <w:p>
            <w:pPr>
              <w:spacing w:before="120" w:beforeLines="50" w:after="120" w:afterLines="50" w:line="240" w:lineRule="atLeast"/>
              <w:jc w:val="center"/>
              <w:rPr>
                <w:bCs/>
                <w:color w:val="000000"/>
                <w:szCs w:val="21"/>
              </w:rPr>
            </w:pPr>
            <w:r>
              <w:rPr>
                <w:bCs/>
                <w:color w:val="000000"/>
                <w:szCs w:val="21"/>
              </w:rPr>
              <w:t>紫金七星崠</w:t>
            </w:r>
          </w:p>
        </w:tc>
        <w:tc>
          <w:tcPr>
            <w:tcW w:w="1409" w:type="dxa"/>
            <w:vAlign w:val="center"/>
          </w:tcPr>
          <w:p>
            <w:pPr>
              <w:spacing w:before="120" w:beforeLines="50" w:after="120" w:afterLines="50" w:line="240" w:lineRule="atLeast"/>
              <w:jc w:val="center"/>
              <w:rPr>
                <w:bCs/>
                <w:color w:val="000000"/>
                <w:szCs w:val="21"/>
              </w:rPr>
            </w:pPr>
            <w:r>
              <w:rPr>
                <w:bCs/>
                <w:color w:val="000000"/>
                <w:szCs w:val="21"/>
              </w:rPr>
              <w:t>澄海北港</w:t>
            </w:r>
          </w:p>
        </w:tc>
        <w:tc>
          <w:tcPr>
            <w:tcW w:w="689" w:type="dxa"/>
            <w:vAlign w:val="center"/>
          </w:tcPr>
          <w:p>
            <w:pPr>
              <w:spacing w:before="120" w:beforeLines="50" w:after="120" w:afterLines="50" w:line="240" w:lineRule="atLeast"/>
              <w:jc w:val="center"/>
              <w:rPr>
                <w:bCs/>
                <w:color w:val="000000"/>
                <w:szCs w:val="21"/>
              </w:rPr>
            </w:pPr>
            <w:r>
              <w:rPr>
                <w:bCs/>
                <w:color w:val="000000"/>
                <w:szCs w:val="21"/>
              </w:rPr>
              <w:t>470</w:t>
            </w:r>
          </w:p>
        </w:tc>
        <w:tc>
          <w:tcPr>
            <w:tcW w:w="751" w:type="dxa"/>
            <w:vAlign w:val="center"/>
          </w:tcPr>
          <w:p>
            <w:pPr>
              <w:spacing w:before="120" w:beforeLines="50" w:after="120" w:afterLines="50" w:line="240" w:lineRule="atLeast"/>
              <w:jc w:val="center"/>
              <w:rPr>
                <w:bCs/>
                <w:color w:val="000000"/>
                <w:szCs w:val="21"/>
              </w:rPr>
            </w:pPr>
            <w:r>
              <w:rPr>
                <w:bCs/>
                <w:color w:val="000000"/>
                <w:szCs w:val="21"/>
              </w:rPr>
              <w:t>0.4</w:t>
            </w:r>
          </w:p>
        </w:tc>
        <w:tc>
          <w:tcPr>
            <w:tcW w:w="965" w:type="dxa"/>
            <w:vAlign w:val="center"/>
          </w:tcPr>
          <w:p>
            <w:pPr>
              <w:spacing w:before="120" w:beforeLines="50" w:after="120" w:afterLines="50" w:line="240" w:lineRule="atLeast"/>
              <w:jc w:val="center"/>
              <w:rPr>
                <w:bCs/>
                <w:color w:val="000000"/>
                <w:szCs w:val="21"/>
              </w:rPr>
            </w:pPr>
            <w:r>
              <w:rPr>
                <w:color w:val="000000"/>
                <w:szCs w:val="21"/>
              </w:rPr>
              <w:t>272.3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57" w:type="dxa"/>
            <w:vAlign w:val="center"/>
          </w:tcPr>
          <w:p>
            <w:pPr>
              <w:spacing w:before="120" w:beforeLines="50" w:after="120" w:afterLines="50" w:line="240" w:lineRule="atLeast"/>
              <w:jc w:val="center"/>
              <w:rPr>
                <w:bCs/>
                <w:color w:val="000000"/>
                <w:szCs w:val="21"/>
              </w:rPr>
            </w:pPr>
            <w:r>
              <w:rPr>
                <w:bCs/>
                <w:color w:val="000000"/>
                <w:szCs w:val="21"/>
              </w:rPr>
              <w:t>榕江</w:t>
            </w:r>
          </w:p>
        </w:tc>
        <w:tc>
          <w:tcPr>
            <w:tcW w:w="798" w:type="dxa"/>
            <w:vAlign w:val="center"/>
          </w:tcPr>
          <w:p>
            <w:pPr>
              <w:spacing w:before="120" w:beforeLines="50" w:after="120" w:afterLines="50" w:line="240" w:lineRule="atLeast"/>
              <w:jc w:val="center"/>
              <w:rPr>
                <w:bCs/>
                <w:color w:val="000000"/>
                <w:szCs w:val="21"/>
              </w:rPr>
            </w:pPr>
            <w:r>
              <w:rPr>
                <w:bCs/>
                <w:color w:val="000000"/>
                <w:szCs w:val="21"/>
              </w:rPr>
              <w:t>干</w:t>
            </w:r>
          </w:p>
        </w:tc>
        <w:tc>
          <w:tcPr>
            <w:tcW w:w="856" w:type="dxa"/>
            <w:vAlign w:val="center"/>
          </w:tcPr>
          <w:p>
            <w:pPr>
              <w:spacing w:before="120" w:beforeLines="50" w:after="120" w:afterLines="50" w:line="240" w:lineRule="atLeast"/>
              <w:jc w:val="center"/>
              <w:rPr>
                <w:bCs/>
                <w:color w:val="000000"/>
                <w:szCs w:val="21"/>
              </w:rPr>
            </w:pPr>
            <w:r>
              <w:rPr>
                <w:bCs/>
                <w:color w:val="000000"/>
                <w:szCs w:val="21"/>
              </w:rPr>
              <w:t>4628</w:t>
            </w:r>
          </w:p>
        </w:tc>
        <w:tc>
          <w:tcPr>
            <w:tcW w:w="1842" w:type="dxa"/>
            <w:vAlign w:val="center"/>
          </w:tcPr>
          <w:p>
            <w:pPr>
              <w:spacing w:before="120" w:beforeLines="50" w:after="120" w:afterLines="50" w:line="240" w:lineRule="atLeast"/>
              <w:jc w:val="center"/>
              <w:rPr>
                <w:bCs/>
                <w:color w:val="000000"/>
                <w:szCs w:val="21"/>
              </w:rPr>
            </w:pPr>
            <w:r>
              <w:rPr>
                <w:bCs/>
                <w:color w:val="000000"/>
                <w:szCs w:val="21"/>
              </w:rPr>
              <w:t>陆河凤凰山</w:t>
            </w:r>
          </w:p>
        </w:tc>
        <w:tc>
          <w:tcPr>
            <w:tcW w:w="1409" w:type="dxa"/>
            <w:vAlign w:val="center"/>
          </w:tcPr>
          <w:p>
            <w:pPr>
              <w:spacing w:before="120" w:beforeLines="50" w:after="120" w:afterLines="50" w:line="240" w:lineRule="atLeast"/>
              <w:jc w:val="center"/>
              <w:rPr>
                <w:bCs/>
                <w:color w:val="000000"/>
                <w:szCs w:val="21"/>
              </w:rPr>
            </w:pPr>
            <w:r>
              <w:rPr>
                <w:bCs/>
                <w:color w:val="000000"/>
                <w:szCs w:val="21"/>
              </w:rPr>
              <w:t>汕头市牛田洋</w:t>
            </w:r>
          </w:p>
        </w:tc>
        <w:tc>
          <w:tcPr>
            <w:tcW w:w="689" w:type="dxa"/>
            <w:vAlign w:val="center"/>
          </w:tcPr>
          <w:p>
            <w:pPr>
              <w:spacing w:before="120" w:beforeLines="50" w:after="120" w:afterLines="50" w:line="240" w:lineRule="atLeast"/>
              <w:jc w:val="center"/>
              <w:rPr>
                <w:bCs/>
                <w:color w:val="000000"/>
                <w:szCs w:val="21"/>
              </w:rPr>
            </w:pPr>
            <w:r>
              <w:rPr>
                <w:bCs/>
                <w:color w:val="000000"/>
                <w:szCs w:val="21"/>
              </w:rPr>
              <w:t>175</w:t>
            </w:r>
          </w:p>
        </w:tc>
        <w:tc>
          <w:tcPr>
            <w:tcW w:w="751" w:type="dxa"/>
            <w:vAlign w:val="center"/>
          </w:tcPr>
          <w:p>
            <w:pPr>
              <w:spacing w:before="120" w:beforeLines="50" w:after="120" w:afterLines="50" w:line="240" w:lineRule="atLeast"/>
              <w:jc w:val="center"/>
              <w:rPr>
                <w:bCs/>
                <w:color w:val="000000"/>
                <w:szCs w:val="21"/>
              </w:rPr>
            </w:pPr>
            <w:r>
              <w:rPr>
                <w:bCs/>
                <w:color w:val="000000"/>
                <w:szCs w:val="21"/>
              </w:rPr>
              <w:t>0.49</w:t>
            </w:r>
          </w:p>
        </w:tc>
        <w:tc>
          <w:tcPr>
            <w:tcW w:w="965" w:type="dxa"/>
            <w:vAlign w:val="center"/>
          </w:tcPr>
          <w:p>
            <w:pPr>
              <w:spacing w:before="120" w:beforeLines="50" w:after="120" w:afterLines="50" w:line="240" w:lineRule="atLeast"/>
              <w:jc w:val="center"/>
              <w:rPr>
                <w:bCs/>
                <w:color w:val="000000"/>
                <w:szCs w:val="21"/>
              </w:rPr>
            </w:pPr>
            <w:r>
              <w:rPr>
                <w:bCs/>
                <w:color w:val="000000"/>
                <w:szCs w:val="21"/>
              </w:rPr>
              <w:t>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57" w:type="dxa"/>
            <w:vAlign w:val="center"/>
          </w:tcPr>
          <w:p>
            <w:pPr>
              <w:spacing w:before="120" w:beforeLines="50" w:after="120" w:afterLines="50" w:line="240" w:lineRule="atLeast"/>
              <w:jc w:val="center"/>
              <w:rPr>
                <w:bCs/>
                <w:color w:val="000000"/>
                <w:szCs w:val="21"/>
              </w:rPr>
            </w:pPr>
            <w:r>
              <w:rPr>
                <w:bCs/>
                <w:color w:val="000000"/>
                <w:szCs w:val="21"/>
              </w:rPr>
              <w:t>榕江北河</w:t>
            </w:r>
          </w:p>
        </w:tc>
        <w:tc>
          <w:tcPr>
            <w:tcW w:w="798" w:type="dxa"/>
            <w:vAlign w:val="center"/>
          </w:tcPr>
          <w:p>
            <w:pPr>
              <w:spacing w:before="120" w:beforeLines="50" w:after="120" w:afterLines="50" w:line="240" w:lineRule="atLeast"/>
              <w:jc w:val="center"/>
              <w:rPr>
                <w:bCs/>
                <w:color w:val="000000"/>
                <w:szCs w:val="21"/>
              </w:rPr>
            </w:pPr>
            <w:r>
              <w:rPr>
                <w:bCs/>
                <w:color w:val="000000"/>
                <w:szCs w:val="21"/>
              </w:rPr>
              <w:t>支</w:t>
            </w:r>
          </w:p>
        </w:tc>
        <w:tc>
          <w:tcPr>
            <w:tcW w:w="856" w:type="dxa"/>
            <w:vAlign w:val="center"/>
          </w:tcPr>
          <w:p>
            <w:pPr>
              <w:spacing w:before="120" w:beforeLines="50" w:after="120" w:afterLines="50" w:line="240" w:lineRule="atLeast"/>
              <w:jc w:val="center"/>
              <w:rPr>
                <w:bCs/>
                <w:color w:val="000000"/>
                <w:szCs w:val="21"/>
              </w:rPr>
            </w:pPr>
            <w:r>
              <w:rPr>
                <w:bCs/>
                <w:color w:val="000000"/>
                <w:szCs w:val="21"/>
              </w:rPr>
              <w:t>1629</w:t>
            </w:r>
          </w:p>
        </w:tc>
        <w:tc>
          <w:tcPr>
            <w:tcW w:w="1842" w:type="dxa"/>
            <w:vAlign w:val="center"/>
          </w:tcPr>
          <w:p>
            <w:pPr>
              <w:spacing w:before="120" w:beforeLines="50" w:after="120" w:afterLines="50" w:line="240" w:lineRule="atLeast"/>
              <w:jc w:val="center"/>
              <w:rPr>
                <w:bCs/>
                <w:color w:val="000000"/>
                <w:szCs w:val="21"/>
              </w:rPr>
            </w:pPr>
            <w:r>
              <w:rPr>
                <w:bCs/>
                <w:color w:val="000000"/>
                <w:szCs w:val="21"/>
              </w:rPr>
              <w:t>丰顺桐子洋</w:t>
            </w:r>
          </w:p>
        </w:tc>
        <w:tc>
          <w:tcPr>
            <w:tcW w:w="1409" w:type="dxa"/>
            <w:vAlign w:val="center"/>
          </w:tcPr>
          <w:p>
            <w:pPr>
              <w:spacing w:before="120" w:beforeLines="50" w:after="120" w:afterLines="50" w:line="240" w:lineRule="atLeast"/>
              <w:jc w:val="center"/>
              <w:rPr>
                <w:bCs/>
                <w:color w:val="000000"/>
                <w:szCs w:val="21"/>
              </w:rPr>
            </w:pPr>
            <w:r>
              <w:rPr>
                <w:bCs/>
                <w:color w:val="000000"/>
                <w:szCs w:val="21"/>
              </w:rPr>
              <w:t>揭阳市双溪咀</w:t>
            </w:r>
          </w:p>
        </w:tc>
        <w:tc>
          <w:tcPr>
            <w:tcW w:w="689" w:type="dxa"/>
            <w:vAlign w:val="center"/>
          </w:tcPr>
          <w:p>
            <w:pPr>
              <w:spacing w:before="120" w:beforeLines="50" w:after="120" w:afterLines="50" w:line="240" w:lineRule="atLeast"/>
              <w:jc w:val="center"/>
              <w:rPr>
                <w:bCs/>
                <w:color w:val="000000"/>
                <w:szCs w:val="21"/>
              </w:rPr>
            </w:pPr>
            <w:r>
              <w:rPr>
                <w:bCs/>
                <w:color w:val="000000"/>
                <w:szCs w:val="21"/>
              </w:rPr>
              <w:t>92</w:t>
            </w:r>
          </w:p>
        </w:tc>
        <w:tc>
          <w:tcPr>
            <w:tcW w:w="751" w:type="dxa"/>
            <w:vAlign w:val="center"/>
          </w:tcPr>
          <w:p>
            <w:pPr>
              <w:spacing w:before="120" w:beforeLines="50" w:after="120" w:afterLines="50" w:line="240" w:lineRule="atLeast"/>
              <w:jc w:val="center"/>
              <w:rPr>
                <w:bCs/>
                <w:color w:val="000000"/>
                <w:szCs w:val="21"/>
              </w:rPr>
            </w:pPr>
            <w:r>
              <w:rPr>
                <w:bCs/>
                <w:color w:val="000000"/>
                <w:szCs w:val="21"/>
              </w:rPr>
              <w:t>1.14</w:t>
            </w:r>
          </w:p>
        </w:tc>
        <w:tc>
          <w:tcPr>
            <w:tcW w:w="965" w:type="dxa"/>
            <w:vAlign w:val="center"/>
          </w:tcPr>
          <w:p>
            <w:pPr>
              <w:spacing w:before="120" w:beforeLines="50" w:after="120" w:afterLines="50" w:line="240" w:lineRule="atLeast"/>
              <w:jc w:val="center"/>
              <w:rPr>
                <w:bCs/>
                <w:color w:val="000000"/>
                <w:szCs w:val="21"/>
              </w:rPr>
            </w:pPr>
            <w:r>
              <w:rPr>
                <w:bCs/>
                <w:color w:val="000000"/>
                <w:szCs w:val="21"/>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1057" w:type="dxa"/>
            <w:vAlign w:val="center"/>
          </w:tcPr>
          <w:p>
            <w:pPr>
              <w:spacing w:before="120" w:beforeLines="50" w:after="120" w:afterLines="50" w:line="240" w:lineRule="atLeast"/>
              <w:jc w:val="center"/>
              <w:rPr>
                <w:bCs/>
                <w:color w:val="000000"/>
                <w:szCs w:val="21"/>
              </w:rPr>
            </w:pPr>
            <w:r>
              <w:rPr>
                <w:bCs/>
                <w:color w:val="000000"/>
                <w:szCs w:val="21"/>
              </w:rPr>
              <w:t>练江</w:t>
            </w:r>
          </w:p>
        </w:tc>
        <w:tc>
          <w:tcPr>
            <w:tcW w:w="798" w:type="dxa"/>
            <w:vAlign w:val="center"/>
          </w:tcPr>
          <w:p>
            <w:pPr>
              <w:spacing w:before="120" w:beforeLines="50" w:after="120" w:afterLines="50" w:line="240" w:lineRule="atLeast"/>
              <w:jc w:val="center"/>
              <w:rPr>
                <w:bCs/>
                <w:color w:val="000000"/>
                <w:szCs w:val="21"/>
              </w:rPr>
            </w:pPr>
            <w:r>
              <w:rPr>
                <w:bCs/>
                <w:color w:val="000000"/>
                <w:szCs w:val="21"/>
              </w:rPr>
              <w:t>干</w:t>
            </w:r>
          </w:p>
        </w:tc>
        <w:tc>
          <w:tcPr>
            <w:tcW w:w="856" w:type="dxa"/>
            <w:vAlign w:val="center"/>
          </w:tcPr>
          <w:p>
            <w:pPr>
              <w:spacing w:before="120" w:beforeLines="50" w:after="120" w:afterLines="50" w:line="240" w:lineRule="atLeast"/>
              <w:jc w:val="center"/>
              <w:rPr>
                <w:bCs/>
                <w:color w:val="000000"/>
                <w:szCs w:val="21"/>
              </w:rPr>
            </w:pPr>
            <w:r>
              <w:rPr>
                <w:bCs/>
                <w:color w:val="000000"/>
                <w:szCs w:val="21"/>
              </w:rPr>
              <w:t>1353</w:t>
            </w:r>
          </w:p>
        </w:tc>
        <w:tc>
          <w:tcPr>
            <w:tcW w:w="1842" w:type="dxa"/>
            <w:vAlign w:val="center"/>
          </w:tcPr>
          <w:p>
            <w:pPr>
              <w:spacing w:before="120" w:beforeLines="50" w:after="120" w:afterLines="50" w:line="240" w:lineRule="atLeast"/>
              <w:jc w:val="center"/>
              <w:rPr>
                <w:bCs/>
                <w:color w:val="000000"/>
                <w:szCs w:val="21"/>
              </w:rPr>
            </w:pPr>
            <w:r>
              <w:rPr>
                <w:bCs/>
                <w:color w:val="000000"/>
                <w:szCs w:val="21"/>
              </w:rPr>
              <w:t>普宁五峰山杨梅坪</w:t>
            </w:r>
          </w:p>
        </w:tc>
        <w:tc>
          <w:tcPr>
            <w:tcW w:w="1409" w:type="dxa"/>
            <w:vAlign w:val="center"/>
          </w:tcPr>
          <w:p>
            <w:pPr>
              <w:spacing w:before="120" w:beforeLines="50" w:after="120" w:afterLines="50" w:line="240" w:lineRule="atLeast"/>
              <w:jc w:val="center"/>
              <w:rPr>
                <w:bCs/>
                <w:color w:val="000000"/>
                <w:szCs w:val="21"/>
              </w:rPr>
            </w:pPr>
            <w:r>
              <w:rPr>
                <w:bCs/>
                <w:color w:val="000000"/>
                <w:szCs w:val="21"/>
              </w:rPr>
              <w:t>潮阳海门</w:t>
            </w:r>
          </w:p>
        </w:tc>
        <w:tc>
          <w:tcPr>
            <w:tcW w:w="689" w:type="dxa"/>
            <w:vAlign w:val="center"/>
          </w:tcPr>
          <w:p>
            <w:pPr>
              <w:spacing w:before="120" w:beforeLines="50" w:after="120" w:afterLines="50" w:line="240" w:lineRule="atLeast"/>
              <w:jc w:val="center"/>
              <w:rPr>
                <w:bCs/>
                <w:color w:val="000000"/>
                <w:szCs w:val="21"/>
              </w:rPr>
            </w:pPr>
            <w:r>
              <w:rPr>
                <w:bCs/>
                <w:color w:val="000000"/>
                <w:szCs w:val="21"/>
              </w:rPr>
              <w:t>72</w:t>
            </w:r>
          </w:p>
        </w:tc>
        <w:tc>
          <w:tcPr>
            <w:tcW w:w="751" w:type="dxa"/>
            <w:vAlign w:val="center"/>
          </w:tcPr>
          <w:p>
            <w:pPr>
              <w:spacing w:before="120" w:beforeLines="50" w:after="120" w:afterLines="50" w:line="240" w:lineRule="atLeast"/>
              <w:jc w:val="center"/>
              <w:rPr>
                <w:bCs/>
                <w:color w:val="000000"/>
                <w:szCs w:val="21"/>
              </w:rPr>
            </w:pPr>
            <w:r>
              <w:rPr>
                <w:bCs/>
                <w:color w:val="000000"/>
                <w:szCs w:val="21"/>
              </w:rPr>
              <w:t>0.89</w:t>
            </w:r>
          </w:p>
        </w:tc>
        <w:tc>
          <w:tcPr>
            <w:tcW w:w="965" w:type="dxa"/>
            <w:vAlign w:val="center"/>
          </w:tcPr>
          <w:p>
            <w:pPr>
              <w:spacing w:before="120" w:beforeLines="50" w:after="120" w:afterLines="50" w:line="240" w:lineRule="atLeast"/>
              <w:jc w:val="center"/>
              <w:rPr>
                <w:bCs/>
                <w:color w:val="000000"/>
                <w:szCs w:val="21"/>
              </w:rPr>
            </w:pPr>
            <w:r>
              <w:rPr>
                <w:color w:val="000000"/>
                <w:szCs w:val="21"/>
              </w:rPr>
              <w:t>13.53</w:t>
            </w:r>
          </w:p>
        </w:tc>
      </w:tr>
    </w:tbl>
    <w:p>
      <w:pPr>
        <w:pStyle w:val="21"/>
        <w:rPr>
          <w:sz w:val="24"/>
        </w:rPr>
      </w:pPr>
    </w:p>
    <w:p>
      <w:pPr>
        <w:pStyle w:val="179"/>
        <w:spacing w:line="500" w:lineRule="atLeast"/>
        <w:jc w:val="both"/>
      </w:pPr>
      <w:r>
        <w:rPr>
          <w:rFonts w:hint="eastAsia"/>
        </w:rPr>
        <w:t>2）降雨</w:t>
      </w:r>
    </w:p>
    <w:p>
      <w:pPr>
        <w:overflowPunct w:val="0"/>
        <w:spacing w:line="500" w:lineRule="atLeast"/>
        <w:ind w:firstLine="480" w:firstLineChars="200"/>
        <w:rPr>
          <w:color w:val="000000"/>
          <w:sz w:val="24"/>
        </w:rPr>
      </w:pPr>
      <w:r>
        <w:rPr>
          <w:color w:val="000000"/>
          <w:sz w:val="24"/>
        </w:rPr>
        <w:t>本工程基准年为2020年，为反映2021年枯水年份的情况，可研阶段设计水文系列长度已采用至2021年。根据选用雨量站的实测长系列资料，系列长度为1956年～2021年，进行P-III型频率分析复核，本次复核后径流成果与可研阶段一致。各站点不同频率下设计年降雨成果见表1.2-2。</w:t>
      </w:r>
    </w:p>
    <w:p>
      <w:pPr>
        <w:spacing w:line="500" w:lineRule="atLeast"/>
        <w:jc w:val="center"/>
        <w:rPr>
          <w:rFonts w:eastAsia="黑体"/>
          <w:bCs/>
          <w:color w:val="000000"/>
          <w:kern w:val="0"/>
          <w:sz w:val="24"/>
        </w:rPr>
      </w:pPr>
      <w:r>
        <w:rPr>
          <w:rFonts w:eastAsia="黑体"/>
          <w:bCs/>
          <w:color w:val="000000"/>
          <w:kern w:val="0"/>
          <w:sz w:val="24"/>
        </w:rPr>
        <w:t>表</w:t>
      </w:r>
      <w:r>
        <w:rPr>
          <w:b/>
          <w:color w:val="000000"/>
          <w:kern w:val="0"/>
          <w:sz w:val="24"/>
        </w:rPr>
        <w:t>1.</w:t>
      </w:r>
      <w:r>
        <w:rPr>
          <w:rFonts w:hint="eastAsia"/>
          <w:b/>
          <w:color w:val="000000"/>
          <w:kern w:val="0"/>
          <w:sz w:val="24"/>
        </w:rPr>
        <w:t>1.</w:t>
      </w:r>
      <w:r>
        <w:rPr>
          <w:b/>
          <w:color w:val="000000"/>
          <w:kern w:val="0"/>
          <w:sz w:val="24"/>
        </w:rPr>
        <w:t xml:space="preserve">2-2  </w:t>
      </w:r>
      <w:r>
        <w:rPr>
          <w:rFonts w:eastAsia="黑体"/>
          <w:bCs/>
          <w:color w:val="000000"/>
          <w:kern w:val="0"/>
          <w:sz w:val="24"/>
        </w:rPr>
        <w:t>各站点不同频率下设计年降雨成果</w:t>
      </w:r>
    </w:p>
    <w:tbl>
      <w:tblPr>
        <w:tblStyle w:val="8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556"/>
        <w:gridCol w:w="1309"/>
        <w:gridCol w:w="1312"/>
        <w:gridCol w:w="691"/>
        <w:gridCol w:w="691"/>
        <w:gridCol w:w="561"/>
        <w:gridCol w:w="561"/>
        <w:gridCol w:w="561"/>
        <w:gridCol w:w="561"/>
        <w:gridCol w:w="562"/>
        <w:gridCol w:w="562"/>
        <w:gridCol w:w="5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blHeader/>
          <w:jc w:val="center"/>
        </w:trPr>
        <w:tc>
          <w:tcPr>
            <w:tcW w:w="556" w:type="dxa"/>
            <w:vMerge w:val="restart"/>
            <w:vAlign w:val="center"/>
          </w:tcPr>
          <w:p>
            <w:pPr>
              <w:pStyle w:val="321"/>
              <w:spacing w:before="120" w:beforeLines="50" w:after="120" w:afterLines="50" w:line="240" w:lineRule="atLeast"/>
              <w:rPr>
                <w:color w:val="000000"/>
              </w:rPr>
            </w:pPr>
            <w:r>
              <w:rPr>
                <w:color w:val="000000"/>
              </w:rPr>
              <w:t>序号</w:t>
            </w:r>
          </w:p>
        </w:tc>
        <w:tc>
          <w:tcPr>
            <w:tcW w:w="1309" w:type="dxa"/>
            <w:vMerge w:val="restart"/>
            <w:vAlign w:val="center"/>
          </w:tcPr>
          <w:p>
            <w:pPr>
              <w:pStyle w:val="321"/>
              <w:spacing w:before="120" w:beforeLines="50" w:after="120" w:afterLines="50" w:line="240" w:lineRule="atLeast"/>
              <w:rPr>
                <w:color w:val="000000"/>
              </w:rPr>
            </w:pPr>
            <w:r>
              <w:rPr>
                <w:color w:val="000000"/>
              </w:rPr>
              <w:t>雨量站</w:t>
            </w:r>
          </w:p>
        </w:tc>
        <w:tc>
          <w:tcPr>
            <w:tcW w:w="1312" w:type="dxa"/>
            <w:vMerge w:val="restart"/>
            <w:vAlign w:val="center"/>
          </w:tcPr>
          <w:p>
            <w:pPr>
              <w:pStyle w:val="321"/>
              <w:spacing w:before="120" w:beforeLines="50" w:after="120" w:afterLines="50" w:line="240" w:lineRule="atLeast"/>
              <w:rPr>
                <w:color w:val="000000"/>
              </w:rPr>
            </w:pPr>
            <w:r>
              <w:rPr>
                <w:color w:val="000000"/>
              </w:rPr>
              <w:t>年降雨均值</w:t>
            </w:r>
          </w:p>
          <w:p>
            <w:pPr>
              <w:pStyle w:val="321"/>
              <w:spacing w:before="120" w:beforeLines="50" w:after="120" w:afterLines="50" w:line="240" w:lineRule="atLeast"/>
              <w:rPr>
                <w:color w:val="000000"/>
              </w:rPr>
            </w:pPr>
            <w:r>
              <w:rPr>
                <w:color w:val="000000"/>
              </w:rPr>
              <w:t>(mm)</w:t>
            </w:r>
          </w:p>
        </w:tc>
        <w:tc>
          <w:tcPr>
            <w:tcW w:w="691" w:type="dxa"/>
            <w:vMerge w:val="restart"/>
            <w:vAlign w:val="center"/>
          </w:tcPr>
          <w:p>
            <w:pPr>
              <w:pStyle w:val="321"/>
              <w:spacing w:before="120" w:beforeLines="50" w:after="120" w:afterLines="50" w:line="240" w:lineRule="atLeast"/>
              <w:rPr>
                <w:color w:val="000000"/>
              </w:rPr>
            </w:pPr>
            <w:r>
              <w:rPr>
                <w:color w:val="000000"/>
              </w:rPr>
              <w:t>Cv</w:t>
            </w:r>
          </w:p>
        </w:tc>
        <w:tc>
          <w:tcPr>
            <w:tcW w:w="691" w:type="dxa"/>
            <w:vMerge w:val="restart"/>
            <w:vAlign w:val="center"/>
          </w:tcPr>
          <w:p>
            <w:pPr>
              <w:pStyle w:val="321"/>
              <w:spacing w:before="120" w:beforeLines="50" w:after="120" w:afterLines="50" w:line="240" w:lineRule="atLeast"/>
              <w:rPr>
                <w:color w:val="000000"/>
              </w:rPr>
            </w:pPr>
            <w:r>
              <w:rPr>
                <w:color w:val="000000"/>
              </w:rPr>
              <w:t>Cs/Cv</w:t>
            </w:r>
          </w:p>
        </w:tc>
        <w:tc>
          <w:tcPr>
            <w:tcW w:w="3962" w:type="dxa"/>
            <w:gridSpan w:val="7"/>
            <w:vAlign w:val="center"/>
          </w:tcPr>
          <w:p>
            <w:pPr>
              <w:pStyle w:val="321"/>
              <w:spacing w:before="120" w:beforeLines="50" w:after="120" w:afterLines="50" w:line="240" w:lineRule="atLeast"/>
              <w:rPr>
                <w:color w:val="000000"/>
              </w:rPr>
            </w:pPr>
            <w:r>
              <w:rPr>
                <w:color w:val="000000"/>
              </w:rPr>
              <w:t>不同频率年降雨量/mm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blHeader/>
          <w:jc w:val="center"/>
        </w:trPr>
        <w:tc>
          <w:tcPr>
            <w:tcW w:w="556" w:type="dxa"/>
            <w:vMerge w:val="continue"/>
            <w:vAlign w:val="center"/>
          </w:tcPr>
          <w:p>
            <w:pPr>
              <w:pStyle w:val="321"/>
              <w:spacing w:before="120" w:beforeLines="50" w:after="120" w:afterLines="50" w:line="240" w:lineRule="atLeast"/>
              <w:rPr>
                <w:color w:val="000000"/>
              </w:rPr>
            </w:pPr>
          </w:p>
        </w:tc>
        <w:tc>
          <w:tcPr>
            <w:tcW w:w="1309" w:type="dxa"/>
            <w:vMerge w:val="continue"/>
            <w:vAlign w:val="center"/>
          </w:tcPr>
          <w:p>
            <w:pPr>
              <w:pStyle w:val="321"/>
              <w:spacing w:before="120" w:beforeLines="50" w:after="120" w:afterLines="50" w:line="240" w:lineRule="atLeast"/>
              <w:rPr>
                <w:color w:val="000000"/>
              </w:rPr>
            </w:pPr>
          </w:p>
        </w:tc>
        <w:tc>
          <w:tcPr>
            <w:tcW w:w="1312" w:type="dxa"/>
            <w:vMerge w:val="continue"/>
            <w:vAlign w:val="center"/>
          </w:tcPr>
          <w:p>
            <w:pPr>
              <w:pStyle w:val="321"/>
              <w:spacing w:before="120" w:beforeLines="50" w:after="120" w:afterLines="50" w:line="240" w:lineRule="atLeast"/>
              <w:rPr>
                <w:color w:val="000000"/>
              </w:rPr>
            </w:pPr>
          </w:p>
        </w:tc>
        <w:tc>
          <w:tcPr>
            <w:tcW w:w="691" w:type="dxa"/>
            <w:vMerge w:val="continue"/>
            <w:vAlign w:val="center"/>
          </w:tcPr>
          <w:p>
            <w:pPr>
              <w:pStyle w:val="321"/>
              <w:spacing w:before="120" w:beforeLines="50" w:after="120" w:afterLines="50" w:line="240" w:lineRule="atLeast"/>
              <w:rPr>
                <w:color w:val="000000"/>
              </w:rPr>
            </w:pPr>
          </w:p>
        </w:tc>
        <w:tc>
          <w:tcPr>
            <w:tcW w:w="691" w:type="dxa"/>
            <w:vMerge w:val="continue"/>
            <w:vAlign w:val="center"/>
          </w:tcPr>
          <w:p>
            <w:pPr>
              <w:pStyle w:val="321"/>
              <w:spacing w:before="120" w:beforeLines="50" w:after="120" w:afterLines="50" w:line="240" w:lineRule="atLeast"/>
              <w:rPr>
                <w:color w:val="000000"/>
              </w:rPr>
            </w:pPr>
          </w:p>
        </w:tc>
        <w:tc>
          <w:tcPr>
            <w:tcW w:w="561" w:type="dxa"/>
            <w:vAlign w:val="center"/>
          </w:tcPr>
          <w:p>
            <w:pPr>
              <w:pStyle w:val="321"/>
              <w:spacing w:before="120" w:beforeLines="50" w:after="120" w:afterLines="50" w:line="240" w:lineRule="atLeast"/>
              <w:rPr>
                <w:color w:val="000000"/>
              </w:rPr>
            </w:pPr>
            <w:r>
              <w:rPr>
                <w:color w:val="000000"/>
              </w:rPr>
              <w:t>10%</w:t>
            </w:r>
          </w:p>
        </w:tc>
        <w:tc>
          <w:tcPr>
            <w:tcW w:w="561" w:type="dxa"/>
            <w:vAlign w:val="center"/>
          </w:tcPr>
          <w:p>
            <w:pPr>
              <w:pStyle w:val="321"/>
              <w:spacing w:before="120" w:beforeLines="50" w:after="120" w:afterLines="50" w:line="240" w:lineRule="atLeast"/>
              <w:rPr>
                <w:color w:val="000000"/>
              </w:rPr>
            </w:pPr>
            <w:r>
              <w:rPr>
                <w:color w:val="000000"/>
              </w:rPr>
              <w:t>20%</w:t>
            </w:r>
          </w:p>
        </w:tc>
        <w:tc>
          <w:tcPr>
            <w:tcW w:w="561" w:type="dxa"/>
            <w:vAlign w:val="center"/>
          </w:tcPr>
          <w:p>
            <w:pPr>
              <w:pStyle w:val="321"/>
              <w:spacing w:before="120" w:beforeLines="50" w:after="120" w:afterLines="50" w:line="240" w:lineRule="atLeast"/>
              <w:rPr>
                <w:color w:val="000000"/>
              </w:rPr>
            </w:pPr>
            <w:r>
              <w:rPr>
                <w:color w:val="000000"/>
              </w:rPr>
              <w:t>50%</w:t>
            </w:r>
          </w:p>
        </w:tc>
        <w:tc>
          <w:tcPr>
            <w:tcW w:w="561" w:type="dxa"/>
            <w:vAlign w:val="center"/>
          </w:tcPr>
          <w:p>
            <w:pPr>
              <w:pStyle w:val="321"/>
              <w:spacing w:before="120" w:beforeLines="50" w:after="120" w:afterLines="50" w:line="240" w:lineRule="atLeast"/>
              <w:rPr>
                <w:color w:val="000000"/>
              </w:rPr>
            </w:pPr>
            <w:r>
              <w:rPr>
                <w:color w:val="000000"/>
              </w:rPr>
              <w:t>75%</w:t>
            </w:r>
          </w:p>
        </w:tc>
        <w:tc>
          <w:tcPr>
            <w:tcW w:w="562" w:type="dxa"/>
            <w:vAlign w:val="center"/>
          </w:tcPr>
          <w:p>
            <w:pPr>
              <w:pStyle w:val="321"/>
              <w:spacing w:before="120" w:beforeLines="50" w:after="120" w:afterLines="50" w:line="240" w:lineRule="atLeast"/>
              <w:rPr>
                <w:color w:val="000000"/>
              </w:rPr>
            </w:pPr>
            <w:r>
              <w:rPr>
                <w:color w:val="000000"/>
              </w:rPr>
              <w:t>90%</w:t>
            </w:r>
          </w:p>
        </w:tc>
        <w:tc>
          <w:tcPr>
            <w:tcW w:w="562" w:type="dxa"/>
            <w:vAlign w:val="center"/>
          </w:tcPr>
          <w:p>
            <w:pPr>
              <w:pStyle w:val="321"/>
              <w:spacing w:before="120" w:beforeLines="50" w:after="120" w:afterLines="50" w:line="240" w:lineRule="atLeast"/>
              <w:rPr>
                <w:color w:val="000000"/>
              </w:rPr>
            </w:pPr>
            <w:r>
              <w:rPr>
                <w:color w:val="000000"/>
              </w:rPr>
              <w:t>95%</w:t>
            </w:r>
          </w:p>
        </w:tc>
        <w:tc>
          <w:tcPr>
            <w:tcW w:w="594" w:type="dxa"/>
            <w:vAlign w:val="center"/>
          </w:tcPr>
          <w:p>
            <w:pPr>
              <w:pStyle w:val="321"/>
              <w:spacing w:before="120" w:beforeLines="50" w:after="120" w:afterLines="50" w:line="240" w:lineRule="atLeast"/>
              <w:rPr>
                <w:color w:val="000000"/>
              </w:rPr>
            </w:pPr>
            <w:r>
              <w:rPr>
                <w:color w:val="000000"/>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56" w:type="dxa"/>
            <w:vAlign w:val="center"/>
          </w:tcPr>
          <w:p>
            <w:pPr>
              <w:pStyle w:val="321"/>
              <w:spacing w:before="120" w:beforeLines="50" w:after="120" w:afterLines="50" w:line="240" w:lineRule="atLeast"/>
              <w:rPr>
                <w:color w:val="000000"/>
              </w:rPr>
            </w:pPr>
            <w:r>
              <w:rPr>
                <w:color w:val="000000"/>
              </w:rPr>
              <w:t>1</w:t>
            </w:r>
          </w:p>
        </w:tc>
        <w:tc>
          <w:tcPr>
            <w:tcW w:w="1309" w:type="dxa"/>
            <w:vAlign w:val="center"/>
          </w:tcPr>
          <w:p>
            <w:pPr>
              <w:pStyle w:val="321"/>
              <w:spacing w:before="120" w:beforeLines="50" w:after="120" w:afterLines="50" w:line="240" w:lineRule="atLeast"/>
              <w:rPr>
                <w:color w:val="000000"/>
              </w:rPr>
            </w:pPr>
            <w:r>
              <w:rPr>
                <w:color w:val="000000"/>
              </w:rPr>
              <w:t>潮安</w:t>
            </w:r>
          </w:p>
        </w:tc>
        <w:tc>
          <w:tcPr>
            <w:tcW w:w="1312" w:type="dxa"/>
            <w:vAlign w:val="center"/>
          </w:tcPr>
          <w:p>
            <w:pPr>
              <w:pStyle w:val="321"/>
              <w:spacing w:before="120" w:beforeLines="50" w:after="120" w:afterLines="50" w:line="240" w:lineRule="atLeast"/>
              <w:rPr>
                <w:color w:val="000000"/>
              </w:rPr>
            </w:pPr>
            <w:r>
              <w:rPr>
                <w:color w:val="000000"/>
              </w:rPr>
              <w:t>1614</w:t>
            </w:r>
          </w:p>
        </w:tc>
        <w:tc>
          <w:tcPr>
            <w:tcW w:w="691" w:type="dxa"/>
            <w:vAlign w:val="center"/>
          </w:tcPr>
          <w:p>
            <w:pPr>
              <w:pStyle w:val="321"/>
              <w:spacing w:before="120" w:beforeLines="50" w:after="120" w:afterLines="50" w:line="240" w:lineRule="atLeast"/>
              <w:rPr>
                <w:color w:val="000000"/>
              </w:rPr>
            </w:pPr>
            <w:r>
              <w:rPr>
                <w:color w:val="000000"/>
              </w:rPr>
              <w:t>0.22</w:t>
            </w:r>
          </w:p>
        </w:tc>
        <w:tc>
          <w:tcPr>
            <w:tcW w:w="691" w:type="dxa"/>
            <w:vAlign w:val="center"/>
          </w:tcPr>
          <w:p>
            <w:pPr>
              <w:pStyle w:val="321"/>
              <w:spacing w:before="120" w:beforeLines="50" w:after="120" w:afterLines="50" w:line="240" w:lineRule="atLeast"/>
              <w:rPr>
                <w:color w:val="000000"/>
              </w:rPr>
            </w:pPr>
            <w:r>
              <w:rPr>
                <w:color w:val="000000"/>
              </w:rPr>
              <w:t>2</w:t>
            </w:r>
          </w:p>
        </w:tc>
        <w:tc>
          <w:tcPr>
            <w:tcW w:w="561" w:type="dxa"/>
            <w:vAlign w:val="bottom"/>
          </w:tcPr>
          <w:p>
            <w:pPr>
              <w:pStyle w:val="321"/>
              <w:spacing w:before="120" w:beforeLines="50" w:after="120" w:afterLines="50" w:line="240" w:lineRule="atLeast"/>
              <w:rPr>
                <w:color w:val="000000"/>
              </w:rPr>
            </w:pPr>
            <w:r>
              <w:rPr>
                <w:color w:val="000000"/>
              </w:rPr>
              <w:t>2082</w:t>
            </w:r>
          </w:p>
        </w:tc>
        <w:tc>
          <w:tcPr>
            <w:tcW w:w="561" w:type="dxa"/>
            <w:vAlign w:val="bottom"/>
          </w:tcPr>
          <w:p>
            <w:pPr>
              <w:pStyle w:val="321"/>
              <w:spacing w:before="120" w:beforeLines="50" w:after="120" w:afterLines="50" w:line="240" w:lineRule="atLeast"/>
              <w:rPr>
                <w:color w:val="000000"/>
              </w:rPr>
            </w:pPr>
            <w:r>
              <w:rPr>
                <w:color w:val="000000"/>
              </w:rPr>
              <w:t>1903</w:t>
            </w:r>
          </w:p>
        </w:tc>
        <w:tc>
          <w:tcPr>
            <w:tcW w:w="561" w:type="dxa"/>
            <w:vAlign w:val="bottom"/>
          </w:tcPr>
          <w:p>
            <w:pPr>
              <w:pStyle w:val="321"/>
              <w:spacing w:before="120" w:beforeLines="50" w:after="120" w:afterLines="50" w:line="240" w:lineRule="atLeast"/>
              <w:rPr>
                <w:color w:val="000000"/>
              </w:rPr>
            </w:pPr>
            <w:r>
              <w:rPr>
                <w:color w:val="000000"/>
              </w:rPr>
              <w:t>1588</w:t>
            </w:r>
          </w:p>
        </w:tc>
        <w:tc>
          <w:tcPr>
            <w:tcW w:w="561" w:type="dxa"/>
            <w:vAlign w:val="bottom"/>
          </w:tcPr>
          <w:p>
            <w:pPr>
              <w:pStyle w:val="321"/>
              <w:spacing w:before="120" w:beforeLines="50" w:after="120" w:afterLines="50" w:line="240" w:lineRule="atLeast"/>
              <w:rPr>
                <w:color w:val="000000"/>
              </w:rPr>
            </w:pPr>
            <w:r>
              <w:rPr>
                <w:color w:val="000000"/>
              </w:rPr>
              <w:t>1362</w:t>
            </w:r>
          </w:p>
        </w:tc>
        <w:tc>
          <w:tcPr>
            <w:tcW w:w="562" w:type="dxa"/>
            <w:vAlign w:val="bottom"/>
          </w:tcPr>
          <w:p>
            <w:pPr>
              <w:pStyle w:val="321"/>
              <w:spacing w:before="120" w:beforeLines="50" w:after="120" w:afterLines="50" w:line="240" w:lineRule="atLeast"/>
              <w:rPr>
                <w:color w:val="000000"/>
              </w:rPr>
            </w:pPr>
            <w:r>
              <w:rPr>
                <w:color w:val="000000"/>
              </w:rPr>
              <w:t>1179</w:t>
            </w:r>
          </w:p>
        </w:tc>
        <w:tc>
          <w:tcPr>
            <w:tcW w:w="562" w:type="dxa"/>
            <w:vAlign w:val="bottom"/>
          </w:tcPr>
          <w:p>
            <w:pPr>
              <w:pStyle w:val="321"/>
              <w:spacing w:before="120" w:beforeLines="50" w:after="120" w:afterLines="50" w:line="240" w:lineRule="atLeast"/>
              <w:rPr>
                <w:color w:val="000000"/>
              </w:rPr>
            </w:pPr>
            <w:r>
              <w:rPr>
                <w:color w:val="000000"/>
              </w:rPr>
              <w:t>1078</w:t>
            </w:r>
          </w:p>
        </w:tc>
        <w:tc>
          <w:tcPr>
            <w:tcW w:w="594" w:type="dxa"/>
            <w:vAlign w:val="bottom"/>
          </w:tcPr>
          <w:p>
            <w:pPr>
              <w:pStyle w:val="321"/>
              <w:spacing w:before="120" w:beforeLines="50" w:after="120" w:afterLines="50" w:line="240" w:lineRule="atLeast"/>
              <w:rPr>
                <w:color w:val="000000"/>
              </w:rPr>
            </w:pPr>
            <w:r>
              <w:rPr>
                <w:color w:val="000000"/>
              </w:rPr>
              <w:t>1015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56" w:type="dxa"/>
            <w:vAlign w:val="center"/>
          </w:tcPr>
          <w:p>
            <w:pPr>
              <w:pStyle w:val="321"/>
              <w:spacing w:before="120" w:beforeLines="50" w:after="120" w:afterLines="50" w:line="240" w:lineRule="atLeast"/>
              <w:rPr>
                <w:color w:val="000000"/>
              </w:rPr>
            </w:pPr>
            <w:r>
              <w:rPr>
                <w:color w:val="000000"/>
              </w:rPr>
              <w:t>2</w:t>
            </w:r>
          </w:p>
        </w:tc>
        <w:tc>
          <w:tcPr>
            <w:tcW w:w="1309" w:type="dxa"/>
            <w:vAlign w:val="center"/>
          </w:tcPr>
          <w:p>
            <w:pPr>
              <w:pStyle w:val="321"/>
              <w:spacing w:before="120" w:beforeLines="50" w:after="120" w:afterLines="50" w:line="240" w:lineRule="atLeast"/>
              <w:rPr>
                <w:color w:val="000000"/>
              </w:rPr>
            </w:pPr>
            <w:r>
              <w:rPr>
                <w:color w:val="000000"/>
              </w:rPr>
              <w:t>秋风岭</w:t>
            </w:r>
          </w:p>
        </w:tc>
        <w:tc>
          <w:tcPr>
            <w:tcW w:w="1312" w:type="dxa"/>
            <w:vAlign w:val="center"/>
          </w:tcPr>
          <w:p>
            <w:pPr>
              <w:pStyle w:val="321"/>
              <w:spacing w:before="120" w:beforeLines="50" w:after="120" w:afterLines="50" w:line="240" w:lineRule="atLeast"/>
              <w:rPr>
                <w:color w:val="000000"/>
              </w:rPr>
            </w:pPr>
            <w:r>
              <w:rPr>
                <w:color w:val="000000"/>
              </w:rPr>
              <w:t>1881</w:t>
            </w:r>
          </w:p>
        </w:tc>
        <w:tc>
          <w:tcPr>
            <w:tcW w:w="691" w:type="dxa"/>
            <w:vAlign w:val="center"/>
          </w:tcPr>
          <w:p>
            <w:pPr>
              <w:pStyle w:val="321"/>
              <w:spacing w:before="120" w:beforeLines="50" w:after="120" w:afterLines="50" w:line="240" w:lineRule="atLeast"/>
              <w:rPr>
                <w:color w:val="000000"/>
              </w:rPr>
            </w:pPr>
            <w:r>
              <w:rPr>
                <w:color w:val="000000"/>
              </w:rPr>
              <w:t>0.25</w:t>
            </w:r>
          </w:p>
        </w:tc>
        <w:tc>
          <w:tcPr>
            <w:tcW w:w="691" w:type="dxa"/>
            <w:vAlign w:val="center"/>
          </w:tcPr>
          <w:p>
            <w:pPr>
              <w:pStyle w:val="321"/>
              <w:spacing w:before="120" w:beforeLines="50" w:after="120" w:afterLines="50" w:line="240" w:lineRule="atLeast"/>
              <w:rPr>
                <w:color w:val="000000"/>
              </w:rPr>
            </w:pPr>
            <w:r>
              <w:rPr>
                <w:color w:val="000000"/>
              </w:rPr>
              <w:t>2</w:t>
            </w:r>
          </w:p>
        </w:tc>
        <w:tc>
          <w:tcPr>
            <w:tcW w:w="561" w:type="dxa"/>
            <w:vAlign w:val="bottom"/>
          </w:tcPr>
          <w:p>
            <w:pPr>
              <w:pStyle w:val="321"/>
              <w:spacing w:before="120" w:beforeLines="50" w:after="120" w:afterLines="50" w:line="240" w:lineRule="atLeast"/>
              <w:rPr>
                <w:color w:val="000000"/>
              </w:rPr>
            </w:pPr>
            <w:r>
              <w:rPr>
                <w:color w:val="000000"/>
              </w:rPr>
              <w:t>2503</w:t>
            </w:r>
          </w:p>
        </w:tc>
        <w:tc>
          <w:tcPr>
            <w:tcW w:w="561" w:type="dxa"/>
            <w:vAlign w:val="bottom"/>
          </w:tcPr>
          <w:p>
            <w:pPr>
              <w:pStyle w:val="321"/>
              <w:spacing w:before="120" w:beforeLines="50" w:after="120" w:afterLines="50" w:line="240" w:lineRule="atLeast"/>
              <w:rPr>
                <w:color w:val="000000"/>
              </w:rPr>
            </w:pPr>
            <w:r>
              <w:rPr>
                <w:color w:val="000000"/>
              </w:rPr>
              <w:t>2261</w:t>
            </w:r>
          </w:p>
        </w:tc>
        <w:tc>
          <w:tcPr>
            <w:tcW w:w="561" w:type="dxa"/>
            <w:vAlign w:val="bottom"/>
          </w:tcPr>
          <w:p>
            <w:pPr>
              <w:pStyle w:val="321"/>
              <w:spacing w:before="120" w:beforeLines="50" w:after="120" w:afterLines="50" w:line="240" w:lineRule="atLeast"/>
              <w:rPr>
                <w:color w:val="000000"/>
              </w:rPr>
            </w:pPr>
            <w:r>
              <w:rPr>
                <w:color w:val="000000"/>
              </w:rPr>
              <w:t>1842</w:t>
            </w:r>
          </w:p>
        </w:tc>
        <w:tc>
          <w:tcPr>
            <w:tcW w:w="561" w:type="dxa"/>
            <w:vAlign w:val="bottom"/>
          </w:tcPr>
          <w:p>
            <w:pPr>
              <w:pStyle w:val="321"/>
              <w:spacing w:before="120" w:beforeLines="50" w:after="120" w:afterLines="50" w:line="240" w:lineRule="atLeast"/>
              <w:rPr>
                <w:color w:val="000000"/>
              </w:rPr>
            </w:pPr>
            <w:r>
              <w:rPr>
                <w:color w:val="000000"/>
              </w:rPr>
              <w:t>1546</w:t>
            </w:r>
          </w:p>
        </w:tc>
        <w:tc>
          <w:tcPr>
            <w:tcW w:w="562" w:type="dxa"/>
            <w:vAlign w:val="bottom"/>
          </w:tcPr>
          <w:p>
            <w:pPr>
              <w:pStyle w:val="321"/>
              <w:spacing w:before="120" w:beforeLines="50" w:after="120" w:afterLines="50" w:line="240" w:lineRule="atLeast"/>
              <w:rPr>
                <w:color w:val="000000"/>
              </w:rPr>
            </w:pPr>
            <w:r>
              <w:rPr>
                <w:color w:val="000000"/>
              </w:rPr>
              <w:t>1309</w:t>
            </w:r>
          </w:p>
        </w:tc>
        <w:tc>
          <w:tcPr>
            <w:tcW w:w="562" w:type="dxa"/>
            <w:vAlign w:val="bottom"/>
          </w:tcPr>
          <w:p>
            <w:pPr>
              <w:pStyle w:val="321"/>
              <w:spacing w:before="120" w:beforeLines="50" w:after="120" w:afterLines="50" w:line="240" w:lineRule="atLeast"/>
              <w:rPr>
                <w:color w:val="000000"/>
              </w:rPr>
            </w:pPr>
            <w:r>
              <w:rPr>
                <w:color w:val="000000"/>
              </w:rPr>
              <w:t>1180</w:t>
            </w:r>
          </w:p>
        </w:tc>
        <w:tc>
          <w:tcPr>
            <w:tcW w:w="594" w:type="dxa"/>
            <w:vAlign w:val="bottom"/>
          </w:tcPr>
          <w:p>
            <w:pPr>
              <w:pStyle w:val="321"/>
              <w:spacing w:before="120" w:beforeLines="50" w:after="120" w:afterLines="50" w:line="240" w:lineRule="atLeast"/>
              <w:rPr>
                <w:color w:val="000000"/>
              </w:rPr>
            </w:pPr>
            <w:r>
              <w:rPr>
                <w:color w:val="000000"/>
              </w:rPr>
              <w:t>1101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56" w:type="dxa"/>
            <w:vAlign w:val="center"/>
          </w:tcPr>
          <w:p>
            <w:pPr>
              <w:pStyle w:val="321"/>
              <w:spacing w:before="120" w:beforeLines="50" w:after="120" w:afterLines="50" w:line="240" w:lineRule="atLeast"/>
              <w:rPr>
                <w:color w:val="000000"/>
              </w:rPr>
            </w:pPr>
            <w:r>
              <w:rPr>
                <w:color w:val="000000"/>
              </w:rPr>
              <w:t>3</w:t>
            </w:r>
          </w:p>
        </w:tc>
        <w:tc>
          <w:tcPr>
            <w:tcW w:w="1309" w:type="dxa"/>
            <w:vAlign w:val="center"/>
          </w:tcPr>
          <w:p>
            <w:pPr>
              <w:pStyle w:val="321"/>
              <w:spacing w:before="120" w:beforeLines="50" w:after="120" w:afterLines="50" w:line="240" w:lineRule="atLeast"/>
              <w:rPr>
                <w:color w:val="000000"/>
              </w:rPr>
            </w:pPr>
            <w:r>
              <w:rPr>
                <w:color w:val="000000"/>
              </w:rPr>
              <w:t>和平</w:t>
            </w:r>
          </w:p>
        </w:tc>
        <w:tc>
          <w:tcPr>
            <w:tcW w:w="1312" w:type="dxa"/>
            <w:vAlign w:val="center"/>
          </w:tcPr>
          <w:p>
            <w:pPr>
              <w:pStyle w:val="321"/>
              <w:spacing w:before="120" w:beforeLines="50" w:after="120" w:afterLines="50" w:line="240" w:lineRule="atLeast"/>
              <w:rPr>
                <w:color w:val="000000"/>
              </w:rPr>
            </w:pPr>
            <w:r>
              <w:rPr>
                <w:color w:val="000000"/>
              </w:rPr>
              <w:t>1698</w:t>
            </w:r>
          </w:p>
        </w:tc>
        <w:tc>
          <w:tcPr>
            <w:tcW w:w="691" w:type="dxa"/>
            <w:vAlign w:val="center"/>
          </w:tcPr>
          <w:p>
            <w:pPr>
              <w:pStyle w:val="321"/>
              <w:spacing w:before="120" w:beforeLines="50" w:after="120" w:afterLines="50" w:line="240" w:lineRule="atLeast"/>
              <w:rPr>
                <w:color w:val="000000"/>
              </w:rPr>
            </w:pPr>
            <w:r>
              <w:rPr>
                <w:color w:val="000000"/>
              </w:rPr>
              <w:t>0.25</w:t>
            </w:r>
          </w:p>
        </w:tc>
        <w:tc>
          <w:tcPr>
            <w:tcW w:w="691" w:type="dxa"/>
            <w:vAlign w:val="center"/>
          </w:tcPr>
          <w:p>
            <w:pPr>
              <w:pStyle w:val="321"/>
              <w:spacing w:before="120" w:beforeLines="50" w:after="120" w:afterLines="50" w:line="240" w:lineRule="atLeast"/>
              <w:rPr>
                <w:color w:val="000000"/>
              </w:rPr>
            </w:pPr>
            <w:r>
              <w:rPr>
                <w:color w:val="000000"/>
              </w:rPr>
              <w:t>2</w:t>
            </w:r>
          </w:p>
        </w:tc>
        <w:tc>
          <w:tcPr>
            <w:tcW w:w="561" w:type="dxa"/>
            <w:vAlign w:val="bottom"/>
          </w:tcPr>
          <w:p>
            <w:pPr>
              <w:pStyle w:val="321"/>
              <w:spacing w:before="120" w:beforeLines="50" w:after="120" w:afterLines="50" w:line="240" w:lineRule="atLeast"/>
              <w:rPr>
                <w:color w:val="000000"/>
              </w:rPr>
            </w:pPr>
            <w:r>
              <w:rPr>
                <w:color w:val="000000"/>
              </w:rPr>
              <w:t>2260</w:t>
            </w:r>
          </w:p>
        </w:tc>
        <w:tc>
          <w:tcPr>
            <w:tcW w:w="561" w:type="dxa"/>
            <w:vAlign w:val="bottom"/>
          </w:tcPr>
          <w:p>
            <w:pPr>
              <w:pStyle w:val="321"/>
              <w:spacing w:before="120" w:beforeLines="50" w:after="120" w:afterLines="50" w:line="240" w:lineRule="atLeast"/>
              <w:rPr>
                <w:color w:val="000000"/>
              </w:rPr>
            </w:pPr>
            <w:r>
              <w:rPr>
                <w:color w:val="000000"/>
              </w:rPr>
              <w:t>2041</w:t>
            </w:r>
          </w:p>
        </w:tc>
        <w:tc>
          <w:tcPr>
            <w:tcW w:w="561" w:type="dxa"/>
            <w:vAlign w:val="bottom"/>
          </w:tcPr>
          <w:p>
            <w:pPr>
              <w:pStyle w:val="321"/>
              <w:spacing w:before="120" w:beforeLines="50" w:after="120" w:afterLines="50" w:line="240" w:lineRule="atLeast"/>
              <w:rPr>
                <w:color w:val="000000"/>
              </w:rPr>
            </w:pPr>
            <w:r>
              <w:rPr>
                <w:color w:val="000000"/>
              </w:rPr>
              <w:t>1663</w:t>
            </w:r>
          </w:p>
        </w:tc>
        <w:tc>
          <w:tcPr>
            <w:tcW w:w="561" w:type="dxa"/>
            <w:vAlign w:val="bottom"/>
          </w:tcPr>
          <w:p>
            <w:pPr>
              <w:pStyle w:val="321"/>
              <w:spacing w:before="120" w:beforeLines="50" w:after="120" w:afterLines="50" w:line="240" w:lineRule="atLeast"/>
              <w:rPr>
                <w:color w:val="000000"/>
              </w:rPr>
            </w:pPr>
            <w:r>
              <w:rPr>
                <w:color w:val="000000"/>
              </w:rPr>
              <w:t>1396</w:t>
            </w:r>
          </w:p>
        </w:tc>
        <w:tc>
          <w:tcPr>
            <w:tcW w:w="562" w:type="dxa"/>
            <w:vAlign w:val="bottom"/>
          </w:tcPr>
          <w:p>
            <w:pPr>
              <w:pStyle w:val="321"/>
              <w:spacing w:before="120" w:beforeLines="50" w:after="120" w:afterLines="50" w:line="240" w:lineRule="atLeast"/>
              <w:rPr>
                <w:color w:val="000000"/>
              </w:rPr>
            </w:pPr>
            <w:r>
              <w:rPr>
                <w:color w:val="000000"/>
              </w:rPr>
              <w:t>1182</w:t>
            </w:r>
          </w:p>
        </w:tc>
        <w:tc>
          <w:tcPr>
            <w:tcW w:w="562" w:type="dxa"/>
            <w:vAlign w:val="bottom"/>
          </w:tcPr>
          <w:p>
            <w:pPr>
              <w:pStyle w:val="321"/>
              <w:spacing w:before="120" w:beforeLines="50" w:after="120" w:afterLines="50" w:line="240" w:lineRule="atLeast"/>
              <w:rPr>
                <w:color w:val="000000"/>
              </w:rPr>
            </w:pPr>
            <w:r>
              <w:rPr>
                <w:color w:val="000000"/>
              </w:rPr>
              <w:t>1065</w:t>
            </w:r>
          </w:p>
        </w:tc>
        <w:tc>
          <w:tcPr>
            <w:tcW w:w="594" w:type="dxa"/>
            <w:vAlign w:val="bottom"/>
          </w:tcPr>
          <w:p>
            <w:pPr>
              <w:pStyle w:val="321"/>
              <w:spacing w:before="120" w:beforeLines="50" w:after="120" w:afterLines="50" w:line="240" w:lineRule="atLeast"/>
              <w:rPr>
                <w:color w:val="000000"/>
              </w:rPr>
            </w:pPr>
            <w:r>
              <w:rPr>
                <w:color w:val="000000"/>
              </w:rPr>
              <w:t>994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56" w:type="dxa"/>
            <w:vAlign w:val="center"/>
          </w:tcPr>
          <w:p>
            <w:pPr>
              <w:pStyle w:val="321"/>
              <w:spacing w:before="120" w:beforeLines="50" w:after="120" w:afterLines="50" w:line="240" w:lineRule="atLeast"/>
              <w:rPr>
                <w:color w:val="000000"/>
              </w:rPr>
            </w:pPr>
            <w:r>
              <w:rPr>
                <w:color w:val="000000"/>
              </w:rPr>
              <w:t>4</w:t>
            </w:r>
          </w:p>
        </w:tc>
        <w:tc>
          <w:tcPr>
            <w:tcW w:w="1309" w:type="dxa"/>
            <w:vAlign w:val="center"/>
          </w:tcPr>
          <w:p>
            <w:pPr>
              <w:pStyle w:val="321"/>
              <w:spacing w:before="120" w:beforeLines="50" w:after="120" w:afterLines="50" w:line="240" w:lineRule="atLeast"/>
              <w:rPr>
                <w:color w:val="000000"/>
              </w:rPr>
            </w:pPr>
            <w:r>
              <w:rPr>
                <w:color w:val="000000"/>
              </w:rPr>
              <w:t>钱坑</w:t>
            </w:r>
          </w:p>
        </w:tc>
        <w:tc>
          <w:tcPr>
            <w:tcW w:w="1312" w:type="dxa"/>
            <w:vAlign w:val="center"/>
          </w:tcPr>
          <w:p>
            <w:pPr>
              <w:pStyle w:val="321"/>
              <w:spacing w:before="120" w:beforeLines="50" w:after="120" w:afterLines="50" w:line="240" w:lineRule="atLeast"/>
              <w:rPr>
                <w:color w:val="000000"/>
              </w:rPr>
            </w:pPr>
            <w:r>
              <w:rPr>
                <w:color w:val="000000"/>
              </w:rPr>
              <w:t>2022</w:t>
            </w:r>
          </w:p>
        </w:tc>
        <w:tc>
          <w:tcPr>
            <w:tcW w:w="691" w:type="dxa"/>
            <w:vAlign w:val="center"/>
          </w:tcPr>
          <w:p>
            <w:pPr>
              <w:pStyle w:val="321"/>
              <w:spacing w:before="120" w:beforeLines="50" w:after="120" w:afterLines="50" w:line="240" w:lineRule="atLeast"/>
              <w:rPr>
                <w:color w:val="000000"/>
              </w:rPr>
            </w:pPr>
            <w:r>
              <w:rPr>
                <w:color w:val="000000"/>
              </w:rPr>
              <w:t>0.20</w:t>
            </w:r>
          </w:p>
        </w:tc>
        <w:tc>
          <w:tcPr>
            <w:tcW w:w="691" w:type="dxa"/>
            <w:vAlign w:val="center"/>
          </w:tcPr>
          <w:p>
            <w:pPr>
              <w:pStyle w:val="321"/>
              <w:spacing w:before="120" w:beforeLines="50" w:after="120" w:afterLines="50" w:line="240" w:lineRule="atLeast"/>
              <w:rPr>
                <w:color w:val="000000"/>
              </w:rPr>
            </w:pPr>
            <w:r>
              <w:rPr>
                <w:color w:val="000000"/>
              </w:rPr>
              <w:t>2</w:t>
            </w:r>
          </w:p>
        </w:tc>
        <w:tc>
          <w:tcPr>
            <w:tcW w:w="561" w:type="dxa"/>
            <w:vAlign w:val="bottom"/>
          </w:tcPr>
          <w:p>
            <w:pPr>
              <w:pStyle w:val="321"/>
              <w:spacing w:before="120" w:beforeLines="50" w:after="120" w:afterLines="50" w:line="240" w:lineRule="atLeast"/>
              <w:rPr>
                <w:color w:val="000000"/>
              </w:rPr>
            </w:pPr>
            <w:r>
              <w:rPr>
                <w:color w:val="000000"/>
              </w:rPr>
              <w:t>2554</w:t>
            </w:r>
          </w:p>
        </w:tc>
        <w:tc>
          <w:tcPr>
            <w:tcW w:w="561" w:type="dxa"/>
            <w:vAlign w:val="bottom"/>
          </w:tcPr>
          <w:p>
            <w:pPr>
              <w:pStyle w:val="321"/>
              <w:spacing w:before="120" w:beforeLines="50" w:after="120" w:afterLines="50" w:line="240" w:lineRule="atLeast"/>
              <w:rPr>
                <w:color w:val="000000"/>
              </w:rPr>
            </w:pPr>
            <w:r>
              <w:rPr>
                <w:color w:val="000000"/>
              </w:rPr>
              <w:t>2352</w:t>
            </w:r>
          </w:p>
        </w:tc>
        <w:tc>
          <w:tcPr>
            <w:tcW w:w="561" w:type="dxa"/>
            <w:vAlign w:val="bottom"/>
          </w:tcPr>
          <w:p>
            <w:pPr>
              <w:pStyle w:val="321"/>
              <w:spacing w:before="120" w:beforeLines="50" w:after="120" w:afterLines="50" w:line="240" w:lineRule="atLeast"/>
              <w:rPr>
                <w:color w:val="000000"/>
              </w:rPr>
            </w:pPr>
            <w:r>
              <w:rPr>
                <w:color w:val="000000"/>
              </w:rPr>
              <w:t>1995</w:t>
            </w:r>
          </w:p>
        </w:tc>
        <w:tc>
          <w:tcPr>
            <w:tcW w:w="561" w:type="dxa"/>
            <w:vAlign w:val="bottom"/>
          </w:tcPr>
          <w:p>
            <w:pPr>
              <w:pStyle w:val="321"/>
              <w:spacing w:before="120" w:beforeLines="50" w:after="120" w:afterLines="50" w:line="240" w:lineRule="atLeast"/>
              <w:rPr>
                <w:color w:val="000000"/>
              </w:rPr>
            </w:pPr>
            <w:r>
              <w:rPr>
                <w:color w:val="000000"/>
              </w:rPr>
              <w:t>1737</w:t>
            </w:r>
          </w:p>
        </w:tc>
        <w:tc>
          <w:tcPr>
            <w:tcW w:w="562" w:type="dxa"/>
            <w:vAlign w:val="bottom"/>
          </w:tcPr>
          <w:p>
            <w:pPr>
              <w:pStyle w:val="321"/>
              <w:spacing w:before="120" w:beforeLines="50" w:after="120" w:afterLines="50" w:line="240" w:lineRule="atLeast"/>
              <w:rPr>
                <w:color w:val="000000"/>
              </w:rPr>
            </w:pPr>
            <w:r>
              <w:rPr>
                <w:color w:val="000000"/>
              </w:rPr>
              <w:t>1524</w:t>
            </w:r>
          </w:p>
        </w:tc>
        <w:tc>
          <w:tcPr>
            <w:tcW w:w="562" w:type="dxa"/>
            <w:vAlign w:val="bottom"/>
          </w:tcPr>
          <w:p>
            <w:pPr>
              <w:pStyle w:val="321"/>
              <w:spacing w:before="120" w:beforeLines="50" w:after="120" w:afterLines="50" w:line="240" w:lineRule="atLeast"/>
              <w:rPr>
                <w:color w:val="000000"/>
              </w:rPr>
            </w:pPr>
            <w:r>
              <w:rPr>
                <w:color w:val="000000"/>
              </w:rPr>
              <w:t>1406</w:t>
            </w:r>
          </w:p>
        </w:tc>
        <w:tc>
          <w:tcPr>
            <w:tcW w:w="594" w:type="dxa"/>
            <w:vAlign w:val="bottom"/>
          </w:tcPr>
          <w:p>
            <w:pPr>
              <w:pStyle w:val="321"/>
              <w:spacing w:before="120" w:beforeLines="50" w:after="120" w:afterLines="50" w:line="240" w:lineRule="atLeast"/>
              <w:rPr>
                <w:color w:val="000000"/>
              </w:rPr>
            </w:pPr>
            <w:r>
              <w:rPr>
                <w:color w:val="000000"/>
              </w:rPr>
              <w:t>1333</w:t>
            </w:r>
          </w:p>
        </w:tc>
      </w:tr>
    </w:tbl>
    <w:p>
      <w:pPr>
        <w:pStyle w:val="179"/>
        <w:spacing w:line="500" w:lineRule="atLeast"/>
        <w:jc w:val="both"/>
      </w:pPr>
    </w:p>
    <w:p>
      <w:pPr>
        <w:pStyle w:val="6"/>
      </w:pPr>
      <w:r>
        <w:t>1.1.2.2  工程地质</w:t>
      </w:r>
    </w:p>
    <w:p>
      <w:pPr>
        <w:overflowPunct w:val="0"/>
        <w:spacing w:line="500" w:lineRule="atLeast"/>
        <w:ind w:firstLine="480" w:firstLineChars="200"/>
        <w:rPr>
          <w:snapToGrid w:val="0"/>
          <w:sz w:val="24"/>
        </w:rPr>
      </w:pPr>
      <w:r>
        <w:rPr>
          <w:snapToGrid w:val="0"/>
          <w:sz w:val="24"/>
        </w:rPr>
        <w:t>(1)  地形地貌</w:t>
      </w:r>
    </w:p>
    <w:p>
      <w:pPr>
        <w:adjustRightInd w:val="0"/>
        <w:snapToGrid w:val="0"/>
        <w:spacing w:line="500" w:lineRule="atLeast"/>
        <w:ind w:firstLine="480" w:firstLineChars="200"/>
        <w:rPr>
          <w:color w:val="000000"/>
          <w:sz w:val="24"/>
        </w:rPr>
      </w:pPr>
      <w:r>
        <w:rPr>
          <w:color w:val="000000"/>
          <w:sz w:val="24"/>
        </w:rPr>
        <w:t>本区位于广东省东部，东南与南海相邻，西北背靠粤东山区，区内主要为榕江、韩江、练江冲积平原夹低山丘陵地貌，总体地势呈西北高东南低，由西北向东南倾斜。区内发育形成有韩江、榕江、练江三大水系，江水均从西北流向东南，分别在区内形成有韩江三角洲平原、榕江三角洲平原、练江三角洲平原。韩江中、上游为莲花山山脉，它是韩江与东江、九龙江、榕江的分水岭。莲花山脉晚第三纪以来长期隆升，故韩江中、上游地貌反差强烈，山高谷深，河流纵比降大。三河坝至潮州的韩江中游两岸山地紧逼，河谷深切。韩江中、上游的岩石主要为燕山期花岗岩、侏罗系火山岩(流纹岩)、白垩系至第三系红岩，风化强烈，韩江三角洲的东南面向海开敞，其余三面的外围地貌主要为低丘陵，还有部分高丘陵、台地及冲积平原。</w:t>
      </w:r>
    </w:p>
    <w:p>
      <w:pPr>
        <w:adjustRightInd w:val="0"/>
        <w:snapToGrid w:val="0"/>
        <w:spacing w:line="500" w:lineRule="atLeast"/>
        <w:ind w:firstLine="480" w:firstLineChars="200"/>
        <w:rPr>
          <w:color w:val="000000"/>
          <w:sz w:val="24"/>
        </w:rPr>
      </w:pPr>
      <w:r>
        <w:rPr>
          <w:color w:val="000000"/>
          <w:sz w:val="24"/>
        </w:rPr>
        <w:t>输水线路大部分位于韩江、榕江、练江冲积平原或平原与低山残丘交界附近，地势平坦起伏较小，地面高程多为5m～20m，少部分位于低山丘陵中，山岭高程约50m～250m。</w:t>
      </w:r>
    </w:p>
    <w:p>
      <w:pPr>
        <w:overflowPunct w:val="0"/>
        <w:spacing w:line="500" w:lineRule="atLeast"/>
        <w:ind w:firstLine="480" w:firstLineChars="200"/>
        <w:rPr>
          <w:snapToGrid w:val="0"/>
          <w:sz w:val="24"/>
        </w:rPr>
      </w:pPr>
      <w:r>
        <w:rPr>
          <w:snapToGrid w:val="0"/>
          <w:sz w:val="24"/>
        </w:rPr>
        <w:t>(2)  地层岩性</w:t>
      </w:r>
    </w:p>
    <w:p>
      <w:pPr>
        <w:adjustRightInd w:val="0"/>
        <w:snapToGrid w:val="0"/>
        <w:spacing w:line="500" w:lineRule="atLeast"/>
        <w:ind w:firstLine="480" w:firstLineChars="200"/>
        <w:rPr>
          <w:color w:val="000000"/>
          <w:sz w:val="24"/>
        </w:rPr>
      </w:pPr>
      <w:r>
        <w:rPr>
          <w:color w:val="000000"/>
          <w:sz w:val="24"/>
        </w:rPr>
        <w:t>根据工程地质测绘成果及钻孔揭露情况，本工程区地层按成因类型自上而下依次为：第四系覆盖层(Q)、侏罗系金鸡组(J1jn)沉积岩、三叠系上统上段(T3c)沉积岩与燕山期侵入花岗岩。各岩土层特征论述如下：</w:t>
      </w:r>
    </w:p>
    <w:p>
      <w:pPr>
        <w:adjustRightInd w:val="0"/>
        <w:snapToGrid w:val="0"/>
        <w:spacing w:line="500" w:lineRule="atLeast"/>
        <w:ind w:firstLine="480" w:firstLineChars="200"/>
        <w:rPr>
          <w:color w:val="000000"/>
          <w:sz w:val="24"/>
        </w:rPr>
      </w:pPr>
      <w:r>
        <w:rPr>
          <w:color w:val="000000"/>
          <w:sz w:val="24"/>
        </w:rPr>
        <w:t>1)  第四系覆盖层(Q)</w:t>
      </w:r>
    </w:p>
    <w:p>
      <w:pPr>
        <w:adjustRightInd w:val="0"/>
        <w:snapToGrid w:val="0"/>
        <w:spacing w:line="500" w:lineRule="atLeast"/>
        <w:ind w:firstLine="480" w:firstLineChars="200"/>
        <w:rPr>
          <w:color w:val="000000"/>
          <w:sz w:val="24"/>
        </w:rPr>
      </w:pPr>
      <w:r>
        <w:rPr>
          <w:rFonts w:hint="eastAsia"/>
          <w:color w:val="000000"/>
          <w:sz w:val="24"/>
        </w:rPr>
        <w:t>①</w:t>
      </w:r>
      <w:r>
        <w:rPr>
          <w:color w:val="000000"/>
          <w:sz w:val="24"/>
        </w:rPr>
        <w:t xml:space="preserve">  人工填土层：褐色、灰褐色，主要由砂质粉质黏土填筑，含植物根系，欠压实，土质不均匀，黏性差，局部含有碎石等硬物。该层主要分布于农田、城镇等地区；钻孔揭露层厚1m～7m，层底高程-3m～28.9m。</w:t>
      </w:r>
    </w:p>
    <w:p>
      <w:pPr>
        <w:adjustRightInd w:val="0"/>
        <w:snapToGrid w:val="0"/>
        <w:spacing w:line="500" w:lineRule="atLeast"/>
        <w:ind w:firstLine="480" w:firstLineChars="200"/>
        <w:rPr>
          <w:color w:val="000000"/>
          <w:sz w:val="24"/>
        </w:rPr>
      </w:pPr>
      <w:r>
        <w:rPr>
          <w:rFonts w:hint="eastAsia"/>
          <w:color w:val="000000"/>
          <w:sz w:val="24"/>
        </w:rPr>
        <w:t>②</w:t>
      </w:r>
      <w:r>
        <w:rPr>
          <w:color w:val="000000"/>
          <w:sz w:val="24"/>
        </w:rPr>
        <w:t xml:space="preserve">  -1淤泥质土：局部为淤泥，灰黑色、深灰色，流塑～软塑状，土质较均匀，黏性好，局部含砂质或贝壳碎屑，该层分布广泛；钻孔揭露该层厚度6m～30m，层底高程-28m～-5m。</w:t>
      </w:r>
    </w:p>
    <w:p>
      <w:pPr>
        <w:adjustRightInd w:val="0"/>
        <w:snapToGrid w:val="0"/>
        <w:spacing w:line="500" w:lineRule="atLeast"/>
        <w:ind w:firstLine="480" w:firstLineChars="200"/>
        <w:rPr>
          <w:color w:val="000000"/>
          <w:sz w:val="24"/>
        </w:rPr>
      </w:pPr>
      <w:r>
        <w:rPr>
          <w:rFonts w:hint="eastAsia"/>
          <w:color w:val="000000"/>
          <w:sz w:val="24"/>
        </w:rPr>
        <w:t>②</w:t>
      </w:r>
      <w:r>
        <w:rPr>
          <w:color w:val="000000"/>
          <w:sz w:val="24"/>
        </w:rPr>
        <w:t xml:space="preserve">  -2黏性土：灰黄、褐黄色，土质较均匀，黏性较好，可塑状为主，局部含少量砂质。该层分布不连续，钻孔揭露该层厚度约3m～8m，层底高程约-28m～-5.5m。</w:t>
      </w:r>
    </w:p>
    <w:p>
      <w:pPr>
        <w:adjustRightInd w:val="0"/>
        <w:snapToGrid w:val="0"/>
        <w:spacing w:line="500" w:lineRule="atLeast"/>
        <w:ind w:firstLine="480" w:firstLineChars="200"/>
        <w:rPr>
          <w:color w:val="000000"/>
          <w:sz w:val="24"/>
        </w:rPr>
      </w:pPr>
      <w:r>
        <w:rPr>
          <w:rFonts w:hint="eastAsia"/>
          <w:color w:val="000000"/>
          <w:sz w:val="24"/>
        </w:rPr>
        <w:t>②</w:t>
      </w:r>
      <w:r>
        <w:rPr>
          <w:color w:val="000000"/>
          <w:sz w:val="24"/>
        </w:rPr>
        <w:t xml:space="preserve">  -3中粗砂：灰白、浅灰、灰褐色，稍密～中密状，饱和，颗粒较均匀，局部含有砾砂或少量泥质。该层分布较连续，钻孔揭露层厚约3m～20m，层底高程约-39m～-1.1m。</w:t>
      </w:r>
    </w:p>
    <w:p>
      <w:pPr>
        <w:adjustRightInd w:val="0"/>
        <w:snapToGrid w:val="0"/>
        <w:spacing w:line="500" w:lineRule="atLeast"/>
        <w:ind w:firstLine="480" w:firstLineChars="200"/>
        <w:rPr>
          <w:color w:val="000000"/>
          <w:sz w:val="24"/>
        </w:rPr>
      </w:pPr>
      <w:r>
        <w:rPr>
          <w:rFonts w:hint="eastAsia"/>
          <w:color w:val="000000"/>
          <w:sz w:val="24"/>
        </w:rPr>
        <w:t>②</w:t>
      </w:r>
      <w:r>
        <w:rPr>
          <w:color w:val="000000"/>
          <w:sz w:val="24"/>
        </w:rPr>
        <w:t xml:space="preserve">  -4淤泥质土：灰黑、深灰色，局部夹粉质黏土，土质较不均，含砂质，软塑状为主，黏性较好。该层分布较连续，钻孔揭露层厚2m～16m，层底高程-40m～-17m。</w:t>
      </w:r>
    </w:p>
    <w:p>
      <w:pPr>
        <w:pStyle w:val="110"/>
        <w:ind w:firstLine="480"/>
        <w:rPr>
          <w:color w:val="000000"/>
        </w:rPr>
      </w:pPr>
      <w:r>
        <w:rPr>
          <w:rFonts w:hint="eastAsia"/>
          <w:color w:val="000000"/>
        </w:rPr>
        <w:t>②  -5中粗砂：灰白色，中密状，饱和，颗粒较不均，局部夹粉细砂层或含淤泥质。该层分布较连续，钻孔揭露层厚约2.8m～17m，层底高程-58m～-25m。</w:t>
      </w:r>
    </w:p>
    <w:p>
      <w:pPr>
        <w:pStyle w:val="110"/>
        <w:ind w:firstLine="480"/>
        <w:rPr>
          <w:color w:val="000000"/>
        </w:rPr>
      </w:pPr>
      <w:r>
        <w:rPr>
          <w:rFonts w:hint="eastAsia"/>
          <w:color w:val="000000"/>
        </w:rPr>
        <w:t>②  -6淤泥质土：灰黑、深灰色，局部夹粉质黏土，土质较不均，含砂质，软塑状为主，局部软可塑状，黏性较好。该层分布较连续，钻孔揭露层厚1.7m～18m。</w:t>
      </w:r>
    </w:p>
    <w:p>
      <w:pPr>
        <w:pStyle w:val="110"/>
        <w:ind w:firstLine="480"/>
        <w:rPr>
          <w:color w:val="000000"/>
        </w:rPr>
      </w:pPr>
      <w:r>
        <w:rPr>
          <w:rFonts w:hint="eastAsia"/>
          <w:color w:val="000000"/>
        </w:rPr>
        <w:t>②  -7中粗砂：灰白色，中密～密实状，饱和，颗粒较不均，局部夹中细砂层或含淤泥质。该层局部钻孔未揭露，揭露层厚5m～35m，层底高程-44m～-83m。</w:t>
      </w:r>
    </w:p>
    <w:p>
      <w:pPr>
        <w:pStyle w:val="110"/>
        <w:ind w:firstLine="480"/>
        <w:rPr>
          <w:color w:val="000000"/>
        </w:rPr>
      </w:pPr>
      <w:r>
        <w:rPr>
          <w:rFonts w:hint="eastAsia"/>
          <w:color w:val="000000"/>
        </w:rPr>
        <w:t>②  -8黏性土：灰白、黄白色，土质较均匀，可塑状为主、局部硬塑，黏性较好，局部见有淤泥质土。该层分布不连续，局部钻孔有揭露、局部未揭穿，揭露层厚约5m～27m，层底高程约-88m～-14.3m。</w:t>
      </w:r>
    </w:p>
    <w:p>
      <w:pPr>
        <w:pStyle w:val="110"/>
        <w:ind w:firstLine="480"/>
        <w:rPr>
          <w:color w:val="000000"/>
        </w:rPr>
      </w:pPr>
      <w:r>
        <w:rPr>
          <w:rFonts w:hint="eastAsia"/>
          <w:color w:val="000000"/>
        </w:rPr>
        <w:t>②  -9中粗砂、砂卵砾石：灰白色，颗粒较不均，以粗颗粒为主，密实状，饱和，局部含少量粉细砂。该层分布不连续、局部钻孔未揭穿，揭露层厚约2m～8m。</w:t>
      </w:r>
    </w:p>
    <w:p>
      <w:pPr>
        <w:pStyle w:val="110"/>
        <w:ind w:firstLine="480"/>
        <w:rPr>
          <w:color w:val="000000"/>
        </w:rPr>
      </w:pPr>
      <w:r>
        <w:rPr>
          <w:rFonts w:hint="eastAsia"/>
          <w:color w:val="000000"/>
        </w:rPr>
        <w:t>③  -1淤泥～淤泥质土：青灰、深灰、灰色，该层分布不连续，仅局部钻孔揭露；流塑～软塑状，土质较均，黏性较好，局部含少量砂质；钻孔揭露厚度1.2m～6.7m、底高程1.3m～22.2m。</w:t>
      </w:r>
    </w:p>
    <w:p>
      <w:pPr>
        <w:pStyle w:val="110"/>
        <w:ind w:firstLine="480"/>
        <w:rPr>
          <w:color w:val="000000"/>
        </w:rPr>
      </w:pPr>
      <w:r>
        <w:rPr>
          <w:rFonts w:hint="eastAsia"/>
          <w:color w:val="000000"/>
        </w:rPr>
        <w:t>③  -2黏性土：灰黄、褐黄色，局部青灰色，可塑状为主，土质较均匀，黏性较好，局部含粉细砂薄层；钻孔揭露厚度1.6m～15.0m、底高程-8.3m～19.5m。</w:t>
      </w:r>
    </w:p>
    <w:p>
      <w:pPr>
        <w:pStyle w:val="110"/>
        <w:ind w:firstLine="480"/>
        <w:rPr>
          <w:color w:val="000000"/>
        </w:rPr>
      </w:pPr>
      <w:r>
        <w:rPr>
          <w:rFonts w:hint="eastAsia"/>
          <w:color w:val="000000"/>
        </w:rPr>
        <w:t>③  -3中粗砂：浅黄、灰白色， 松散～稍密，颗粒较不均，局部颗粒稍粗含较多砾砂，饱和状；钻孔揭露厚度1.2m～22.5m、底高程-14.6m～18.2。</w:t>
      </w:r>
    </w:p>
    <w:p>
      <w:pPr>
        <w:pStyle w:val="110"/>
        <w:ind w:firstLine="480"/>
        <w:rPr>
          <w:color w:val="000000"/>
        </w:rPr>
      </w:pPr>
      <w:r>
        <w:rPr>
          <w:rFonts w:hint="eastAsia"/>
          <w:color w:val="000000"/>
        </w:rPr>
        <w:t>③  -4砂质粉质黏土：浅黄色为主，局部青灰色，可塑状为主，土质较不均，含较多砂质，黏性较差；钻孔揭露厚度2.6m～29.3m、底高程-26.9m～6.4m。</w:t>
      </w:r>
    </w:p>
    <w:p>
      <w:pPr>
        <w:pStyle w:val="110"/>
        <w:ind w:firstLine="480"/>
        <w:rPr>
          <w:color w:val="000000"/>
        </w:rPr>
      </w:pPr>
      <w:r>
        <w:rPr>
          <w:rFonts w:hint="eastAsia"/>
          <w:color w:val="000000"/>
        </w:rPr>
        <w:t>③  -5中粗砂：浅黄、灰白色，稍密～中密，颗粒较不均，局部颗粒稍粗含较多砾砂，饱和状；钻孔揭露厚度1.7m～10.6m、底高程-28.6m～-19.4m。</w:t>
      </w:r>
    </w:p>
    <w:p>
      <w:pPr>
        <w:pStyle w:val="110"/>
        <w:ind w:firstLine="480"/>
        <w:rPr>
          <w:color w:val="000000"/>
        </w:rPr>
      </w:pPr>
      <w:r>
        <w:rPr>
          <w:rFonts w:hint="eastAsia"/>
          <w:color w:val="000000"/>
        </w:rPr>
        <w:t>③  -6砂质粉质黏土：浅黄色为主，可塑状为主、局部硬塑状，土质较不均，含较多砂质，黏性较差；钻孔局部未揭穿、揭露厚度4.3m～40.0m、底高程-64.9m～-11.3m。</w:t>
      </w:r>
    </w:p>
    <w:p>
      <w:pPr>
        <w:pStyle w:val="110"/>
        <w:ind w:firstLine="480"/>
        <w:rPr>
          <w:color w:val="000000"/>
        </w:rPr>
      </w:pPr>
      <w:r>
        <w:rPr>
          <w:rFonts w:hint="eastAsia"/>
          <w:color w:val="000000"/>
        </w:rPr>
        <w:t>③  -7中粗砂、砾砂：浅黄、灰白、灰色，中密～密实，颗粒较不均，饱和状；钻孔揭露厚度3.2m～27.6m、底高程-43.6m～-24.8m。</w:t>
      </w:r>
    </w:p>
    <w:p>
      <w:pPr>
        <w:pStyle w:val="110"/>
        <w:ind w:firstLine="480"/>
        <w:rPr>
          <w:color w:val="000000"/>
        </w:rPr>
      </w:pPr>
      <w:r>
        <w:rPr>
          <w:rFonts w:hint="eastAsia"/>
          <w:color w:val="000000"/>
        </w:rPr>
        <w:t>③  -8含砾黏性土：褐黄、浅红、灰白色，可塑状为主、局部硬塑状，土质较不均，含较多砾石，粒径不均匀，黏性差；钻孔揭露厚度2.3m～27.4m、底高程-40.73m～-24.2m。</w:t>
      </w:r>
    </w:p>
    <w:p>
      <w:pPr>
        <w:pStyle w:val="110"/>
        <w:ind w:firstLine="480"/>
        <w:rPr>
          <w:color w:val="000000"/>
        </w:rPr>
      </w:pPr>
      <w:r>
        <w:rPr>
          <w:rFonts w:hint="eastAsia"/>
          <w:color w:val="000000"/>
        </w:rPr>
        <w:t>④  坡积层：灰黄、褐黄色，主要由基岩全风化土组成，呈砂质粉质黏土状，可塑，黏性较差，局部见有植物根系，土质较不均。该层主要分布于低山丘陵地区，局部钻孔揭露，揭露层厚5m～7m，层底高程45m～55m。</w:t>
      </w:r>
    </w:p>
    <w:p>
      <w:pPr>
        <w:pStyle w:val="110"/>
        <w:ind w:firstLine="480"/>
      </w:pPr>
      <w:r>
        <w:t>2)  基岩</w:t>
      </w:r>
    </w:p>
    <w:p>
      <w:pPr>
        <w:pStyle w:val="110"/>
        <w:ind w:firstLine="480"/>
      </w:pPr>
      <w:r>
        <w:t>a.侏罗系金鸡组与三叠系上统上段(T</w:t>
      </w:r>
      <w:r>
        <w:rPr>
          <w:vertAlign w:val="subscript"/>
        </w:rPr>
        <w:t>3</w:t>
      </w:r>
      <w:r>
        <w:rPr>
          <w:vertAlign w:val="superscript"/>
        </w:rPr>
        <w:t>c</w:t>
      </w:r>
      <w:r>
        <w:t>)沉积岩岩性较为相似，主要为灰黑色、浅灰色粉砂岩、泥质粉砂岩，夹细粒长石石英砂岩及粉砂质页岩。根据钻探揭露和地表地质测绘，侏罗系金鸡组沉积岩主要分布于GX8工作井至GX13工作井之间，三叠系上统上段沉积岩主要分布于GX1工作井至GX2工作井与GX4工作井至GX5工作井之间；线路上沉积岩按风化程度划分为(Ⅴ)全风化带、(Ⅳ)强风化带、(Ⅲ)弱风化带。</w:t>
      </w:r>
    </w:p>
    <w:p>
      <w:pPr>
        <w:pStyle w:val="110"/>
        <w:ind w:firstLine="480"/>
      </w:pPr>
      <w:r>
        <w:t>(Ⅴ)全风化带：褐黄、灰褐、灰黑色，风化不均，岩芯呈土夹石状为主，坚硬状，主要揭露于古巷至关埠段GX4盾构井至GX6盾构井与GX7盾构井至GX16盾构井之间，钻孔揭露层厚1m～12m、底高程-54m～37m。</w:t>
      </w:r>
    </w:p>
    <w:p>
      <w:pPr>
        <w:pStyle w:val="110"/>
        <w:ind w:firstLine="480"/>
      </w:pPr>
      <w:r>
        <w:t>(Ⅳ)强风化带：主要呈锈黄色，裂隙发育，受地下水侵蚀，裂面多见铁锰质渲染，胶结差，岩芯呈碎块状，岩体破碎，岩质软～较软，钻孔揭露范围同全风化带分布范围，但局部钻孔未揭穿，揭露层厚不均匀，以5m～15m为主，局部小于1m，底高程-68m～22m。</w:t>
      </w:r>
    </w:p>
    <w:p>
      <w:pPr>
        <w:pStyle w:val="110"/>
        <w:ind w:firstLine="480"/>
      </w:pPr>
      <w:r>
        <w:t>(Ⅲ)弱风化带：灰黑、青灰、灰褐色，裂隙稍发育，胶结较好，岩芯较新鲜，呈20cm～40cm柱状，岩体完整性好，岩质坚硬，钻孔未揭穿该层，揭露层厚20m～100m，揭露底高程-82m～-62m。</w:t>
      </w:r>
    </w:p>
    <w:p>
      <w:pPr>
        <w:pStyle w:val="110"/>
        <w:ind w:firstLine="480"/>
      </w:pPr>
      <w:r>
        <w:t>b.燕山期侵入花岗岩以中粗粒黑云母花岗岩为主，局部细粒花岗岩及辉长岩脉，见发育有煌斑岩脉。根据钻探揭露和地表地质测绘，线路上侵入花岗岩按风化程度划分为(Ⅴ)全风化带、(Ⅳ)强风化带、(Ⅲ)弱风化带。</w:t>
      </w:r>
    </w:p>
    <w:p>
      <w:pPr>
        <w:pStyle w:val="110"/>
        <w:ind w:firstLine="480"/>
      </w:pPr>
      <w:r>
        <w:t>(Ⅴ)全风化带：灰黄、褐黄色，风化不均，主要呈砂砾质黏土状，硬塑～坚硬，黏性差，夹较多球状风化孤石；局部钻孔未揭穿，钻孔揭露层厚10m～48m，揭露底高层-106m～101m。</w:t>
      </w:r>
    </w:p>
    <w:p>
      <w:pPr>
        <w:pStyle w:val="110"/>
        <w:ind w:firstLine="480"/>
      </w:pPr>
      <w:r>
        <w:t>(Ⅳ)强风化带：锈黄、灰黄色，岩体不新鲜，裂隙发育，受地下水侵蚀，铁锰质充填，胶结差，岩体破碎，岩质较硬；局部钻孔有揭露，层厚较薄、约2m～14m，揭露底高程-40m～17m。</w:t>
      </w:r>
    </w:p>
    <w:p>
      <w:pPr>
        <w:pStyle w:val="110"/>
        <w:ind w:firstLine="480"/>
      </w:pPr>
      <w:r>
        <w:t>(Ⅲ)弱风化带：灰白、肉红色，岩体较新鲜，裂隙稍发育、局部较发育，胶结较好，岩体完整性较好，岩质坚硬；局部钻孔有揭露，但未揭穿，揭露层厚13m～45m，揭露底高程-71m～-30m。</w:t>
      </w:r>
    </w:p>
    <w:p>
      <w:pPr>
        <w:overflowPunct w:val="0"/>
        <w:spacing w:line="520" w:lineRule="atLeast"/>
        <w:ind w:firstLine="480" w:firstLineChars="200"/>
        <w:rPr>
          <w:snapToGrid w:val="0"/>
          <w:sz w:val="24"/>
        </w:rPr>
      </w:pPr>
      <w:r>
        <w:rPr>
          <w:snapToGrid w:val="0"/>
          <w:sz w:val="24"/>
        </w:rPr>
        <w:t xml:space="preserve">(3) </w:t>
      </w:r>
      <w:r>
        <w:rPr>
          <w:rFonts w:hint="eastAsia"/>
          <w:snapToGrid w:val="0"/>
          <w:sz w:val="24"/>
        </w:rPr>
        <w:t>水文地质</w:t>
      </w:r>
    </w:p>
    <w:p>
      <w:pPr>
        <w:pStyle w:val="110"/>
        <w:ind w:firstLine="480"/>
      </w:pPr>
      <w:r>
        <w:t>本工程区冲积平原地层主要为第四系淤泥、黏土及冲积砂层，因此，地下水类型主要为第四系松散沉积物孔隙性潜水，潜水水位埋藏较浅，一般0.5m～2.5m，水位高程约0.4m～-1.3m；下部砂层为主要含水层，微承压，与榕江连通，水位与江水相近。由于淤泥、黏土分布较厚，透水性微弱，是工程建设的主要土层，水量相对贫乏。地下水主要是依靠大气降水补给，向榕江排泄，水位随季节变化而变化，春季、夏季降雨多，地下水位一般较浅，冬季降雨少，水位相对略深。</w:t>
      </w:r>
    </w:p>
    <w:p>
      <w:pPr>
        <w:pStyle w:val="110"/>
        <w:ind w:firstLine="480"/>
      </w:pPr>
      <w:r>
        <w:t>山岭隧洞段地下水位随地形起伏变化，在山脊处，地下水位一般较深，埋深约15m～20m，在冲沟处，地下水位较浅，埋深约1m～3m，深切冲沟及山脚常见有泉水渗出。</w:t>
      </w:r>
    </w:p>
    <w:p>
      <w:pPr>
        <w:pStyle w:val="110"/>
        <w:ind w:firstLine="480"/>
      </w:pPr>
      <w:r>
        <w:t>地下水以坡洪积层及全风化带孔隙水为主，基岩裂隙水主要储藏于强风化带，及断层、裂隙带。地下水的来源主要为大气降水入渗，水位随季节的变化而变化。地下水渗流方向与地形变化一致，由高向低，往低洼处及冲沟排泄。</w:t>
      </w:r>
    </w:p>
    <w:p>
      <w:pPr>
        <w:pStyle w:val="110"/>
        <w:ind w:firstLine="480"/>
      </w:pPr>
      <w:r>
        <w:t>山坡地表大部分为坡积层及全风化土，主要为粉质黏土、局部含较多强风化～弱风化岩碎块，属弱～中等透水层，沟底为冲洪积层，由含碎石粉质黏土、砂卵砾石、漂石等组成，分布不均匀，透水性差异较大，属中等～强透水层。</w:t>
      </w:r>
    </w:p>
    <w:p>
      <w:pPr>
        <w:pStyle w:val="110"/>
        <w:ind w:firstLine="480"/>
      </w:pPr>
      <w:r>
        <w:t>工程区范围内不良物理地质现象不发育，未发现较大规模滑坡、崩塌、泥石流等现象。</w:t>
      </w:r>
    </w:p>
    <w:p>
      <w:pPr>
        <w:pStyle w:val="110"/>
        <w:ind w:firstLine="480"/>
      </w:pPr>
      <w:r>
        <w:t>根据《中国地震动参数区划图》(GB18306-2015)，区内50年超越概率10%地震动峰值加速度为0.10～0.15g，地震动反应谱特征周期为0.40s，对应地震基本烈度为Ⅶ度。参照《水电水利工程区域构造稳定性勘察规程》NB/Ｔ35098-2017区域构造稳定性分级，区域构造稳定性差。</w:t>
      </w:r>
    </w:p>
    <w:p>
      <w:pPr>
        <w:pStyle w:val="110"/>
        <w:ind w:firstLine="480"/>
      </w:pPr>
      <w:r>
        <w:t>(4)  各岩土层主要物理力学参数</w:t>
      </w:r>
    </w:p>
    <w:p>
      <w:pPr>
        <w:pStyle w:val="110"/>
        <w:ind w:firstLine="480"/>
      </w:pPr>
      <w:r>
        <w:t>根据室内岩土试验成果统计和现场试验结果，类比相关工程经验，提出本标段各岩土层的物理力学参数建议值，见表1.1.2-</w:t>
      </w:r>
      <w:r>
        <w:rPr>
          <w:rFonts w:hint="eastAsia"/>
        </w:rPr>
        <w:t>3</w:t>
      </w:r>
      <w:r>
        <w:t>，岩石物理力学参数建议值见表1.1.2-</w:t>
      </w:r>
      <w:r>
        <w:rPr>
          <w:rFonts w:hint="eastAsia"/>
        </w:rPr>
        <w:t>4</w:t>
      </w:r>
      <w:r>
        <w:t>，隧洞围岩分类及物理力学性质指标表建议值见表1.1.2-</w:t>
      </w:r>
      <w:r>
        <w:rPr>
          <w:rFonts w:hint="eastAsia"/>
        </w:rPr>
        <w:t>5</w:t>
      </w:r>
      <w:r>
        <w:t>～</w:t>
      </w:r>
      <w:r>
        <w:rPr>
          <w:rFonts w:hint="eastAsia"/>
        </w:rPr>
        <w:t>6</w:t>
      </w:r>
      <w:r>
        <w:t>，开挖边坡建议值见表1.1.2-</w:t>
      </w:r>
      <w:r>
        <w:rPr>
          <w:rFonts w:hint="eastAsia"/>
        </w:rPr>
        <w:t>7</w:t>
      </w:r>
      <w:r>
        <w:t>。</w:t>
      </w:r>
    </w:p>
    <w:p>
      <w:pPr>
        <w:pStyle w:val="110"/>
        <w:ind w:firstLine="480"/>
        <w:sectPr>
          <w:pgSz w:w="11906" w:h="16838"/>
          <w:pgMar w:top="1440" w:right="1588" w:bottom="1440" w:left="1985" w:header="851" w:footer="992" w:gutter="0"/>
          <w:cols w:space="720" w:num="1"/>
          <w:docGrid w:linePitch="326" w:charSpace="0"/>
        </w:sectPr>
      </w:pPr>
    </w:p>
    <w:p>
      <w:pPr>
        <w:pStyle w:val="45"/>
        <w:spacing w:line="500" w:lineRule="atLeast"/>
        <w:jc w:val="center"/>
        <w:rPr>
          <w:rFonts w:ascii="Times New Roman" w:hAnsi="Times New Roman" w:eastAsia="黑体"/>
          <w:color w:val="000000" w:themeColor="text1"/>
          <w:sz w:val="24"/>
          <w:szCs w:val="24"/>
          <w14:textFill>
            <w14:solidFill>
              <w14:schemeClr w14:val="tx1"/>
            </w14:solidFill>
          </w14:textFill>
        </w:rPr>
      </w:pPr>
      <w:r>
        <w:rPr>
          <w:rFonts w:ascii="Times New Roman" w:hAnsi="Times New Roman" w:eastAsia="黑体"/>
          <w:color w:val="000000" w:themeColor="text1"/>
          <w:sz w:val="24"/>
          <w:szCs w:val="24"/>
          <w14:textFill>
            <w14:solidFill>
              <w14:schemeClr w14:val="tx1"/>
            </w14:solidFill>
          </w14:textFill>
        </w:rPr>
        <w:t>表</w:t>
      </w:r>
      <w:r>
        <w:rPr>
          <w:rFonts w:hint="eastAsia" w:ascii="Times New Roman" w:hAnsi="Times New Roman" w:eastAsia="黑体"/>
          <w:color w:val="000000" w:themeColor="text1"/>
          <w:sz w:val="24"/>
          <w:szCs w:val="24"/>
          <w14:textFill>
            <w14:solidFill>
              <w14:schemeClr w14:val="tx1"/>
            </w14:solidFill>
          </w14:textFill>
        </w:rPr>
        <w:t>1.1.2</w:t>
      </w:r>
      <w:r>
        <w:rPr>
          <w:rFonts w:ascii="Times New Roman" w:hAnsi="Times New Roman" w:eastAsia="黑体"/>
          <w:color w:val="000000" w:themeColor="text1"/>
          <w:sz w:val="24"/>
          <w:szCs w:val="24"/>
          <w14:textFill>
            <w14:solidFill>
              <w14:schemeClr w14:val="tx1"/>
            </w14:solidFill>
          </w14:textFill>
        </w:rPr>
        <w:t>-</w:t>
      </w:r>
      <w:r>
        <w:rPr>
          <w:rFonts w:hint="eastAsia" w:ascii="Times New Roman" w:hAnsi="Times New Roman" w:eastAsia="黑体"/>
          <w:color w:val="000000" w:themeColor="text1"/>
          <w:sz w:val="24"/>
          <w:szCs w:val="24"/>
          <w14:textFill>
            <w14:solidFill>
              <w14:schemeClr w14:val="tx1"/>
            </w14:solidFill>
          </w14:textFill>
        </w:rPr>
        <w:t>3</w:t>
      </w:r>
      <w:r>
        <w:rPr>
          <w:rFonts w:ascii="Times New Roman" w:hAnsi="Times New Roman" w:eastAsia="黑体"/>
          <w:color w:val="000000" w:themeColor="text1"/>
          <w:sz w:val="24"/>
          <w:szCs w:val="24"/>
          <w14:textFill>
            <w14:solidFill>
              <w14:schemeClr w14:val="tx1"/>
            </w14:solidFill>
          </w14:textFill>
        </w:rPr>
        <w:t xml:space="preserve">  </w:t>
      </w:r>
      <w:r>
        <w:rPr>
          <w:rFonts w:ascii="Times New Roman" w:hAnsi="Times New Roman" w:eastAsia="黑体"/>
          <w:b/>
          <w:color w:val="000000" w:themeColor="text1"/>
          <w:sz w:val="24"/>
          <w:szCs w:val="24"/>
          <w14:textFill>
            <w14:solidFill>
              <w14:schemeClr w14:val="tx1"/>
            </w14:solidFill>
          </w14:textFill>
        </w:rPr>
        <w:t xml:space="preserve"> </w:t>
      </w:r>
      <w:r>
        <w:rPr>
          <w:rFonts w:ascii="Times New Roman" w:hAnsi="Times New Roman" w:eastAsia="黑体"/>
          <w:color w:val="000000" w:themeColor="text1"/>
          <w:sz w:val="24"/>
          <w:szCs w:val="24"/>
          <w14:textFill>
            <w14:solidFill>
              <w14:schemeClr w14:val="tx1"/>
            </w14:solidFill>
          </w14:textFill>
        </w:rPr>
        <w:t>古巷分水口至关埠取水口封闭管道段各土层主要物理力学指标建议值表</w:t>
      </w:r>
    </w:p>
    <w:tbl>
      <w:tblPr>
        <w:tblStyle w:val="88"/>
        <w:tblW w:w="51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8" w:type="dxa"/>
          <w:bottom w:w="0" w:type="dxa"/>
          <w:right w:w="28" w:type="dxa"/>
        </w:tblCellMar>
      </w:tblPr>
      <w:tblGrid>
        <w:gridCol w:w="665"/>
        <w:gridCol w:w="1408"/>
        <w:gridCol w:w="1160"/>
        <w:gridCol w:w="612"/>
        <w:gridCol w:w="577"/>
        <w:gridCol w:w="1096"/>
        <w:gridCol w:w="638"/>
        <w:gridCol w:w="600"/>
        <w:gridCol w:w="965"/>
        <w:gridCol w:w="1006"/>
        <w:gridCol w:w="566"/>
        <w:gridCol w:w="571"/>
        <w:gridCol w:w="592"/>
        <w:gridCol w:w="580"/>
        <w:gridCol w:w="921"/>
        <w:gridCol w:w="1251"/>
        <w:gridCol w:w="13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28" w:type="pct"/>
            <w:vMerge w:val="restart"/>
            <w:tcMar>
              <w:top w:w="15" w:type="dxa"/>
              <w:left w:w="15" w:type="dxa"/>
              <w:bottom w:w="0" w:type="dxa"/>
              <w:right w:w="15" w:type="dxa"/>
            </w:tcMar>
            <w:vAlign w:val="center"/>
          </w:tcPr>
          <w:p>
            <w:pPr>
              <w:adjustRightInd w:val="0"/>
              <w:snapToGrid w:val="0"/>
              <w:jc w:val="center"/>
              <w:rPr>
                <w:rFonts w:eastAsiaTheme="minorEastAsia"/>
                <w:color w:val="000000"/>
                <w:szCs w:val="21"/>
              </w:rPr>
            </w:pPr>
            <w:r>
              <w:rPr>
                <w:rFonts w:eastAsiaTheme="minorEastAsia"/>
                <w:color w:val="000000"/>
                <w:szCs w:val="21"/>
              </w:rPr>
              <w:t>层序</w:t>
            </w:r>
          </w:p>
        </w:tc>
        <w:tc>
          <w:tcPr>
            <w:tcW w:w="483" w:type="pct"/>
            <w:vMerge w:val="restart"/>
            <w:tcMar>
              <w:top w:w="15" w:type="dxa"/>
              <w:left w:w="15" w:type="dxa"/>
              <w:bottom w:w="0" w:type="dxa"/>
              <w:right w:w="15" w:type="dxa"/>
            </w:tcMar>
            <w:vAlign w:val="center"/>
          </w:tcPr>
          <w:p>
            <w:pPr>
              <w:adjustRightInd w:val="0"/>
              <w:snapToGrid w:val="0"/>
              <w:jc w:val="center"/>
              <w:rPr>
                <w:rFonts w:eastAsiaTheme="minorEastAsia"/>
                <w:color w:val="000000"/>
                <w:szCs w:val="21"/>
              </w:rPr>
            </w:pPr>
            <w:r>
              <w:rPr>
                <w:rFonts w:eastAsiaTheme="minorEastAsia"/>
                <w:color w:val="000000"/>
                <w:szCs w:val="21"/>
              </w:rPr>
              <w:t>土名</w:t>
            </w:r>
          </w:p>
        </w:tc>
        <w:tc>
          <w:tcPr>
            <w:tcW w:w="398" w:type="pct"/>
            <w:vMerge w:val="restart"/>
            <w:tcMar>
              <w:top w:w="15" w:type="dxa"/>
              <w:left w:w="15" w:type="dxa"/>
              <w:bottom w:w="0" w:type="dxa"/>
              <w:right w:w="15" w:type="dxa"/>
            </w:tcMar>
            <w:vAlign w:val="center"/>
          </w:tcPr>
          <w:p>
            <w:pPr>
              <w:adjustRightInd w:val="0"/>
              <w:snapToGrid w:val="0"/>
              <w:jc w:val="center"/>
              <w:rPr>
                <w:rFonts w:eastAsiaTheme="minorEastAsia"/>
                <w:color w:val="000000"/>
                <w:szCs w:val="21"/>
              </w:rPr>
            </w:pPr>
            <w:r>
              <w:rPr>
                <w:rFonts w:eastAsiaTheme="minorEastAsia"/>
                <w:color w:val="000000"/>
                <w:szCs w:val="21"/>
              </w:rPr>
              <w:t>状态</w:t>
            </w:r>
          </w:p>
        </w:tc>
        <w:tc>
          <w:tcPr>
            <w:tcW w:w="210" w:type="pct"/>
            <w:vMerge w:val="restart"/>
            <w:tcMar>
              <w:top w:w="15" w:type="dxa"/>
              <w:left w:w="15" w:type="dxa"/>
              <w:bottom w:w="0" w:type="dxa"/>
              <w:right w:w="15" w:type="dxa"/>
            </w:tcMar>
            <w:vAlign w:val="center"/>
          </w:tcPr>
          <w:p>
            <w:pPr>
              <w:adjustRightInd w:val="0"/>
              <w:snapToGrid w:val="0"/>
              <w:jc w:val="center"/>
              <w:rPr>
                <w:rFonts w:eastAsiaTheme="minorEastAsia"/>
                <w:color w:val="000000"/>
                <w:szCs w:val="21"/>
              </w:rPr>
            </w:pPr>
            <w:r>
              <w:rPr>
                <w:rFonts w:eastAsiaTheme="minorEastAsia"/>
                <w:color w:val="000000"/>
                <w:szCs w:val="21"/>
              </w:rPr>
              <w:t>天然</w:t>
            </w:r>
          </w:p>
          <w:p>
            <w:pPr>
              <w:adjustRightInd w:val="0"/>
              <w:snapToGrid w:val="0"/>
              <w:jc w:val="center"/>
              <w:rPr>
                <w:rFonts w:eastAsiaTheme="minorEastAsia"/>
                <w:color w:val="000000"/>
                <w:szCs w:val="21"/>
              </w:rPr>
            </w:pPr>
            <w:r>
              <w:rPr>
                <w:rFonts w:eastAsiaTheme="minorEastAsia"/>
                <w:color w:val="000000"/>
                <w:szCs w:val="21"/>
              </w:rPr>
              <w:t>含水率</w:t>
            </w:r>
          </w:p>
        </w:tc>
        <w:tc>
          <w:tcPr>
            <w:tcW w:w="198" w:type="pct"/>
            <w:vMerge w:val="restart"/>
            <w:tcMar>
              <w:top w:w="15" w:type="dxa"/>
              <w:left w:w="15" w:type="dxa"/>
              <w:bottom w:w="0" w:type="dxa"/>
              <w:right w:w="15" w:type="dxa"/>
            </w:tcMar>
            <w:vAlign w:val="center"/>
          </w:tcPr>
          <w:p>
            <w:pPr>
              <w:adjustRightInd w:val="0"/>
              <w:snapToGrid w:val="0"/>
              <w:jc w:val="center"/>
              <w:rPr>
                <w:rFonts w:eastAsiaTheme="minorEastAsia"/>
                <w:color w:val="000000"/>
                <w:szCs w:val="21"/>
              </w:rPr>
            </w:pPr>
            <w:r>
              <w:rPr>
                <w:rFonts w:eastAsiaTheme="minorEastAsia"/>
                <w:color w:val="000000"/>
                <w:szCs w:val="21"/>
              </w:rPr>
              <w:t>天然</w:t>
            </w:r>
          </w:p>
          <w:p>
            <w:pPr>
              <w:adjustRightInd w:val="0"/>
              <w:snapToGrid w:val="0"/>
              <w:jc w:val="center"/>
              <w:rPr>
                <w:rFonts w:eastAsiaTheme="minorEastAsia"/>
                <w:color w:val="000000"/>
                <w:szCs w:val="21"/>
              </w:rPr>
            </w:pPr>
            <w:r>
              <w:rPr>
                <w:rFonts w:eastAsiaTheme="minorEastAsia"/>
                <w:color w:val="000000"/>
                <w:szCs w:val="21"/>
              </w:rPr>
              <w:t>密度</w:t>
            </w:r>
          </w:p>
        </w:tc>
        <w:tc>
          <w:tcPr>
            <w:tcW w:w="376" w:type="pct"/>
            <w:vMerge w:val="restart"/>
            <w:tcMar>
              <w:top w:w="15" w:type="dxa"/>
              <w:left w:w="15" w:type="dxa"/>
              <w:bottom w:w="0" w:type="dxa"/>
              <w:right w:w="15" w:type="dxa"/>
            </w:tcMar>
            <w:vAlign w:val="center"/>
          </w:tcPr>
          <w:p>
            <w:pPr>
              <w:adjustRightInd w:val="0"/>
              <w:snapToGrid w:val="0"/>
              <w:jc w:val="center"/>
              <w:rPr>
                <w:rFonts w:eastAsiaTheme="minorEastAsia"/>
                <w:color w:val="000000"/>
                <w:szCs w:val="21"/>
              </w:rPr>
            </w:pPr>
            <w:r>
              <w:rPr>
                <w:rFonts w:eastAsiaTheme="minorEastAsia"/>
                <w:color w:val="000000"/>
                <w:szCs w:val="21"/>
              </w:rPr>
              <w:t>渗透</w:t>
            </w:r>
          </w:p>
          <w:p>
            <w:pPr>
              <w:adjustRightInd w:val="0"/>
              <w:snapToGrid w:val="0"/>
              <w:jc w:val="center"/>
              <w:rPr>
                <w:rFonts w:eastAsiaTheme="minorEastAsia"/>
                <w:color w:val="000000"/>
                <w:szCs w:val="21"/>
              </w:rPr>
            </w:pPr>
            <w:r>
              <w:rPr>
                <w:rFonts w:eastAsiaTheme="minorEastAsia"/>
                <w:color w:val="000000"/>
                <w:szCs w:val="21"/>
              </w:rPr>
              <w:t>系数</w:t>
            </w:r>
          </w:p>
        </w:tc>
        <w:tc>
          <w:tcPr>
            <w:tcW w:w="219" w:type="pct"/>
            <w:tcMar>
              <w:top w:w="15" w:type="dxa"/>
              <w:left w:w="15" w:type="dxa"/>
              <w:bottom w:w="0" w:type="dxa"/>
              <w:right w:w="15" w:type="dxa"/>
            </w:tcMar>
            <w:vAlign w:val="center"/>
          </w:tcPr>
          <w:p>
            <w:pPr>
              <w:adjustRightInd w:val="0"/>
              <w:snapToGrid w:val="0"/>
              <w:jc w:val="center"/>
              <w:rPr>
                <w:rFonts w:eastAsiaTheme="minorEastAsia"/>
                <w:color w:val="000000"/>
                <w:szCs w:val="21"/>
              </w:rPr>
            </w:pPr>
            <w:r>
              <w:rPr>
                <w:rFonts w:eastAsiaTheme="minorEastAsia"/>
                <w:color w:val="000000"/>
                <w:szCs w:val="21"/>
              </w:rPr>
              <w:t>压缩</w:t>
            </w:r>
          </w:p>
          <w:p>
            <w:pPr>
              <w:adjustRightInd w:val="0"/>
              <w:snapToGrid w:val="0"/>
              <w:jc w:val="center"/>
              <w:rPr>
                <w:rFonts w:eastAsiaTheme="minorEastAsia"/>
                <w:color w:val="000000"/>
                <w:szCs w:val="21"/>
              </w:rPr>
            </w:pPr>
            <w:r>
              <w:rPr>
                <w:rFonts w:eastAsiaTheme="minorEastAsia"/>
                <w:color w:val="000000"/>
                <w:szCs w:val="21"/>
              </w:rPr>
              <w:t>系数</w:t>
            </w:r>
          </w:p>
        </w:tc>
        <w:tc>
          <w:tcPr>
            <w:tcW w:w="206" w:type="pct"/>
            <w:tcMar>
              <w:top w:w="15" w:type="dxa"/>
              <w:left w:w="15" w:type="dxa"/>
              <w:bottom w:w="0" w:type="dxa"/>
              <w:right w:w="15" w:type="dxa"/>
            </w:tcMar>
            <w:vAlign w:val="center"/>
          </w:tcPr>
          <w:p>
            <w:pPr>
              <w:adjustRightInd w:val="0"/>
              <w:snapToGrid w:val="0"/>
              <w:jc w:val="center"/>
              <w:rPr>
                <w:rFonts w:eastAsiaTheme="minorEastAsia"/>
                <w:color w:val="000000"/>
                <w:szCs w:val="21"/>
              </w:rPr>
            </w:pPr>
            <w:r>
              <w:rPr>
                <w:rFonts w:eastAsiaTheme="minorEastAsia"/>
                <w:color w:val="000000"/>
                <w:szCs w:val="21"/>
              </w:rPr>
              <w:t>压缩</w:t>
            </w:r>
          </w:p>
          <w:p>
            <w:pPr>
              <w:adjustRightInd w:val="0"/>
              <w:snapToGrid w:val="0"/>
              <w:jc w:val="center"/>
              <w:rPr>
                <w:rFonts w:eastAsiaTheme="minorEastAsia"/>
                <w:color w:val="000000"/>
                <w:szCs w:val="21"/>
              </w:rPr>
            </w:pPr>
            <w:r>
              <w:rPr>
                <w:rFonts w:eastAsiaTheme="minorEastAsia"/>
                <w:color w:val="000000"/>
                <w:szCs w:val="21"/>
              </w:rPr>
              <w:t>模量</w:t>
            </w:r>
          </w:p>
        </w:tc>
        <w:tc>
          <w:tcPr>
            <w:tcW w:w="331" w:type="pct"/>
            <w:vMerge w:val="restart"/>
            <w:tcMar>
              <w:top w:w="15" w:type="dxa"/>
              <w:left w:w="15" w:type="dxa"/>
              <w:bottom w:w="0" w:type="dxa"/>
              <w:right w:w="15" w:type="dxa"/>
            </w:tcMar>
            <w:vAlign w:val="center"/>
          </w:tcPr>
          <w:p>
            <w:pPr>
              <w:adjustRightInd w:val="0"/>
              <w:snapToGrid w:val="0"/>
              <w:jc w:val="center"/>
              <w:rPr>
                <w:rFonts w:eastAsiaTheme="minorEastAsia"/>
                <w:color w:val="000000"/>
                <w:szCs w:val="21"/>
              </w:rPr>
            </w:pPr>
            <w:r>
              <w:rPr>
                <w:rFonts w:eastAsiaTheme="minorEastAsia"/>
                <w:color w:val="000000"/>
                <w:szCs w:val="21"/>
              </w:rPr>
              <w:t>承载力</w:t>
            </w:r>
          </w:p>
          <w:p>
            <w:pPr>
              <w:adjustRightInd w:val="0"/>
              <w:snapToGrid w:val="0"/>
              <w:jc w:val="center"/>
              <w:rPr>
                <w:rFonts w:eastAsiaTheme="minorEastAsia"/>
                <w:color w:val="000000"/>
                <w:szCs w:val="21"/>
              </w:rPr>
            </w:pPr>
            <w:r>
              <w:rPr>
                <w:rFonts w:eastAsiaTheme="minorEastAsia"/>
                <w:color w:val="000000"/>
                <w:szCs w:val="21"/>
              </w:rPr>
              <w:t>特征值的经验值</w:t>
            </w:r>
          </w:p>
        </w:tc>
        <w:tc>
          <w:tcPr>
            <w:tcW w:w="345" w:type="pct"/>
            <w:vMerge w:val="restart"/>
            <w:tcMar>
              <w:top w:w="15" w:type="dxa"/>
              <w:left w:w="15" w:type="dxa"/>
              <w:bottom w:w="0" w:type="dxa"/>
              <w:right w:w="15" w:type="dxa"/>
            </w:tcMar>
            <w:vAlign w:val="center"/>
          </w:tcPr>
          <w:p>
            <w:pPr>
              <w:adjustRightInd w:val="0"/>
              <w:snapToGrid w:val="0"/>
              <w:jc w:val="center"/>
              <w:rPr>
                <w:rFonts w:eastAsiaTheme="minorEastAsia"/>
                <w:color w:val="000000"/>
                <w:szCs w:val="21"/>
              </w:rPr>
            </w:pPr>
            <w:r>
              <w:rPr>
                <w:rFonts w:eastAsiaTheme="minorEastAsia"/>
                <w:color w:val="000000"/>
                <w:szCs w:val="21"/>
              </w:rPr>
              <w:t>摩擦系数</w:t>
            </w:r>
          </w:p>
          <w:p>
            <w:pPr>
              <w:adjustRightInd w:val="0"/>
              <w:snapToGrid w:val="0"/>
              <w:jc w:val="center"/>
              <w:rPr>
                <w:rFonts w:eastAsiaTheme="minorEastAsia"/>
                <w:color w:val="000000"/>
                <w:szCs w:val="21"/>
              </w:rPr>
            </w:pPr>
            <w:r>
              <w:rPr>
                <w:rFonts w:eastAsiaTheme="minorEastAsia"/>
                <w:color w:val="000000"/>
                <w:szCs w:val="21"/>
              </w:rPr>
              <w:t>砼/土</w:t>
            </w:r>
          </w:p>
        </w:tc>
        <w:tc>
          <w:tcPr>
            <w:tcW w:w="390" w:type="pct"/>
            <w:gridSpan w:val="2"/>
            <w:vMerge w:val="restart"/>
            <w:tcMar>
              <w:top w:w="15" w:type="dxa"/>
              <w:left w:w="15" w:type="dxa"/>
              <w:bottom w:w="0" w:type="dxa"/>
              <w:right w:w="15" w:type="dxa"/>
            </w:tcMar>
            <w:vAlign w:val="center"/>
          </w:tcPr>
          <w:p>
            <w:pPr>
              <w:adjustRightInd w:val="0"/>
              <w:snapToGrid w:val="0"/>
              <w:jc w:val="center"/>
              <w:rPr>
                <w:rFonts w:eastAsiaTheme="minorEastAsia"/>
                <w:color w:val="000000"/>
                <w:szCs w:val="21"/>
              </w:rPr>
            </w:pPr>
            <w:r>
              <w:rPr>
                <w:rFonts w:eastAsiaTheme="minorEastAsia"/>
                <w:color w:val="000000"/>
                <w:szCs w:val="21"/>
              </w:rPr>
              <w:t>饱和快剪</w:t>
            </w:r>
          </w:p>
        </w:tc>
        <w:tc>
          <w:tcPr>
            <w:tcW w:w="402" w:type="pct"/>
            <w:gridSpan w:val="2"/>
            <w:vMerge w:val="restart"/>
            <w:tcMar>
              <w:top w:w="15" w:type="dxa"/>
              <w:left w:w="15" w:type="dxa"/>
              <w:bottom w:w="0" w:type="dxa"/>
              <w:right w:w="15" w:type="dxa"/>
            </w:tcMar>
            <w:vAlign w:val="center"/>
          </w:tcPr>
          <w:p>
            <w:pPr>
              <w:adjustRightInd w:val="0"/>
              <w:snapToGrid w:val="0"/>
              <w:jc w:val="center"/>
              <w:rPr>
                <w:rFonts w:eastAsiaTheme="minorEastAsia"/>
                <w:color w:val="000000"/>
                <w:szCs w:val="21"/>
              </w:rPr>
            </w:pPr>
            <w:r>
              <w:rPr>
                <w:rFonts w:eastAsiaTheme="minorEastAsia"/>
                <w:color w:val="000000"/>
                <w:szCs w:val="21"/>
              </w:rPr>
              <w:t>固结快剪</w:t>
            </w:r>
          </w:p>
        </w:tc>
        <w:tc>
          <w:tcPr>
            <w:tcW w:w="316" w:type="pct"/>
            <w:vMerge w:val="restart"/>
            <w:tcMar>
              <w:top w:w="15" w:type="dxa"/>
              <w:left w:w="15" w:type="dxa"/>
              <w:bottom w:w="0" w:type="dxa"/>
              <w:right w:w="15" w:type="dxa"/>
            </w:tcMar>
            <w:vAlign w:val="center"/>
          </w:tcPr>
          <w:p>
            <w:pPr>
              <w:adjustRightInd w:val="0"/>
              <w:snapToGrid w:val="0"/>
              <w:jc w:val="center"/>
              <w:rPr>
                <w:rFonts w:eastAsiaTheme="minorEastAsia"/>
                <w:color w:val="000000"/>
                <w:szCs w:val="21"/>
              </w:rPr>
            </w:pPr>
            <w:r>
              <w:rPr>
                <w:rFonts w:eastAsiaTheme="minorEastAsia"/>
                <w:color w:val="000000"/>
                <w:szCs w:val="21"/>
              </w:rPr>
              <w:t>允许渗透</w:t>
            </w:r>
          </w:p>
          <w:p>
            <w:pPr>
              <w:adjustRightInd w:val="0"/>
              <w:snapToGrid w:val="0"/>
              <w:jc w:val="center"/>
              <w:rPr>
                <w:rFonts w:eastAsiaTheme="minorEastAsia"/>
                <w:color w:val="000000"/>
                <w:szCs w:val="21"/>
              </w:rPr>
            </w:pPr>
            <w:r>
              <w:rPr>
                <w:rFonts w:eastAsiaTheme="minorEastAsia"/>
                <w:color w:val="000000"/>
                <w:szCs w:val="21"/>
              </w:rPr>
              <w:t>坡降</w:t>
            </w:r>
          </w:p>
        </w:tc>
        <w:tc>
          <w:tcPr>
            <w:tcW w:w="429" w:type="pct"/>
            <w:vMerge w:val="restar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钻(冲)孔桩侧摩阻力特征值的经验值</w:t>
            </w:r>
          </w:p>
        </w:tc>
        <w:tc>
          <w:tcPr>
            <w:tcW w:w="463" w:type="pct"/>
            <w:vMerge w:val="restart"/>
            <w:vAlign w:val="center"/>
          </w:tcPr>
          <w:p>
            <w:pPr>
              <w:jc w:val="center"/>
              <w:rPr>
                <w:rFonts w:eastAsiaTheme="minorEastAsia"/>
                <w:color w:val="000000"/>
                <w:szCs w:val="21"/>
              </w:rPr>
            </w:pPr>
            <w:r>
              <w:rPr>
                <w:rFonts w:eastAsiaTheme="minorEastAsia"/>
                <w:color w:val="000000"/>
                <w:szCs w:val="21"/>
              </w:rPr>
              <w:t>钻(冲)孔桩端阻力特征值的经验值</w:t>
            </w:r>
          </w:p>
          <w:p>
            <w:pPr>
              <w:jc w:val="center"/>
              <w:rPr>
                <w:rFonts w:eastAsiaTheme="minorEastAsia"/>
                <w:color w:val="000000"/>
                <w:szCs w:val="21"/>
              </w:rPr>
            </w:pPr>
            <w:r>
              <w:rPr>
                <w:rFonts w:eastAsiaTheme="minorEastAsia"/>
                <w:color w:val="000000"/>
                <w:szCs w:val="21"/>
              </w:rPr>
              <w:t>桩长＞15m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28" w:type="pct"/>
            <w:vMerge w:val="continue"/>
            <w:tcMar>
              <w:top w:w="15" w:type="dxa"/>
              <w:left w:w="15" w:type="dxa"/>
              <w:bottom w:w="0" w:type="dxa"/>
              <w:right w:w="15" w:type="dxa"/>
            </w:tcMar>
            <w:vAlign w:val="center"/>
          </w:tcPr>
          <w:p>
            <w:pPr>
              <w:adjustRightInd w:val="0"/>
              <w:snapToGrid w:val="0"/>
              <w:jc w:val="center"/>
              <w:rPr>
                <w:rFonts w:eastAsiaTheme="minorEastAsia"/>
                <w:color w:val="000000"/>
                <w:szCs w:val="21"/>
              </w:rPr>
            </w:pPr>
          </w:p>
        </w:tc>
        <w:tc>
          <w:tcPr>
            <w:tcW w:w="483" w:type="pct"/>
            <w:vMerge w:val="continue"/>
            <w:tcMar>
              <w:top w:w="15" w:type="dxa"/>
              <w:left w:w="15" w:type="dxa"/>
              <w:bottom w:w="0" w:type="dxa"/>
              <w:right w:w="15" w:type="dxa"/>
            </w:tcMar>
            <w:vAlign w:val="center"/>
          </w:tcPr>
          <w:p>
            <w:pPr>
              <w:adjustRightInd w:val="0"/>
              <w:snapToGrid w:val="0"/>
              <w:jc w:val="center"/>
              <w:rPr>
                <w:rFonts w:eastAsiaTheme="minorEastAsia"/>
                <w:color w:val="000000"/>
                <w:szCs w:val="21"/>
              </w:rPr>
            </w:pPr>
          </w:p>
        </w:tc>
        <w:tc>
          <w:tcPr>
            <w:tcW w:w="398" w:type="pct"/>
            <w:vMerge w:val="continue"/>
            <w:tcMar>
              <w:top w:w="15" w:type="dxa"/>
              <w:left w:w="15" w:type="dxa"/>
              <w:bottom w:w="0" w:type="dxa"/>
              <w:right w:w="15" w:type="dxa"/>
            </w:tcMar>
            <w:vAlign w:val="center"/>
          </w:tcPr>
          <w:p>
            <w:pPr>
              <w:adjustRightInd w:val="0"/>
              <w:snapToGrid w:val="0"/>
              <w:jc w:val="center"/>
              <w:rPr>
                <w:rFonts w:eastAsiaTheme="minorEastAsia"/>
                <w:color w:val="000000"/>
                <w:szCs w:val="21"/>
              </w:rPr>
            </w:pPr>
          </w:p>
        </w:tc>
        <w:tc>
          <w:tcPr>
            <w:tcW w:w="210" w:type="pct"/>
            <w:vMerge w:val="continue"/>
            <w:tcMar>
              <w:top w:w="15" w:type="dxa"/>
              <w:left w:w="15" w:type="dxa"/>
              <w:bottom w:w="0" w:type="dxa"/>
              <w:right w:w="15" w:type="dxa"/>
            </w:tcMar>
            <w:vAlign w:val="center"/>
          </w:tcPr>
          <w:p>
            <w:pPr>
              <w:adjustRightInd w:val="0"/>
              <w:snapToGrid w:val="0"/>
              <w:jc w:val="center"/>
              <w:rPr>
                <w:rFonts w:eastAsiaTheme="minorEastAsia"/>
                <w:color w:val="000000"/>
                <w:szCs w:val="21"/>
              </w:rPr>
            </w:pPr>
          </w:p>
        </w:tc>
        <w:tc>
          <w:tcPr>
            <w:tcW w:w="198" w:type="pct"/>
            <w:vMerge w:val="continue"/>
            <w:tcMar>
              <w:top w:w="15" w:type="dxa"/>
              <w:left w:w="15" w:type="dxa"/>
              <w:bottom w:w="0" w:type="dxa"/>
              <w:right w:w="15" w:type="dxa"/>
            </w:tcMar>
            <w:vAlign w:val="center"/>
          </w:tcPr>
          <w:p>
            <w:pPr>
              <w:adjustRightInd w:val="0"/>
              <w:snapToGrid w:val="0"/>
              <w:jc w:val="center"/>
              <w:rPr>
                <w:rFonts w:eastAsiaTheme="minorEastAsia"/>
                <w:color w:val="000000"/>
                <w:szCs w:val="21"/>
              </w:rPr>
            </w:pPr>
          </w:p>
        </w:tc>
        <w:tc>
          <w:tcPr>
            <w:tcW w:w="376" w:type="pct"/>
            <w:vMerge w:val="continue"/>
            <w:tcMar>
              <w:top w:w="15" w:type="dxa"/>
              <w:left w:w="15" w:type="dxa"/>
              <w:bottom w:w="0" w:type="dxa"/>
              <w:right w:w="15" w:type="dxa"/>
            </w:tcMar>
            <w:vAlign w:val="center"/>
          </w:tcPr>
          <w:p>
            <w:pPr>
              <w:adjustRightInd w:val="0"/>
              <w:snapToGrid w:val="0"/>
              <w:jc w:val="center"/>
              <w:rPr>
                <w:rFonts w:eastAsiaTheme="minorEastAsia"/>
                <w:color w:val="000000"/>
                <w:szCs w:val="21"/>
              </w:rPr>
            </w:pPr>
          </w:p>
        </w:tc>
        <w:tc>
          <w:tcPr>
            <w:tcW w:w="425" w:type="pct"/>
            <w:gridSpan w:val="2"/>
            <w:tcMar>
              <w:top w:w="15" w:type="dxa"/>
              <w:left w:w="15" w:type="dxa"/>
              <w:bottom w:w="0" w:type="dxa"/>
              <w:right w:w="15" w:type="dxa"/>
            </w:tcMar>
            <w:vAlign w:val="center"/>
          </w:tcPr>
          <w:p>
            <w:pPr>
              <w:adjustRightInd w:val="0"/>
              <w:snapToGrid w:val="0"/>
              <w:jc w:val="center"/>
              <w:rPr>
                <w:rFonts w:eastAsiaTheme="minorEastAsia"/>
                <w:color w:val="000000"/>
                <w:szCs w:val="21"/>
              </w:rPr>
            </w:pPr>
            <w:r>
              <w:rPr>
                <w:rFonts w:eastAsiaTheme="minorEastAsia"/>
                <w:color w:val="000000"/>
                <w:szCs w:val="21"/>
              </w:rPr>
              <w:t>100 kPa～200kPa</w:t>
            </w:r>
          </w:p>
        </w:tc>
        <w:tc>
          <w:tcPr>
            <w:tcW w:w="331" w:type="pct"/>
            <w:vMerge w:val="continue"/>
            <w:tcMar>
              <w:top w:w="15" w:type="dxa"/>
              <w:left w:w="15" w:type="dxa"/>
              <w:bottom w:w="0" w:type="dxa"/>
              <w:right w:w="15" w:type="dxa"/>
            </w:tcMar>
            <w:vAlign w:val="center"/>
          </w:tcPr>
          <w:p>
            <w:pPr>
              <w:adjustRightInd w:val="0"/>
              <w:snapToGrid w:val="0"/>
              <w:jc w:val="center"/>
              <w:rPr>
                <w:rFonts w:eastAsiaTheme="minorEastAsia"/>
                <w:color w:val="000000"/>
                <w:szCs w:val="21"/>
              </w:rPr>
            </w:pPr>
          </w:p>
        </w:tc>
        <w:tc>
          <w:tcPr>
            <w:tcW w:w="345" w:type="pct"/>
            <w:vMerge w:val="continue"/>
            <w:tcMar>
              <w:top w:w="15" w:type="dxa"/>
              <w:left w:w="15" w:type="dxa"/>
              <w:bottom w:w="0" w:type="dxa"/>
              <w:right w:w="15" w:type="dxa"/>
            </w:tcMar>
            <w:vAlign w:val="center"/>
          </w:tcPr>
          <w:p>
            <w:pPr>
              <w:adjustRightInd w:val="0"/>
              <w:snapToGrid w:val="0"/>
              <w:jc w:val="center"/>
              <w:rPr>
                <w:rFonts w:eastAsiaTheme="minorEastAsia"/>
                <w:color w:val="000000"/>
                <w:szCs w:val="21"/>
              </w:rPr>
            </w:pPr>
          </w:p>
        </w:tc>
        <w:tc>
          <w:tcPr>
            <w:tcW w:w="390" w:type="pct"/>
            <w:gridSpan w:val="2"/>
            <w:vMerge w:val="continue"/>
            <w:tcMar>
              <w:top w:w="15" w:type="dxa"/>
              <w:left w:w="15" w:type="dxa"/>
              <w:bottom w:w="0" w:type="dxa"/>
              <w:right w:w="15" w:type="dxa"/>
            </w:tcMar>
            <w:vAlign w:val="center"/>
          </w:tcPr>
          <w:p>
            <w:pPr>
              <w:adjustRightInd w:val="0"/>
              <w:snapToGrid w:val="0"/>
              <w:jc w:val="center"/>
              <w:rPr>
                <w:rFonts w:eastAsiaTheme="minorEastAsia"/>
                <w:color w:val="000000"/>
                <w:szCs w:val="21"/>
              </w:rPr>
            </w:pPr>
          </w:p>
        </w:tc>
        <w:tc>
          <w:tcPr>
            <w:tcW w:w="402" w:type="pct"/>
            <w:gridSpan w:val="2"/>
            <w:vMerge w:val="continue"/>
            <w:tcMar>
              <w:top w:w="15" w:type="dxa"/>
              <w:left w:w="15" w:type="dxa"/>
              <w:bottom w:w="0" w:type="dxa"/>
              <w:right w:w="15" w:type="dxa"/>
            </w:tcMar>
            <w:vAlign w:val="center"/>
          </w:tcPr>
          <w:p>
            <w:pPr>
              <w:adjustRightInd w:val="0"/>
              <w:snapToGrid w:val="0"/>
              <w:jc w:val="center"/>
              <w:rPr>
                <w:rFonts w:eastAsiaTheme="minorEastAsia"/>
                <w:color w:val="000000"/>
                <w:szCs w:val="21"/>
              </w:rPr>
            </w:pPr>
          </w:p>
        </w:tc>
        <w:tc>
          <w:tcPr>
            <w:tcW w:w="316" w:type="pct"/>
            <w:vMerge w:val="continue"/>
            <w:tcMar>
              <w:top w:w="15" w:type="dxa"/>
              <w:left w:w="15" w:type="dxa"/>
              <w:bottom w:w="0" w:type="dxa"/>
              <w:right w:w="15" w:type="dxa"/>
            </w:tcMar>
            <w:vAlign w:val="center"/>
          </w:tcPr>
          <w:p>
            <w:pPr>
              <w:adjustRightInd w:val="0"/>
              <w:snapToGrid w:val="0"/>
              <w:jc w:val="center"/>
              <w:rPr>
                <w:rFonts w:eastAsiaTheme="minorEastAsia"/>
                <w:color w:val="000000"/>
                <w:szCs w:val="21"/>
              </w:rPr>
            </w:pPr>
          </w:p>
        </w:tc>
        <w:tc>
          <w:tcPr>
            <w:tcW w:w="429" w:type="pct"/>
            <w:vMerge w:val="continue"/>
            <w:tcMar>
              <w:top w:w="15" w:type="dxa"/>
              <w:left w:w="15" w:type="dxa"/>
              <w:bottom w:w="0" w:type="dxa"/>
              <w:right w:w="15" w:type="dxa"/>
            </w:tcMar>
            <w:vAlign w:val="center"/>
          </w:tcPr>
          <w:p>
            <w:pPr>
              <w:adjustRightInd w:val="0"/>
              <w:snapToGrid w:val="0"/>
              <w:jc w:val="center"/>
              <w:rPr>
                <w:rFonts w:eastAsiaTheme="minorEastAsia"/>
                <w:color w:val="000000"/>
                <w:szCs w:val="21"/>
              </w:rPr>
            </w:pPr>
          </w:p>
        </w:tc>
        <w:tc>
          <w:tcPr>
            <w:tcW w:w="463" w:type="pct"/>
            <w:vMerge w:val="continue"/>
            <w:vAlign w:val="center"/>
          </w:tcPr>
          <w:p>
            <w:pPr>
              <w:jc w:val="center"/>
              <w:rPr>
                <w:rFonts w:eastAsiaTheme="minorEastAsia"/>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28" w:type="pct"/>
            <w:vMerge w:val="continue"/>
            <w:tcMar>
              <w:top w:w="15" w:type="dxa"/>
              <w:left w:w="15" w:type="dxa"/>
              <w:bottom w:w="0" w:type="dxa"/>
              <w:right w:w="15" w:type="dxa"/>
            </w:tcMar>
            <w:vAlign w:val="center"/>
          </w:tcPr>
          <w:p>
            <w:pPr>
              <w:jc w:val="center"/>
              <w:rPr>
                <w:rFonts w:eastAsiaTheme="minorEastAsia"/>
                <w:color w:val="000000"/>
                <w:szCs w:val="21"/>
              </w:rPr>
            </w:pPr>
          </w:p>
        </w:tc>
        <w:tc>
          <w:tcPr>
            <w:tcW w:w="483" w:type="pct"/>
            <w:vMerge w:val="continue"/>
            <w:tcMar>
              <w:top w:w="15" w:type="dxa"/>
              <w:left w:w="15" w:type="dxa"/>
              <w:bottom w:w="0" w:type="dxa"/>
              <w:right w:w="15" w:type="dxa"/>
            </w:tcMar>
            <w:vAlign w:val="center"/>
          </w:tcPr>
          <w:p>
            <w:pPr>
              <w:jc w:val="center"/>
              <w:rPr>
                <w:rFonts w:eastAsiaTheme="minorEastAsia"/>
                <w:color w:val="000000"/>
                <w:szCs w:val="21"/>
              </w:rPr>
            </w:pPr>
          </w:p>
        </w:tc>
        <w:tc>
          <w:tcPr>
            <w:tcW w:w="398" w:type="pct"/>
            <w:vMerge w:val="continue"/>
            <w:tcMar>
              <w:top w:w="15" w:type="dxa"/>
              <w:left w:w="15" w:type="dxa"/>
              <w:bottom w:w="0" w:type="dxa"/>
              <w:right w:w="15" w:type="dxa"/>
            </w:tcMar>
            <w:vAlign w:val="center"/>
          </w:tcPr>
          <w:p>
            <w:pPr>
              <w:jc w:val="center"/>
              <w:rPr>
                <w:rFonts w:eastAsiaTheme="minorEastAsia"/>
                <w:color w:val="000000"/>
                <w:szCs w:val="21"/>
              </w:rPr>
            </w:pPr>
          </w:p>
        </w:tc>
        <w:tc>
          <w:tcPr>
            <w:tcW w:w="210"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W</w:t>
            </w:r>
          </w:p>
        </w:tc>
        <w:tc>
          <w:tcPr>
            <w:tcW w:w="19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ρ</w:t>
            </w:r>
          </w:p>
        </w:tc>
        <w:tc>
          <w:tcPr>
            <w:tcW w:w="37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cm/s</w:t>
            </w:r>
          </w:p>
        </w:tc>
        <w:tc>
          <w:tcPr>
            <w:tcW w:w="219"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av</w:t>
            </w:r>
          </w:p>
        </w:tc>
        <w:tc>
          <w:tcPr>
            <w:tcW w:w="20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Es</w:t>
            </w:r>
          </w:p>
        </w:tc>
        <w:tc>
          <w:tcPr>
            <w:tcW w:w="331"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f</w:t>
            </w:r>
            <w:r>
              <w:rPr>
                <w:rFonts w:eastAsiaTheme="minorEastAsia"/>
                <w:color w:val="000000"/>
                <w:szCs w:val="21"/>
                <w:vertAlign w:val="subscript"/>
              </w:rPr>
              <w:t>ak</w:t>
            </w:r>
          </w:p>
        </w:tc>
        <w:tc>
          <w:tcPr>
            <w:tcW w:w="345"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f</w:t>
            </w:r>
          </w:p>
        </w:tc>
        <w:tc>
          <w:tcPr>
            <w:tcW w:w="194"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C sq</w:t>
            </w:r>
          </w:p>
        </w:tc>
        <w:tc>
          <w:tcPr>
            <w:tcW w:w="19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φsq</w:t>
            </w:r>
          </w:p>
        </w:tc>
        <w:tc>
          <w:tcPr>
            <w:tcW w:w="203" w:type="pct"/>
            <w:tcMar>
              <w:top w:w="15" w:type="dxa"/>
              <w:left w:w="15" w:type="dxa"/>
              <w:bottom w:w="0" w:type="dxa"/>
              <w:right w:w="15" w:type="dxa"/>
            </w:tcMar>
            <w:vAlign w:val="center"/>
          </w:tcPr>
          <w:p>
            <w:pPr>
              <w:jc w:val="center"/>
              <w:rPr>
                <w:rFonts w:eastAsiaTheme="minorEastAsia"/>
                <w:i/>
                <w:color w:val="000000"/>
                <w:szCs w:val="21"/>
              </w:rPr>
            </w:pPr>
            <w:r>
              <w:rPr>
                <w:rFonts w:eastAsiaTheme="minorEastAsia"/>
                <w:i/>
                <w:color w:val="000000"/>
                <w:szCs w:val="21"/>
              </w:rPr>
              <w:t>c</w:t>
            </w:r>
            <w:r>
              <w:rPr>
                <w:rFonts w:eastAsiaTheme="minorEastAsia"/>
                <w:color w:val="000000"/>
                <w:szCs w:val="21"/>
                <w:vertAlign w:val="subscript"/>
              </w:rPr>
              <w:t>CQ</w:t>
            </w:r>
          </w:p>
        </w:tc>
        <w:tc>
          <w:tcPr>
            <w:tcW w:w="199" w:type="pct"/>
            <w:tcMar>
              <w:top w:w="15" w:type="dxa"/>
              <w:left w:w="15" w:type="dxa"/>
              <w:bottom w:w="0" w:type="dxa"/>
              <w:right w:w="15" w:type="dxa"/>
            </w:tcMar>
            <w:vAlign w:val="center"/>
          </w:tcPr>
          <w:p>
            <w:pPr>
              <w:jc w:val="center"/>
              <w:rPr>
                <w:rFonts w:eastAsiaTheme="minorEastAsia"/>
                <w:i/>
                <w:color w:val="000000"/>
                <w:szCs w:val="21"/>
              </w:rPr>
            </w:pPr>
            <w:r>
              <w:rPr>
                <w:rFonts w:eastAsiaTheme="minorEastAsia"/>
                <w:i/>
                <w:color w:val="000000"/>
                <w:szCs w:val="21"/>
              </w:rPr>
              <w:t>Φ</w:t>
            </w:r>
            <w:r>
              <w:rPr>
                <w:rFonts w:eastAsiaTheme="minorEastAsia"/>
                <w:color w:val="000000"/>
                <w:szCs w:val="21"/>
                <w:vertAlign w:val="subscript"/>
              </w:rPr>
              <w:t>CQ</w:t>
            </w:r>
          </w:p>
        </w:tc>
        <w:tc>
          <w:tcPr>
            <w:tcW w:w="31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J</w:t>
            </w:r>
          </w:p>
        </w:tc>
        <w:tc>
          <w:tcPr>
            <w:tcW w:w="429" w:type="pct"/>
            <w:vAlign w:val="center"/>
          </w:tcPr>
          <w:p>
            <w:pPr>
              <w:jc w:val="center"/>
              <w:rPr>
                <w:rFonts w:eastAsiaTheme="minorEastAsia"/>
                <w:color w:val="000000"/>
                <w:szCs w:val="21"/>
              </w:rPr>
            </w:pPr>
            <w:r>
              <w:rPr>
                <w:rFonts w:eastAsiaTheme="minorEastAsia"/>
                <w:color w:val="000000"/>
                <w:szCs w:val="21"/>
              </w:rPr>
              <w:t>q</w:t>
            </w:r>
            <w:r>
              <w:rPr>
                <w:rFonts w:eastAsiaTheme="minorEastAsia"/>
                <w:color w:val="000000"/>
                <w:szCs w:val="21"/>
                <w:vertAlign w:val="subscript"/>
              </w:rPr>
              <w:t>sa</w:t>
            </w:r>
          </w:p>
        </w:tc>
        <w:tc>
          <w:tcPr>
            <w:tcW w:w="463" w:type="pct"/>
            <w:vAlign w:val="center"/>
          </w:tcPr>
          <w:p>
            <w:pPr>
              <w:jc w:val="center"/>
              <w:rPr>
                <w:rFonts w:eastAsiaTheme="minorEastAsia"/>
                <w:color w:val="000000"/>
                <w:szCs w:val="21"/>
              </w:rPr>
            </w:pPr>
            <w:r>
              <w:rPr>
                <w:rFonts w:eastAsiaTheme="minorEastAsia"/>
                <w:color w:val="000000"/>
                <w:szCs w:val="21"/>
              </w:rPr>
              <w:t>q</w:t>
            </w:r>
            <w:r>
              <w:rPr>
                <w:rFonts w:eastAsiaTheme="minorEastAsia"/>
                <w:color w:val="000000"/>
                <w:szCs w:val="21"/>
                <w:vertAlign w:val="subscript"/>
              </w:rPr>
              <w:t>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28" w:type="pct"/>
            <w:vMerge w:val="continue"/>
            <w:tcMar>
              <w:top w:w="15" w:type="dxa"/>
              <w:left w:w="15" w:type="dxa"/>
              <w:bottom w:w="0" w:type="dxa"/>
              <w:right w:w="15" w:type="dxa"/>
            </w:tcMar>
            <w:vAlign w:val="center"/>
          </w:tcPr>
          <w:p>
            <w:pPr>
              <w:jc w:val="center"/>
              <w:rPr>
                <w:rFonts w:eastAsiaTheme="minorEastAsia"/>
                <w:color w:val="000000"/>
                <w:szCs w:val="21"/>
              </w:rPr>
            </w:pPr>
          </w:p>
        </w:tc>
        <w:tc>
          <w:tcPr>
            <w:tcW w:w="483" w:type="pct"/>
            <w:vMerge w:val="continue"/>
            <w:tcMar>
              <w:top w:w="15" w:type="dxa"/>
              <w:left w:w="15" w:type="dxa"/>
              <w:bottom w:w="0" w:type="dxa"/>
              <w:right w:w="15" w:type="dxa"/>
            </w:tcMar>
            <w:vAlign w:val="center"/>
          </w:tcPr>
          <w:p>
            <w:pPr>
              <w:jc w:val="center"/>
              <w:rPr>
                <w:rFonts w:eastAsiaTheme="minorEastAsia"/>
                <w:color w:val="000000"/>
                <w:szCs w:val="21"/>
              </w:rPr>
            </w:pPr>
          </w:p>
        </w:tc>
        <w:tc>
          <w:tcPr>
            <w:tcW w:w="398" w:type="pct"/>
            <w:vMerge w:val="continue"/>
            <w:tcMar>
              <w:top w:w="15" w:type="dxa"/>
              <w:left w:w="15" w:type="dxa"/>
              <w:bottom w:w="0" w:type="dxa"/>
              <w:right w:w="15" w:type="dxa"/>
            </w:tcMar>
            <w:vAlign w:val="center"/>
          </w:tcPr>
          <w:p>
            <w:pPr>
              <w:jc w:val="center"/>
              <w:rPr>
                <w:rFonts w:eastAsiaTheme="minorEastAsia"/>
                <w:color w:val="000000"/>
                <w:szCs w:val="21"/>
              </w:rPr>
            </w:pPr>
          </w:p>
        </w:tc>
        <w:tc>
          <w:tcPr>
            <w:tcW w:w="210"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w:t>
            </w:r>
          </w:p>
        </w:tc>
        <w:tc>
          <w:tcPr>
            <w:tcW w:w="19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g/cm</w:t>
            </w:r>
            <w:r>
              <w:rPr>
                <w:rFonts w:eastAsiaTheme="minorEastAsia"/>
                <w:color w:val="000000"/>
                <w:szCs w:val="21"/>
                <w:vertAlign w:val="superscript"/>
              </w:rPr>
              <w:t>3</w:t>
            </w:r>
          </w:p>
        </w:tc>
        <w:tc>
          <w:tcPr>
            <w:tcW w:w="37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cm/s</w:t>
            </w:r>
          </w:p>
        </w:tc>
        <w:tc>
          <w:tcPr>
            <w:tcW w:w="219" w:type="pct"/>
            <w:tcMar>
              <w:top w:w="15" w:type="dxa"/>
              <w:left w:w="15" w:type="dxa"/>
              <w:bottom w:w="0" w:type="dxa"/>
              <w:right w:w="15" w:type="dxa"/>
            </w:tcMar>
            <w:vAlign w:val="center"/>
          </w:tcPr>
          <w:p>
            <w:pPr>
              <w:jc w:val="center"/>
              <w:rPr>
                <w:rFonts w:eastAsiaTheme="minorEastAsia"/>
                <w:color w:val="000000"/>
                <w:spacing w:val="-14"/>
                <w:szCs w:val="21"/>
              </w:rPr>
            </w:pPr>
            <w:r>
              <w:rPr>
                <w:rFonts w:eastAsiaTheme="minorEastAsia"/>
                <w:color w:val="000000"/>
                <w:spacing w:val="-14"/>
                <w:szCs w:val="21"/>
              </w:rPr>
              <w:t>1/MPa</w:t>
            </w:r>
          </w:p>
        </w:tc>
        <w:tc>
          <w:tcPr>
            <w:tcW w:w="20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MPa</w:t>
            </w:r>
          </w:p>
        </w:tc>
        <w:tc>
          <w:tcPr>
            <w:tcW w:w="331"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kPa</w:t>
            </w:r>
          </w:p>
        </w:tc>
        <w:tc>
          <w:tcPr>
            <w:tcW w:w="345" w:type="pct"/>
            <w:tcMar>
              <w:top w:w="15" w:type="dxa"/>
              <w:left w:w="15" w:type="dxa"/>
              <w:bottom w:w="0" w:type="dxa"/>
              <w:right w:w="15" w:type="dxa"/>
            </w:tcMar>
            <w:vAlign w:val="center"/>
          </w:tcPr>
          <w:p>
            <w:pPr>
              <w:jc w:val="center"/>
              <w:rPr>
                <w:rFonts w:eastAsiaTheme="minorEastAsia"/>
                <w:color w:val="000000"/>
                <w:szCs w:val="21"/>
              </w:rPr>
            </w:pPr>
          </w:p>
        </w:tc>
        <w:tc>
          <w:tcPr>
            <w:tcW w:w="194"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kPa</w:t>
            </w:r>
          </w:p>
        </w:tc>
        <w:tc>
          <w:tcPr>
            <w:tcW w:w="19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w:t>
            </w:r>
          </w:p>
        </w:tc>
        <w:tc>
          <w:tcPr>
            <w:tcW w:w="203"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kPa</w:t>
            </w:r>
          </w:p>
        </w:tc>
        <w:tc>
          <w:tcPr>
            <w:tcW w:w="199"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w:t>
            </w:r>
          </w:p>
        </w:tc>
        <w:tc>
          <w:tcPr>
            <w:tcW w:w="316" w:type="pct"/>
            <w:tcMar>
              <w:top w:w="15" w:type="dxa"/>
              <w:left w:w="15" w:type="dxa"/>
              <w:bottom w:w="0" w:type="dxa"/>
              <w:right w:w="15" w:type="dxa"/>
            </w:tcMar>
            <w:vAlign w:val="center"/>
          </w:tcPr>
          <w:p>
            <w:pPr>
              <w:jc w:val="center"/>
              <w:rPr>
                <w:rFonts w:eastAsiaTheme="minorEastAsia"/>
                <w:color w:val="000000"/>
                <w:szCs w:val="21"/>
              </w:rPr>
            </w:pPr>
          </w:p>
        </w:tc>
        <w:tc>
          <w:tcPr>
            <w:tcW w:w="429" w:type="pct"/>
            <w:vAlign w:val="center"/>
          </w:tcPr>
          <w:p>
            <w:pPr>
              <w:jc w:val="center"/>
              <w:rPr>
                <w:rFonts w:eastAsiaTheme="minorEastAsia"/>
                <w:color w:val="000000"/>
                <w:szCs w:val="21"/>
              </w:rPr>
            </w:pPr>
            <w:r>
              <w:rPr>
                <w:rFonts w:eastAsiaTheme="minorEastAsia"/>
                <w:color w:val="000000"/>
                <w:szCs w:val="21"/>
              </w:rPr>
              <w:t>kPa</w:t>
            </w:r>
          </w:p>
        </w:tc>
        <w:tc>
          <w:tcPr>
            <w:tcW w:w="463" w:type="pct"/>
            <w:vAlign w:val="center"/>
          </w:tcPr>
          <w:p>
            <w:pPr>
              <w:jc w:val="center"/>
              <w:rPr>
                <w:rFonts w:eastAsiaTheme="minorEastAsia"/>
                <w:color w:val="000000"/>
                <w:szCs w:val="21"/>
              </w:rPr>
            </w:pPr>
            <w:r>
              <w:rPr>
                <w:rFonts w:eastAsiaTheme="minorEastAsia"/>
                <w:color w:val="000000"/>
                <w:szCs w:val="21"/>
              </w:rPr>
              <w:t>kPa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2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①</w:t>
            </w:r>
          </w:p>
        </w:tc>
        <w:tc>
          <w:tcPr>
            <w:tcW w:w="483"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人工填土</w:t>
            </w:r>
          </w:p>
        </w:tc>
        <w:tc>
          <w:tcPr>
            <w:tcW w:w="39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欠压实</w:t>
            </w:r>
          </w:p>
        </w:tc>
        <w:tc>
          <w:tcPr>
            <w:tcW w:w="210" w:type="pct"/>
            <w:tcMar>
              <w:top w:w="15" w:type="dxa"/>
              <w:left w:w="15" w:type="dxa"/>
              <w:bottom w:w="0" w:type="dxa"/>
              <w:right w:w="15" w:type="dxa"/>
            </w:tcMar>
            <w:vAlign w:val="center"/>
          </w:tcPr>
          <w:p>
            <w:pPr>
              <w:jc w:val="center"/>
              <w:rPr>
                <w:rFonts w:eastAsiaTheme="minorEastAsia"/>
                <w:color w:val="000000"/>
                <w:szCs w:val="21"/>
              </w:rPr>
            </w:pPr>
          </w:p>
        </w:tc>
        <w:tc>
          <w:tcPr>
            <w:tcW w:w="198" w:type="pct"/>
            <w:tcMar>
              <w:top w:w="15" w:type="dxa"/>
              <w:left w:w="15" w:type="dxa"/>
              <w:bottom w:w="0" w:type="dxa"/>
              <w:right w:w="15" w:type="dxa"/>
            </w:tcMar>
            <w:vAlign w:val="center"/>
          </w:tcPr>
          <w:p>
            <w:pPr>
              <w:jc w:val="center"/>
              <w:rPr>
                <w:rFonts w:eastAsiaTheme="minorEastAsia"/>
                <w:color w:val="000000"/>
                <w:szCs w:val="21"/>
              </w:rPr>
            </w:pPr>
          </w:p>
        </w:tc>
        <w:tc>
          <w:tcPr>
            <w:tcW w:w="37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3.0E-06</w:t>
            </w:r>
          </w:p>
        </w:tc>
        <w:tc>
          <w:tcPr>
            <w:tcW w:w="219"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0.35</w:t>
            </w:r>
          </w:p>
        </w:tc>
        <w:tc>
          <w:tcPr>
            <w:tcW w:w="20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5.0</w:t>
            </w:r>
          </w:p>
        </w:tc>
        <w:tc>
          <w:tcPr>
            <w:tcW w:w="331"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100～120</w:t>
            </w:r>
          </w:p>
        </w:tc>
        <w:tc>
          <w:tcPr>
            <w:tcW w:w="345"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0.15～0.20</w:t>
            </w:r>
          </w:p>
        </w:tc>
        <w:tc>
          <w:tcPr>
            <w:tcW w:w="194"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8.0</w:t>
            </w:r>
          </w:p>
        </w:tc>
        <w:tc>
          <w:tcPr>
            <w:tcW w:w="19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9.0</w:t>
            </w:r>
          </w:p>
        </w:tc>
        <w:tc>
          <w:tcPr>
            <w:tcW w:w="203"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10</w:t>
            </w:r>
          </w:p>
        </w:tc>
        <w:tc>
          <w:tcPr>
            <w:tcW w:w="199"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12</w:t>
            </w:r>
          </w:p>
        </w:tc>
        <w:tc>
          <w:tcPr>
            <w:tcW w:w="31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0.40</w:t>
            </w:r>
          </w:p>
        </w:tc>
        <w:tc>
          <w:tcPr>
            <w:tcW w:w="429" w:type="pct"/>
            <w:vAlign w:val="center"/>
          </w:tcPr>
          <w:p>
            <w:pPr>
              <w:jc w:val="center"/>
              <w:rPr>
                <w:rFonts w:eastAsiaTheme="minorEastAsia"/>
                <w:color w:val="000000"/>
                <w:szCs w:val="21"/>
              </w:rPr>
            </w:pPr>
            <w:r>
              <w:rPr>
                <w:rFonts w:eastAsiaTheme="minorEastAsia"/>
                <w:color w:val="000000"/>
                <w:szCs w:val="21"/>
              </w:rPr>
              <w:t>10</w:t>
            </w:r>
          </w:p>
        </w:tc>
        <w:tc>
          <w:tcPr>
            <w:tcW w:w="463" w:type="pct"/>
            <w:vAlign w:val="center"/>
          </w:tcPr>
          <w:p>
            <w:pPr>
              <w:jc w:val="center"/>
              <w:rPr>
                <w:rFonts w:eastAsiaTheme="minorEastAsia"/>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2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②-1</w:t>
            </w:r>
          </w:p>
        </w:tc>
        <w:tc>
          <w:tcPr>
            <w:tcW w:w="483" w:type="pct"/>
            <w:tcMar>
              <w:top w:w="15" w:type="dxa"/>
              <w:left w:w="15" w:type="dxa"/>
              <w:bottom w:w="0" w:type="dxa"/>
              <w:right w:w="15" w:type="dxa"/>
            </w:tcMar>
            <w:vAlign w:val="center"/>
          </w:tcPr>
          <w:p>
            <w:pPr>
              <w:jc w:val="center"/>
              <w:rPr>
                <w:rFonts w:eastAsiaTheme="minorEastAsia"/>
                <w:color w:val="000000"/>
                <w:spacing w:val="-14"/>
                <w:szCs w:val="21"/>
              </w:rPr>
            </w:pPr>
            <w:r>
              <w:rPr>
                <w:rFonts w:eastAsiaTheme="minorEastAsia"/>
                <w:color w:val="000000"/>
                <w:spacing w:val="-14"/>
                <w:szCs w:val="21"/>
              </w:rPr>
              <w:t>淤泥～淤泥质土</w:t>
            </w:r>
          </w:p>
        </w:tc>
        <w:tc>
          <w:tcPr>
            <w:tcW w:w="398" w:type="pct"/>
            <w:tcMar>
              <w:top w:w="15" w:type="dxa"/>
              <w:left w:w="15" w:type="dxa"/>
              <w:bottom w:w="0" w:type="dxa"/>
              <w:right w:w="15" w:type="dxa"/>
            </w:tcMar>
            <w:vAlign w:val="center"/>
          </w:tcPr>
          <w:p>
            <w:pPr>
              <w:jc w:val="center"/>
              <w:rPr>
                <w:rFonts w:eastAsiaTheme="minorEastAsia"/>
                <w:color w:val="000000"/>
                <w:spacing w:val="-14"/>
                <w:szCs w:val="21"/>
              </w:rPr>
            </w:pPr>
            <w:r>
              <w:rPr>
                <w:rFonts w:eastAsiaTheme="minorEastAsia"/>
                <w:color w:val="000000"/>
                <w:spacing w:val="-14"/>
                <w:szCs w:val="21"/>
              </w:rPr>
              <w:t>流塑～软塑</w:t>
            </w:r>
          </w:p>
        </w:tc>
        <w:tc>
          <w:tcPr>
            <w:tcW w:w="210"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79.16</w:t>
            </w:r>
          </w:p>
        </w:tc>
        <w:tc>
          <w:tcPr>
            <w:tcW w:w="198"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1.56</w:t>
            </w:r>
          </w:p>
        </w:tc>
        <w:tc>
          <w:tcPr>
            <w:tcW w:w="37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6.06E-06</w:t>
            </w:r>
          </w:p>
        </w:tc>
        <w:tc>
          <w:tcPr>
            <w:tcW w:w="219"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2.054</w:t>
            </w:r>
          </w:p>
        </w:tc>
        <w:tc>
          <w:tcPr>
            <w:tcW w:w="20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1.78</w:t>
            </w:r>
          </w:p>
        </w:tc>
        <w:tc>
          <w:tcPr>
            <w:tcW w:w="331"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35～40</w:t>
            </w:r>
          </w:p>
        </w:tc>
        <w:tc>
          <w:tcPr>
            <w:tcW w:w="345"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0.1～0.15</w:t>
            </w:r>
          </w:p>
        </w:tc>
        <w:tc>
          <w:tcPr>
            <w:tcW w:w="194"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4.1</w:t>
            </w:r>
          </w:p>
        </w:tc>
        <w:tc>
          <w:tcPr>
            <w:tcW w:w="19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2.7</w:t>
            </w:r>
          </w:p>
        </w:tc>
        <w:tc>
          <w:tcPr>
            <w:tcW w:w="203"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4.2</w:t>
            </w:r>
          </w:p>
        </w:tc>
        <w:tc>
          <w:tcPr>
            <w:tcW w:w="199"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4.8</w:t>
            </w:r>
          </w:p>
        </w:tc>
        <w:tc>
          <w:tcPr>
            <w:tcW w:w="31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0.30</w:t>
            </w:r>
          </w:p>
        </w:tc>
        <w:tc>
          <w:tcPr>
            <w:tcW w:w="429" w:type="pct"/>
            <w:vAlign w:val="center"/>
          </w:tcPr>
          <w:p>
            <w:pPr>
              <w:jc w:val="center"/>
              <w:rPr>
                <w:rFonts w:eastAsiaTheme="minorEastAsia"/>
                <w:color w:val="000000"/>
                <w:szCs w:val="21"/>
              </w:rPr>
            </w:pPr>
            <w:r>
              <w:rPr>
                <w:rFonts w:eastAsiaTheme="minorEastAsia"/>
                <w:color w:val="000000"/>
                <w:szCs w:val="21"/>
              </w:rPr>
              <w:t>8</w:t>
            </w:r>
          </w:p>
        </w:tc>
        <w:tc>
          <w:tcPr>
            <w:tcW w:w="463" w:type="pct"/>
            <w:vAlign w:val="center"/>
          </w:tcPr>
          <w:p>
            <w:pPr>
              <w:jc w:val="center"/>
              <w:rPr>
                <w:rFonts w:eastAsiaTheme="minorEastAsia"/>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2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②-2</w:t>
            </w:r>
          </w:p>
        </w:tc>
        <w:tc>
          <w:tcPr>
            <w:tcW w:w="483"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黏土</w:t>
            </w:r>
          </w:p>
        </w:tc>
        <w:tc>
          <w:tcPr>
            <w:tcW w:w="39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可塑</w:t>
            </w:r>
          </w:p>
        </w:tc>
        <w:tc>
          <w:tcPr>
            <w:tcW w:w="210"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29.2</w:t>
            </w:r>
          </w:p>
        </w:tc>
        <w:tc>
          <w:tcPr>
            <w:tcW w:w="198"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1.97</w:t>
            </w:r>
          </w:p>
        </w:tc>
        <w:tc>
          <w:tcPr>
            <w:tcW w:w="37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7.45E-08</w:t>
            </w:r>
          </w:p>
        </w:tc>
        <w:tc>
          <w:tcPr>
            <w:tcW w:w="219"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0.234</w:t>
            </w:r>
          </w:p>
        </w:tc>
        <w:tc>
          <w:tcPr>
            <w:tcW w:w="20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7.71</w:t>
            </w:r>
          </w:p>
        </w:tc>
        <w:tc>
          <w:tcPr>
            <w:tcW w:w="331"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140～160</w:t>
            </w:r>
          </w:p>
        </w:tc>
        <w:tc>
          <w:tcPr>
            <w:tcW w:w="345"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0.2～0.25</w:t>
            </w:r>
          </w:p>
        </w:tc>
        <w:tc>
          <w:tcPr>
            <w:tcW w:w="194"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5</w:t>
            </w:r>
          </w:p>
        </w:tc>
        <w:tc>
          <w:tcPr>
            <w:tcW w:w="19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9.8</w:t>
            </w:r>
          </w:p>
        </w:tc>
        <w:tc>
          <w:tcPr>
            <w:tcW w:w="203" w:type="pct"/>
            <w:tcMar>
              <w:top w:w="15" w:type="dxa"/>
              <w:left w:w="15" w:type="dxa"/>
              <w:bottom w:w="0" w:type="dxa"/>
              <w:right w:w="15" w:type="dxa"/>
            </w:tcMar>
            <w:vAlign w:val="center"/>
          </w:tcPr>
          <w:p>
            <w:pPr>
              <w:jc w:val="center"/>
              <w:rPr>
                <w:rFonts w:eastAsiaTheme="minorEastAsia"/>
                <w:color w:val="000000"/>
                <w:szCs w:val="21"/>
              </w:rPr>
            </w:pPr>
          </w:p>
        </w:tc>
        <w:tc>
          <w:tcPr>
            <w:tcW w:w="199" w:type="pct"/>
            <w:tcMar>
              <w:top w:w="15" w:type="dxa"/>
              <w:left w:w="15" w:type="dxa"/>
              <w:bottom w:w="0" w:type="dxa"/>
              <w:right w:w="15" w:type="dxa"/>
            </w:tcMar>
            <w:vAlign w:val="center"/>
          </w:tcPr>
          <w:p>
            <w:pPr>
              <w:jc w:val="center"/>
              <w:rPr>
                <w:rFonts w:eastAsiaTheme="minorEastAsia"/>
                <w:color w:val="000000"/>
                <w:szCs w:val="21"/>
              </w:rPr>
            </w:pPr>
          </w:p>
        </w:tc>
        <w:tc>
          <w:tcPr>
            <w:tcW w:w="31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0.40</w:t>
            </w:r>
          </w:p>
        </w:tc>
        <w:tc>
          <w:tcPr>
            <w:tcW w:w="429" w:type="pct"/>
            <w:vAlign w:val="center"/>
          </w:tcPr>
          <w:p>
            <w:pPr>
              <w:jc w:val="center"/>
              <w:rPr>
                <w:rFonts w:eastAsiaTheme="minorEastAsia"/>
                <w:color w:val="000000"/>
                <w:szCs w:val="21"/>
              </w:rPr>
            </w:pPr>
            <w:r>
              <w:rPr>
                <w:rFonts w:eastAsiaTheme="minorEastAsia"/>
                <w:color w:val="000000"/>
                <w:szCs w:val="21"/>
              </w:rPr>
              <w:t>25</w:t>
            </w:r>
          </w:p>
        </w:tc>
        <w:tc>
          <w:tcPr>
            <w:tcW w:w="463" w:type="pct"/>
            <w:vAlign w:val="center"/>
          </w:tcPr>
          <w:p>
            <w:pPr>
              <w:jc w:val="center"/>
              <w:rPr>
                <w:rFonts w:eastAsiaTheme="minorEastAsia"/>
                <w:color w:val="000000"/>
                <w:szCs w:val="21"/>
              </w:rPr>
            </w:pPr>
            <w:r>
              <w:rPr>
                <w:rFonts w:eastAsiaTheme="minorEastAsia"/>
                <w:color w:val="000000"/>
                <w:szCs w:val="21"/>
              </w:rPr>
              <w:t>350～450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2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②-3</w:t>
            </w:r>
          </w:p>
        </w:tc>
        <w:tc>
          <w:tcPr>
            <w:tcW w:w="483" w:type="pct"/>
            <w:tcMar>
              <w:top w:w="15" w:type="dxa"/>
              <w:left w:w="15" w:type="dxa"/>
              <w:bottom w:w="0" w:type="dxa"/>
              <w:right w:w="15" w:type="dxa"/>
            </w:tcMar>
            <w:vAlign w:val="center"/>
          </w:tcPr>
          <w:p>
            <w:pPr>
              <w:jc w:val="center"/>
              <w:rPr>
                <w:rFonts w:eastAsiaTheme="minorEastAsia"/>
                <w:b/>
                <w:bCs/>
                <w:color w:val="000000"/>
                <w:szCs w:val="21"/>
              </w:rPr>
            </w:pPr>
            <w:r>
              <w:rPr>
                <w:rFonts w:eastAsiaTheme="minorEastAsia"/>
                <w:color w:val="000000"/>
                <w:szCs w:val="21"/>
              </w:rPr>
              <w:t>中粗砂</w:t>
            </w:r>
          </w:p>
        </w:tc>
        <w:tc>
          <w:tcPr>
            <w:tcW w:w="39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稍密～中密</w:t>
            </w:r>
          </w:p>
        </w:tc>
        <w:tc>
          <w:tcPr>
            <w:tcW w:w="210" w:type="pct"/>
            <w:tcMar>
              <w:top w:w="15" w:type="dxa"/>
              <w:left w:w="15" w:type="dxa"/>
              <w:bottom w:w="0" w:type="dxa"/>
              <w:right w:w="15" w:type="dxa"/>
            </w:tcMar>
            <w:vAlign w:val="center"/>
          </w:tcPr>
          <w:p>
            <w:pPr>
              <w:jc w:val="center"/>
              <w:rPr>
                <w:rFonts w:eastAsiaTheme="minorEastAsia"/>
                <w:color w:val="000000"/>
                <w:szCs w:val="21"/>
              </w:rPr>
            </w:pPr>
          </w:p>
        </w:tc>
        <w:tc>
          <w:tcPr>
            <w:tcW w:w="198" w:type="pct"/>
            <w:tcMar>
              <w:top w:w="15" w:type="dxa"/>
              <w:left w:w="15" w:type="dxa"/>
              <w:bottom w:w="0" w:type="dxa"/>
              <w:right w:w="15" w:type="dxa"/>
            </w:tcMar>
            <w:vAlign w:val="center"/>
          </w:tcPr>
          <w:p>
            <w:pPr>
              <w:jc w:val="center"/>
              <w:rPr>
                <w:rFonts w:eastAsiaTheme="minorEastAsia"/>
                <w:color w:val="000000"/>
                <w:szCs w:val="21"/>
              </w:rPr>
            </w:pPr>
          </w:p>
        </w:tc>
        <w:tc>
          <w:tcPr>
            <w:tcW w:w="376" w:type="pct"/>
            <w:tcMar>
              <w:top w:w="15" w:type="dxa"/>
              <w:left w:w="15" w:type="dxa"/>
              <w:bottom w:w="0" w:type="dxa"/>
              <w:right w:w="15" w:type="dxa"/>
            </w:tcMar>
            <w:vAlign w:val="center"/>
          </w:tcPr>
          <w:p>
            <w:pPr>
              <w:widowControl/>
              <w:jc w:val="center"/>
              <w:textAlignment w:val="bottom"/>
              <w:rPr>
                <w:rFonts w:eastAsiaTheme="minorEastAsia"/>
                <w:color w:val="000000"/>
                <w:szCs w:val="21"/>
              </w:rPr>
            </w:pPr>
            <w:r>
              <w:rPr>
                <w:rFonts w:eastAsiaTheme="minorEastAsia"/>
                <w:color w:val="000000"/>
                <w:szCs w:val="21"/>
              </w:rPr>
              <w:t>3.67E-03</w:t>
            </w:r>
          </w:p>
        </w:tc>
        <w:tc>
          <w:tcPr>
            <w:tcW w:w="219" w:type="pct"/>
            <w:tcMar>
              <w:top w:w="15" w:type="dxa"/>
              <w:left w:w="15" w:type="dxa"/>
              <w:bottom w:w="0" w:type="dxa"/>
              <w:right w:w="15" w:type="dxa"/>
            </w:tcMar>
            <w:vAlign w:val="center"/>
          </w:tcPr>
          <w:p>
            <w:pPr>
              <w:jc w:val="center"/>
              <w:rPr>
                <w:rFonts w:eastAsiaTheme="minorEastAsia"/>
                <w:color w:val="000000"/>
                <w:szCs w:val="21"/>
              </w:rPr>
            </w:pPr>
          </w:p>
        </w:tc>
        <w:tc>
          <w:tcPr>
            <w:tcW w:w="206" w:type="pct"/>
            <w:tcMar>
              <w:top w:w="15" w:type="dxa"/>
              <w:left w:w="15" w:type="dxa"/>
              <w:bottom w:w="0" w:type="dxa"/>
              <w:right w:w="15" w:type="dxa"/>
            </w:tcMar>
            <w:vAlign w:val="center"/>
          </w:tcPr>
          <w:p>
            <w:pPr>
              <w:jc w:val="center"/>
              <w:rPr>
                <w:rFonts w:eastAsiaTheme="minorEastAsia"/>
                <w:color w:val="000000"/>
                <w:szCs w:val="21"/>
              </w:rPr>
            </w:pPr>
          </w:p>
        </w:tc>
        <w:tc>
          <w:tcPr>
            <w:tcW w:w="331"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140～160</w:t>
            </w:r>
          </w:p>
        </w:tc>
        <w:tc>
          <w:tcPr>
            <w:tcW w:w="345"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0.35～0.4</w:t>
            </w:r>
          </w:p>
        </w:tc>
        <w:tc>
          <w:tcPr>
            <w:tcW w:w="194"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w:t>
            </w:r>
          </w:p>
        </w:tc>
        <w:tc>
          <w:tcPr>
            <w:tcW w:w="19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25</w:t>
            </w:r>
          </w:p>
        </w:tc>
        <w:tc>
          <w:tcPr>
            <w:tcW w:w="203" w:type="pct"/>
            <w:tcMar>
              <w:top w:w="15" w:type="dxa"/>
              <w:left w:w="15" w:type="dxa"/>
              <w:bottom w:w="0" w:type="dxa"/>
              <w:right w:w="15" w:type="dxa"/>
            </w:tcMar>
            <w:vAlign w:val="center"/>
          </w:tcPr>
          <w:p>
            <w:pPr>
              <w:jc w:val="center"/>
              <w:rPr>
                <w:rFonts w:eastAsiaTheme="minorEastAsia"/>
                <w:color w:val="000000"/>
                <w:szCs w:val="21"/>
              </w:rPr>
            </w:pPr>
          </w:p>
        </w:tc>
        <w:tc>
          <w:tcPr>
            <w:tcW w:w="199" w:type="pct"/>
            <w:tcMar>
              <w:top w:w="15" w:type="dxa"/>
              <w:left w:w="15" w:type="dxa"/>
              <w:bottom w:w="0" w:type="dxa"/>
              <w:right w:w="15" w:type="dxa"/>
            </w:tcMar>
            <w:vAlign w:val="center"/>
          </w:tcPr>
          <w:p>
            <w:pPr>
              <w:jc w:val="center"/>
              <w:rPr>
                <w:rFonts w:eastAsiaTheme="minorEastAsia"/>
                <w:color w:val="000000"/>
                <w:szCs w:val="21"/>
              </w:rPr>
            </w:pPr>
          </w:p>
        </w:tc>
        <w:tc>
          <w:tcPr>
            <w:tcW w:w="31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0.20</w:t>
            </w:r>
          </w:p>
        </w:tc>
        <w:tc>
          <w:tcPr>
            <w:tcW w:w="429" w:type="pct"/>
            <w:vAlign w:val="center"/>
          </w:tcPr>
          <w:p>
            <w:pPr>
              <w:jc w:val="center"/>
              <w:rPr>
                <w:rFonts w:eastAsiaTheme="minorEastAsia"/>
                <w:color w:val="000000"/>
                <w:szCs w:val="21"/>
              </w:rPr>
            </w:pPr>
            <w:r>
              <w:rPr>
                <w:rFonts w:eastAsiaTheme="minorEastAsia"/>
                <w:color w:val="000000"/>
                <w:szCs w:val="21"/>
              </w:rPr>
              <w:t>30</w:t>
            </w:r>
          </w:p>
        </w:tc>
        <w:tc>
          <w:tcPr>
            <w:tcW w:w="463" w:type="pct"/>
            <w:vAlign w:val="center"/>
          </w:tcPr>
          <w:p>
            <w:pPr>
              <w:jc w:val="center"/>
              <w:rPr>
                <w:rFonts w:eastAsiaTheme="minorEastAsia"/>
                <w:color w:val="000000"/>
                <w:szCs w:val="21"/>
              </w:rPr>
            </w:pPr>
            <w:r>
              <w:rPr>
                <w:rFonts w:eastAsiaTheme="minorEastAsia"/>
                <w:color w:val="000000"/>
                <w:szCs w:val="21"/>
              </w:rPr>
              <w:t>750～900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2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②-4</w:t>
            </w:r>
          </w:p>
        </w:tc>
        <w:tc>
          <w:tcPr>
            <w:tcW w:w="483"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淤泥质土</w:t>
            </w:r>
          </w:p>
        </w:tc>
        <w:tc>
          <w:tcPr>
            <w:tcW w:w="39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软塑</w:t>
            </w:r>
          </w:p>
        </w:tc>
        <w:tc>
          <w:tcPr>
            <w:tcW w:w="210"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29.2</w:t>
            </w:r>
          </w:p>
        </w:tc>
        <w:tc>
          <w:tcPr>
            <w:tcW w:w="198"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1.92</w:t>
            </w:r>
          </w:p>
        </w:tc>
        <w:tc>
          <w:tcPr>
            <w:tcW w:w="37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8.10E-06</w:t>
            </w:r>
          </w:p>
        </w:tc>
        <w:tc>
          <w:tcPr>
            <w:tcW w:w="219"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0.6</w:t>
            </w:r>
          </w:p>
        </w:tc>
        <w:tc>
          <w:tcPr>
            <w:tcW w:w="20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3.0</w:t>
            </w:r>
          </w:p>
        </w:tc>
        <w:tc>
          <w:tcPr>
            <w:tcW w:w="331"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60～70</w:t>
            </w:r>
          </w:p>
        </w:tc>
        <w:tc>
          <w:tcPr>
            <w:tcW w:w="345"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0.1～0.15</w:t>
            </w:r>
          </w:p>
        </w:tc>
        <w:tc>
          <w:tcPr>
            <w:tcW w:w="194"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5</w:t>
            </w:r>
          </w:p>
        </w:tc>
        <w:tc>
          <w:tcPr>
            <w:tcW w:w="19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7.2</w:t>
            </w:r>
          </w:p>
        </w:tc>
        <w:tc>
          <w:tcPr>
            <w:tcW w:w="203"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5</w:t>
            </w:r>
          </w:p>
        </w:tc>
        <w:tc>
          <w:tcPr>
            <w:tcW w:w="199"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10</w:t>
            </w:r>
          </w:p>
        </w:tc>
        <w:tc>
          <w:tcPr>
            <w:tcW w:w="31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0.35</w:t>
            </w:r>
          </w:p>
        </w:tc>
        <w:tc>
          <w:tcPr>
            <w:tcW w:w="429" w:type="pct"/>
            <w:vAlign w:val="center"/>
          </w:tcPr>
          <w:p>
            <w:pPr>
              <w:jc w:val="center"/>
              <w:rPr>
                <w:rFonts w:eastAsiaTheme="minorEastAsia"/>
                <w:color w:val="000000"/>
                <w:szCs w:val="21"/>
              </w:rPr>
            </w:pPr>
            <w:r>
              <w:rPr>
                <w:rFonts w:eastAsiaTheme="minorEastAsia"/>
                <w:color w:val="000000"/>
                <w:szCs w:val="21"/>
              </w:rPr>
              <w:t>10</w:t>
            </w:r>
          </w:p>
        </w:tc>
        <w:tc>
          <w:tcPr>
            <w:tcW w:w="463" w:type="pct"/>
            <w:vAlign w:val="center"/>
          </w:tcPr>
          <w:p>
            <w:pPr>
              <w:jc w:val="center"/>
              <w:rPr>
                <w:rFonts w:eastAsiaTheme="minorEastAsia"/>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2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②-5</w:t>
            </w:r>
          </w:p>
        </w:tc>
        <w:tc>
          <w:tcPr>
            <w:tcW w:w="483"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中粗砂</w:t>
            </w:r>
          </w:p>
        </w:tc>
        <w:tc>
          <w:tcPr>
            <w:tcW w:w="39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中密</w:t>
            </w:r>
          </w:p>
        </w:tc>
        <w:tc>
          <w:tcPr>
            <w:tcW w:w="210" w:type="pct"/>
            <w:tcMar>
              <w:top w:w="15" w:type="dxa"/>
              <w:left w:w="15" w:type="dxa"/>
              <w:bottom w:w="0" w:type="dxa"/>
              <w:right w:w="15" w:type="dxa"/>
            </w:tcMar>
            <w:vAlign w:val="center"/>
          </w:tcPr>
          <w:p>
            <w:pPr>
              <w:jc w:val="center"/>
              <w:rPr>
                <w:rFonts w:eastAsiaTheme="minorEastAsia"/>
                <w:color w:val="000000"/>
                <w:szCs w:val="21"/>
              </w:rPr>
            </w:pPr>
          </w:p>
        </w:tc>
        <w:tc>
          <w:tcPr>
            <w:tcW w:w="198" w:type="pct"/>
            <w:tcMar>
              <w:top w:w="15" w:type="dxa"/>
              <w:left w:w="15" w:type="dxa"/>
              <w:bottom w:w="0" w:type="dxa"/>
              <w:right w:w="15" w:type="dxa"/>
            </w:tcMar>
            <w:vAlign w:val="center"/>
          </w:tcPr>
          <w:p>
            <w:pPr>
              <w:jc w:val="center"/>
              <w:rPr>
                <w:rFonts w:eastAsiaTheme="minorEastAsia"/>
                <w:color w:val="000000"/>
                <w:szCs w:val="21"/>
              </w:rPr>
            </w:pPr>
          </w:p>
        </w:tc>
        <w:tc>
          <w:tcPr>
            <w:tcW w:w="376" w:type="pct"/>
            <w:tcMar>
              <w:top w:w="15" w:type="dxa"/>
              <w:left w:w="15" w:type="dxa"/>
              <w:bottom w:w="0" w:type="dxa"/>
              <w:right w:w="15" w:type="dxa"/>
            </w:tcMar>
            <w:vAlign w:val="center"/>
          </w:tcPr>
          <w:p>
            <w:pPr>
              <w:widowControl/>
              <w:jc w:val="center"/>
              <w:textAlignment w:val="bottom"/>
              <w:rPr>
                <w:rFonts w:eastAsiaTheme="minorEastAsia"/>
                <w:color w:val="000000"/>
                <w:szCs w:val="21"/>
              </w:rPr>
            </w:pPr>
            <w:r>
              <w:rPr>
                <w:rFonts w:eastAsiaTheme="minorEastAsia"/>
                <w:color w:val="000000"/>
                <w:szCs w:val="21"/>
              </w:rPr>
              <w:t>1.13E-02</w:t>
            </w:r>
          </w:p>
        </w:tc>
        <w:tc>
          <w:tcPr>
            <w:tcW w:w="219" w:type="pct"/>
            <w:tcMar>
              <w:top w:w="15" w:type="dxa"/>
              <w:left w:w="15" w:type="dxa"/>
              <w:bottom w:w="0" w:type="dxa"/>
              <w:right w:w="15" w:type="dxa"/>
            </w:tcMar>
            <w:vAlign w:val="center"/>
          </w:tcPr>
          <w:p>
            <w:pPr>
              <w:jc w:val="center"/>
              <w:rPr>
                <w:rFonts w:eastAsiaTheme="minorEastAsia"/>
                <w:color w:val="000000"/>
                <w:szCs w:val="21"/>
              </w:rPr>
            </w:pPr>
          </w:p>
        </w:tc>
        <w:tc>
          <w:tcPr>
            <w:tcW w:w="206" w:type="pct"/>
            <w:tcMar>
              <w:top w:w="15" w:type="dxa"/>
              <w:left w:w="15" w:type="dxa"/>
              <w:bottom w:w="0" w:type="dxa"/>
              <w:right w:w="15" w:type="dxa"/>
            </w:tcMar>
            <w:vAlign w:val="center"/>
          </w:tcPr>
          <w:p>
            <w:pPr>
              <w:jc w:val="center"/>
              <w:rPr>
                <w:rFonts w:eastAsiaTheme="minorEastAsia"/>
                <w:color w:val="000000"/>
                <w:szCs w:val="21"/>
              </w:rPr>
            </w:pPr>
          </w:p>
        </w:tc>
        <w:tc>
          <w:tcPr>
            <w:tcW w:w="331"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150～170</w:t>
            </w:r>
          </w:p>
        </w:tc>
        <w:tc>
          <w:tcPr>
            <w:tcW w:w="345"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0.40～0.45</w:t>
            </w:r>
          </w:p>
        </w:tc>
        <w:tc>
          <w:tcPr>
            <w:tcW w:w="194"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w:t>
            </w:r>
          </w:p>
        </w:tc>
        <w:tc>
          <w:tcPr>
            <w:tcW w:w="19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30</w:t>
            </w:r>
          </w:p>
        </w:tc>
        <w:tc>
          <w:tcPr>
            <w:tcW w:w="203" w:type="pct"/>
            <w:tcMar>
              <w:top w:w="15" w:type="dxa"/>
              <w:left w:w="15" w:type="dxa"/>
              <w:bottom w:w="0" w:type="dxa"/>
              <w:right w:w="15" w:type="dxa"/>
            </w:tcMar>
            <w:vAlign w:val="center"/>
          </w:tcPr>
          <w:p>
            <w:pPr>
              <w:jc w:val="center"/>
              <w:rPr>
                <w:rFonts w:eastAsiaTheme="minorEastAsia"/>
                <w:color w:val="000000"/>
                <w:szCs w:val="21"/>
              </w:rPr>
            </w:pPr>
          </w:p>
        </w:tc>
        <w:tc>
          <w:tcPr>
            <w:tcW w:w="199" w:type="pct"/>
            <w:tcMar>
              <w:top w:w="15" w:type="dxa"/>
              <w:left w:w="15" w:type="dxa"/>
              <w:bottom w:w="0" w:type="dxa"/>
              <w:right w:w="15" w:type="dxa"/>
            </w:tcMar>
            <w:vAlign w:val="center"/>
          </w:tcPr>
          <w:p>
            <w:pPr>
              <w:jc w:val="center"/>
              <w:rPr>
                <w:rFonts w:eastAsiaTheme="minorEastAsia"/>
                <w:color w:val="000000"/>
                <w:szCs w:val="21"/>
              </w:rPr>
            </w:pPr>
          </w:p>
        </w:tc>
        <w:tc>
          <w:tcPr>
            <w:tcW w:w="31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0.25</w:t>
            </w:r>
          </w:p>
        </w:tc>
        <w:tc>
          <w:tcPr>
            <w:tcW w:w="429" w:type="pct"/>
            <w:vAlign w:val="center"/>
          </w:tcPr>
          <w:p>
            <w:pPr>
              <w:jc w:val="center"/>
              <w:rPr>
                <w:rFonts w:eastAsiaTheme="minorEastAsia"/>
                <w:color w:val="000000"/>
                <w:szCs w:val="21"/>
              </w:rPr>
            </w:pPr>
            <w:r>
              <w:rPr>
                <w:rFonts w:eastAsiaTheme="minorEastAsia"/>
                <w:color w:val="000000"/>
                <w:szCs w:val="21"/>
              </w:rPr>
              <w:t>30</w:t>
            </w:r>
          </w:p>
        </w:tc>
        <w:tc>
          <w:tcPr>
            <w:tcW w:w="463" w:type="pct"/>
            <w:vAlign w:val="center"/>
          </w:tcPr>
          <w:p>
            <w:pPr>
              <w:jc w:val="center"/>
              <w:rPr>
                <w:rFonts w:eastAsiaTheme="minorEastAsia"/>
                <w:color w:val="000000"/>
                <w:szCs w:val="21"/>
              </w:rPr>
            </w:pPr>
            <w:r>
              <w:rPr>
                <w:rFonts w:eastAsiaTheme="minorEastAsia"/>
                <w:color w:val="000000"/>
                <w:szCs w:val="21"/>
              </w:rPr>
              <w:t>1000～1200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2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②-6</w:t>
            </w:r>
          </w:p>
        </w:tc>
        <w:tc>
          <w:tcPr>
            <w:tcW w:w="483"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淤泥质土</w:t>
            </w:r>
          </w:p>
        </w:tc>
        <w:tc>
          <w:tcPr>
            <w:tcW w:w="39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软塑</w:t>
            </w:r>
          </w:p>
        </w:tc>
        <w:tc>
          <w:tcPr>
            <w:tcW w:w="210"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42.7</w:t>
            </w:r>
          </w:p>
        </w:tc>
        <w:tc>
          <w:tcPr>
            <w:tcW w:w="198"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1.8</w:t>
            </w:r>
          </w:p>
        </w:tc>
        <w:tc>
          <w:tcPr>
            <w:tcW w:w="37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1.32E-07</w:t>
            </w:r>
          </w:p>
        </w:tc>
        <w:tc>
          <w:tcPr>
            <w:tcW w:w="219"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0.6</w:t>
            </w:r>
          </w:p>
        </w:tc>
        <w:tc>
          <w:tcPr>
            <w:tcW w:w="20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3.5</w:t>
            </w:r>
          </w:p>
        </w:tc>
        <w:tc>
          <w:tcPr>
            <w:tcW w:w="331"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60～70</w:t>
            </w:r>
          </w:p>
        </w:tc>
        <w:tc>
          <w:tcPr>
            <w:tcW w:w="345"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0.1～0.15</w:t>
            </w:r>
          </w:p>
        </w:tc>
        <w:tc>
          <w:tcPr>
            <w:tcW w:w="194"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11</w:t>
            </w:r>
          </w:p>
        </w:tc>
        <w:tc>
          <w:tcPr>
            <w:tcW w:w="19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12.6</w:t>
            </w:r>
          </w:p>
        </w:tc>
        <w:tc>
          <w:tcPr>
            <w:tcW w:w="203"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11</w:t>
            </w:r>
          </w:p>
        </w:tc>
        <w:tc>
          <w:tcPr>
            <w:tcW w:w="199"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15.9</w:t>
            </w:r>
          </w:p>
        </w:tc>
        <w:tc>
          <w:tcPr>
            <w:tcW w:w="31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0.30</w:t>
            </w:r>
          </w:p>
        </w:tc>
        <w:tc>
          <w:tcPr>
            <w:tcW w:w="429" w:type="pct"/>
            <w:vAlign w:val="center"/>
          </w:tcPr>
          <w:p>
            <w:pPr>
              <w:jc w:val="center"/>
              <w:rPr>
                <w:rFonts w:eastAsiaTheme="minorEastAsia"/>
                <w:color w:val="000000"/>
                <w:szCs w:val="21"/>
              </w:rPr>
            </w:pPr>
            <w:r>
              <w:rPr>
                <w:rFonts w:eastAsiaTheme="minorEastAsia"/>
                <w:color w:val="000000"/>
                <w:szCs w:val="21"/>
              </w:rPr>
              <w:t>10</w:t>
            </w:r>
          </w:p>
        </w:tc>
        <w:tc>
          <w:tcPr>
            <w:tcW w:w="463" w:type="pct"/>
            <w:vAlign w:val="center"/>
          </w:tcPr>
          <w:p>
            <w:pPr>
              <w:jc w:val="center"/>
              <w:rPr>
                <w:rFonts w:eastAsiaTheme="minorEastAsia"/>
                <w:color w:val="000000"/>
                <w:szCs w:val="21"/>
              </w:rPr>
            </w:pPr>
            <w:r>
              <w:rPr>
                <w:rFonts w:eastAsiaTheme="minorEastAsia"/>
                <w:color w:val="000000"/>
                <w:szCs w:val="21"/>
              </w:rPr>
              <w:t>400～450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53" w:hRule="atLeast"/>
          <w:jc w:val="center"/>
        </w:trPr>
        <w:tc>
          <w:tcPr>
            <w:tcW w:w="22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②-7</w:t>
            </w:r>
          </w:p>
        </w:tc>
        <w:tc>
          <w:tcPr>
            <w:tcW w:w="483"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中粗砂</w:t>
            </w:r>
          </w:p>
        </w:tc>
        <w:tc>
          <w:tcPr>
            <w:tcW w:w="39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中密～密实</w:t>
            </w:r>
          </w:p>
        </w:tc>
        <w:tc>
          <w:tcPr>
            <w:tcW w:w="210" w:type="pct"/>
            <w:tcMar>
              <w:top w:w="15" w:type="dxa"/>
              <w:left w:w="15" w:type="dxa"/>
              <w:bottom w:w="0" w:type="dxa"/>
              <w:right w:w="15" w:type="dxa"/>
            </w:tcMar>
            <w:vAlign w:val="center"/>
          </w:tcPr>
          <w:p>
            <w:pPr>
              <w:jc w:val="center"/>
              <w:rPr>
                <w:rFonts w:eastAsiaTheme="minorEastAsia"/>
                <w:color w:val="000000"/>
                <w:szCs w:val="21"/>
              </w:rPr>
            </w:pPr>
          </w:p>
        </w:tc>
        <w:tc>
          <w:tcPr>
            <w:tcW w:w="198" w:type="pct"/>
            <w:tcMar>
              <w:top w:w="15" w:type="dxa"/>
              <w:left w:w="15" w:type="dxa"/>
              <w:bottom w:w="0" w:type="dxa"/>
              <w:right w:w="15" w:type="dxa"/>
            </w:tcMar>
            <w:vAlign w:val="center"/>
          </w:tcPr>
          <w:p>
            <w:pPr>
              <w:jc w:val="center"/>
              <w:rPr>
                <w:rFonts w:eastAsiaTheme="minorEastAsia"/>
                <w:color w:val="000000"/>
                <w:szCs w:val="21"/>
              </w:rPr>
            </w:pPr>
          </w:p>
        </w:tc>
        <w:tc>
          <w:tcPr>
            <w:tcW w:w="37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7.31E-03</w:t>
            </w:r>
          </w:p>
        </w:tc>
        <w:tc>
          <w:tcPr>
            <w:tcW w:w="219" w:type="pct"/>
            <w:tcMar>
              <w:top w:w="15" w:type="dxa"/>
              <w:left w:w="15" w:type="dxa"/>
              <w:bottom w:w="0" w:type="dxa"/>
              <w:right w:w="15" w:type="dxa"/>
            </w:tcMar>
            <w:vAlign w:val="center"/>
          </w:tcPr>
          <w:p>
            <w:pPr>
              <w:jc w:val="center"/>
              <w:rPr>
                <w:rFonts w:eastAsiaTheme="minorEastAsia"/>
                <w:color w:val="000000"/>
                <w:szCs w:val="21"/>
              </w:rPr>
            </w:pPr>
          </w:p>
        </w:tc>
        <w:tc>
          <w:tcPr>
            <w:tcW w:w="206" w:type="pct"/>
            <w:tcMar>
              <w:top w:w="15" w:type="dxa"/>
              <w:left w:w="15" w:type="dxa"/>
              <w:bottom w:w="0" w:type="dxa"/>
              <w:right w:w="15" w:type="dxa"/>
            </w:tcMar>
            <w:vAlign w:val="center"/>
          </w:tcPr>
          <w:p>
            <w:pPr>
              <w:jc w:val="center"/>
              <w:rPr>
                <w:rFonts w:eastAsiaTheme="minorEastAsia"/>
                <w:color w:val="000000"/>
                <w:szCs w:val="21"/>
              </w:rPr>
            </w:pPr>
          </w:p>
        </w:tc>
        <w:tc>
          <w:tcPr>
            <w:tcW w:w="331"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200～220</w:t>
            </w:r>
          </w:p>
        </w:tc>
        <w:tc>
          <w:tcPr>
            <w:tcW w:w="345"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0.40～0.45</w:t>
            </w:r>
          </w:p>
        </w:tc>
        <w:tc>
          <w:tcPr>
            <w:tcW w:w="194" w:type="pct"/>
            <w:tcMar>
              <w:top w:w="15" w:type="dxa"/>
              <w:left w:w="15" w:type="dxa"/>
              <w:bottom w:w="0" w:type="dxa"/>
              <w:right w:w="15" w:type="dxa"/>
            </w:tcMar>
            <w:vAlign w:val="center"/>
          </w:tcPr>
          <w:p>
            <w:pPr>
              <w:jc w:val="center"/>
              <w:rPr>
                <w:rFonts w:eastAsiaTheme="minorEastAsia"/>
                <w:color w:val="000000"/>
                <w:szCs w:val="21"/>
              </w:rPr>
            </w:pPr>
          </w:p>
        </w:tc>
        <w:tc>
          <w:tcPr>
            <w:tcW w:w="196" w:type="pct"/>
            <w:tcMar>
              <w:top w:w="15" w:type="dxa"/>
              <w:left w:w="15" w:type="dxa"/>
              <w:bottom w:w="0" w:type="dxa"/>
              <w:right w:w="15" w:type="dxa"/>
            </w:tcMar>
            <w:vAlign w:val="center"/>
          </w:tcPr>
          <w:p>
            <w:pPr>
              <w:jc w:val="center"/>
              <w:rPr>
                <w:rFonts w:eastAsiaTheme="minorEastAsia"/>
                <w:color w:val="000000"/>
                <w:szCs w:val="21"/>
              </w:rPr>
            </w:pPr>
          </w:p>
        </w:tc>
        <w:tc>
          <w:tcPr>
            <w:tcW w:w="203" w:type="pct"/>
            <w:tcMar>
              <w:top w:w="15" w:type="dxa"/>
              <w:left w:w="15" w:type="dxa"/>
              <w:bottom w:w="0" w:type="dxa"/>
              <w:right w:w="15" w:type="dxa"/>
            </w:tcMar>
            <w:vAlign w:val="center"/>
          </w:tcPr>
          <w:p>
            <w:pPr>
              <w:jc w:val="center"/>
              <w:rPr>
                <w:rFonts w:eastAsiaTheme="minorEastAsia"/>
                <w:color w:val="000000"/>
                <w:szCs w:val="21"/>
              </w:rPr>
            </w:pPr>
          </w:p>
        </w:tc>
        <w:tc>
          <w:tcPr>
            <w:tcW w:w="199" w:type="pct"/>
            <w:tcMar>
              <w:top w:w="15" w:type="dxa"/>
              <w:left w:w="15" w:type="dxa"/>
              <w:bottom w:w="0" w:type="dxa"/>
              <w:right w:w="15" w:type="dxa"/>
            </w:tcMar>
            <w:vAlign w:val="center"/>
          </w:tcPr>
          <w:p>
            <w:pPr>
              <w:jc w:val="center"/>
              <w:rPr>
                <w:rFonts w:eastAsiaTheme="minorEastAsia"/>
                <w:color w:val="000000"/>
                <w:szCs w:val="21"/>
              </w:rPr>
            </w:pPr>
          </w:p>
        </w:tc>
        <w:tc>
          <w:tcPr>
            <w:tcW w:w="31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0.30</w:t>
            </w:r>
          </w:p>
        </w:tc>
        <w:tc>
          <w:tcPr>
            <w:tcW w:w="429" w:type="pct"/>
            <w:vAlign w:val="center"/>
          </w:tcPr>
          <w:p>
            <w:pPr>
              <w:jc w:val="center"/>
              <w:rPr>
                <w:rFonts w:eastAsiaTheme="minorEastAsia"/>
                <w:color w:val="000000"/>
                <w:szCs w:val="21"/>
              </w:rPr>
            </w:pPr>
            <w:r>
              <w:rPr>
                <w:rFonts w:eastAsiaTheme="minorEastAsia"/>
                <w:color w:val="000000"/>
                <w:szCs w:val="21"/>
              </w:rPr>
              <w:t>35</w:t>
            </w:r>
          </w:p>
        </w:tc>
        <w:tc>
          <w:tcPr>
            <w:tcW w:w="463" w:type="pct"/>
            <w:vAlign w:val="center"/>
          </w:tcPr>
          <w:p>
            <w:pPr>
              <w:jc w:val="center"/>
              <w:rPr>
                <w:rFonts w:eastAsiaTheme="minorEastAsia"/>
                <w:color w:val="000000"/>
                <w:szCs w:val="21"/>
              </w:rPr>
            </w:pPr>
            <w:r>
              <w:rPr>
                <w:rFonts w:eastAsiaTheme="minorEastAsia"/>
                <w:color w:val="000000"/>
                <w:szCs w:val="21"/>
              </w:rPr>
              <w:t>1200～1400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272" w:hRule="atLeast"/>
          <w:jc w:val="center"/>
        </w:trPr>
        <w:tc>
          <w:tcPr>
            <w:tcW w:w="22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②-8</w:t>
            </w:r>
          </w:p>
        </w:tc>
        <w:tc>
          <w:tcPr>
            <w:tcW w:w="483"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黏性土</w:t>
            </w:r>
          </w:p>
        </w:tc>
        <w:tc>
          <w:tcPr>
            <w:tcW w:w="39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可塑～硬塑</w:t>
            </w:r>
          </w:p>
        </w:tc>
        <w:tc>
          <w:tcPr>
            <w:tcW w:w="210"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20.4</w:t>
            </w:r>
          </w:p>
        </w:tc>
        <w:tc>
          <w:tcPr>
            <w:tcW w:w="198"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2.09</w:t>
            </w:r>
          </w:p>
        </w:tc>
        <w:tc>
          <w:tcPr>
            <w:tcW w:w="37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2.0E-07</w:t>
            </w:r>
          </w:p>
        </w:tc>
        <w:tc>
          <w:tcPr>
            <w:tcW w:w="219"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0.197</w:t>
            </w:r>
          </w:p>
        </w:tc>
        <w:tc>
          <w:tcPr>
            <w:tcW w:w="20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7.89</w:t>
            </w:r>
          </w:p>
        </w:tc>
        <w:tc>
          <w:tcPr>
            <w:tcW w:w="331"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160～200</w:t>
            </w:r>
          </w:p>
        </w:tc>
        <w:tc>
          <w:tcPr>
            <w:tcW w:w="345"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0.2～0.25</w:t>
            </w:r>
          </w:p>
        </w:tc>
        <w:tc>
          <w:tcPr>
            <w:tcW w:w="194"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16</w:t>
            </w:r>
          </w:p>
        </w:tc>
        <w:tc>
          <w:tcPr>
            <w:tcW w:w="19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11.4</w:t>
            </w:r>
          </w:p>
        </w:tc>
        <w:tc>
          <w:tcPr>
            <w:tcW w:w="203"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18</w:t>
            </w:r>
          </w:p>
        </w:tc>
        <w:tc>
          <w:tcPr>
            <w:tcW w:w="199"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15</w:t>
            </w:r>
          </w:p>
        </w:tc>
        <w:tc>
          <w:tcPr>
            <w:tcW w:w="31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0.40</w:t>
            </w:r>
          </w:p>
        </w:tc>
        <w:tc>
          <w:tcPr>
            <w:tcW w:w="429" w:type="pct"/>
            <w:vAlign w:val="center"/>
          </w:tcPr>
          <w:p>
            <w:pPr>
              <w:jc w:val="center"/>
              <w:rPr>
                <w:rFonts w:eastAsiaTheme="minorEastAsia"/>
                <w:color w:val="000000"/>
                <w:szCs w:val="21"/>
              </w:rPr>
            </w:pPr>
            <w:r>
              <w:rPr>
                <w:rFonts w:eastAsiaTheme="minorEastAsia"/>
                <w:color w:val="000000"/>
                <w:szCs w:val="21"/>
              </w:rPr>
              <w:t>25</w:t>
            </w:r>
          </w:p>
        </w:tc>
        <w:tc>
          <w:tcPr>
            <w:tcW w:w="463" w:type="pct"/>
            <w:vAlign w:val="center"/>
          </w:tcPr>
          <w:p>
            <w:pPr>
              <w:jc w:val="center"/>
              <w:rPr>
                <w:rFonts w:eastAsiaTheme="minorEastAsia"/>
                <w:color w:val="000000"/>
                <w:szCs w:val="21"/>
              </w:rPr>
            </w:pPr>
            <w:r>
              <w:rPr>
                <w:rFonts w:eastAsiaTheme="minorEastAsia"/>
                <w:color w:val="000000"/>
                <w:szCs w:val="21"/>
              </w:rPr>
              <w:t>400～450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2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②-9</w:t>
            </w:r>
          </w:p>
        </w:tc>
        <w:tc>
          <w:tcPr>
            <w:tcW w:w="483"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中粗砂、</w:t>
            </w:r>
          </w:p>
          <w:p>
            <w:pPr>
              <w:jc w:val="center"/>
              <w:rPr>
                <w:rFonts w:eastAsiaTheme="minorEastAsia"/>
                <w:color w:val="000000"/>
                <w:szCs w:val="21"/>
              </w:rPr>
            </w:pPr>
            <w:r>
              <w:rPr>
                <w:rFonts w:eastAsiaTheme="minorEastAsia"/>
                <w:color w:val="000000"/>
                <w:szCs w:val="21"/>
              </w:rPr>
              <w:t>砂卵砾石</w:t>
            </w:r>
          </w:p>
        </w:tc>
        <w:tc>
          <w:tcPr>
            <w:tcW w:w="39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密实</w:t>
            </w:r>
          </w:p>
        </w:tc>
        <w:tc>
          <w:tcPr>
            <w:tcW w:w="210" w:type="pct"/>
            <w:tcMar>
              <w:top w:w="15" w:type="dxa"/>
              <w:left w:w="15" w:type="dxa"/>
              <w:bottom w:w="0" w:type="dxa"/>
              <w:right w:w="15" w:type="dxa"/>
            </w:tcMar>
            <w:vAlign w:val="center"/>
          </w:tcPr>
          <w:p>
            <w:pPr>
              <w:jc w:val="center"/>
              <w:rPr>
                <w:rFonts w:eastAsiaTheme="minorEastAsia"/>
                <w:color w:val="000000"/>
                <w:szCs w:val="21"/>
              </w:rPr>
            </w:pPr>
          </w:p>
        </w:tc>
        <w:tc>
          <w:tcPr>
            <w:tcW w:w="198" w:type="pct"/>
            <w:tcMar>
              <w:top w:w="15" w:type="dxa"/>
              <w:left w:w="15" w:type="dxa"/>
              <w:bottom w:w="0" w:type="dxa"/>
              <w:right w:w="15" w:type="dxa"/>
            </w:tcMar>
            <w:vAlign w:val="center"/>
          </w:tcPr>
          <w:p>
            <w:pPr>
              <w:jc w:val="center"/>
              <w:rPr>
                <w:rFonts w:eastAsiaTheme="minorEastAsia"/>
                <w:color w:val="000000"/>
                <w:szCs w:val="21"/>
              </w:rPr>
            </w:pPr>
          </w:p>
        </w:tc>
        <w:tc>
          <w:tcPr>
            <w:tcW w:w="37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5.0E-03</w:t>
            </w:r>
          </w:p>
        </w:tc>
        <w:tc>
          <w:tcPr>
            <w:tcW w:w="219" w:type="pct"/>
            <w:tcMar>
              <w:top w:w="15" w:type="dxa"/>
              <w:left w:w="15" w:type="dxa"/>
              <w:bottom w:w="0" w:type="dxa"/>
              <w:right w:w="15" w:type="dxa"/>
            </w:tcMar>
            <w:vAlign w:val="center"/>
          </w:tcPr>
          <w:p>
            <w:pPr>
              <w:jc w:val="center"/>
              <w:rPr>
                <w:rFonts w:eastAsiaTheme="minorEastAsia"/>
                <w:color w:val="000000"/>
                <w:szCs w:val="21"/>
              </w:rPr>
            </w:pPr>
          </w:p>
        </w:tc>
        <w:tc>
          <w:tcPr>
            <w:tcW w:w="206" w:type="pct"/>
            <w:tcMar>
              <w:top w:w="15" w:type="dxa"/>
              <w:left w:w="15" w:type="dxa"/>
              <w:bottom w:w="0" w:type="dxa"/>
              <w:right w:w="15" w:type="dxa"/>
            </w:tcMar>
            <w:vAlign w:val="center"/>
          </w:tcPr>
          <w:p>
            <w:pPr>
              <w:jc w:val="center"/>
              <w:rPr>
                <w:rFonts w:eastAsiaTheme="minorEastAsia"/>
                <w:color w:val="000000"/>
                <w:szCs w:val="21"/>
              </w:rPr>
            </w:pPr>
          </w:p>
        </w:tc>
        <w:tc>
          <w:tcPr>
            <w:tcW w:w="331"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220～300</w:t>
            </w:r>
          </w:p>
        </w:tc>
        <w:tc>
          <w:tcPr>
            <w:tcW w:w="345"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0.45～0.50</w:t>
            </w:r>
          </w:p>
        </w:tc>
        <w:tc>
          <w:tcPr>
            <w:tcW w:w="194"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w:t>
            </w:r>
          </w:p>
        </w:tc>
        <w:tc>
          <w:tcPr>
            <w:tcW w:w="19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38</w:t>
            </w:r>
          </w:p>
        </w:tc>
        <w:tc>
          <w:tcPr>
            <w:tcW w:w="203" w:type="pct"/>
            <w:tcMar>
              <w:top w:w="15" w:type="dxa"/>
              <w:left w:w="15" w:type="dxa"/>
              <w:bottom w:w="0" w:type="dxa"/>
              <w:right w:w="15" w:type="dxa"/>
            </w:tcMar>
            <w:vAlign w:val="center"/>
          </w:tcPr>
          <w:p>
            <w:pPr>
              <w:jc w:val="center"/>
              <w:rPr>
                <w:rFonts w:eastAsiaTheme="minorEastAsia"/>
                <w:color w:val="000000"/>
                <w:szCs w:val="21"/>
              </w:rPr>
            </w:pPr>
          </w:p>
        </w:tc>
        <w:tc>
          <w:tcPr>
            <w:tcW w:w="199" w:type="pct"/>
            <w:tcMar>
              <w:top w:w="15" w:type="dxa"/>
              <w:left w:w="15" w:type="dxa"/>
              <w:bottom w:w="0" w:type="dxa"/>
              <w:right w:w="15" w:type="dxa"/>
            </w:tcMar>
            <w:vAlign w:val="center"/>
          </w:tcPr>
          <w:p>
            <w:pPr>
              <w:jc w:val="center"/>
              <w:rPr>
                <w:rFonts w:eastAsiaTheme="minorEastAsia"/>
                <w:color w:val="000000"/>
                <w:szCs w:val="21"/>
              </w:rPr>
            </w:pPr>
          </w:p>
        </w:tc>
        <w:tc>
          <w:tcPr>
            <w:tcW w:w="31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0.35</w:t>
            </w:r>
          </w:p>
        </w:tc>
        <w:tc>
          <w:tcPr>
            <w:tcW w:w="429" w:type="pct"/>
            <w:vAlign w:val="center"/>
          </w:tcPr>
          <w:p>
            <w:pPr>
              <w:jc w:val="center"/>
              <w:rPr>
                <w:rFonts w:eastAsiaTheme="minorEastAsia"/>
                <w:color w:val="000000"/>
                <w:szCs w:val="21"/>
              </w:rPr>
            </w:pPr>
            <w:r>
              <w:rPr>
                <w:rFonts w:eastAsiaTheme="minorEastAsia"/>
                <w:color w:val="000000"/>
                <w:szCs w:val="21"/>
              </w:rPr>
              <w:t>45</w:t>
            </w:r>
          </w:p>
        </w:tc>
        <w:tc>
          <w:tcPr>
            <w:tcW w:w="463" w:type="pct"/>
            <w:vAlign w:val="center"/>
          </w:tcPr>
          <w:p>
            <w:pPr>
              <w:jc w:val="center"/>
              <w:rPr>
                <w:rFonts w:eastAsiaTheme="minorEastAsia"/>
                <w:color w:val="000000"/>
                <w:szCs w:val="21"/>
              </w:rPr>
            </w:pPr>
            <w:r>
              <w:rPr>
                <w:rFonts w:eastAsiaTheme="minorEastAsia"/>
                <w:color w:val="000000"/>
                <w:szCs w:val="21"/>
              </w:rPr>
              <w:t>1300～1500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2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③</w:t>
            </w:r>
          </w:p>
          <w:p>
            <w:pPr>
              <w:jc w:val="center"/>
              <w:rPr>
                <w:rFonts w:eastAsiaTheme="minorEastAsia"/>
                <w:b/>
                <w:bCs/>
                <w:color w:val="000000"/>
                <w:szCs w:val="21"/>
              </w:rPr>
            </w:pPr>
            <w:r>
              <w:rPr>
                <w:rFonts w:eastAsiaTheme="minorEastAsia"/>
                <w:color w:val="000000"/>
                <w:szCs w:val="21"/>
              </w:rPr>
              <w:t>Ⅴ</w:t>
            </w:r>
          </w:p>
        </w:tc>
        <w:tc>
          <w:tcPr>
            <w:tcW w:w="483"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坡积砂质黏土</w:t>
            </w:r>
          </w:p>
          <w:p>
            <w:pPr>
              <w:jc w:val="center"/>
              <w:rPr>
                <w:rFonts w:eastAsiaTheme="minorEastAsia"/>
                <w:b/>
                <w:bCs/>
                <w:color w:val="000000"/>
                <w:szCs w:val="21"/>
              </w:rPr>
            </w:pPr>
            <w:r>
              <w:rPr>
                <w:rFonts w:eastAsiaTheme="minorEastAsia"/>
                <w:color w:val="000000"/>
                <w:szCs w:val="21"/>
              </w:rPr>
              <w:t>全风化岩</w:t>
            </w:r>
          </w:p>
        </w:tc>
        <w:tc>
          <w:tcPr>
            <w:tcW w:w="39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可塑</w:t>
            </w:r>
          </w:p>
        </w:tc>
        <w:tc>
          <w:tcPr>
            <w:tcW w:w="210" w:type="pct"/>
            <w:tcMar>
              <w:top w:w="15" w:type="dxa"/>
              <w:left w:w="15" w:type="dxa"/>
              <w:bottom w:w="0" w:type="dxa"/>
              <w:right w:w="15" w:type="dxa"/>
            </w:tcMar>
            <w:vAlign w:val="center"/>
          </w:tcPr>
          <w:p>
            <w:pPr>
              <w:jc w:val="center"/>
              <w:rPr>
                <w:rFonts w:eastAsiaTheme="minorEastAsia"/>
                <w:color w:val="000000"/>
                <w:szCs w:val="21"/>
              </w:rPr>
            </w:pPr>
          </w:p>
        </w:tc>
        <w:tc>
          <w:tcPr>
            <w:tcW w:w="198" w:type="pct"/>
            <w:tcMar>
              <w:top w:w="15" w:type="dxa"/>
              <w:left w:w="15" w:type="dxa"/>
              <w:bottom w:w="0" w:type="dxa"/>
              <w:right w:w="15" w:type="dxa"/>
            </w:tcMar>
            <w:vAlign w:val="center"/>
          </w:tcPr>
          <w:p>
            <w:pPr>
              <w:jc w:val="center"/>
              <w:rPr>
                <w:rFonts w:eastAsiaTheme="minorEastAsia"/>
                <w:color w:val="000000"/>
                <w:szCs w:val="21"/>
              </w:rPr>
            </w:pPr>
          </w:p>
        </w:tc>
        <w:tc>
          <w:tcPr>
            <w:tcW w:w="37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2.0E-07</w:t>
            </w:r>
          </w:p>
        </w:tc>
        <w:tc>
          <w:tcPr>
            <w:tcW w:w="219"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0.4</w:t>
            </w:r>
          </w:p>
        </w:tc>
        <w:tc>
          <w:tcPr>
            <w:tcW w:w="20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5.0</w:t>
            </w:r>
          </w:p>
        </w:tc>
        <w:tc>
          <w:tcPr>
            <w:tcW w:w="331"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140～170</w:t>
            </w:r>
          </w:p>
        </w:tc>
        <w:tc>
          <w:tcPr>
            <w:tcW w:w="345"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0.35</w:t>
            </w:r>
          </w:p>
        </w:tc>
        <w:tc>
          <w:tcPr>
            <w:tcW w:w="194"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15</w:t>
            </w:r>
          </w:p>
        </w:tc>
        <w:tc>
          <w:tcPr>
            <w:tcW w:w="19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15</w:t>
            </w:r>
          </w:p>
        </w:tc>
        <w:tc>
          <w:tcPr>
            <w:tcW w:w="203" w:type="pct"/>
            <w:tcMar>
              <w:top w:w="15" w:type="dxa"/>
              <w:left w:w="15" w:type="dxa"/>
              <w:bottom w:w="0" w:type="dxa"/>
              <w:right w:w="15" w:type="dxa"/>
            </w:tcMar>
            <w:vAlign w:val="center"/>
          </w:tcPr>
          <w:p>
            <w:pPr>
              <w:jc w:val="center"/>
              <w:rPr>
                <w:rFonts w:eastAsiaTheme="minorEastAsia"/>
                <w:color w:val="000000"/>
                <w:szCs w:val="21"/>
              </w:rPr>
            </w:pPr>
          </w:p>
        </w:tc>
        <w:tc>
          <w:tcPr>
            <w:tcW w:w="199" w:type="pct"/>
            <w:tcMar>
              <w:top w:w="15" w:type="dxa"/>
              <w:left w:w="15" w:type="dxa"/>
              <w:bottom w:w="0" w:type="dxa"/>
              <w:right w:w="15" w:type="dxa"/>
            </w:tcMar>
            <w:vAlign w:val="center"/>
          </w:tcPr>
          <w:p>
            <w:pPr>
              <w:jc w:val="center"/>
              <w:rPr>
                <w:rFonts w:eastAsiaTheme="minorEastAsia"/>
                <w:color w:val="000000"/>
                <w:szCs w:val="21"/>
              </w:rPr>
            </w:pPr>
          </w:p>
        </w:tc>
        <w:tc>
          <w:tcPr>
            <w:tcW w:w="31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0.40</w:t>
            </w:r>
          </w:p>
        </w:tc>
        <w:tc>
          <w:tcPr>
            <w:tcW w:w="429" w:type="pct"/>
            <w:vAlign w:val="center"/>
          </w:tcPr>
          <w:p>
            <w:pPr>
              <w:jc w:val="center"/>
              <w:rPr>
                <w:rFonts w:eastAsiaTheme="minorEastAsia"/>
                <w:color w:val="000000"/>
                <w:szCs w:val="21"/>
              </w:rPr>
            </w:pPr>
            <w:r>
              <w:rPr>
                <w:rFonts w:eastAsiaTheme="minorEastAsia"/>
                <w:color w:val="000000"/>
                <w:szCs w:val="21"/>
              </w:rPr>
              <w:t>30</w:t>
            </w:r>
          </w:p>
        </w:tc>
        <w:tc>
          <w:tcPr>
            <w:tcW w:w="463" w:type="pct"/>
            <w:vAlign w:val="center"/>
          </w:tcPr>
          <w:p>
            <w:pPr>
              <w:jc w:val="center"/>
              <w:rPr>
                <w:rFonts w:eastAsiaTheme="minorEastAsia"/>
                <w:color w:val="000000"/>
                <w:szCs w:val="21"/>
              </w:rPr>
            </w:pPr>
            <w:r>
              <w:rPr>
                <w:rFonts w:eastAsiaTheme="minorEastAsia"/>
                <w:color w:val="000000"/>
                <w:szCs w:val="21"/>
              </w:rPr>
              <w:t>450～500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28" w:type="pct"/>
            <w:tcMar>
              <w:top w:w="15" w:type="dxa"/>
              <w:left w:w="15" w:type="dxa"/>
              <w:bottom w:w="0" w:type="dxa"/>
              <w:right w:w="15" w:type="dxa"/>
            </w:tcMar>
            <w:vAlign w:val="center"/>
          </w:tcPr>
          <w:p>
            <w:pPr>
              <w:jc w:val="center"/>
              <w:rPr>
                <w:rFonts w:eastAsiaTheme="minorEastAsia"/>
                <w:b/>
                <w:bCs/>
                <w:color w:val="000000"/>
                <w:szCs w:val="21"/>
              </w:rPr>
            </w:pPr>
            <w:r>
              <w:rPr>
                <w:rFonts w:eastAsiaTheme="minorEastAsia"/>
                <w:color w:val="000000"/>
                <w:szCs w:val="21"/>
              </w:rPr>
              <w:t>Ⅴ</w:t>
            </w:r>
          </w:p>
        </w:tc>
        <w:tc>
          <w:tcPr>
            <w:tcW w:w="483" w:type="pct"/>
            <w:tcMar>
              <w:top w:w="15" w:type="dxa"/>
              <w:left w:w="15" w:type="dxa"/>
              <w:bottom w:w="0" w:type="dxa"/>
              <w:right w:w="15" w:type="dxa"/>
            </w:tcMar>
            <w:vAlign w:val="center"/>
          </w:tcPr>
          <w:p>
            <w:pPr>
              <w:jc w:val="center"/>
              <w:rPr>
                <w:rFonts w:eastAsiaTheme="minorEastAsia"/>
                <w:b/>
                <w:bCs/>
                <w:color w:val="000000"/>
                <w:szCs w:val="21"/>
              </w:rPr>
            </w:pPr>
            <w:r>
              <w:rPr>
                <w:rFonts w:eastAsiaTheme="minorEastAsia"/>
                <w:color w:val="000000"/>
                <w:szCs w:val="21"/>
              </w:rPr>
              <w:t>全风化花岗岩</w:t>
            </w:r>
          </w:p>
        </w:tc>
        <w:tc>
          <w:tcPr>
            <w:tcW w:w="398"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硬塑～坚硬</w:t>
            </w:r>
          </w:p>
        </w:tc>
        <w:tc>
          <w:tcPr>
            <w:tcW w:w="210"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25.1</w:t>
            </w:r>
          </w:p>
        </w:tc>
        <w:tc>
          <w:tcPr>
            <w:tcW w:w="198"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1.94</w:t>
            </w:r>
          </w:p>
        </w:tc>
        <w:tc>
          <w:tcPr>
            <w:tcW w:w="37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2.24E-06</w:t>
            </w:r>
          </w:p>
        </w:tc>
        <w:tc>
          <w:tcPr>
            <w:tcW w:w="219"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0.295</w:t>
            </w:r>
          </w:p>
        </w:tc>
        <w:tc>
          <w:tcPr>
            <w:tcW w:w="20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4.87</w:t>
            </w:r>
          </w:p>
        </w:tc>
        <w:tc>
          <w:tcPr>
            <w:tcW w:w="331"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230～280</w:t>
            </w:r>
          </w:p>
        </w:tc>
        <w:tc>
          <w:tcPr>
            <w:tcW w:w="345"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0.30～0.35</w:t>
            </w:r>
          </w:p>
        </w:tc>
        <w:tc>
          <w:tcPr>
            <w:tcW w:w="194"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18</w:t>
            </w:r>
          </w:p>
        </w:tc>
        <w:tc>
          <w:tcPr>
            <w:tcW w:w="196"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27.7</w:t>
            </w:r>
          </w:p>
        </w:tc>
        <w:tc>
          <w:tcPr>
            <w:tcW w:w="203"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17.0</w:t>
            </w:r>
          </w:p>
        </w:tc>
        <w:tc>
          <w:tcPr>
            <w:tcW w:w="199" w:type="pct"/>
            <w:tcMar>
              <w:top w:w="15" w:type="dxa"/>
              <w:left w:w="15" w:type="dxa"/>
              <w:bottom w:w="0" w:type="dxa"/>
              <w:right w:w="15" w:type="dxa"/>
            </w:tcMar>
            <w:vAlign w:val="center"/>
          </w:tcPr>
          <w:p>
            <w:pPr>
              <w:widowControl/>
              <w:jc w:val="center"/>
              <w:textAlignment w:val="center"/>
              <w:rPr>
                <w:rFonts w:eastAsiaTheme="minorEastAsia"/>
                <w:color w:val="000000"/>
                <w:szCs w:val="21"/>
              </w:rPr>
            </w:pPr>
            <w:r>
              <w:rPr>
                <w:rFonts w:eastAsiaTheme="minorEastAsia"/>
                <w:color w:val="000000"/>
                <w:szCs w:val="21"/>
              </w:rPr>
              <w:t>30.1</w:t>
            </w:r>
          </w:p>
        </w:tc>
        <w:tc>
          <w:tcPr>
            <w:tcW w:w="316" w:type="pct"/>
            <w:tcMar>
              <w:top w:w="15" w:type="dxa"/>
              <w:left w:w="15" w:type="dxa"/>
              <w:bottom w:w="0" w:type="dxa"/>
              <w:right w:w="15" w:type="dxa"/>
            </w:tcMar>
            <w:vAlign w:val="center"/>
          </w:tcPr>
          <w:p>
            <w:pPr>
              <w:jc w:val="center"/>
              <w:rPr>
                <w:rFonts w:eastAsiaTheme="minorEastAsia"/>
                <w:color w:val="000000"/>
                <w:szCs w:val="21"/>
              </w:rPr>
            </w:pPr>
            <w:r>
              <w:rPr>
                <w:rFonts w:eastAsiaTheme="minorEastAsia"/>
                <w:color w:val="000000"/>
                <w:szCs w:val="21"/>
              </w:rPr>
              <w:t>0.50</w:t>
            </w:r>
          </w:p>
        </w:tc>
        <w:tc>
          <w:tcPr>
            <w:tcW w:w="429" w:type="pct"/>
            <w:vAlign w:val="center"/>
          </w:tcPr>
          <w:p>
            <w:pPr>
              <w:jc w:val="center"/>
              <w:rPr>
                <w:rFonts w:eastAsiaTheme="minorEastAsia"/>
                <w:color w:val="000000"/>
                <w:szCs w:val="21"/>
              </w:rPr>
            </w:pPr>
            <w:r>
              <w:rPr>
                <w:rFonts w:eastAsiaTheme="minorEastAsia"/>
                <w:color w:val="000000"/>
                <w:szCs w:val="21"/>
              </w:rPr>
              <w:t>50</w:t>
            </w:r>
          </w:p>
        </w:tc>
        <w:tc>
          <w:tcPr>
            <w:tcW w:w="463" w:type="pct"/>
            <w:vAlign w:val="center"/>
          </w:tcPr>
          <w:p>
            <w:pPr>
              <w:jc w:val="center"/>
              <w:rPr>
                <w:rFonts w:eastAsiaTheme="minorEastAsia"/>
                <w:color w:val="000000"/>
                <w:szCs w:val="21"/>
              </w:rPr>
            </w:pPr>
            <w:r>
              <w:rPr>
                <w:rFonts w:eastAsiaTheme="minorEastAsia"/>
                <w:color w:val="000000"/>
                <w:szCs w:val="21"/>
              </w:rPr>
              <w:t>600～900</w:t>
            </w:r>
          </w:p>
        </w:tc>
      </w:tr>
    </w:tbl>
    <w:p>
      <w:pPr>
        <w:pStyle w:val="1005"/>
        <w:rPr>
          <w:rFonts w:cs="Times New Roman"/>
          <w:color w:val="000000"/>
        </w:rPr>
        <w:sectPr>
          <w:pgSz w:w="16838" w:h="11906" w:orient="landscape"/>
          <w:pgMar w:top="1418" w:right="1440" w:bottom="1418" w:left="1440" w:header="851" w:footer="992" w:gutter="0"/>
          <w:cols w:space="720" w:num="1"/>
          <w:docGrid w:linePitch="326" w:charSpace="0"/>
        </w:sectPr>
      </w:pPr>
    </w:p>
    <w:p>
      <w:pPr>
        <w:pStyle w:val="1005"/>
        <w:rPr>
          <w:rFonts w:cs="Times New Roman"/>
          <w:color w:val="000000"/>
        </w:rPr>
      </w:pPr>
      <w:r>
        <w:rPr>
          <w:rFonts w:cs="Times New Roman"/>
          <w:color w:val="000000"/>
        </w:rPr>
        <w:t>表</w:t>
      </w:r>
      <w:r>
        <w:rPr>
          <w:rFonts w:cs="Times New Roman"/>
          <w:b/>
          <w:color w:val="000000"/>
        </w:rPr>
        <w:t>1.1.2-</w:t>
      </w:r>
      <w:r>
        <w:rPr>
          <w:rFonts w:hint="eastAsia" w:cs="Times New Roman"/>
          <w:b/>
          <w:color w:val="000000"/>
        </w:rPr>
        <w:t>4</w:t>
      </w:r>
      <w:r>
        <w:rPr>
          <w:rFonts w:cs="Times New Roman"/>
          <w:b/>
          <w:color w:val="000000"/>
        </w:rPr>
        <w:t xml:space="preserve">  </w:t>
      </w:r>
      <w:r>
        <w:rPr>
          <w:rFonts w:cs="Times New Roman"/>
          <w:color w:val="000000"/>
        </w:rPr>
        <w:t>各岩层主要物理力学指标建议值表</w:t>
      </w:r>
    </w:p>
    <w:tbl>
      <w:tblPr>
        <w:tblStyle w:val="8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570"/>
        <w:gridCol w:w="2153"/>
        <w:gridCol w:w="1701"/>
        <w:gridCol w:w="1981"/>
        <w:gridCol w:w="1698"/>
        <w:gridCol w:w="1421"/>
        <w:gridCol w:w="1984"/>
        <w:gridCol w:w="25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304" w:hRule="atLeast"/>
          <w:jc w:val="center"/>
        </w:trPr>
        <w:tc>
          <w:tcPr>
            <w:tcW w:w="203" w:type="pct"/>
            <w:vMerge w:val="restart"/>
            <w:tcMar>
              <w:top w:w="0" w:type="dxa"/>
              <w:left w:w="28" w:type="dxa"/>
              <w:bottom w:w="0" w:type="dxa"/>
              <w:right w:w="28" w:type="dxa"/>
            </w:tcMar>
            <w:vAlign w:val="center"/>
          </w:tcPr>
          <w:p>
            <w:pPr>
              <w:widowControl/>
              <w:spacing w:before="120" w:beforeLines="50" w:after="120" w:afterLines="50"/>
              <w:jc w:val="center"/>
              <w:rPr>
                <w:color w:val="000000"/>
                <w:szCs w:val="18"/>
              </w:rPr>
            </w:pPr>
            <w:r>
              <w:rPr>
                <w:color w:val="000000"/>
                <w:szCs w:val="18"/>
              </w:rPr>
              <w:t>层序</w:t>
            </w:r>
          </w:p>
        </w:tc>
        <w:tc>
          <w:tcPr>
            <w:tcW w:w="768" w:type="pct"/>
            <w:vMerge w:val="restar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岩性</w:t>
            </w:r>
          </w:p>
        </w:tc>
        <w:tc>
          <w:tcPr>
            <w:tcW w:w="607" w:type="pct"/>
            <w:vMerge w:val="restar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颗粒</w:t>
            </w:r>
          </w:p>
          <w:p>
            <w:pPr>
              <w:widowControl/>
              <w:spacing w:before="120" w:beforeLines="50" w:after="120" w:afterLines="50"/>
              <w:jc w:val="center"/>
              <w:rPr>
                <w:color w:val="000000"/>
                <w:szCs w:val="18"/>
              </w:rPr>
            </w:pPr>
            <w:r>
              <w:rPr>
                <w:color w:val="000000"/>
                <w:szCs w:val="18"/>
              </w:rPr>
              <w:t>密度</w:t>
            </w:r>
          </w:p>
        </w:tc>
        <w:tc>
          <w:tcPr>
            <w:tcW w:w="1820" w:type="pct"/>
            <w:gridSpan w:val="3"/>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单轴抗压强度</w:t>
            </w:r>
          </w:p>
        </w:tc>
        <w:tc>
          <w:tcPr>
            <w:tcW w:w="708" w:type="pct"/>
            <w:vMerge w:val="restar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钻(冲)孔桩侧摩阻力特征值的经验值</w:t>
            </w:r>
          </w:p>
        </w:tc>
        <w:tc>
          <w:tcPr>
            <w:tcW w:w="894" w:type="pct"/>
            <w:vMerge w:val="restart"/>
            <w:vAlign w:val="center"/>
          </w:tcPr>
          <w:p>
            <w:pPr>
              <w:widowControl/>
              <w:spacing w:before="120" w:beforeLines="50" w:after="120" w:afterLines="50"/>
              <w:jc w:val="center"/>
              <w:rPr>
                <w:color w:val="000000"/>
                <w:szCs w:val="18"/>
              </w:rPr>
            </w:pPr>
            <w:r>
              <w:rPr>
                <w:color w:val="000000"/>
                <w:szCs w:val="18"/>
              </w:rPr>
              <w:t>钻(冲)孔桩端阻力特征值的经验值桩长＞15m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rHeight w:val="267" w:hRule="atLeast"/>
          <w:jc w:val="center"/>
        </w:trPr>
        <w:tc>
          <w:tcPr>
            <w:tcW w:w="203" w:type="pct"/>
            <w:vMerge w:val="continue"/>
            <w:tcMar>
              <w:top w:w="0" w:type="dxa"/>
              <w:left w:w="28" w:type="dxa"/>
              <w:bottom w:w="0" w:type="dxa"/>
              <w:right w:w="28" w:type="dxa"/>
            </w:tcMar>
            <w:vAlign w:val="center"/>
          </w:tcPr>
          <w:p>
            <w:pPr>
              <w:widowControl/>
              <w:spacing w:before="120" w:beforeLines="50" w:after="120" w:afterLines="50"/>
              <w:jc w:val="center"/>
              <w:rPr>
                <w:color w:val="000000"/>
                <w:szCs w:val="18"/>
              </w:rPr>
            </w:pPr>
          </w:p>
        </w:tc>
        <w:tc>
          <w:tcPr>
            <w:tcW w:w="768" w:type="pct"/>
            <w:vMerge w:val="continue"/>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607" w:type="pct"/>
            <w:vMerge w:val="continue"/>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7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rPr>
              <w:t>饱和</w:t>
            </w:r>
          </w:p>
        </w:tc>
        <w:tc>
          <w:tcPr>
            <w:tcW w:w="606"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rPr>
              <w:t>天然</w:t>
            </w:r>
          </w:p>
        </w:tc>
        <w:tc>
          <w:tcPr>
            <w:tcW w:w="5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rPr>
              <w:t>烘干</w:t>
            </w:r>
          </w:p>
        </w:tc>
        <w:tc>
          <w:tcPr>
            <w:tcW w:w="708" w:type="pct"/>
            <w:vMerge w:val="continue"/>
            <w:vAlign w:val="center"/>
          </w:tcPr>
          <w:p>
            <w:pPr>
              <w:widowControl/>
              <w:spacing w:before="120" w:beforeLines="50" w:after="120" w:afterLines="50"/>
              <w:jc w:val="center"/>
              <w:rPr>
                <w:color w:val="000000"/>
                <w:szCs w:val="18"/>
              </w:rPr>
            </w:pPr>
          </w:p>
        </w:tc>
        <w:tc>
          <w:tcPr>
            <w:tcW w:w="894" w:type="pct"/>
            <w:vMerge w:val="continue"/>
            <w:vAlign w:val="center"/>
          </w:tcPr>
          <w:p>
            <w:pPr>
              <w:widowControl/>
              <w:spacing w:before="120" w:beforeLines="50" w:after="120" w:afterLines="50"/>
              <w:jc w:val="center"/>
              <w:rPr>
                <w:color w:val="000000"/>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03" w:type="pct"/>
            <w:vMerge w:val="continue"/>
            <w:tcMar>
              <w:top w:w="0" w:type="dxa"/>
              <w:left w:w="28" w:type="dxa"/>
              <w:bottom w:w="0" w:type="dxa"/>
              <w:right w:w="28" w:type="dxa"/>
            </w:tcMar>
            <w:vAlign w:val="center"/>
          </w:tcPr>
          <w:p>
            <w:pPr>
              <w:widowControl/>
              <w:spacing w:before="120" w:beforeLines="50" w:after="120" w:afterLines="50"/>
              <w:jc w:val="center"/>
              <w:rPr>
                <w:color w:val="000000"/>
                <w:szCs w:val="18"/>
              </w:rPr>
            </w:pPr>
          </w:p>
        </w:tc>
        <w:tc>
          <w:tcPr>
            <w:tcW w:w="768" w:type="pct"/>
            <w:vMerge w:val="continue"/>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6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i/>
                <w:iCs/>
                <w:color w:val="000000"/>
              </w:rPr>
              <w:t>ρ</w:t>
            </w:r>
            <w:r>
              <w:rPr>
                <w:color w:val="000000"/>
                <w:vertAlign w:val="subscript"/>
              </w:rPr>
              <w:t>p</w:t>
            </w:r>
          </w:p>
        </w:tc>
        <w:tc>
          <w:tcPr>
            <w:tcW w:w="7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rStyle w:val="1010"/>
              </w:rPr>
              <w:t>R</w:t>
            </w:r>
            <w:r>
              <w:rPr>
                <w:rStyle w:val="1011"/>
                <w:sz w:val="21"/>
              </w:rPr>
              <w:t xml:space="preserve">s </w:t>
            </w:r>
          </w:p>
        </w:tc>
        <w:tc>
          <w:tcPr>
            <w:tcW w:w="606"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rStyle w:val="1010"/>
              </w:rPr>
              <w:t>R</w:t>
            </w:r>
            <w:r>
              <w:rPr>
                <w:rStyle w:val="1011"/>
                <w:sz w:val="21"/>
              </w:rPr>
              <w:t>n</w:t>
            </w:r>
          </w:p>
        </w:tc>
        <w:tc>
          <w:tcPr>
            <w:tcW w:w="5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rStyle w:val="1010"/>
              </w:rPr>
              <w:t>R</w:t>
            </w:r>
            <w:r>
              <w:rPr>
                <w:rStyle w:val="1011"/>
                <w:sz w:val="21"/>
              </w:rPr>
              <w:t xml:space="preserve">d </w:t>
            </w:r>
          </w:p>
        </w:tc>
        <w:tc>
          <w:tcPr>
            <w:tcW w:w="708" w:type="pct"/>
            <w:vAlign w:val="center"/>
          </w:tcPr>
          <w:p>
            <w:pPr>
              <w:widowControl/>
              <w:spacing w:before="120" w:beforeLines="50" w:after="120" w:afterLines="50"/>
              <w:jc w:val="center"/>
              <w:rPr>
                <w:color w:val="000000"/>
                <w:szCs w:val="18"/>
              </w:rPr>
            </w:pPr>
            <w:r>
              <w:rPr>
                <w:color w:val="000000"/>
                <w:szCs w:val="18"/>
              </w:rPr>
              <w:t>q</w:t>
            </w:r>
            <w:r>
              <w:rPr>
                <w:color w:val="000000"/>
                <w:szCs w:val="18"/>
                <w:vertAlign w:val="subscript"/>
              </w:rPr>
              <w:t>sa</w:t>
            </w:r>
          </w:p>
        </w:tc>
        <w:tc>
          <w:tcPr>
            <w:tcW w:w="894" w:type="pct"/>
            <w:vAlign w:val="center"/>
          </w:tcPr>
          <w:p>
            <w:pPr>
              <w:widowControl/>
              <w:spacing w:before="120" w:beforeLines="50" w:after="120" w:afterLines="50"/>
              <w:jc w:val="center"/>
              <w:rPr>
                <w:color w:val="000000"/>
                <w:szCs w:val="18"/>
              </w:rPr>
            </w:pPr>
            <w:r>
              <w:rPr>
                <w:color w:val="000000"/>
                <w:szCs w:val="18"/>
              </w:rPr>
              <w:t>q</w:t>
            </w:r>
            <w:r>
              <w:rPr>
                <w:color w:val="000000"/>
                <w:szCs w:val="18"/>
                <w:vertAlign w:val="subscript"/>
              </w:rPr>
              <w:t>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03" w:type="pct"/>
            <w:vMerge w:val="continue"/>
            <w:tcMar>
              <w:top w:w="0" w:type="dxa"/>
              <w:left w:w="28" w:type="dxa"/>
              <w:bottom w:w="0" w:type="dxa"/>
              <w:right w:w="28" w:type="dxa"/>
            </w:tcMar>
            <w:vAlign w:val="center"/>
          </w:tcPr>
          <w:p>
            <w:pPr>
              <w:widowControl/>
              <w:spacing w:before="120" w:beforeLines="50" w:after="120" w:afterLines="50"/>
              <w:jc w:val="center"/>
              <w:rPr>
                <w:color w:val="000000"/>
                <w:szCs w:val="18"/>
              </w:rPr>
            </w:pPr>
          </w:p>
        </w:tc>
        <w:tc>
          <w:tcPr>
            <w:tcW w:w="768" w:type="pct"/>
            <w:vMerge w:val="continue"/>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6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rStyle w:val="1006"/>
                <w:rFonts w:hint="default"/>
                <w:sz w:val="21"/>
              </w:rPr>
              <w:t>g/cm</w:t>
            </w:r>
            <w:r>
              <w:rPr>
                <w:rStyle w:val="1014"/>
                <w:sz w:val="21"/>
              </w:rPr>
              <w:t>3</w:t>
            </w:r>
          </w:p>
        </w:tc>
        <w:tc>
          <w:tcPr>
            <w:tcW w:w="7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rPr>
              <w:t>MPa</w:t>
            </w:r>
          </w:p>
        </w:tc>
        <w:tc>
          <w:tcPr>
            <w:tcW w:w="606"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rPr>
              <w:t>MPa</w:t>
            </w:r>
          </w:p>
        </w:tc>
        <w:tc>
          <w:tcPr>
            <w:tcW w:w="5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rPr>
              <w:t>MPa</w:t>
            </w:r>
          </w:p>
        </w:tc>
        <w:tc>
          <w:tcPr>
            <w:tcW w:w="708" w:type="pct"/>
            <w:vAlign w:val="center"/>
          </w:tcPr>
          <w:p>
            <w:pPr>
              <w:widowControl/>
              <w:spacing w:before="120" w:beforeLines="50" w:after="120" w:afterLines="50"/>
              <w:jc w:val="center"/>
              <w:rPr>
                <w:color w:val="000000"/>
                <w:szCs w:val="18"/>
              </w:rPr>
            </w:pPr>
            <w:r>
              <w:rPr>
                <w:color w:val="000000"/>
                <w:szCs w:val="18"/>
              </w:rPr>
              <w:t>kPa</w:t>
            </w:r>
          </w:p>
        </w:tc>
        <w:tc>
          <w:tcPr>
            <w:tcW w:w="894" w:type="pct"/>
            <w:vAlign w:val="center"/>
          </w:tcPr>
          <w:p>
            <w:pPr>
              <w:widowControl/>
              <w:spacing w:before="120" w:beforeLines="50" w:after="120" w:afterLines="50"/>
              <w:jc w:val="center"/>
              <w:rPr>
                <w:color w:val="000000"/>
                <w:szCs w:val="18"/>
              </w:rPr>
            </w:pPr>
            <w:r>
              <w:rPr>
                <w:color w:val="000000"/>
                <w:szCs w:val="18"/>
              </w:rPr>
              <w:t>kPa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03" w:type="pct"/>
            <w:vMerge w:val="restar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Ⅳ</w:t>
            </w:r>
          </w:p>
        </w:tc>
        <w:tc>
          <w:tcPr>
            <w:tcW w:w="768"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强风化花岗岩</w:t>
            </w:r>
          </w:p>
        </w:tc>
        <w:tc>
          <w:tcPr>
            <w:tcW w:w="6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2.5～2.55</w:t>
            </w:r>
          </w:p>
        </w:tc>
        <w:tc>
          <w:tcPr>
            <w:tcW w:w="7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20～40</w:t>
            </w:r>
          </w:p>
        </w:tc>
        <w:tc>
          <w:tcPr>
            <w:tcW w:w="606" w:type="pct"/>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507" w:type="pct"/>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708" w:type="pct"/>
            <w:vAlign w:val="center"/>
          </w:tcPr>
          <w:p>
            <w:pPr>
              <w:widowControl/>
              <w:spacing w:before="120" w:beforeLines="50" w:after="120" w:afterLines="50"/>
              <w:jc w:val="center"/>
              <w:rPr>
                <w:color w:val="000000"/>
                <w:szCs w:val="18"/>
              </w:rPr>
            </w:pPr>
            <w:r>
              <w:rPr>
                <w:color w:val="000000"/>
                <w:szCs w:val="18"/>
              </w:rPr>
              <w:t>100～120</w:t>
            </w:r>
          </w:p>
        </w:tc>
        <w:tc>
          <w:tcPr>
            <w:tcW w:w="894" w:type="pct"/>
            <w:vAlign w:val="center"/>
          </w:tcPr>
          <w:p>
            <w:pPr>
              <w:widowControl/>
              <w:spacing w:before="120" w:beforeLines="50" w:after="120" w:afterLines="50"/>
              <w:jc w:val="center"/>
              <w:rPr>
                <w:color w:val="000000"/>
                <w:szCs w:val="18"/>
              </w:rPr>
            </w:pPr>
            <w:r>
              <w:rPr>
                <w:color w:val="000000"/>
                <w:szCs w:val="18"/>
              </w:rPr>
              <w:t>1800～2000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03" w:type="pct"/>
            <w:vMerge w:val="continue"/>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768"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强风化泥质粉砂岩</w:t>
            </w:r>
          </w:p>
        </w:tc>
        <w:tc>
          <w:tcPr>
            <w:tcW w:w="6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2.60～2.65</w:t>
            </w:r>
          </w:p>
        </w:tc>
        <w:tc>
          <w:tcPr>
            <w:tcW w:w="7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1～2</w:t>
            </w:r>
          </w:p>
        </w:tc>
        <w:tc>
          <w:tcPr>
            <w:tcW w:w="606" w:type="pct"/>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507" w:type="pct"/>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708" w:type="pct"/>
            <w:vAlign w:val="center"/>
          </w:tcPr>
          <w:p>
            <w:pPr>
              <w:widowControl/>
              <w:spacing w:before="120" w:beforeLines="50" w:after="120" w:afterLines="50"/>
              <w:jc w:val="center"/>
              <w:rPr>
                <w:color w:val="000000"/>
                <w:szCs w:val="18"/>
              </w:rPr>
            </w:pPr>
            <w:r>
              <w:rPr>
                <w:color w:val="000000"/>
                <w:szCs w:val="18"/>
              </w:rPr>
              <w:t>60～70</w:t>
            </w:r>
          </w:p>
        </w:tc>
        <w:tc>
          <w:tcPr>
            <w:tcW w:w="894" w:type="pct"/>
            <w:vAlign w:val="center"/>
          </w:tcPr>
          <w:p>
            <w:pPr>
              <w:widowControl/>
              <w:spacing w:before="120" w:beforeLines="50" w:after="120" w:afterLines="50"/>
              <w:jc w:val="center"/>
              <w:rPr>
                <w:color w:val="000000"/>
                <w:szCs w:val="18"/>
              </w:rPr>
            </w:pPr>
            <w:r>
              <w:rPr>
                <w:color w:val="000000"/>
                <w:szCs w:val="18"/>
              </w:rPr>
              <w:t>800～1000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03" w:type="pct"/>
            <w:vMerge w:val="continue"/>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768"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强风化长石石英砂岩</w:t>
            </w:r>
          </w:p>
        </w:tc>
        <w:tc>
          <w:tcPr>
            <w:tcW w:w="6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2.60～2.65</w:t>
            </w:r>
          </w:p>
        </w:tc>
        <w:tc>
          <w:tcPr>
            <w:tcW w:w="7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20～40</w:t>
            </w:r>
          </w:p>
        </w:tc>
        <w:tc>
          <w:tcPr>
            <w:tcW w:w="606" w:type="pct"/>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507" w:type="pct"/>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708" w:type="pct"/>
            <w:vAlign w:val="center"/>
          </w:tcPr>
          <w:p>
            <w:pPr>
              <w:widowControl/>
              <w:spacing w:before="120" w:beforeLines="50" w:after="120" w:afterLines="50"/>
              <w:jc w:val="center"/>
              <w:rPr>
                <w:color w:val="000000"/>
                <w:szCs w:val="18"/>
              </w:rPr>
            </w:pPr>
            <w:r>
              <w:rPr>
                <w:color w:val="000000"/>
                <w:szCs w:val="18"/>
              </w:rPr>
              <w:t>80～100</w:t>
            </w:r>
          </w:p>
        </w:tc>
        <w:tc>
          <w:tcPr>
            <w:tcW w:w="894" w:type="pct"/>
            <w:vAlign w:val="center"/>
          </w:tcPr>
          <w:p>
            <w:pPr>
              <w:widowControl/>
              <w:spacing w:before="120" w:beforeLines="50" w:after="120" w:afterLines="50"/>
              <w:jc w:val="center"/>
              <w:rPr>
                <w:color w:val="000000"/>
                <w:szCs w:val="18"/>
              </w:rPr>
            </w:pPr>
            <w:r>
              <w:rPr>
                <w:color w:val="000000"/>
                <w:szCs w:val="18"/>
              </w:rPr>
              <w:t>1500～2000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03" w:type="pct"/>
            <w:vMerge w:val="restar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Ⅲ</w:t>
            </w:r>
          </w:p>
        </w:tc>
        <w:tc>
          <w:tcPr>
            <w:tcW w:w="768"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弱风化花岗岩/辉长岩</w:t>
            </w:r>
          </w:p>
        </w:tc>
        <w:tc>
          <w:tcPr>
            <w:tcW w:w="607"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r>
              <w:rPr>
                <w:color w:val="000000"/>
                <w:kern w:val="44"/>
                <w:szCs w:val="18"/>
              </w:rPr>
              <w:t>2.66</w:t>
            </w:r>
          </w:p>
        </w:tc>
        <w:tc>
          <w:tcPr>
            <w:tcW w:w="707"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r>
              <w:rPr>
                <w:color w:val="000000"/>
              </w:rPr>
              <w:t>70～100</w:t>
            </w:r>
          </w:p>
        </w:tc>
        <w:tc>
          <w:tcPr>
            <w:tcW w:w="606"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p>
        </w:tc>
        <w:tc>
          <w:tcPr>
            <w:tcW w:w="507"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p>
        </w:tc>
        <w:tc>
          <w:tcPr>
            <w:tcW w:w="708" w:type="pct"/>
            <w:vAlign w:val="center"/>
          </w:tcPr>
          <w:p>
            <w:pPr>
              <w:widowControl/>
              <w:spacing w:before="120" w:beforeLines="50" w:after="120" w:afterLines="50"/>
              <w:jc w:val="center"/>
              <w:rPr>
                <w:color w:val="000000"/>
                <w:kern w:val="44"/>
                <w:szCs w:val="18"/>
              </w:rPr>
            </w:pPr>
            <w:r>
              <w:rPr>
                <w:color w:val="000000"/>
                <w:kern w:val="44"/>
                <w:szCs w:val="18"/>
              </w:rPr>
              <w:t>200～500</w:t>
            </w:r>
          </w:p>
        </w:tc>
        <w:tc>
          <w:tcPr>
            <w:tcW w:w="894" w:type="pct"/>
            <w:vAlign w:val="center"/>
          </w:tcPr>
          <w:p>
            <w:pPr>
              <w:widowControl/>
              <w:spacing w:before="120" w:beforeLines="50" w:after="120" w:afterLines="50"/>
              <w:jc w:val="center"/>
              <w:rPr>
                <w:color w:val="000000"/>
                <w:szCs w:val="18"/>
              </w:rPr>
            </w:pPr>
            <w:r>
              <w:rPr>
                <w:color w:val="000000"/>
                <w:szCs w:val="18"/>
              </w:rPr>
              <w:t>10000～12000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03" w:type="pct"/>
            <w:vMerge w:val="continue"/>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768"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弱风化泥质粉砂岩</w:t>
            </w:r>
          </w:p>
        </w:tc>
        <w:tc>
          <w:tcPr>
            <w:tcW w:w="6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2.76</w:t>
            </w:r>
          </w:p>
        </w:tc>
        <w:tc>
          <w:tcPr>
            <w:tcW w:w="707"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r>
              <w:rPr>
                <w:color w:val="000000"/>
                <w:kern w:val="44"/>
                <w:szCs w:val="18"/>
              </w:rPr>
              <w:t>3～5</w:t>
            </w:r>
          </w:p>
        </w:tc>
        <w:tc>
          <w:tcPr>
            <w:tcW w:w="606"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p>
        </w:tc>
        <w:tc>
          <w:tcPr>
            <w:tcW w:w="507"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p>
        </w:tc>
        <w:tc>
          <w:tcPr>
            <w:tcW w:w="708" w:type="pct"/>
            <w:vAlign w:val="center"/>
          </w:tcPr>
          <w:p>
            <w:pPr>
              <w:widowControl/>
              <w:spacing w:before="120" w:beforeLines="50" w:after="120" w:afterLines="50"/>
              <w:jc w:val="center"/>
              <w:rPr>
                <w:color w:val="000000"/>
                <w:kern w:val="44"/>
                <w:szCs w:val="18"/>
              </w:rPr>
            </w:pPr>
            <w:r>
              <w:rPr>
                <w:color w:val="000000"/>
                <w:kern w:val="44"/>
                <w:szCs w:val="18"/>
              </w:rPr>
              <w:t>150～200</w:t>
            </w:r>
          </w:p>
        </w:tc>
        <w:tc>
          <w:tcPr>
            <w:tcW w:w="894" w:type="pct"/>
            <w:vAlign w:val="center"/>
          </w:tcPr>
          <w:p>
            <w:pPr>
              <w:widowControl/>
              <w:spacing w:before="120" w:beforeLines="50" w:after="120" w:afterLines="50"/>
              <w:jc w:val="center"/>
              <w:rPr>
                <w:color w:val="000000"/>
                <w:szCs w:val="18"/>
              </w:rPr>
            </w:pPr>
            <w:r>
              <w:rPr>
                <w:color w:val="000000"/>
                <w:szCs w:val="18"/>
              </w:rPr>
              <w:t>1200～1500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03" w:type="pct"/>
            <w:vMerge w:val="continue"/>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768"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弱风化长石石英砂岩</w:t>
            </w:r>
          </w:p>
        </w:tc>
        <w:tc>
          <w:tcPr>
            <w:tcW w:w="6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2.76</w:t>
            </w:r>
          </w:p>
        </w:tc>
        <w:tc>
          <w:tcPr>
            <w:tcW w:w="707"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r>
              <w:rPr>
                <w:color w:val="000000"/>
                <w:kern w:val="44"/>
                <w:szCs w:val="18"/>
              </w:rPr>
              <w:t>60～80</w:t>
            </w:r>
          </w:p>
        </w:tc>
        <w:tc>
          <w:tcPr>
            <w:tcW w:w="606"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p>
        </w:tc>
        <w:tc>
          <w:tcPr>
            <w:tcW w:w="507"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p>
        </w:tc>
        <w:tc>
          <w:tcPr>
            <w:tcW w:w="708" w:type="pct"/>
            <w:vAlign w:val="center"/>
          </w:tcPr>
          <w:p>
            <w:pPr>
              <w:widowControl/>
              <w:spacing w:before="120" w:beforeLines="50" w:after="120" w:afterLines="50"/>
              <w:jc w:val="center"/>
              <w:rPr>
                <w:color w:val="000000"/>
                <w:kern w:val="44"/>
                <w:szCs w:val="18"/>
              </w:rPr>
            </w:pPr>
            <w:r>
              <w:rPr>
                <w:color w:val="000000"/>
                <w:kern w:val="44"/>
                <w:szCs w:val="18"/>
              </w:rPr>
              <w:t>200～500</w:t>
            </w:r>
          </w:p>
        </w:tc>
        <w:tc>
          <w:tcPr>
            <w:tcW w:w="894" w:type="pct"/>
            <w:vAlign w:val="center"/>
          </w:tcPr>
          <w:p>
            <w:pPr>
              <w:widowControl/>
              <w:spacing w:before="120" w:beforeLines="50" w:after="120" w:afterLines="50"/>
              <w:jc w:val="center"/>
              <w:rPr>
                <w:color w:val="000000"/>
                <w:szCs w:val="18"/>
              </w:rPr>
            </w:pPr>
            <w:r>
              <w:rPr>
                <w:color w:val="000000"/>
                <w:szCs w:val="18"/>
              </w:rPr>
              <w:t>10000～12000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03" w:type="pct"/>
            <w:vMerge w:val="restar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Ⅱ</w:t>
            </w:r>
          </w:p>
        </w:tc>
        <w:tc>
          <w:tcPr>
            <w:tcW w:w="768"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微风化花岗岩/辉长岩</w:t>
            </w:r>
          </w:p>
        </w:tc>
        <w:tc>
          <w:tcPr>
            <w:tcW w:w="607"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r>
              <w:rPr>
                <w:color w:val="000000"/>
                <w:kern w:val="44"/>
                <w:szCs w:val="18"/>
              </w:rPr>
              <w:t>2.66</w:t>
            </w:r>
          </w:p>
        </w:tc>
        <w:tc>
          <w:tcPr>
            <w:tcW w:w="707"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r>
              <w:rPr>
                <w:color w:val="000000"/>
              </w:rPr>
              <w:t>100～180</w:t>
            </w:r>
          </w:p>
        </w:tc>
        <w:tc>
          <w:tcPr>
            <w:tcW w:w="606"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r>
              <w:rPr>
                <w:color w:val="000000"/>
              </w:rPr>
              <w:t>120～210</w:t>
            </w:r>
          </w:p>
        </w:tc>
        <w:tc>
          <w:tcPr>
            <w:tcW w:w="507"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r>
              <w:rPr>
                <w:color w:val="000000"/>
              </w:rPr>
              <w:t>130～230</w:t>
            </w:r>
          </w:p>
        </w:tc>
        <w:tc>
          <w:tcPr>
            <w:tcW w:w="708" w:type="pct"/>
            <w:vAlign w:val="center"/>
          </w:tcPr>
          <w:p>
            <w:pPr>
              <w:widowControl/>
              <w:spacing w:before="120" w:beforeLines="50" w:after="120" w:afterLines="50"/>
              <w:jc w:val="center"/>
              <w:rPr>
                <w:color w:val="000000"/>
                <w:kern w:val="44"/>
                <w:szCs w:val="18"/>
              </w:rPr>
            </w:pPr>
            <w:r>
              <w:rPr>
                <w:color w:val="000000"/>
                <w:kern w:val="44"/>
                <w:szCs w:val="18"/>
              </w:rPr>
              <w:t>200～500</w:t>
            </w:r>
          </w:p>
        </w:tc>
        <w:tc>
          <w:tcPr>
            <w:tcW w:w="894" w:type="pct"/>
            <w:vAlign w:val="center"/>
          </w:tcPr>
          <w:p>
            <w:pPr>
              <w:widowControl/>
              <w:spacing w:before="120" w:beforeLines="50" w:after="120" w:afterLines="50"/>
              <w:jc w:val="center"/>
              <w:rPr>
                <w:color w:val="000000"/>
                <w:szCs w:val="18"/>
              </w:rPr>
            </w:pPr>
            <w:r>
              <w:rPr>
                <w:color w:val="000000"/>
                <w:szCs w:val="18"/>
              </w:rPr>
              <w:t>20000～30000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03" w:type="pct"/>
            <w:vMerge w:val="continue"/>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768"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微风化泥质粉砂岩</w:t>
            </w:r>
          </w:p>
        </w:tc>
        <w:tc>
          <w:tcPr>
            <w:tcW w:w="6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2.76</w:t>
            </w:r>
          </w:p>
        </w:tc>
        <w:tc>
          <w:tcPr>
            <w:tcW w:w="707"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r>
              <w:rPr>
                <w:color w:val="000000"/>
                <w:kern w:val="44"/>
                <w:szCs w:val="18"/>
              </w:rPr>
              <w:t>5～10</w:t>
            </w:r>
          </w:p>
        </w:tc>
        <w:tc>
          <w:tcPr>
            <w:tcW w:w="606"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r>
              <w:rPr>
                <w:color w:val="000000"/>
                <w:kern w:val="44"/>
                <w:szCs w:val="18"/>
              </w:rPr>
              <w:t>10～15</w:t>
            </w:r>
          </w:p>
        </w:tc>
        <w:tc>
          <w:tcPr>
            <w:tcW w:w="507"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r>
              <w:rPr>
                <w:color w:val="000000"/>
                <w:kern w:val="44"/>
                <w:szCs w:val="18"/>
              </w:rPr>
              <w:t>15～20</w:t>
            </w:r>
          </w:p>
        </w:tc>
        <w:tc>
          <w:tcPr>
            <w:tcW w:w="708" w:type="pct"/>
            <w:vAlign w:val="center"/>
          </w:tcPr>
          <w:p>
            <w:pPr>
              <w:widowControl/>
              <w:spacing w:before="120" w:beforeLines="50" w:after="120" w:afterLines="50"/>
              <w:jc w:val="center"/>
              <w:rPr>
                <w:color w:val="000000"/>
                <w:kern w:val="44"/>
                <w:szCs w:val="18"/>
              </w:rPr>
            </w:pPr>
            <w:r>
              <w:rPr>
                <w:color w:val="000000"/>
                <w:kern w:val="44"/>
                <w:szCs w:val="18"/>
              </w:rPr>
              <w:t>150～200</w:t>
            </w:r>
          </w:p>
        </w:tc>
        <w:tc>
          <w:tcPr>
            <w:tcW w:w="894" w:type="pct"/>
            <w:vAlign w:val="center"/>
          </w:tcPr>
          <w:p>
            <w:pPr>
              <w:widowControl/>
              <w:spacing w:before="120" w:beforeLines="50" w:after="120" w:afterLines="50"/>
              <w:jc w:val="center"/>
              <w:rPr>
                <w:color w:val="000000"/>
                <w:szCs w:val="18"/>
              </w:rPr>
            </w:pPr>
            <w:r>
              <w:rPr>
                <w:color w:val="000000"/>
                <w:szCs w:val="18"/>
              </w:rPr>
              <w:t>2000～3000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03" w:type="pct"/>
            <w:vMerge w:val="continue"/>
            <w:tcMar>
              <w:top w:w="15" w:type="dxa"/>
              <w:left w:w="15" w:type="dxa"/>
              <w:bottom w:w="0" w:type="dxa"/>
              <w:right w:w="15" w:type="dxa"/>
            </w:tcMar>
            <w:vAlign w:val="center"/>
          </w:tcPr>
          <w:p>
            <w:pPr>
              <w:widowControl/>
              <w:spacing w:before="120" w:beforeLines="50" w:after="120" w:afterLines="50"/>
              <w:jc w:val="center"/>
              <w:rPr>
                <w:color w:val="000000"/>
                <w:szCs w:val="18"/>
              </w:rPr>
            </w:pPr>
          </w:p>
        </w:tc>
        <w:tc>
          <w:tcPr>
            <w:tcW w:w="768"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微风化长石石英砂岩</w:t>
            </w:r>
          </w:p>
        </w:tc>
        <w:tc>
          <w:tcPr>
            <w:tcW w:w="607" w:type="pct"/>
            <w:tcMar>
              <w:top w:w="15" w:type="dxa"/>
              <w:left w:w="15" w:type="dxa"/>
              <w:bottom w:w="0" w:type="dxa"/>
              <w:right w:w="15" w:type="dxa"/>
            </w:tcMar>
            <w:vAlign w:val="center"/>
          </w:tcPr>
          <w:p>
            <w:pPr>
              <w:widowControl/>
              <w:spacing w:before="120" w:beforeLines="50" w:after="120" w:afterLines="50"/>
              <w:jc w:val="center"/>
              <w:rPr>
                <w:color w:val="000000"/>
                <w:szCs w:val="18"/>
              </w:rPr>
            </w:pPr>
            <w:r>
              <w:rPr>
                <w:color w:val="000000"/>
                <w:szCs w:val="18"/>
              </w:rPr>
              <w:t>2.76</w:t>
            </w:r>
          </w:p>
        </w:tc>
        <w:tc>
          <w:tcPr>
            <w:tcW w:w="707"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r>
              <w:rPr>
                <w:color w:val="000000"/>
                <w:kern w:val="44"/>
                <w:szCs w:val="18"/>
              </w:rPr>
              <w:t>100～160</w:t>
            </w:r>
          </w:p>
        </w:tc>
        <w:tc>
          <w:tcPr>
            <w:tcW w:w="606"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r>
              <w:rPr>
                <w:color w:val="000000"/>
                <w:kern w:val="44"/>
                <w:szCs w:val="18"/>
              </w:rPr>
              <w:t>150～230</w:t>
            </w:r>
          </w:p>
        </w:tc>
        <w:tc>
          <w:tcPr>
            <w:tcW w:w="507" w:type="pct"/>
            <w:tcMar>
              <w:top w:w="15" w:type="dxa"/>
              <w:left w:w="15" w:type="dxa"/>
              <w:bottom w:w="0" w:type="dxa"/>
              <w:right w:w="15" w:type="dxa"/>
            </w:tcMar>
            <w:vAlign w:val="center"/>
          </w:tcPr>
          <w:p>
            <w:pPr>
              <w:widowControl/>
              <w:spacing w:before="120" w:beforeLines="50" w:after="120" w:afterLines="50"/>
              <w:jc w:val="center"/>
              <w:rPr>
                <w:color w:val="000000"/>
                <w:kern w:val="44"/>
                <w:szCs w:val="18"/>
              </w:rPr>
            </w:pPr>
            <w:r>
              <w:rPr>
                <w:color w:val="000000"/>
                <w:kern w:val="44"/>
                <w:szCs w:val="18"/>
              </w:rPr>
              <w:t>140～250</w:t>
            </w:r>
          </w:p>
        </w:tc>
        <w:tc>
          <w:tcPr>
            <w:tcW w:w="708" w:type="pct"/>
            <w:vAlign w:val="center"/>
          </w:tcPr>
          <w:p>
            <w:pPr>
              <w:widowControl/>
              <w:spacing w:before="120" w:beforeLines="50" w:after="120" w:afterLines="50"/>
              <w:jc w:val="center"/>
              <w:rPr>
                <w:color w:val="000000"/>
                <w:kern w:val="44"/>
                <w:szCs w:val="18"/>
              </w:rPr>
            </w:pPr>
            <w:r>
              <w:rPr>
                <w:color w:val="000000"/>
                <w:kern w:val="44"/>
                <w:szCs w:val="18"/>
              </w:rPr>
              <w:t>200～500</w:t>
            </w:r>
          </w:p>
        </w:tc>
        <w:tc>
          <w:tcPr>
            <w:tcW w:w="894" w:type="pct"/>
            <w:vAlign w:val="center"/>
          </w:tcPr>
          <w:p>
            <w:pPr>
              <w:widowControl/>
              <w:spacing w:before="120" w:beforeLines="50" w:after="120" w:afterLines="50"/>
              <w:jc w:val="center"/>
              <w:rPr>
                <w:color w:val="000000"/>
                <w:szCs w:val="18"/>
              </w:rPr>
            </w:pPr>
            <w:r>
              <w:rPr>
                <w:color w:val="000000"/>
                <w:szCs w:val="18"/>
              </w:rPr>
              <w:t>20000～30000</w:t>
            </w:r>
          </w:p>
        </w:tc>
      </w:tr>
    </w:tbl>
    <w:p>
      <w:pPr>
        <w:overflowPunct w:val="0"/>
        <w:spacing w:line="500" w:lineRule="atLeast"/>
        <w:ind w:firstLine="480" w:firstLineChars="200"/>
        <w:rPr>
          <w:color w:val="000000"/>
          <w:sz w:val="24"/>
        </w:rPr>
      </w:pPr>
    </w:p>
    <w:p>
      <w:pPr>
        <w:pStyle w:val="21"/>
        <w:overflowPunct w:val="0"/>
        <w:spacing w:line="500" w:lineRule="atLeast"/>
        <w:ind w:firstLine="480" w:firstLineChars="200"/>
        <w:rPr>
          <w:color w:val="000000"/>
          <w:sz w:val="24"/>
          <w:szCs w:val="24"/>
        </w:rPr>
      </w:pPr>
    </w:p>
    <w:p>
      <w:pPr>
        <w:pStyle w:val="21"/>
        <w:overflowPunct w:val="0"/>
        <w:spacing w:line="500" w:lineRule="atLeast"/>
        <w:ind w:firstLine="480" w:firstLineChars="200"/>
        <w:rPr>
          <w:color w:val="000000"/>
          <w:sz w:val="24"/>
          <w:szCs w:val="24"/>
        </w:rPr>
      </w:pPr>
    </w:p>
    <w:p>
      <w:pPr>
        <w:pStyle w:val="1005"/>
        <w:rPr>
          <w:rFonts w:cs="Times New Roman"/>
          <w:color w:val="000000"/>
        </w:rPr>
      </w:pPr>
      <w:r>
        <w:rPr>
          <w:rFonts w:cs="Times New Roman"/>
          <w:color w:val="000000"/>
        </w:rPr>
        <w:t>表</w:t>
      </w:r>
      <w:r>
        <w:rPr>
          <w:rFonts w:cs="Times New Roman"/>
          <w:b/>
          <w:color w:val="000000"/>
        </w:rPr>
        <w:t>1.1.2-</w:t>
      </w:r>
      <w:r>
        <w:rPr>
          <w:rFonts w:hint="eastAsia" w:cs="Times New Roman"/>
          <w:b/>
          <w:color w:val="000000"/>
        </w:rPr>
        <w:t>5</w:t>
      </w:r>
      <w:r>
        <w:rPr>
          <w:rFonts w:cs="Times New Roman"/>
          <w:b/>
          <w:color w:val="000000"/>
        </w:rPr>
        <w:t xml:space="preserve">  </w:t>
      </w:r>
      <w:r>
        <w:rPr>
          <w:rFonts w:cs="Times New Roman"/>
          <w:color w:val="000000"/>
        </w:rPr>
        <w:t>隧洞围岩分类及物理力学性质指标表建议值(燕山三期花岗岩地区)</w:t>
      </w:r>
    </w:p>
    <w:tbl>
      <w:tblPr>
        <w:tblStyle w:val="8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019"/>
        <w:gridCol w:w="1705"/>
        <w:gridCol w:w="2552"/>
        <w:gridCol w:w="3258"/>
        <w:gridCol w:w="2410"/>
        <w:gridCol w:w="30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tblHeader/>
          <w:jc w:val="center"/>
        </w:trPr>
        <w:tc>
          <w:tcPr>
            <w:tcW w:w="971" w:type="pct"/>
            <w:gridSpan w:val="2"/>
            <w:tcBorders>
              <w:tl2br w:val="single" w:color="000000" w:sz="4" w:space="0"/>
            </w:tcBorders>
            <w:noWrap/>
            <w:vAlign w:val="center"/>
          </w:tcPr>
          <w:p>
            <w:pPr>
              <w:tabs>
                <w:tab w:val="left" w:pos="2092"/>
              </w:tabs>
              <w:spacing w:before="132" w:beforeLines="55" w:after="132" w:afterLines="55"/>
              <w:jc w:val="right"/>
              <w:rPr>
                <w:color w:val="000000"/>
              </w:rPr>
            </w:pPr>
            <w:r>
              <w:rPr>
                <w:color w:val="000000"/>
              </w:rPr>
              <w:t>围岩分类</w:t>
            </w:r>
          </w:p>
          <w:p>
            <w:pPr>
              <w:tabs>
                <w:tab w:val="left" w:pos="2092"/>
              </w:tabs>
              <w:spacing w:before="132" w:beforeLines="55" w:after="132" w:afterLines="55"/>
              <w:rPr>
                <w:color w:val="000000"/>
              </w:rPr>
            </w:pPr>
            <w:r>
              <w:rPr>
                <w:color w:val="000000"/>
              </w:rPr>
              <w:t>各类指标</w:t>
            </w:r>
          </w:p>
        </w:tc>
        <w:tc>
          <w:tcPr>
            <w:tcW w:w="910" w:type="pct"/>
            <w:noWrap/>
            <w:vAlign w:val="center"/>
          </w:tcPr>
          <w:p>
            <w:pPr>
              <w:spacing w:before="132" w:beforeLines="55" w:after="132" w:afterLines="55"/>
              <w:jc w:val="center"/>
              <w:rPr>
                <w:color w:val="000000"/>
              </w:rPr>
            </w:pPr>
            <w:r>
              <w:rPr>
                <w:color w:val="000000"/>
              </w:rPr>
              <w:t>Ⅱ</w:t>
            </w:r>
          </w:p>
        </w:tc>
        <w:tc>
          <w:tcPr>
            <w:tcW w:w="1162" w:type="pct"/>
            <w:noWrap/>
            <w:vAlign w:val="center"/>
          </w:tcPr>
          <w:p>
            <w:pPr>
              <w:spacing w:before="132" w:beforeLines="55" w:after="132" w:afterLines="55"/>
              <w:jc w:val="center"/>
              <w:rPr>
                <w:color w:val="000000"/>
              </w:rPr>
            </w:pPr>
            <w:r>
              <w:rPr>
                <w:color w:val="000000"/>
              </w:rPr>
              <w:t>Ⅲ</w:t>
            </w:r>
          </w:p>
        </w:tc>
        <w:tc>
          <w:tcPr>
            <w:tcW w:w="860" w:type="pct"/>
            <w:noWrap/>
            <w:vAlign w:val="center"/>
          </w:tcPr>
          <w:p>
            <w:pPr>
              <w:spacing w:before="132" w:beforeLines="55" w:after="132" w:afterLines="55"/>
              <w:jc w:val="center"/>
              <w:rPr>
                <w:color w:val="000000"/>
              </w:rPr>
            </w:pPr>
            <w:r>
              <w:rPr>
                <w:color w:val="000000"/>
              </w:rPr>
              <w:t>Ⅳ</w:t>
            </w:r>
          </w:p>
        </w:tc>
        <w:tc>
          <w:tcPr>
            <w:tcW w:w="1095" w:type="pct"/>
            <w:noWrap/>
            <w:tcMar>
              <w:left w:w="28" w:type="dxa"/>
              <w:right w:w="28" w:type="dxa"/>
            </w:tcMar>
            <w:vAlign w:val="center"/>
          </w:tcPr>
          <w:p>
            <w:pPr>
              <w:spacing w:before="132" w:beforeLines="55" w:after="132" w:afterLines="55"/>
              <w:jc w:val="center"/>
              <w:rPr>
                <w:color w:val="000000"/>
              </w:rPr>
            </w:pPr>
            <w:r>
              <w:rPr>
                <w:color w:val="000000"/>
              </w:rPr>
              <w:t>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971" w:type="pct"/>
            <w:gridSpan w:val="2"/>
            <w:noWrap/>
            <w:vAlign w:val="center"/>
          </w:tcPr>
          <w:p>
            <w:pPr>
              <w:spacing w:before="132" w:beforeLines="55" w:after="132" w:afterLines="55"/>
              <w:jc w:val="center"/>
              <w:rPr>
                <w:color w:val="000000"/>
              </w:rPr>
            </w:pPr>
            <w:r>
              <w:rPr>
                <w:color w:val="000000"/>
              </w:rPr>
              <w:t>围岩定性描述</w:t>
            </w:r>
          </w:p>
        </w:tc>
        <w:tc>
          <w:tcPr>
            <w:tcW w:w="910" w:type="pct"/>
            <w:noWrap/>
            <w:vAlign w:val="center"/>
          </w:tcPr>
          <w:p>
            <w:pPr>
              <w:spacing w:before="132" w:beforeLines="55" w:after="132" w:afterLines="55"/>
              <w:rPr>
                <w:color w:val="000000"/>
              </w:rPr>
            </w:pPr>
            <w:r>
              <w:rPr>
                <w:color w:val="000000"/>
              </w:rPr>
              <w:t>微风化和新鲜花岗岩，岩体裂隙不育，裂面部分闭合，多数微张，部分充填钙质薄膜，裂面较平整，呈微风化状，岩体较完整，呈块状～整体结构。沿部分裂面有滴水或渗流。</w:t>
            </w:r>
          </w:p>
        </w:tc>
        <w:tc>
          <w:tcPr>
            <w:tcW w:w="1162" w:type="pct"/>
            <w:noWrap/>
            <w:vAlign w:val="center"/>
          </w:tcPr>
          <w:p>
            <w:pPr>
              <w:spacing w:before="132" w:beforeLines="55" w:after="132" w:afterLines="55"/>
              <w:rPr>
                <w:color w:val="000000"/>
              </w:rPr>
            </w:pPr>
            <w:r>
              <w:rPr>
                <w:color w:val="000000"/>
              </w:rPr>
              <w:t>微风化为主，夹弱风化，裂隙较发育，裂面多数张开或微张，充填钙质，部分充填铁质，裂面风化，岩体完整性较差～稍好，呈块状～次块状结构，断层不育，沿断层有水渗流，张开裂隙有渗水或滴水。</w:t>
            </w:r>
          </w:p>
        </w:tc>
        <w:tc>
          <w:tcPr>
            <w:tcW w:w="860" w:type="pct"/>
            <w:noWrap/>
            <w:vAlign w:val="center"/>
          </w:tcPr>
          <w:p>
            <w:pPr>
              <w:spacing w:before="132" w:beforeLines="55" w:after="132" w:afterLines="55"/>
              <w:rPr>
                <w:color w:val="000000"/>
              </w:rPr>
            </w:pPr>
            <w:r>
              <w:rPr>
                <w:color w:val="000000"/>
              </w:rPr>
              <w:t>强风化为主，夹少量弱风化岩石，岩体完整性差，发育较多断层，断层带泥化，裂隙发育，裂面大部分张开，充填铁质，裂面风化强烈，呈碎裂至层状结构，沿断裂面有流水、渗水和滴水。</w:t>
            </w:r>
          </w:p>
        </w:tc>
        <w:tc>
          <w:tcPr>
            <w:tcW w:w="1095" w:type="pct"/>
            <w:noWrap/>
            <w:tcMar>
              <w:left w:w="28" w:type="dxa"/>
              <w:right w:w="28" w:type="dxa"/>
            </w:tcMar>
            <w:vAlign w:val="center"/>
          </w:tcPr>
          <w:p>
            <w:pPr>
              <w:spacing w:before="132" w:beforeLines="55" w:after="132" w:afterLines="55"/>
              <w:rPr>
                <w:color w:val="000000"/>
              </w:rPr>
            </w:pPr>
            <w:r>
              <w:rPr>
                <w:color w:val="000000"/>
              </w:rPr>
              <w:t>强风化岩石及全风化岩为主，夹强风化岩石或断层破碎带，岩石破碎，为散体结构，裂隙发育到密集，裂面张开，充填泥质。断层破碎带呈全风化状，泥化严重，沿断裂面有流水、渗水和滴水。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363" w:type="pct"/>
            <w:vMerge w:val="restart"/>
            <w:noWrap/>
            <w:vAlign w:val="center"/>
          </w:tcPr>
          <w:p>
            <w:pPr>
              <w:spacing w:before="132" w:beforeLines="55" w:after="132" w:afterLines="55"/>
              <w:jc w:val="center"/>
              <w:rPr>
                <w:color w:val="000000"/>
              </w:rPr>
            </w:pPr>
            <w:r>
              <w:rPr>
                <w:color w:val="000000"/>
              </w:rPr>
              <w:t>岩体</w:t>
            </w:r>
          </w:p>
          <w:p>
            <w:pPr>
              <w:spacing w:before="132" w:beforeLines="55" w:after="132" w:afterLines="55"/>
              <w:jc w:val="center"/>
              <w:rPr>
                <w:color w:val="000000"/>
              </w:rPr>
            </w:pPr>
            <w:r>
              <w:rPr>
                <w:color w:val="000000"/>
              </w:rPr>
              <w:t>完整性</w:t>
            </w:r>
          </w:p>
        </w:tc>
        <w:tc>
          <w:tcPr>
            <w:tcW w:w="607" w:type="pct"/>
            <w:noWrap/>
            <w:vAlign w:val="center"/>
          </w:tcPr>
          <w:p>
            <w:pPr>
              <w:spacing w:before="132" w:beforeLines="55" w:after="132" w:afterLines="55"/>
              <w:jc w:val="center"/>
              <w:rPr>
                <w:color w:val="000000"/>
              </w:rPr>
            </w:pPr>
            <w:r>
              <w:rPr>
                <w:color w:val="000000"/>
              </w:rPr>
              <w:t>裂隙发育组数</w:t>
            </w:r>
          </w:p>
        </w:tc>
        <w:tc>
          <w:tcPr>
            <w:tcW w:w="910" w:type="pct"/>
            <w:noWrap/>
            <w:vAlign w:val="center"/>
          </w:tcPr>
          <w:p>
            <w:pPr>
              <w:spacing w:before="132" w:beforeLines="55" w:after="132" w:afterLines="55"/>
              <w:jc w:val="center"/>
              <w:rPr>
                <w:color w:val="000000"/>
              </w:rPr>
            </w:pPr>
            <w:r>
              <w:rPr>
                <w:color w:val="000000"/>
              </w:rPr>
              <w:t>1～2组</w:t>
            </w:r>
          </w:p>
        </w:tc>
        <w:tc>
          <w:tcPr>
            <w:tcW w:w="1162" w:type="pct"/>
            <w:noWrap/>
            <w:vAlign w:val="center"/>
          </w:tcPr>
          <w:p>
            <w:pPr>
              <w:spacing w:before="132" w:beforeLines="55" w:after="132" w:afterLines="55"/>
              <w:jc w:val="center"/>
              <w:rPr>
                <w:color w:val="000000"/>
              </w:rPr>
            </w:pPr>
            <w:r>
              <w:rPr>
                <w:color w:val="000000"/>
              </w:rPr>
              <w:t>2～3组</w:t>
            </w:r>
          </w:p>
        </w:tc>
        <w:tc>
          <w:tcPr>
            <w:tcW w:w="860" w:type="pct"/>
            <w:noWrap/>
            <w:vAlign w:val="center"/>
          </w:tcPr>
          <w:p>
            <w:pPr>
              <w:spacing w:before="132" w:beforeLines="55" w:after="132" w:afterLines="55"/>
              <w:jc w:val="center"/>
              <w:rPr>
                <w:color w:val="000000"/>
              </w:rPr>
            </w:pPr>
            <w:r>
              <w:rPr>
                <w:color w:val="000000"/>
              </w:rPr>
              <w:t>≥3组</w:t>
            </w:r>
          </w:p>
        </w:tc>
        <w:tc>
          <w:tcPr>
            <w:tcW w:w="1095" w:type="pct"/>
            <w:noWrap/>
            <w:tcMar>
              <w:left w:w="28" w:type="dxa"/>
              <w:right w:w="28" w:type="dxa"/>
            </w:tcMar>
            <w:vAlign w:val="center"/>
          </w:tcPr>
          <w:p>
            <w:pPr>
              <w:spacing w:before="132" w:beforeLines="55" w:after="132" w:afterLines="55"/>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363" w:type="pct"/>
            <w:vMerge w:val="continue"/>
            <w:noWrap/>
            <w:vAlign w:val="center"/>
          </w:tcPr>
          <w:p>
            <w:pPr>
              <w:spacing w:before="132" w:beforeLines="55" w:after="132" w:afterLines="55"/>
              <w:jc w:val="center"/>
              <w:rPr>
                <w:color w:val="000000"/>
              </w:rPr>
            </w:pPr>
          </w:p>
        </w:tc>
        <w:tc>
          <w:tcPr>
            <w:tcW w:w="607" w:type="pct"/>
            <w:noWrap/>
            <w:vAlign w:val="center"/>
          </w:tcPr>
          <w:p>
            <w:pPr>
              <w:spacing w:before="132" w:beforeLines="55" w:after="132" w:afterLines="55"/>
              <w:jc w:val="center"/>
              <w:rPr>
                <w:color w:val="000000"/>
                <w:spacing w:val="-12"/>
              </w:rPr>
            </w:pPr>
            <w:r>
              <w:rPr>
                <w:color w:val="000000"/>
                <w:spacing w:val="-12"/>
              </w:rPr>
              <w:t>裂隙发育频率(条/m)</w:t>
            </w:r>
          </w:p>
        </w:tc>
        <w:tc>
          <w:tcPr>
            <w:tcW w:w="910" w:type="pct"/>
            <w:noWrap/>
            <w:vAlign w:val="center"/>
          </w:tcPr>
          <w:p>
            <w:pPr>
              <w:spacing w:before="132" w:beforeLines="55" w:after="132" w:afterLines="55"/>
              <w:jc w:val="center"/>
              <w:rPr>
                <w:color w:val="000000"/>
              </w:rPr>
            </w:pPr>
            <w:r>
              <w:rPr>
                <w:color w:val="000000"/>
              </w:rPr>
              <w:t>2～3</w:t>
            </w:r>
          </w:p>
        </w:tc>
        <w:tc>
          <w:tcPr>
            <w:tcW w:w="1162" w:type="pct"/>
            <w:noWrap/>
            <w:vAlign w:val="center"/>
          </w:tcPr>
          <w:p>
            <w:pPr>
              <w:spacing w:before="132" w:beforeLines="55" w:after="132" w:afterLines="55"/>
              <w:jc w:val="center"/>
              <w:rPr>
                <w:color w:val="000000"/>
              </w:rPr>
            </w:pPr>
            <w:r>
              <w:rPr>
                <w:color w:val="000000"/>
              </w:rPr>
              <w:t>3～5</w:t>
            </w:r>
          </w:p>
        </w:tc>
        <w:tc>
          <w:tcPr>
            <w:tcW w:w="860" w:type="pct"/>
            <w:noWrap/>
            <w:vAlign w:val="center"/>
          </w:tcPr>
          <w:p>
            <w:pPr>
              <w:spacing w:before="132" w:beforeLines="55" w:after="132" w:afterLines="55"/>
              <w:jc w:val="center"/>
              <w:rPr>
                <w:color w:val="000000"/>
              </w:rPr>
            </w:pPr>
            <w:r>
              <w:rPr>
                <w:color w:val="000000"/>
              </w:rPr>
              <w:t>≥5</w:t>
            </w:r>
          </w:p>
        </w:tc>
        <w:tc>
          <w:tcPr>
            <w:tcW w:w="1095" w:type="pct"/>
            <w:noWrap/>
            <w:tcMar>
              <w:left w:w="28" w:type="dxa"/>
              <w:right w:w="28" w:type="dxa"/>
            </w:tcMar>
            <w:vAlign w:val="center"/>
          </w:tcPr>
          <w:p>
            <w:pPr>
              <w:spacing w:before="132" w:beforeLines="55" w:after="132" w:afterLines="55"/>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363" w:type="pct"/>
            <w:vMerge w:val="continue"/>
            <w:noWrap/>
            <w:vAlign w:val="center"/>
          </w:tcPr>
          <w:p>
            <w:pPr>
              <w:spacing w:before="132" w:beforeLines="55" w:after="132" w:afterLines="55"/>
              <w:jc w:val="center"/>
              <w:rPr>
                <w:color w:val="000000"/>
              </w:rPr>
            </w:pPr>
          </w:p>
        </w:tc>
        <w:tc>
          <w:tcPr>
            <w:tcW w:w="607" w:type="pct"/>
            <w:noWrap/>
            <w:vAlign w:val="center"/>
          </w:tcPr>
          <w:p>
            <w:pPr>
              <w:spacing w:before="132" w:beforeLines="55" w:after="132" w:afterLines="55"/>
              <w:jc w:val="center"/>
              <w:rPr>
                <w:color w:val="000000"/>
              </w:rPr>
            </w:pPr>
            <w:r>
              <w:rPr>
                <w:color w:val="000000"/>
              </w:rPr>
              <w:t>岩体质量指标RQD (%)</w:t>
            </w:r>
          </w:p>
        </w:tc>
        <w:tc>
          <w:tcPr>
            <w:tcW w:w="910" w:type="pct"/>
            <w:noWrap/>
            <w:vAlign w:val="center"/>
          </w:tcPr>
          <w:p>
            <w:pPr>
              <w:spacing w:before="132" w:beforeLines="55" w:after="132" w:afterLines="55"/>
              <w:jc w:val="center"/>
              <w:rPr>
                <w:color w:val="000000"/>
              </w:rPr>
            </w:pPr>
            <w:r>
              <w:rPr>
                <w:color w:val="000000"/>
              </w:rPr>
              <w:t>80～90</w:t>
            </w:r>
          </w:p>
        </w:tc>
        <w:tc>
          <w:tcPr>
            <w:tcW w:w="1162" w:type="pct"/>
            <w:noWrap/>
            <w:vAlign w:val="center"/>
          </w:tcPr>
          <w:p>
            <w:pPr>
              <w:spacing w:before="132" w:beforeLines="55" w:after="132" w:afterLines="55"/>
              <w:jc w:val="center"/>
              <w:rPr>
                <w:color w:val="000000"/>
              </w:rPr>
            </w:pPr>
            <w:r>
              <w:rPr>
                <w:color w:val="000000"/>
              </w:rPr>
              <w:t>60～80</w:t>
            </w:r>
          </w:p>
        </w:tc>
        <w:tc>
          <w:tcPr>
            <w:tcW w:w="860" w:type="pct"/>
            <w:noWrap/>
            <w:vAlign w:val="center"/>
          </w:tcPr>
          <w:p>
            <w:pPr>
              <w:spacing w:before="132" w:beforeLines="55" w:after="132" w:afterLines="55"/>
              <w:jc w:val="center"/>
              <w:rPr>
                <w:color w:val="000000"/>
              </w:rPr>
            </w:pPr>
            <w:r>
              <w:rPr>
                <w:color w:val="000000"/>
              </w:rPr>
              <w:t>60～20</w:t>
            </w:r>
          </w:p>
        </w:tc>
        <w:tc>
          <w:tcPr>
            <w:tcW w:w="1095" w:type="pct"/>
            <w:noWrap/>
            <w:tcMar>
              <w:left w:w="28" w:type="dxa"/>
              <w:right w:w="28" w:type="dxa"/>
            </w:tcMar>
            <w:vAlign w:val="center"/>
          </w:tcPr>
          <w:p>
            <w:pPr>
              <w:spacing w:before="132" w:beforeLines="55" w:after="132" w:afterLines="55"/>
              <w:jc w:val="center"/>
              <w:rPr>
                <w:color w:val="000000"/>
              </w:rPr>
            </w:pPr>
            <w:r>
              <w:rPr>
                <w:color w:val="000000"/>
              </w:rPr>
              <w:t>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971" w:type="pct"/>
            <w:gridSpan w:val="2"/>
            <w:noWrap/>
            <w:vAlign w:val="center"/>
          </w:tcPr>
          <w:p>
            <w:pPr>
              <w:spacing w:before="132" w:beforeLines="55" w:after="132" w:afterLines="55"/>
              <w:jc w:val="center"/>
              <w:rPr>
                <w:color w:val="000000"/>
              </w:rPr>
            </w:pPr>
            <w:r>
              <w:rPr>
                <w:color w:val="000000"/>
              </w:rPr>
              <w:t>完整性评价</w:t>
            </w:r>
          </w:p>
        </w:tc>
        <w:tc>
          <w:tcPr>
            <w:tcW w:w="910" w:type="pct"/>
            <w:noWrap/>
            <w:vAlign w:val="center"/>
          </w:tcPr>
          <w:p>
            <w:pPr>
              <w:spacing w:before="132" w:beforeLines="55" w:after="132" w:afterLines="55"/>
              <w:jc w:val="center"/>
              <w:rPr>
                <w:color w:val="000000"/>
              </w:rPr>
            </w:pPr>
            <w:r>
              <w:rPr>
                <w:color w:val="000000"/>
              </w:rPr>
              <w:t>较完整夹完整</w:t>
            </w:r>
          </w:p>
        </w:tc>
        <w:tc>
          <w:tcPr>
            <w:tcW w:w="1162" w:type="pct"/>
            <w:noWrap/>
            <w:vAlign w:val="center"/>
          </w:tcPr>
          <w:p>
            <w:pPr>
              <w:spacing w:before="132" w:beforeLines="55" w:after="132" w:afterLines="55"/>
              <w:jc w:val="center"/>
              <w:rPr>
                <w:color w:val="000000"/>
              </w:rPr>
            </w:pPr>
            <w:r>
              <w:rPr>
                <w:color w:val="000000"/>
              </w:rPr>
              <w:t>较完整夹完整性差</w:t>
            </w:r>
          </w:p>
        </w:tc>
        <w:tc>
          <w:tcPr>
            <w:tcW w:w="860" w:type="pct"/>
            <w:noWrap/>
            <w:vAlign w:val="center"/>
          </w:tcPr>
          <w:p>
            <w:pPr>
              <w:spacing w:before="132" w:beforeLines="55" w:after="132" w:afterLines="55"/>
              <w:jc w:val="center"/>
              <w:rPr>
                <w:color w:val="000000"/>
              </w:rPr>
            </w:pPr>
            <w:r>
              <w:rPr>
                <w:color w:val="000000"/>
              </w:rPr>
              <w:t>完整性差～较破碎</w:t>
            </w:r>
          </w:p>
        </w:tc>
        <w:tc>
          <w:tcPr>
            <w:tcW w:w="1095" w:type="pct"/>
            <w:noWrap/>
            <w:tcMar>
              <w:left w:w="28" w:type="dxa"/>
              <w:right w:w="28" w:type="dxa"/>
            </w:tcMar>
            <w:vAlign w:val="center"/>
          </w:tcPr>
          <w:p>
            <w:pPr>
              <w:spacing w:before="132" w:beforeLines="55" w:after="132" w:afterLines="55"/>
              <w:jc w:val="center"/>
              <w:rPr>
                <w:color w:val="000000"/>
              </w:rPr>
            </w:pPr>
            <w:r>
              <w:rPr>
                <w:color w:val="000000"/>
              </w:rPr>
              <w:t>较破碎～破碎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363" w:type="pct"/>
            <w:vMerge w:val="restart"/>
            <w:noWrap/>
            <w:vAlign w:val="center"/>
          </w:tcPr>
          <w:p>
            <w:pPr>
              <w:spacing w:before="132" w:beforeLines="55" w:after="132" w:afterLines="55"/>
              <w:jc w:val="center"/>
              <w:rPr>
                <w:color w:val="000000"/>
              </w:rPr>
            </w:pPr>
            <w:r>
              <w:rPr>
                <w:color w:val="000000"/>
              </w:rPr>
              <w:t>岩体物理力学参数</w:t>
            </w:r>
          </w:p>
        </w:tc>
        <w:tc>
          <w:tcPr>
            <w:tcW w:w="607" w:type="pct"/>
            <w:noWrap/>
            <w:vAlign w:val="center"/>
          </w:tcPr>
          <w:p>
            <w:pPr>
              <w:spacing w:before="132" w:beforeLines="55" w:after="132" w:afterLines="55"/>
              <w:jc w:val="center"/>
              <w:rPr>
                <w:color w:val="000000"/>
              </w:rPr>
            </w:pPr>
            <w:r>
              <w:rPr>
                <w:color w:val="000000"/>
              </w:rPr>
              <w:t>饱和容重γ  (g/cm</w:t>
            </w:r>
            <w:r>
              <w:rPr>
                <w:color w:val="000000"/>
                <w:vertAlign w:val="superscript"/>
              </w:rPr>
              <w:t>3</w:t>
            </w:r>
            <w:r>
              <w:rPr>
                <w:color w:val="000000"/>
              </w:rPr>
              <w:t>)</w:t>
            </w:r>
          </w:p>
        </w:tc>
        <w:tc>
          <w:tcPr>
            <w:tcW w:w="910" w:type="pct"/>
            <w:noWrap/>
            <w:vAlign w:val="center"/>
          </w:tcPr>
          <w:p>
            <w:pPr>
              <w:spacing w:before="132" w:beforeLines="55" w:after="132" w:afterLines="55"/>
              <w:jc w:val="center"/>
              <w:rPr>
                <w:color w:val="000000"/>
              </w:rPr>
            </w:pPr>
            <w:r>
              <w:rPr>
                <w:color w:val="000000"/>
              </w:rPr>
              <w:t>2.61</w:t>
            </w:r>
          </w:p>
        </w:tc>
        <w:tc>
          <w:tcPr>
            <w:tcW w:w="1162" w:type="pct"/>
            <w:noWrap/>
            <w:vAlign w:val="center"/>
          </w:tcPr>
          <w:p>
            <w:pPr>
              <w:spacing w:before="132" w:beforeLines="55" w:after="132" w:afterLines="55"/>
              <w:jc w:val="center"/>
              <w:rPr>
                <w:color w:val="000000"/>
              </w:rPr>
            </w:pPr>
            <w:r>
              <w:rPr>
                <w:color w:val="000000"/>
              </w:rPr>
              <w:t>2.61</w:t>
            </w:r>
          </w:p>
        </w:tc>
        <w:tc>
          <w:tcPr>
            <w:tcW w:w="860" w:type="pct"/>
            <w:noWrap/>
            <w:vAlign w:val="center"/>
          </w:tcPr>
          <w:p>
            <w:pPr>
              <w:spacing w:before="132" w:beforeLines="55" w:after="132" w:afterLines="55"/>
              <w:jc w:val="center"/>
              <w:rPr>
                <w:color w:val="000000"/>
              </w:rPr>
            </w:pPr>
            <w:r>
              <w:rPr>
                <w:color w:val="000000"/>
              </w:rPr>
              <w:t>2.55</w:t>
            </w:r>
          </w:p>
        </w:tc>
        <w:tc>
          <w:tcPr>
            <w:tcW w:w="1095" w:type="pct"/>
            <w:noWrap/>
            <w:tcMar>
              <w:left w:w="28" w:type="dxa"/>
              <w:right w:w="28" w:type="dxa"/>
            </w:tcMar>
            <w:vAlign w:val="center"/>
          </w:tcPr>
          <w:p>
            <w:pPr>
              <w:spacing w:before="132" w:beforeLines="55" w:after="132" w:afterLines="55"/>
              <w:jc w:val="center"/>
              <w:rPr>
                <w:color w:val="000000"/>
              </w:rPr>
            </w:pPr>
            <w:r>
              <w:rPr>
                <w:color w:val="000000"/>
              </w:rPr>
              <w:t>2.5(全风化土1.9)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363" w:type="pct"/>
            <w:vMerge w:val="continue"/>
            <w:noWrap/>
            <w:vAlign w:val="center"/>
          </w:tcPr>
          <w:p>
            <w:pPr>
              <w:spacing w:before="132" w:beforeLines="55" w:after="132" w:afterLines="55"/>
              <w:jc w:val="center"/>
              <w:rPr>
                <w:color w:val="000000"/>
              </w:rPr>
            </w:pPr>
          </w:p>
        </w:tc>
        <w:tc>
          <w:tcPr>
            <w:tcW w:w="607" w:type="pct"/>
            <w:noWrap/>
            <w:vAlign w:val="center"/>
          </w:tcPr>
          <w:p>
            <w:pPr>
              <w:spacing w:before="132" w:beforeLines="55" w:after="132" w:afterLines="55"/>
              <w:jc w:val="center"/>
              <w:rPr>
                <w:color w:val="000000"/>
              </w:rPr>
            </w:pPr>
            <w:r>
              <w:rPr>
                <w:color w:val="000000"/>
              </w:rPr>
              <w:t>弹性模量E  (GPa)</w:t>
            </w:r>
          </w:p>
        </w:tc>
        <w:tc>
          <w:tcPr>
            <w:tcW w:w="910" w:type="pct"/>
            <w:noWrap/>
            <w:vAlign w:val="center"/>
          </w:tcPr>
          <w:p>
            <w:pPr>
              <w:spacing w:before="132" w:beforeLines="55" w:after="132" w:afterLines="55"/>
              <w:jc w:val="center"/>
              <w:rPr>
                <w:color w:val="000000"/>
              </w:rPr>
            </w:pPr>
            <w:r>
              <w:rPr>
                <w:color w:val="000000"/>
              </w:rPr>
              <w:t>30～42</w:t>
            </w:r>
          </w:p>
        </w:tc>
        <w:tc>
          <w:tcPr>
            <w:tcW w:w="1162" w:type="pct"/>
            <w:noWrap/>
            <w:vAlign w:val="center"/>
          </w:tcPr>
          <w:p>
            <w:pPr>
              <w:spacing w:before="132" w:beforeLines="55" w:after="132" w:afterLines="55"/>
              <w:jc w:val="center"/>
              <w:rPr>
                <w:color w:val="000000"/>
              </w:rPr>
            </w:pPr>
            <w:r>
              <w:rPr>
                <w:color w:val="000000"/>
              </w:rPr>
              <w:t>20～30</w:t>
            </w:r>
          </w:p>
        </w:tc>
        <w:tc>
          <w:tcPr>
            <w:tcW w:w="860" w:type="pct"/>
            <w:noWrap/>
            <w:vAlign w:val="center"/>
          </w:tcPr>
          <w:p>
            <w:pPr>
              <w:spacing w:before="132" w:beforeLines="55" w:after="132" w:afterLines="55"/>
              <w:jc w:val="center"/>
              <w:rPr>
                <w:color w:val="000000"/>
              </w:rPr>
            </w:pPr>
            <w:r>
              <w:rPr>
                <w:color w:val="000000"/>
              </w:rPr>
              <w:t>6～10</w:t>
            </w:r>
          </w:p>
        </w:tc>
        <w:tc>
          <w:tcPr>
            <w:tcW w:w="1095" w:type="pct"/>
            <w:noWrap/>
            <w:tcMar>
              <w:left w:w="28" w:type="dxa"/>
              <w:right w:w="28" w:type="dxa"/>
            </w:tcMar>
            <w:vAlign w:val="center"/>
          </w:tcPr>
          <w:p>
            <w:pPr>
              <w:spacing w:before="132" w:beforeLines="55" w:after="132" w:afterLines="55"/>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363" w:type="pct"/>
            <w:vMerge w:val="continue"/>
            <w:noWrap/>
            <w:vAlign w:val="center"/>
          </w:tcPr>
          <w:p>
            <w:pPr>
              <w:spacing w:before="132" w:beforeLines="55" w:after="132" w:afterLines="55"/>
              <w:jc w:val="center"/>
              <w:rPr>
                <w:color w:val="000000"/>
              </w:rPr>
            </w:pPr>
          </w:p>
        </w:tc>
        <w:tc>
          <w:tcPr>
            <w:tcW w:w="607" w:type="pct"/>
            <w:noWrap/>
            <w:vAlign w:val="center"/>
          </w:tcPr>
          <w:p>
            <w:pPr>
              <w:spacing w:before="132" w:beforeLines="55" w:after="132" w:afterLines="55"/>
              <w:jc w:val="center"/>
              <w:rPr>
                <w:color w:val="000000"/>
              </w:rPr>
            </w:pPr>
            <w:r>
              <w:rPr>
                <w:color w:val="000000"/>
              </w:rPr>
              <w:t>变形模量E</w:t>
            </w:r>
            <w:r>
              <w:rPr>
                <w:color w:val="000000"/>
                <w:vertAlign w:val="subscript"/>
              </w:rPr>
              <w:t xml:space="preserve">O  </w:t>
            </w:r>
            <w:r>
              <w:rPr>
                <w:color w:val="000000"/>
              </w:rPr>
              <w:t>(GPa)</w:t>
            </w:r>
          </w:p>
        </w:tc>
        <w:tc>
          <w:tcPr>
            <w:tcW w:w="910" w:type="pct"/>
            <w:noWrap/>
            <w:vAlign w:val="center"/>
          </w:tcPr>
          <w:p>
            <w:pPr>
              <w:spacing w:before="132" w:beforeLines="55" w:after="132" w:afterLines="55"/>
              <w:jc w:val="center"/>
              <w:rPr>
                <w:color w:val="000000"/>
              </w:rPr>
            </w:pPr>
            <w:r>
              <w:rPr>
                <w:color w:val="000000"/>
              </w:rPr>
              <w:t>15～18</w:t>
            </w:r>
          </w:p>
        </w:tc>
        <w:tc>
          <w:tcPr>
            <w:tcW w:w="1162" w:type="pct"/>
            <w:noWrap/>
            <w:vAlign w:val="center"/>
          </w:tcPr>
          <w:p>
            <w:pPr>
              <w:spacing w:before="132" w:beforeLines="55" w:after="132" w:afterLines="55"/>
              <w:jc w:val="center"/>
              <w:rPr>
                <w:color w:val="000000"/>
              </w:rPr>
            </w:pPr>
            <w:r>
              <w:rPr>
                <w:color w:val="000000"/>
              </w:rPr>
              <w:t>6～10</w:t>
            </w:r>
          </w:p>
        </w:tc>
        <w:tc>
          <w:tcPr>
            <w:tcW w:w="860" w:type="pct"/>
            <w:noWrap/>
            <w:vAlign w:val="center"/>
          </w:tcPr>
          <w:p>
            <w:pPr>
              <w:spacing w:before="132" w:beforeLines="55" w:after="132" w:afterLines="55"/>
              <w:jc w:val="center"/>
              <w:rPr>
                <w:color w:val="000000"/>
              </w:rPr>
            </w:pPr>
            <w:r>
              <w:rPr>
                <w:color w:val="000000"/>
              </w:rPr>
              <w:t>2～5</w:t>
            </w:r>
          </w:p>
        </w:tc>
        <w:tc>
          <w:tcPr>
            <w:tcW w:w="1095" w:type="pct"/>
            <w:noWrap/>
            <w:tcMar>
              <w:left w:w="28" w:type="dxa"/>
              <w:right w:w="28" w:type="dxa"/>
            </w:tcMar>
            <w:vAlign w:val="center"/>
          </w:tcPr>
          <w:p>
            <w:pPr>
              <w:spacing w:before="132" w:beforeLines="55" w:after="132" w:afterLines="55"/>
              <w:jc w:val="center"/>
              <w:rPr>
                <w:color w:val="000000"/>
              </w:rPr>
            </w:pPr>
            <w:r>
              <w:rPr>
                <w:color w:val="000000"/>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363" w:type="pct"/>
            <w:vMerge w:val="restart"/>
            <w:noWrap/>
            <w:vAlign w:val="center"/>
          </w:tcPr>
          <w:p>
            <w:pPr>
              <w:spacing w:before="132" w:beforeLines="55" w:after="132" w:afterLines="55"/>
              <w:jc w:val="center"/>
              <w:rPr>
                <w:color w:val="000000"/>
              </w:rPr>
            </w:pPr>
            <w:r>
              <w:rPr>
                <w:color w:val="000000"/>
              </w:rPr>
              <w:t>岩体物理力学参数</w:t>
            </w:r>
          </w:p>
        </w:tc>
        <w:tc>
          <w:tcPr>
            <w:tcW w:w="607" w:type="pct"/>
            <w:noWrap/>
            <w:vAlign w:val="center"/>
          </w:tcPr>
          <w:p>
            <w:pPr>
              <w:spacing w:before="132" w:beforeLines="55" w:after="132" w:afterLines="55"/>
              <w:jc w:val="center"/>
              <w:rPr>
                <w:color w:val="000000"/>
              </w:rPr>
            </w:pPr>
            <w:r>
              <w:rPr>
                <w:color w:val="000000"/>
              </w:rPr>
              <w:t>泊松比  μ</w:t>
            </w:r>
          </w:p>
        </w:tc>
        <w:tc>
          <w:tcPr>
            <w:tcW w:w="910" w:type="pct"/>
            <w:noWrap/>
            <w:vAlign w:val="center"/>
          </w:tcPr>
          <w:p>
            <w:pPr>
              <w:spacing w:before="132" w:beforeLines="55" w:after="132" w:afterLines="55"/>
              <w:jc w:val="center"/>
              <w:rPr>
                <w:color w:val="000000"/>
              </w:rPr>
            </w:pPr>
            <w:r>
              <w:rPr>
                <w:color w:val="000000"/>
              </w:rPr>
              <w:t>0.24</w:t>
            </w:r>
          </w:p>
        </w:tc>
        <w:tc>
          <w:tcPr>
            <w:tcW w:w="1162" w:type="pct"/>
            <w:noWrap/>
            <w:vAlign w:val="center"/>
          </w:tcPr>
          <w:p>
            <w:pPr>
              <w:spacing w:before="132" w:beforeLines="55" w:after="132" w:afterLines="55"/>
              <w:jc w:val="center"/>
              <w:rPr>
                <w:color w:val="000000"/>
              </w:rPr>
            </w:pPr>
            <w:r>
              <w:rPr>
                <w:color w:val="000000"/>
              </w:rPr>
              <w:t>0.25</w:t>
            </w:r>
          </w:p>
        </w:tc>
        <w:tc>
          <w:tcPr>
            <w:tcW w:w="860" w:type="pct"/>
            <w:noWrap/>
            <w:vAlign w:val="center"/>
          </w:tcPr>
          <w:p>
            <w:pPr>
              <w:spacing w:before="132" w:beforeLines="55" w:after="132" w:afterLines="55"/>
              <w:jc w:val="center"/>
              <w:rPr>
                <w:color w:val="000000"/>
              </w:rPr>
            </w:pPr>
            <w:r>
              <w:rPr>
                <w:color w:val="000000"/>
              </w:rPr>
              <w:t>0.28</w:t>
            </w:r>
          </w:p>
        </w:tc>
        <w:tc>
          <w:tcPr>
            <w:tcW w:w="1095" w:type="pct"/>
            <w:noWrap/>
            <w:tcMar>
              <w:left w:w="28" w:type="dxa"/>
              <w:right w:w="28" w:type="dxa"/>
            </w:tcMar>
            <w:vAlign w:val="center"/>
          </w:tcPr>
          <w:p>
            <w:pPr>
              <w:spacing w:before="132" w:beforeLines="55" w:after="132" w:afterLines="55"/>
              <w:jc w:val="center"/>
              <w:rPr>
                <w:color w:val="000000"/>
              </w:rPr>
            </w:pPr>
            <w:r>
              <w:rPr>
                <w:color w:val="000000"/>
              </w:rPr>
              <w:t>≥0.28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363" w:type="pct"/>
            <w:vMerge w:val="continue"/>
            <w:noWrap/>
            <w:vAlign w:val="center"/>
          </w:tcPr>
          <w:p>
            <w:pPr>
              <w:spacing w:before="132" w:beforeLines="55" w:after="132" w:afterLines="55"/>
              <w:jc w:val="center"/>
              <w:rPr>
                <w:color w:val="000000"/>
              </w:rPr>
            </w:pPr>
          </w:p>
        </w:tc>
        <w:tc>
          <w:tcPr>
            <w:tcW w:w="607" w:type="pct"/>
            <w:noWrap/>
            <w:vAlign w:val="center"/>
          </w:tcPr>
          <w:p>
            <w:pPr>
              <w:spacing w:before="132" w:beforeLines="55" w:after="132" w:afterLines="55"/>
              <w:jc w:val="center"/>
              <w:rPr>
                <w:color w:val="000000"/>
              </w:rPr>
            </w:pPr>
            <w:r>
              <w:rPr>
                <w:color w:val="000000"/>
              </w:rPr>
              <w:t>饱和单轴抗压强度标准值(MPa)</w:t>
            </w:r>
          </w:p>
        </w:tc>
        <w:tc>
          <w:tcPr>
            <w:tcW w:w="910" w:type="pct"/>
            <w:noWrap/>
            <w:vAlign w:val="center"/>
          </w:tcPr>
          <w:p>
            <w:pPr>
              <w:spacing w:before="132" w:beforeLines="55" w:after="132" w:afterLines="55"/>
              <w:jc w:val="center"/>
              <w:rPr>
                <w:color w:val="000000"/>
              </w:rPr>
            </w:pPr>
            <w:r>
              <w:rPr>
                <w:color w:val="000000"/>
              </w:rPr>
              <w:t>150～200</w:t>
            </w:r>
          </w:p>
        </w:tc>
        <w:tc>
          <w:tcPr>
            <w:tcW w:w="1162" w:type="pct"/>
            <w:noWrap/>
            <w:vAlign w:val="center"/>
          </w:tcPr>
          <w:p>
            <w:pPr>
              <w:spacing w:before="132" w:beforeLines="55" w:after="132" w:afterLines="55"/>
              <w:jc w:val="center"/>
              <w:rPr>
                <w:color w:val="000000"/>
              </w:rPr>
            </w:pPr>
            <w:r>
              <w:rPr>
                <w:color w:val="000000"/>
              </w:rPr>
              <w:t>100～150</w:t>
            </w:r>
          </w:p>
        </w:tc>
        <w:tc>
          <w:tcPr>
            <w:tcW w:w="860" w:type="pct"/>
            <w:noWrap/>
            <w:vAlign w:val="center"/>
          </w:tcPr>
          <w:p>
            <w:pPr>
              <w:spacing w:before="132" w:beforeLines="55" w:after="132" w:afterLines="55"/>
              <w:jc w:val="center"/>
              <w:rPr>
                <w:color w:val="000000"/>
              </w:rPr>
            </w:pPr>
            <w:r>
              <w:rPr>
                <w:color w:val="000000"/>
              </w:rPr>
              <w:t>30～60</w:t>
            </w:r>
          </w:p>
        </w:tc>
        <w:tc>
          <w:tcPr>
            <w:tcW w:w="1095" w:type="pct"/>
            <w:noWrap/>
            <w:tcMar>
              <w:left w:w="28" w:type="dxa"/>
              <w:right w:w="28" w:type="dxa"/>
            </w:tcMar>
            <w:vAlign w:val="center"/>
          </w:tcPr>
          <w:p>
            <w:pPr>
              <w:spacing w:before="132" w:beforeLines="55" w:after="132" w:afterLines="55"/>
              <w:jc w:val="center"/>
              <w:rPr>
                <w:color w:val="000000"/>
              </w:rPr>
            </w:pPr>
            <w:r>
              <w:rPr>
                <w:color w:val="00000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363" w:type="pct"/>
            <w:vMerge w:val="continue"/>
            <w:noWrap/>
            <w:vAlign w:val="center"/>
          </w:tcPr>
          <w:p>
            <w:pPr>
              <w:spacing w:before="132" w:beforeLines="55" w:after="132" w:afterLines="55"/>
              <w:jc w:val="center"/>
              <w:rPr>
                <w:color w:val="000000"/>
              </w:rPr>
            </w:pPr>
          </w:p>
        </w:tc>
        <w:tc>
          <w:tcPr>
            <w:tcW w:w="607" w:type="pct"/>
            <w:noWrap/>
            <w:vAlign w:val="center"/>
          </w:tcPr>
          <w:p>
            <w:pPr>
              <w:spacing w:before="132" w:beforeLines="55" w:after="132" w:afterLines="55"/>
              <w:jc w:val="center"/>
              <w:rPr>
                <w:color w:val="000000"/>
              </w:rPr>
            </w:pPr>
            <w:r>
              <w:rPr>
                <w:color w:val="000000"/>
              </w:rPr>
              <w:t>抗拉强度(MPa)</w:t>
            </w:r>
          </w:p>
        </w:tc>
        <w:tc>
          <w:tcPr>
            <w:tcW w:w="910" w:type="pct"/>
            <w:noWrap/>
            <w:vAlign w:val="center"/>
          </w:tcPr>
          <w:p>
            <w:pPr>
              <w:spacing w:before="132" w:beforeLines="55" w:after="132" w:afterLines="55"/>
              <w:jc w:val="center"/>
              <w:rPr>
                <w:color w:val="000000"/>
              </w:rPr>
            </w:pPr>
            <w:r>
              <w:rPr>
                <w:color w:val="000000"/>
              </w:rPr>
              <w:t>4.0～5.0</w:t>
            </w:r>
          </w:p>
        </w:tc>
        <w:tc>
          <w:tcPr>
            <w:tcW w:w="1162" w:type="pct"/>
            <w:noWrap/>
            <w:vAlign w:val="center"/>
          </w:tcPr>
          <w:p>
            <w:pPr>
              <w:spacing w:before="132" w:beforeLines="55" w:after="132" w:afterLines="55"/>
              <w:jc w:val="center"/>
              <w:rPr>
                <w:color w:val="000000"/>
              </w:rPr>
            </w:pPr>
            <w:r>
              <w:rPr>
                <w:color w:val="000000"/>
              </w:rPr>
              <w:t>2～4</w:t>
            </w:r>
          </w:p>
        </w:tc>
        <w:tc>
          <w:tcPr>
            <w:tcW w:w="860" w:type="pct"/>
            <w:noWrap/>
            <w:vAlign w:val="center"/>
          </w:tcPr>
          <w:p>
            <w:pPr>
              <w:spacing w:before="132" w:beforeLines="55" w:after="132" w:afterLines="55"/>
              <w:jc w:val="center"/>
              <w:rPr>
                <w:color w:val="000000"/>
              </w:rPr>
            </w:pPr>
            <w:r>
              <w:rPr>
                <w:color w:val="000000"/>
              </w:rPr>
              <w:t>1～2</w:t>
            </w:r>
          </w:p>
        </w:tc>
        <w:tc>
          <w:tcPr>
            <w:tcW w:w="1095" w:type="pct"/>
            <w:noWrap/>
            <w:tcMar>
              <w:left w:w="28" w:type="dxa"/>
              <w:right w:w="28" w:type="dxa"/>
            </w:tcMar>
            <w:vAlign w:val="center"/>
          </w:tcPr>
          <w:p>
            <w:pPr>
              <w:spacing w:before="132" w:beforeLines="55" w:after="132" w:afterLines="55"/>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363" w:type="pct"/>
            <w:vMerge w:val="continue"/>
            <w:noWrap/>
            <w:vAlign w:val="center"/>
          </w:tcPr>
          <w:p>
            <w:pPr>
              <w:spacing w:before="132" w:beforeLines="55" w:after="132" w:afterLines="55"/>
              <w:jc w:val="center"/>
              <w:rPr>
                <w:color w:val="000000"/>
              </w:rPr>
            </w:pPr>
          </w:p>
        </w:tc>
        <w:tc>
          <w:tcPr>
            <w:tcW w:w="607" w:type="pct"/>
            <w:noWrap/>
            <w:vAlign w:val="center"/>
          </w:tcPr>
          <w:p>
            <w:pPr>
              <w:spacing w:before="132" w:beforeLines="55" w:after="132" w:afterLines="55"/>
              <w:jc w:val="center"/>
              <w:rPr>
                <w:color w:val="000000"/>
              </w:rPr>
            </w:pPr>
            <w:r>
              <w:rPr>
                <w:color w:val="000000"/>
              </w:rPr>
              <w:t>山岩压力分析</w:t>
            </w:r>
          </w:p>
        </w:tc>
        <w:tc>
          <w:tcPr>
            <w:tcW w:w="910" w:type="pct"/>
            <w:noWrap/>
            <w:vAlign w:val="center"/>
          </w:tcPr>
          <w:p>
            <w:pPr>
              <w:spacing w:before="132" w:beforeLines="55" w:after="132" w:afterLines="55"/>
              <w:jc w:val="center"/>
              <w:rPr>
                <w:color w:val="000000"/>
              </w:rPr>
            </w:pPr>
            <w:r>
              <w:rPr>
                <w:color w:val="000000"/>
              </w:rPr>
              <w:t>局部不稳定块体</w:t>
            </w:r>
          </w:p>
        </w:tc>
        <w:tc>
          <w:tcPr>
            <w:tcW w:w="1162" w:type="pct"/>
            <w:noWrap/>
            <w:vAlign w:val="center"/>
          </w:tcPr>
          <w:p>
            <w:pPr>
              <w:spacing w:before="132" w:beforeLines="55" w:after="132" w:afterLines="55"/>
              <w:jc w:val="center"/>
              <w:rPr>
                <w:color w:val="000000"/>
              </w:rPr>
            </w:pPr>
            <w:r>
              <w:rPr>
                <w:color w:val="000000"/>
              </w:rPr>
              <w:t>按块体平衡</w:t>
            </w:r>
          </w:p>
        </w:tc>
        <w:tc>
          <w:tcPr>
            <w:tcW w:w="860" w:type="pct"/>
            <w:noWrap/>
            <w:vAlign w:val="center"/>
          </w:tcPr>
          <w:p>
            <w:pPr>
              <w:spacing w:before="132" w:beforeLines="55" w:after="132" w:afterLines="55"/>
              <w:jc w:val="center"/>
              <w:rPr>
                <w:color w:val="000000"/>
              </w:rPr>
            </w:pPr>
            <w:r>
              <w:rPr>
                <w:color w:val="000000"/>
              </w:rPr>
              <w:t>块体平衡～散粒体</w:t>
            </w:r>
          </w:p>
        </w:tc>
        <w:tc>
          <w:tcPr>
            <w:tcW w:w="1095" w:type="pct"/>
            <w:noWrap/>
            <w:tcMar>
              <w:left w:w="28" w:type="dxa"/>
              <w:right w:w="28" w:type="dxa"/>
            </w:tcMar>
            <w:vAlign w:val="center"/>
          </w:tcPr>
          <w:p>
            <w:pPr>
              <w:spacing w:before="132" w:beforeLines="55" w:after="132" w:afterLines="55"/>
              <w:jc w:val="center"/>
              <w:rPr>
                <w:color w:val="000000"/>
              </w:rPr>
            </w:pPr>
            <w:r>
              <w:rPr>
                <w:color w:val="000000"/>
              </w:rPr>
              <w:t>按散粒体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363" w:type="pct"/>
            <w:vMerge w:val="continue"/>
            <w:noWrap/>
            <w:vAlign w:val="center"/>
          </w:tcPr>
          <w:p>
            <w:pPr>
              <w:spacing w:before="132" w:beforeLines="55" w:after="132" w:afterLines="55"/>
              <w:jc w:val="center"/>
              <w:rPr>
                <w:color w:val="000000"/>
              </w:rPr>
            </w:pPr>
          </w:p>
        </w:tc>
        <w:tc>
          <w:tcPr>
            <w:tcW w:w="607" w:type="pct"/>
            <w:noWrap/>
            <w:vAlign w:val="center"/>
          </w:tcPr>
          <w:p>
            <w:pPr>
              <w:spacing w:before="132" w:beforeLines="55" w:after="132" w:afterLines="55"/>
              <w:jc w:val="center"/>
              <w:rPr>
                <w:color w:val="000000"/>
              </w:rPr>
            </w:pPr>
            <w:r>
              <w:rPr>
                <w:color w:val="000000"/>
              </w:rPr>
              <w:t>坚固性系数f</w:t>
            </w:r>
          </w:p>
        </w:tc>
        <w:tc>
          <w:tcPr>
            <w:tcW w:w="910" w:type="pct"/>
            <w:noWrap/>
            <w:vAlign w:val="center"/>
          </w:tcPr>
          <w:p>
            <w:pPr>
              <w:spacing w:before="132" w:beforeLines="55" w:after="132" w:afterLines="55"/>
              <w:jc w:val="center"/>
              <w:rPr>
                <w:color w:val="000000"/>
              </w:rPr>
            </w:pPr>
            <w:r>
              <w:rPr>
                <w:color w:val="000000"/>
              </w:rPr>
              <w:t>5～10</w:t>
            </w:r>
          </w:p>
        </w:tc>
        <w:tc>
          <w:tcPr>
            <w:tcW w:w="1162" w:type="pct"/>
            <w:noWrap/>
            <w:vAlign w:val="center"/>
          </w:tcPr>
          <w:p>
            <w:pPr>
              <w:spacing w:before="132" w:beforeLines="55" w:after="132" w:afterLines="55"/>
              <w:jc w:val="center"/>
              <w:rPr>
                <w:color w:val="000000"/>
              </w:rPr>
            </w:pPr>
            <w:r>
              <w:rPr>
                <w:color w:val="000000"/>
              </w:rPr>
              <w:t>3～5</w:t>
            </w:r>
          </w:p>
        </w:tc>
        <w:tc>
          <w:tcPr>
            <w:tcW w:w="860" w:type="pct"/>
            <w:noWrap/>
            <w:vAlign w:val="center"/>
          </w:tcPr>
          <w:p>
            <w:pPr>
              <w:spacing w:before="132" w:beforeLines="55" w:after="132" w:afterLines="55"/>
              <w:jc w:val="center"/>
              <w:rPr>
                <w:color w:val="000000"/>
              </w:rPr>
            </w:pPr>
            <w:r>
              <w:rPr>
                <w:color w:val="000000"/>
              </w:rPr>
              <w:t>1～3</w:t>
            </w:r>
          </w:p>
        </w:tc>
        <w:tc>
          <w:tcPr>
            <w:tcW w:w="1095" w:type="pct"/>
            <w:noWrap/>
            <w:tcMar>
              <w:left w:w="28" w:type="dxa"/>
              <w:right w:w="28" w:type="dxa"/>
            </w:tcMar>
            <w:vAlign w:val="center"/>
          </w:tcPr>
          <w:p>
            <w:pPr>
              <w:spacing w:before="132" w:beforeLines="55" w:after="132" w:afterLines="55"/>
              <w:jc w:val="center"/>
              <w:rPr>
                <w:color w:val="000000"/>
              </w:rPr>
            </w:pPr>
            <w:r>
              <w:rPr>
                <w:color w:val="000000"/>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363" w:type="pct"/>
            <w:vMerge w:val="continue"/>
            <w:noWrap/>
            <w:vAlign w:val="center"/>
          </w:tcPr>
          <w:p>
            <w:pPr>
              <w:spacing w:before="132" w:beforeLines="55" w:after="132" w:afterLines="55"/>
              <w:jc w:val="center"/>
              <w:rPr>
                <w:color w:val="000000"/>
              </w:rPr>
            </w:pPr>
          </w:p>
        </w:tc>
        <w:tc>
          <w:tcPr>
            <w:tcW w:w="607" w:type="pct"/>
            <w:noWrap/>
            <w:vAlign w:val="center"/>
          </w:tcPr>
          <w:p>
            <w:pPr>
              <w:spacing w:before="132" w:beforeLines="55" w:after="132" w:afterLines="55"/>
              <w:jc w:val="center"/>
              <w:rPr>
                <w:color w:val="000000"/>
              </w:rPr>
            </w:pPr>
            <w:r>
              <w:rPr>
                <w:color w:val="000000"/>
              </w:rPr>
              <w:t>单位弹性抗力系数k</w:t>
            </w:r>
            <w:r>
              <w:rPr>
                <w:color w:val="000000"/>
                <w:vertAlign w:val="subscript"/>
              </w:rPr>
              <w:t xml:space="preserve">0 </w:t>
            </w:r>
            <w:r>
              <w:rPr>
                <w:color w:val="000000"/>
              </w:rPr>
              <w:t>(MPa/m)</w:t>
            </w:r>
          </w:p>
        </w:tc>
        <w:tc>
          <w:tcPr>
            <w:tcW w:w="910" w:type="pct"/>
            <w:noWrap/>
            <w:vAlign w:val="center"/>
          </w:tcPr>
          <w:p>
            <w:pPr>
              <w:spacing w:before="132" w:beforeLines="55" w:after="132" w:afterLines="55"/>
              <w:jc w:val="center"/>
              <w:rPr>
                <w:color w:val="000000"/>
              </w:rPr>
            </w:pPr>
            <w:r>
              <w:rPr>
                <w:color w:val="000000"/>
              </w:rPr>
              <w:t>6000～8000</w:t>
            </w:r>
          </w:p>
        </w:tc>
        <w:tc>
          <w:tcPr>
            <w:tcW w:w="1162" w:type="pct"/>
            <w:noWrap/>
            <w:vAlign w:val="center"/>
          </w:tcPr>
          <w:p>
            <w:pPr>
              <w:spacing w:before="132" w:beforeLines="55" w:after="132" w:afterLines="55"/>
              <w:jc w:val="center"/>
              <w:rPr>
                <w:color w:val="000000"/>
              </w:rPr>
            </w:pPr>
            <w:r>
              <w:rPr>
                <w:color w:val="000000"/>
              </w:rPr>
              <w:t>4000～5000</w:t>
            </w:r>
          </w:p>
        </w:tc>
        <w:tc>
          <w:tcPr>
            <w:tcW w:w="860" w:type="pct"/>
            <w:noWrap/>
            <w:vAlign w:val="center"/>
          </w:tcPr>
          <w:p>
            <w:pPr>
              <w:spacing w:before="132" w:beforeLines="55" w:after="132" w:afterLines="55"/>
              <w:jc w:val="center"/>
              <w:rPr>
                <w:color w:val="000000"/>
              </w:rPr>
            </w:pPr>
            <w:r>
              <w:rPr>
                <w:color w:val="000000"/>
              </w:rPr>
              <w:t>1000～2000</w:t>
            </w:r>
          </w:p>
        </w:tc>
        <w:tc>
          <w:tcPr>
            <w:tcW w:w="1095" w:type="pct"/>
            <w:noWrap/>
            <w:tcMar>
              <w:left w:w="28" w:type="dxa"/>
              <w:right w:w="28" w:type="dxa"/>
            </w:tcMar>
            <w:vAlign w:val="center"/>
          </w:tcPr>
          <w:p>
            <w:pPr>
              <w:spacing w:before="132" w:beforeLines="55" w:after="132" w:afterLines="55"/>
              <w:jc w:val="center"/>
              <w:rPr>
                <w:color w:val="000000"/>
              </w:rPr>
            </w:pPr>
            <w:r>
              <w:rPr>
                <w:color w:val="000000"/>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971" w:type="pct"/>
            <w:gridSpan w:val="2"/>
            <w:noWrap/>
            <w:vAlign w:val="center"/>
          </w:tcPr>
          <w:p>
            <w:pPr>
              <w:spacing w:before="132" w:beforeLines="55" w:after="132" w:afterLines="55"/>
              <w:jc w:val="center"/>
              <w:rPr>
                <w:color w:val="000000"/>
              </w:rPr>
            </w:pPr>
            <w:r>
              <w:rPr>
                <w:color w:val="000000"/>
              </w:rPr>
              <w:t>围岩稳定性评价</w:t>
            </w:r>
          </w:p>
        </w:tc>
        <w:tc>
          <w:tcPr>
            <w:tcW w:w="910" w:type="pct"/>
            <w:noWrap/>
            <w:vAlign w:val="center"/>
          </w:tcPr>
          <w:p>
            <w:pPr>
              <w:spacing w:before="132" w:beforeLines="55" w:after="132" w:afterLines="55"/>
              <w:rPr>
                <w:color w:val="000000"/>
              </w:rPr>
            </w:pPr>
            <w:r>
              <w:rPr>
                <w:color w:val="000000"/>
              </w:rPr>
              <w:t>围岩整体基本稳定，不会产生塑性变形，局部可能产生组合块体失稳</w:t>
            </w:r>
          </w:p>
        </w:tc>
        <w:tc>
          <w:tcPr>
            <w:tcW w:w="1162" w:type="pct"/>
            <w:noWrap/>
            <w:vAlign w:val="center"/>
          </w:tcPr>
          <w:p>
            <w:pPr>
              <w:spacing w:before="132" w:beforeLines="55" w:after="132" w:afterLines="55"/>
              <w:rPr>
                <w:color w:val="000000"/>
              </w:rPr>
            </w:pPr>
            <w:r>
              <w:rPr>
                <w:color w:val="000000"/>
              </w:rPr>
              <w:t>局部产生塑性变形，不支护可能产生塌方和变形破坏</w:t>
            </w:r>
          </w:p>
        </w:tc>
        <w:tc>
          <w:tcPr>
            <w:tcW w:w="860" w:type="pct"/>
            <w:noWrap/>
            <w:vAlign w:val="center"/>
          </w:tcPr>
          <w:p>
            <w:pPr>
              <w:spacing w:before="132" w:beforeLines="55" w:after="132" w:afterLines="55"/>
              <w:rPr>
                <w:color w:val="000000"/>
              </w:rPr>
            </w:pPr>
            <w:r>
              <w:rPr>
                <w:color w:val="000000"/>
              </w:rPr>
              <w:t>围岩自稳时间很短，规模较大的变形和破坏都可能发生</w:t>
            </w:r>
          </w:p>
        </w:tc>
        <w:tc>
          <w:tcPr>
            <w:tcW w:w="1095" w:type="pct"/>
            <w:noWrap/>
            <w:tcMar>
              <w:left w:w="28" w:type="dxa"/>
              <w:right w:w="28" w:type="dxa"/>
            </w:tcMar>
            <w:vAlign w:val="center"/>
          </w:tcPr>
          <w:p>
            <w:pPr>
              <w:spacing w:before="132" w:beforeLines="55" w:after="132" w:afterLines="55"/>
              <w:rPr>
                <w:color w:val="000000"/>
              </w:rPr>
            </w:pPr>
            <w:r>
              <w:rPr>
                <w:color w:val="000000"/>
              </w:rPr>
              <w:t>围岩不能自稳，变形破坏严重</w:t>
            </w:r>
          </w:p>
        </w:tc>
      </w:tr>
    </w:tbl>
    <w:p>
      <w:pPr>
        <w:pStyle w:val="1005"/>
        <w:rPr>
          <w:rFonts w:cs="Times New Roman"/>
          <w:color w:val="000000"/>
        </w:rPr>
      </w:pPr>
      <w:r>
        <w:rPr>
          <w:rFonts w:cs="Times New Roman"/>
          <w:color w:val="000000"/>
        </w:rPr>
        <w:br w:type="page"/>
      </w:r>
      <w:r>
        <w:rPr>
          <w:rFonts w:cs="Times New Roman"/>
          <w:color w:val="000000"/>
        </w:rPr>
        <w:t>表</w:t>
      </w:r>
      <w:r>
        <w:rPr>
          <w:rFonts w:cs="Times New Roman"/>
          <w:b/>
          <w:color w:val="000000"/>
        </w:rPr>
        <w:t>1.1.2-</w:t>
      </w:r>
      <w:r>
        <w:rPr>
          <w:rFonts w:hint="eastAsia" w:cs="Times New Roman"/>
          <w:b/>
          <w:color w:val="000000"/>
        </w:rPr>
        <w:t>6</w:t>
      </w:r>
      <w:r>
        <w:rPr>
          <w:rFonts w:cs="Times New Roman"/>
          <w:b/>
          <w:color w:val="000000"/>
        </w:rPr>
        <w:t xml:space="preserve">  </w:t>
      </w:r>
      <w:r>
        <w:rPr>
          <w:rFonts w:cs="Times New Roman"/>
          <w:color w:val="000000"/>
        </w:rPr>
        <w:t>隧洞围岩分类及物理力学性质指标表建议值(三叠系、侏罗系沉积岩地区)</w:t>
      </w:r>
    </w:p>
    <w:tbl>
      <w:tblPr>
        <w:tblStyle w:val="8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722"/>
        <w:gridCol w:w="2256"/>
        <w:gridCol w:w="3918"/>
        <w:gridCol w:w="3962"/>
        <w:gridCol w:w="31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blHeader/>
          <w:jc w:val="center"/>
        </w:trPr>
        <w:tc>
          <w:tcPr>
            <w:tcW w:w="2961" w:type="dxa"/>
            <w:gridSpan w:val="2"/>
            <w:tcBorders>
              <w:tl2br w:val="single" w:color="000000" w:sz="4" w:space="0"/>
            </w:tcBorders>
            <w:noWrap/>
            <w:vAlign w:val="center"/>
          </w:tcPr>
          <w:p>
            <w:pPr>
              <w:tabs>
                <w:tab w:val="left" w:pos="2092"/>
              </w:tabs>
              <w:spacing w:before="72" w:beforeLines="30" w:after="72" w:afterLines="30"/>
              <w:jc w:val="right"/>
              <w:rPr>
                <w:color w:val="000000"/>
              </w:rPr>
            </w:pPr>
            <w:r>
              <w:rPr>
                <w:color w:val="000000"/>
              </w:rPr>
              <w:t>围岩分类</w:t>
            </w:r>
          </w:p>
          <w:p>
            <w:pPr>
              <w:tabs>
                <w:tab w:val="left" w:pos="2092"/>
              </w:tabs>
              <w:spacing w:before="72" w:beforeLines="30" w:after="72" w:afterLines="30"/>
              <w:rPr>
                <w:color w:val="000000"/>
              </w:rPr>
            </w:pPr>
            <w:r>
              <w:rPr>
                <w:color w:val="000000"/>
              </w:rPr>
              <w:t>各类指标</w:t>
            </w:r>
          </w:p>
        </w:tc>
        <w:tc>
          <w:tcPr>
            <w:tcW w:w="3894" w:type="dxa"/>
            <w:noWrap/>
            <w:vAlign w:val="center"/>
          </w:tcPr>
          <w:p>
            <w:pPr>
              <w:spacing w:before="72" w:beforeLines="30" w:after="72" w:afterLines="30"/>
              <w:jc w:val="center"/>
              <w:rPr>
                <w:color w:val="000000"/>
              </w:rPr>
            </w:pPr>
            <w:r>
              <w:rPr>
                <w:color w:val="000000"/>
              </w:rPr>
              <w:t>Ⅲ</w:t>
            </w:r>
          </w:p>
        </w:tc>
        <w:tc>
          <w:tcPr>
            <w:tcW w:w="3937" w:type="dxa"/>
            <w:noWrap/>
            <w:vAlign w:val="center"/>
          </w:tcPr>
          <w:p>
            <w:pPr>
              <w:spacing w:before="72" w:beforeLines="30" w:after="72" w:afterLines="30"/>
              <w:jc w:val="center"/>
              <w:rPr>
                <w:color w:val="000000"/>
              </w:rPr>
            </w:pPr>
            <w:r>
              <w:rPr>
                <w:color w:val="000000"/>
              </w:rPr>
              <w:t>Ⅳ</w:t>
            </w:r>
          </w:p>
        </w:tc>
        <w:tc>
          <w:tcPr>
            <w:tcW w:w="3136" w:type="dxa"/>
            <w:noWrap/>
            <w:tcMar>
              <w:left w:w="28" w:type="dxa"/>
              <w:right w:w="28" w:type="dxa"/>
            </w:tcMar>
            <w:vAlign w:val="center"/>
          </w:tcPr>
          <w:p>
            <w:pPr>
              <w:spacing w:before="72" w:beforeLines="30" w:after="72" w:afterLines="30"/>
              <w:jc w:val="center"/>
              <w:rPr>
                <w:color w:val="000000"/>
              </w:rPr>
            </w:pPr>
            <w:r>
              <w:rPr>
                <w:color w:val="000000"/>
              </w:rPr>
              <w:t>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961" w:type="dxa"/>
            <w:gridSpan w:val="2"/>
            <w:noWrap/>
            <w:vAlign w:val="center"/>
          </w:tcPr>
          <w:p>
            <w:pPr>
              <w:spacing w:before="72" w:beforeLines="30" w:after="72" w:afterLines="30"/>
              <w:jc w:val="center"/>
              <w:rPr>
                <w:color w:val="000000"/>
              </w:rPr>
            </w:pPr>
            <w:r>
              <w:rPr>
                <w:color w:val="000000"/>
              </w:rPr>
              <w:t>围岩定性描述</w:t>
            </w:r>
          </w:p>
        </w:tc>
        <w:tc>
          <w:tcPr>
            <w:tcW w:w="3894" w:type="dxa"/>
            <w:noWrap/>
            <w:vAlign w:val="center"/>
          </w:tcPr>
          <w:p>
            <w:pPr>
              <w:spacing w:before="72" w:beforeLines="30" w:after="72" w:afterLines="30"/>
              <w:rPr>
                <w:color w:val="000000"/>
              </w:rPr>
            </w:pPr>
            <w:r>
              <w:rPr>
                <w:color w:val="000000"/>
              </w:rPr>
              <w:t>弱风化夹较多微风化泥质砂岩、粉细砂岩、石英砂岩等，岩石总体较软，裂隙发育，裂面多数张开～微张，一般充填钙质，少充填铁质，裂面风化，岩体完整性较差～稍好，呈块状结构，沿断层有水渗流，张开裂隙有渗水或滴水。</w:t>
            </w:r>
          </w:p>
        </w:tc>
        <w:tc>
          <w:tcPr>
            <w:tcW w:w="3937" w:type="dxa"/>
            <w:noWrap/>
            <w:vAlign w:val="center"/>
          </w:tcPr>
          <w:p>
            <w:pPr>
              <w:spacing w:before="72" w:beforeLines="30" w:after="72" w:afterLines="30"/>
              <w:rPr>
                <w:color w:val="000000"/>
              </w:rPr>
            </w:pPr>
            <w:r>
              <w:rPr>
                <w:color w:val="000000"/>
              </w:rPr>
              <w:t>弱风化为主，夹少量强风化，岩体完整性差，裂隙十分发育～密集，且断层较发育，断层带内裂隙亦发育，裂面大部分张开，充填铁质，裂面风化强烈，岩体较软～软，呈碎裂至层状结构，沿断裂面有流水和渗水和滴水。</w:t>
            </w:r>
          </w:p>
        </w:tc>
        <w:tc>
          <w:tcPr>
            <w:tcW w:w="3136" w:type="dxa"/>
            <w:noWrap/>
            <w:tcMar>
              <w:left w:w="28" w:type="dxa"/>
              <w:right w:w="28" w:type="dxa"/>
            </w:tcMar>
            <w:vAlign w:val="center"/>
          </w:tcPr>
          <w:p>
            <w:pPr>
              <w:spacing w:before="72" w:beforeLines="30" w:after="72" w:afterLines="30"/>
              <w:rPr>
                <w:color w:val="000000"/>
              </w:rPr>
            </w:pPr>
            <w:r>
              <w:rPr>
                <w:color w:val="000000"/>
              </w:rPr>
              <w:t>强、全风化，断层破碎带，岩石破碎，为散体结构，裂隙十分发育到密集，裂面张开充填泥质或铁质，断层发育，断层破碎带呈全风化状，泥化严重，沿断裂面有流水、渗水和滴水。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719" w:type="dxa"/>
            <w:vMerge w:val="restart"/>
            <w:noWrap/>
            <w:vAlign w:val="center"/>
          </w:tcPr>
          <w:p>
            <w:pPr>
              <w:spacing w:before="72" w:beforeLines="30" w:after="72" w:afterLines="30"/>
              <w:jc w:val="center"/>
              <w:rPr>
                <w:color w:val="000000"/>
              </w:rPr>
            </w:pPr>
            <w:r>
              <w:rPr>
                <w:color w:val="000000"/>
              </w:rPr>
              <w:t>岩体</w:t>
            </w:r>
          </w:p>
          <w:p>
            <w:pPr>
              <w:spacing w:before="72" w:beforeLines="30" w:after="72" w:afterLines="30"/>
              <w:jc w:val="center"/>
              <w:rPr>
                <w:color w:val="000000"/>
              </w:rPr>
            </w:pPr>
            <w:r>
              <w:rPr>
                <w:color w:val="000000"/>
              </w:rPr>
              <w:t>完整性</w:t>
            </w:r>
          </w:p>
        </w:tc>
        <w:tc>
          <w:tcPr>
            <w:tcW w:w="2242" w:type="dxa"/>
            <w:noWrap/>
            <w:vAlign w:val="center"/>
          </w:tcPr>
          <w:p>
            <w:pPr>
              <w:spacing w:before="72" w:beforeLines="30" w:after="72" w:afterLines="30"/>
              <w:jc w:val="center"/>
              <w:rPr>
                <w:color w:val="000000"/>
              </w:rPr>
            </w:pPr>
            <w:r>
              <w:rPr>
                <w:color w:val="000000"/>
              </w:rPr>
              <w:t>裂隙发育组数</w:t>
            </w:r>
          </w:p>
        </w:tc>
        <w:tc>
          <w:tcPr>
            <w:tcW w:w="3894" w:type="dxa"/>
            <w:noWrap/>
            <w:vAlign w:val="center"/>
          </w:tcPr>
          <w:p>
            <w:pPr>
              <w:adjustRightInd w:val="0"/>
              <w:snapToGrid w:val="0"/>
              <w:spacing w:before="72" w:beforeLines="30" w:after="72" w:afterLines="30"/>
              <w:jc w:val="center"/>
              <w:rPr>
                <w:color w:val="000000"/>
              </w:rPr>
            </w:pPr>
            <w:r>
              <w:rPr>
                <w:color w:val="000000"/>
              </w:rPr>
              <w:t>≥3组</w:t>
            </w:r>
          </w:p>
        </w:tc>
        <w:tc>
          <w:tcPr>
            <w:tcW w:w="3937" w:type="dxa"/>
            <w:noWrap/>
            <w:vAlign w:val="center"/>
          </w:tcPr>
          <w:p>
            <w:pPr>
              <w:spacing w:before="72" w:beforeLines="30" w:after="72" w:afterLines="30"/>
              <w:jc w:val="center"/>
              <w:rPr>
                <w:color w:val="000000"/>
              </w:rPr>
            </w:pPr>
          </w:p>
        </w:tc>
        <w:tc>
          <w:tcPr>
            <w:tcW w:w="3136" w:type="dxa"/>
            <w:noWrap/>
            <w:tcMar>
              <w:left w:w="28" w:type="dxa"/>
              <w:right w:w="28" w:type="dxa"/>
            </w:tcMar>
            <w:vAlign w:val="center"/>
          </w:tcPr>
          <w:p>
            <w:pPr>
              <w:spacing w:before="72" w:beforeLines="30" w:after="72" w:afterLines="30"/>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719" w:type="dxa"/>
            <w:vMerge w:val="continue"/>
            <w:noWrap/>
            <w:vAlign w:val="center"/>
          </w:tcPr>
          <w:p>
            <w:pPr>
              <w:spacing w:before="72" w:beforeLines="30" w:after="72" w:afterLines="30"/>
              <w:jc w:val="center"/>
              <w:rPr>
                <w:color w:val="000000"/>
              </w:rPr>
            </w:pPr>
          </w:p>
        </w:tc>
        <w:tc>
          <w:tcPr>
            <w:tcW w:w="2242" w:type="dxa"/>
            <w:noWrap/>
            <w:vAlign w:val="center"/>
          </w:tcPr>
          <w:p>
            <w:pPr>
              <w:spacing w:before="72" w:beforeLines="30" w:after="72" w:afterLines="30"/>
              <w:jc w:val="center"/>
              <w:rPr>
                <w:color w:val="000000"/>
              </w:rPr>
            </w:pPr>
            <w:r>
              <w:rPr>
                <w:color w:val="000000"/>
              </w:rPr>
              <w:t>裂隙发育频率(条/m)</w:t>
            </w:r>
          </w:p>
        </w:tc>
        <w:tc>
          <w:tcPr>
            <w:tcW w:w="3894" w:type="dxa"/>
            <w:noWrap/>
            <w:vAlign w:val="center"/>
          </w:tcPr>
          <w:p>
            <w:pPr>
              <w:adjustRightInd w:val="0"/>
              <w:snapToGrid w:val="0"/>
              <w:spacing w:before="72" w:beforeLines="30" w:after="72" w:afterLines="30"/>
              <w:jc w:val="center"/>
              <w:rPr>
                <w:color w:val="000000"/>
              </w:rPr>
            </w:pPr>
            <w:r>
              <w:rPr>
                <w:color w:val="000000"/>
              </w:rPr>
              <w:t>≥5</w:t>
            </w:r>
          </w:p>
        </w:tc>
        <w:tc>
          <w:tcPr>
            <w:tcW w:w="3937" w:type="dxa"/>
            <w:noWrap/>
            <w:vAlign w:val="center"/>
          </w:tcPr>
          <w:p>
            <w:pPr>
              <w:spacing w:before="72" w:beforeLines="30" w:after="72" w:afterLines="30"/>
              <w:jc w:val="center"/>
              <w:rPr>
                <w:color w:val="000000"/>
              </w:rPr>
            </w:pPr>
          </w:p>
        </w:tc>
        <w:tc>
          <w:tcPr>
            <w:tcW w:w="3136" w:type="dxa"/>
            <w:noWrap/>
            <w:tcMar>
              <w:left w:w="28" w:type="dxa"/>
              <w:right w:w="28" w:type="dxa"/>
            </w:tcMar>
            <w:vAlign w:val="center"/>
          </w:tcPr>
          <w:p>
            <w:pPr>
              <w:spacing w:before="72" w:beforeLines="30" w:after="72" w:afterLines="30"/>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719" w:type="dxa"/>
            <w:vMerge w:val="continue"/>
            <w:noWrap/>
            <w:vAlign w:val="center"/>
          </w:tcPr>
          <w:p>
            <w:pPr>
              <w:spacing w:before="72" w:beforeLines="30" w:after="72" w:afterLines="30"/>
              <w:jc w:val="center"/>
              <w:rPr>
                <w:color w:val="000000"/>
              </w:rPr>
            </w:pPr>
          </w:p>
        </w:tc>
        <w:tc>
          <w:tcPr>
            <w:tcW w:w="2242" w:type="dxa"/>
            <w:noWrap/>
            <w:vAlign w:val="center"/>
          </w:tcPr>
          <w:p>
            <w:pPr>
              <w:spacing w:before="72" w:beforeLines="30" w:after="72" w:afterLines="30"/>
              <w:jc w:val="center"/>
              <w:rPr>
                <w:color w:val="000000"/>
              </w:rPr>
            </w:pPr>
            <w:r>
              <w:rPr>
                <w:color w:val="000000"/>
              </w:rPr>
              <w:t>岩体质量指标RQD (%)</w:t>
            </w:r>
          </w:p>
        </w:tc>
        <w:tc>
          <w:tcPr>
            <w:tcW w:w="3894" w:type="dxa"/>
            <w:noWrap/>
            <w:vAlign w:val="center"/>
          </w:tcPr>
          <w:p>
            <w:pPr>
              <w:adjustRightInd w:val="0"/>
              <w:snapToGrid w:val="0"/>
              <w:spacing w:before="72" w:beforeLines="30" w:after="72" w:afterLines="30"/>
              <w:jc w:val="center"/>
              <w:rPr>
                <w:color w:val="000000"/>
              </w:rPr>
            </w:pPr>
            <w:r>
              <w:rPr>
                <w:color w:val="000000"/>
              </w:rPr>
              <w:t>60～20</w:t>
            </w:r>
          </w:p>
        </w:tc>
        <w:tc>
          <w:tcPr>
            <w:tcW w:w="3937" w:type="dxa"/>
            <w:noWrap/>
            <w:vAlign w:val="center"/>
          </w:tcPr>
          <w:p>
            <w:pPr>
              <w:spacing w:before="72" w:beforeLines="30" w:after="72" w:afterLines="30"/>
              <w:jc w:val="center"/>
              <w:rPr>
                <w:color w:val="000000"/>
              </w:rPr>
            </w:pPr>
          </w:p>
        </w:tc>
        <w:tc>
          <w:tcPr>
            <w:tcW w:w="3136" w:type="dxa"/>
            <w:noWrap/>
            <w:tcMar>
              <w:left w:w="28" w:type="dxa"/>
              <w:right w:w="28" w:type="dxa"/>
            </w:tcMar>
            <w:vAlign w:val="center"/>
          </w:tcPr>
          <w:p>
            <w:pPr>
              <w:spacing w:before="72" w:beforeLines="30" w:after="72" w:afterLines="30"/>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961" w:type="dxa"/>
            <w:gridSpan w:val="2"/>
            <w:noWrap/>
            <w:vAlign w:val="center"/>
          </w:tcPr>
          <w:p>
            <w:pPr>
              <w:spacing w:before="72" w:beforeLines="30" w:after="72" w:afterLines="30"/>
              <w:jc w:val="center"/>
              <w:rPr>
                <w:color w:val="000000"/>
              </w:rPr>
            </w:pPr>
            <w:r>
              <w:rPr>
                <w:color w:val="000000"/>
              </w:rPr>
              <w:t>完整性评价</w:t>
            </w:r>
          </w:p>
        </w:tc>
        <w:tc>
          <w:tcPr>
            <w:tcW w:w="3894" w:type="dxa"/>
            <w:noWrap/>
            <w:vAlign w:val="center"/>
          </w:tcPr>
          <w:p>
            <w:pPr>
              <w:adjustRightInd w:val="0"/>
              <w:snapToGrid w:val="0"/>
              <w:spacing w:before="72" w:beforeLines="30" w:after="72" w:afterLines="30"/>
              <w:jc w:val="center"/>
              <w:rPr>
                <w:color w:val="000000"/>
              </w:rPr>
            </w:pPr>
            <w:r>
              <w:rPr>
                <w:color w:val="000000"/>
              </w:rPr>
              <w:t>完整性差～较破碎</w:t>
            </w:r>
          </w:p>
        </w:tc>
        <w:tc>
          <w:tcPr>
            <w:tcW w:w="3937" w:type="dxa"/>
            <w:noWrap/>
            <w:vAlign w:val="center"/>
          </w:tcPr>
          <w:p>
            <w:pPr>
              <w:spacing w:before="72" w:beforeLines="30" w:after="72" w:afterLines="30"/>
              <w:jc w:val="center"/>
              <w:rPr>
                <w:color w:val="000000"/>
              </w:rPr>
            </w:pPr>
          </w:p>
        </w:tc>
        <w:tc>
          <w:tcPr>
            <w:tcW w:w="3136" w:type="dxa"/>
            <w:noWrap/>
            <w:tcMar>
              <w:left w:w="28" w:type="dxa"/>
              <w:right w:w="28" w:type="dxa"/>
            </w:tcMar>
            <w:vAlign w:val="center"/>
          </w:tcPr>
          <w:p>
            <w:pPr>
              <w:spacing w:before="72" w:beforeLines="30" w:after="72" w:afterLines="30"/>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719" w:type="dxa"/>
            <w:vMerge w:val="restart"/>
            <w:noWrap/>
            <w:vAlign w:val="center"/>
          </w:tcPr>
          <w:p>
            <w:pPr>
              <w:spacing w:before="72" w:beforeLines="30" w:after="72" w:afterLines="30"/>
              <w:jc w:val="center"/>
              <w:rPr>
                <w:color w:val="000000"/>
              </w:rPr>
            </w:pPr>
            <w:r>
              <w:rPr>
                <w:color w:val="000000"/>
              </w:rPr>
              <w:t>岩体</w:t>
            </w:r>
          </w:p>
          <w:p>
            <w:pPr>
              <w:spacing w:before="72" w:beforeLines="30" w:after="72" w:afterLines="30"/>
              <w:jc w:val="center"/>
              <w:rPr>
                <w:color w:val="000000"/>
              </w:rPr>
            </w:pPr>
            <w:r>
              <w:rPr>
                <w:color w:val="000000"/>
              </w:rPr>
              <w:t>物理</w:t>
            </w:r>
          </w:p>
          <w:p>
            <w:pPr>
              <w:spacing w:before="72" w:beforeLines="30" w:after="72" w:afterLines="30"/>
              <w:jc w:val="center"/>
              <w:rPr>
                <w:color w:val="000000"/>
              </w:rPr>
            </w:pPr>
            <w:r>
              <w:rPr>
                <w:color w:val="000000"/>
              </w:rPr>
              <w:t>力学</w:t>
            </w:r>
          </w:p>
          <w:p>
            <w:pPr>
              <w:spacing w:before="72" w:beforeLines="30" w:after="72" w:afterLines="30"/>
              <w:jc w:val="center"/>
              <w:rPr>
                <w:color w:val="000000"/>
              </w:rPr>
            </w:pPr>
            <w:r>
              <w:rPr>
                <w:color w:val="000000"/>
              </w:rPr>
              <w:t>参数</w:t>
            </w:r>
          </w:p>
        </w:tc>
        <w:tc>
          <w:tcPr>
            <w:tcW w:w="2242" w:type="dxa"/>
            <w:noWrap/>
            <w:vAlign w:val="center"/>
          </w:tcPr>
          <w:p>
            <w:pPr>
              <w:spacing w:before="72" w:beforeLines="30" w:after="72" w:afterLines="30"/>
              <w:jc w:val="center"/>
              <w:rPr>
                <w:color w:val="000000"/>
              </w:rPr>
            </w:pPr>
            <w:r>
              <w:rPr>
                <w:color w:val="000000"/>
              </w:rPr>
              <w:t>饱和容重γ  (g/cm</w:t>
            </w:r>
            <w:r>
              <w:rPr>
                <w:color w:val="000000"/>
                <w:vertAlign w:val="superscript"/>
              </w:rPr>
              <w:t>3</w:t>
            </w:r>
            <w:r>
              <w:rPr>
                <w:color w:val="000000"/>
              </w:rPr>
              <w:t>)</w:t>
            </w:r>
          </w:p>
        </w:tc>
        <w:tc>
          <w:tcPr>
            <w:tcW w:w="3894" w:type="dxa"/>
            <w:noWrap/>
            <w:vAlign w:val="center"/>
          </w:tcPr>
          <w:p>
            <w:pPr>
              <w:adjustRightInd w:val="0"/>
              <w:snapToGrid w:val="0"/>
              <w:spacing w:before="72" w:beforeLines="30" w:after="72" w:afterLines="30"/>
              <w:jc w:val="center"/>
              <w:rPr>
                <w:color w:val="000000"/>
              </w:rPr>
            </w:pPr>
            <w:r>
              <w:rPr>
                <w:color w:val="000000"/>
              </w:rPr>
              <w:t>2.6</w:t>
            </w:r>
          </w:p>
        </w:tc>
        <w:tc>
          <w:tcPr>
            <w:tcW w:w="3937" w:type="dxa"/>
            <w:noWrap/>
            <w:vAlign w:val="center"/>
          </w:tcPr>
          <w:p>
            <w:pPr>
              <w:spacing w:before="72" w:beforeLines="30" w:after="72" w:afterLines="30"/>
              <w:jc w:val="center"/>
              <w:rPr>
                <w:color w:val="000000"/>
              </w:rPr>
            </w:pPr>
          </w:p>
        </w:tc>
        <w:tc>
          <w:tcPr>
            <w:tcW w:w="3136" w:type="dxa"/>
            <w:noWrap/>
            <w:tcMar>
              <w:left w:w="28" w:type="dxa"/>
              <w:right w:w="28" w:type="dxa"/>
            </w:tcMar>
            <w:vAlign w:val="center"/>
          </w:tcPr>
          <w:p>
            <w:pPr>
              <w:spacing w:before="72" w:beforeLines="30" w:after="72" w:afterLines="30"/>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719" w:type="dxa"/>
            <w:vMerge w:val="continue"/>
            <w:noWrap/>
            <w:vAlign w:val="center"/>
          </w:tcPr>
          <w:p>
            <w:pPr>
              <w:spacing w:before="72" w:beforeLines="30" w:after="72" w:afterLines="30"/>
              <w:jc w:val="center"/>
              <w:rPr>
                <w:color w:val="000000"/>
              </w:rPr>
            </w:pPr>
          </w:p>
        </w:tc>
        <w:tc>
          <w:tcPr>
            <w:tcW w:w="2242" w:type="dxa"/>
            <w:noWrap/>
            <w:vAlign w:val="center"/>
          </w:tcPr>
          <w:p>
            <w:pPr>
              <w:spacing w:before="72" w:beforeLines="30" w:after="72" w:afterLines="30"/>
              <w:jc w:val="center"/>
              <w:rPr>
                <w:color w:val="000000"/>
              </w:rPr>
            </w:pPr>
            <w:r>
              <w:rPr>
                <w:color w:val="000000"/>
              </w:rPr>
              <w:t>弹性模量E  (GPa)</w:t>
            </w:r>
          </w:p>
        </w:tc>
        <w:tc>
          <w:tcPr>
            <w:tcW w:w="3894" w:type="dxa"/>
            <w:noWrap/>
            <w:vAlign w:val="center"/>
          </w:tcPr>
          <w:p>
            <w:pPr>
              <w:adjustRightInd w:val="0"/>
              <w:snapToGrid w:val="0"/>
              <w:spacing w:before="72" w:beforeLines="30" w:after="72" w:afterLines="30"/>
              <w:jc w:val="center"/>
              <w:rPr>
                <w:color w:val="000000"/>
              </w:rPr>
            </w:pPr>
            <w:r>
              <w:rPr>
                <w:color w:val="000000"/>
              </w:rPr>
              <w:t>2～4</w:t>
            </w:r>
          </w:p>
        </w:tc>
        <w:tc>
          <w:tcPr>
            <w:tcW w:w="3937" w:type="dxa"/>
            <w:noWrap/>
            <w:vAlign w:val="center"/>
          </w:tcPr>
          <w:p>
            <w:pPr>
              <w:spacing w:before="72" w:beforeLines="30" w:after="72" w:afterLines="30"/>
              <w:jc w:val="center"/>
              <w:rPr>
                <w:color w:val="000000"/>
              </w:rPr>
            </w:pPr>
          </w:p>
        </w:tc>
        <w:tc>
          <w:tcPr>
            <w:tcW w:w="3136" w:type="dxa"/>
            <w:noWrap/>
            <w:tcMar>
              <w:left w:w="28" w:type="dxa"/>
              <w:right w:w="28" w:type="dxa"/>
            </w:tcMar>
            <w:vAlign w:val="center"/>
          </w:tcPr>
          <w:p>
            <w:pPr>
              <w:spacing w:before="72" w:beforeLines="30" w:after="72" w:afterLines="30"/>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719" w:type="dxa"/>
            <w:vMerge w:val="continue"/>
            <w:noWrap/>
            <w:vAlign w:val="center"/>
          </w:tcPr>
          <w:p>
            <w:pPr>
              <w:spacing w:before="72" w:beforeLines="30" w:after="72" w:afterLines="30"/>
              <w:jc w:val="center"/>
              <w:rPr>
                <w:color w:val="000000"/>
              </w:rPr>
            </w:pPr>
          </w:p>
        </w:tc>
        <w:tc>
          <w:tcPr>
            <w:tcW w:w="2242" w:type="dxa"/>
            <w:noWrap/>
            <w:vAlign w:val="center"/>
          </w:tcPr>
          <w:p>
            <w:pPr>
              <w:spacing w:before="72" w:beforeLines="30" w:after="72" w:afterLines="30"/>
              <w:jc w:val="center"/>
              <w:rPr>
                <w:color w:val="000000"/>
              </w:rPr>
            </w:pPr>
            <w:r>
              <w:rPr>
                <w:color w:val="000000"/>
              </w:rPr>
              <w:t>变形模量E</w:t>
            </w:r>
            <w:r>
              <w:rPr>
                <w:color w:val="000000"/>
                <w:vertAlign w:val="subscript"/>
              </w:rPr>
              <w:t xml:space="preserve">O  </w:t>
            </w:r>
            <w:r>
              <w:rPr>
                <w:color w:val="000000"/>
              </w:rPr>
              <w:t>(GPa)</w:t>
            </w:r>
          </w:p>
        </w:tc>
        <w:tc>
          <w:tcPr>
            <w:tcW w:w="3894" w:type="dxa"/>
            <w:noWrap/>
            <w:vAlign w:val="center"/>
          </w:tcPr>
          <w:p>
            <w:pPr>
              <w:adjustRightInd w:val="0"/>
              <w:snapToGrid w:val="0"/>
              <w:spacing w:before="72" w:beforeLines="30" w:after="72" w:afterLines="30"/>
              <w:jc w:val="center"/>
              <w:rPr>
                <w:color w:val="000000"/>
              </w:rPr>
            </w:pPr>
            <w:r>
              <w:rPr>
                <w:color w:val="000000"/>
              </w:rPr>
              <w:t>0.5～1</w:t>
            </w:r>
          </w:p>
        </w:tc>
        <w:tc>
          <w:tcPr>
            <w:tcW w:w="3937" w:type="dxa"/>
            <w:noWrap/>
            <w:vAlign w:val="center"/>
          </w:tcPr>
          <w:p>
            <w:pPr>
              <w:spacing w:before="72" w:beforeLines="30" w:after="72" w:afterLines="30"/>
              <w:jc w:val="center"/>
              <w:rPr>
                <w:color w:val="000000"/>
              </w:rPr>
            </w:pPr>
          </w:p>
        </w:tc>
        <w:tc>
          <w:tcPr>
            <w:tcW w:w="3136" w:type="dxa"/>
            <w:noWrap/>
            <w:tcMar>
              <w:left w:w="28" w:type="dxa"/>
              <w:right w:w="28" w:type="dxa"/>
            </w:tcMar>
            <w:vAlign w:val="center"/>
          </w:tcPr>
          <w:p>
            <w:pPr>
              <w:spacing w:before="72" w:beforeLines="30" w:after="72" w:afterLines="30"/>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719" w:type="dxa"/>
            <w:vMerge w:val="continue"/>
            <w:noWrap/>
            <w:vAlign w:val="center"/>
          </w:tcPr>
          <w:p>
            <w:pPr>
              <w:spacing w:before="72" w:beforeLines="30" w:after="72" w:afterLines="30"/>
              <w:jc w:val="center"/>
              <w:rPr>
                <w:color w:val="000000"/>
              </w:rPr>
            </w:pPr>
          </w:p>
        </w:tc>
        <w:tc>
          <w:tcPr>
            <w:tcW w:w="2242" w:type="dxa"/>
            <w:noWrap/>
            <w:vAlign w:val="center"/>
          </w:tcPr>
          <w:p>
            <w:pPr>
              <w:spacing w:before="72" w:beforeLines="30" w:after="72" w:afterLines="30"/>
              <w:jc w:val="center"/>
              <w:rPr>
                <w:color w:val="000000"/>
              </w:rPr>
            </w:pPr>
            <w:r>
              <w:rPr>
                <w:color w:val="000000"/>
              </w:rPr>
              <w:t>泊松比  μ</w:t>
            </w:r>
          </w:p>
        </w:tc>
        <w:tc>
          <w:tcPr>
            <w:tcW w:w="3894" w:type="dxa"/>
            <w:noWrap/>
            <w:vAlign w:val="center"/>
          </w:tcPr>
          <w:p>
            <w:pPr>
              <w:adjustRightInd w:val="0"/>
              <w:snapToGrid w:val="0"/>
              <w:spacing w:before="72" w:beforeLines="30" w:after="72" w:afterLines="30"/>
              <w:jc w:val="center"/>
              <w:rPr>
                <w:color w:val="000000"/>
              </w:rPr>
            </w:pPr>
            <w:r>
              <w:rPr>
                <w:color w:val="000000"/>
              </w:rPr>
              <w:t>0.30</w:t>
            </w:r>
          </w:p>
        </w:tc>
        <w:tc>
          <w:tcPr>
            <w:tcW w:w="3937" w:type="dxa"/>
            <w:noWrap/>
            <w:vAlign w:val="center"/>
          </w:tcPr>
          <w:p>
            <w:pPr>
              <w:spacing w:before="72" w:beforeLines="30" w:after="72" w:afterLines="30"/>
              <w:jc w:val="center"/>
              <w:rPr>
                <w:color w:val="000000"/>
              </w:rPr>
            </w:pPr>
          </w:p>
        </w:tc>
        <w:tc>
          <w:tcPr>
            <w:tcW w:w="3136" w:type="dxa"/>
            <w:noWrap/>
            <w:tcMar>
              <w:left w:w="28" w:type="dxa"/>
              <w:right w:w="28" w:type="dxa"/>
            </w:tcMar>
            <w:vAlign w:val="center"/>
          </w:tcPr>
          <w:p>
            <w:pPr>
              <w:spacing w:before="72" w:beforeLines="30" w:after="72" w:afterLines="30"/>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719" w:type="dxa"/>
            <w:vMerge w:val="continue"/>
            <w:noWrap/>
            <w:vAlign w:val="center"/>
          </w:tcPr>
          <w:p>
            <w:pPr>
              <w:spacing w:before="72" w:beforeLines="30" w:after="72" w:afterLines="30"/>
              <w:jc w:val="center"/>
              <w:rPr>
                <w:color w:val="000000"/>
              </w:rPr>
            </w:pPr>
          </w:p>
        </w:tc>
        <w:tc>
          <w:tcPr>
            <w:tcW w:w="2242" w:type="dxa"/>
            <w:noWrap/>
            <w:vAlign w:val="center"/>
          </w:tcPr>
          <w:p>
            <w:pPr>
              <w:spacing w:before="72" w:beforeLines="30" w:after="72" w:afterLines="30"/>
              <w:jc w:val="center"/>
              <w:rPr>
                <w:color w:val="000000"/>
              </w:rPr>
            </w:pPr>
            <w:r>
              <w:rPr>
                <w:color w:val="000000"/>
              </w:rPr>
              <w:t>饱和单轴抗压强度</w:t>
            </w:r>
          </w:p>
          <w:p>
            <w:pPr>
              <w:spacing w:before="72" w:beforeLines="30" w:after="72" w:afterLines="30"/>
              <w:jc w:val="center"/>
              <w:rPr>
                <w:color w:val="000000"/>
              </w:rPr>
            </w:pPr>
            <w:r>
              <w:rPr>
                <w:color w:val="000000"/>
              </w:rPr>
              <w:t>标准值(MPa)</w:t>
            </w:r>
          </w:p>
        </w:tc>
        <w:tc>
          <w:tcPr>
            <w:tcW w:w="3894" w:type="dxa"/>
            <w:noWrap/>
            <w:vAlign w:val="center"/>
          </w:tcPr>
          <w:p>
            <w:pPr>
              <w:adjustRightInd w:val="0"/>
              <w:snapToGrid w:val="0"/>
              <w:spacing w:before="72" w:beforeLines="30" w:after="72" w:afterLines="30"/>
              <w:jc w:val="center"/>
              <w:rPr>
                <w:color w:val="000000"/>
              </w:rPr>
            </w:pPr>
            <w:r>
              <w:rPr>
                <w:color w:val="000000"/>
              </w:rPr>
              <w:t>80～100</w:t>
            </w:r>
          </w:p>
        </w:tc>
        <w:tc>
          <w:tcPr>
            <w:tcW w:w="3937" w:type="dxa"/>
            <w:noWrap/>
            <w:vAlign w:val="center"/>
          </w:tcPr>
          <w:p>
            <w:pPr>
              <w:spacing w:before="72" w:beforeLines="30" w:after="72" w:afterLines="30"/>
              <w:jc w:val="center"/>
              <w:rPr>
                <w:color w:val="000000"/>
              </w:rPr>
            </w:pPr>
            <w:r>
              <w:rPr>
                <w:color w:val="000000"/>
              </w:rPr>
              <w:t>30～50</w:t>
            </w:r>
          </w:p>
        </w:tc>
        <w:tc>
          <w:tcPr>
            <w:tcW w:w="3136" w:type="dxa"/>
            <w:noWrap/>
            <w:tcMar>
              <w:left w:w="28" w:type="dxa"/>
              <w:right w:w="28" w:type="dxa"/>
            </w:tcMar>
            <w:vAlign w:val="center"/>
          </w:tcPr>
          <w:p>
            <w:pPr>
              <w:spacing w:before="72" w:beforeLines="30" w:after="72" w:afterLines="30"/>
              <w:jc w:val="cente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2961" w:type="dxa"/>
            <w:gridSpan w:val="2"/>
            <w:noWrap/>
            <w:vAlign w:val="center"/>
          </w:tcPr>
          <w:p>
            <w:pPr>
              <w:spacing w:before="72" w:beforeLines="30" w:after="72" w:afterLines="30"/>
              <w:jc w:val="center"/>
              <w:rPr>
                <w:color w:val="000000"/>
              </w:rPr>
            </w:pPr>
            <w:r>
              <w:rPr>
                <w:color w:val="000000"/>
              </w:rPr>
              <w:t>围岩稳定性评价</w:t>
            </w:r>
          </w:p>
        </w:tc>
        <w:tc>
          <w:tcPr>
            <w:tcW w:w="3894" w:type="dxa"/>
            <w:noWrap/>
            <w:vAlign w:val="center"/>
          </w:tcPr>
          <w:p>
            <w:pPr>
              <w:spacing w:before="72" w:beforeLines="30" w:after="72" w:afterLines="30"/>
              <w:jc w:val="center"/>
              <w:rPr>
                <w:color w:val="000000"/>
              </w:rPr>
            </w:pPr>
            <w:r>
              <w:rPr>
                <w:color w:val="000000"/>
              </w:rPr>
              <w:t>局部产生塑性变形，不支护可能产生塌方和变形破坏</w:t>
            </w:r>
          </w:p>
        </w:tc>
        <w:tc>
          <w:tcPr>
            <w:tcW w:w="3937" w:type="dxa"/>
            <w:noWrap/>
            <w:vAlign w:val="center"/>
          </w:tcPr>
          <w:p>
            <w:pPr>
              <w:spacing w:before="72" w:beforeLines="30" w:after="72" w:afterLines="30"/>
              <w:jc w:val="center"/>
              <w:rPr>
                <w:color w:val="000000"/>
              </w:rPr>
            </w:pPr>
            <w:r>
              <w:rPr>
                <w:color w:val="000000"/>
              </w:rPr>
              <w:t>围岩自稳时间很短，规模较大的变形和破坏都可能发生</w:t>
            </w:r>
          </w:p>
        </w:tc>
        <w:tc>
          <w:tcPr>
            <w:tcW w:w="3136" w:type="dxa"/>
            <w:noWrap/>
            <w:tcMar>
              <w:left w:w="28" w:type="dxa"/>
              <w:right w:w="28" w:type="dxa"/>
            </w:tcMar>
            <w:vAlign w:val="center"/>
          </w:tcPr>
          <w:p>
            <w:pPr>
              <w:spacing w:before="72" w:beforeLines="30" w:after="72" w:afterLines="30"/>
              <w:jc w:val="center"/>
              <w:rPr>
                <w:color w:val="000000"/>
              </w:rPr>
            </w:pPr>
            <w:r>
              <w:rPr>
                <w:color w:val="000000"/>
              </w:rPr>
              <w:t>围岩不能自稳，变形破坏严重</w:t>
            </w:r>
          </w:p>
        </w:tc>
      </w:tr>
    </w:tbl>
    <w:p>
      <w:pPr>
        <w:pStyle w:val="21"/>
        <w:overflowPunct w:val="0"/>
        <w:spacing w:line="500" w:lineRule="atLeast"/>
        <w:ind w:firstLine="480" w:firstLineChars="200"/>
        <w:rPr>
          <w:color w:val="000000"/>
          <w:sz w:val="24"/>
          <w:szCs w:val="24"/>
        </w:rPr>
        <w:sectPr>
          <w:pgSz w:w="16838" w:h="11906" w:orient="landscape"/>
          <w:pgMar w:top="1418" w:right="1440" w:bottom="1418" w:left="1440" w:header="851" w:footer="992" w:gutter="0"/>
          <w:cols w:space="720" w:num="1"/>
          <w:docGrid w:linePitch="326" w:charSpace="0"/>
        </w:sectPr>
      </w:pPr>
    </w:p>
    <w:p>
      <w:pPr>
        <w:pStyle w:val="1005"/>
        <w:rPr>
          <w:rFonts w:cs="Times New Roman"/>
          <w:color w:val="000000"/>
        </w:rPr>
      </w:pPr>
      <w:r>
        <w:rPr>
          <w:rFonts w:cs="Times New Roman"/>
          <w:color w:val="000000"/>
        </w:rPr>
        <w:t>表</w:t>
      </w:r>
      <w:r>
        <w:rPr>
          <w:rFonts w:cs="Times New Roman"/>
          <w:b/>
          <w:color w:val="000000"/>
        </w:rPr>
        <w:t>1.1.2-</w:t>
      </w:r>
      <w:r>
        <w:rPr>
          <w:rFonts w:hint="eastAsia" w:cs="Times New Roman"/>
          <w:b/>
          <w:color w:val="000000"/>
        </w:rPr>
        <w:t>7</w:t>
      </w:r>
      <w:r>
        <w:rPr>
          <w:rFonts w:cs="Times New Roman"/>
          <w:b/>
          <w:color w:val="000000"/>
        </w:rPr>
        <w:t xml:space="preserve">  </w:t>
      </w:r>
      <w:r>
        <w:rPr>
          <w:rFonts w:cs="Times New Roman"/>
          <w:color w:val="000000"/>
        </w:rPr>
        <w:t>开挖边坡坡比建议值表</w:t>
      </w:r>
    </w:p>
    <w:tbl>
      <w:tblPr>
        <w:tblStyle w:val="8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962"/>
        <w:gridCol w:w="1551"/>
        <w:gridCol w:w="1199"/>
        <w:gridCol w:w="1422"/>
        <w:gridCol w:w="1367"/>
        <w:gridCol w:w="1312"/>
        <w:gridCol w:w="13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Merge w:val="restart"/>
            <w:vAlign w:val="center"/>
          </w:tcPr>
          <w:p>
            <w:pPr>
              <w:jc w:val="center"/>
              <w:rPr>
                <w:color w:val="000000"/>
                <w:szCs w:val="18"/>
              </w:rPr>
            </w:pPr>
            <w:r>
              <w:rPr>
                <w:color w:val="000000"/>
                <w:szCs w:val="18"/>
              </w:rPr>
              <w:t>岩土层</w:t>
            </w:r>
          </w:p>
          <w:p>
            <w:pPr>
              <w:jc w:val="center"/>
              <w:rPr>
                <w:color w:val="000000"/>
                <w:szCs w:val="18"/>
              </w:rPr>
            </w:pPr>
            <w:r>
              <w:rPr>
                <w:color w:val="000000"/>
                <w:szCs w:val="18"/>
              </w:rPr>
              <w:t>编号</w:t>
            </w:r>
          </w:p>
        </w:tc>
        <w:tc>
          <w:tcPr>
            <w:tcW w:w="850" w:type="pct"/>
            <w:vMerge w:val="restart"/>
            <w:vAlign w:val="center"/>
          </w:tcPr>
          <w:p>
            <w:pPr>
              <w:jc w:val="center"/>
              <w:rPr>
                <w:color w:val="000000"/>
                <w:szCs w:val="18"/>
              </w:rPr>
            </w:pPr>
            <w:r>
              <w:rPr>
                <w:color w:val="000000"/>
                <w:szCs w:val="18"/>
              </w:rPr>
              <w:t>名称</w:t>
            </w:r>
          </w:p>
        </w:tc>
        <w:tc>
          <w:tcPr>
            <w:tcW w:w="657" w:type="pct"/>
            <w:vMerge w:val="restart"/>
            <w:vAlign w:val="center"/>
          </w:tcPr>
          <w:p>
            <w:pPr>
              <w:jc w:val="center"/>
              <w:rPr>
                <w:color w:val="000000"/>
                <w:szCs w:val="18"/>
              </w:rPr>
            </w:pPr>
            <w:r>
              <w:rPr>
                <w:color w:val="000000"/>
                <w:szCs w:val="18"/>
              </w:rPr>
              <w:t>状态</w:t>
            </w:r>
          </w:p>
        </w:tc>
        <w:tc>
          <w:tcPr>
            <w:tcW w:w="1528" w:type="pct"/>
            <w:gridSpan w:val="2"/>
            <w:vAlign w:val="center"/>
          </w:tcPr>
          <w:p>
            <w:pPr>
              <w:jc w:val="center"/>
              <w:rPr>
                <w:color w:val="000000"/>
                <w:szCs w:val="18"/>
              </w:rPr>
            </w:pPr>
            <w:r>
              <w:rPr>
                <w:color w:val="000000"/>
                <w:szCs w:val="18"/>
              </w:rPr>
              <w:t>建议临时开挖边坡</w:t>
            </w:r>
          </w:p>
        </w:tc>
        <w:tc>
          <w:tcPr>
            <w:tcW w:w="1439" w:type="pct"/>
            <w:gridSpan w:val="2"/>
            <w:vAlign w:val="center"/>
          </w:tcPr>
          <w:p>
            <w:pPr>
              <w:jc w:val="center"/>
              <w:rPr>
                <w:color w:val="000000"/>
                <w:szCs w:val="18"/>
              </w:rPr>
            </w:pPr>
            <w:r>
              <w:rPr>
                <w:color w:val="000000"/>
                <w:szCs w:val="18"/>
              </w:rPr>
              <w:t>建议永久边坡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Merge w:val="continue"/>
            <w:vAlign w:val="center"/>
          </w:tcPr>
          <w:p>
            <w:pPr>
              <w:jc w:val="center"/>
              <w:rPr>
                <w:b/>
                <w:color w:val="000000"/>
                <w:kern w:val="44"/>
                <w:szCs w:val="18"/>
              </w:rPr>
            </w:pPr>
          </w:p>
        </w:tc>
        <w:tc>
          <w:tcPr>
            <w:tcW w:w="850" w:type="pct"/>
            <w:vMerge w:val="continue"/>
            <w:vAlign w:val="center"/>
          </w:tcPr>
          <w:p>
            <w:pPr>
              <w:jc w:val="center"/>
              <w:rPr>
                <w:b/>
                <w:color w:val="000000"/>
                <w:kern w:val="44"/>
                <w:szCs w:val="18"/>
              </w:rPr>
            </w:pPr>
          </w:p>
        </w:tc>
        <w:tc>
          <w:tcPr>
            <w:tcW w:w="657" w:type="pct"/>
            <w:vMerge w:val="continue"/>
            <w:vAlign w:val="center"/>
          </w:tcPr>
          <w:p>
            <w:pPr>
              <w:jc w:val="center"/>
              <w:rPr>
                <w:b/>
                <w:color w:val="000000"/>
                <w:kern w:val="44"/>
                <w:szCs w:val="18"/>
              </w:rPr>
            </w:pPr>
          </w:p>
        </w:tc>
        <w:tc>
          <w:tcPr>
            <w:tcW w:w="779" w:type="pct"/>
            <w:vAlign w:val="center"/>
          </w:tcPr>
          <w:p>
            <w:pPr>
              <w:jc w:val="center"/>
              <w:rPr>
                <w:color w:val="000000"/>
                <w:szCs w:val="18"/>
              </w:rPr>
            </w:pPr>
            <w:r>
              <w:rPr>
                <w:color w:val="000000"/>
                <w:szCs w:val="18"/>
              </w:rPr>
              <w:t>水上</w:t>
            </w:r>
          </w:p>
        </w:tc>
        <w:tc>
          <w:tcPr>
            <w:tcW w:w="749" w:type="pct"/>
            <w:vAlign w:val="center"/>
          </w:tcPr>
          <w:p>
            <w:pPr>
              <w:jc w:val="center"/>
              <w:rPr>
                <w:color w:val="000000"/>
                <w:szCs w:val="18"/>
              </w:rPr>
            </w:pPr>
            <w:r>
              <w:rPr>
                <w:color w:val="000000"/>
                <w:szCs w:val="18"/>
              </w:rPr>
              <w:t>水下</w:t>
            </w:r>
          </w:p>
        </w:tc>
        <w:tc>
          <w:tcPr>
            <w:tcW w:w="719" w:type="pct"/>
            <w:vAlign w:val="center"/>
          </w:tcPr>
          <w:p>
            <w:pPr>
              <w:jc w:val="center"/>
              <w:rPr>
                <w:color w:val="000000"/>
                <w:szCs w:val="18"/>
              </w:rPr>
            </w:pPr>
            <w:r>
              <w:rPr>
                <w:color w:val="000000"/>
                <w:szCs w:val="18"/>
              </w:rPr>
              <w:t>水上</w:t>
            </w:r>
          </w:p>
        </w:tc>
        <w:tc>
          <w:tcPr>
            <w:tcW w:w="720" w:type="pct"/>
            <w:vAlign w:val="center"/>
          </w:tcPr>
          <w:p>
            <w:pPr>
              <w:jc w:val="center"/>
              <w:rPr>
                <w:color w:val="000000"/>
                <w:szCs w:val="18"/>
              </w:rPr>
            </w:pPr>
            <w:r>
              <w:rPr>
                <w:color w:val="000000"/>
                <w:szCs w:val="18"/>
              </w:rPr>
              <w:t>水下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Align w:val="center"/>
          </w:tcPr>
          <w:p>
            <w:pPr>
              <w:jc w:val="center"/>
              <w:rPr>
                <w:bCs/>
                <w:color w:val="000000"/>
                <w:kern w:val="44"/>
                <w:szCs w:val="18"/>
              </w:rPr>
            </w:pPr>
            <w:r>
              <w:rPr>
                <w:rFonts w:hint="eastAsia" w:ascii="宋体" w:hAnsi="宋体" w:cs="宋体"/>
                <w:bCs/>
                <w:color w:val="000000"/>
                <w:kern w:val="44"/>
                <w:szCs w:val="18"/>
              </w:rPr>
              <w:t>①</w:t>
            </w:r>
          </w:p>
        </w:tc>
        <w:tc>
          <w:tcPr>
            <w:tcW w:w="850" w:type="pct"/>
            <w:vAlign w:val="center"/>
          </w:tcPr>
          <w:p>
            <w:pPr>
              <w:jc w:val="center"/>
              <w:rPr>
                <w:bCs/>
                <w:color w:val="000000"/>
                <w:kern w:val="44"/>
                <w:szCs w:val="18"/>
              </w:rPr>
            </w:pPr>
            <w:r>
              <w:rPr>
                <w:bCs/>
                <w:color w:val="000000"/>
                <w:kern w:val="44"/>
                <w:szCs w:val="18"/>
              </w:rPr>
              <w:t>人工填土</w:t>
            </w:r>
          </w:p>
        </w:tc>
        <w:tc>
          <w:tcPr>
            <w:tcW w:w="657" w:type="pct"/>
            <w:vAlign w:val="center"/>
          </w:tcPr>
          <w:p>
            <w:pPr>
              <w:jc w:val="center"/>
              <w:rPr>
                <w:bCs/>
                <w:color w:val="000000"/>
                <w:kern w:val="44"/>
                <w:szCs w:val="18"/>
              </w:rPr>
            </w:pPr>
            <w:r>
              <w:rPr>
                <w:bCs/>
                <w:color w:val="000000"/>
                <w:kern w:val="44"/>
                <w:szCs w:val="18"/>
              </w:rPr>
              <w:t>欠压实</w:t>
            </w:r>
          </w:p>
        </w:tc>
        <w:tc>
          <w:tcPr>
            <w:tcW w:w="779" w:type="pct"/>
            <w:vAlign w:val="center"/>
          </w:tcPr>
          <w:p>
            <w:pPr>
              <w:widowControl/>
              <w:adjustRightInd w:val="0"/>
              <w:snapToGrid w:val="0"/>
              <w:jc w:val="center"/>
              <w:rPr>
                <w:bCs/>
                <w:color w:val="000000"/>
                <w:szCs w:val="18"/>
              </w:rPr>
            </w:pPr>
            <w:r>
              <w:rPr>
                <w:color w:val="000000"/>
                <w:szCs w:val="18"/>
              </w:rPr>
              <w:t>1:1.25～1:1.5</w:t>
            </w:r>
          </w:p>
        </w:tc>
        <w:tc>
          <w:tcPr>
            <w:tcW w:w="749" w:type="pct"/>
            <w:vAlign w:val="center"/>
          </w:tcPr>
          <w:p>
            <w:pPr>
              <w:widowControl/>
              <w:adjustRightInd w:val="0"/>
              <w:snapToGrid w:val="0"/>
              <w:jc w:val="center"/>
              <w:rPr>
                <w:bCs/>
                <w:color w:val="000000"/>
                <w:szCs w:val="18"/>
              </w:rPr>
            </w:pPr>
            <w:r>
              <w:rPr>
                <w:color w:val="000000"/>
                <w:szCs w:val="18"/>
              </w:rPr>
              <w:t>1:1.5～1:1.75</w:t>
            </w:r>
          </w:p>
        </w:tc>
        <w:tc>
          <w:tcPr>
            <w:tcW w:w="719" w:type="pct"/>
            <w:vAlign w:val="center"/>
          </w:tcPr>
          <w:p>
            <w:pPr>
              <w:widowControl/>
              <w:adjustRightInd w:val="0"/>
              <w:snapToGrid w:val="0"/>
              <w:jc w:val="center"/>
              <w:rPr>
                <w:bCs/>
                <w:color w:val="000000"/>
                <w:szCs w:val="18"/>
              </w:rPr>
            </w:pPr>
            <w:r>
              <w:rPr>
                <w:color w:val="000000"/>
                <w:szCs w:val="18"/>
              </w:rPr>
              <w:t>1:1.5～1:1.75</w:t>
            </w:r>
          </w:p>
        </w:tc>
        <w:tc>
          <w:tcPr>
            <w:tcW w:w="720" w:type="pct"/>
            <w:vAlign w:val="center"/>
          </w:tcPr>
          <w:p>
            <w:pPr>
              <w:widowControl/>
              <w:adjustRightInd w:val="0"/>
              <w:snapToGrid w:val="0"/>
              <w:jc w:val="center"/>
              <w:rPr>
                <w:bCs/>
                <w:color w:val="000000"/>
                <w:szCs w:val="18"/>
              </w:rPr>
            </w:pPr>
            <w:r>
              <w:rPr>
                <w:color w:val="000000"/>
                <w:szCs w:val="18"/>
              </w:rPr>
              <w:t>1:1.75～1:2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Align w:val="center"/>
          </w:tcPr>
          <w:p>
            <w:pPr>
              <w:jc w:val="center"/>
              <w:rPr>
                <w:color w:val="000000"/>
                <w:szCs w:val="18"/>
              </w:rPr>
            </w:pPr>
            <w:r>
              <w:rPr>
                <w:rFonts w:hint="eastAsia" w:ascii="宋体" w:hAnsi="宋体" w:cs="宋体"/>
                <w:color w:val="000000"/>
                <w:szCs w:val="18"/>
              </w:rPr>
              <w:t>②</w:t>
            </w:r>
            <w:r>
              <w:rPr>
                <w:color w:val="000000"/>
                <w:szCs w:val="18"/>
              </w:rPr>
              <w:t>-1</w:t>
            </w:r>
          </w:p>
        </w:tc>
        <w:tc>
          <w:tcPr>
            <w:tcW w:w="850" w:type="pct"/>
            <w:vAlign w:val="center"/>
          </w:tcPr>
          <w:p>
            <w:pPr>
              <w:jc w:val="center"/>
              <w:rPr>
                <w:color w:val="000000"/>
                <w:szCs w:val="18"/>
              </w:rPr>
            </w:pPr>
            <w:r>
              <w:rPr>
                <w:color w:val="000000"/>
                <w:szCs w:val="18"/>
              </w:rPr>
              <w:t>淤泥～</w:t>
            </w:r>
          </w:p>
          <w:p>
            <w:pPr>
              <w:jc w:val="center"/>
              <w:rPr>
                <w:color w:val="000000"/>
                <w:szCs w:val="18"/>
              </w:rPr>
            </w:pPr>
            <w:r>
              <w:rPr>
                <w:color w:val="000000"/>
                <w:szCs w:val="18"/>
              </w:rPr>
              <w:t>淤泥质土</w:t>
            </w:r>
          </w:p>
        </w:tc>
        <w:tc>
          <w:tcPr>
            <w:tcW w:w="657" w:type="pct"/>
            <w:vAlign w:val="center"/>
          </w:tcPr>
          <w:p>
            <w:pPr>
              <w:jc w:val="center"/>
              <w:rPr>
                <w:color w:val="000000"/>
                <w:szCs w:val="18"/>
              </w:rPr>
            </w:pPr>
            <w:r>
              <w:rPr>
                <w:color w:val="000000"/>
                <w:szCs w:val="18"/>
              </w:rPr>
              <w:t>流塑～</w:t>
            </w:r>
          </w:p>
          <w:p>
            <w:pPr>
              <w:jc w:val="center"/>
              <w:rPr>
                <w:color w:val="000000"/>
                <w:szCs w:val="18"/>
              </w:rPr>
            </w:pPr>
            <w:r>
              <w:rPr>
                <w:color w:val="000000"/>
                <w:szCs w:val="18"/>
              </w:rPr>
              <w:t>软塑</w:t>
            </w:r>
          </w:p>
        </w:tc>
        <w:tc>
          <w:tcPr>
            <w:tcW w:w="1528" w:type="pct"/>
            <w:gridSpan w:val="2"/>
            <w:vAlign w:val="center"/>
          </w:tcPr>
          <w:p>
            <w:pPr>
              <w:jc w:val="center"/>
              <w:rPr>
                <w:color w:val="000000"/>
                <w:szCs w:val="18"/>
              </w:rPr>
            </w:pPr>
            <w:r>
              <w:rPr>
                <w:color w:val="000000"/>
                <w:szCs w:val="18"/>
              </w:rPr>
              <w:t>不宜放坡</w:t>
            </w:r>
          </w:p>
        </w:tc>
        <w:tc>
          <w:tcPr>
            <w:tcW w:w="1439" w:type="pct"/>
            <w:gridSpan w:val="2"/>
            <w:vAlign w:val="center"/>
          </w:tcPr>
          <w:p>
            <w:pPr>
              <w:jc w:val="center"/>
              <w:rPr>
                <w:color w:val="000000"/>
                <w:szCs w:val="18"/>
              </w:rPr>
            </w:pPr>
            <w:r>
              <w:rPr>
                <w:color w:val="000000"/>
                <w:szCs w:val="18"/>
              </w:rPr>
              <w:t>不宜放坡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Align w:val="center"/>
          </w:tcPr>
          <w:p>
            <w:pPr>
              <w:jc w:val="center"/>
              <w:rPr>
                <w:color w:val="000000"/>
                <w:szCs w:val="18"/>
              </w:rPr>
            </w:pPr>
            <w:r>
              <w:rPr>
                <w:rFonts w:hint="eastAsia" w:ascii="宋体" w:hAnsi="宋体" w:cs="宋体"/>
                <w:color w:val="000000"/>
                <w:szCs w:val="18"/>
              </w:rPr>
              <w:t>②</w:t>
            </w:r>
            <w:r>
              <w:rPr>
                <w:color w:val="000000"/>
                <w:szCs w:val="18"/>
              </w:rPr>
              <w:t>-2</w:t>
            </w:r>
          </w:p>
          <w:p>
            <w:pPr>
              <w:jc w:val="center"/>
              <w:rPr>
                <w:color w:val="000000"/>
                <w:szCs w:val="18"/>
              </w:rPr>
            </w:pPr>
            <w:r>
              <w:rPr>
                <w:rFonts w:hint="eastAsia" w:ascii="宋体" w:hAnsi="宋体" w:cs="宋体"/>
                <w:color w:val="000000"/>
                <w:szCs w:val="18"/>
              </w:rPr>
              <w:t>②</w:t>
            </w:r>
            <w:r>
              <w:rPr>
                <w:color w:val="000000"/>
                <w:szCs w:val="18"/>
              </w:rPr>
              <w:t xml:space="preserve">  -8</w:t>
            </w:r>
          </w:p>
        </w:tc>
        <w:tc>
          <w:tcPr>
            <w:tcW w:w="850" w:type="pct"/>
            <w:vAlign w:val="center"/>
          </w:tcPr>
          <w:p>
            <w:pPr>
              <w:jc w:val="center"/>
              <w:rPr>
                <w:color w:val="000000"/>
                <w:szCs w:val="18"/>
              </w:rPr>
            </w:pPr>
            <w:r>
              <w:rPr>
                <w:color w:val="000000"/>
                <w:szCs w:val="18"/>
              </w:rPr>
              <w:t>黏性土</w:t>
            </w:r>
          </w:p>
        </w:tc>
        <w:tc>
          <w:tcPr>
            <w:tcW w:w="657" w:type="pct"/>
            <w:vAlign w:val="center"/>
          </w:tcPr>
          <w:p>
            <w:pPr>
              <w:jc w:val="center"/>
              <w:rPr>
                <w:color w:val="000000"/>
                <w:szCs w:val="18"/>
              </w:rPr>
            </w:pPr>
            <w:r>
              <w:rPr>
                <w:color w:val="000000"/>
                <w:szCs w:val="18"/>
              </w:rPr>
              <w:t>可塑</w:t>
            </w:r>
          </w:p>
        </w:tc>
        <w:tc>
          <w:tcPr>
            <w:tcW w:w="779" w:type="pct"/>
            <w:vAlign w:val="center"/>
          </w:tcPr>
          <w:p>
            <w:pPr>
              <w:jc w:val="center"/>
              <w:rPr>
                <w:color w:val="000000"/>
                <w:szCs w:val="18"/>
              </w:rPr>
            </w:pPr>
            <w:r>
              <w:rPr>
                <w:color w:val="000000"/>
                <w:szCs w:val="18"/>
              </w:rPr>
              <w:t>1:1.3～1:1.5</w:t>
            </w:r>
          </w:p>
        </w:tc>
        <w:tc>
          <w:tcPr>
            <w:tcW w:w="749" w:type="pct"/>
            <w:vAlign w:val="center"/>
          </w:tcPr>
          <w:p>
            <w:pPr>
              <w:jc w:val="center"/>
              <w:rPr>
                <w:color w:val="000000"/>
                <w:szCs w:val="18"/>
              </w:rPr>
            </w:pPr>
            <w:r>
              <w:rPr>
                <w:color w:val="000000"/>
                <w:szCs w:val="18"/>
              </w:rPr>
              <w:t>1:1.5～1:1.7</w:t>
            </w:r>
          </w:p>
        </w:tc>
        <w:tc>
          <w:tcPr>
            <w:tcW w:w="719" w:type="pct"/>
            <w:vAlign w:val="center"/>
          </w:tcPr>
          <w:p>
            <w:pPr>
              <w:jc w:val="center"/>
              <w:rPr>
                <w:color w:val="000000"/>
                <w:szCs w:val="18"/>
              </w:rPr>
            </w:pPr>
            <w:r>
              <w:rPr>
                <w:color w:val="000000"/>
                <w:szCs w:val="18"/>
              </w:rPr>
              <w:t>1:1.7～1:2.0</w:t>
            </w:r>
          </w:p>
        </w:tc>
        <w:tc>
          <w:tcPr>
            <w:tcW w:w="720" w:type="pct"/>
            <w:vAlign w:val="center"/>
          </w:tcPr>
          <w:p>
            <w:pPr>
              <w:jc w:val="center"/>
              <w:rPr>
                <w:color w:val="000000"/>
                <w:szCs w:val="18"/>
              </w:rPr>
            </w:pPr>
            <w:r>
              <w:rPr>
                <w:color w:val="000000"/>
                <w:szCs w:val="18"/>
              </w:rPr>
              <w:t>1:2.0～1:2.5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Align w:val="center"/>
          </w:tcPr>
          <w:p>
            <w:pPr>
              <w:jc w:val="center"/>
              <w:rPr>
                <w:color w:val="000000"/>
                <w:szCs w:val="18"/>
              </w:rPr>
            </w:pPr>
            <w:r>
              <w:rPr>
                <w:rFonts w:hint="eastAsia" w:ascii="宋体" w:hAnsi="宋体" w:cs="宋体"/>
                <w:color w:val="000000"/>
                <w:szCs w:val="18"/>
              </w:rPr>
              <w:t>②</w:t>
            </w:r>
            <w:r>
              <w:rPr>
                <w:color w:val="000000"/>
                <w:szCs w:val="18"/>
              </w:rPr>
              <w:t>-3</w:t>
            </w:r>
          </w:p>
          <w:p>
            <w:pPr>
              <w:jc w:val="center"/>
              <w:rPr>
                <w:color w:val="000000"/>
                <w:szCs w:val="18"/>
              </w:rPr>
            </w:pPr>
            <w:r>
              <w:rPr>
                <w:rFonts w:hint="eastAsia" w:ascii="宋体" w:hAnsi="宋体" w:cs="宋体"/>
                <w:color w:val="000000"/>
                <w:szCs w:val="18"/>
              </w:rPr>
              <w:t>②</w:t>
            </w:r>
            <w:r>
              <w:rPr>
                <w:color w:val="000000"/>
                <w:szCs w:val="18"/>
              </w:rPr>
              <w:t xml:space="preserve">  -5</w:t>
            </w:r>
          </w:p>
        </w:tc>
        <w:tc>
          <w:tcPr>
            <w:tcW w:w="850" w:type="pct"/>
            <w:vAlign w:val="center"/>
          </w:tcPr>
          <w:p>
            <w:pPr>
              <w:jc w:val="center"/>
              <w:rPr>
                <w:color w:val="000000"/>
                <w:szCs w:val="18"/>
              </w:rPr>
            </w:pPr>
            <w:r>
              <w:rPr>
                <w:color w:val="000000"/>
                <w:szCs w:val="18"/>
              </w:rPr>
              <w:t>中粗砂</w:t>
            </w:r>
          </w:p>
        </w:tc>
        <w:tc>
          <w:tcPr>
            <w:tcW w:w="657" w:type="pct"/>
            <w:vAlign w:val="center"/>
          </w:tcPr>
          <w:p>
            <w:pPr>
              <w:jc w:val="center"/>
              <w:rPr>
                <w:color w:val="000000"/>
                <w:szCs w:val="18"/>
              </w:rPr>
            </w:pPr>
            <w:r>
              <w:rPr>
                <w:color w:val="000000"/>
                <w:szCs w:val="18"/>
              </w:rPr>
              <w:t>稍密～中密</w:t>
            </w:r>
          </w:p>
        </w:tc>
        <w:tc>
          <w:tcPr>
            <w:tcW w:w="779" w:type="pct"/>
            <w:vAlign w:val="center"/>
          </w:tcPr>
          <w:p>
            <w:pPr>
              <w:jc w:val="center"/>
              <w:rPr>
                <w:color w:val="000000"/>
                <w:szCs w:val="18"/>
              </w:rPr>
            </w:pPr>
            <w:r>
              <w:rPr>
                <w:color w:val="000000"/>
                <w:szCs w:val="18"/>
              </w:rPr>
              <w:t>1:1.5～1:1.7</w:t>
            </w:r>
          </w:p>
        </w:tc>
        <w:tc>
          <w:tcPr>
            <w:tcW w:w="749" w:type="pct"/>
            <w:vAlign w:val="center"/>
          </w:tcPr>
          <w:p>
            <w:pPr>
              <w:jc w:val="center"/>
              <w:rPr>
                <w:color w:val="000000"/>
                <w:szCs w:val="18"/>
              </w:rPr>
            </w:pPr>
            <w:r>
              <w:rPr>
                <w:color w:val="000000"/>
                <w:szCs w:val="18"/>
              </w:rPr>
              <w:t>1:1.7～1:2.0</w:t>
            </w:r>
          </w:p>
        </w:tc>
        <w:tc>
          <w:tcPr>
            <w:tcW w:w="719" w:type="pct"/>
            <w:vAlign w:val="center"/>
          </w:tcPr>
          <w:p>
            <w:pPr>
              <w:jc w:val="center"/>
              <w:rPr>
                <w:color w:val="000000"/>
                <w:szCs w:val="18"/>
              </w:rPr>
            </w:pPr>
            <w:r>
              <w:rPr>
                <w:color w:val="000000"/>
                <w:szCs w:val="18"/>
              </w:rPr>
              <w:t>1:1.7～1:2.0</w:t>
            </w:r>
          </w:p>
        </w:tc>
        <w:tc>
          <w:tcPr>
            <w:tcW w:w="720" w:type="pct"/>
            <w:vAlign w:val="center"/>
          </w:tcPr>
          <w:p>
            <w:pPr>
              <w:jc w:val="center"/>
              <w:rPr>
                <w:color w:val="000000"/>
                <w:szCs w:val="18"/>
              </w:rPr>
            </w:pPr>
            <w:r>
              <w:rPr>
                <w:color w:val="000000"/>
                <w:szCs w:val="18"/>
              </w:rPr>
              <w:t>1:2.0～1:2.5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Align w:val="center"/>
          </w:tcPr>
          <w:p>
            <w:pPr>
              <w:jc w:val="center"/>
              <w:rPr>
                <w:color w:val="000000"/>
                <w:szCs w:val="18"/>
              </w:rPr>
            </w:pPr>
            <w:r>
              <w:rPr>
                <w:rFonts w:hint="eastAsia" w:ascii="宋体" w:hAnsi="宋体" w:cs="宋体"/>
                <w:color w:val="000000"/>
                <w:szCs w:val="18"/>
              </w:rPr>
              <w:t>②</w:t>
            </w:r>
            <w:r>
              <w:rPr>
                <w:color w:val="000000"/>
                <w:szCs w:val="18"/>
              </w:rPr>
              <w:t>-4</w:t>
            </w:r>
          </w:p>
          <w:p>
            <w:pPr>
              <w:jc w:val="center"/>
              <w:rPr>
                <w:color w:val="000000"/>
                <w:szCs w:val="18"/>
              </w:rPr>
            </w:pPr>
            <w:r>
              <w:rPr>
                <w:rFonts w:hint="eastAsia" w:ascii="宋体" w:hAnsi="宋体" w:cs="宋体"/>
                <w:color w:val="000000"/>
                <w:szCs w:val="18"/>
              </w:rPr>
              <w:t>②</w:t>
            </w:r>
            <w:r>
              <w:rPr>
                <w:color w:val="000000"/>
                <w:szCs w:val="18"/>
              </w:rPr>
              <w:t xml:space="preserve">  -6</w:t>
            </w:r>
          </w:p>
        </w:tc>
        <w:tc>
          <w:tcPr>
            <w:tcW w:w="850" w:type="pct"/>
            <w:vAlign w:val="center"/>
          </w:tcPr>
          <w:p>
            <w:pPr>
              <w:jc w:val="center"/>
              <w:rPr>
                <w:b/>
                <w:bCs/>
                <w:color w:val="000000"/>
                <w:szCs w:val="18"/>
              </w:rPr>
            </w:pPr>
            <w:r>
              <w:rPr>
                <w:color w:val="000000"/>
                <w:szCs w:val="18"/>
              </w:rPr>
              <w:t>淤泥质土</w:t>
            </w:r>
          </w:p>
        </w:tc>
        <w:tc>
          <w:tcPr>
            <w:tcW w:w="657" w:type="pct"/>
            <w:vAlign w:val="center"/>
          </w:tcPr>
          <w:p>
            <w:pPr>
              <w:jc w:val="center"/>
              <w:rPr>
                <w:color w:val="000000"/>
                <w:szCs w:val="18"/>
              </w:rPr>
            </w:pPr>
            <w:r>
              <w:rPr>
                <w:color w:val="000000"/>
                <w:szCs w:val="18"/>
              </w:rPr>
              <w:t>软塑</w:t>
            </w:r>
          </w:p>
        </w:tc>
        <w:tc>
          <w:tcPr>
            <w:tcW w:w="1528" w:type="pct"/>
            <w:gridSpan w:val="2"/>
            <w:vAlign w:val="center"/>
          </w:tcPr>
          <w:p>
            <w:pPr>
              <w:pStyle w:val="86"/>
              <w:spacing w:after="0"/>
              <w:ind w:firstLine="0" w:firstLineChars="0"/>
              <w:jc w:val="center"/>
              <w:rPr>
                <w:color w:val="000000"/>
                <w:sz w:val="21"/>
                <w:szCs w:val="18"/>
                <w:lang w:val="en-US"/>
              </w:rPr>
            </w:pPr>
            <w:r>
              <w:rPr>
                <w:color w:val="000000"/>
                <w:sz w:val="21"/>
                <w:szCs w:val="18"/>
                <w:lang w:val="en-US"/>
              </w:rPr>
              <w:t>不宜放坡</w:t>
            </w:r>
          </w:p>
        </w:tc>
        <w:tc>
          <w:tcPr>
            <w:tcW w:w="1439" w:type="pct"/>
            <w:gridSpan w:val="2"/>
            <w:vAlign w:val="center"/>
          </w:tcPr>
          <w:p>
            <w:pPr>
              <w:pStyle w:val="86"/>
              <w:spacing w:after="0"/>
              <w:ind w:firstLine="0" w:firstLineChars="0"/>
              <w:jc w:val="center"/>
              <w:rPr>
                <w:color w:val="000000"/>
                <w:sz w:val="21"/>
                <w:szCs w:val="18"/>
                <w:lang w:val="en-US"/>
              </w:rPr>
            </w:pPr>
            <w:r>
              <w:rPr>
                <w:color w:val="000000"/>
                <w:sz w:val="21"/>
                <w:szCs w:val="18"/>
                <w:lang w:val="en-US"/>
              </w:rPr>
              <w:t>不宜放坡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Align w:val="center"/>
          </w:tcPr>
          <w:p>
            <w:pPr>
              <w:jc w:val="center"/>
              <w:rPr>
                <w:color w:val="000000"/>
                <w:szCs w:val="18"/>
              </w:rPr>
            </w:pPr>
            <w:r>
              <w:rPr>
                <w:rFonts w:hint="eastAsia" w:ascii="宋体" w:hAnsi="宋体" w:cs="宋体"/>
                <w:color w:val="000000"/>
                <w:szCs w:val="18"/>
              </w:rPr>
              <w:t>②</w:t>
            </w:r>
            <w:r>
              <w:rPr>
                <w:color w:val="000000"/>
                <w:szCs w:val="18"/>
              </w:rPr>
              <w:t>-7</w:t>
            </w:r>
          </w:p>
          <w:p>
            <w:pPr>
              <w:jc w:val="center"/>
              <w:rPr>
                <w:color w:val="000000"/>
                <w:szCs w:val="18"/>
              </w:rPr>
            </w:pPr>
            <w:r>
              <w:rPr>
                <w:rFonts w:hint="eastAsia" w:ascii="宋体" w:hAnsi="宋体" w:cs="宋体"/>
                <w:color w:val="000000"/>
                <w:szCs w:val="18"/>
              </w:rPr>
              <w:t>②</w:t>
            </w:r>
            <w:r>
              <w:rPr>
                <w:color w:val="000000"/>
                <w:szCs w:val="18"/>
              </w:rPr>
              <w:t xml:space="preserve">  -9</w:t>
            </w:r>
          </w:p>
        </w:tc>
        <w:tc>
          <w:tcPr>
            <w:tcW w:w="850" w:type="pct"/>
            <w:vAlign w:val="center"/>
          </w:tcPr>
          <w:p>
            <w:pPr>
              <w:jc w:val="center"/>
              <w:rPr>
                <w:color w:val="000000"/>
                <w:szCs w:val="18"/>
              </w:rPr>
            </w:pPr>
            <w:r>
              <w:rPr>
                <w:color w:val="000000"/>
                <w:szCs w:val="18"/>
              </w:rPr>
              <w:t>中粗砂、</w:t>
            </w:r>
          </w:p>
          <w:p>
            <w:pPr>
              <w:jc w:val="center"/>
              <w:rPr>
                <w:color w:val="000000"/>
                <w:szCs w:val="18"/>
              </w:rPr>
            </w:pPr>
            <w:r>
              <w:rPr>
                <w:color w:val="000000"/>
                <w:szCs w:val="18"/>
              </w:rPr>
              <w:t>砂卵砾石</w:t>
            </w:r>
          </w:p>
        </w:tc>
        <w:tc>
          <w:tcPr>
            <w:tcW w:w="657" w:type="pct"/>
            <w:vAlign w:val="center"/>
          </w:tcPr>
          <w:p>
            <w:pPr>
              <w:jc w:val="center"/>
              <w:rPr>
                <w:color w:val="000000"/>
                <w:szCs w:val="18"/>
              </w:rPr>
            </w:pPr>
            <w:r>
              <w:rPr>
                <w:color w:val="000000"/>
                <w:szCs w:val="18"/>
              </w:rPr>
              <w:t>中密～</w:t>
            </w:r>
          </w:p>
          <w:p>
            <w:pPr>
              <w:jc w:val="center"/>
              <w:rPr>
                <w:color w:val="000000"/>
                <w:szCs w:val="18"/>
              </w:rPr>
            </w:pPr>
            <w:r>
              <w:rPr>
                <w:color w:val="000000"/>
                <w:szCs w:val="18"/>
              </w:rPr>
              <w:t>密实</w:t>
            </w:r>
          </w:p>
        </w:tc>
        <w:tc>
          <w:tcPr>
            <w:tcW w:w="779" w:type="pct"/>
            <w:vAlign w:val="center"/>
          </w:tcPr>
          <w:p>
            <w:pPr>
              <w:jc w:val="center"/>
              <w:rPr>
                <w:color w:val="000000"/>
                <w:szCs w:val="18"/>
              </w:rPr>
            </w:pPr>
            <w:r>
              <w:rPr>
                <w:color w:val="000000"/>
                <w:szCs w:val="18"/>
              </w:rPr>
              <w:t>1:1.5～1:1.7</w:t>
            </w:r>
          </w:p>
        </w:tc>
        <w:tc>
          <w:tcPr>
            <w:tcW w:w="749" w:type="pct"/>
            <w:vAlign w:val="center"/>
          </w:tcPr>
          <w:p>
            <w:pPr>
              <w:jc w:val="center"/>
              <w:rPr>
                <w:color w:val="000000"/>
                <w:szCs w:val="18"/>
              </w:rPr>
            </w:pPr>
            <w:r>
              <w:rPr>
                <w:color w:val="000000"/>
                <w:szCs w:val="18"/>
              </w:rPr>
              <w:t>1:1.7～1:2.0</w:t>
            </w:r>
          </w:p>
        </w:tc>
        <w:tc>
          <w:tcPr>
            <w:tcW w:w="719" w:type="pct"/>
            <w:vAlign w:val="center"/>
          </w:tcPr>
          <w:p>
            <w:pPr>
              <w:jc w:val="center"/>
              <w:rPr>
                <w:color w:val="000000"/>
                <w:szCs w:val="18"/>
              </w:rPr>
            </w:pPr>
            <w:r>
              <w:rPr>
                <w:color w:val="000000"/>
                <w:szCs w:val="18"/>
              </w:rPr>
              <w:t>1:1.7～1:2.0</w:t>
            </w:r>
          </w:p>
        </w:tc>
        <w:tc>
          <w:tcPr>
            <w:tcW w:w="720" w:type="pct"/>
            <w:vAlign w:val="center"/>
          </w:tcPr>
          <w:p>
            <w:pPr>
              <w:jc w:val="center"/>
              <w:rPr>
                <w:color w:val="000000"/>
                <w:szCs w:val="18"/>
              </w:rPr>
            </w:pPr>
            <w:r>
              <w:rPr>
                <w:color w:val="000000"/>
                <w:szCs w:val="18"/>
              </w:rPr>
              <w:t>1:2.0～1:2.5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Align w:val="center"/>
          </w:tcPr>
          <w:p>
            <w:pPr>
              <w:jc w:val="center"/>
              <w:rPr>
                <w:color w:val="000000"/>
                <w:szCs w:val="18"/>
              </w:rPr>
            </w:pPr>
            <w:r>
              <w:rPr>
                <w:rFonts w:hint="eastAsia" w:ascii="宋体" w:hAnsi="宋体" w:cs="宋体"/>
                <w:color w:val="000000"/>
                <w:szCs w:val="18"/>
              </w:rPr>
              <w:t>③</w:t>
            </w:r>
            <w:r>
              <w:rPr>
                <w:color w:val="000000"/>
                <w:szCs w:val="18"/>
              </w:rPr>
              <w:t>-1</w:t>
            </w:r>
          </w:p>
        </w:tc>
        <w:tc>
          <w:tcPr>
            <w:tcW w:w="850" w:type="pct"/>
            <w:vAlign w:val="center"/>
          </w:tcPr>
          <w:p>
            <w:pPr>
              <w:jc w:val="center"/>
              <w:rPr>
                <w:color w:val="000000"/>
                <w:szCs w:val="18"/>
              </w:rPr>
            </w:pPr>
            <w:r>
              <w:rPr>
                <w:color w:val="000000"/>
                <w:szCs w:val="18"/>
              </w:rPr>
              <w:t>淤泥～</w:t>
            </w:r>
          </w:p>
          <w:p>
            <w:pPr>
              <w:jc w:val="center"/>
              <w:rPr>
                <w:color w:val="000000"/>
                <w:szCs w:val="18"/>
              </w:rPr>
            </w:pPr>
            <w:r>
              <w:rPr>
                <w:color w:val="000000"/>
                <w:szCs w:val="18"/>
              </w:rPr>
              <w:t>淤泥质土</w:t>
            </w:r>
          </w:p>
        </w:tc>
        <w:tc>
          <w:tcPr>
            <w:tcW w:w="657" w:type="pct"/>
            <w:vAlign w:val="center"/>
          </w:tcPr>
          <w:p>
            <w:pPr>
              <w:jc w:val="center"/>
              <w:rPr>
                <w:color w:val="000000"/>
                <w:szCs w:val="18"/>
              </w:rPr>
            </w:pPr>
            <w:r>
              <w:rPr>
                <w:color w:val="000000"/>
                <w:szCs w:val="18"/>
              </w:rPr>
              <w:t>流塑～</w:t>
            </w:r>
          </w:p>
          <w:p>
            <w:pPr>
              <w:jc w:val="center"/>
              <w:rPr>
                <w:color w:val="000000"/>
                <w:szCs w:val="18"/>
              </w:rPr>
            </w:pPr>
            <w:r>
              <w:rPr>
                <w:color w:val="000000"/>
                <w:szCs w:val="18"/>
              </w:rPr>
              <w:t>软塑</w:t>
            </w:r>
          </w:p>
        </w:tc>
        <w:tc>
          <w:tcPr>
            <w:tcW w:w="1528" w:type="pct"/>
            <w:gridSpan w:val="2"/>
            <w:vAlign w:val="center"/>
          </w:tcPr>
          <w:p>
            <w:pPr>
              <w:jc w:val="center"/>
              <w:rPr>
                <w:color w:val="000000"/>
                <w:szCs w:val="18"/>
              </w:rPr>
            </w:pPr>
            <w:r>
              <w:rPr>
                <w:color w:val="000000"/>
                <w:szCs w:val="18"/>
              </w:rPr>
              <w:t>不宜放坡</w:t>
            </w:r>
          </w:p>
        </w:tc>
        <w:tc>
          <w:tcPr>
            <w:tcW w:w="1439" w:type="pct"/>
            <w:gridSpan w:val="2"/>
            <w:vAlign w:val="center"/>
          </w:tcPr>
          <w:p>
            <w:pPr>
              <w:jc w:val="center"/>
              <w:rPr>
                <w:color w:val="000000"/>
                <w:szCs w:val="18"/>
              </w:rPr>
            </w:pPr>
            <w:r>
              <w:rPr>
                <w:color w:val="000000"/>
                <w:szCs w:val="18"/>
              </w:rPr>
              <w:t>不宜放坡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Align w:val="center"/>
          </w:tcPr>
          <w:p>
            <w:pPr>
              <w:jc w:val="center"/>
              <w:rPr>
                <w:color w:val="000000"/>
                <w:szCs w:val="18"/>
              </w:rPr>
            </w:pPr>
            <w:r>
              <w:rPr>
                <w:rFonts w:hint="eastAsia" w:ascii="宋体" w:hAnsi="宋体" w:cs="宋体"/>
                <w:color w:val="000000"/>
                <w:szCs w:val="18"/>
              </w:rPr>
              <w:t>③</w:t>
            </w:r>
            <w:r>
              <w:rPr>
                <w:color w:val="000000"/>
                <w:szCs w:val="18"/>
              </w:rPr>
              <w:t>-2</w:t>
            </w:r>
          </w:p>
          <w:p>
            <w:pPr>
              <w:jc w:val="center"/>
              <w:rPr>
                <w:color w:val="000000"/>
                <w:szCs w:val="18"/>
              </w:rPr>
            </w:pPr>
            <w:r>
              <w:rPr>
                <w:rFonts w:hint="eastAsia" w:ascii="宋体" w:hAnsi="宋体" w:cs="宋体"/>
                <w:color w:val="000000"/>
                <w:szCs w:val="18"/>
              </w:rPr>
              <w:t>③</w:t>
            </w:r>
            <w:r>
              <w:rPr>
                <w:color w:val="000000"/>
                <w:szCs w:val="18"/>
              </w:rPr>
              <w:t xml:space="preserve">  -4</w:t>
            </w:r>
          </w:p>
          <w:p>
            <w:pPr>
              <w:jc w:val="center"/>
              <w:rPr>
                <w:color w:val="000000"/>
                <w:szCs w:val="18"/>
              </w:rPr>
            </w:pPr>
            <w:r>
              <w:rPr>
                <w:rFonts w:hint="eastAsia" w:ascii="宋体" w:hAnsi="宋体" w:cs="宋体"/>
                <w:color w:val="000000"/>
                <w:szCs w:val="18"/>
              </w:rPr>
              <w:t>③</w:t>
            </w:r>
            <w:r>
              <w:rPr>
                <w:color w:val="000000"/>
                <w:szCs w:val="18"/>
              </w:rPr>
              <w:t xml:space="preserve">  -6</w:t>
            </w:r>
          </w:p>
          <w:p>
            <w:pPr>
              <w:jc w:val="center"/>
              <w:rPr>
                <w:color w:val="000000"/>
                <w:szCs w:val="18"/>
              </w:rPr>
            </w:pPr>
            <w:r>
              <w:rPr>
                <w:rFonts w:hint="eastAsia" w:ascii="宋体" w:hAnsi="宋体" w:cs="宋体"/>
                <w:color w:val="000000"/>
                <w:szCs w:val="18"/>
              </w:rPr>
              <w:t>③</w:t>
            </w:r>
            <w:r>
              <w:rPr>
                <w:color w:val="000000"/>
                <w:szCs w:val="18"/>
              </w:rPr>
              <w:t xml:space="preserve">  -8</w:t>
            </w:r>
          </w:p>
        </w:tc>
        <w:tc>
          <w:tcPr>
            <w:tcW w:w="850" w:type="pct"/>
            <w:vAlign w:val="center"/>
          </w:tcPr>
          <w:p>
            <w:pPr>
              <w:jc w:val="center"/>
              <w:rPr>
                <w:color w:val="000000"/>
                <w:szCs w:val="18"/>
              </w:rPr>
            </w:pPr>
            <w:r>
              <w:rPr>
                <w:color w:val="000000"/>
                <w:szCs w:val="18"/>
              </w:rPr>
              <w:t>黏性土</w:t>
            </w:r>
          </w:p>
        </w:tc>
        <w:tc>
          <w:tcPr>
            <w:tcW w:w="657" w:type="pct"/>
            <w:vAlign w:val="center"/>
          </w:tcPr>
          <w:p>
            <w:pPr>
              <w:jc w:val="center"/>
              <w:rPr>
                <w:color w:val="000000"/>
                <w:szCs w:val="18"/>
              </w:rPr>
            </w:pPr>
            <w:r>
              <w:rPr>
                <w:color w:val="000000"/>
                <w:szCs w:val="18"/>
              </w:rPr>
              <w:t>可塑</w:t>
            </w:r>
          </w:p>
        </w:tc>
        <w:tc>
          <w:tcPr>
            <w:tcW w:w="779" w:type="pct"/>
            <w:vAlign w:val="center"/>
          </w:tcPr>
          <w:p>
            <w:pPr>
              <w:jc w:val="center"/>
              <w:rPr>
                <w:color w:val="000000"/>
                <w:szCs w:val="18"/>
              </w:rPr>
            </w:pPr>
            <w:r>
              <w:rPr>
                <w:color w:val="000000"/>
                <w:szCs w:val="18"/>
              </w:rPr>
              <w:t>1:1.3～1:1.5</w:t>
            </w:r>
          </w:p>
        </w:tc>
        <w:tc>
          <w:tcPr>
            <w:tcW w:w="749" w:type="pct"/>
            <w:vAlign w:val="center"/>
          </w:tcPr>
          <w:p>
            <w:pPr>
              <w:jc w:val="center"/>
              <w:rPr>
                <w:color w:val="000000"/>
                <w:szCs w:val="18"/>
              </w:rPr>
            </w:pPr>
            <w:r>
              <w:rPr>
                <w:color w:val="000000"/>
                <w:szCs w:val="18"/>
              </w:rPr>
              <w:t>1:1.5～1:1.7</w:t>
            </w:r>
          </w:p>
        </w:tc>
        <w:tc>
          <w:tcPr>
            <w:tcW w:w="719" w:type="pct"/>
            <w:vAlign w:val="center"/>
          </w:tcPr>
          <w:p>
            <w:pPr>
              <w:jc w:val="center"/>
              <w:rPr>
                <w:color w:val="000000"/>
                <w:szCs w:val="18"/>
              </w:rPr>
            </w:pPr>
            <w:r>
              <w:rPr>
                <w:color w:val="000000"/>
                <w:szCs w:val="18"/>
              </w:rPr>
              <w:t>1:1.7～1:2.0</w:t>
            </w:r>
          </w:p>
        </w:tc>
        <w:tc>
          <w:tcPr>
            <w:tcW w:w="720" w:type="pct"/>
            <w:vAlign w:val="center"/>
          </w:tcPr>
          <w:p>
            <w:pPr>
              <w:jc w:val="center"/>
              <w:rPr>
                <w:color w:val="000000"/>
                <w:szCs w:val="18"/>
              </w:rPr>
            </w:pPr>
            <w:r>
              <w:rPr>
                <w:color w:val="000000"/>
                <w:szCs w:val="18"/>
              </w:rPr>
              <w:t>1:2.0～1:2.5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Align w:val="center"/>
          </w:tcPr>
          <w:p>
            <w:pPr>
              <w:jc w:val="center"/>
              <w:rPr>
                <w:color w:val="000000"/>
                <w:szCs w:val="18"/>
              </w:rPr>
            </w:pPr>
            <w:r>
              <w:rPr>
                <w:rFonts w:hint="eastAsia" w:ascii="宋体" w:hAnsi="宋体" w:cs="宋体"/>
                <w:color w:val="000000"/>
                <w:szCs w:val="18"/>
              </w:rPr>
              <w:t>③</w:t>
            </w:r>
            <w:r>
              <w:rPr>
                <w:color w:val="000000"/>
                <w:szCs w:val="18"/>
              </w:rPr>
              <w:t>-3</w:t>
            </w:r>
          </w:p>
          <w:p>
            <w:pPr>
              <w:jc w:val="center"/>
              <w:rPr>
                <w:color w:val="000000"/>
                <w:szCs w:val="18"/>
              </w:rPr>
            </w:pPr>
            <w:r>
              <w:rPr>
                <w:rFonts w:hint="eastAsia" w:ascii="宋体" w:hAnsi="宋体" w:cs="宋体"/>
                <w:color w:val="000000"/>
                <w:szCs w:val="18"/>
              </w:rPr>
              <w:t>③</w:t>
            </w:r>
            <w:r>
              <w:rPr>
                <w:color w:val="000000"/>
                <w:szCs w:val="18"/>
              </w:rPr>
              <w:t xml:space="preserve">  -5</w:t>
            </w:r>
          </w:p>
        </w:tc>
        <w:tc>
          <w:tcPr>
            <w:tcW w:w="850" w:type="pct"/>
            <w:vAlign w:val="center"/>
          </w:tcPr>
          <w:p>
            <w:pPr>
              <w:jc w:val="center"/>
              <w:rPr>
                <w:color w:val="000000"/>
                <w:szCs w:val="18"/>
              </w:rPr>
            </w:pPr>
            <w:r>
              <w:rPr>
                <w:color w:val="000000"/>
                <w:szCs w:val="18"/>
              </w:rPr>
              <w:t>中粗砂</w:t>
            </w:r>
          </w:p>
        </w:tc>
        <w:tc>
          <w:tcPr>
            <w:tcW w:w="657" w:type="pct"/>
            <w:vAlign w:val="center"/>
          </w:tcPr>
          <w:p>
            <w:pPr>
              <w:jc w:val="center"/>
              <w:rPr>
                <w:color w:val="000000"/>
                <w:szCs w:val="18"/>
              </w:rPr>
            </w:pPr>
            <w:r>
              <w:rPr>
                <w:color w:val="000000"/>
                <w:szCs w:val="18"/>
              </w:rPr>
              <w:t>稍密～</w:t>
            </w:r>
          </w:p>
          <w:p>
            <w:pPr>
              <w:jc w:val="center"/>
              <w:rPr>
                <w:color w:val="000000"/>
                <w:szCs w:val="18"/>
              </w:rPr>
            </w:pPr>
            <w:r>
              <w:rPr>
                <w:color w:val="000000"/>
                <w:szCs w:val="18"/>
              </w:rPr>
              <w:t>中密</w:t>
            </w:r>
          </w:p>
        </w:tc>
        <w:tc>
          <w:tcPr>
            <w:tcW w:w="779" w:type="pct"/>
            <w:vAlign w:val="center"/>
          </w:tcPr>
          <w:p>
            <w:pPr>
              <w:jc w:val="center"/>
              <w:rPr>
                <w:color w:val="000000"/>
                <w:szCs w:val="18"/>
              </w:rPr>
            </w:pPr>
            <w:r>
              <w:rPr>
                <w:color w:val="000000"/>
                <w:szCs w:val="18"/>
              </w:rPr>
              <w:t>1:1.5～1:1.7</w:t>
            </w:r>
          </w:p>
        </w:tc>
        <w:tc>
          <w:tcPr>
            <w:tcW w:w="749" w:type="pct"/>
            <w:vAlign w:val="center"/>
          </w:tcPr>
          <w:p>
            <w:pPr>
              <w:jc w:val="center"/>
              <w:rPr>
                <w:color w:val="000000"/>
                <w:szCs w:val="18"/>
              </w:rPr>
            </w:pPr>
            <w:r>
              <w:rPr>
                <w:color w:val="000000"/>
                <w:szCs w:val="18"/>
              </w:rPr>
              <w:t>1:1.7～1:2.0</w:t>
            </w:r>
          </w:p>
        </w:tc>
        <w:tc>
          <w:tcPr>
            <w:tcW w:w="719" w:type="pct"/>
            <w:vAlign w:val="center"/>
          </w:tcPr>
          <w:p>
            <w:pPr>
              <w:jc w:val="center"/>
              <w:rPr>
                <w:color w:val="000000"/>
                <w:szCs w:val="18"/>
              </w:rPr>
            </w:pPr>
            <w:r>
              <w:rPr>
                <w:color w:val="000000"/>
                <w:szCs w:val="18"/>
              </w:rPr>
              <w:t>1:1.7～1:2.0</w:t>
            </w:r>
          </w:p>
        </w:tc>
        <w:tc>
          <w:tcPr>
            <w:tcW w:w="720" w:type="pct"/>
            <w:vAlign w:val="center"/>
          </w:tcPr>
          <w:p>
            <w:pPr>
              <w:jc w:val="center"/>
              <w:rPr>
                <w:color w:val="000000"/>
                <w:szCs w:val="18"/>
              </w:rPr>
            </w:pPr>
            <w:r>
              <w:rPr>
                <w:color w:val="000000"/>
                <w:szCs w:val="18"/>
              </w:rPr>
              <w:t>1:2.0～1:2.5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Align w:val="center"/>
          </w:tcPr>
          <w:p>
            <w:pPr>
              <w:jc w:val="center"/>
              <w:rPr>
                <w:color w:val="000000"/>
                <w:szCs w:val="18"/>
              </w:rPr>
            </w:pPr>
            <w:r>
              <w:rPr>
                <w:rFonts w:hint="eastAsia" w:ascii="宋体" w:hAnsi="宋体" w:cs="宋体"/>
                <w:color w:val="000000"/>
                <w:szCs w:val="18"/>
              </w:rPr>
              <w:t>③</w:t>
            </w:r>
            <w:r>
              <w:rPr>
                <w:color w:val="000000"/>
                <w:szCs w:val="18"/>
              </w:rPr>
              <w:t>-7</w:t>
            </w:r>
          </w:p>
        </w:tc>
        <w:tc>
          <w:tcPr>
            <w:tcW w:w="850" w:type="pct"/>
            <w:vAlign w:val="center"/>
          </w:tcPr>
          <w:p>
            <w:pPr>
              <w:jc w:val="center"/>
              <w:rPr>
                <w:color w:val="000000"/>
                <w:szCs w:val="18"/>
              </w:rPr>
            </w:pPr>
            <w:r>
              <w:rPr>
                <w:color w:val="000000"/>
                <w:szCs w:val="18"/>
              </w:rPr>
              <w:t>中粗砂、砾砂</w:t>
            </w:r>
          </w:p>
        </w:tc>
        <w:tc>
          <w:tcPr>
            <w:tcW w:w="657" w:type="pct"/>
            <w:vAlign w:val="center"/>
          </w:tcPr>
          <w:p>
            <w:pPr>
              <w:jc w:val="center"/>
              <w:rPr>
                <w:color w:val="000000"/>
                <w:szCs w:val="18"/>
              </w:rPr>
            </w:pPr>
            <w:r>
              <w:rPr>
                <w:color w:val="000000"/>
                <w:szCs w:val="18"/>
              </w:rPr>
              <w:t>中密～</w:t>
            </w:r>
          </w:p>
          <w:p>
            <w:pPr>
              <w:jc w:val="center"/>
              <w:rPr>
                <w:color w:val="000000"/>
                <w:szCs w:val="18"/>
              </w:rPr>
            </w:pPr>
            <w:r>
              <w:rPr>
                <w:color w:val="000000"/>
                <w:szCs w:val="18"/>
              </w:rPr>
              <w:t>密实</w:t>
            </w:r>
          </w:p>
        </w:tc>
        <w:tc>
          <w:tcPr>
            <w:tcW w:w="779" w:type="pct"/>
            <w:vAlign w:val="center"/>
          </w:tcPr>
          <w:p>
            <w:pPr>
              <w:jc w:val="center"/>
              <w:rPr>
                <w:color w:val="000000"/>
                <w:szCs w:val="18"/>
              </w:rPr>
            </w:pPr>
            <w:r>
              <w:rPr>
                <w:color w:val="000000"/>
                <w:szCs w:val="18"/>
              </w:rPr>
              <w:t>1:1.5～1:1.7</w:t>
            </w:r>
          </w:p>
        </w:tc>
        <w:tc>
          <w:tcPr>
            <w:tcW w:w="749" w:type="pct"/>
            <w:vAlign w:val="center"/>
          </w:tcPr>
          <w:p>
            <w:pPr>
              <w:jc w:val="center"/>
              <w:rPr>
                <w:color w:val="000000"/>
                <w:szCs w:val="18"/>
              </w:rPr>
            </w:pPr>
            <w:r>
              <w:rPr>
                <w:color w:val="000000"/>
                <w:szCs w:val="18"/>
              </w:rPr>
              <w:t>1:1.7～1:2.0</w:t>
            </w:r>
          </w:p>
        </w:tc>
        <w:tc>
          <w:tcPr>
            <w:tcW w:w="719" w:type="pct"/>
            <w:vAlign w:val="center"/>
          </w:tcPr>
          <w:p>
            <w:pPr>
              <w:jc w:val="center"/>
              <w:rPr>
                <w:color w:val="000000"/>
                <w:szCs w:val="18"/>
              </w:rPr>
            </w:pPr>
            <w:r>
              <w:rPr>
                <w:color w:val="000000"/>
                <w:szCs w:val="18"/>
              </w:rPr>
              <w:t>1:1.7～1:2.0</w:t>
            </w:r>
          </w:p>
        </w:tc>
        <w:tc>
          <w:tcPr>
            <w:tcW w:w="720" w:type="pct"/>
            <w:vAlign w:val="center"/>
          </w:tcPr>
          <w:p>
            <w:pPr>
              <w:jc w:val="center"/>
              <w:rPr>
                <w:color w:val="000000"/>
                <w:szCs w:val="18"/>
              </w:rPr>
            </w:pPr>
            <w:r>
              <w:rPr>
                <w:color w:val="000000"/>
                <w:szCs w:val="18"/>
              </w:rPr>
              <w:t>1:2.0～1:2.5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Align w:val="center"/>
          </w:tcPr>
          <w:p>
            <w:pPr>
              <w:jc w:val="center"/>
              <w:rPr>
                <w:color w:val="000000"/>
                <w:szCs w:val="18"/>
              </w:rPr>
            </w:pPr>
            <w:r>
              <w:rPr>
                <w:rFonts w:hint="eastAsia" w:ascii="宋体" w:hAnsi="宋体" w:cs="宋体"/>
                <w:color w:val="000000"/>
                <w:szCs w:val="18"/>
              </w:rPr>
              <w:t>④</w:t>
            </w:r>
            <w:r>
              <w:rPr>
                <w:color w:val="000000"/>
                <w:szCs w:val="18"/>
              </w:rPr>
              <w:t>、(Ⅴ)</w:t>
            </w:r>
          </w:p>
        </w:tc>
        <w:tc>
          <w:tcPr>
            <w:tcW w:w="850" w:type="pct"/>
            <w:vAlign w:val="center"/>
          </w:tcPr>
          <w:p>
            <w:pPr>
              <w:jc w:val="center"/>
              <w:rPr>
                <w:color w:val="000000"/>
                <w:szCs w:val="18"/>
              </w:rPr>
            </w:pPr>
            <w:r>
              <w:rPr>
                <w:color w:val="000000"/>
                <w:szCs w:val="18"/>
              </w:rPr>
              <w:t>坡积黏土、</w:t>
            </w:r>
          </w:p>
          <w:p>
            <w:pPr>
              <w:jc w:val="center"/>
              <w:rPr>
                <w:color w:val="000000"/>
                <w:szCs w:val="18"/>
              </w:rPr>
            </w:pPr>
            <w:r>
              <w:rPr>
                <w:color w:val="000000"/>
                <w:szCs w:val="18"/>
              </w:rPr>
              <w:t>碎石土</w:t>
            </w:r>
          </w:p>
          <w:p>
            <w:pPr>
              <w:jc w:val="center"/>
              <w:rPr>
                <w:color w:val="000000"/>
                <w:szCs w:val="18"/>
              </w:rPr>
            </w:pPr>
            <w:r>
              <w:rPr>
                <w:color w:val="000000"/>
                <w:szCs w:val="18"/>
              </w:rPr>
              <w:t>全风化岩</w:t>
            </w:r>
          </w:p>
        </w:tc>
        <w:tc>
          <w:tcPr>
            <w:tcW w:w="657" w:type="pct"/>
            <w:vAlign w:val="center"/>
          </w:tcPr>
          <w:p>
            <w:pPr>
              <w:jc w:val="center"/>
              <w:rPr>
                <w:color w:val="000000"/>
                <w:szCs w:val="18"/>
              </w:rPr>
            </w:pPr>
            <w:r>
              <w:rPr>
                <w:color w:val="000000"/>
                <w:szCs w:val="18"/>
              </w:rPr>
              <w:t>硬塑～</w:t>
            </w:r>
          </w:p>
          <w:p>
            <w:pPr>
              <w:jc w:val="center"/>
              <w:rPr>
                <w:color w:val="000000"/>
                <w:szCs w:val="18"/>
              </w:rPr>
            </w:pPr>
            <w:r>
              <w:rPr>
                <w:color w:val="000000"/>
                <w:szCs w:val="18"/>
              </w:rPr>
              <w:t>坚硬</w:t>
            </w:r>
          </w:p>
        </w:tc>
        <w:tc>
          <w:tcPr>
            <w:tcW w:w="779" w:type="pct"/>
            <w:vAlign w:val="center"/>
          </w:tcPr>
          <w:p>
            <w:pPr>
              <w:jc w:val="center"/>
              <w:rPr>
                <w:color w:val="000000"/>
                <w:szCs w:val="18"/>
              </w:rPr>
            </w:pPr>
            <w:r>
              <w:rPr>
                <w:color w:val="000000"/>
                <w:szCs w:val="18"/>
              </w:rPr>
              <w:t>1:1～1:1.25</w:t>
            </w:r>
          </w:p>
        </w:tc>
        <w:tc>
          <w:tcPr>
            <w:tcW w:w="749" w:type="pct"/>
            <w:vAlign w:val="center"/>
          </w:tcPr>
          <w:p>
            <w:pPr>
              <w:jc w:val="center"/>
              <w:rPr>
                <w:color w:val="000000"/>
                <w:szCs w:val="18"/>
              </w:rPr>
            </w:pPr>
            <w:r>
              <w:rPr>
                <w:color w:val="000000"/>
                <w:szCs w:val="18"/>
              </w:rPr>
              <w:t>1:1.25～1:1. 5</w:t>
            </w:r>
          </w:p>
        </w:tc>
        <w:tc>
          <w:tcPr>
            <w:tcW w:w="719" w:type="pct"/>
            <w:vAlign w:val="center"/>
          </w:tcPr>
          <w:p>
            <w:pPr>
              <w:jc w:val="center"/>
              <w:rPr>
                <w:color w:val="000000"/>
                <w:szCs w:val="18"/>
              </w:rPr>
            </w:pPr>
            <w:r>
              <w:rPr>
                <w:color w:val="000000"/>
                <w:szCs w:val="18"/>
              </w:rPr>
              <w:t>1:1.5～1:1.75</w:t>
            </w:r>
          </w:p>
        </w:tc>
        <w:tc>
          <w:tcPr>
            <w:tcW w:w="720" w:type="pct"/>
            <w:vAlign w:val="center"/>
          </w:tcPr>
          <w:p>
            <w:pPr>
              <w:jc w:val="center"/>
              <w:rPr>
                <w:color w:val="000000"/>
                <w:szCs w:val="18"/>
              </w:rPr>
            </w:pPr>
            <w:r>
              <w:rPr>
                <w:color w:val="000000"/>
                <w:szCs w:val="18"/>
              </w:rPr>
              <w:t>1:1.5～1:1.75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Merge w:val="restart"/>
            <w:vAlign w:val="center"/>
          </w:tcPr>
          <w:p>
            <w:pPr>
              <w:jc w:val="center"/>
              <w:rPr>
                <w:color w:val="000000"/>
                <w:szCs w:val="18"/>
              </w:rPr>
            </w:pPr>
            <w:r>
              <w:rPr>
                <w:color w:val="000000"/>
                <w:szCs w:val="18"/>
              </w:rPr>
              <w:t>(Ⅳ)</w:t>
            </w:r>
          </w:p>
        </w:tc>
        <w:tc>
          <w:tcPr>
            <w:tcW w:w="850" w:type="pct"/>
            <w:vAlign w:val="center"/>
          </w:tcPr>
          <w:p>
            <w:pPr>
              <w:jc w:val="center"/>
              <w:rPr>
                <w:color w:val="000000"/>
                <w:szCs w:val="18"/>
              </w:rPr>
            </w:pPr>
            <w:r>
              <w:rPr>
                <w:color w:val="000000"/>
                <w:szCs w:val="18"/>
              </w:rPr>
              <w:t>花岗岩、长石石英砂岩</w:t>
            </w:r>
          </w:p>
        </w:tc>
        <w:tc>
          <w:tcPr>
            <w:tcW w:w="657" w:type="pct"/>
            <w:vMerge w:val="restart"/>
            <w:vAlign w:val="center"/>
          </w:tcPr>
          <w:p>
            <w:pPr>
              <w:jc w:val="center"/>
              <w:rPr>
                <w:color w:val="000000"/>
                <w:szCs w:val="18"/>
              </w:rPr>
            </w:pPr>
            <w:r>
              <w:rPr>
                <w:color w:val="000000"/>
                <w:szCs w:val="18"/>
              </w:rPr>
              <w:t>强风化</w:t>
            </w:r>
          </w:p>
        </w:tc>
        <w:tc>
          <w:tcPr>
            <w:tcW w:w="779" w:type="pct"/>
            <w:vAlign w:val="center"/>
          </w:tcPr>
          <w:p>
            <w:pPr>
              <w:jc w:val="center"/>
              <w:rPr>
                <w:color w:val="000000"/>
                <w:szCs w:val="18"/>
              </w:rPr>
            </w:pPr>
            <w:r>
              <w:rPr>
                <w:color w:val="000000"/>
                <w:szCs w:val="18"/>
              </w:rPr>
              <w:t>1:0.5～1:0.75</w:t>
            </w:r>
          </w:p>
        </w:tc>
        <w:tc>
          <w:tcPr>
            <w:tcW w:w="749" w:type="pct"/>
            <w:vAlign w:val="center"/>
          </w:tcPr>
          <w:p>
            <w:pPr>
              <w:jc w:val="center"/>
              <w:rPr>
                <w:color w:val="000000"/>
                <w:szCs w:val="18"/>
              </w:rPr>
            </w:pPr>
            <w:r>
              <w:rPr>
                <w:color w:val="000000"/>
                <w:szCs w:val="18"/>
              </w:rPr>
              <w:t>1:0.75～1:1</w:t>
            </w:r>
          </w:p>
        </w:tc>
        <w:tc>
          <w:tcPr>
            <w:tcW w:w="719" w:type="pct"/>
            <w:vAlign w:val="center"/>
          </w:tcPr>
          <w:p>
            <w:pPr>
              <w:jc w:val="center"/>
              <w:rPr>
                <w:color w:val="000000"/>
                <w:szCs w:val="18"/>
              </w:rPr>
            </w:pPr>
            <w:r>
              <w:rPr>
                <w:color w:val="000000"/>
                <w:szCs w:val="18"/>
              </w:rPr>
              <w:t>1:0.75～1:1</w:t>
            </w:r>
          </w:p>
        </w:tc>
        <w:tc>
          <w:tcPr>
            <w:tcW w:w="720" w:type="pct"/>
            <w:vAlign w:val="center"/>
          </w:tcPr>
          <w:p>
            <w:pPr>
              <w:jc w:val="center"/>
              <w:rPr>
                <w:color w:val="000000"/>
                <w:szCs w:val="18"/>
              </w:rPr>
            </w:pPr>
            <w:r>
              <w:rPr>
                <w:color w:val="000000"/>
                <w:szCs w:val="18"/>
              </w:rPr>
              <w:t>1:1.0～1:1.1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Merge w:val="continue"/>
            <w:vAlign w:val="center"/>
          </w:tcPr>
          <w:p>
            <w:pPr>
              <w:jc w:val="center"/>
              <w:rPr>
                <w:color w:val="000000"/>
                <w:szCs w:val="18"/>
              </w:rPr>
            </w:pPr>
          </w:p>
        </w:tc>
        <w:tc>
          <w:tcPr>
            <w:tcW w:w="850" w:type="pct"/>
            <w:vAlign w:val="center"/>
          </w:tcPr>
          <w:p>
            <w:pPr>
              <w:jc w:val="center"/>
              <w:rPr>
                <w:color w:val="000000"/>
                <w:szCs w:val="18"/>
              </w:rPr>
            </w:pPr>
            <w:r>
              <w:rPr>
                <w:color w:val="000000"/>
                <w:szCs w:val="18"/>
              </w:rPr>
              <w:t>泥质粉砂岩</w:t>
            </w:r>
          </w:p>
        </w:tc>
        <w:tc>
          <w:tcPr>
            <w:tcW w:w="657" w:type="pct"/>
            <w:vMerge w:val="continue"/>
            <w:vAlign w:val="center"/>
          </w:tcPr>
          <w:p>
            <w:pPr>
              <w:jc w:val="center"/>
              <w:rPr>
                <w:color w:val="000000"/>
                <w:szCs w:val="18"/>
              </w:rPr>
            </w:pPr>
          </w:p>
        </w:tc>
        <w:tc>
          <w:tcPr>
            <w:tcW w:w="779" w:type="pct"/>
            <w:vAlign w:val="center"/>
          </w:tcPr>
          <w:p>
            <w:pPr>
              <w:jc w:val="center"/>
              <w:rPr>
                <w:color w:val="000000"/>
                <w:szCs w:val="18"/>
              </w:rPr>
            </w:pPr>
            <w:r>
              <w:rPr>
                <w:color w:val="000000"/>
                <w:szCs w:val="18"/>
              </w:rPr>
              <w:t>1:0.75～1:0.85</w:t>
            </w:r>
          </w:p>
        </w:tc>
        <w:tc>
          <w:tcPr>
            <w:tcW w:w="749" w:type="pct"/>
            <w:vAlign w:val="center"/>
          </w:tcPr>
          <w:p>
            <w:pPr>
              <w:jc w:val="center"/>
              <w:rPr>
                <w:color w:val="000000"/>
                <w:szCs w:val="18"/>
              </w:rPr>
            </w:pPr>
            <w:r>
              <w:rPr>
                <w:color w:val="000000"/>
                <w:szCs w:val="18"/>
              </w:rPr>
              <w:t>1:0.85～1:1</w:t>
            </w:r>
          </w:p>
        </w:tc>
        <w:tc>
          <w:tcPr>
            <w:tcW w:w="719" w:type="pct"/>
            <w:vAlign w:val="center"/>
          </w:tcPr>
          <w:p>
            <w:pPr>
              <w:jc w:val="center"/>
              <w:rPr>
                <w:color w:val="000000"/>
                <w:szCs w:val="18"/>
              </w:rPr>
            </w:pPr>
            <w:r>
              <w:rPr>
                <w:color w:val="000000"/>
                <w:szCs w:val="18"/>
              </w:rPr>
              <w:t>1:0.85～1:1</w:t>
            </w:r>
          </w:p>
        </w:tc>
        <w:tc>
          <w:tcPr>
            <w:tcW w:w="720" w:type="pct"/>
            <w:vAlign w:val="center"/>
          </w:tcPr>
          <w:p>
            <w:pPr>
              <w:jc w:val="center"/>
              <w:rPr>
                <w:color w:val="000000"/>
                <w:szCs w:val="18"/>
              </w:rPr>
            </w:pPr>
            <w:r>
              <w:rPr>
                <w:color w:val="000000"/>
                <w:szCs w:val="18"/>
              </w:rPr>
              <w:t>1:1～1:1.25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Merge w:val="restart"/>
            <w:vAlign w:val="center"/>
          </w:tcPr>
          <w:p>
            <w:pPr>
              <w:jc w:val="center"/>
              <w:rPr>
                <w:color w:val="000000"/>
                <w:szCs w:val="18"/>
              </w:rPr>
            </w:pPr>
            <w:r>
              <w:rPr>
                <w:color w:val="000000"/>
                <w:szCs w:val="18"/>
              </w:rPr>
              <w:t>(Ⅲ)</w:t>
            </w:r>
          </w:p>
        </w:tc>
        <w:tc>
          <w:tcPr>
            <w:tcW w:w="850" w:type="pct"/>
            <w:vAlign w:val="center"/>
          </w:tcPr>
          <w:p>
            <w:pPr>
              <w:jc w:val="center"/>
              <w:rPr>
                <w:color w:val="000000"/>
                <w:szCs w:val="18"/>
              </w:rPr>
            </w:pPr>
            <w:r>
              <w:rPr>
                <w:color w:val="000000"/>
                <w:szCs w:val="18"/>
              </w:rPr>
              <w:t>花岗岩、长石石英砂岩</w:t>
            </w:r>
          </w:p>
        </w:tc>
        <w:tc>
          <w:tcPr>
            <w:tcW w:w="657" w:type="pct"/>
            <w:vMerge w:val="restart"/>
            <w:vAlign w:val="center"/>
          </w:tcPr>
          <w:p>
            <w:pPr>
              <w:jc w:val="center"/>
              <w:rPr>
                <w:color w:val="000000"/>
                <w:szCs w:val="18"/>
              </w:rPr>
            </w:pPr>
            <w:r>
              <w:rPr>
                <w:color w:val="000000"/>
                <w:szCs w:val="18"/>
              </w:rPr>
              <w:t>弱风化</w:t>
            </w:r>
          </w:p>
        </w:tc>
        <w:tc>
          <w:tcPr>
            <w:tcW w:w="1528" w:type="pct"/>
            <w:gridSpan w:val="2"/>
            <w:vAlign w:val="center"/>
          </w:tcPr>
          <w:p>
            <w:pPr>
              <w:jc w:val="center"/>
              <w:rPr>
                <w:color w:val="000000"/>
                <w:szCs w:val="18"/>
              </w:rPr>
            </w:pPr>
            <w:r>
              <w:rPr>
                <w:color w:val="000000"/>
                <w:szCs w:val="18"/>
              </w:rPr>
              <w:t>1:0.3～1:0.4</w:t>
            </w:r>
          </w:p>
        </w:tc>
        <w:tc>
          <w:tcPr>
            <w:tcW w:w="1439" w:type="pct"/>
            <w:gridSpan w:val="2"/>
            <w:vAlign w:val="center"/>
          </w:tcPr>
          <w:p>
            <w:pPr>
              <w:jc w:val="center"/>
              <w:rPr>
                <w:color w:val="000000"/>
                <w:szCs w:val="18"/>
              </w:rPr>
            </w:pPr>
            <w:r>
              <w:rPr>
                <w:color w:val="000000"/>
                <w:szCs w:val="18"/>
              </w:rPr>
              <w:t>1:0.4～1:0.5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Merge w:val="continue"/>
            <w:vAlign w:val="center"/>
          </w:tcPr>
          <w:p>
            <w:pPr>
              <w:jc w:val="center"/>
              <w:rPr>
                <w:color w:val="000000"/>
                <w:szCs w:val="18"/>
              </w:rPr>
            </w:pPr>
          </w:p>
        </w:tc>
        <w:tc>
          <w:tcPr>
            <w:tcW w:w="850" w:type="pct"/>
            <w:vAlign w:val="center"/>
          </w:tcPr>
          <w:p>
            <w:pPr>
              <w:jc w:val="center"/>
              <w:rPr>
                <w:color w:val="000000"/>
                <w:szCs w:val="18"/>
              </w:rPr>
            </w:pPr>
            <w:r>
              <w:rPr>
                <w:color w:val="000000"/>
                <w:szCs w:val="18"/>
              </w:rPr>
              <w:t>泥质粉砂岩</w:t>
            </w:r>
          </w:p>
        </w:tc>
        <w:tc>
          <w:tcPr>
            <w:tcW w:w="657" w:type="pct"/>
            <w:vMerge w:val="continue"/>
            <w:vAlign w:val="center"/>
          </w:tcPr>
          <w:p>
            <w:pPr>
              <w:jc w:val="center"/>
              <w:rPr>
                <w:color w:val="000000"/>
                <w:szCs w:val="18"/>
              </w:rPr>
            </w:pPr>
          </w:p>
        </w:tc>
        <w:tc>
          <w:tcPr>
            <w:tcW w:w="779" w:type="pct"/>
            <w:vAlign w:val="center"/>
          </w:tcPr>
          <w:p>
            <w:pPr>
              <w:jc w:val="center"/>
              <w:rPr>
                <w:color w:val="000000"/>
                <w:szCs w:val="18"/>
              </w:rPr>
            </w:pPr>
            <w:r>
              <w:rPr>
                <w:color w:val="000000"/>
                <w:szCs w:val="18"/>
              </w:rPr>
              <w:t>1:0.5～1:0.7</w:t>
            </w:r>
          </w:p>
        </w:tc>
        <w:tc>
          <w:tcPr>
            <w:tcW w:w="749" w:type="pct"/>
            <w:vAlign w:val="center"/>
          </w:tcPr>
          <w:p>
            <w:pPr>
              <w:jc w:val="center"/>
              <w:rPr>
                <w:color w:val="000000"/>
                <w:szCs w:val="18"/>
              </w:rPr>
            </w:pPr>
            <w:r>
              <w:rPr>
                <w:color w:val="000000"/>
                <w:szCs w:val="18"/>
              </w:rPr>
              <w:t>1:0.75～1:0.85</w:t>
            </w:r>
          </w:p>
        </w:tc>
        <w:tc>
          <w:tcPr>
            <w:tcW w:w="719" w:type="pct"/>
            <w:vAlign w:val="center"/>
          </w:tcPr>
          <w:p>
            <w:pPr>
              <w:jc w:val="center"/>
              <w:rPr>
                <w:color w:val="000000"/>
                <w:szCs w:val="18"/>
              </w:rPr>
            </w:pPr>
            <w:r>
              <w:rPr>
                <w:color w:val="000000"/>
                <w:szCs w:val="18"/>
              </w:rPr>
              <w:t>1:0.75～1:0.85</w:t>
            </w:r>
          </w:p>
        </w:tc>
        <w:tc>
          <w:tcPr>
            <w:tcW w:w="720" w:type="pct"/>
            <w:vAlign w:val="center"/>
          </w:tcPr>
          <w:p>
            <w:pPr>
              <w:jc w:val="center"/>
              <w:rPr>
                <w:color w:val="000000"/>
                <w:szCs w:val="18"/>
              </w:rPr>
            </w:pPr>
            <w:r>
              <w:rPr>
                <w:color w:val="000000"/>
                <w:szCs w:val="18"/>
              </w:rPr>
              <w:t>1:0.85～1:1.0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cantSplit/>
          <w:jc w:val="center"/>
        </w:trPr>
        <w:tc>
          <w:tcPr>
            <w:tcW w:w="527" w:type="pct"/>
            <w:vAlign w:val="center"/>
          </w:tcPr>
          <w:p>
            <w:pPr>
              <w:jc w:val="center"/>
              <w:rPr>
                <w:color w:val="000000"/>
                <w:szCs w:val="18"/>
              </w:rPr>
            </w:pPr>
            <w:r>
              <w:rPr>
                <w:color w:val="000000"/>
                <w:szCs w:val="18"/>
              </w:rPr>
              <w:t>备注</w:t>
            </w:r>
          </w:p>
        </w:tc>
        <w:tc>
          <w:tcPr>
            <w:tcW w:w="4473" w:type="pct"/>
            <w:gridSpan w:val="6"/>
            <w:vAlign w:val="center"/>
          </w:tcPr>
          <w:p>
            <w:pPr>
              <w:rPr>
                <w:color w:val="000000"/>
                <w:szCs w:val="18"/>
              </w:rPr>
            </w:pPr>
            <w:r>
              <w:rPr>
                <w:color w:val="000000"/>
                <w:szCs w:val="18"/>
              </w:rPr>
              <w:t>1.土层坡高一般不超过5m，强风化岩坡高一般不超过8m；坡高大于10m时需分级开挖。</w:t>
            </w:r>
          </w:p>
          <w:p>
            <w:pPr>
              <w:rPr>
                <w:color w:val="000000"/>
                <w:szCs w:val="18"/>
              </w:rPr>
            </w:pPr>
            <w:r>
              <w:rPr>
                <w:color w:val="000000"/>
                <w:szCs w:val="18"/>
              </w:rPr>
              <w:t>2.凡施工期超过一个水文年的边坡均属于永久边坡，其参数应按永久边坡取值。</w:t>
            </w:r>
          </w:p>
        </w:tc>
      </w:tr>
    </w:tbl>
    <w:p>
      <w:pPr>
        <w:pStyle w:val="21"/>
        <w:overflowPunct w:val="0"/>
        <w:spacing w:line="500" w:lineRule="atLeast"/>
        <w:ind w:firstLine="480" w:firstLineChars="200"/>
        <w:rPr>
          <w:color w:val="000000"/>
          <w:sz w:val="24"/>
          <w:szCs w:val="24"/>
        </w:rPr>
        <w:sectPr>
          <w:pgSz w:w="11906" w:h="16838"/>
          <w:pgMar w:top="1440" w:right="1418" w:bottom="1440" w:left="1418" w:header="851" w:footer="992" w:gutter="0"/>
          <w:cols w:space="720" w:num="1"/>
          <w:docGrid w:linePitch="326" w:charSpace="0"/>
        </w:sectPr>
      </w:pPr>
    </w:p>
    <w:bookmarkEnd w:id="21"/>
    <w:p>
      <w:pPr>
        <w:pStyle w:val="5"/>
        <w:snapToGrid w:val="0"/>
        <w:spacing w:before="0" w:after="0" w:line="500" w:lineRule="atLeast"/>
        <w:jc w:val="both"/>
        <w:rPr>
          <w:szCs w:val="24"/>
        </w:rPr>
      </w:pPr>
      <w:bookmarkStart w:id="24" w:name="_Toc118821412"/>
      <w:bookmarkStart w:id="25" w:name="_Toc491960037"/>
      <w:bookmarkStart w:id="26" w:name="_Toc491960389"/>
      <w:bookmarkStart w:id="27" w:name="_Toc491959335"/>
      <w:bookmarkStart w:id="28" w:name="_Toc521577724"/>
      <w:bookmarkStart w:id="29" w:name="_Toc27554"/>
      <w:bookmarkStart w:id="30" w:name="_Toc491959686"/>
      <w:r>
        <w:rPr>
          <w:szCs w:val="24"/>
        </w:rPr>
        <w:t>1.1.3  施工条件</w:t>
      </w:r>
      <w:bookmarkEnd w:id="24"/>
      <w:bookmarkEnd w:id="25"/>
      <w:bookmarkEnd w:id="26"/>
      <w:bookmarkEnd w:id="27"/>
      <w:bookmarkEnd w:id="28"/>
      <w:bookmarkEnd w:id="29"/>
      <w:bookmarkEnd w:id="30"/>
    </w:p>
    <w:p>
      <w:pPr>
        <w:spacing w:line="480" w:lineRule="atLeast"/>
        <w:ind w:firstLine="480" w:firstLineChars="200"/>
        <w:rPr>
          <w:sz w:val="24"/>
        </w:rPr>
      </w:pPr>
      <w:bookmarkStart w:id="31" w:name="_Toc491959688"/>
      <w:bookmarkStart w:id="32" w:name="_Toc521577725"/>
      <w:bookmarkStart w:id="33" w:name="_Toc491960039"/>
      <w:bookmarkStart w:id="34" w:name="_Toc491959337"/>
      <w:bookmarkStart w:id="35" w:name="_Toc491960391"/>
      <w:r>
        <w:rPr>
          <w:rFonts w:hint="eastAsia"/>
          <w:sz w:val="24"/>
        </w:rPr>
        <w:t>(</w:t>
      </w:r>
      <w:r>
        <w:rPr>
          <w:sz w:val="24"/>
        </w:rPr>
        <w:t>1)  对外交通条件</w:t>
      </w:r>
    </w:p>
    <w:p>
      <w:pPr>
        <w:autoSpaceDE w:val="0"/>
        <w:autoSpaceDN w:val="0"/>
        <w:spacing w:line="480" w:lineRule="atLeast"/>
        <w:ind w:firstLine="480" w:firstLineChars="200"/>
        <w:textAlignment w:val="bottom"/>
        <w:rPr>
          <w:sz w:val="24"/>
        </w:rPr>
      </w:pPr>
      <w:r>
        <w:rPr>
          <w:sz w:val="24"/>
        </w:rPr>
        <w:t>工程区沿线有多条高速公路、国道、省道、县道，以及地方乡道通达；还有高铁、广梅汕普铁经过主要城区；工程区邻近揭阳潮汕机场，来往各市区交通便利；水路从韩江通航北上可达梅州、南下可达潮州市、汕头市。工程区陆运、水运、铁路运输都较方便，形成良好的对外交通网络。</w:t>
      </w:r>
    </w:p>
    <w:p>
      <w:pPr>
        <w:spacing w:line="480" w:lineRule="atLeast"/>
        <w:ind w:firstLine="480" w:firstLineChars="200"/>
        <w:rPr>
          <w:sz w:val="24"/>
        </w:rPr>
      </w:pPr>
      <w:r>
        <w:rPr>
          <w:rFonts w:hint="eastAsia"/>
          <w:sz w:val="24"/>
        </w:rPr>
        <w:t>(</w:t>
      </w:r>
      <w:r>
        <w:rPr>
          <w:sz w:val="24"/>
        </w:rPr>
        <w:t>2)  场内交通条件</w:t>
      </w:r>
    </w:p>
    <w:p>
      <w:pPr>
        <w:adjustRightInd w:val="0"/>
        <w:spacing w:line="480" w:lineRule="atLeast"/>
        <w:ind w:firstLine="464" w:firstLineChars="200"/>
        <w:textAlignment w:val="baseline"/>
        <w:rPr>
          <w:snapToGrid w:val="0"/>
          <w:spacing w:val="-4"/>
          <w:kern w:val="0"/>
          <w:sz w:val="24"/>
          <w:lang w:val="en-GB"/>
        </w:rPr>
      </w:pPr>
      <w:r>
        <w:rPr>
          <w:snapToGrid w:val="0"/>
          <w:spacing w:val="-4"/>
          <w:kern w:val="0"/>
          <w:sz w:val="24"/>
          <w:lang w:val="en-GB"/>
        </w:rPr>
        <w:t>场内临时交通运输以现有的市政道路为主要干线，拟新建和改建的场内施工临时道路均与现有道路衔接。</w:t>
      </w:r>
    </w:p>
    <w:p/>
    <w:p>
      <w:pPr>
        <w:pStyle w:val="5"/>
        <w:snapToGrid w:val="0"/>
        <w:spacing w:before="0" w:after="0" w:line="500" w:lineRule="atLeast"/>
        <w:jc w:val="both"/>
        <w:rPr>
          <w:szCs w:val="24"/>
        </w:rPr>
      </w:pPr>
      <w:bookmarkStart w:id="36" w:name="_Toc17652"/>
      <w:bookmarkStart w:id="37" w:name="_Toc118821413"/>
      <w:r>
        <w:rPr>
          <w:rFonts w:hint="eastAsia"/>
          <w:szCs w:val="24"/>
        </w:rPr>
        <w:t xml:space="preserve">1.1.4 </w:t>
      </w:r>
      <w:r>
        <w:rPr>
          <w:szCs w:val="24"/>
        </w:rPr>
        <w:t xml:space="preserve"> </w:t>
      </w:r>
      <w:r>
        <w:rPr>
          <w:rFonts w:hint="eastAsia"/>
          <w:szCs w:val="24"/>
        </w:rPr>
        <w:t>主要建筑材料来源、水电供应条件</w:t>
      </w:r>
      <w:bookmarkEnd w:id="36"/>
      <w:bookmarkEnd w:id="37"/>
    </w:p>
    <w:p>
      <w:pPr>
        <w:autoSpaceDE w:val="0"/>
        <w:autoSpaceDN w:val="0"/>
        <w:spacing w:line="500" w:lineRule="atLeast"/>
        <w:ind w:firstLine="480" w:firstLineChars="200"/>
        <w:textAlignment w:val="bottom"/>
        <w:rPr>
          <w:sz w:val="24"/>
        </w:rPr>
      </w:pPr>
      <w:r>
        <w:rPr>
          <w:sz w:val="24"/>
        </w:rPr>
        <w:t>本标所需水泥、钢材</w:t>
      </w:r>
      <w:r>
        <w:rPr>
          <w:kern w:val="0"/>
          <w:sz w:val="24"/>
        </w:rPr>
        <w:t>、木材等建筑材料</w:t>
      </w:r>
      <w:r>
        <w:rPr>
          <w:sz w:val="24"/>
        </w:rPr>
        <w:t>由承包人从建筑市场自行购买；</w:t>
      </w:r>
      <w:r>
        <w:rPr>
          <w:kern w:val="0"/>
          <w:sz w:val="24"/>
        </w:rPr>
        <w:t>所需</w:t>
      </w:r>
      <w:r>
        <w:rPr>
          <w:rFonts w:hint="eastAsia"/>
          <w:kern w:val="0"/>
          <w:sz w:val="24"/>
        </w:rPr>
        <w:t>粘土</w:t>
      </w:r>
      <w:r>
        <w:rPr>
          <w:kern w:val="0"/>
          <w:sz w:val="24"/>
        </w:rPr>
        <w:t>料、砂、碎石、块石料由</w:t>
      </w:r>
      <w:r>
        <w:rPr>
          <w:sz w:val="24"/>
        </w:rPr>
        <w:t>承包人从</w:t>
      </w:r>
      <w:r>
        <w:rPr>
          <w:kern w:val="0"/>
          <w:sz w:val="24"/>
        </w:rPr>
        <w:t>当地市场就近购买。</w:t>
      </w:r>
    </w:p>
    <w:p>
      <w:pPr>
        <w:autoSpaceDE w:val="0"/>
        <w:autoSpaceDN w:val="0"/>
        <w:spacing w:line="500" w:lineRule="atLeast"/>
        <w:ind w:firstLine="480" w:firstLineChars="200"/>
        <w:textAlignment w:val="bottom"/>
        <w:rPr>
          <w:kern w:val="0"/>
          <w:sz w:val="24"/>
        </w:rPr>
      </w:pPr>
      <w:r>
        <w:rPr>
          <w:sz w:val="24"/>
        </w:rPr>
        <w:t>本标主体工程</w:t>
      </w:r>
      <w:r>
        <w:rPr>
          <w:kern w:val="0"/>
          <w:sz w:val="24"/>
        </w:rPr>
        <w:t>所需砼采用自拌混</w:t>
      </w:r>
      <w:r>
        <w:rPr>
          <w:sz w:val="24"/>
        </w:rPr>
        <w:t>凝土</w:t>
      </w:r>
      <w:r>
        <w:rPr>
          <w:rFonts w:hint="eastAsia"/>
          <w:sz w:val="24"/>
        </w:rPr>
        <w:t>或</w:t>
      </w:r>
      <w:r>
        <w:rPr>
          <w:sz w:val="24"/>
        </w:rPr>
        <w:t>商品混凝土，由承包人自建混凝土拌合系统供应</w:t>
      </w:r>
      <w:r>
        <w:rPr>
          <w:rFonts w:hint="eastAsia"/>
          <w:sz w:val="24"/>
        </w:rPr>
        <w:t>或</w:t>
      </w:r>
      <w:r>
        <w:rPr>
          <w:sz w:val="24"/>
        </w:rPr>
        <w:t>附近的商品混凝土外购点购买。</w:t>
      </w:r>
    </w:p>
    <w:p>
      <w:pPr>
        <w:spacing w:line="500" w:lineRule="atLeast"/>
        <w:ind w:firstLine="480" w:firstLineChars="200"/>
        <w:rPr>
          <w:sz w:val="24"/>
        </w:rPr>
      </w:pPr>
      <w:r>
        <w:rPr>
          <w:sz w:val="24"/>
        </w:rPr>
        <w:t>施工用电、施工用水、施工通讯由承包人自行解决。</w:t>
      </w:r>
    </w:p>
    <w:p>
      <w:pPr>
        <w:spacing w:line="500" w:lineRule="atLeast"/>
        <w:ind w:firstLine="480" w:firstLineChars="200"/>
        <w:rPr>
          <w:sz w:val="24"/>
        </w:rPr>
      </w:pPr>
      <w:r>
        <w:rPr>
          <w:sz w:val="24"/>
        </w:rPr>
        <w:t>生活用水可采用附近城镇或村庄的供水系统，由承包人自行解决。</w:t>
      </w:r>
    </w:p>
    <w:p>
      <w:pPr>
        <w:pStyle w:val="21"/>
      </w:pPr>
    </w:p>
    <w:p>
      <w:pPr>
        <w:pStyle w:val="5"/>
        <w:snapToGrid w:val="0"/>
        <w:spacing w:before="0" w:after="0" w:line="500" w:lineRule="atLeast"/>
        <w:jc w:val="both"/>
        <w:rPr>
          <w:szCs w:val="24"/>
        </w:rPr>
      </w:pPr>
      <w:bookmarkStart w:id="38" w:name="_Toc118821414"/>
      <w:bookmarkStart w:id="39" w:name="_Toc6225"/>
      <w:r>
        <w:rPr>
          <w:szCs w:val="24"/>
        </w:rPr>
        <w:t>1.1.5  控制性进度要求</w:t>
      </w:r>
      <w:bookmarkEnd w:id="31"/>
      <w:bookmarkEnd w:id="32"/>
      <w:bookmarkEnd w:id="33"/>
      <w:bookmarkEnd w:id="34"/>
      <w:bookmarkEnd w:id="35"/>
      <w:bookmarkEnd w:id="38"/>
      <w:bookmarkEnd w:id="39"/>
    </w:p>
    <w:p>
      <w:pPr>
        <w:adjustRightInd w:val="0"/>
        <w:snapToGrid w:val="0"/>
        <w:spacing w:line="480" w:lineRule="exact"/>
        <w:ind w:firstLine="480" w:firstLineChars="200"/>
        <w:textAlignment w:val="baseline"/>
        <w:rPr>
          <w:sz w:val="24"/>
          <w:lang w:val="en-GB"/>
        </w:rPr>
      </w:pPr>
      <w:r>
        <w:rPr>
          <w:sz w:val="24"/>
        </w:rPr>
        <w:t>根据工程规模、布置等特点，经分析安排，</w:t>
      </w:r>
      <w:r>
        <w:rPr>
          <w:rFonts w:hint="eastAsia"/>
          <w:sz w:val="24"/>
          <w:lang w:val="en-US" w:eastAsia="zh-CN"/>
        </w:rPr>
        <w:t>本标段安全监测现场服务</w:t>
      </w:r>
      <w:r>
        <w:rPr>
          <w:sz w:val="24"/>
        </w:rPr>
        <w:t>期为</w:t>
      </w:r>
      <w:r>
        <w:rPr>
          <w:rFonts w:hint="eastAsia"/>
          <w:sz w:val="24"/>
          <w:lang w:val="en-US" w:eastAsia="zh-CN"/>
        </w:rPr>
        <w:t>37</w:t>
      </w:r>
      <w:r>
        <w:rPr>
          <w:sz w:val="24"/>
        </w:rPr>
        <w:t>个月</w:t>
      </w:r>
      <w:r>
        <w:rPr>
          <w:rFonts w:hint="eastAsia"/>
          <w:sz w:val="24"/>
        </w:rPr>
        <w:t>。</w:t>
      </w:r>
      <w:r>
        <w:rPr>
          <w:sz w:val="24"/>
          <w:lang w:val="en-GB"/>
        </w:rPr>
        <w:t>本标段土建工程关键项目(或节点)施工控制工期要求如下：</w:t>
      </w:r>
    </w:p>
    <w:p>
      <w:pPr>
        <w:adjustRightInd w:val="0"/>
        <w:snapToGrid w:val="0"/>
        <w:spacing w:line="480" w:lineRule="exact"/>
        <w:ind w:firstLine="480" w:firstLineChars="200"/>
        <w:textAlignment w:val="baseline"/>
        <w:rPr>
          <w:sz w:val="24"/>
          <w:lang w:val="en-GB"/>
        </w:rPr>
      </w:pPr>
      <w:r>
        <w:rPr>
          <w:sz w:val="24"/>
          <w:lang w:val="en-GB"/>
        </w:rPr>
        <w:t>20</w:t>
      </w:r>
      <w:r>
        <w:rPr>
          <w:rFonts w:hint="eastAsia"/>
          <w:sz w:val="24"/>
        </w:rPr>
        <w:t>22</w:t>
      </w:r>
      <w:r>
        <w:rPr>
          <w:sz w:val="24"/>
          <w:lang w:val="en-GB"/>
        </w:rPr>
        <w:t>年</w:t>
      </w:r>
      <w:r>
        <w:rPr>
          <w:rFonts w:hint="eastAsia"/>
          <w:sz w:val="24"/>
          <w:lang w:val="en-US" w:eastAsia="zh-CN"/>
        </w:rPr>
        <w:t>11</w:t>
      </w:r>
      <w:r>
        <w:rPr>
          <w:sz w:val="24"/>
          <w:lang w:val="en-GB"/>
        </w:rPr>
        <w:t>月</w:t>
      </w:r>
      <w:r>
        <w:rPr>
          <w:rFonts w:hint="eastAsia"/>
          <w:sz w:val="24"/>
          <w:lang w:val="en-US" w:eastAsia="zh-CN"/>
        </w:rPr>
        <w:t>15</w:t>
      </w:r>
      <w:r>
        <w:rPr>
          <w:sz w:val="24"/>
          <w:lang w:val="en-GB"/>
        </w:rPr>
        <w:t xml:space="preserve">日    </w:t>
      </w:r>
      <w:r>
        <w:rPr>
          <w:rFonts w:hint="eastAsia"/>
          <w:sz w:val="24"/>
          <w:lang w:val="en-GB"/>
        </w:rPr>
        <w:t>本标段工程开工</w:t>
      </w:r>
      <w:r>
        <w:rPr>
          <w:sz w:val="24"/>
          <w:lang w:val="en-GB"/>
        </w:rPr>
        <w:t>；</w:t>
      </w:r>
    </w:p>
    <w:p>
      <w:pPr>
        <w:adjustRightInd w:val="0"/>
        <w:snapToGrid w:val="0"/>
        <w:spacing w:line="480" w:lineRule="exact"/>
        <w:ind w:firstLine="480" w:firstLineChars="200"/>
        <w:textAlignment w:val="baseline"/>
        <w:rPr>
          <w:sz w:val="24"/>
          <w:lang w:val="en-GB"/>
        </w:rPr>
      </w:pPr>
      <w:r>
        <w:rPr>
          <w:sz w:val="24"/>
          <w:lang w:val="en-GB"/>
        </w:rPr>
        <w:t>202</w:t>
      </w:r>
      <w:r>
        <w:rPr>
          <w:rFonts w:hint="eastAsia"/>
          <w:sz w:val="24"/>
          <w:lang w:val="en-US" w:eastAsia="zh-CN"/>
        </w:rPr>
        <w:t>5</w:t>
      </w:r>
      <w:r>
        <w:rPr>
          <w:sz w:val="24"/>
          <w:lang w:val="en-GB"/>
        </w:rPr>
        <w:t>年</w:t>
      </w:r>
      <w:r>
        <w:rPr>
          <w:rFonts w:hint="eastAsia"/>
          <w:sz w:val="24"/>
        </w:rPr>
        <w:t>1</w:t>
      </w:r>
      <w:r>
        <w:rPr>
          <w:rFonts w:hint="eastAsia"/>
          <w:sz w:val="24"/>
          <w:lang w:val="en-US" w:eastAsia="zh-CN"/>
        </w:rPr>
        <w:t>1</w:t>
      </w:r>
      <w:r>
        <w:rPr>
          <w:sz w:val="24"/>
          <w:lang w:val="en-GB"/>
        </w:rPr>
        <w:t>月</w:t>
      </w:r>
      <w:r>
        <w:rPr>
          <w:rFonts w:hint="eastAsia"/>
          <w:sz w:val="24"/>
          <w:lang w:val="en-US" w:eastAsia="zh-CN"/>
        </w:rPr>
        <w:t>30</w:t>
      </w:r>
      <w:r>
        <w:rPr>
          <w:sz w:val="24"/>
          <w:lang w:val="en-GB"/>
        </w:rPr>
        <w:t xml:space="preserve">日  </w:t>
      </w:r>
      <w:r>
        <w:rPr>
          <w:rFonts w:hint="eastAsia"/>
          <w:sz w:val="24"/>
          <w:lang w:val="en-US" w:eastAsia="zh-CN"/>
        </w:rPr>
        <w:t xml:space="preserve"> </w:t>
      </w:r>
      <w:r>
        <w:rPr>
          <w:sz w:val="24"/>
          <w:lang w:val="en-GB"/>
        </w:rPr>
        <w:t xml:space="preserve"> 本标段完工。</w:t>
      </w:r>
    </w:p>
    <w:p>
      <w:pPr>
        <w:adjustRightInd w:val="0"/>
        <w:snapToGrid w:val="0"/>
        <w:spacing w:line="480" w:lineRule="exact"/>
        <w:ind w:firstLine="480" w:firstLineChars="200"/>
        <w:textAlignment w:val="baseline"/>
        <w:rPr>
          <w:sz w:val="24"/>
          <w:lang w:val="en-GB"/>
        </w:rPr>
      </w:pPr>
      <w:r>
        <w:rPr>
          <w:rFonts w:hint="eastAsia"/>
          <w:sz w:val="24"/>
          <w:lang w:val="en-GB"/>
        </w:rPr>
        <w:t>实际开工时间由以监理人的开工令和发包人确定，若实际开工时间延后，则控制性节点工期相应顺延，但承包人不得以开工时间推迟为由向发包人提出各种索赔要求。</w:t>
      </w:r>
    </w:p>
    <w:p>
      <w:pPr>
        <w:adjustRightInd w:val="0"/>
        <w:snapToGrid w:val="0"/>
        <w:spacing w:line="480" w:lineRule="exact"/>
        <w:ind w:firstLine="480" w:firstLineChars="200"/>
        <w:textAlignment w:val="baseline"/>
        <w:rPr>
          <w:sz w:val="24"/>
        </w:rPr>
      </w:pPr>
      <w:r>
        <w:rPr>
          <w:sz w:val="24"/>
        </w:rPr>
        <w:t>各监测项目的控制性施工进度应与相应的土建项目的实际施工进度相匹配，各个部位监测仪器安装埋设应与土建工期一致，并随土建工期调整而调整。</w:t>
      </w:r>
    </w:p>
    <w:p>
      <w:pPr>
        <w:pStyle w:val="4"/>
        <w:tabs>
          <w:tab w:val="left" w:pos="2951"/>
        </w:tabs>
        <w:adjustRightInd w:val="0"/>
        <w:snapToGrid w:val="0"/>
        <w:spacing w:before="0" w:after="0" w:line="500" w:lineRule="atLeast"/>
        <w:rPr>
          <w:rFonts w:ascii="黑体" w:hAnsi="黑体" w:eastAsia="黑体"/>
          <w:b w:val="0"/>
          <w:sz w:val="24"/>
          <w:szCs w:val="24"/>
        </w:rPr>
      </w:pPr>
      <w:bookmarkStart w:id="40" w:name="_Toc118821415"/>
      <w:bookmarkStart w:id="41" w:name="_Toc11180"/>
      <w:r>
        <w:rPr>
          <w:rFonts w:hint="eastAsia" w:ascii="Times New Roman" w:hAnsi="Times New Roman"/>
          <w:sz w:val="24"/>
          <w:szCs w:val="24"/>
        </w:rPr>
        <w:t xml:space="preserve">1.2  </w:t>
      </w:r>
      <w:r>
        <w:rPr>
          <w:rFonts w:ascii="Times New Roman" w:hAnsi="Times New Roman"/>
          <w:sz w:val="24"/>
          <w:szCs w:val="24"/>
        </w:rPr>
        <w:t>主要技术规程规范</w:t>
      </w:r>
      <w:bookmarkEnd w:id="22"/>
      <w:bookmarkEnd w:id="23"/>
      <w:bookmarkEnd w:id="40"/>
      <w:bookmarkEnd w:id="41"/>
      <w:r>
        <w:rPr>
          <w:rFonts w:ascii="黑体" w:hAnsi="黑体" w:eastAsia="黑体"/>
          <w:b w:val="0"/>
          <w:sz w:val="24"/>
          <w:szCs w:val="24"/>
        </w:rPr>
        <w:tab/>
      </w:r>
    </w:p>
    <w:p>
      <w:pPr>
        <w:autoSpaceDE w:val="0"/>
        <w:autoSpaceDN w:val="0"/>
        <w:adjustRightInd w:val="0"/>
        <w:snapToGrid w:val="0"/>
        <w:spacing w:line="500" w:lineRule="atLeast"/>
        <w:ind w:firstLine="480" w:firstLineChars="200"/>
        <w:rPr>
          <w:sz w:val="24"/>
        </w:rPr>
      </w:pPr>
      <w:r>
        <w:rPr>
          <w:sz w:val="24"/>
        </w:rPr>
        <w:t>安全监测设计遵循的规程规范主要有(但不限于)：</w:t>
      </w:r>
    </w:p>
    <w:p>
      <w:pPr>
        <w:autoSpaceDE w:val="0"/>
        <w:autoSpaceDN w:val="0"/>
        <w:adjustRightInd w:val="0"/>
        <w:snapToGrid w:val="0"/>
        <w:spacing w:line="500" w:lineRule="atLeast"/>
        <w:ind w:firstLine="480" w:firstLineChars="200"/>
        <w:rPr>
          <w:sz w:val="24"/>
        </w:rPr>
      </w:pPr>
      <w:r>
        <w:rPr>
          <w:rFonts w:hint="eastAsia"/>
          <w:kern w:val="0"/>
          <w:sz w:val="24"/>
        </w:rPr>
        <w:t>(1)</w:t>
      </w:r>
      <w:r>
        <w:rPr>
          <w:kern w:val="0"/>
          <w:sz w:val="24"/>
        </w:rPr>
        <w:t xml:space="preserve">  </w:t>
      </w:r>
      <w:r>
        <w:rPr>
          <w:rFonts w:hint="eastAsia"/>
          <w:kern w:val="0"/>
          <w:sz w:val="24"/>
        </w:rPr>
        <w:t>《水利水电工程安全监测设计规范》(SL725-2016)；</w:t>
      </w:r>
    </w:p>
    <w:p>
      <w:pPr>
        <w:autoSpaceDE w:val="0"/>
        <w:autoSpaceDN w:val="0"/>
        <w:adjustRightInd w:val="0"/>
        <w:snapToGrid w:val="0"/>
        <w:spacing w:line="500" w:lineRule="atLeast"/>
        <w:ind w:firstLine="480" w:firstLineChars="200"/>
        <w:rPr>
          <w:kern w:val="0"/>
          <w:sz w:val="24"/>
        </w:rPr>
      </w:pPr>
      <w:r>
        <w:rPr>
          <w:rFonts w:hint="eastAsia"/>
          <w:kern w:val="0"/>
          <w:sz w:val="24"/>
        </w:rPr>
        <w:t>(2)</w:t>
      </w:r>
      <w:r>
        <w:rPr>
          <w:kern w:val="0"/>
          <w:sz w:val="24"/>
        </w:rPr>
        <w:t xml:space="preserve">  </w:t>
      </w:r>
      <w:r>
        <w:rPr>
          <w:rFonts w:hint="eastAsia"/>
          <w:kern w:val="0"/>
          <w:sz w:val="24"/>
        </w:rPr>
        <w:t>《</w:t>
      </w:r>
      <w:r>
        <w:fldChar w:fldCharType="begin"/>
      </w:r>
      <w:r>
        <w:instrText xml:space="preserve"> HYPERLINK "http://www.baidu.com/link?url=b95GtJzpUknAr3rsvbwgVkLKqc90zBbc_8MKCavnQWwP8YOl6uXz5GuAvMeK3NDdgghZbUiFW4w1DQaxJlGtx_" \t "_blank" </w:instrText>
      </w:r>
      <w:r>
        <w:fldChar w:fldCharType="separate"/>
      </w:r>
      <w:r>
        <w:rPr>
          <w:kern w:val="0"/>
          <w:sz w:val="24"/>
        </w:rPr>
        <w:t>土石坝安全监测技术规范</w:t>
      </w:r>
      <w:r>
        <w:rPr>
          <w:kern w:val="0"/>
          <w:sz w:val="24"/>
        </w:rPr>
        <w:fldChar w:fldCharType="end"/>
      </w:r>
      <w:r>
        <w:rPr>
          <w:rFonts w:hint="eastAsia"/>
          <w:kern w:val="0"/>
          <w:sz w:val="24"/>
        </w:rPr>
        <w:t>》(</w:t>
      </w:r>
      <w:r>
        <w:rPr>
          <w:kern w:val="0"/>
          <w:sz w:val="24"/>
        </w:rPr>
        <w:t>SL551-2012</w:t>
      </w:r>
      <w:r>
        <w:rPr>
          <w:rFonts w:hint="eastAsia"/>
          <w:kern w:val="0"/>
          <w:sz w:val="24"/>
        </w:rPr>
        <w:t>)；</w:t>
      </w:r>
    </w:p>
    <w:p>
      <w:pPr>
        <w:autoSpaceDE w:val="0"/>
        <w:autoSpaceDN w:val="0"/>
        <w:adjustRightInd w:val="0"/>
        <w:snapToGrid w:val="0"/>
        <w:spacing w:line="500" w:lineRule="atLeast"/>
        <w:ind w:firstLine="480" w:firstLineChars="200"/>
        <w:rPr>
          <w:kern w:val="0"/>
          <w:sz w:val="24"/>
        </w:rPr>
      </w:pPr>
      <w:r>
        <w:rPr>
          <w:rFonts w:hint="eastAsia"/>
          <w:kern w:val="0"/>
          <w:sz w:val="24"/>
        </w:rPr>
        <w:t>(3)</w:t>
      </w:r>
      <w:r>
        <w:rPr>
          <w:kern w:val="0"/>
          <w:sz w:val="24"/>
        </w:rPr>
        <w:t xml:space="preserve">  </w:t>
      </w:r>
      <w:r>
        <w:rPr>
          <w:rFonts w:hint="eastAsia"/>
          <w:kern w:val="0"/>
          <w:sz w:val="24"/>
        </w:rPr>
        <w:t>《混凝土坝安全监测技术规范》(SL601-2013)；</w:t>
      </w:r>
    </w:p>
    <w:p>
      <w:pPr>
        <w:autoSpaceDE w:val="0"/>
        <w:autoSpaceDN w:val="0"/>
        <w:adjustRightInd w:val="0"/>
        <w:snapToGrid w:val="0"/>
        <w:spacing w:line="500" w:lineRule="atLeast"/>
        <w:ind w:firstLine="480" w:firstLineChars="200"/>
        <w:rPr>
          <w:kern w:val="0"/>
          <w:sz w:val="24"/>
        </w:rPr>
      </w:pPr>
      <w:r>
        <w:rPr>
          <w:rFonts w:hint="eastAsia"/>
          <w:kern w:val="0"/>
          <w:sz w:val="24"/>
        </w:rPr>
        <w:t>(4)</w:t>
      </w:r>
      <w:r>
        <w:rPr>
          <w:kern w:val="0"/>
          <w:sz w:val="24"/>
        </w:rPr>
        <w:t xml:space="preserve">  </w:t>
      </w:r>
      <w:r>
        <w:rPr>
          <w:rFonts w:hint="eastAsia"/>
          <w:kern w:val="0"/>
          <w:sz w:val="24"/>
        </w:rPr>
        <w:t>《建筑基坑工程监测技术标准》(GB50497-2019)；</w:t>
      </w:r>
    </w:p>
    <w:p>
      <w:pPr>
        <w:autoSpaceDE w:val="0"/>
        <w:autoSpaceDN w:val="0"/>
        <w:adjustRightInd w:val="0"/>
        <w:snapToGrid w:val="0"/>
        <w:spacing w:line="500" w:lineRule="atLeast"/>
        <w:ind w:firstLine="480" w:firstLineChars="200"/>
        <w:rPr>
          <w:kern w:val="0"/>
          <w:sz w:val="24"/>
        </w:rPr>
      </w:pPr>
      <w:r>
        <w:rPr>
          <w:rFonts w:hint="eastAsia"/>
          <w:kern w:val="0"/>
          <w:sz w:val="24"/>
        </w:rPr>
        <w:t>(5)</w:t>
      </w:r>
      <w:r>
        <w:rPr>
          <w:kern w:val="0"/>
          <w:sz w:val="24"/>
        </w:rPr>
        <w:t xml:space="preserve">  </w:t>
      </w:r>
      <w:r>
        <w:rPr>
          <w:rFonts w:hint="eastAsia"/>
          <w:kern w:val="0"/>
          <w:sz w:val="24"/>
        </w:rPr>
        <w:t>《大坝安全监测仪器安装标准》(SL531-2012)；</w:t>
      </w:r>
    </w:p>
    <w:p>
      <w:pPr>
        <w:autoSpaceDE w:val="0"/>
        <w:autoSpaceDN w:val="0"/>
        <w:adjustRightInd w:val="0"/>
        <w:snapToGrid w:val="0"/>
        <w:spacing w:line="500" w:lineRule="atLeast"/>
        <w:ind w:firstLine="480" w:firstLineChars="200"/>
        <w:rPr>
          <w:kern w:val="0"/>
          <w:sz w:val="24"/>
        </w:rPr>
      </w:pPr>
      <w:r>
        <w:rPr>
          <w:rFonts w:hint="eastAsia"/>
          <w:kern w:val="0"/>
          <w:sz w:val="24"/>
        </w:rPr>
        <w:t>(6)</w:t>
      </w:r>
      <w:r>
        <w:rPr>
          <w:kern w:val="0"/>
          <w:sz w:val="24"/>
        </w:rPr>
        <w:t xml:space="preserve">  </w:t>
      </w:r>
      <w:r>
        <w:rPr>
          <w:rFonts w:hint="eastAsia"/>
          <w:kern w:val="0"/>
          <w:sz w:val="24"/>
        </w:rPr>
        <w:t>《盾构法隧道施工及验收规范》(GB 50446-2017)；</w:t>
      </w:r>
    </w:p>
    <w:p>
      <w:pPr>
        <w:autoSpaceDE w:val="0"/>
        <w:autoSpaceDN w:val="0"/>
        <w:adjustRightInd w:val="0"/>
        <w:snapToGrid w:val="0"/>
        <w:spacing w:line="500" w:lineRule="atLeast"/>
        <w:ind w:firstLine="480" w:firstLineChars="200"/>
        <w:rPr>
          <w:kern w:val="0"/>
          <w:sz w:val="24"/>
        </w:rPr>
      </w:pPr>
      <w:r>
        <w:rPr>
          <w:rFonts w:hint="eastAsia"/>
          <w:kern w:val="0"/>
          <w:sz w:val="24"/>
        </w:rPr>
        <w:t>(7)</w:t>
      </w:r>
      <w:r>
        <w:rPr>
          <w:kern w:val="0"/>
          <w:sz w:val="24"/>
        </w:rPr>
        <w:t xml:space="preserve">  </w:t>
      </w:r>
      <w:r>
        <w:rPr>
          <w:rFonts w:hint="eastAsia"/>
          <w:kern w:val="0"/>
          <w:sz w:val="24"/>
        </w:rPr>
        <w:t>《水工隧洞安全监测技术规范》(SL764-2018)；</w:t>
      </w:r>
    </w:p>
    <w:p>
      <w:pPr>
        <w:autoSpaceDE w:val="0"/>
        <w:autoSpaceDN w:val="0"/>
        <w:adjustRightInd w:val="0"/>
        <w:snapToGrid w:val="0"/>
        <w:spacing w:line="500" w:lineRule="atLeast"/>
        <w:ind w:firstLine="480" w:firstLineChars="200"/>
        <w:rPr>
          <w:kern w:val="0"/>
          <w:sz w:val="24"/>
        </w:rPr>
      </w:pPr>
      <w:r>
        <w:rPr>
          <w:rFonts w:hint="eastAsia"/>
          <w:kern w:val="0"/>
          <w:sz w:val="24"/>
        </w:rPr>
        <w:t>(8)</w:t>
      </w:r>
      <w:r>
        <w:rPr>
          <w:kern w:val="0"/>
          <w:sz w:val="24"/>
        </w:rPr>
        <w:t xml:space="preserve">  </w:t>
      </w:r>
      <w:r>
        <w:rPr>
          <w:rFonts w:hint="eastAsia"/>
          <w:kern w:val="0"/>
          <w:sz w:val="24"/>
        </w:rPr>
        <w:t>《水闸安全监测技术规范》(SL768-2018)；</w:t>
      </w:r>
    </w:p>
    <w:p>
      <w:pPr>
        <w:autoSpaceDE w:val="0"/>
        <w:autoSpaceDN w:val="0"/>
        <w:adjustRightInd w:val="0"/>
        <w:snapToGrid w:val="0"/>
        <w:spacing w:line="500" w:lineRule="atLeast"/>
        <w:ind w:firstLine="480" w:firstLineChars="200"/>
        <w:rPr>
          <w:kern w:val="0"/>
          <w:sz w:val="24"/>
        </w:rPr>
      </w:pPr>
      <w:r>
        <w:rPr>
          <w:rFonts w:hint="eastAsia"/>
          <w:kern w:val="0"/>
          <w:sz w:val="24"/>
        </w:rPr>
        <w:t>(9)</w:t>
      </w:r>
      <w:r>
        <w:rPr>
          <w:kern w:val="0"/>
          <w:sz w:val="24"/>
        </w:rPr>
        <w:t xml:space="preserve">  </w:t>
      </w:r>
      <w:r>
        <w:rPr>
          <w:rFonts w:hint="eastAsia"/>
          <w:kern w:val="0"/>
          <w:sz w:val="24"/>
        </w:rPr>
        <w:t>《大坝安全自动监测系统设备基本技术条件》(SL268-2001)；</w:t>
      </w:r>
    </w:p>
    <w:p>
      <w:pPr>
        <w:autoSpaceDE w:val="0"/>
        <w:autoSpaceDN w:val="0"/>
        <w:adjustRightInd w:val="0"/>
        <w:snapToGrid w:val="0"/>
        <w:spacing w:line="500" w:lineRule="atLeast"/>
        <w:ind w:firstLine="480" w:firstLineChars="200"/>
        <w:rPr>
          <w:kern w:val="0"/>
          <w:sz w:val="24"/>
        </w:rPr>
      </w:pPr>
      <w:r>
        <w:rPr>
          <w:rFonts w:hint="eastAsia"/>
          <w:kern w:val="0"/>
          <w:sz w:val="24"/>
        </w:rPr>
        <w:t>(10)</w:t>
      </w:r>
      <w:r>
        <w:rPr>
          <w:kern w:val="0"/>
          <w:sz w:val="24"/>
        </w:rPr>
        <w:t xml:space="preserve">  </w:t>
      </w:r>
      <w:r>
        <w:rPr>
          <w:rFonts w:hint="eastAsia"/>
          <w:kern w:val="0"/>
          <w:sz w:val="24"/>
        </w:rPr>
        <w:t>《水位观测标准》(GB/T 50138-2010)；</w:t>
      </w:r>
    </w:p>
    <w:p>
      <w:pPr>
        <w:autoSpaceDE w:val="0"/>
        <w:autoSpaceDN w:val="0"/>
        <w:adjustRightInd w:val="0"/>
        <w:snapToGrid w:val="0"/>
        <w:spacing w:line="500" w:lineRule="atLeast"/>
        <w:ind w:firstLine="480" w:firstLineChars="200"/>
        <w:rPr>
          <w:kern w:val="0"/>
          <w:sz w:val="24"/>
        </w:rPr>
      </w:pPr>
      <w:r>
        <w:rPr>
          <w:rFonts w:hint="eastAsia"/>
          <w:kern w:val="0"/>
          <w:sz w:val="24"/>
        </w:rPr>
        <w:t>(11)</w:t>
      </w:r>
      <w:r>
        <w:rPr>
          <w:kern w:val="0"/>
          <w:sz w:val="24"/>
        </w:rPr>
        <w:t xml:space="preserve">  </w:t>
      </w:r>
      <w:r>
        <w:rPr>
          <w:rFonts w:hint="eastAsia"/>
          <w:kern w:val="0"/>
          <w:sz w:val="24"/>
        </w:rPr>
        <w:t>《水电水利工程施工安全监测技术规范》(DL/T 5308-2013)；</w:t>
      </w:r>
    </w:p>
    <w:p>
      <w:pPr>
        <w:autoSpaceDE w:val="0"/>
        <w:autoSpaceDN w:val="0"/>
        <w:adjustRightInd w:val="0"/>
        <w:snapToGrid w:val="0"/>
        <w:spacing w:line="500" w:lineRule="atLeast"/>
        <w:ind w:firstLine="480" w:firstLineChars="200"/>
        <w:rPr>
          <w:kern w:val="0"/>
          <w:sz w:val="24"/>
        </w:rPr>
      </w:pPr>
      <w:r>
        <w:rPr>
          <w:rFonts w:hint="eastAsia"/>
          <w:kern w:val="0"/>
          <w:sz w:val="24"/>
        </w:rPr>
        <w:t>(12)</w:t>
      </w:r>
      <w:r>
        <w:rPr>
          <w:kern w:val="0"/>
          <w:sz w:val="24"/>
        </w:rPr>
        <w:t xml:space="preserve">  </w:t>
      </w:r>
      <w:r>
        <w:rPr>
          <w:rFonts w:hint="eastAsia"/>
          <w:kern w:val="0"/>
          <w:sz w:val="24"/>
        </w:rPr>
        <w:t>《建筑变形测量规范》(JGJ 8-2016)；</w:t>
      </w:r>
    </w:p>
    <w:p>
      <w:pPr>
        <w:autoSpaceDE w:val="0"/>
        <w:autoSpaceDN w:val="0"/>
        <w:adjustRightInd w:val="0"/>
        <w:snapToGrid w:val="0"/>
        <w:spacing w:line="500" w:lineRule="atLeast"/>
        <w:ind w:firstLine="480" w:firstLineChars="200"/>
        <w:rPr>
          <w:kern w:val="0"/>
          <w:sz w:val="24"/>
        </w:rPr>
      </w:pPr>
      <w:r>
        <w:rPr>
          <w:rFonts w:hint="eastAsia"/>
          <w:kern w:val="0"/>
          <w:sz w:val="24"/>
        </w:rPr>
        <w:t>(1</w:t>
      </w:r>
      <w:r>
        <w:rPr>
          <w:kern w:val="0"/>
          <w:sz w:val="24"/>
        </w:rPr>
        <w:t>3</w:t>
      </w:r>
      <w:r>
        <w:rPr>
          <w:rFonts w:hint="eastAsia"/>
          <w:kern w:val="0"/>
          <w:sz w:val="24"/>
        </w:rPr>
        <w:t>)</w:t>
      </w:r>
      <w:r>
        <w:rPr>
          <w:kern w:val="0"/>
          <w:sz w:val="24"/>
        </w:rPr>
        <w:t xml:space="preserve">  </w:t>
      </w:r>
      <w:r>
        <w:rPr>
          <w:rFonts w:hint="eastAsia"/>
          <w:kern w:val="0"/>
          <w:sz w:val="24"/>
        </w:rPr>
        <w:t>《水工建筑物抗震设计规范》(SL203-1997)；</w:t>
      </w:r>
    </w:p>
    <w:p>
      <w:pPr>
        <w:autoSpaceDE w:val="0"/>
        <w:autoSpaceDN w:val="0"/>
        <w:adjustRightInd w:val="0"/>
        <w:snapToGrid w:val="0"/>
        <w:spacing w:line="500" w:lineRule="atLeast"/>
        <w:ind w:firstLine="480" w:firstLineChars="200"/>
        <w:rPr>
          <w:kern w:val="0"/>
          <w:sz w:val="24"/>
        </w:rPr>
      </w:pPr>
      <w:r>
        <w:rPr>
          <w:rFonts w:hint="eastAsia"/>
          <w:kern w:val="0"/>
          <w:sz w:val="24"/>
        </w:rPr>
        <w:t>(1</w:t>
      </w:r>
      <w:r>
        <w:rPr>
          <w:kern w:val="0"/>
          <w:sz w:val="24"/>
        </w:rPr>
        <w:t>4</w:t>
      </w:r>
      <w:r>
        <w:rPr>
          <w:rFonts w:hint="eastAsia"/>
          <w:kern w:val="0"/>
          <w:sz w:val="24"/>
        </w:rPr>
        <w:t>)</w:t>
      </w:r>
      <w:r>
        <w:rPr>
          <w:kern w:val="0"/>
          <w:sz w:val="24"/>
        </w:rPr>
        <w:t xml:space="preserve">  </w:t>
      </w:r>
      <w:r>
        <w:rPr>
          <w:rFonts w:hint="eastAsia"/>
          <w:kern w:val="0"/>
          <w:sz w:val="24"/>
        </w:rPr>
        <w:t>《水电站压力钢管设计规范》(NB/T 35056-2015)；</w:t>
      </w:r>
    </w:p>
    <w:p>
      <w:pPr>
        <w:autoSpaceDE w:val="0"/>
        <w:autoSpaceDN w:val="0"/>
        <w:adjustRightInd w:val="0"/>
        <w:snapToGrid w:val="0"/>
        <w:spacing w:line="500" w:lineRule="atLeast"/>
        <w:ind w:firstLine="480" w:firstLineChars="200"/>
        <w:rPr>
          <w:kern w:val="0"/>
          <w:sz w:val="24"/>
        </w:rPr>
      </w:pPr>
      <w:r>
        <w:rPr>
          <w:rFonts w:hint="eastAsia"/>
          <w:kern w:val="0"/>
          <w:sz w:val="24"/>
        </w:rPr>
        <w:t>(1</w:t>
      </w:r>
      <w:r>
        <w:rPr>
          <w:kern w:val="0"/>
          <w:sz w:val="24"/>
        </w:rPr>
        <w:t>5</w:t>
      </w:r>
      <w:r>
        <w:rPr>
          <w:rFonts w:hint="eastAsia"/>
          <w:kern w:val="0"/>
          <w:sz w:val="24"/>
        </w:rPr>
        <w:t>)</w:t>
      </w:r>
      <w:r>
        <w:rPr>
          <w:kern w:val="0"/>
          <w:sz w:val="24"/>
        </w:rPr>
        <w:t xml:space="preserve">  </w:t>
      </w:r>
      <w:r>
        <w:rPr>
          <w:rFonts w:hint="eastAsia"/>
          <w:kern w:val="0"/>
          <w:sz w:val="24"/>
        </w:rPr>
        <w:t>《泵站设计规范》(GB50265-2010</w:t>
      </w:r>
      <w:r>
        <w:rPr>
          <w:kern w:val="0"/>
          <w:sz w:val="24"/>
        </w:rPr>
        <w:t>)</w:t>
      </w:r>
      <w:r>
        <w:rPr>
          <w:rFonts w:hint="eastAsia"/>
          <w:kern w:val="0"/>
          <w:sz w:val="24"/>
        </w:rPr>
        <w:t>；</w:t>
      </w:r>
    </w:p>
    <w:p>
      <w:pPr>
        <w:autoSpaceDE w:val="0"/>
        <w:autoSpaceDN w:val="0"/>
        <w:adjustRightInd w:val="0"/>
        <w:snapToGrid w:val="0"/>
        <w:spacing w:line="500" w:lineRule="atLeast"/>
        <w:ind w:firstLine="480" w:firstLineChars="200"/>
        <w:rPr>
          <w:kern w:val="0"/>
          <w:sz w:val="24"/>
        </w:rPr>
      </w:pPr>
      <w:r>
        <w:rPr>
          <w:rFonts w:hint="eastAsia"/>
          <w:kern w:val="0"/>
          <w:sz w:val="24"/>
        </w:rPr>
        <w:t>(1</w:t>
      </w:r>
      <w:r>
        <w:rPr>
          <w:kern w:val="0"/>
          <w:sz w:val="24"/>
        </w:rPr>
        <w:t>6</w:t>
      </w:r>
      <w:r>
        <w:rPr>
          <w:rFonts w:hint="eastAsia"/>
          <w:kern w:val="0"/>
          <w:sz w:val="24"/>
        </w:rPr>
        <w:t>)</w:t>
      </w:r>
      <w:r>
        <w:rPr>
          <w:kern w:val="0"/>
          <w:sz w:val="24"/>
        </w:rPr>
        <w:t xml:space="preserve">  </w:t>
      </w:r>
      <w:r>
        <w:rPr>
          <w:rFonts w:hint="eastAsia"/>
          <w:kern w:val="0"/>
          <w:sz w:val="24"/>
        </w:rPr>
        <w:t>《国家三角测量规范》(GB/T 17942-2000)；</w:t>
      </w:r>
    </w:p>
    <w:p>
      <w:pPr>
        <w:autoSpaceDE w:val="0"/>
        <w:autoSpaceDN w:val="0"/>
        <w:adjustRightInd w:val="0"/>
        <w:snapToGrid w:val="0"/>
        <w:spacing w:line="500" w:lineRule="atLeast"/>
        <w:ind w:firstLine="480" w:firstLineChars="200"/>
        <w:rPr>
          <w:kern w:val="0"/>
          <w:sz w:val="24"/>
        </w:rPr>
      </w:pPr>
      <w:r>
        <w:rPr>
          <w:rFonts w:hint="eastAsia"/>
          <w:kern w:val="0"/>
          <w:sz w:val="24"/>
        </w:rPr>
        <w:t>(1</w:t>
      </w:r>
      <w:r>
        <w:rPr>
          <w:kern w:val="0"/>
          <w:sz w:val="24"/>
        </w:rPr>
        <w:t>7</w:t>
      </w:r>
      <w:r>
        <w:rPr>
          <w:rFonts w:hint="eastAsia"/>
          <w:kern w:val="0"/>
          <w:sz w:val="24"/>
        </w:rPr>
        <w:t>)</w:t>
      </w:r>
      <w:r>
        <w:rPr>
          <w:kern w:val="0"/>
          <w:sz w:val="24"/>
        </w:rPr>
        <w:t xml:space="preserve">  </w:t>
      </w:r>
      <w:r>
        <w:rPr>
          <w:rFonts w:hint="eastAsia"/>
          <w:kern w:val="0"/>
          <w:sz w:val="24"/>
        </w:rPr>
        <w:t>《国家一、二等水准测量规范》(GB/T 12879-2006)；</w:t>
      </w:r>
    </w:p>
    <w:p>
      <w:pPr>
        <w:autoSpaceDE w:val="0"/>
        <w:autoSpaceDN w:val="0"/>
        <w:adjustRightInd w:val="0"/>
        <w:snapToGrid w:val="0"/>
        <w:spacing w:line="500" w:lineRule="atLeast"/>
        <w:ind w:firstLine="480" w:firstLineChars="200"/>
        <w:rPr>
          <w:kern w:val="0"/>
          <w:sz w:val="24"/>
        </w:rPr>
      </w:pPr>
      <w:r>
        <w:rPr>
          <w:rFonts w:hint="eastAsia"/>
          <w:kern w:val="0"/>
          <w:sz w:val="24"/>
        </w:rPr>
        <w:t>(1</w:t>
      </w:r>
      <w:r>
        <w:rPr>
          <w:kern w:val="0"/>
          <w:sz w:val="24"/>
        </w:rPr>
        <w:t>8</w:t>
      </w:r>
      <w:r>
        <w:rPr>
          <w:rFonts w:hint="eastAsia"/>
          <w:kern w:val="0"/>
          <w:sz w:val="24"/>
        </w:rPr>
        <w:t>)</w:t>
      </w:r>
      <w:r>
        <w:rPr>
          <w:kern w:val="0"/>
          <w:sz w:val="24"/>
        </w:rPr>
        <w:t xml:space="preserve">  </w:t>
      </w:r>
      <w:r>
        <w:rPr>
          <w:rFonts w:hint="eastAsia"/>
          <w:kern w:val="0"/>
          <w:sz w:val="24"/>
        </w:rPr>
        <w:t>《国家三、四等水准测量规范》(GB/T 12898-2009)；</w:t>
      </w:r>
    </w:p>
    <w:p>
      <w:pPr>
        <w:autoSpaceDE w:val="0"/>
        <w:autoSpaceDN w:val="0"/>
        <w:adjustRightInd w:val="0"/>
        <w:snapToGrid w:val="0"/>
        <w:spacing w:line="500" w:lineRule="atLeast"/>
        <w:ind w:firstLine="480" w:firstLineChars="200"/>
        <w:rPr>
          <w:kern w:val="0"/>
          <w:sz w:val="24"/>
        </w:rPr>
      </w:pPr>
      <w:r>
        <w:rPr>
          <w:rFonts w:hint="eastAsia"/>
          <w:kern w:val="0"/>
          <w:sz w:val="24"/>
        </w:rPr>
        <w:t>(</w:t>
      </w:r>
      <w:r>
        <w:rPr>
          <w:kern w:val="0"/>
          <w:sz w:val="24"/>
        </w:rPr>
        <w:t>19</w:t>
      </w:r>
      <w:r>
        <w:rPr>
          <w:rFonts w:hint="eastAsia"/>
          <w:kern w:val="0"/>
          <w:sz w:val="24"/>
        </w:rPr>
        <w:t>)</w:t>
      </w:r>
      <w:r>
        <w:rPr>
          <w:kern w:val="0"/>
          <w:sz w:val="24"/>
        </w:rPr>
        <w:t xml:space="preserve">  </w:t>
      </w:r>
      <w:r>
        <w:rPr>
          <w:rFonts w:hint="eastAsia"/>
          <w:kern w:val="0"/>
          <w:sz w:val="24"/>
        </w:rPr>
        <w:t>《工程测量规范》(GB 50026-2007)；</w:t>
      </w:r>
    </w:p>
    <w:p>
      <w:pPr>
        <w:autoSpaceDE w:val="0"/>
        <w:autoSpaceDN w:val="0"/>
        <w:adjustRightInd w:val="0"/>
        <w:snapToGrid w:val="0"/>
        <w:spacing w:line="500" w:lineRule="atLeast"/>
        <w:ind w:firstLine="480" w:firstLineChars="200"/>
        <w:rPr>
          <w:kern w:val="0"/>
          <w:sz w:val="24"/>
        </w:rPr>
      </w:pPr>
      <w:r>
        <w:rPr>
          <w:rFonts w:hint="eastAsia"/>
          <w:kern w:val="0"/>
          <w:sz w:val="24"/>
        </w:rPr>
        <w:t>(2</w:t>
      </w:r>
      <w:r>
        <w:rPr>
          <w:kern w:val="0"/>
          <w:sz w:val="24"/>
        </w:rPr>
        <w:t>0</w:t>
      </w:r>
      <w:r>
        <w:rPr>
          <w:rFonts w:hint="eastAsia"/>
          <w:kern w:val="0"/>
          <w:sz w:val="24"/>
        </w:rPr>
        <w:t>)</w:t>
      </w:r>
      <w:r>
        <w:rPr>
          <w:kern w:val="0"/>
          <w:sz w:val="24"/>
        </w:rPr>
        <w:t xml:space="preserve">  </w:t>
      </w:r>
      <w:r>
        <w:rPr>
          <w:rFonts w:hint="eastAsia"/>
          <w:kern w:val="0"/>
          <w:sz w:val="24"/>
        </w:rPr>
        <w:t>《城市轨道交通工程监测技术规范》(GB 50911-2013)；</w:t>
      </w:r>
    </w:p>
    <w:p>
      <w:pPr>
        <w:autoSpaceDE w:val="0"/>
        <w:autoSpaceDN w:val="0"/>
        <w:adjustRightInd w:val="0"/>
        <w:snapToGrid w:val="0"/>
        <w:spacing w:line="500" w:lineRule="atLeast"/>
        <w:ind w:firstLine="480" w:firstLineChars="200"/>
        <w:rPr>
          <w:kern w:val="0"/>
          <w:sz w:val="24"/>
        </w:rPr>
      </w:pPr>
      <w:r>
        <w:rPr>
          <w:rFonts w:hint="eastAsia"/>
          <w:kern w:val="0"/>
          <w:sz w:val="24"/>
        </w:rPr>
        <w:t>(2</w:t>
      </w:r>
      <w:r>
        <w:rPr>
          <w:kern w:val="0"/>
          <w:sz w:val="24"/>
        </w:rPr>
        <w:t>1</w:t>
      </w:r>
      <w:r>
        <w:rPr>
          <w:rFonts w:hint="eastAsia"/>
          <w:kern w:val="0"/>
          <w:sz w:val="24"/>
        </w:rPr>
        <w:t>)</w:t>
      </w:r>
      <w:r>
        <w:rPr>
          <w:kern w:val="0"/>
          <w:sz w:val="24"/>
        </w:rPr>
        <w:t xml:space="preserve">  《水工建筑物水泥灌浆施工技术规范》(SL62-2014)</w:t>
      </w:r>
      <w:r>
        <w:rPr>
          <w:rFonts w:hint="eastAsia"/>
          <w:kern w:val="0"/>
          <w:sz w:val="24"/>
        </w:rPr>
        <w:t>；</w:t>
      </w:r>
    </w:p>
    <w:p>
      <w:pPr>
        <w:autoSpaceDE w:val="0"/>
        <w:autoSpaceDN w:val="0"/>
        <w:adjustRightInd w:val="0"/>
        <w:snapToGrid w:val="0"/>
        <w:spacing w:line="500" w:lineRule="atLeast"/>
        <w:ind w:firstLine="480" w:firstLineChars="200"/>
        <w:rPr>
          <w:kern w:val="0"/>
          <w:sz w:val="24"/>
        </w:rPr>
      </w:pPr>
      <w:r>
        <w:rPr>
          <w:rFonts w:hint="eastAsia"/>
          <w:kern w:val="0"/>
          <w:sz w:val="24"/>
        </w:rPr>
        <w:t>(2</w:t>
      </w:r>
      <w:r>
        <w:rPr>
          <w:kern w:val="0"/>
          <w:sz w:val="24"/>
        </w:rPr>
        <w:t>2</w:t>
      </w:r>
      <w:r>
        <w:rPr>
          <w:rFonts w:hint="eastAsia"/>
          <w:kern w:val="0"/>
          <w:sz w:val="24"/>
        </w:rPr>
        <w:t>)</w:t>
      </w:r>
      <w:r>
        <w:rPr>
          <w:kern w:val="0"/>
          <w:sz w:val="24"/>
        </w:rPr>
        <w:t xml:space="preserve">  《</w:t>
      </w:r>
      <w:r>
        <w:rPr>
          <w:rFonts w:hint="eastAsia"/>
          <w:kern w:val="0"/>
          <w:sz w:val="24"/>
        </w:rPr>
        <w:t>建筑地基基础工程施工质量验收标准</w:t>
      </w:r>
      <w:r>
        <w:rPr>
          <w:kern w:val="0"/>
          <w:sz w:val="24"/>
        </w:rPr>
        <w:t>》</w:t>
      </w:r>
      <w:r>
        <w:rPr>
          <w:rFonts w:hint="eastAsia"/>
          <w:kern w:val="0"/>
          <w:sz w:val="24"/>
        </w:rPr>
        <w:t>GB50202-20</w:t>
      </w:r>
      <w:r>
        <w:rPr>
          <w:kern w:val="0"/>
          <w:sz w:val="24"/>
        </w:rPr>
        <w:t>18</w:t>
      </w:r>
      <w:r>
        <w:rPr>
          <w:rFonts w:hint="eastAsia"/>
          <w:kern w:val="0"/>
          <w:sz w:val="24"/>
        </w:rPr>
        <w:t>；</w:t>
      </w:r>
    </w:p>
    <w:p>
      <w:pPr>
        <w:autoSpaceDE w:val="0"/>
        <w:autoSpaceDN w:val="0"/>
        <w:adjustRightInd w:val="0"/>
        <w:snapToGrid w:val="0"/>
        <w:spacing w:line="500" w:lineRule="atLeast"/>
        <w:ind w:firstLine="480" w:firstLineChars="200"/>
        <w:rPr>
          <w:kern w:val="0"/>
          <w:sz w:val="24"/>
        </w:rPr>
      </w:pPr>
      <w:r>
        <w:rPr>
          <w:rFonts w:hint="eastAsia"/>
          <w:kern w:val="0"/>
          <w:sz w:val="24"/>
        </w:rPr>
        <w:t>(2</w:t>
      </w:r>
      <w:r>
        <w:rPr>
          <w:kern w:val="0"/>
          <w:sz w:val="24"/>
        </w:rPr>
        <w:t>3</w:t>
      </w:r>
      <w:r>
        <w:rPr>
          <w:rFonts w:hint="eastAsia"/>
          <w:kern w:val="0"/>
          <w:sz w:val="24"/>
        </w:rPr>
        <w:t>)</w:t>
      </w:r>
      <w:r>
        <w:rPr>
          <w:kern w:val="0"/>
          <w:sz w:val="24"/>
        </w:rPr>
        <w:t xml:space="preserve">  《</w:t>
      </w:r>
      <w:r>
        <w:rPr>
          <w:rFonts w:hint="eastAsia"/>
          <w:kern w:val="0"/>
          <w:sz w:val="24"/>
        </w:rPr>
        <w:t>水利水电建设工程验收规程</w:t>
      </w:r>
      <w:r>
        <w:rPr>
          <w:kern w:val="0"/>
          <w:sz w:val="24"/>
        </w:rPr>
        <w:t>》SL223-2008</w:t>
      </w:r>
      <w:r>
        <w:rPr>
          <w:rFonts w:hint="eastAsia"/>
          <w:kern w:val="0"/>
          <w:sz w:val="24"/>
        </w:rPr>
        <w:t>；</w:t>
      </w:r>
    </w:p>
    <w:p>
      <w:pPr>
        <w:autoSpaceDE w:val="0"/>
        <w:autoSpaceDN w:val="0"/>
        <w:adjustRightInd w:val="0"/>
        <w:snapToGrid w:val="0"/>
        <w:spacing w:line="500" w:lineRule="atLeast"/>
        <w:ind w:firstLine="480" w:firstLineChars="200"/>
        <w:rPr>
          <w:kern w:val="0"/>
          <w:sz w:val="24"/>
        </w:rPr>
      </w:pPr>
      <w:r>
        <w:rPr>
          <w:rFonts w:hint="eastAsia"/>
          <w:kern w:val="0"/>
          <w:sz w:val="24"/>
        </w:rPr>
        <w:t>(2</w:t>
      </w:r>
      <w:r>
        <w:rPr>
          <w:kern w:val="0"/>
          <w:sz w:val="24"/>
        </w:rPr>
        <w:t>4</w:t>
      </w:r>
      <w:r>
        <w:rPr>
          <w:rFonts w:hint="eastAsia"/>
          <w:kern w:val="0"/>
          <w:sz w:val="24"/>
        </w:rPr>
        <w:t>)</w:t>
      </w:r>
      <w:r>
        <w:rPr>
          <w:kern w:val="0"/>
          <w:sz w:val="24"/>
        </w:rPr>
        <w:t xml:space="preserve">  《</w:t>
      </w:r>
      <w:r>
        <w:rPr>
          <w:rFonts w:hint="eastAsia"/>
          <w:kern w:val="0"/>
          <w:sz w:val="24"/>
        </w:rPr>
        <w:t>大坝安全监测系统验收规范</w:t>
      </w:r>
      <w:r>
        <w:rPr>
          <w:kern w:val="0"/>
          <w:sz w:val="24"/>
        </w:rPr>
        <w:t>》GB/T 22385-2008</w:t>
      </w:r>
      <w:r>
        <w:rPr>
          <w:rFonts w:hint="eastAsia"/>
          <w:kern w:val="0"/>
          <w:sz w:val="24"/>
        </w:rPr>
        <w:t>；</w:t>
      </w:r>
    </w:p>
    <w:p>
      <w:pPr>
        <w:autoSpaceDE w:val="0"/>
        <w:autoSpaceDN w:val="0"/>
        <w:adjustRightInd w:val="0"/>
        <w:snapToGrid w:val="0"/>
        <w:spacing w:line="500" w:lineRule="atLeast"/>
        <w:ind w:firstLine="480" w:firstLineChars="200"/>
        <w:rPr>
          <w:kern w:val="0"/>
          <w:sz w:val="24"/>
        </w:rPr>
      </w:pPr>
      <w:r>
        <w:rPr>
          <w:rFonts w:hint="eastAsia"/>
          <w:kern w:val="0"/>
          <w:sz w:val="24"/>
        </w:rPr>
        <w:t>(2</w:t>
      </w:r>
      <w:r>
        <w:rPr>
          <w:kern w:val="0"/>
          <w:sz w:val="24"/>
        </w:rPr>
        <w:t>5</w:t>
      </w:r>
      <w:r>
        <w:rPr>
          <w:rFonts w:hint="eastAsia"/>
          <w:kern w:val="0"/>
          <w:sz w:val="24"/>
        </w:rPr>
        <w:t>)</w:t>
      </w:r>
      <w:r>
        <w:rPr>
          <w:kern w:val="0"/>
          <w:sz w:val="24"/>
        </w:rPr>
        <w:t xml:space="preserve">  《</w:t>
      </w:r>
      <w:r>
        <w:rPr>
          <w:rFonts w:hint="eastAsia"/>
          <w:kern w:val="0"/>
          <w:sz w:val="24"/>
        </w:rPr>
        <w:t>水利水电工程施工质量检验与评定规程</w:t>
      </w:r>
      <w:r>
        <w:rPr>
          <w:kern w:val="0"/>
          <w:sz w:val="24"/>
        </w:rPr>
        <w:t>》SL176-2007</w:t>
      </w:r>
      <w:r>
        <w:rPr>
          <w:rFonts w:hint="eastAsia"/>
          <w:kern w:val="0"/>
          <w:sz w:val="24"/>
        </w:rPr>
        <w:t>。</w:t>
      </w:r>
    </w:p>
    <w:p>
      <w:pPr>
        <w:autoSpaceDE w:val="0"/>
        <w:autoSpaceDN w:val="0"/>
        <w:adjustRightInd w:val="0"/>
        <w:snapToGrid w:val="0"/>
        <w:spacing w:line="500" w:lineRule="atLeast"/>
        <w:ind w:firstLine="480" w:firstLineChars="200"/>
        <w:rPr>
          <w:kern w:val="0"/>
          <w:sz w:val="24"/>
        </w:rPr>
      </w:pPr>
    </w:p>
    <w:p>
      <w:pPr>
        <w:pStyle w:val="4"/>
        <w:adjustRightInd w:val="0"/>
        <w:snapToGrid w:val="0"/>
        <w:spacing w:before="0" w:after="0" w:line="500" w:lineRule="atLeast"/>
        <w:rPr>
          <w:rFonts w:ascii="黑体" w:hAnsi="黑体" w:eastAsia="黑体"/>
          <w:b w:val="0"/>
          <w:sz w:val="24"/>
          <w:szCs w:val="24"/>
        </w:rPr>
      </w:pPr>
      <w:bookmarkStart w:id="42" w:name="_Toc1776"/>
      <w:bookmarkStart w:id="43" w:name="_Toc249322056"/>
      <w:bookmarkStart w:id="44" w:name="_Toc414615060"/>
      <w:bookmarkStart w:id="45" w:name="_Toc414615212"/>
      <w:bookmarkStart w:id="46" w:name="_Toc118821416"/>
      <w:r>
        <w:rPr>
          <w:rFonts w:hint="eastAsia" w:ascii="黑体" w:hAnsi="黑体" w:eastAsia="黑体"/>
          <w:b w:val="0"/>
          <w:sz w:val="24"/>
          <w:szCs w:val="24"/>
        </w:rPr>
        <w:t xml:space="preserve">1.3 </w:t>
      </w:r>
      <w:r>
        <w:rPr>
          <w:rFonts w:ascii="黑体" w:hAnsi="黑体" w:eastAsia="黑体"/>
          <w:b w:val="0"/>
          <w:sz w:val="24"/>
          <w:szCs w:val="24"/>
        </w:rPr>
        <w:t xml:space="preserve"> 安全监测布置</w:t>
      </w:r>
      <w:bookmarkEnd w:id="42"/>
      <w:bookmarkEnd w:id="43"/>
      <w:bookmarkEnd w:id="44"/>
      <w:bookmarkEnd w:id="45"/>
      <w:bookmarkEnd w:id="46"/>
    </w:p>
    <w:p>
      <w:pPr>
        <w:pStyle w:val="5"/>
        <w:snapToGrid w:val="0"/>
        <w:spacing w:before="0" w:after="0" w:line="500" w:lineRule="atLeast"/>
        <w:jc w:val="both"/>
        <w:rPr>
          <w:szCs w:val="24"/>
          <w:lang w:val="en-US"/>
        </w:rPr>
      </w:pPr>
      <w:bookmarkStart w:id="47" w:name="_Toc15381"/>
      <w:bookmarkStart w:id="48" w:name="_Toc118821417"/>
      <w:r>
        <w:rPr>
          <w:rFonts w:hint="eastAsia"/>
          <w:szCs w:val="24"/>
          <w:lang w:val="en-US"/>
        </w:rPr>
        <w:t>1.3.1  盾构隧洞</w:t>
      </w:r>
      <w:bookmarkEnd w:id="47"/>
      <w:bookmarkEnd w:id="48"/>
    </w:p>
    <w:p>
      <w:pPr>
        <w:pStyle w:val="275"/>
        <w:spacing w:line="500" w:lineRule="atLeast"/>
        <w:ind w:firstLine="480" w:firstLineChars="200"/>
      </w:pPr>
      <w:r>
        <w:rPr>
          <w:rFonts w:hint="eastAsia"/>
        </w:rPr>
        <w:t>盾构隧洞长18.6</w:t>
      </w:r>
      <w:r>
        <w:t>9</w:t>
      </w:r>
      <w:r>
        <w:rPr>
          <w:rFonts w:hint="eastAsia"/>
        </w:rPr>
        <w:t>km，</w:t>
      </w:r>
      <w:r>
        <w:t>采用盾构隧洞+钢筋混凝土内衬或盾构隧洞+钢管内衬</w:t>
      </w:r>
      <w:r>
        <w:rPr>
          <w:rFonts w:hint="eastAsia"/>
        </w:rPr>
        <w:t>。</w:t>
      </w:r>
    </w:p>
    <w:p>
      <w:pPr>
        <w:pStyle w:val="6"/>
      </w:pPr>
      <w:r>
        <w:rPr>
          <w:rFonts w:hint="eastAsia"/>
        </w:rPr>
        <w:t>1.3.1.1盾构隧洞钢筋混凝土内衬段</w:t>
      </w:r>
    </w:p>
    <w:p>
      <w:pPr>
        <w:pStyle w:val="275"/>
        <w:spacing w:line="500" w:lineRule="atLeast"/>
        <w:ind w:firstLine="480" w:firstLineChars="200"/>
      </w:pPr>
      <w:r>
        <w:t>古巷分水口至古巷泵站段(桩号GX0+000～GX1+915)、揭东半洋至榕江北岸(桩号GX7+90</w:t>
      </w:r>
      <w:r>
        <w:rPr>
          <w:rFonts w:hint="eastAsia"/>
        </w:rPr>
        <w:t>0</w:t>
      </w:r>
      <w:r>
        <w:t>～GX22+</w:t>
      </w:r>
      <w:r>
        <w:rPr>
          <w:rFonts w:hint="eastAsia"/>
        </w:rPr>
        <w:t>841</w:t>
      </w:r>
      <w:r>
        <w:t>)采用盾构隧洞内衬钢筋混凝土结构型式</w:t>
      </w:r>
      <w:r>
        <w:rPr>
          <w:rFonts w:hint="eastAsia"/>
        </w:rPr>
        <w:t>。</w:t>
      </w:r>
      <w:r>
        <w:t>管片之间连接采用不锈钢螺栓，连接处设有密封止水，管片表面采用防腐处理。</w:t>
      </w:r>
    </w:p>
    <w:p>
      <w:pPr>
        <w:pStyle w:val="275"/>
        <w:adjustRightInd w:val="0"/>
        <w:snapToGrid w:val="0"/>
        <w:spacing w:line="500" w:lineRule="atLeast"/>
        <w:ind w:firstLine="480"/>
      </w:pPr>
      <w:r>
        <w:t>根据地形地质条件，在盾构隧洞地质条件较差、不同地质交互部位、过江段或盾构隧洞下穿建筑物等部位设置监测断面，共设置4个一般监测断面（3个监测断面布置振弦式仪器，1个监测断面布置FBG仪器）和14个综合监测断面（10个监测断面布置振弦式仪器，4个监测断面布置FBG仪器）。综合监测断面主要设置在盾构隧洞穿过不同地层或下穿江河、铁路等部位，且保证每个盾构区间至少有一个综合监测断面；一般监测断面主要设置在地质条件较好的部位。</w:t>
      </w:r>
    </w:p>
    <w:p>
      <w:pPr>
        <w:pStyle w:val="275"/>
        <w:spacing w:line="500" w:lineRule="atLeast"/>
        <w:ind w:firstLine="480" w:firstLineChars="200"/>
      </w:pPr>
      <w:r>
        <w:t>盾构隧洞钢筋混凝土内衬段监测断面分布情况见表1.3.2-1。具体监测布置如下：</w:t>
      </w:r>
    </w:p>
    <w:p>
      <w:pPr>
        <w:pStyle w:val="21"/>
        <w:overflowPunct w:val="0"/>
        <w:spacing w:line="500" w:lineRule="atLeast"/>
        <w:ind w:firstLine="0"/>
        <w:jc w:val="center"/>
        <w:rPr>
          <w:rFonts w:eastAsia="黑体"/>
          <w:spacing w:val="8"/>
          <w:sz w:val="24"/>
          <w:szCs w:val="24"/>
        </w:rPr>
      </w:pPr>
      <w:r>
        <w:rPr>
          <w:rFonts w:eastAsia="黑体"/>
          <w:spacing w:val="8"/>
          <w:sz w:val="24"/>
          <w:szCs w:val="24"/>
        </w:rPr>
        <w:t>表</w:t>
      </w:r>
      <w:r>
        <w:rPr>
          <w:rFonts w:eastAsia="黑体"/>
          <w:b/>
          <w:spacing w:val="8"/>
          <w:sz w:val="24"/>
          <w:szCs w:val="24"/>
        </w:rPr>
        <w:t>1.3.</w:t>
      </w:r>
      <w:r>
        <w:rPr>
          <w:rFonts w:hint="eastAsia" w:eastAsia="黑体"/>
          <w:b/>
          <w:spacing w:val="8"/>
          <w:sz w:val="24"/>
          <w:szCs w:val="24"/>
        </w:rPr>
        <w:t>2</w:t>
      </w:r>
      <w:r>
        <w:rPr>
          <w:rFonts w:eastAsia="黑体"/>
          <w:b/>
          <w:spacing w:val="8"/>
          <w:sz w:val="24"/>
          <w:szCs w:val="24"/>
        </w:rPr>
        <w:t xml:space="preserve">-1 </w:t>
      </w:r>
      <w:r>
        <w:rPr>
          <w:rFonts w:eastAsia="黑体"/>
          <w:spacing w:val="8"/>
          <w:sz w:val="24"/>
          <w:szCs w:val="24"/>
        </w:rPr>
        <w:t xml:space="preserve"> 盾构隧洞</w:t>
      </w:r>
      <w:r>
        <w:rPr>
          <w:rFonts w:hint="eastAsia" w:eastAsia="黑体"/>
          <w:spacing w:val="8"/>
          <w:sz w:val="24"/>
          <w:szCs w:val="24"/>
        </w:rPr>
        <w:t>钢筋混凝土内衬段</w:t>
      </w:r>
      <w:r>
        <w:rPr>
          <w:rFonts w:eastAsia="黑体"/>
          <w:spacing w:val="8"/>
          <w:sz w:val="24"/>
          <w:szCs w:val="24"/>
        </w:rPr>
        <w:t>监测断面分布情况表</w:t>
      </w:r>
    </w:p>
    <w:tbl>
      <w:tblPr>
        <w:tblStyle w:val="88"/>
        <w:tblW w:w="4998" w:type="pct"/>
        <w:jc w:val="center"/>
        <w:tblLayout w:type="autofit"/>
        <w:tblCellMar>
          <w:top w:w="0" w:type="dxa"/>
          <w:left w:w="0" w:type="dxa"/>
          <w:bottom w:w="0" w:type="dxa"/>
          <w:right w:w="0" w:type="dxa"/>
        </w:tblCellMar>
      </w:tblPr>
      <w:tblGrid>
        <w:gridCol w:w="386"/>
        <w:gridCol w:w="1189"/>
        <w:gridCol w:w="906"/>
        <w:gridCol w:w="1935"/>
        <w:gridCol w:w="1118"/>
        <w:gridCol w:w="1154"/>
        <w:gridCol w:w="658"/>
        <w:gridCol w:w="1005"/>
      </w:tblGrid>
      <w:tr>
        <w:tblPrEx>
          <w:tblCellMar>
            <w:top w:w="0" w:type="dxa"/>
            <w:left w:w="0" w:type="dxa"/>
            <w:bottom w:w="0" w:type="dxa"/>
            <w:right w:w="0" w:type="dxa"/>
          </w:tblCellMar>
        </w:tblPrEx>
        <w:trPr>
          <w:trHeight w:val="280" w:hRule="atLeast"/>
          <w:tblHeader/>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序号</w:t>
            </w:r>
          </w:p>
        </w:tc>
        <w:tc>
          <w:tcPr>
            <w:tcW w:w="658"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桩号</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仪器类型</w:t>
            </w:r>
          </w:p>
        </w:tc>
        <w:tc>
          <w:tcPr>
            <w:tcW w:w="1070"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工程地质描述</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监测站</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kern w:val="0"/>
                <w:sz w:val="18"/>
                <w:szCs w:val="18"/>
                <w:lang w:bidi="ar"/>
              </w:rPr>
            </w:pPr>
            <w:r>
              <w:rPr>
                <w:rFonts w:hint="eastAsia" w:eastAsiaTheme="minorEastAsia"/>
                <w:color w:val="000000"/>
                <w:kern w:val="0"/>
                <w:sz w:val="18"/>
                <w:szCs w:val="18"/>
                <w:lang w:bidi="ar"/>
              </w:rPr>
              <w:t>监测站桩号</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区间</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备注</w:t>
            </w:r>
          </w:p>
        </w:tc>
      </w:tr>
      <w:tr>
        <w:tblPrEx>
          <w:tblCellMar>
            <w:top w:w="0" w:type="dxa"/>
            <w:left w:w="0" w:type="dxa"/>
            <w:bottom w:w="0" w:type="dxa"/>
            <w:right w:w="0" w:type="dxa"/>
          </w:tblCellMar>
        </w:tblPrEx>
        <w:trPr>
          <w:trHeight w:val="28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GX0+080.000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振弦式</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下穿枫江，围岩类别为②-5中粗砂</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kern w:val="0"/>
                <w:sz w:val="18"/>
                <w:szCs w:val="18"/>
                <w:lang w:bidi="ar"/>
              </w:rPr>
            </w:pPr>
            <w:r>
              <w:rPr>
                <w:rFonts w:eastAsiaTheme="minorEastAsia"/>
                <w:color w:val="000000"/>
                <w:kern w:val="0"/>
                <w:sz w:val="18"/>
                <w:szCs w:val="18"/>
                <w:lang w:bidi="ar"/>
              </w:rPr>
              <w:t>GX0+018.908</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1#~2#</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综合断面</w:t>
            </w:r>
          </w:p>
        </w:tc>
      </w:tr>
      <w:tr>
        <w:tblPrEx>
          <w:tblCellMar>
            <w:top w:w="0" w:type="dxa"/>
            <w:left w:w="0" w:type="dxa"/>
            <w:bottom w:w="0" w:type="dxa"/>
            <w:right w:w="0" w:type="dxa"/>
          </w:tblCellMar>
        </w:tblPrEx>
        <w:trPr>
          <w:trHeight w:val="28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2</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GX1+235.000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振弦式</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下穿河涌，围岩类别为②-6淤泥质层，断层f102</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2#盾构井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r>
              <w:rPr>
                <w:rFonts w:eastAsiaTheme="minorEastAsia"/>
                <w:color w:val="000000"/>
                <w:sz w:val="18"/>
                <w:szCs w:val="18"/>
              </w:rPr>
              <w:t>GX1+913.502</w:t>
            </w: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Times New Roman" w:hAnsi="Times New Roman" w:cs="Times New Roman" w:eastAsiaTheme="minorEastAsia"/>
                <w:color w:val="000000"/>
                <w:sz w:val="18"/>
                <w:szCs w:val="18"/>
              </w:rPr>
            </w:pPr>
          </w:p>
        </w:tc>
      </w:tr>
      <w:tr>
        <w:tblPrEx>
          <w:tblCellMar>
            <w:top w:w="0" w:type="dxa"/>
            <w:left w:w="0" w:type="dxa"/>
            <w:bottom w:w="0" w:type="dxa"/>
            <w:right w:w="0" w:type="dxa"/>
          </w:tblCellMar>
        </w:tblPrEx>
        <w:trPr>
          <w:trHeight w:val="54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3</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GX1+750.000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振弦式</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围岩类别为Ⅳ强风化花岗岩、强风化泥质粉砂岩、强风化长石石英砂岩</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2#盾构井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r>
              <w:rPr>
                <w:rFonts w:eastAsiaTheme="minorEastAsia"/>
                <w:color w:val="000000"/>
                <w:sz w:val="18"/>
                <w:szCs w:val="18"/>
              </w:rPr>
              <w:t>GX1+913.502</w:t>
            </w: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一般断面</w:t>
            </w:r>
          </w:p>
        </w:tc>
      </w:tr>
      <w:tr>
        <w:tblPrEx>
          <w:tblCellMar>
            <w:top w:w="0" w:type="dxa"/>
            <w:left w:w="0" w:type="dxa"/>
            <w:bottom w:w="0" w:type="dxa"/>
            <w:right w:w="0" w:type="dxa"/>
          </w:tblCellMar>
        </w:tblPrEx>
        <w:trPr>
          <w:trHeight w:val="28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4</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GX8+295.000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振弦式</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围岩类别为Ⅴ全风化花岗岩，下穿畲龙铁路</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4#盾构井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kern w:val="0"/>
                <w:sz w:val="18"/>
                <w:szCs w:val="18"/>
                <w:lang w:bidi="ar"/>
              </w:rPr>
            </w:pPr>
            <w:r>
              <w:rPr>
                <w:rFonts w:eastAsiaTheme="minorEastAsia"/>
                <w:color w:val="000000"/>
                <w:kern w:val="0"/>
                <w:sz w:val="18"/>
                <w:szCs w:val="18"/>
                <w:lang w:bidi="ar"/>
              </w:rPr>
              <w:t>GX7+901</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4#~5#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一般断面</w:t>
            </w:r>
          </w:p>
        </w:tc>
      </w:tr>
      <w:tr>
        <w:tblPrEx>
          <w:tblCellMar>
            <w:top w:w="0" w:type="dxa"/>
            <w:left w:w="0" w:type="dxa"/>
            <w:bottom w:w="0" w:type="dxa"/>
            <w:right w:w="0" w:type="dxa"/>
          </w:tblCellMar>
        </w:tblPrEx>
        <w:trPr>
          <w:trHeight w:val="28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5</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GX9+306.000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振弦式</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②-3中粗砂</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5#盾构井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kern w:val="0"/>
                <w:sz w:val="18"/>
                <w:szCs w:val="18"/>
                <w:lang w:bidi="ar"/>
              </w:rPr>
            </w:pPr>
            <w:r>
              <w:rPr>
                <w:rFonts w:eastAsiaTheme="minorEastAsia"/>
                <w:color w:val="000000"/>
                <w:kern w:val="0"/>
                <w:sz w:val="18"/>
                <w:szCs w:val="18"/>
                <w:lang w:bidi="ar"/>
              </w:rPr>
              <w:t>GX8+825</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5#~6#</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综合断面</w:t>
            </w:r>
          </w:p>
        </w:tc>
      </w:tr>
      <w:tr>
        <w:tblPrEx>
          <w:tblCellMar>
            <w:top w:w="0" w:type="dxa"/>
            <w:left w:w="0" w:type="dxa"/>
            <w:bottom w:w="0" w:type="dxa"/>
            <w:right w:w="0" w:type="dxa"/>
          </w:tblCellMar>
        </w:tblPrEx>
        <w:trPr>
          <w:trHeight w:val="28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6</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GX10+106.000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振弦式</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②-2黏土</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6#盾构井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r>
              <w:rPr>
                <w:rFonts w:eastAsiaTheme="minorEastAsia"/>
                <w:color w:val="000000"/>
                <w:sz w:val="18"/>
                <w:szCs w:val="18"/>
              </w:rPr>
              <w:t>GX10+797</w:t>
            </w: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Times New Roman" w:hAnsi="Times New Roman" w:cs="Times New Roman" w:eastAsiaTheme="minorEastAsia"/>
                <w:color w:val="000000"/>
                <w:sz w:val="18"/>
                <w:szCs w:val="18"/>
              </w:rPr>
            </w:pPr>
          </w:p>
        </w:tc>
      </w:tr>
      <w:tr>
        <w:tblPrEx>
          <w:tblCellMar>
            <w:top w:w="0" w:type="dxa"/>
            <w:left w:w="0" w:type="dxa"/>
            <w:bottom w:w="0" w:type="dxa"/>
            <w:right w:w="0" w:type="dxa"/>
          </w:tblCellMar>
        </w:tblPrEx>
        <w:trPr>
          <w:trHeight w:val="28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7</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GX11+391.000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振弦式</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②-3中粗砂</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6#盾构井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kern w:val="0"/>
                <w:sz w:val="18"/>
                <w:szCs w:val="18"/>
                <w:lang w:bidi="ar"/>
              </w:rPr>
            </w:pPr>
            <w:r>
              <w:rPr>
                <w:rFonts w:eastAsiaTheme="minorEastAsia"/>
                <w:color w:val="000000"/>
                <w:kern w:val="0"/>
                <w:sz w:val="18"/>
                <w:szCs w:val="18"/>
                <w:lang w:bidi="ar"/>
              </w:rPr>
              <w:t>GX10+797</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6#~7#</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Times New Roman" w:hAnsi="Times New Roman" w:cs="Times New Roman" w:eastAsiaTheme="minorEastAsia"/>
                <w:color w:val="000000"/>
                <w:sz w:val="18"/>
                <w:szCs w:val="18"/>
              </w:rPr>
            </w:pPr>
          </w:p>
        </w:tc>
      </w:tr>
      <w:tr>
        <w:tblPrEx>
          <w:tblCellMar>
            <w:top w:w="0" w:type="dxa"/>
            <w:left w:w="0" w:type="dxa"/>
            <w:bottom w:w="0" w:type="dxa"/>
            <w:right w:w="0" w:type="dxa"/>
          </w:tblCellMar>
        </w:tblPrEx>
        <w:trPr>
          <w:trHeight w:val="28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8</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GX12+391.000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振弦式</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②-4淤泥质土</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7#盾构井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r>
              <w:rPr>
                <w:rFonts w:eastAsiaTheme="minorEastAsia"/>
                <w:color w:val="000000"/>
                <w:sz w:val="18"/>
                <w:szCs w:val="18"/>
              </w:rPr>
              <w:t>GX12+897</w:t>
            </w: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Times New Roman" w:hAnsi="Times New Roman" w:cs="Times New Roman" w:eastAsiaTheme="minorEastAsia"/>
                <w:color w:val="000000"/>
                <w:sz w:val="18"/>
                <w:szCs w:val="18"/>
              </w:rPr>
            </w:pPr>
          </w:p>
        </w:tc>
      </w:tr>
      <w:tr>
        <w:tblPrEx>
          <w:tblCellMar>
            <w:top w:w="0" w:type="dxa"/>
            <w:left w:w="0" w:type="dxa"/>
            <w:bottom w:w="0" w:type="dxa"/>
            <w:right w:w="0" w:type="dxa"/>
          </w:tblCellMar>
        </w:tblPrEx>
        <w:trPr>
          <w:trHeight w:val="54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9</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GX13+592.000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振弦式</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围岩类别为Ⅳ强风化花岗岩、强风化泥质粉砂岩、强风化长石石英砂岩</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7#盾构井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kern w:val="0"/>
                <w:sz w:val="18"/>
                <w:szCs w:val="18"/>
                <w:lang w:bidi="ar"/>
              </w:rPr>
            </w:pPr>
            <w:r>
              <w:rPr>
                <w:rFonts w:eastAsiaTheme="minorEastAsia"/>
                <w:color w:val="000000"/>
                <w:kern w:val="0"/>
                <w:sz w:val="18"/>
                <w:szCs w:val="18"/>
                <w:lang w:bidi="ar"/>
              </w:rPr>
              <w:t>GX12+897</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7#~8#</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一般断面</w:t>
            </w:r>
          </w:p>
        </w:tc>
      </w:tr>
      <w:tr>
        <w:tblPrEx>
          <w:tblCellMar>
            <w:top w:w="0" w:type="dxa"/>
            <w:left w:w="0" w:type="dxa"/>
            <w:bottom w:w="0" w:type="dxa"/>
            <w:right w:w="0" w:type="dxa"/>
          </w:tblCellMar>
        </w:tblPrEx>
        <w:trPr>
          <w:trHeight w:val="28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10</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GX14+492.000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振弦式</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②-6淤泥质层</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8#盾构井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r>
              <w:rPr>
                <w:rFonts w:eastAsiaTheme="minorEastAsia"/>
                <w:color w:val="000000"/>
                <w:sz w:val="18"/>
                <w:szCs w:val="18"/>
              </w:rPr>
              <w:t>GX14+741</w:t>
            </w: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综合断面</w:t>
            </w:r>
          </w:p>
        </w:tc>
      </w:tr>
      <w:tr>
        <w:tblPrEx>
          <w:tblCellMar>
            <w:top w:w="0" w:type="dxa"/>
            <w:left w:w="0" w:type="dxa"/>
            <w:bottom w:w="0" w:type="dxa"/>
            <w:right w:w="0" w:type="dxa"/>
          </w:tblCellMar>
        </w:tblPrEx>
        <w:trPr>
          <w:trHeight w:val="28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11</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GX15+400.000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振弦式</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②-2黏土</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8#盾构井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kern w:val="0"/>
                <w:sz w:val="18"/>
                <w:szCs w:val="18"/>
                <w:lang w:bidi="ar"/>
              </w:rPr>
            </w:pPr>
            <w:r>
              <w:rPr>
                <w:rFonts w:eastAsiaTheme="minorEastAsia"/>
                <w:color w:val="000000"/>
                <w:kern w:val="0"/>
                <w:sz w:val="18"/>
                <w:szCs w:val="18"/>
                <w:lang w:bidi="ar"/>
              </w:rPr>
              <w:t>GX14+741</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8#~9#</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Times New Roman" w:hAnsi="Times New Roman" w:cs="Times New Roman" w:eastAsiaTheme="minorEastAsia"/>
                <w:color w:val="000000"/>
                <w:sz w:val="18"/>
                <w:szCs w:val="18"/>
              </w:rPr>
            </w:pPr>
          </w:p>
        </w:tc>
      </w:tr>
      <w:tr>
        <w:tblPrEx>
          <w:tblCellMar>
            <w:top w:w="0" w:type="dxa"/>
            <w:left w:w="0" w:type="dxa"/>
            <w:bottom w:w="0" w:type="dxa"/>
            <w:right w:w="0" w:type="dxa"/>
          </w:tblCellMar>
        </w:tblPrEx>
        <w:trPr>
          <w:trHeight w:val="28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12</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GX16+400.000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振弦式</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下穿枫江，②-3中粗砂</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9#盾构井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r>
              <w:rPr>
                <w:rFonts w:eastAsiaTheme="minorEastAsia"/>
                <w:color w:val="000000"/>
                <w:sz w:val="18"/>
                <w:szCs w:val="18"/>
              </w:rPr>
              <w:t>GX16+645</w:t>
            </w: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Times New Roman" w:hAnsi="Times New Roman" w:cs="Times New Roman" w:eastAsiaTheme="minorEastAsia"/>
                <w:color w:val="000000"/>
                <w:sz w:val="18"/>
                <w:szCs w:val="18"/>
              </w:rPr>
            </w:pPr>
          </w:p>
        </w:tc>
      </w:tr>
      <w:tr>
        <w:tblPrEx>
          <w:tblCellMar>
            <w:top w:w="0" w:type="dxa"/>
            <w:left w:w="0" w:type="dxa"/>
            <w:bottom w:w="0" w:type="dxa"/>
            <w:right w:w="0" w:type="dxa"/>
          </w:tblCellMar>
        </w:tblPrEx>
        <w:trPr>
          <w:trHeight w:val="28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13</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GX17+046.000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振弦式</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②-3中粗砂</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9#盾构井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kern w:val="0"/>
                <w:sz w:val="18"/>
                <w:szCs w:val="18"/>
                <w:lang w:bidi="ar"/>
              </w:rPr>
            </w:pPr>
            <w:r>
              <w:rPr>
                <w:rFonts w:eastAsiaTheme="minorEastAsia"/>
                <w:color w:val="000000"/>
                <w:kern w:val="0"/>
                <w:sz w:val="18"/>
                <w:szCs w:val="18"/>
                <w:lang w:bidi="ar"/>
              </w:rPr>
              <w:t>GX16+645</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9#~10#</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Times New Roman" w:hAnsi="Times New Roman" w:cs="Times New Roman" w:eastAsiaTheme="minorEastAsia"/>
                <w:color w:val="000000"/>
                <w:sz w:val="18"/>
                <w:szCs w:val="18"/>
              </w:rPr>
            </w:pPr>
          </w:p>
        </w:tc>
      </w:tr>
      <w:tr>
        <w:tblPrEx>
          <w:tblCellMar>
            <w:top w:w="0" w:type="dxa"/>
            <w:left w:w="0" w:type="dxa"/>
            <w:bottom w:w="0" w:type="dxa"/>
            <w:right w:w="0" w:type="dxa"/>
          </w:tblCellMar>
        </w:tblPrEx>
        <w:trPr>
          <w:trHeight w:val="28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14</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GX17+926.000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FBG</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梅汕客运专线，②-6淤泥质层</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9#盾构井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r>
              <w:rPr>
                <w:rFonts w:eastAsiaTheme="minorEastAsia"/>
                <w:color w:val="000000"/>
                <w:sz w:val="18"/>
                <w:szCs w:val="18"/>
              </w:rPr>
              <w:t>GX16+645</w:t>
            </w: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Times New Roman" w:hAnsi="Times New Roman" w:cs="Times New Roman" w:eastAsiaTheme="minorEastAsia"/>
                <w:color w:val="000000"/>
                <w:sz w:val="18"/>
                <w:szCs w:val="18"/>
              </w:rPr>
            </w:pPr>
          </w:p>
        </w:tc>
      </w:tr>
      <w:tr>
        <w:tblPrEx>
          <w:tblCellMar>
            <w:top w:w="0" w:type="dxa"/>
            <w:left w:w="0" w:type="dxa"/>
            <w:bottom w:w="0" w:type="dxa"/>
            <w:right w:w="0" w:type="dxa"/>
          </w:tblCellMar>
        </w:tblPrEx>
        <w:trPr>
          <w:trHeight w:val="54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15</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GX19+634.000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FBG</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下穿粤东城际铁路（在建），围岩类别为②-4淤泥质层</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9#盾构井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kern w:val="0"/>
                <w:sz w:val="18"/>
                <w:szCs w:val="18"/>
                <w:lang w:bidi="ar"/>
              </w:rPr>
            </w:pPr>
            <w:r>
              <w:rPr>
                <w:rFonts w:eastAsiaTheme="minorEastAsia"/>
                <w:color w:val="000000"/>
                <w:kern w:val="0"/>
                <w:sz w:val="18"/>
                <w:szCs w:val="18"/>
                <w:lang w:bidi="ar"/>
              </w:rPr>
              <w:t>GX16+645</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10#~11#</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Times New Roman" w:hAnsi="Times New Roman" w:cs="Times New Roman" w:eastAsiaTheme="minorEastAsia"/>
                <w:color w:val="000000"/>
                <w:sz w:val="18"/>
                <w:szCs w:val="18"/>
              </w:rPr>
            </w:pPr>
          </w:p>
        </w:tc>
      </w:tr>
      <w:tr>
        <w:tblPrEx>
          <w:tblCellMar>
            <w:top w:w="0" w:type="dxa"/>
            <w:left w:w="0" w:type="dxa"/>
            <w:bottom w:w="0" w:type="dxa"/>
            <w:right w:w="0" w:type="dxa"/>
          </w:tblCellMar>
        </w:tblPrEx>
        <w:trPr>
          <w:trHeight w:val="28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16</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GX20+234.000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FBG</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②-3中粗砂</w:t>
            </w:r>
          </w:p>
        </w:tc>
        <w:tc>
          <w:tcPr>
            <w:tcW w:w="619"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9#盾构井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r>
              <w:rPr>
                <w:rFonts w:eastAsiaTheme="minorEastAsia"/>
                <w:color w:val="000000"/>
                <w:sz w:val="18"/>
                <w:szCs w:val="18"/>
              </w:rPr>
              <w:t>GX16+645</w:t>
            </w: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Times New Roman" w:hAnsi="Times New Roman" w:cs="Times New Roman" w:eastAsiaTheme="minorEastAsia"/>
                <w:color w:val="000000"/>
                <w:sz w:val="18"/>
                <w:szCs w:val="18"/>
              </w:rPr>
            </w:pPr>
          </w:p>
        </w:tc>
      </w:tr>
      <w:tr>
        <w:tblPrEx>
          <w:tblCellMar>
            <w:top w:w="0" w:type="dxa"/>
            <w:left w:w="0" w:type="dxa"/>
            <w:bottom w:w="0" w:type="dxa"/>
            <w:right w:w="0" w:type="dxa"/>
          </w:tblCellMar>
        </w:tblPrEx>
        <w:trPr>
          <w:trHeight w:val="28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17</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GX20+906.000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FBG</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②-3中粗砂</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13#盾构井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kern w:val="0"/>
                <w:sz w:val="18"/>
                <w:szCs w:val="18"/>
                <w:lang w:bidi="ar"/>
              </w:rPr>
            </w:pPr>
            <w:r>
              <w:rPr>
                <w:rFonts w:eastAsiaTheme="minorEastAsia"/>
                <w:color w:val="000000"/>
                <w:kern w:val="0"/>
                <w:sz w:val="18"/>
                <w:szCs w:val="18"/>
                <w:lang w:bidi="ar"/>
              </w:rPr>
              <w:t>GX25+136</w:t>
            </w:r>
          </w:p>
        </w:tc>
        <w:tc>
          <w:tcPr>
            <w:tcW w:w="35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11#~12#</w:t>
            </w: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Times New Roman" w:hAnsi="Times New Roman" w:cs="Times New Roman" w:eastAsiaTheme="minorEastAsia"/>
                <w:color w:val="000000"/>
                <w:sz w:val="18"/>
                <w:szCs w:val="18"/>
              </w:rPr>
            </w:pPr>
          </w:p>
        </w:tc>
      </w:tr>
      <w:tr>
        <w:tblPrEx>
          <w:tblCellMar>
            <w:top w:w="0" w:type="dxa"/>
            <w:left w:w="0" w:type="dxa"/>
            <w:bottom w:w="0" w:type="dxa"/>
            <w:right w:w="0" w:type="dxa"/>
          </w:tblCellMar>
        </w:tblPrEx>
        <w:trPr>
          <w:trHeight w:val="280" w:hRule="atLeast"/>
          <w:jc w:val="center"/>
        </w:trPr>
        <w:tc>
          <w:tcPr>
            <w:tcW w:w="215"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18</w:t>
            </w:r>
          </w:p>
        </w:tc>
        <w:tc>
          <w:tcPr>
            <w:tcW w:w="658"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GX21+696.000</w:t>
            </w:r>
          </w:p>
        </w:tc>
        <w:tc>
          <w:tcPr>
            <w:tcW w:w="50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FBG</w:t>
            </w:r>
          </w:p>
        </w:tc>
        <w:tc>
          <w:tcPr>
            <w:tcW w:w="1070"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围岩类别为Ⅴ全风化花岗岩</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13#盾构井</w:t>
            </w:r>
          </w:p>
        </w:tc>
        <w:tc>
          <w:tcPr>
            <w:tcW w:w="63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r>
              <w:rPr>
                <w:rFonts w:eastAsiaTheme="minorEastAsia"/>
                <w:color w:val="000000"/>
                <w:sz w:val="18"/>
                <w:szCs w:val="18"/>
              </w:rPr>
              <w:t>GX25+136</w:t>
            </w:r>
          </w:p>
        </w:tc>
        <w:tc>
          <w:tcPr>
            <w:tcW w:w="35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eastAsiaTheme="minorEastAsia"/>
                <w:color w:val="000000"/>
                <w:sz w:val="18"/>
                <w:szCs w:val="18"/>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eastAsiaTheme="minorEastAsia"/>
                <w:color w:val="000000"/>
                <w:sz w:val="18"/>
                <w:szCs w:val="18"/>
              </w:rPr>
            </w:pPr>
            <w:r>
              <w:rPr>
                <w:rFonts w:eastAsiaTheme="minorEastAsia"/>
                <w:color w:val="000000"/>
                <w:kern w:val="0"/>
                <w:sz w:val="18"/>
                <w:szCs w:val="18"/>
                <w:lang w:bidi="ar"/>
              </w:rPr>
              <w:t>一般断面</w:t>
            </w:r>
          </w:p>
        </w:tc>
      </w:tr>
    </w:tbl>
    <w:p>
      <w:pPr>
        <w:pStyle w:val="21"/>
        <w:rPr>
          <w:rFonts w:ascii="Calibri" w:hAnsi="Calibri"/>
          <w:bCs/>
          <w:sz w:val="24"/>
          <w:szCs w:val="24"/>
        </w:rPr>
      </w:pPr>
    </w:p>
    <w:p>
      <w:pPr>
        <w:pStyle w:val="739"/>
        <w:adjustRightInd w:val="0"/>
        <w:snapToGrid w:val="0"/>
        <w:spacing w:before="240" w:beforeLines="100"/>
        <w:ind w:firstLine="480"/>
        <w:rPr>
          <w:rFonts w:ascii="Times New Roman" w:hAnsi="Times New Roman" w:cs="Times New Roman"/>
        </w:rPr>
      </w:pPr>
      <w:r>
        <w:rPr>
          <w:rFonts w:ascii="Times New Roman" w:hAnsi="Times New Roman" w:cs="Times New Roman"/>
        </w:rPr>
        <w:t>一般监测断面的监测项目包括隧洞收敛变形、盾构隧洞管片外侧的水压力、盾构隧洞管片接缝变形、螺栓应力</w:t>
      </w:r>
      <w:r>
        <w:rPr>
          <w:rFonts w:hint="eastAsia" w:ascii="Times New Roman" w:hAnsi="Times New Roman" w:cs="Times New Roman"/>
        </w:rPr>
        <w:t>、</w:t>
      </w:r>
      <w:r>
        <w:rPr>
          <w:rFonts w:ascii="Times New Roman" w:hAnsi="Times New Roman" w:cs="Times New Roman"/>
        </w:rPr>
        <w:t>内衬结构中</w:t>
      </w:r>
      <w:r>
        <w:rPr>
          <w:rFonts w:hint="eastAsia" w:ascii="Times New Roman" w:hAnsi="Times New Roman" w:cs="Times New Roman"/>
        </w:rPr>
        <w:t>钢筋应力</w:t>
      </w:r>
      <w:r>
        <w:rPr>
          <w:rFonts w:ascii="Times New Roman" w:hAnsi="Times New Roman" w:cs="Times New Roman"/>
        </w:rPr>
        <w:t>等。综合监测断面的监测项目包括隧洞收敛变形、盾构隧洞管片外侧的水压力、盾构隧洞管片的应力及接缝变形、螺栓应力、内衬结构中</w:t>
      </w:r>
      <w:r>
        <w:rPr>
          <w:rFonts w:hint="eastAsia" w:ascii="Times New Roman" w:hAnsi="Times New Roman" w:cs="Times New Roman"/>
        </w:rPr>
        <w:t>钢筋应力</w:t>
      </w:r>
      <w:r>
        <w:rPr>
          <w:rFonts w:ascii="Times New Roman" w:hAnsi="Times New Roman" w:cs="Times New Roman"/>
        </w:rPr>
        <w:t>等</w:t>
      </w:r>
      <w:r>
        <w:rPr>
          <w:rFonts w:hint="eastAsia" w:ascii="Times New Roman" w:hAnsi="Times New Roman" w:cs="Times New Roman"/>
        </w:rPr>
        <w:t>。</w:t>
      </w:r>
    </w:p>
    <w:p>
      <w:pPr>
        <w:pStyle w:val="275"/>
        <w:spacing w:line="500" w:lineRule="atLeast"/>
        <w:ind w:firstLine="480" w:firstLineChars="200"/>
      </w:pPr>
      <w:r>
        <w:rPr>
          <w:rFonts w:hint="eastAsia"/>
        </w:rPr>
        <w:t>主要监测项目如下：</w:t>
      </w:r>
    </w:p>
    <w:p>
      <w:pPr>
        <w:pStyle w:val="275"/>
        <w:spacing w:line="500" w:lineRule="atLeast"/>
        <w:ind w:firstLine="480" w:firstLineChars="200"/>
      </w:pPr>
      <w:r>
        <w:rPr>
          <w:rFonts w:hint="eastAsia"/>
        </w:rPr>
        <w:t>（1）变形监测</w:t>
      </w:r>
    </w:p>
    <w:p>
      <w:pPr>
        <w:pStyle w:val="275"/>
        <w:spacing w:line="500" w:lineRule="atLeast"/>
        <w:ind w:firstLine="480" w:firstLineChars="200"/>
      </w:pPr>
      <w:r>
        <w:rPr>
          <w:rFonts w:hint="eastAsia"/>
        </w:rPr>
        <w:t>①收敛变形</w:t>
      </w:r>
    </w:p>
    <w:p>
      <w:pPr>
        <w:pStyle w:val="275"/>
        <w:spacing w:line="500" w:lineRule="atLeast"/>
        <w:ind w:firstLine="480" w:firstLineChars="200"/>
      </w:pPr>
      <w:r>
        <w:rPr>
          <w:rFonts w:hint="eastAsia"/>
        </w:rPr>
        <w:t>为了监测隧洞内部的变形特性，在隧洞每个监测断面顶部和两腰侧设置收敛监测点，监测施工期隧洞内弧面变形情况，采用收敛计进行观测。</w:t>
      </w:r>
    </w:p>
    <w:p>
      <w:pPr>
        <w:pStyle w:val="275"/>
        <w:spacing w:line="500" w:lineRule="atLeast"/>
        <w:ind w:firstLine="480" w:firstLineChars="200"/>
      </w:pPr>
      <w:r>
        <w:rPr>
          <w:rFonts w:hint="eastAsia"/>
        </w:rPr>
        <w:t>②接缝变形</w:t>
      </w:r>
    </w:p>
    <w:p>
      <w:pPr>
        <w:pStyle w:val="275"/>
        <w:spacing w:line="500" w:lineRule="atLeast"/>
        <w:ind w:firstLine="480" w:firstLineChars="200"/>
      </w:pPr>
      <w:r>
        <w:t>为了监测输水隧洞衬砌管片之间环向接缝的开合状态，在</w:t>
      </w:r>
      <w:r>
        <w:rPr>
          <w:rFonts w:hint="eastAsia"/>
        </w:rPr>
        <w:t>综合</w:t>
      </w:r>
      <w:r>
        <w:t>监测断面</w:t>
      </w:r>
      <w:r>
        <w:rPr>
          <w:rFonts w:hint="eastAsia"/>
        </w:rPr>
        <w:t>和一般监测断面</w:t>
      </w:r>
      <w:r>
        <w:t>盾构隧洞环向管片接缝处布置6支测缝计</w:t>
      </w:r>
      <w:r>
        <w:rPr>
          <w:rFonts w:hint="eastAsia"/>
        </w:rPr>
        <w:t>，共计78支振弦式测缝计，30支FBG测缝计</w:t>
      </w:r>
      <w:r>
        <w:t>。</w:t>
      </w:r>
    </w:p>
    <w:p>
      <w:pPr>
        <w:pStyle w:val="275"/>
        <w:spacing w:line="500" w:lineRule="atLeast"/>
        <w:ind w:firstLine="480" w:firstLineChars="200"/>
      </w:pPr>
      <w:r>
        <w:rPr>
          <w:rFonts w:hint="eastAsia"/>
        </w:rPr>
        <w:t>（</w:t>
      </w:r>
      <w:r>
        <w:t>2）渗流监测</w:t>
      </w:r>
    </w:p>
    <w:p>
      <w:pPr>
        <w:pStyle w:val="275"/>
        <w:spacing w:line="500" w:lineRule="atLeast"/>
        <w:ind w:firstLine="480" w:firstLineChars="200"/>
      </w:pPr>
      <w:r>
        <w:rPr>
          <w:rFonts w:hint="eastAsia"/>
        </w:rPr>
        <w:t>为了解各种工况下输水隧洞衬砌管片承受的外水压力分布情况，在每个监测断面盾构隧洞管片外弧面顶部及腰部各布置1支渗压计，共计26支振弦式渗压计，10支FBG渗压计。</w:t>
      </w:r>
    </w:p>
    <w:p>
      <w:pPr>
        <w:pStyle w:val="275"/>
        <w:spacing w:line="500" w:lineRule="atLeast"/>
        <w:ind w:firstLine="480" w:firstLineChars="200"/>
      </w:pPr>
      <w:r>
        <w:rPr>
          <w:rFonts w:hint="eastAsia"/>
        </w:rPr>
        <w:t>（</w:t>
      </w:r>
      <w:r>
        <w:t>3）应力应变监测</w:t>
      </w:r>
    </w:p>
    <w:p>
      <w:pPr>
        <w:pStyle w:val="275"/>
        <w:spacing w:line="500" w:lineRule="atLeast"/>
        <w:ind w:firstLine="480" w:firstLineChars="200"/>
      </w:pPr>
      <w:r>
        <w:rPr>
          <w:rFonts w:hint="eastAsia"/>
        </w:rPr>
        <w:t>①</w:t>
      </w:r>
      <w:r>
        <w:t>钢筋</w:t>
      </w:r>
      <w:r>
        <w:rPr>
          <w:rFonts w:hint="eastAsia"/>
        </w:rPr>
        <w:t>混凝土</w:t>
      </w:r>
      <w:r>
        <w:t>应力</w:t>
      </w:r>
      <w:r>
        <w:rPr>
          <w:rFonts w:hint="eastAsia"/>
        </w:rPr>
        <w:t>应变监测</w:t>
      </w:r>
    </w:p>
    <w:p>
      <w:pPr>
        <w:pStyle w:val="275"/>
        <w:spacing w:line="500" w:lineRule="atLeast"/>
        <w:ind w:firstLine="480" w:firstLineChars="200"/>
      </w:pPr>
      <w:r>
        <w:t>为了解</w:t>
      </w:r>
      <w:r>
        <w:rPr>
          <w:rFonts w:hint="eastAsia"/>
        </w:rPr>
        <w:t>盾构</w:t>
      </w:r>
      <w:r>
        <w:t>隧洞衬砌管片的受力情况，在</w:t>
      </w:r>
      <w:r>
        <w:rPr>
          <w:rFonts w:hint="eastAsia"/>
        </w:rPr>
        <w:t>每个综合监测断面盾构</w:t>
      </w:r>
      <w:r>
        <w:t>隧洞顶部、腰部和</w:t>
      </w:r>
      <w:r>
        <w:rPr>
          <w:rFonts w:hint="eastAsia"/>
        </w:rPr>
        <w:t>底部</w:t>
      </w:r>
      <w:r>
        <w:t>的衬砌管片的</w:t>
      </w:r>
      <w:r>
        <w:rPr>
          <w:rFonts w:hint="eastAsia"/>
        </w:rPr>
        <w:t>环向钢筋上各</w:t>
      </w:r>
      <w:r>
        <w:t>布置1</w:t>
      </w:r>
      <w:r>
        <w:rPr>
          <w:rFonts w:hint="eastAsia"/>
        </w:rPr>
        <w:t>支</w:t>
      </w:r>
      <w:r>
        <w:t>钢筋计，</w:t>
      </w:r>
      <w:r>
        <w:rPr>
          <w:rFonts w:hint="eastAsia"/>
        </w:rPr>
        <w:t>共计30支振弦式钢筋计，12支FBG钢筋计</w:t>
      </w:r>
      <w:r>
        <w:t>。</w:t>
      </w:r>
    </w:p>
    <w:p>
      <w:pPr>
        <w:pStyle w:val="275"/>
        <w:spacing w:line="500" w:lineRule="atLeast"/>
        <w:ind w:firstLine="480" w:firstLineChars="200"/>
      </w:pPr>
      <w:r>
        <w:t xml:space="preserve"> </w:t>
      </w:r>
      <w:r>
        <w:rPr>
          <w:rFonts w:hint="eastAsia"/>
        </w:rPr>
        <w:t>为了解盾构隧洞钢筋混凝土内衬的受力情况，</w:t>
      </w:r>
      <w:r>
        <w:t>在</w:t>
      </w:r>
      <w:r>
        <w:rPr>
          <w:rFonts w:hint="eastAsia"/>
        </w:rPr>
        <w:t>每个综合监测断面和一般监测断面盾构</w:t>
      </w:r>
      <w:r>
        <w:t>隧洞</w:t>
      </w:r>
      <w:r>
        <w:rPr>
          <w:rFonts w:hint="eastAsia"/>
        </w:rPr>
        <w:t>内衬</w:t>
      </w:r>
      <w:r>
        <w:t>顶部</w:t>
      </w:r>
      <w:r>
        <w:rPr>
          <w:rFonts w:hint="eastAsia"/>
        </w:rPr>
        <w:t>和左</w:t>
      </w:r>
      <w:r>
        <w:t>腰</w:t>
      </w:r>
      <w:r>
        <w:rPr>
          <w:rFonts w:hint="eastAsia"/>
        </w:rPr>
        <w:t>侧的内外层钢筋各布置1支环向钢筋计，每个监测断面布置4个测点，共计52支振弦式钢筋计，20支FBG钢筋计</w:t>
      </w:r>
      <w:r>
        <w:t>。</w:t>
      </w:r>
    </w:p>
    <w:p>
      <w:pPr>
        <w:pStyle w:val="275"/>
        <w:spacing w:line="500" w:lineRule="atLeast"/>
        <w:ind w:firstLine="480" w:firstLineChars="200"/>
      </w:pPr>
      <w:r>
        <w:rPr>
          <w:rFonts w:hint="eastAsia"/>
        </w:rPr>
        <w:t>②螺栓应力监测</w:t>
      </w:r>
    </w:p>
    <w:p>
      <w:pPr>
        <w:pStyle w:val="275"/>
        <w:spacing w:line="500" w:lineRule="atLeast"/>
        <w:ind w:firstLine="480" w:firstLineChars="200"/>
      </w:pPr>
      <w:r>
        <w:t>为了监测盾构衬砌管片螺栓的应力状态，</w:t>
      </w:r>
      <w:r>
        <w:rPr>
          <w:rFonts w:hint="eastAsia"/>
        </w:rPr>
        <w:t>在监测断面盾构管片连接螺栓上安装螺栓应力计，螺栓应力计安装在螺栓端头</w:t>
      </w:r>
      <w:r>
        <w:t>，共计</w:t>
      </w:r>
      <w:r>
        <w:rPr>
          <w:rFonts w:hint="eastAsia"/>
        </w:rPr>
        <w:t>78支振弦式</w:t>
      </w:r>
      <w:r>
        <w:t>螺栓应力计</w:t>
      </w:r>
      <w:r>
        <w:rPr>
          <w:rFonts w:hint="eastAsia"/>
        </w:rPr>
        <w:t>，30支FBG螺栓应力计</w:t>
      </w:r>
      <w:r>
        <w:t>。</w:t>
      </w:r>
    </w:p>
    <w:p>
      <w:pPr>
        <w:pStyle w:val="275"/>
        <w:spacing w:line="500" w:lineRule="atLeast"/>
        <w:ind w:firstLine="480" w:firstLineChars="200"/>
      </w:pPr>
    </w:p>
    <w:p>
      <w:pPr>
        <w:pStyle w:val="6"/>
      </w:pPr>
      <w:r>
        <w:rPr>
          <w:rFonts w:hint="eastAsia"/>
        </w:rPr>
        <w:t>1.3.1.2 盾构隧洞钢管内衬段</w:t>
      </w:r>
    </w:p>
    <w:p>
      <w:pPr>
        <w:overflowPunct w:val="0"/>
        <w:spacing w:line="500" w:lineRule="atLeast"/>
        <w:ind w:firstLine="480" w:firstLineChars="200"/>
        <w:rPr>
          <w:sz w:val="24"/>
        </w:rPr>
      </w:pPr>
      <w:r>
        <w:rPr>
          <w:sz w:val="24"/>
        </w:rPr>
        <w:t>古巷泵站至岭后高位水池(桩号GX1+915～GX3+745)采用盾构隧洞内衬钢管结构型式</w:t>
      </w:r>
      <w:r>
        <w:rPr>
          <w:rFonts w:hint="eastAsia"/>
          <w:sz w:val="24"/>
        </w:rPr>
        <w:t>。</w:t>
      </w:r>
    </w:p>
    <w:p>
      <w:pPr>
        <w:pStyle w:val="275"/>
        <w:spacing w:line="500" w:lineRule="atLeast"/>
        <w:ind w:firstLine="480" w:firstLineChars="200"/>
      </w:pPr>
      <w:r>
        <w:rPr>
          <w:rFonts w:hint="eastAsia"/>
        </w:rPr>
        <w:t>根据地形地质条件，</w:t>
      </w:r>
      <w:r>
        <w:t>在盾构隧洞地质条件较差、不同地质交互部位、过江段或盾构隧洞下穿建筑物</w:t>
      </w:r>
      <w:r>
        <w:rPr>
          <w:rFonts w:hint="eastAsia"/>
        </w:rPr>
        <w:t>等部位设置监测断面，共设置2个振弦式监测断面。</w:t>
      </w:r>
    </w:p>
    <w:p>
      <w:pPr>
        <w:tabs>
          <w:tab w:val="right" w:pos="2340"/>
          <w:tab w:val="right" w:pos="3240"/>
          <w:tab w:val="right" w:pos="3696"/>
        </w:tabs>
        <w:spacing w:line="500" w:lineRule="atLeast"/>
        <w:ind w:firstLine="480"/>
        <w:rPr>
          <w:kern w:val="0"/>
          <w:sz w:val="24"/>
        </w:rPr>
      </w:pPr>
      <w:r>
        <w:rPr>
          <w:kern w:val="0"/>
          <w:sz w:val="24"/>
        </w:rPr>
        <w:t>盾构隧洞</w:t>
      </w:r>
      <w:r>
        <w:rPr>
          <w:rFonts w:hint="eastAsia"/>
          <w:kern w:val="0"/>
          <w:sz w:val="24"/>
        </w:rPr>
        <w:t>钢管内衬段</w:t>
      </w:r>
      <w:r>
        <w:rPr>
          <w:kern w:val="0"/>
          <w:sz w:val="24"/>
        </w:rPr>
        <w:t>监测断面分布情况见表1.3.</w:t>
      </w:r>
      <w:r>
        <w:rPr>
          <w:rFonts w:hint="eastAsia"/>
          <w:kern w:val="0"/>
          <w:sz w:val="24"/>
        </w:rPr>
        <w:t>2</w:t>
      </w:r>
      <w:r>
        <w:rPr>
          <w:kern w:val="0"/>
          <w:sz w:val="24"/>
        </w:rPr>
        <w:t>-</w:t>
      </w:r>
      <w:r>
        <w:rPr>
          <w:rFonts w:hint="eastAsia"/>
          <w:kern w:val="0"/>
          <w:sz w:val="24"/>
        </w:rPr>
        <w:t>2</w:t>
      </w:r>
      <w:r>
        <w:rPr>
          <w:kern w:val="0"/>
          <w:sz w:val="24"/>
        </w:rPr>
        <w:t>。具体监测布置如下：</w:t>
      </w:r>
    </w:p>
    <w:p>
      <w:pPr>
        <w:pStyle w:val="21"/>
        <w:overflowPunct w:val="0"/>
        <w:spacing w:line="500" w:lineRule="atLeast"/>
        <w:ind w:firstLine="0"/>
        <w:jc w:val="center"/>
        <w:rPr>
          <w:rFonts w:eastAsia="黑体"/>
          <w:spacing w:val="8"/>
          <w:sz w:val="24"/>
          <w:szCs w:val="24"/>
        </w:rPr>
      </w:pPr>
      <w:r>
        <w:rPr>
          <w:rFonts w:eastAsia="黑体"/>
          <w:spacing w:val="8"/>
          <w:sz w:val="24"/>
          <w:szCs w:val="24"/>
        </w:rPr>
        <w:t>表</w:t>
      </w:r>
      <w:r>
        <w:rPr>
          <w:rFonts w:eastAsia="黑体"/>
          <w:b/>
          <w:spacing w:val="8"/>
          <w:sz w:val="24"/>
          <w:szCs w:val="24"/>
        </w:rPr>
        <w:t>1.3.</w:t>
      </w:r>
      <w:r>
        <w:rPr>
          <w:rFonts w:hint="eastAsia" w:eastAsia="黑体"/>
          <w:b/>
          <w:spacing w:val="8"/>
          <w:sz w:val="24"/>
          <w:szCs w:val="24"/>
        </w:rPr>
        <w:t>2</w:t>
      </w:r>
      <w:r>
        <w:rPr>
          <w:rFonts w:eastAsia="黑体"/>
          <w:b/>
          <w:spacing w:val="8"/>
          <w:sz w:val="24"/>
          <w:szCs w:val="24"/>
        </w:rPr>
        <w:t>-</w:t>
      </w:r>
      <w:r>
        <w:rPr>
          <w:rFonts w:hint="eastAsia" w:eastAsia="黑体"/>
          <w:b/>
          <w:spacing w:val="8"/>
          <w:sz w:val="24"/>
          <w:szCs w:val="24"/>
        </w:rPr>
        <w:t>2</w:t>
      </w:r>
      <w:r>
        <w:rPr>
          <w:rFonts w:eastAsia="黑体"/>
          <w:b/>
          <w:spacing w:val="8"/>
          <w:sz w:val="24"/>
          <w:szCs w:val="24"/>
        </w:rPr>
        <w:t xml:space="preserve"> </w:t>
      </w:r>
      <w:r>
        <w:rPr>
          <w:rFonts w:eastAsia="黑体"/>
          <w:spacing w:val="8"/>
          <w:sz w:val="24"/>
          <w:szCs w:val="24"/>
        </w:rPr>
        <w:t xml:space="preserve"> 盾构隧洞</w:t>
      </w:r>
      <w:r>
        <w:rPr>
          <w:rFonts w:hint="eastAsia" w:eastAsia="黑体"/>
          <w:spacing w:val="8"/>
          <w:sz w:val="24"/>
          <w:szCs w:val="24"/>
        </w:rPr>
        <w:t>钢管内衬段</w:t>
      </w:r>
      <w:r>
        <w:rPr>
          <w:rFonts w:eastAsia="黑体"/>
          <w:spacing w:val="8"/>
          <w:sz w:val="24"/>
          <w:szCs w:val="24"/>
        </w:rPr>
        <w:t>监测断面分布情况表</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65"/>
        <w:gridCol w:w="1266"/>
        <w:gridCol w:w="855"/>
        <w:gridCol w:w="3169"/>
        <w:gridCol w:w="1066"/>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2" w:type="pct"/>
            <w:vAlign w:val="center"/>
          </w:tcPr>
          <w:p>
            <w:pPr>
              <w:autoSpaceDE w:val="0"/>
              <w:autoSpaceDN w:val="0"/>
              <w:adjustRightInd w:val="0"/>
              <w:spacing w:before="96" w:beforeLines="40" w:after="96" w:afterLines="40" w:line="0" w:lineRule="atLeast"/>
              <w:jc w:val="center"/>
              <w:rPr>
                <w:rFonts w:eastAsiaTheme="minorEastAsia"/>
                <w:kern w:val="0"/>
                <w:szCs w:val="21"/>
              </w:rPr>
            </w:pPr>
            <w:r>
              <w:rPr>
                <w:rFonts w:eastAsiaTheme="minorEastAsia"/>
                <w:kern w:val="0"/>
                <w:szCs w:val="21"/>
              </w:rPr>
              <w:t>序号</w:t>
            </w:r>
          </w:p>
        </w:tc>
        <w:tc>
          <w:tcPr>
            <w:tcW w:w="745" w:type="pct"/>
            <w:vAlign w:val="center"/>
          </w:tcPr>
          <w:p>
            <w:pPr>
              <w:autoSpaceDE w:val="0"/>
              <w:autoSpaceDN w:val="0"/>
              <w:adjustRightInd w:val="0"/>
              <w:spacing w:before="96" w:beforeLines="40" w:after="96" w:afterLines="40" w:line="0" w:lineRule="atLeast"/>
              <w:jc w:val="center"/>
              <w:rPr>
                <w:rFonts w:eastAsiaTheme="minorEastAsia"/>
                <w:kern w:val="0"/>
                <w:szCs w:val="21"/>
              </w:rPr>
            </w:pPr>
            <w:r>
              <w:rPr>
                <w:rFonts w:eastAsiaTheme="minorEastAsia"/>
                <w:kern w:val="0"/>
                <w:szCs w:val="21"/>
              </w:rPr>
              <w:t>监测断面</w:t>
            </w:r>
          </w:p>
        </w:tc>
        <w:tc>
          <w:tcPr>
            <w:tcW w:w="535" w:type="pct"/>
            <w:vAlign w:val="center"/>
          </w:tcPr>
          <w:p>
            <w:pPr>
              <w:autoSpaceDE w:val="0"/>
              <w:autoSpaceDN w:val="0"/>
              <w:adjustRightInd w:val="0"/>
              <w:spacing w:before="96" w:beforeLines="40" w:after="96" w:afterLines="40" w:line="0" w:lineRule="atLeast"/>
              <w:jc w:val="center"/>
              <w:rPr>
                <w:rFonts w:eastAsiaTheme="minorEastAsia"/>
                <w:kern w:val="0"/>
                <w:szCs w:val="21"/>
              </w:rPr>
            </w:pPr>
            <w:r>
              <w:rPr>
                <w:rFonts w:eastAsiaTheme="minorEastAsia"/>
                <w:kern w:val="0"/>
                <w:szCs w:val="21"/>
              </w:rPr>
              <w:t>仪器类型</w:t>
            </w:r>
          </w:p>
        </w:tc>
        <w:tc>
          <w:tcPr>
            <w:tcW w:w="1914" w:type="pct"/>
            <w:vAlign w:val="center"/>
          </w:tcPr>
          <w:p>
            <w:pPr>
              <w:autoSpaceDE w:val="0"/>
              <w:autoSpaceDN w:val="0"/>
              <w:adjustRightInd w:val="0"/>
              <w:spacing w:before="96" w:beforeLines="40" w:after="96" w:afterLines="40" w:line="0" w:lineRule="atLeast"/>
              <w:jc w:val="center"/>
              <w:rPr>
                <w:rFonts w:eastAsiaTheme="minorEastAsia"/>
                <w:szCs w:val="21"/>
              </w:rPr>
            </w:pPr>
            <w:r>
              <w:rPr>
                <w:rFonts w:eastAsiaTheme="minorEastAsia"/>
                <w:szCs w:val="21"/>
              </w:rPr>
              <w:t>工程地质描述</w:t>
            </w:r>
          </w:p>
        </w:tc>
        <w:tc>
          <w:tcPr>
            <w:tcW w:w="661" w:type="pct"/>
            <w:vAlign w:val="center"/>
          </w:tcPr>
          <w:p>
            <w:pPr>
              <w:autoSpaceDE w:val="0"/>
              <w:autoSpaceDN w:val="0"/>
              <w:adjustRightInd w:val="0"/>
              <w:spacing w:before="96" w:beforeLines="40" w:after="96" w:afterLines="40" w:line="0" w:lineRule="atLeast"/>
              <w:jc w:val="center"/>
              <w:rPr>
                <w:rFonts w:eastAsiaTheme="minorEastAsia"/>
                <w:kern w:val="0"/>
                <w:szCs w:val="21"/>
              </w:rPr>
            </w:pPr>
            <w:r>
              <w:rPr>
                <w:rFonts w:eastAsiaTheme="minorEastAsia"/>
                <w:kern w:val="0"/>
                <w:szCs w:val="21"/>
              </w:rPr>
              <w:t>监测站位置</w:t>
            </w:r>
          </w:p>
        </w:tc>
        <w:tc>
          <w:tcPr>
            <w:tcW w:w="661" w:type="pct"/>
            <w:vAlign w:val="center"/>
          </w:tcPr>
          <w:p>
            <w:pPr>
              <w:autoSpaceDE w:val="0"/>
              <w:autoSpaceDN w:val="0"/>
              <w:adjustRightInd w:val="0"/>
              <w:spacing w:before="96" w:beforeLines="40" w:after="96" w:afterLines="40" w:line="0" w:lineRule="atLeast"/>
              <w:jc w:val="center"/>
              <w:rPr>
                <w:rFonts w:eastAsiaTheme="minorEastAsia"/>
                <w:kern w:val="0"/>
                <w:szCs w:val="21"/>
              </w:rPr>
            </w:pPr>
            <w:r>
              <w:rPr>
                <w:rFonts w:hint="eastAsia" w:eastAsiaTheme="minorEastAsia"/>
                <w:kern w:val="0"/>
                <w:szCs w:val="21"/>
              </w:rPr>
              <w:t>监测站桩号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2" w:type="pct"/>
            <w:vAlign w:val="center"/>
          </w:tcPr>
          <w:p>
            <w:pPr>
              <w:autoSpaceDE w:val="0"/>
              <w:autoSpaceDN w:val="0"/>
              <w:adjustRightInd w:val="0"/>
              <w:spacing w:before="96" w:beforeLines="40" w:after="96" w:afterLines="40" w:line="0" w:lineRule="atLeast"/>
              <w:jc w:val="center"/>
              <w:rPr>
                <w:rFonts w:eastAsiaTheme="minorEastAsia"/>
                <w:kern w:val="0"/>
                <w:szCs w:val="21"/>
              </w:rPr>
            </w:pPr>
            <w:r>
              <w:rPr>
                <w:rFonts w:eastAsiaTheme="minorEastAsia"/>
                <w:kern w:val="0"/>
                <w:szCs w:val="21"/>
              </w:rPr>
              <w:t>1</w:t>
            </w:r>
          </w:p>
        </w:tc>
        <w:tc>
          <w:tcPr>
            <w:tcW w:w="745" w:type="pct"/>
            <w:vAlign w:val="center"/>
          </w:tcPr>
          <w:p>
            <w:pPr>
              <w:autoSpaceDE w:val="0"/>
              <w:autoSpaceDN w:val="0"/>
              <w:adjustRightInd w:val="0"/>
              <w:spacing w:before="96" w:beforeLines="40" w:after="96" w:afterLines="40" w:line="0" w:lineRule="atLeast"/>
              <w:jc w:val="center"/>
              <w:rPr>
                <w:rFonts w:eastAsiaTheme="minorEastAsia"/>
                <w:kern w:val="0"/>
                <w:szCs w:val="21"/>
              </w:rPr>
            </w:pPr>
            <w:r>
              <w:rPr>
                <w:rFonts w:eastAsiaTheme="minorEastAsia"/>
                <w:kern w:val="0"/>
                <w:szCs w:val="21"/>
              </w:rPr>
              <w:t>GX2+784.000</w:t>
            </w:r>
          </w:p>
        </w:tc>
        <w:tc>
          <w:tcPr>
            <w:tcW w:w="535" w:type="pct"/>
            <w:vAlign w:val="center"/>
          </w:tcPr>
          <w:p>
            <w:pPr>
              <w:autoSpaceDE w:val="0"/>
              <w:autoSpaceDN w:val="0"/>
              <w:adjustRightInd w:val="0"/>
              <w:spacing w:before="96" w:beforeLines="40" w:after="96" w:afterLines="40" w:line="0" w:lineRule="atLeast"/>
              <w:jc w:val="center"/>
              <w:rPr>
                <w:rFonts w:eastAsiaTheme="minorEastAsia"/>
                <w:kern w:val="0"/>
                <w:szCs w:val="21"/>
              </w:rPr>
            </w:pPr>
            <w:r>
              <w:rPr>
                <w:rFonts w:eastAsiaTheme="minorEastAsia"/>
                <w:kern w:val="0"/>
                <w:szCs w:val="21"/>
              </w:rPr>
              <w:t>振弦式</w:t>
            </w:r>
          </w:p>
        </w:tc>
        <w:tc>
          <w:tcPr>
            <w:tcW w:w="1914" w:type="pct"/>
            <w:vAlign w:val="center"/>
          </w:tcPr>
          <w:p>
            <w:pPr>
              <w:autoSpaceDE w:val="0"/>
              <w:autoSpaceDN w:val="0"/>
              <w:adjustRightInd w:val="0"/>
              <w:spacing w:before="96" w:beforeLines="40" w:after="96" w:afterLines="40" w:line="0" w:lineRule="atLeast"/>
              <w:jc w:val="center"/>
              <w:rPr>
                <w:rFonts w:eastAsiaTheme="minorEastAsia"/>
                <w:szCs w:val="21"/>
              </w:rPr>
            </w:pPr>
            <w:r>
              <w:rPr>
                <w:szCs w:val="21"/>
                <w:lang w:val="zh-CN"/>
              </w:rPr>
              <w:t>Ⅲ弱风化花岗岩/辉长岩、弱风化泥质粉砂岩、弱风化长石石英砂岩</w:t>
            </w:r>
          </w:p>
        </w:tc>
        <w:tc>
          <w:tcPr>
            <w:tcW w:w="661" w:type="pct"/>
            <w:vAlign w:val="center"/>
          </w:tcPr>
          <w:p>
            <w:pPr>
              <w:autoSpaceDE w:val="0"/>
              <w:autoSpaceDN w:val="0"/>
              <w:adjustRightInd w:val="0"/>
              <w:spacing w:before="96" w:beforeLines="40" w:after="96" w:afterLines="40" w:line="0" w:lineRule="atLeast"/>
              <w:jc w:val="center"/>
              <w:rPr>
                <w:rFonts w:eastAsiaTheme="minorEastAsia"/>
                <w:kern w:val="0"/>
                <w:szCs w:val="21"/>
              </w:rPr>
            </w:pPr>
            <w:r>
              <w:rPr>
                <w:rFonts w:eastAsiaTheme="minorEastAsia"/>
                <w:kern w:val="0"/>
                <w:szCs w:val="21"/>
              </w:rPr>
              <w:t>2#盾构井</w:t>
            </w:r>
          </w:p>
        </w:tc>
        <w:tc>
          <w:tcPr>
            <w:tcW w:w="661" w:type="pct"/>
            <w:vAlign w:val="center"/>
          </w:tcPr>
          <w:p>
            <w:pPr>
              <w:autoSpaceDE w:val="0"/>
              <w:autoSpaceDN w:val="0"/>
              <w:adjustRightInd w:val="0"/>
              <w:spacing w:before="96" w:beforeLines="40" w:after="96" w:afterLines="40" w:line="0" w:lineRule="atLeast"/>
              <w:jc w:val="center"/>
              <w:rPr>
                <w:rFonts w:eastAsiaTheme="minorEastAsia"/>
                <w:kern w:val="0"/>
                <w:szCs w:val="21"/>
              </w:rPr>
            </w:pPr>
            <w:r>
              <w:rPr>
                <w:rFonts w:eastAsiaTheme="minorEastAsia"/>
                <w:kern w:val="0"/>
                <w:szCs w:val="21"/>
              </w:rPr>
              <w:t>GX1+913.502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2" w:type="pct"/>
            <w:vAlign w:val="center"/>
          </w:tcPr>
          <w:p>
            <w:pPr>
              <w:autoSpaceDE w:val="0"/>
              <w:autoSpaceDN w:val="0"/>
              <w:adjustRightInd w:val="0"/>
              <w:spacing w:before="96" w:beforeLines="40" w:after="96" w:afterLines="40" w:line="0" w:lineRule="atLeast"/>
              <w:jc w:val="center"/>
              <w:rPr>
                <w:rFonts w:eastAsiaTheme="minorEastAsia"/>
                <w:kern w:val="0"/>
                <w:szCs w:val="21"/>
              </w:rPr>
            </w:pPr>
            <w:r>
              <w:rPr>
                <w:rFonts w:eastAsiaTheme="minorEastAsia"/>
                <w:kern w:val="0"/>
                <w:szCs w:val="21"/>
              </w:rPr>
              <w:t>2</w:t>
            </w:r>
          </w:p>
        </w:tc>
        <w:tc>
          <w:tcPr>
            <w:tcW w:w="745" w:type="pct"/>
            <w:vAlign w:val="center"/>
          </w:tcPr>
          <w:p>
            <w:pPr>
              <w:widowControl/>
              <w:jc w:val="center"/>
              <w:textAlignment w:val="center"/>
              <w:rPr>
                <w:color w:val="000000"/>
                <w:szCs w:val="21"/>
              </w:rPr>
            </w:pPr>
            <w:r>
              <w:rPr>
                <w:color w:val="000000"/>
                <w:kern w:val="0"/>
                <w:szCs w:val="21"/>
                <w:lang w:bidi="ar"/>
              </w:rPr>
              <w:t>GX3+644.000</w:t>
            </w:r>
          </w:p>
        </w:tc>
        <w:tc>
          <w:tcPr>
            <w:tcW w:w="535" w:type="pct"/>
            <w:vAlign w:val="center"/>
          </w:tcPr>
          <w:p>
            <w:pPr>
              <w:autoSpaceDE w:val="0"/>
              <w:autoSpaceDN w:val="0"/>
              <w:spacing w:before="96" w:beforeLines="40" w:after="96" w:afterLines="40" w:line="0" w:lineRule="atLeast"/>
              <w:jc w:val="center"/>
              <w:rPr>
                <w:rFonts w:eastAsiaTheme="minorEastAsia"/>
                <w:kern w:val="0"/>
                <w:szCs w:val="21"/>
              </w:rPr>
            </w:pPr>
            <w:r>
              <w:rPr>
                <w:rFonts w:eastAsiaTheme="minorEastAsia"/>
                <w:kern w:val="0"/>
                <w:szCs w:val="21"/>
              </w:rPr>
              <w:t>振弦式</w:t>
            </w:r>
          </w:p>
        </w:tc>
        <w:tc>
          <w:tcPr>
            <w:tcW w:w="1914" w:type="pct"/>
            <w:vAlign w:val="center"/>
          </w:tcPr>
          <w:p>
            <w:pPr>
              <w:autoSpaceDE w:val="0"/>
              <w:autoSpaceDN w:val="0"/>
              <w:adjustRightInd w:val="0"/>
              <w:spacing w:before="96" w:beforeLines="40" w:after="96" w:afterLines="40" w:line="0" w:lineRule="atLeast"/>
              <w:jc w:val="center"/>
              <w:rPr>
                <w:rFonts w:eastAsiaTheme="minorEastAsia"/>
                <w:kern w:val="0"/>
                <w:szCs w:val="21"/>
              </w:rPr>
            </w:pPr>
            <w:r>
              <w:rPr>
                <w:szCs w:val="21"/>
                <w:lang w:val="zh-CN"/>
              </w:rPr>
              <w:t>Ⅲ弱风化花岗岩/辉长岩、弱风化泥质粉砂岩、弱风化长石石英砂岩，</w:t>
            </w:r>
            <w:r>
              <w:rPr>
                <w:szCs w:val="21"/>
              </w:rPr>
              <w:t>下</w:t>
            </w:r>
            <w:r>
              <w:rPr>
                <w:rFonts w:eastAsiaTheme="minorEastAsia"/>
                <w:kern w:val="0"/>
                <w:szCs w:val="21"/>
              </w:rPr>
              <w:t>穿</w:t>
            </w:r>
            <w:r>
              <w:rPr>
                <w:szCs w:val="21"/>
              </w:rPr>
              <w:t>甬莞高速</w:t>
            </w:r>
          </w:p>
        </w:tc>
        <w:tc>
          <w:tcPr>
            <w:tcW w:w="661" w:type="pct"/>
            <w:vAlign w:val="center"/>
          </w:tcPr>
          <w:p>
            <w:pPr>
              <w:autoSpaceDE w:val="0"/>
              <w:autoSpaceDN w:val="0"/>
              <w:adjustRightInd w:val="0"/>
              <w:spacing w:before="96" w:beforeLines="40" w:after="96" w:afterLines="40" w:line="0" w:lineRule="atLeast"/>
              <w:jc w:val="center"/>
              <w:rPr>
                <w:rFonts w:eastAsiaTheme="minorEastAsia"/>
                <w:kern w:val="0"/>
                <w:szCs w:val="21"/>
              </w:rPr>
            </w:pPr>
            <w:r>
              <w:rPr>
                <w:rFonts w:eastAsiaTheme="minorEastAsia"/>
                <w:kern w:val="0"/>
                <w:szCs w:val="21"/>
              </w:rPr>
              <w:t>3#盾构井</w:t>
            </w:r>
          </w:p>
        </w:tc>
        <w:tc>
          <w:tcPr>
            <w:tcW w:w="661" w:type="pct"/>
            <w:vAlign w:val="center"/>
          </w:tcPr>
          <w:p>
            <w:pPr>
              <w:autoSpaceDE w:val="0"/>
              <w:autoSpaceDN w:val="0"/>
              <w:adjustRightInd w:val="0"/>
              <w:spacing w:before="96" w:beforeLines="40" w:after="96" w:afterLines="40" w:line="0" w:lineRule="atLeast"/>
              <w:jc w:val="center"/>
              <w:rPr>
                <w:rFonts w:eastAsiaTheme="minorEastAsia"/>
                <w:kern w:val="0"/>
                <w:szCs w:val="21"/>
              </w:rPr>
            </w:pPr>
            <w:r>
              <w:rPr>
                <w:rFonts w:eastAsiaTheme="minorEastAsia"/>
                <w:kern w:val="0"/>
                <w:szCs w:val="21"/>
              </w:rPr>
              <w:t>GX3+745.149</w:t>
            </w:r>
          </w:p>
        </w:tc>
      </w:tr>
    </w:tbl>
    <w:p>
      <w:pPr>
        <w:pStyle w:val="275"/>
        <w:spacing w:line="500" w:lineRule="atLeast"/>
        <w:ind w:firstLine="480" w:firstLineChars="200"/>
      </w:pPr>
      <w:r>
        <w:t>监测项目主要包括隧洞收敛变形、盾构隧洞管片外侧的水压力、盾构隧洞管片的接缝变形、螺栓应力、管片内侧渗透压力、</w:t>
      </w:r>
      <w:r>
        <w:rPr>
          <w:rFonts w:hint="eastAsia"/>
        </w:rPr>
        <w:t>内衬钢管应力</w:t>
      </w:r>
      <w:r>
        <w:t>等。</w:t>
      </w:r>
    </w:p>
    <w:p>
      <w:pPr>
        <w:pStyle w:val="275"/>
        <w:spacing w:line="500" w:lineRule="atLeast"/>
        <w:ind w:firstLine="480" w:firstLineChars="200"/>
      </w:pPr>
      <w:r>
        <w:rPr>
          <w:rFonts w:hint="eastAsia"/>
        </w:rPr>
        <w:t>主要监测项目如下：</w:t>
      </w:r>
    </w:p>
    <w:p>
      <w:pPr>
        <w:pStyle w:val="275"/>
        <w:spacing w:line="500" w:lineRule="atLeast"/>
        <w:ind w:firstLine="480" w:firstLineChars="200"/>
      </w:pPr>
      <w:r>
        <w:rPr>
          <w:rFonts w:hint="eastAsia"/>
        </w:rPr>
        <w:t>（1）变形监测</w:t>
      </w:r>
    </w:p>
    <w:p>
      <w:pPr>
        <w:pStyle w:val="275"/>
        <w:spacing w:line="500" w:lineRule="atLeast"/>
        <w:ind w:firstLine="480" w:firstLineChars="200"/>
      </w:pPr>
      <w:r>
        <w:rPr>
          <w:rFonts w:hint="eastAsia"/>
        </w:rPr>
        <w:t>①收敛变形</w:t>
      </w:r>
    </w:p>
    <w:p>
      <w:pPr>
        <w:pStyle w:val="275"/>
        <w:spacing w:line="500" w:lineRule="atLeast"/>
        <w:ind w:firstLine="480" w:firstLineChars="200"/>
      </w:pPr>
      <w:r>
        <w:rPr>
          <w:rFonts w:hint="eastAsia"/>
        </w:rPr>
        <w:t>为了监测隧洞内部的变形特性，在隧洞监测断面顶部和两腰侧设置收敛监测点，监测施工期隧洞内弧面变形情况，采用收敛计进行观测。</w:t>
      </w:r>
    </w:p>
    <w:p>
      <w:pPr>
        <w:pStyle w:val="275"/>
        <w:spacing w:line="500" w:lineRule="atLeast"/>
        <w:ind w:firstLine="480" w:firstLineChars="200"/>
      </w:pPr>
      <w:r>
        <w:rPr>
          <w:rFonts w:hint="eastAsia"/>
        </w:rPr>
        <w:t>②接缝变形</w:t>
      </w:r>
    </w:p>
    <w:p>
      <w:pPr>
        <w:pStyle w:val="275"/>
        <w:spacing w:line="500" w:lineRule="atLeast"/>
        <w:ind w:firstLine="480" w:firstLineChars="200"/>
      </w:pPr>
      <w:r>
        <w:t>为了监测输水隧洞衬砌管片之间环向接缝的开合状态，在每个监测断面盾构隧洞环向管片接缝处布置6支测缝计</w:t>
      </w:r>
      <w:r>
        <w:rPr>
          <w:rFonts w:hint="eastAsia"/>
        </w:rPr>
        <w:t>，共计12支振弦式测缝计</w:t>
      </w:r>
      <w:r>
        <w:t>。</w:t>
      </w:r>
    </w:p>
    <w:p>
      <w:pPr>
        <w:pStyle w:val="275"/>
        <w:spacing w:line="500" w:lineRule="atLeast"/>
        <w:ind w:firstLine="480" w:firstLineChars="200"/>
      </w:pPr>
      <w:r>
        <w:rPr>
          <w:rFonts w:hint="eastAsia"/>
        </w:rPr>
        <w:t>（</w:t>
      </w:r>
      <w:r>
        <w:t>2）渗流监测</w:t>
      </w:r>
    </w:p>
    <w:p>
      <w:pPr>
        <w:pStyle w:val="275"/>
        <w:spacing w:line="500" w:lineRule="atLeast"/>
        <w:ind w:firstLine="480" w:firstLineChars="200"/>
      </w:pPr>
      <w:r>
        <w:rPr>
          <w:rFonts w:hint="eastAsia"/>
        </w:rPr>
        <w:t>①外水压力</w:t>
      </w:r>
    </w:p>
    <w:p>
      <w:pPr>
        <w:pStyle w:val="275"/>
        <w:spacing w:line="500" w:lineRule="atLeast"/>
        <w:ind w:firstLine="480" w:firstLineChars="200"/>
      </w:pPr>
      <w:r>
        <w:rPr>
          <w:rFonts w:hint="eastAsia"/>
        </w:rPr>
        <w:t>为了解各种工况下输水隧洞衬砌管片承受的外水压力分布情况，在每个监测断面盾构隧洞管片外弧面顶部及腰部各布置1支渗压计，共计4支振弦式渗压计。</w:t>
      </w:r>
    </w:p>
    <w:p>
      <w:pPr>
        <w:pStyle w:val="275"/>
        <w:spacing w:line="500" w:lineRule="atLeast"/>
        <w:ind w:firstLine="480" w:firstLineChars="200"/>
      </w:pPr>
      <w:r>
        <w:rPr>
          <w:rFonts w:hint="eastAsia"/>
        </w:rPr>
        <w:t>②渗透压力</w:t>
      </w:r>
    </w:p>
    <w:p>
      <w:pPr>
        <w:pStyle w:val="275"/>
        <w:spacing w:line="500" w:lineRule="atLeast"/>
        <w:ind w:firstLine="480" w:firstLineChars="200"/>
      </w:pPr>
      <w:r>
        <w:rPr>
          <w:rFonts w:hint="eastAsia"/>
        </w:rPr>
        <w:t>为了解输水隧洞衬砌管片内侧的渗透水压力变化情况，在每个监测断面盾构隧洞衬砌管片内表面底部和左腰部各布置1支渗压计，共计4支振弦式渗压计。</w:t>
      </w:r>
    </w:p>
    <w:p>
      <w:pPr>
        <w:pStyle w:val="275"/>
        <w:spacing w:line="500" w:lineRule="atLeast"/>
        <w:ind w:firstLine="480" w:firstLineChars="200"/>
      </w:pPr>
      <w:r>
        <w:rPr>
          <w:rFonts w:hint="eastAsia"/>
        </w:rPr>
        <w:t>（</w:t>
      </w:r>
      <w:r>
        <w:t>3）应力应变监测</w:t>
      </w:r>
    </w:p>
    <w:p>
      <w:pPr>
        <w:pStyle w:val="275"/>
        <w:spacing w:line="500" w:lineRule="atLeast"/>
        <w:ind w:firstLine="480" w:firstLineChars="200"/>
      </w:pPr>
      <w:r>
        <w:rPr>
          <w:rFonts w:hint="eastAsia"/>
        </w:rPr>
        <w:t>①钢管应力监测</w:t>
      </w:r>
    </w:p>
    <w:p>
      <w:pPr>
        <w:pStyle w:val="275"/>
        <w:spacing w:line="500" w:lineRule="atLeast"/>
        <w:ind w:firstLine="480" w:firstLineChars="200"/>
      </w:pPr>
      <w:r>
        <w:rPr>
          <w:rFonts w:hint="eastAsia"/>
        </w:rPr>
        <w:t>为了解输水隧洞内衬钢管环向的应力应变情况，在每个监测断面内衬钢管的外弧面顶部和腰部两侧各布置1支钢板计，共计6支振弦式钢板计</w:t>
      </w:r>
      <w:r>
        <w:t>。</w:t>
      </w:r>
    </w:p>
    <w:p>
      <w:pPr>
        <w:pStyle w:val="275"/>
        <w:spacing w:line="500" w:lineRule="atLeast"/>
        <w:ind w:firstLine="480" w:firstLineChars="200"/>
      </w:pPr>
      <w:r>
        <w:rPr>
          <w:rFonts w:hint="eastAsia"/>
        </w:rPr>
        <w:t>②螺栓应力监测</w:t>
      </w:r>
    </w:p>
    <w:p>
      <w:pPr>
        <w:pStyle w:val="275"/>
        <w:spacing w:line="500" w:lineRule="atLeast"/>
        <w:ind w:firstLine="480" w:firstLineChars="200"/>
      </w:pPr>
      <w:r>
        <w:t>为了监测盾构衬砌管片螺栓的应力状态，</w:t>
      </w:r>
      <w:r>
        <w:rPr>
          <w:rFonts w:hint="eastAsia"/>
        </w:rPr>
        <w:t>在监测断面盾构管片连接螺栓上安装螺栓应力计，螺栓应力计安装在螺栓端头</w:t>
      </w:r>
      <w:r>
        <w:t>，共计</w:t>
      </w:r>
      <w:r>
        <w:rPr>
          <w:rFonts w:hint="eastAsia"/>
        </w:rPr>
        <w:t>12支振弦式</w:t>
      </w:r>
      <w:r>
        <w:t>螺栓应力计。</w:t>
      </w:r>
    </w:p>
    <w:p>
      <w:pPr>
        <w:autoSpaceDE w:val="0"/>
        <w:autoSpaceDN w:val="0"/>
        <w:adjustRightInd w:val="0"/>
        <w:spacing w:line="500" w:lineRule="atLeast"/>
        <w:ind w:firstLine="480"/>
        <w:rPr>
          <w:kern w:val="0"/>
          <w:sz w:val="24"/>
        </w:rPr>
      </w:pPr>
      <w:r>
        <w:rPr>
          <w:rFonts w:hint="eastAsia"/>
          <w:color w:val="000000" w:themeColor="text1"/>
          <w:sz w:val="24"/>
          <w14:textFill>
            <w14:solidFill>
              <w14:schemeClr w14:val="tx1"/>
            </w14:solidFill>
          </w14:textFill>
        </w:rPr>
        <w:t>监测仪器电缆引至就近工作井的MCU进行数据采集，</w:t>
      </w:r>
      <w:r>
        <w:rPr>
          <w:kern w:val="0"/>
          <w:sz w:val="24"/>
        </w:rPr>
        <w:t>所有数据通过</w:t>
      </w:r>
      <w:r>
        <w:rPr>
          <w:rFonts w:hint="eastAsia"/>
          <w:kern w:val="0"/>
          <w:sz w:val="24"/>
        </w:rPr>
        <w:t>通讯主光缆</w:t>
      </w:r>
      <w:r>
        <w:rPr>
          <w:kern w:val="0"/>
          <w:sz w:val="24"/>
        </w:rPr>
        <w:t>传输信息到中控室，实现自动化采集。</w:t>
      </w:r>
    </w:p>
    <w:p>
      <w:pPr>
        <w:pStyle w:val="21"/>
      </w:pPr>
    </w:p>
    <w:p>
      <w:pPr>
        <w:pStyle w:val="5"/>
        <w:snapToGrid w:val="0"/>
        <w:spacing w:before="0" w:after="0" w:line="500" w:lineRule="atLeast"/>
        <w:jc w:val="both"/>
        <w:rPr>
          <w:szCs w:val="24"/>
          <w:lang w:val="en-US"/>
        </w:rPr>
      </w:pPr>
      <w:bookmarkStart w:id="49" w:name="_Toc118821418"/>
      <w:bookmarkStart w:id="50" w:name="_Toc29444"/>
      <w:r>
        <w:rPr>
          <w:rFonts w:hint="eastAsia"/>
          <w:szCs w:val="24"/>
          <w:lang w:val="en-US"/>
        </w:rPr>
        <w:t>1.3.2  钻爆隧洞</w:t>
      </w:r>
      <w:bookmarkEnd w:id="49"/>
      <w:bookmarkEnd w:id="50"/>
    </w:p>
    <w:p>
      <w:pPr>
        <w:pStyle w:val="275"/>
        <w:spacing w:line="500" w:lineRule="atLeast"/>
        <w:ind w:firstLine="480" w:firstLineChars="200"/>
      </w:pPr>
      <w:r>
        <w:rPr>
          <w:rFonts w:hint="eastAsia"/>
        </w:rPr>
        <w:t>古巷分水口至关埠取水口封闭管道潮安岭后至揭东半洋段，桩号</w:t>
      </w:r>
      <w:r>
        <w:t>GX3+7</w:t>
      </w:r>
      <w:r>
        <w:rPr>
          <w:rFonts w:hint="eastAsia"/>
        </w:rPr>
        <w:t>45</w:t>
      </w:r>
      <w:r>
        <w:t>～GX7+900</w:t>
      </w:r>
      <w:r>
        <w:rPr>
          <w:rFonts w:hint="eastAsia"/>
        </w:rPr>
        <w:t>，采用钻爆隧洞内衬钢筋混凝土结构型式。钻爆隧洞采用城门洞型开挖，内衬圆形隧洞。</w:t>
      </w:r>
    </w:p>
    <w:p>
      <w:pPr>
        <w:pStyle w:val="275"/>
        <w:spacing w:line="500" w:lineRule="atLeast"/>
        <w:ind w:firstLine="480" w:firstLineChars="200"/>
      </w:pPr>
      <w:r>
        <w:rPr>
          <w:rFonts w:hint="eastAsia"/>
        </w:rPr>
        <w:t>根据地形地质条件，</w:t>
      </w:r>
      <w:r>
        <w:t>在隧洞地质条件较差、不同地质交互部位、过江段或隧洞下穿建筑物</w:t>
      </w:r>
      <w:r>
        <w:rPr>
          <w:rFonts w:hint="eastAsia"/>
        </w:rPr>
        <w:t>等部位设置监测断面，共设置3个监测断面布置振弦式仪器。</w:t>
      </w:r>
    </w:p>
    <w:p>
      <w:pPr>
        <w:tabs>
          <w:tab w:val="right" w:pos="2340"/>
          <w:tab w:val="right" w:pos="3240"/>
          <w:tab w:val="right" w:pos="3696"/>
        </w:tabs>
        <w:spacing w:line="500" w:lineRule="atLeast"/>
        <w:ind w:firstLine="480"/>
        <w:rPr>
          <w:kern w:val="0"/>
          <w:sz w:val="24"/>
        </w:rPr>
      </w:pPr>
      <w:r>
        <w:rPr>
          <w:rFonts w:hint="eastAsia"/>
          <w:kern w:val="0"/>
          <w:sz w:val="24"/>
        </w:rPr>
        <w:t>钻爆</w:t>
      </w:r>
      <w:r>
        <w:rPr>
          <w:kern w:val="0"/>
          <w:sz w:val="24"/>
        </w:rPr>
        <w:t>隧洞监测断面分布情况见表1.3.</w:t>
      </w:r>
      <w:r>
        <w:rPr>
          <w:rFonts w:hint="eastAsia"/>
          <w:kern w:val="0"/>
          <w:sz w:val="24"/>
        </w:rPr>
        <w:t>2</w:t>
      </w:r>
      <w:r>
        <w:rPr>
          <w:kern w:val="0"/>
          <w:sz w:val="24"/>
        </w:rPr>
        <w:t>-1。具体监测布置如下：</w:t>
      </w:r>
    </w:p>
    <w:p>
      <w:pPr>
        <w:pStyle w:val="21"/>
        <w:overflowPunct w:val="0"/>
        <w:spacing w:line="500" w:lineRule="atLeast"/>
        <w:ind w:firstLine="0"/>
        <w:jc w:val="center"/>
        <w:rPr>
          <w:rFonts w:eastAsia="黑体"/>
          <w:spacing w:val="8"/>
          <w:sz w:val="24"/>
          <w:szCs w:val="24"/>
        </w:rPr>
      </w:pPr>
      <w:r>
        <w:rPr>
          <w:rFonts w:eastAsia="黑体"/>
          <w:spacing w:val="8"/>
          <w:sz w:val="24"/>
          <w:szCs w:val="24"/>
        </w:rPr>
        <w:t>表</w:t>
      </w:r>
      <w:r>
        <w:rPr>
          <w:rFonts w:eastAsia="黑体"/>
          <w:b/>
          <w:spacing w:val="8"/>
          <w:sz w:val="24"/>
          <w:szCs w:val="24"/>
        </w:rPr>
        <w:t>1.3.</w:t>
      </w:r>
      <w:r>
        <w:rPr>
          <w:rFonts w:hint="eastAsia" w:eastAsia="黑体"/>
          <w:b/>
          <w:spacing w:val="8"/>
          <w:sz w:val="24"/>
          <w:szCs w:val="24"/>
        </w:rPr>
        <w:t>2</w:t>
      </w:r>
      <w:r>
        <w:rPr>
          <w:rFonts w:eastAsia="黑体"/>
          <w:b/>
          <w:spacing w:val="8"/>
          <w:sz w:val="24"/>
          <w:szCs w:val="24"/>
        </w:rPr>
        <w:t xml:space="preserve">-1 </w:t>
      </w:r>
      <w:r>
        <w:rPr>
          <w:rFonts w:eastAsia="黑体"/>
          <w:spacing w:val="8"/>
          <w:sz w:val="24"/>
          <w:szCs w:val="24"/>
        </w:rPr>
        <w:t xml:space="preserve"> </w:t>
      </w:r>
      <w:r>
        <w:rPr>
          <w:rFonts w:hint="eastAsia" w:eastAsia="黑体"/>
          <w:spacing w:val="8"/>
          <w:sz w:val="24"/>
          <w:szCs w:val="24"/>
        </w:rPr>
        <w:t>钻爆</w:t>
      </w:r>
      <w:r>
        <w:rPr>
          <w:rFonts w:eastAsia="黑体"/>
          <w:spacing w:val="8"/>
          <w:sz w:val="24"/>
          <w:szCs w:val="24"/>
        </w:rPr>
        <w:t>隧洞监测断面分布情况表</w:t>
      </w:r>
    </w:p>
    <w:tbl>
      <w:tblPr>
        <w:tblStyle w:val="88"/>
        <w:tblW w:w="4998" w:type="pct"/>
        <w:tblInd w:w="0" w:type="dxa"/>
        <w:tblLayout w:type="autofit"/>
        <w:tblCellMar>
          <w:top w:w="0" w:type="dxa"/>
          <w:left w:w="0" w:type="dxa"/>
          <w:bottom w:w="0" w:type="dxa"/>
          <w:right w:w="0" w:type="dxa"/>
        </w:tblCellMar>
      </w:tblPr>
      <w:tblGrid>
        <w:gridCol w:w="459"/>
        <w:gridCol w:w="1270"/>
        <w:gridCol w:w="817"/>
        <w:gridCol w:w="3205"/>
        <w:gridCol w:w="1041"/>
        <w:gridCol w:w="920"/>
        <w:gridCol w:w="639"/>
      </w:tblGrid>
      <w:tr>
        <w:tblPrEx>
          <w:tblCellMar>
            <w:top w:w="0" w:type="dxa"/>
            <w:left w:w="0" w:type="dxa"/>
            <w:bottom w:w="0" w:type="dxa"/>
            <w:right w:w="0" w:type="dxa"/>
          </w:tblCellMar>
        </w:tblPrEx>
        <w:trPr>
          <w:trHeight w:val="28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序号</w:t>
            </w:r>
          </w:p>
        </w:tc>
        <w:tc>
          <w:tcPr>
            <w:tcW w:w="784"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桩号</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仪器类型</w:t>
            </w:r>
          </w:p>
        </w:tc>
        <w:tc>
          <w:tcPr>
            <w:tcW w:w="1942"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工程地质描述</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监测站</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监测站桩号</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区间</w:t>
            </w:r>
          </w:p>
        </w:tc>
      </w:tr>
      <w:tr>
        <w:tblPrEx>
          <w:tblCellMar>
            <w:top w:w="0" w:type="dxa"/>
            <w:left w:w="0" w:type="dxa"/>
            <w:bottom w:w="0" w:type="dxa"/>
            <w:right w:w="0" w:type="dxa"/>
          </w:tblCellMar>
        </w:tblPrEx>
        <w:trPr>
          <w:trHeight w:val="56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sz w:val="18"/>
                <w:szCs w:val="18"/>
              </w:rPr>
            </w:pPr>
            <w:r>
              <w:rPr>
                <w:color w:val="000000"/>
                <w:kern w:val="0"/>
                <w:sz w:val="18"/>
                <w:szCs w:val="18"/>
                <w:lang w:bidi="ar"/>
              </w:rPr>
              <w:t>1</w:t>
            </w:r>
          </w:p>
        </w:tc>
        <w:tc>
          <w:tcPr>
            <w:tcW w:w="784"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sz w:val="18"/>
                <w:szCs w:val="18"/>
              </w:rPr>
            </w:pPr>
            <w:r>
              <w:rPr>
                <w:color w:val="000000"/>
                <w:kern w:val="0"/>
                <w:sz w:val="18"/>
                <w:szCs w:val="18"/>
                <w:lang w:bidi="ar"/>
              </w:rPr>
              <w:t>GX4+236.000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振弦式</w:t>
            </w:r>
          </w:p>
        </w:tc>
        <w:tc>
          <w:tcPr>
            <w:tcW w:w="1942"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color w:val="000000"/>
                <w:sz w:val="18"/>
                <w:szCs w:val="18"/>
              </w:rPr>
            </w:pPr>
            <w:r>
              <w:rPr>
                <w:color w:val="000000"/>
                <w:kern w:val="0"/>
                <w:sz w:val="18"/>
                <w:szCs w:val="18"/>
                <w:lang w:bidi="ar"/>
              </w:rPr>
              <w:t xml:space="preserve">Ⅲ  </w:t>
            </w:r>
            <w:r>
              <w:rPr>
                <w:rFonts w:hint="eastAsia" w:ascii="宋体" w:hAnsi="宋体" w:cs="宋体"/>
                <w:color w:val="000000"/>
                <w:kern w:val="0"/>
                <w:sz w:val="18"/>
                <w:szCs w:val="18"/>
                <w:lang w:bidi="ar"/>
              </w:rPr>
              <w:t>弱风化花岗岩</w:t>
            </w:r>
            <w:r>
              <w:rPr>
                <w:color w:val="000000"/>
                <w:kern w:val="0"/>
                <w:sz w:val="18"/>
                <w:szCs w:val="18"/>
                <w:lang w:bidi="ar"/>
              </w:rPr>
              <w:t>/</w:t>
            </w:r>
            <w:r>
              <w:rPr>
                <w:rFonts w:hint="eastAsia" w:ascii="宋体" w:hAnsi="宋体" w:cs="宋体"/>
                <w:color w:val="000000"/>
                <w:kern w:val="0"/>
                <w:sz w:val="18"/>
                <w:szCs w:val="18"/>
                <w:lang w:bidi="ar"/>
              </w:rPr>
              <w:t>辉长岩、弱风化泥质粉砂岩、弱风化长石石英砂岩</w:t>
            </w:r>
          </w:p>
        </w:tc>
        <w:tc>
          <w:tcPr>
            <w:tcW w:w="64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color w:val="000000"/>
                <w:sz w:val="18"/>
                <w:szCs w:val="18"/>
              </w:rPr>
            </w:pPr>
            <w:r>
              <w:rPr>
                <w:color w:val="000000"/>
                <w:kern w:val="0"/>
                <w:sz w:val="18"/>
                <w:szCs w:val="18"/>
                <w:lang w:bidi="ar"/>
              </w:rPr>
              <w:t>1#</w:t>
            </w:r>
            <w:r>
              <w:rPr>
                <w:rFonts w:hint="eastAsia" w:ascii="宋体" w:hAnsi="宋体" w:cs="宋体"/>
                <w:color w:val="000000"/>
                <w:kern w:val="0"/>
                <w:sz w:val="18"/>
                <w:szCs w:val="18"/>
                <w:lang w:bidi="ar"/>
              </w:rPr>
              <w:t>支洞</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kern w:val="0"/>
                <w:sz w:val="18"/>
                <w:szCs w:val="18"/>
                <w:lang w:bidi="ar"/>
              </w:rPr>
            </w:pPr>
            <w:r>
              <w:rPr>
                <w:color w:val="000000"/>
                <w:kern w:val="0"/>
                <w:sz w:val="18"/>
                <w:szCs w:val="18"/>
                <w:lang w:bidi="ar"/>
              </w:rPr>
              <w:t>GX4+447</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sz w:val="18"/>
                <w:szCs w:val="18"/>
              </w:rPr>
            </w:pPr>
            <w:r>
              <w:rPr>
                <w:color w:val="000000"/>
                <w:kern w:val="0"/>
                <w:sz w:val="18"/>
                <w:szCs w:val="18"/>
                <w:lang w:bidi="ar"/>
              </w:rPr>
              <w:t>3#~4#</w:t>
            </w:r>
          </w:p>
        </w:tc>
      </w:tr>
      <w:tr>
        <w:tblPrEx>
          <w:tblCellMar>
            <w:top w:w="0" w:type="dxa"/>
            <w:left w:w="0" w:type="dxa"/>
            <w:bottom w:w="0" w:type="dxa"/>
            <w:right w:w="0" w:type="dxa"/>
          </w:tblCellMar>
        </w:tblPrEx>
        <w:trPr>
          <w:trHeight w:val="56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sz w:val="18"/>
                <w:szCs w:val="18"/>
              </w:rPr>
            </w:pPr>
            <w:r>
              <w:rPr>
                <w:color w:val="000000"/>
                <w:kern w:val="0"/>
                <w:sz w:val="18"/>
                <w:szCs w:val="18"/>
                <w:lang w:bidi="ar"/>
              </w:rPr>
              <w:t>2</w:t>
            </w:r>
          </w:p>
        </w:tc>
        <w:tc>
          <w:tcPr>
            <w:tcW w:w="784"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sz w:val="18"/>
                <w:szCs w:val="18"/>
              </w:rPr>
            </w:pPr>
            <w:r>
              <w:rPr>
                <w:color w:val="000000"/>
                <w:kern w:val="0"/>
                <w:sz w:val="18"/>
                <w:szCs w:val="18"/>
                <w:lang w:bidi="ar"/>
              </w:rPr>
              <w:t>GX5+580.000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振弦式</w:t>
            </w:r>
          </w:p>
        </w:tc>
        <w:tc>
          <w:tcPr>
            <w:tcW w:w="1942"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color w:val="000000"/>
                <w:sz w:val="18"/>
                <w:szCs w:val="18"/>
              </w:rPr>
            </w:pPr>
            <w:r>
              <w:rPr>
                <w:color w:val="000000"/>
                <w:kern w:val="0"/>
                <w:sz w:val="18"/>
                <w:szCs w:val="18"/>
                <w:lang w:bidi="ar"/>
              </w:rPr>
              <w:t xml:space="preserve">Ⅲ  </w:t>
            </w:r>
            <w:r>
              <w:rPr>
                <w:rFonts w:hint="eastAsia" w:ascii="宋体" w:hAnsi="宋体" w:cs="宋体"/>
                <w:color w:val="000000"/>
                <w:kern w:val="0"/>
                <w:sz w:val="18"/>
                <w:szCs w:val="18"/>
                <w:lang w:bidi="ar"/>
              </w:rPr>
              <w:t>弱风化花岗岩</w:t>
            </w:r>
            <w:r>
              <w:rPr>
                <w:color w:val="000000"/>
                <w:kern w:val="0"/>
                <w:sz w:val="18"/>
                <w:szCs w:val="18"/>
                <w:lang w:bidi="ar"/>
              </w:rPr>
              <w:t>/</w:t>
            </w:r>
            <w:r>
              <w:rPr>
                <w:rFonts w:hint="eastAsia" w:ascii="宋体" w:hAnsi="宋体" w:cs="宋体"/>
                <w:color w:val="000000"/>
                <w:kern w:val="0"/>
                <w:sz w:val="18"/>
                <w:szCs w:val="18"/>
                <w:lang w:bidi="ar"/>
              </w:rPr>
              <w:t>辉长岩、弱风化泥质粉砂岩、弱风化长石石英砂岩</w:t>
            </w:r>
          </w:p>
        </w:tc>
        <w:tc>
          <w:tcPr>
            <w:tcW w:w="64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color w:val="000000"/>
                <w:sz w:val="18"/>
                <w:szCs w:val="18"/>
              </w:rPr>
            </w:pPr>
            <w:r>
              <w:rPr>
                <w:color w:val="000000"/>
                <w:kern w:val="0"/>
                <w:sz w:val="18"/>
                <w:szCs w:val="18"/>
                <w:lang w:bidi="ar"/>
              </w:rPr>
              <w:t>2#</w:t>
            </w:r>
            <w:r>
              <w:rPr>
                <w:rFonts w:hint="eastAsia" w:ascii="宋体" w:hAnsi="宋体" w:cs="宋体"/>
                <w:color w:val="000000"/>
                <w:kern w:val="0"/>
                <w:sz w:val="18"/>
                <w:szCs w:val="18"/>
                <w:lang w:bidi="ar"/>
              </w:rPr>
              <w:t>支洞</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color w:val="000000"/>
                <w:sz w:val="18"/>
                <w:szCs w:val="18"/>
              </w:rPr>
            </w:pPr>
            <w:r>
              <w:rPr>
                <w:color w:val="000000"/>
                <w:sz w:val="18"/>
                <w:szCs w:val="18"/>
              </w:rPr>
              <w:t>GX5+480</w:t>
            </w: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color w:val="000000"/>
                <w:sz w:val="18"/>
                <w:szCs w:val="18"/>
              </w:rPr>
            </w:pPr>
          </w:p>
        </w:tc>
      </w:tr>
      <w:tr>
        <w:tblPrEx>
          <w:tblCellMar>
            <w:top w:w="0" w:type="dxa"/>
            <w:left w:w="0" w:type="dxa"/>
            <w:bottom w:w="0" w:type="dxa"/>
            <w:right w:w="0" w:type="dxa"/>
          </w:tblCellMar>
        </w:tblPrEx>
        <w:trPr>
          <w:trHeight w:val="560" w:hRule="atLeast"/>
        </w:trPr>
        <w:tc>
          <w:tcPr>
            <w:tcW w:w="299"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sz w:val="18"/>
                <w:szCs w:val="18"/>
              </w:rPr>
            </w:pPr>
            <w:r>
              <w:rPr>
                <w:color w:val="000000"/>
                <w:kern w:val="0"/>
                <w:sz w:val="18"/>
                <w:szCs w:val="18"/>
                <w:lang w:bidi="ar"/>
              </w:rPr>
              <w:t>3</w:t>
            </w:r>
          </w:p>
        </w:tc>
        <w:tc>
          <w:tcPr>
            <w:tcW w:w="784"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sz w:val="18"/>
                <w:szCs w:val="18"/>
              </w:rPr>
            </w:pPr>
            <w:r>
              <w:rPr>
                <w:color w:val="000000"/>
                <w:kern w:val="0"/>
                <w:sz w:val="18"/>
                <w:szCs w:val="18"/>
                <w:lang w:bidi="ar"/>
              </w:rPr>
              <w:t>GX7+136.000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widowControl/>
              <w:jc w:val="center"/>
              <w:textAlignment w:val="center"/>
              <w:rPr>
                <w:color w:val="000000"/>
                <w:sz w:val="18"/>
                <w:szCs w:val="18"/>
              </w:rPr>
            </w:pPr>
            <w:r>
              <w:rPr>
                <w:rFonts w:hint="eastAsia" w:ascii="宋体" w:hAnsi="宋体" w:cs="宋体"/>
                <w:color w:val="000000"/>
                <w:kern w:val="0"/>
                <w:sz w:val="18"/>
                <w:szCs w:val="18"/>
                <w:lang w:bidi="ar"/>
              </w:rPr>
              <w:t>振弦式</w:t>
            </w:r>
          </w:p>
        </w:tc>
        <w:tc>
          <w:tcPr>
            <w:tcW w:w="1942"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color w:val="000000"/>
                <w:sz w:val="18"/>
                <w:szCs w:val="18"/>
              </w:rPr>
            </w:pPr>
            <w:r>
              <w:rPr>
                <w:color w:val="000000"/>
                <w:kern w:val="0"/>
                <w:sz w:val="18"/>
                <w:szCs w:val="18"/>
                <w:lang w:bidi="ar"/>
              </w:rPr>
              <w:t xml:space="preserve">Ⅲ  </w:t>
            </w:r>
            <w:r>
              <w:rPr>
                <w:rFonts w:hint="eastAsia" w:ascii="宋体" w:hAnsi="宋体" w:cs="宋体"/>
                <w:color w:val="000000"/>
                <w:kern w:val="0"/>
                <w:sz w:val="18"/>
                <w:szCs w:val="18"/>
                <w:lang w:bidi="ar"/>
              </w:rPr>
              <w:t>弱风化花岗岩</w:t>
            </w:r>
            <w:r>
              <w:rPr>
                <w:color w:val="000000"/>
                <w:kern w:val="0"/>
                <w:sz w:val="18"/>
                <w:szCs w:val="18"/>
                <w:lang w:bidi="ar"/>
              </w:rPr>
              <w:t>/</w:t>
            </w:r>
            <w:r>
              <w:rPr>
                <w:rFonts w:hint="eastAsia" w:ascii="宋体" w:hAnsi="宋体" w:cs="宋体"/>
                <w:color w:val="000000"/>
                <w:kern w:val="0"/>
                <w:sz w:val="18"/>
                <w:szCs w:val="18"/>
                <w:lang w:bidi="ar"/>
              </w:rPr>
              <w:t>辉长岩、弱风化泥质粉砂岩、弱风化长石石英砂岩</w:t>
            </w:r>
          </w:p>
        </w:tc>
        <w:tc>
          <w:tcPr>
            <w:tcW w:w="647" w:type="pc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jc w:val="center"/>
              <w:textAlignment w:val="center"/>
              <w:rPr>
                <w:color w:val="000000"/>
                <w:sz w:val="18"/>
                <w:szCs w:val="18"/>
              </w:rPr>
            </w:pPr>
            <w:r>
              <w:rPr>
                <w:color w:val="000000"/>
                <w:kern w:val="0"/>
                <w:sz w:val="18"/>
                <w:szCs w:val="18"/>
                <w:lang w:bidi="ar"/>
              </w:rPr>
              <w:t>4#</w:t>
            </w:r>
            <w:r>
              <w:rPr>
                <w:rFonts w:hint="eastAsia" w:ascii="宋体" w:hAnsi="宋体" w:cs="宋体"/>
                <w:color w:val="000000"/>
                <w:kern w:val="0"/>
                <w:sz w:val="18"/>
                <w:szCs w:val="18"/>
                <w:lang w:bidi="ar"/>
              </w:rPr>
              <w:t>盾构井</w:t>
            </w:r>
          </w:p>
        </w:tc>
        <w:tc>
          <w:tcPr>
            <w:tcW w:w="406" w:type="pc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color w:val="000000"/>
                <w:sz w:val="18"/>
                <w:szCs w:val="18"/>
              </w:rPr>
            </w:pPr>
            <w:r>
              <w:rPr>
                <w:color w:val="000000"/>
                <w:sz w:val="18"/>
                <w:szCs w:val="18"/>
              </w:rPr>
              <w:t>GX7+901</w:t>
            </w: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color w:val="000000"/>
                <w:sz w:val="18"/>
                <w:szCs w:val="18"/>
              </w:rPr>
            </w:pPr>
          </w:p>
        </w:tc>
      </w:tr>
    </w:tbl>
    <w:p>
      <w:pPr>
        <w:pStyle w:val="21"/>
        <w:rPr>
          <w:color w:val="000000" w:themeColor="text1"/>
          <w:sz w:val="24"/>
          <w14:textFill>
            <w14:solidFill>
              <w14:schemeClr w14:val="tx1"/>
            </w14:solidFill>
          </w14:textFill>
        </w:rPr>
      </w:pPr>
    </w:p>
    <w:p>
      <w:pPr>
        <w:pStyle w:val="275"/>
        <w:spacing w:line="500" w:lineRule="atLeast"/>
        <w:ind w:firstLine="480" w:firstLineChars="200"/>
      </w:pPr>
      <w:r>
        <w:rPr>
          <w:rFonts w:hint="eastAsia"/>
        </w:rPr>
        <w:t>监测项目包括隧洞收敛变形、接缝变形、围岩内部变形、隧洞外水压力，锚杆应力应变、内衬结构中钢筋应力等。</w:t>
      </w:r>
    </w:p>
    <w:p>
      <w:pPr>
        <w:pStyle w:val="275"/>
        <w:spacing w:line="500" w:lineRule="atLeast"/>
        <w:ind w:firstLine="480" w:firstLineChars="200"/>
      </w:pPr>
      <w:r>
        <w:rPr>
          <w:rFonts w:hint="eastAsia"/>
        </w:rPr>
        <w:t>主要监测项目如下：</w:t>
      </w:r>
    </w:p>
    <w:p>
      <w:pPr>
        <w:pStyle w:val="275"/>
        <w:spacing w:line="500" w:lineRule="atLeast"/>
        <w:ind w:firstLine="480" w:firstLineChars="200"/>
      </w:pPr>
      <w:r>
        <w:rPr>
          <w:rFonts w:hint="eastAsia"/>
        </w:rPr>
        <w:t>（1）变形监测</w:t>
      </w:r>
    </w:p>
    <w:p>
      <w:pPr>
        <w:pStyle w:val="275"/>
        <w:spacing w:line="500" w:lineRule="atLeast"/>
        <w:ind w:firstLine="480" w:firstLineChars="200"/>
      </w:pPr>
      <w:r>
        <w:rPr>
          <w:rFonts w:hint="eastAsia"/>
        </w:rPr>
        <w:t>①收敛变形</w:t>
      </w:r>
    </w:p>
    <w:p>
      <w:pPr>
        <w:pStyle w:val="275"/>
        <w:spacing w:line="500" w:lineRule="atLeast"/>
        <w:ind w:firstLine="480" w:firstLineChars="200"/>
      </w:pPr>
      <w:r>
        <w:rPr>
          <w:rFonts w:hint="eastAsia"/>
        </w:rPr>
        <w:t>为了监测隧洞内部的变形特性，在隧洞监测断面顶部和两腰侧设置收敛监测点，监测施工期隧洞内弧面变形情况，采用收敛计进行观测。</w:t>
      </w:r>
    </w:p>
    <w:p>
      <w:pPr>
        <w:pStyle w:val="275"/>
        <w:spacing w:line="500" w:lineRule="atLeast"/>
        <w:ind w:firstLine="480" w:firstLineChars="200"/>
      </w:pPr>
      <w:r>
        <w:rPr>
          <w:rFonts w:hint="eastAsia"/>
        </w:rPr>
        <w:t>②接缝变形</w:t>
      </w:r>
    </w:p>
    <w:p>
      <w:pPr>
        <w:pStyle w:val="275"/>
        <w:spacing w:line="500" w:lineRule="atLeast"/>
        <w:ind w:firstLine="480" w:firstLineChars="200"/>
      </w:pPr>
      <w:r>
        <w:rPr>
          <w:rFonts w:hint="eastAsia"/>
        </w:rPr>
        <w:t>为了解混凝土衬砌与围岩的接缝变形情况，在混凝土与围岩结合部位布置测缝计，每个监测断面的顶部和两腰侧各布置1个测点，共计9支振弦式测缝计。监测输水隧洞钢筋混凝土衬砌与围岩的接缝开合状态。</w:t>
      </w:r>
    </w:p>
    <w:p>
      <w:pPr>
        <w:pStyle w:val="275"/>
        <w:spacing w:line="500" w:lineRule="atLeast"/>
        <w:ind w:firstLine="480" w:firstLineChars="200"/>
      </w:pPr>
      <w:r>
        <w:rPr>
          <w:rFonts w:hint="eastAsia"/>
        </w:rPr>
        <w:t>③围岩内部变形</w:t>
      </w:r>
    </w:p>
    <w:p>
      <w:pPr>
        <w:pStyle w:val="275"/>
        <w:spacing w:line="500" w:lineRule="atLeast"/>
        <w:ind w:firstLine="480" w:firstLineChars="200"/>
      </w:pPr>
      <w:r>
        <w:t>为了监测洞壁围岩的变形特性，及时反馈支护设计，在</w:t>
      </w:r>
      <w:r>
        <w:rPr>
          <w:rFonts w:hint="eastAsia"/>
        </w:rPr>
        <w:t>钻爆隧洞</w:t>
      </w:r>
      <w:r>
        <w:t>监测断面的隧洞顶拱及左右两侧的腰部布置3套三点位移计，共计</w:t>
      </w:r>
      <w:r>
        <w:rPr>
          <w:rFonts w:hint="eastAsia"/>
        </w:rPr>
        <w:t>9</w:t>
      </w:r>
      <w:r>
        <w:t>套</w:t>
      </w:r>
      <w:r>
        <w:rPr>
          <w:rFonts w:hint="eastAsia"/>
        </w:rPr>
        <w:t>振弦式</w:t>
      </w:r>
      <w:r>
        <w:t>三点位移计，。</w:t>
      </w:r>
    </w:p>
    <w:p>
      <w:pPr>
        <w:pStyle w:val="275"/>
        <w:spacing w:line="500" w:lineRule="atLeast"/>
        <w:ind w:firstLine="480" w:firstLineChars="200"/>
      </w:pPr>
      <w:r>
        <w:rPr>
          <w:rFonts w:hint="eastAsia"/>
        </w:rPr>
        <w:t>（2）渗流监测</w:t>
      </w:r>
    </w:p>
    <w:p>
      <w:pPr>
        <w:pStyle w:val="275"/>
        <w:spacing w:line="500" w:lineRule="atLeast"/>
        <w:ind w:firstLine="480" w:firstLineChars="200"/>
      </w:pPr>
      <w:r>
        <w:rPr>
          <w:rFonts w:hint="eastAsia"/>
        </w:rPr>
        <w:t>为了解输水隧洞的外水压力分布情况，在隧洞衬砌外侧布置渗压计，在每个监测断面隧洞围岩顶部和左侧各布置1支渗压计，共计6支振弦式渗压计。</w:t>
      </w:r>
    </w:p>
    <w:p>
      <w:pPr>
        <w:pStyle w:val="275"/>
        <w:spacing w:line="500" w:lineRule="atLeast"/>
        <w:ind w:firstLine="480" w:firstLineChars="200"/>
      </w:pPr>
      <w:r>
        <w:rPr>
          <w:rFonts w:hint="eastAsia"/>
        </w:rPr>
        <w:t>（3）应力监测</w:t>
      </w:r>
    </w:p>
    <w:p>
      <w:pPr>
        <w:pStyle w:val="275"/>
        <w:spacing w:line="500" w:lineRule="atLeast"/>
        <w:ind w:firstLine="480" w:firstLineChars="200"/>
      </w:pPr>
      <w:r>
        <w:rPr>
          <w:rFonts w:hint="eastAsia"/>
        </w:rPr>
        <w:t>①锚杆应力</w:t>
      </w:r>
    </w:p>
    <w:p>
      <w:pPr>
        <w:pStyle w:val="275"/>
        <w:spacing w:line="500" w:lineRule="atLeast"/>
        <w:ind w:firstLine="480" w:firstLineChars="200"/>
      </w:pPr>
      <w:r>
        <w:rPr>
          <w:rFonts w:hint="eastAsia"/>
        </w:rPr>
        <w:t>为了解输水隧洞开挖后支护锚杆的受力情况，在隧洞开挖阶段围岩内布置锚杆应力计，每个监测断面布置3支锚杆应力计，共计9支振弦式锚杆应力计，监测施工期及运行期支护锚杆的应力状态。</w:t>
      </w:r>
    </w:p>
    <w:p>
      <w:pPr>
        <w:pStyle w:val="275"/>
        <w:spacing w:line="500" w:lineRule="atLeast"/>
        <w:ind w:firstLine="480" w:firstLineChars="200"/>
      </w:pPr>
      <w:r>
        <w:rPr>
          <w:rFonts w:hint="eastAsia"/>
        </w:rPr>
        <w:t>②钢筋混凝土应力应变</w:t>
      </w:r>
    </w:p>
    <w:p>
      <w:pPr>
        <w:pStyle w:val="275"/>
        <w:spacing w:line="500" w:lineRule="atLeast"/>
        <w:ind w:firstLine="480" w:firstLineChars="200"/>
      </w:pPr>
      <w:r>
        <w:rPr>
          <w:rFonts w:hint="eastAsia"/>
        </w:rPr>
        <w:t>为了解输水隧洞衬砌的受力情况，在每个监测断面隧洞顶部和左腰侧的内外层钢筋布置4支钢筋计，共计12支钢筋计，测点分布以环向为主，监测运行期衬砌内钢筋的应力状态。</w:t>
      </w:r>
    </w:p>
    <w:p>
      <w:pPr>
        <w:autoSpaceDE w:val="0"/>
        <w:autoSpaceDN w:val="0"/>
        <w:adjustRightInd w:val="0"/>
        <w:spacing w:line="500" w:lineRule="atLeast"/>
        <w:ind w:firstLine="480"/>
        <w:rPr>
          <w:kern w:val="0"/>
          <w:sz w:val="24"/>
        </w:rPr>
      </w:pPr>
      <w:r>
        <w:rPr>
          <w:rFonts w:hint="eastAsia"/>
          <w:kern w:val="0"/>
          <w:sz w:val="24"/>
        </w:rPr>
        <w:t>监测仪器电缆引入支洞或工作井的MCU，所有数据通过通讯主光缆或4G路由器传输信息到中控室，实现自动化采集。</w:t>
      </w:r>
    </w:p>
    <w:p>
      <w:pPr>
        <w:pStyle w:val="5"/>
        <w:snapToGrid w:val="0"/>
        <w:spacing w:before="0" w:after="0" w:line="500" w:lineRule="atLeast"/>
        <w:jc w:val="both"/>
        <w:rPr>
          <w:szCs w:val="24"/>
          <w:lang w:val="en-US"/>
        </w:rPr>
      </w:pPr>
      <w:bookmarkStart w:id="51" w:name="_Toc118821419"/>
      <w:bookmarkStart w:id="52" w:name="_Toc2450"/>
      <w:r>
        <w:rPr>
          <w:rFonts w:hint="eastAsia"/>
          <w:szCs w:val="24"/>
          <w:lang w:val="en-US"/>
        </w:rPr>
        <w:t>1.3.3  输水沿线</w:t>
      </w:r>
      <w:bookmarkEnd w:id="51"/>
      <w:bookmarkEnd w:id="52"/>
    </w:p>
    <w:p>
      <w:pPr>
        <w:pStyle w:val="275"/>
        <w:spacing w:line="500" w:lineRule="atLeast"/>
        <w:ind w:firstLine="480" w:firstLineChars="200"/>
      </w:pPr>
      <w:r>
        <w:rPr>
          <w:rFonts w:hint="eastAsia"/>
        </w:rPr>
        <w:t>主要监测项目如下：</w:t>
      </w:r>
    </w:p>
    <w:p>
      <w:pPr>
        <w:pStyle w:val="275"/>
        <w:spacing w:line="500" w:lineRule="atLeast"/>
        <w:ind w:firstLine="480" w:firstLineChars="200"/>
      </w:pPr>
      <w:r>
        <w:rPr>
          <w:rFonts w:hint="eastAsia"/>
        </w:rPr>
        <w:t>（1）内水压力</w:t>
      </w:r>
    </w:p>
    <w:p>
      <w:pPr>
        <w:pStyle w:val="275"/>
        <w:spacing w:line="500" w:lineRule="atLeast"/>
        <w:ind w:firstLine="480" w:firstLineChars="200"/>
      </w:pPr>
      <w:r>
        <w:rPr>
          <w:rFonts w:hint="eastAsia"/>
        </w:rPr>
        <w:t>为监测不同部位管道内水压力状态，在有压输水管道沿程及分水口的检修排水井、排气通风井等部位布置压力计，共计布置</w:t>
      </w:r>
      <w:r>
        <w:t>10</w:t>
      </w:r>
      <w:r>
        <w:rPr>
          <w:spacing w:val="-4"/>
        </w:rPr>
        <w:t>套</w:t>
      </w:r>
      <w:r>
        <w:rPr>
          <w:rFonts w:hint="eastAsia"/>
          <w:spacing w:val="-4"/>
        </w:rPr>
        <w:t>压力传感器。</w:t>
      </w:r>
    </w:p>
    <w:p>
      <w:pPr>
        <w:autoSpaceDE w:val="0"/>
        <w:autoSpaceDN w:val="0"/>
        <w:adjustRightInd w:val="0"/>
        <w:spacing w:line="500" w:lineRule="atLeast"/>
        <w:ind w:firstLine="480"/>
        <w:rPr>
          <w:kern w:val="0"/>
          <w:sz w:val="24"/>
        </w:rPr>
      </w:pPr>
      <w:r>
        <w:rPr>
          <w:rFonts w:hint="eastAsia"/>
          <w:color w:val="000000" w:themeColor="text1"/>
          <w:sz w:val="24"/>
          <w14:textFill>
            <w14:solidFill>
              <w14:schemeClr w14:val="tx1"/>
            </w14:solidFill>
          </w14:textFill>
        </w:rPr>
        <w:t>监测仪器电缆引至就近的工作井或排气阀井内的MCU进行数据采集，</w:t>
      </w:r>
      <w:r>
        <w:rPr>
          <w:kern w:val="0"/>
          <w:sz w:val="24"/>
        </w:rPr>
        <w:t>所有数据通过</w:t>
      </w:r>
      <w:r>
        <w:rPr>
          <w:rFonts w:hint="eastAsia"/>
          <w:kern w:val="0"/>
          <w:sz w:val="24"/>
        </w:rPr>
        <w:t>4G路由器</w:t>
      </w:r>
      <w:r>
        <w:rPr>
          <w:kern w:val="0"/>
          <w:sz w:val="24"/>
        </w:rPr>
        <w:t>传输信息到中控室，实现自动化采集。</w:t>
      </w:r>
    </w:p>
    <w:p>
      <w:pPr>
        <w:autoSpaceDE w:val="0"/>
        <w:autoSpaceDN w:val="0"/>
        <w:adjustRightInd w:val="0"/>
        <w:spacing w:line="500" w:lineRule="atLeast"/>
        <w:ind w:firstLine="480"/>
        <w:rPr>
          <w:kern w:val="0"/>
          <w:sz w:val="24"/>
        </w:rPr>
      </w:pPr>
      <w:r>
        <w:rPr>
          <w:rFonts w:hint="eastAsia"/>
          <w:kern w:val="0"/>
          <w:sz w:val="24"/>
        </w:rPr>
        <w:t>（2）隧洞收敛变形复测</w:t>
      </w:r>
    </w:p>
    <w:p>
      <w:pPr>
        <w:pStyle w:val="275"/>
        <w:spacing w:line="500" w:lineRule="atLeast"/>
        <w:ind w:firstLine="480" w:firstLineChars="200"/>
      </w:pPr>
      <w:r>
        <w:rPr>
          <w:rFonts w:hint="eastAsia"/>
        </w:rPr>
        <w:t>主</w:t>
      </w:r>
      <w:r>
        <w:rPr>
          <w:rFonts w:hint="eastAsia"/>
          <w:lang w:val="zh-CN"/>
        </w:rPr>
        <w:t>隧洞</w:t>
      </w:r>
      <w:r>
        <w:rPr>
          <w:rFonts w:hint="eastAsia"/>
        </w:rPr>
        <w:t>和施工支洞</w:t>
      </w:r>
      <w:r>
        <w:rPr>
          <w:rFonts w:hint="eastAsia"/>
          <w:lang w:val="zh-CN"/>
        </w:rPr>
        <w:t>内收敛变形为施工期的监测项目，利用土建施工单位埋设的测点进行复测，</w:t>
      </w:r>
      <w:bookmarkStart w:id="53" w:name="_Hlk118813660"/>
      <w:r>
        <w:rPr>
          <w:rFonts w:hint="eastAsia"/>
          <w:highlight w:val="none"/>
        </w:rPr>
        <w:t>监测断面间距：Ⅲ类围岩为</w:t>
      </w:r>
      <w:r>
        <w:rPr>
          <w:highlight w:val="none"/>
        </w:rPr>
        <w:t>50m</w:t>
      </w:r>
      <w:r>
        <w:rPr>
          <w:rFonts w:hint="eastAsia"/>
          <w:highlight w:val="none"/>
        </w:rPr>
        <w:t>；Ⅳ类围岩为</w:t>
      </w:r>
      <w:r>
        <w:rPr>
          <w:highlight w:val="none"/>
        </w:rPr>
        <w:t>40m</w:t>
      </w:r>
      <w:r>
        <w:rPr>
          <w:rFonts w:hint="eastAsia"/>
          <w:highlight w:val="none"/>
        </w:rPr>
        <w:t>；Ⅴ类围岩为</w:t>
      </w:r>
      <w:r>
        <w:rPr>
          <w:highlight w:val="none"/>
        </w:rPr>
        <w:t>30m</w:t>
      </w:r>
      <w:r>
        <w:rPr>
          <w:rFonts w:hint="eastAsia"/>
          <w:highlight w:val="none"/>
        </w:rPr>
        <w:t>；断层破碎带为</w:t>
      </w:r>
      <w:r>
        <w:rPr>
          <w:highlight w:val="none"/>
        </w:rPr>
        <w:t>10m</w:t>
      </w:r>
      <w:r>
        <w:rPr>
          <w:rFonts w:hint="eastAsia"/>
          <w:highlight w:val="none"/>
        </w:rPr>
        <w:t>。</w:t>
      </w:r>
      <w:bookmarkEnd w:id="53"/>
      <w:r>
        <w:rPr>
          <w:rFonts w:hint="eastAsia"/>
          <w:lang w:val="zh-CN"/>
        </w:rPr>
        <w:t>收敛变形采用全站仪或收敛计进行观测，</w:t>
      </w:r>
      <w:r>
        <w:rPr>
          <w:rFonts w:hint="eastAsia"/>
        </w:rPr>
        <w:t>复测频次为1次/月。</w:t>
      </w:r>
    </w:p>
    <w:p>
      <w:pPr>
        <w:pStyle w:val="5"/>
        <w:snapToGrid w:val="0"/>
        <w:spacing w:before="0" w:after="0" w:line="500" w:lineRule="atLeast"/>
        <w:jc w:val="both"/>
        <w:rPr>
          <w:szCs w:val="24"/>
          <w:lang w:val="en-US"/>
        </w:rPr>
      </w:pPr>
      <w:bookmarkStart w:id="54" w:name="_Toc6282"/>
      <w:bookmarkStart w:id="55" w:name="_Toc118821420"/>
      <w:r>
        <w:rPr>
          <w:rFonts w:hint="eastAsia"/>
          <w:szCs w:val="24"/>
          <w:lang w:val="en-US"/>
        </w:rPr>
        <w:t>1.3.4  岭后竖井</w:t>
      </w:r>
      <w:bookmarkEnd w:id="54"/>
      <w:bookmarkEnd w:id="55"/>
    </w:p>
    <w:p>
      <w:pPr>
        <w:autoSpaceDE w:val="0"/>
        <w:autoSpaceDN w:val="0"/>
        <w:adjustRightInd w:val="0"/>
        <w:spacing w:line="500" w:lineRule="atLeast"/>
        <w:ind w:firstLine="480"/>
        <w:rPr>
          <w:kern w:val="0"/>
          <w:sz w:val="24"/>
        </w:rPr>
      </w:pPr>
      <w:r>
        <w:rPr>
          <w:rFonts w:hint="eastAsia"/>
          <w:sz w:val="24"/>
        </w:rPr>
        <w:t>岭后竖井与盾构井结合布置，采用圆形断面，是衔接古巷泵站～岭后竖井段有压输水隧洞和岭后竖井～潮安分水口段有压输水隧洞的建筑物，竖井横截面为圆形，水池池身埋设于山体内。水池底部设置钢管段连接进、出水有压隧洞，钢管顶部设阻抗孔。</w:t>
      </w:r>
      <w:r>
        <w:rPr>
          <w:kern w:val="0"/>
          <w:sz w:val="24"/>
        </w:rPr>
        <w:t>主要的监测项目有：变形监测、</w:t>
      </w:r>
      <w:r>
        <w:rPr>
          <w:rFonts w:hint="eastAsia"/>
          <w:kern w:val="0"/>
          <w:sz w:val="24"/>
        </w:rPr>
        <w:t>应力监测、渗流</w:t>
      </w:r>
      <w:r>
        <w:rPr>
          <w:kern w:val="0"/>
          <w:sz w:val="24"/>
        </w:rPr>
        <w:t>监测</w:t>
      </w:r>
      <w:r>
        <w:rPr>
          <w:rFonts w:hint="eastAsia"/>
          <w:kern w:val="0"/>
          <w:sz w:val="24"/>
        </w:rPr>
        <w:t>、</w:t>
      </w:r>
      <w:r>
        <w:rPr>
          <w:kern w:val="0"/>
          <w:sz w:val="24"/>
        </w:rPr>
        <w:t>水位监测</w:t>
      </w:r>
      <w:r>
        <w:rPr>
          <w:rFonts w:hint="eastAsia"/>
          <w:kern w:val="0"/>
          <w:sz w:val="24"/>
        </w:rPr>
        <w:t>和水力学监测</w:t>
      </w:r>
      <w:r>
        <w:rPr>
          <w:kern w:val="0"/>
          <w:sz w:val="24"/>
        </w:rPr>
        <w:t>。具体监测布置如下：</w:t>
      </w:r>
    </w:p>
    <w:p>
      <w:pPr>
        <w:spacing w:line="520" w:lineRule="exact"/>
        <w:ind w:firstLine="480" w:firstLineChars="200"/>
        <w:rPr>
          <w:sz w:val="24"/>
        </w:rPr>
      </w:pPr>
      <w:r>
        <w:rPr>
          <w:rFonts w:hint="eastAsia"/>
          <w:sz w:val="24"/>
        </w:rPr>
        <w:t>（</w:t>
      </w:r>
      <w:r>
        <w:rPr>
          <w:sz w:val="24"/>
        </w:rPr>
        <w:t>1）变形监测</w:t>
      </w:r>
    </w:p>
    <w:p>
      <w:pPr>
        <w:spacing w:line="520" w:lineRule="exact"/>
        <w:ind w:firstLine="480" w:firstLineChars="200"/>
        <w:rPr>
          <w:sz w:val="24"/>
        </w:rPr>
      </w:pPr>
      <w:r>
        <w:rPr>
          <w:sz w:val="24"/>
        </w:rPr>
        <w:t>在</w:t>
      </w:r>
      <w:r>
        <w:rPr>
          <w:rFonts w:hint="eastAsia"/>
          <w:sz w:val="24"/>
        </w:rPr>
        <w:t>竖井</w:t>
      </w:r>
      <w:r>
        <w:rPr>
          <w:sz w:val="24"/>
        </w:rPr>
        <w:t>地面墙体四周布置4个沉降测点，用于监测</w:t>
      </w:r>
      <w:r>
        <w:rPr>
          <w:rFonts w:hint="eastAsia"/>
          <w:sz w:val="24"/>
        </w:rPr>
        <w:t>竖井四周</w:t>
      </w:r>
      <w:r>
        <w:rPr>
          <w:sz w:val="24"/>
        </w:rPr>
        <w:t>的沉降变形情况，采用精密水准法进行观测</w:t>
      </w:r>
      <w:r>
        <w:rPr>
          <w:rFonts w:hint="eastAsia"/>
          <w:sz w:val="24"/>
        </w:rPr>
        <w:t>。</w:t>
      </w:r>
    </w:p>
    <w:p>
      <w:pPr>
        <w:autoSpaceDE w:val="0"/>
        <w:autoSpaceDN w:val="0"/>
        <w:adjustRightInd w:val="0"/>
        <w:spacing w:line="500" w:lineRule="atLeast"/>
        <w:ind w:firstLine="480" w:firstLineChars="200"/>
        <w:rPr>
          <w:sz w:val="24"/>
        </w:rPr>
      </w:pPr>
      <w:r>
        <w:rPr>
          <w:sz w:val="24"/>
        </w:rPr>
        <w:t>在变形影响区域外</w:t>
      </w:r>
      <w:r>
        <w:rPr>
          <w:rFonts w:hint="eastAsia"/>
          <w:sz w:val="24"/>
        </w:rPr>
        <w:t>布置3个</w:t>
      </w:r>
      <w:r>
        <w:rPr>
          <w:rFonts w:hint="eastAsia" w:ascii="Times New Roman" w:hAnsi="Times New Roman" w:eastAsia="宋体"/>
          <w:color w:val="auto"/>
          <w:sz w:val="24"/>
          <w:lang w:val="zh-CN"/>
        </w:rPr>
        <w:t>垂直位移工作基点</w:t>
      </w:r>
      <w:r>
        <w:rPr>
          <w:rFonts w:hint="eastAsia"/>
          <w:sz w:val="24"/>
        </w:rPr>
        <w:t>，工作基点之间相互校核</w:t>
      </w:r>
      <w:r>
        <w:rPr>
          <w:sz w:val="24"/>
        </w:rPr>
        <w:t>。</w:t>
      </w:r>
    </w:p>
    <w:p>
      <w:pPr>
        <w:spacing w:line="520" w:lineRule="exact"/>
        <w:ind w:firstLine="480" w:firstLineChars="200"/>
        <w:rPr>
          <w:sz w:val="24"/>
        </w:rPr>
      </w:pPr>
      <w:r>
        <w:rPr>
          <w:rFonts w:hint="eastAsia"/>
          <w:sz w:val="24"/>
        </w:rPr>
        <w:t>（2）应力监测</w:t>
      </w:r>
    </w:p>
    <w:p>
      <w:pPr>
        <w:spacing w:line="520" w:lineRule="exact"/>
        <w:ind w:firstLine="480" w:firstLineChars="200"/>
        <w:rPr>
          <w:sz w:val="24"/>
        </w:rPr>
      </w:pPr>
      <w:r>
        <w:rPr>
          <w:sz w:val="24"/>
        </w:rPr>
        <w:t>为了解运行期</w:t>
      </w:r>
      <w:r>
        <w:rPr>
          <w:rFonts w:hint="eastAsia"/>
          <w:sz w:val="24"/>
        </w:rPr>
        <w:t>阻抗</w:t>
      </w:r>
      <w:r>
        <w:rPr>
          <w:sz w:val="24"/>
        </w:rPr>
        <w:t>孔</w:t>
      </w:r>
      <w:r>
        <w:rPr>
          <w:rFonts w:hint="eastAsia"/>
          <w:sz w:val="24"/>
        </w:rPr>
        <w:t>的结构</w:t>
      </w:r>
      <w:r>
        <w:rPr>
          <w:sz w:val="24"/>
        </w:rPr>
        <w:t>应力状态，</w:t>
      </w:r>
      <w:r>
        <w:rPr>
          <w:rFonts w:hint="eastAsia"/>
          <w:sz w:val="24"/>
        </w:rPr>
        <w:t>在阻抗</w:t>
      </w:r>
      <w:r>
        <w:rPr>
          <w:sz w:val="24"/>
        </w:rPr>
        <w:t>孔</w:t>
      </w:r>
      <w:r>
        <w:rPr>
          <w:rFonts w:hint="eastAsia"/>
          <w:sz w:val="24"/>
        </w:rPr>
        <w:t>两侧环向</w:t>
      </w:r>
      <w:r>
        <w:rPr>
          <w:sz w:val="24"/>
        </w:rPr>
        <w:t>钢筋</w:t>
      </w:r>
      <w:r>
        <w:rPr>
          <w:rFonts w:hint="eastAsia"/>
          <w:sz w:val="24"/>
        </w:rPr>
        <w:t>布置4支</w:t>
      </w:r>
      <w:r>
        <w:rPr>
          <w:sz w:val="24"/>
        </w:rPr>
        <w:t>钢筋计。</w:t>
      </w:r>
    </w:p>
    <w:p>
      <w:pPr>
        <w:spacing w:line="520" w:lineRule="exact"/>
        <w:ind w:firstLine="480" w:firstLineChars="200"/>
        <w:rPr>
          <w:sz w:val="24"/>
        </w:rPr>
      </w:pPr>
      <w:r>
        <w:rPr>
          <w:rFonts w:hint="eastAsia"/>
          <w:sz w:val="24"/>
        </w:rPr>
        <w:t>（3</w:t>
      </w:r>
      <w:r>
        <w:rPr>
          <w:sz w:val="24"/>
        </w:rPr>
        <w:t>）</w:t>
      </w:r>
      <w:r>
        <w:rPr>
          <w:rFonts w:hint="eastAsia"/>
          <w:sz w:val="24"/>
        </w:rPr>
        <w:t>渗流</w:t>
      </w:r>
      <w:r>
        <w:rPr>
          <w:sz w:val="24"/>
        </w:rPr>
        <w:t>监测</w:t>
      </w:r>
    </w:p>
    <w:p>
      <w:pPr>
        <w:spacing w:line="520" w:lineRule="exact"/>
        <w:ind w:firstLine="480" w:firstLineChars="200"/>
        <w:rPr>
          <w:sz w:val="24"/>
        </w:rPr>
      </w:pPr>
      <w:r>
        <w:rPr>
          <w:sz w:val="24"/>
        </w:rPr>
        <w:t>为了解</w:t>
      </w:r>
      <w:r>
        <w:rPr>
          <w:rFonts w:hint="eastAsia"/>
          <w:sz w:val="24"/>
        </w:rPr>
        <w:t>竖井</w:t>
      </w:r>
      <w:r>
        <w:rPr>
          <w:sz w:val="24"/>
        </w:rPr>
        <w:t>四周的地下水位变化，在</w:t>
      </w:r>
      <w:r>
        <w:rPr>
          <w:rFonts w:hint="eastAsia"/>
          <w:sz w:val="24"/>
        </w:rPr>
        <w:t>竖井</w:t>
      </w:r>
      <w:r>
        <w:rPr>
          <w:sz w:val="24"/>
        </w:rPr>
        <w:t>四周接合面附近布设</w:t>
      </w:r>
      <w:r>
        <w:rPr>
          <w:rFonts w:hint="eastAsia"/>
          <w:sz w:val="24"/>
        </w:rPr>
        <w:t>2</w:t>
      </w:r>
      <w:r>
        <w:rPr>
          <w:sz w:val="24"/>
        </w:rPr>
        <w:t>根测压管。测压管内放入一支渗压计以实现自动化监测，采用电测水位计进行人工比测，共计</w:t>
      </w:r>
      <w:r>
        <w:rPr>
          <w:rFonts w:hint="eastAsia"/>
          <w:sz w:val="24"/>
        </w:rPr>
        <w:t>2</w:t>
      </w:r>
      <w:r>
        <w:rPr>
          <w:sz w:val="24"/>
        </w:rPr>
        <w:t>根测压管和</w:t>
      </w:r>
      <w:r>
        <w:rPr>
          <w:rFonts w:hint="eastAsia"/>
          <w:sz w:val="24"/>
        </w:rPr>
        <w:t>2</w:t>
      </w:r>
      <w:r>
        <w:rPr>
          <w:sz w:val="24"/>
        </w:rPr>
        <w:t>支渗压计。</w:t>
      </w:r>
    </w:p>
    <w:p>
      <w:pPr>
        <w:spacing w:line="520" w:lineRule="exact"/>
        <w:ind w:firstLine="480" w:firstLineChars="200"/>
        <w:rPr>
          <w:sz w:val="24"/>
        </w:rPr>
      </w:pPr>
      <w:r>
        <w:rPr>
          <w:rFonts w:hint="eastAsia"/>
          <w:sz w:val="24"/>
        </w:rPr>
        <w:t>（4</w:t>
      </w:r>
      <w:r>
        <w:rPr>
          <w:sz w:val="24"/>
        </w:rPr>
        <w:t>）水位监测</w:t>
      </w:r>
    </w:p>
    <w:p>
      <w:pPr>
        <w:spacing w:line="520" w:lineRule="exact"/>
        <w:ind w:firstLine="480" w:firstLineChars="200"/>
        <w:rPr>
          <w:sz w:val="24"/>
        </w:rPr>
      </w:pPr>
      <w:r>
        <w:rPr>
          <w:sz w:val="24"/>
        </w:rPr>
        <w:t>在</w:t>
      </w:r>
      <w:r>
        <w:rPr>
          <w:rFonts w:hint="eastAsia"/>
          <w:sz w:val="24"/>
        </w:rPr>
        <w:t>井内</w:t>
      </w:r>
      <w:r>
        <w:rPr>
          <w:sz w:val="24"/>
        </w:rPr>
        <w:t>布置1</w:t>
      </w:r>
      <w:r>
        <w:rPr>
          <w:rFonts w:hint="eastAsia"/>
          <w:sz w:val="24"/>
        </w:rPr>
        <w:t>支</w:t>
      </w:r>
      <w:r>
        <w:rPr>
          <w:sz w:val="24"/>
        </w:rPr>
        <w:t>水位计对</w:t>
      </w:r>
      <w:r>
        <w:rPr>
          <w:rFonts w:hint="eastAsia"/>
          <w:sz w:val="24"/>
        </w:rPr>
        <w:t>岭后竖井</w:t>
      </w:r>
      <w:r>
        <w:rPr>
          <w:sz w:val="24"/>
        </w:rPr>
        <w:t>水位进行实时在线监测</w:t>
      </w:r>
      <w:r>
        <w:rPr>
          <w:rFonts w:hint="eastAsia"/>
          <w:sz w:val="24"/>
        </w:rPr>
        <w:t>，并在水位计旁布置一根水尺进行人工比测</w:t>
      </w:r>
      <w:r>
        <w:rPr>
          <w:sz w:val="24"/>
        </w:rPr>
        <w:t>。</w:t>
      </w:r>
    </w:p>
    <w:p>
      <w:pPr>
        <w:spacing w:line="520" w:lineRule="exact"/>
        <w:ind w:firstLine="480" w:firstLineChars="200"/>
        <w:rPr>
          <w:sz w:val="24"/>
        </w:rPr>
      </w:pPr>
      <w:r>
        <w:rPr>
          <w:rFonts w:hint="eastAsia"/>
          <w:sz w:val="24"/>
        </w:rPr>
        <w:t>（5）水力学监测</w:t>
      </w:r>
    </w:p>
    <w:p>
      <w:pPr>
        <w:spacing w:line="520" w:lineRule="exact"/>
        <w:ind w:firstLine="480" w:firstLineChars="200"/>
        <w:rPr>
          <w:sz w:val="24"/>
        </w:rPr>
      </w:pPr>
      <w:r>
        <w:rPr>
          <w:rFonts w:hint="eastAsia"/>
          <w:sz w:val="24"/>
        </w:rPr>
        <w:t>在井内底部高程布置3支FBG渗压计，监测高位水池的动水压力。</w:t>
      </w:r>
    </w:p>
    <w:p>
      <w:pPr>
        <w:autoSpaceDE w:val="0"/>
        <w:autoSpaceDN w:val="0"/>
        <w:adjustRightInd w:val="0"/>
        <w:spacing w:line="500" w:lineRule="atLeast"/>
        <w:ind w:firstLine="480"/>
        <w:rPr>
          <w:kern w:val="0"/>
          <w:sz w:val="24"/>
        </w:rPr>
      </w:pPr>
      <w:r>
        <w:rPr>
          <w:sz w:val="24"/>
        </w:rPr>
        <w:t>监测电缆按就近原则引至就近MCU，</w:t>
      </w:r>
      <w:r>
        <w:rPr>
          <w:rFonts w:hint="eastAsia"/>
          <w:kern w:val="0"/>
          <w:sz w:val="24"/>
        </w:rPr>
        <w:t>所有数据通过4G路由器传输信息到中控室，实现自动化采集。</w:t>
      </w:r>
    </w:p>
    <w:p>
      <w:pPr>
        <w:pStyle w:val="21"/>
        <w:rPr>
          <w:kern w:val="0"/>
          <w:sz w:val="24"/>
          <w:szCs w:val="24"/>
        </w:rPr>
      </w:pPr>
    </w:p>
    <w:p>
      <w:pPr>
        <w:pStyle w:val="5"/>
        <w:snapToGrid w:val="0"/>
        <w:spacing w:before="0" w:after="0" w:line="500" w:lineRule="atLeast"/>
        <w:jc w:val="both"/>
        <w:rPr>
          <w:szCs w:val="24"/>
          <w:lang w:val="en-US"/>
        </w:rPr>
      </w:pPr>
      <w:bookmarkStart w:id="56" w:name="_Toc9638"/>
      <w:bookmarkStart w:id="57" w:name="_Toc118821421"/>
      <w:r>
        <w:rPr>
          <w:rFonts w:hint="eastAsia"/>
          <w:szCs w:val="24"/>
          <w:lang w:val="en-US"/>
        </w:rPr>
        <w:t>1.3.5  古巷控制闸</w:t>
      </w:r>
      <w:bookmarkEnd w:id="56"/>
      <w:bookmarkEnd w:id="57"/>
    </w:p>
    <w:p>
      <w:pPr>
        <w:overflowPunct w:val="0"/>
        <w:spacing w:line="500" w:lineRule="atLeast"/>
        <w:ind w:firstLine="480" w:firstLineChars="200"/>
        <w:rPr>
          <w:sz w:val="24"/>
        </w:rPr>
      </w:pPr>
      <w:r>
        <w:rPr>
          <w:rFonts w:hint="eastAsia"/>
          <w:sz w:val="24"/>
        </w:rPr>
        <w:t>本工程于古巷分水口至关埠取水口封闭管道GX1+915段建有古巷控制闸，对管道进行调流控压。在GX2盾构井中，建有1孔平板闸和2个调流阀的方式进行调流控压。控制闸分为三部分，分别为上游侧、闸室、下游侧，由闸室将盾构井一分为二，上游侧和下游侧为闸室水下墙和内衬水下墙闭合组成的水池结构。</w:t>
      </w:r>
    </w:p>
    <w:p>
      <w:pPr>
        <w:overflowPunct w:val="0"/>
        <w:spacing w:line="500" w:lineRule="atLeast"/>
        <w:ind w:firstLine="480" w:firstLineChars="200"/>
        <w:rPr>
          <w:sz w:val="24"/>
        </w:rPr>
      </w:pPr>
      <w:r>
        <w:rPr>
          <w:rFonts w:hint="eastAsia"/>
          <w:sz w:val="24"/>
        </w:rPr>
        <w:t>监测项目主要包括：变形监测、渗流监测、水位监测等。</w:t>
      </w:r>
    </w:p>
    <w:p>
      <w:pPr>
        <w:overflowPunct w:val="0"/>
        <w:spacing w:line="500" w:lineRule="atLeast"/>
        <w:ind w:firstLine="480" w:firstLineChars="200"/>
        <w:rPr>
          <w:sz w:val="24"/>
        </w:rPr>
      </w:pPr>
      <w:r>
        <w:rPr>
          <w:sz w:val="24"/>
        </w:rPr>
        <w:t>（1）变形监测</w:t>
      </w:r>
    </w:p>
    <w:p>
      <w:pPr>
        <w:autoSpaceDE w:val="0"/>
        <w:autoSpaceDN w:val="0"/>
        <w:adjustRightInd w:val="0"/>
        <w:spacing w:line="500" w:lineRule="atLeast"/>
        <w:ind w:firstLine="480"/>
        <w:rPr>
          <w:kern w:val="0"/>
          <w:sz w:val="24"/>
        </w:rPr>
      </w:pPr>
      <w:r>
        <w:rPr>
          <w:sz w:val="24"/>
        </w:rPr>
        <w:t>在</w:t>
      </w:r>
      <w:r>
        <w:rPr>
          <w:rFonts w:hint="eastAsia"/>
          <w:sz w:val="24"/>
        </w:rPr>
        <w:t>水闸</w:t>
      </w:r>
      <w:r>
        <w:rPr>
          <w:sz w:val="24"/>
        </w:rPr>
        <w:t>闸墩上布置</w:t>
      </w:r>
      <w:r>
        <w:rPr>
          <w:rFonts w:hint="eastAsia"/>
          <w:sz w:val="24"/>
        </w:rPr>
        <w:t>2个</w:t>
      </w:r>
      <w:r>
        <w:rPr>
          <w:sz w:val="24"/>
        </w:rPr>
        <w:t>水平位移测点，用于监测水闸的水平位移；在</w:t>
      </w:r>
      <w:r>
        <w:rPr>
          <w:rFonts w:hint="eastAsia"/>
          <w:sz w:val="24"/>
        </w:rPr>
        <w:t>水</w:t>
      </w:r>
      <w:r>
        <w:rPr>
          <w:sz w:val="24"/>
        </w:rPr>
        <w:t>闸</w:t>
      </w:r>
      <w:r>
        <w:rPr>
          <w:rFonts w:hint="eastAsia"/>
          <w:sz w:val="24"/>
        </w:rPr>
        <w:t>上下游闸墩</w:t>
      </w:r>
      <w:r>
        <w:rPr>
          <w:sz w:val="24"/>
        </w:rPr>
        <w:t>布置</w:t>
      </w:r>
      <w:r>
        <w:rPr>
          <w:rFonts w:hint="eastAsia"/>
          <w:sz w:val="24"/>
        </w:rPr>
        <w:t>沉降测点，监测水闸的沉降变形</w:t>
      </w:r>
      <w:r>
        <w:rPr>
          <w:sz w:val="24"/>
        </w:rPr>
        <w:t>。</w:t>
      </w:r>
      <w:r>
        <w:rPr>
          <w:rFonts w:hint="eastAsia"/>
          <w:sz w:val="24"/>
        </w:rPr>
        <w:t>在水闸四周的砼挡墙布置4支倾角计，监测挡墙的倾斜变形</w:t>
      </w:r>
      <w:r>
        <w:rPr>
          <w:kern w:val="0"/>
          <w:sz w:val="24"/>
        </w:rPr>
        <w:t>。</w:t>
      </w:r>
    </w:p>
    <w:p>
      <w:pPr>
        <w:overflowPunct w:val="0"/>
        <w:spacing w:line="500" w:lineRule="atLeast"/>
        <w:ind w:firstLine="480" w:firstLineChars="200"/>
        <w:rPr>
          <w:sz w:val="24"/>
        </w:rPr>
      </w:pPr>
      <w:r>
        <w:rPr>
          <w:rFonts w:hint="eastAsia"/>
          <w:sz w:val="24"/>
        </w:rPr>
        <w:t>同时在倾角计位置对应的挡墙布置4个垂直位移测点，监测挡墙的表面沉降变形。</w:t>
      </w:r>
    </w:p>
    <w:p>
      <w:pPr>
        <w:overflowPunct w:val="0"/>
        <w:spacing w:line="500" w:lineRule="atLeast"/>
        <w:ind w:firstLine="480" w:firstLineChars="200"/>
        <w:rPr>
          <w:sz w:val="24"/>
        </w:rPr>
      </w:pPr>
      <w:r>
        <w:rPr>
          <w:sz w:val="24"/>
        </w:rPr>
        <w:t>水平位移监测采用挂壁式棱镜，采用交会法或极坐标法进行观测，监测仪器采用全站仪</w:t>
      </w:r>
      <w:r>
        <w:rPr>
          <w:rFonts w:hint="eastAsia"/>
          <w:sz w:val="24"/>
        </w:rPr>
        <w:t>，在水闸建筑物以外基础稳固可靠的地方设置3个水平位移工作基点；</w:t>
      </w:r>
      <w:r>
        <w:rPr>
          <w:sz w:val="24"/>
        </w:rPr>
        <w:t>沉降监测采用水准法，监测仪器采用精密水准仪</w:t>
      </w:r>
      <w:r>
        <w:rPr>
          <w:rFonts w:hint="eastAsia"/>
          <w:sz w:val="24"/>
        </w:rPr>
        <w:t>，在建筑物以外基础稳固可靠的地方设置3个垂直位移工作基点。</w:t>
      </w:r>
    </w:p>
    <w:p>
      <w:pPr>
        <w:overflowPunct w:val="0"/>
        <w:spacing w:line="500" w:lineRule="atLeast"/>
        <w:ind w:firstLine="480" w:firstLineChars="200"/>
        <w:rPr>
          <w:sz w:val="24"/>
        </w:rPr>
      </w:pPr>
      <w:r>
        <w:rPr>
          <w:sz w:val="24"/>
        </w:rPr>
        <w:t>（2）</w:t>
      </w:r>
      <w:r>
        <w:rPr>
          <w:rFonts w:hint="eastAsia"/>
          <w:sz w:val="24"/>
        </w:rPr>
        <w:t>渗流监测</w:t>
      </w:r>
    </w:p>
    <w:p>
      <w:pPr>
        <w:overflowPunct w:val="0"/>
        <w:spacing w:line="500" w:lineRule="atLeast"/>
        <w:ind w:firstLine="480" w:firstLineChars="200"/>
        <w:rPr>
          <w:sz w:val="24"/>
        </w:rPr>
      </w:pPr>
      <w:r>
        <w:rPr>
          <w:rFonts w:hint="eastAsia"/>
          <w:sz w:val="24"/>
        </w:rPr>
        <w:t>在水闸周边布置2根测压管，监测地下水位的变化情况，每支测压管内均投入1支渗压计以实现自动化监测。</w:t>
      </w:r>
    </w:p>
    <w:p>
      <w:pPr>
        <w:overflowPunct w:val="0"/>
        <w:spacing w:line="500" w:lineRule="atLeast"/>
        <w:ind w:firstLine="480" w:firstLineChars="200"/>
        <w:rPr>
          <w:sz w:val="24"/>
        </w:rPr>
      </w:pPr>
      <w:r>
        <w:rPr>
          <w:sz w:val="24"/>
        </w:rPr>
        <w:t>（3）水位监测</w:t>
      </w:r>
    </w:p>
    <w:p>
      <w:pPr>
        <w:overflowPunct w:val="0"/>
        <w:spacing w:line="500" w:lineRule="atLeast"/>
        <w:ind w:firstLine="480" w:firstLineChars="200"/>
        <w:rPr>
          <w:sz w:val="24"/>
        </w:rPr>
      </w:pPr>
      <w:r>
        <w:rPr>
          <w:sz w:val="24"/>
        </w:rPr>
        <w:t>在</w:t>
      </w:r>
      <w:r>
        <w:rPr>
          <w:rFonts w:hint="eastAsia"/>
          <w:sz w:val="24"/>
        </w:rPr>
        <w:t>水</w:t>
      </w:r>
      <w:r>
        <w:rPr>
          <w:sz w:val="24"/>
        </w:rPr>
        <w:t>闸</w:t>
      </w:r>
      <w:r>
        <w:rPr>
          <w:rFonts w:hint="eastAsia"/>
          <w:sz w:val="24"/>
        </w:rPr>
        <w:t>上游侧和下游侧各</w:t>
      </w:r>
      <w:r>
        <w:rPr>
          <w:sz w:val="24"/>
        </w:rPr>
        <w:t>布置</w:t>
      </w:r>
      <w:r>
        <w:rPr>
          <w:kern w:val="0"/>
          <w:sz w:val="24"/>
        </w:rPr>
        <w:t>1</w:t>
      </w:r>
      <w:r>
        <w:rPr>
          <w:rFonts w:hint="eastAsia"/>
          <w:kern w:val="0"/>
          <w:sz w:val="24"/>
        </w:rPr>
        <w:t>支</w:t>
      </w:r>
      <w:r>
        <w:rPr>
          <w:kern w:val="0"/>
          <w:sz w:val="24"/>
        </w:rPr>
        <w:t>水位计，</w:t>
      </w:r>
      <w:r>
        <w:rPr>
          <w:sz w:val="24"/>
        </w:rPr>
        <w:t>并在水位计的附近布置1根水尺进行人工比测。</w:t>
      </w:r>
    </w:p>
    <w:p>
      <w:pPr>
        <w:overflowPunct w:val="0"/>
        <w:spacing w:line="500" w:lineRule="atLeast"/>
        <w:ind w:firstLine="480" w:firstLineChars="200"/>
        <w:rPr>
          <w:sz w:val="24"/>
        </w:rPr>
      </w:pPr>
    </w:p>
    <w:p>
      <w:pPr>
        <w:pStyle w:val="5"/>
        <w:snapToGrid w:val="0"/>
        <w:spacing w:before="0" w:after="0" w:line="500" w:lineRule="atLeast"/>
        <w:jc w:val="both"/>
        <w:rPr>
          <w:szCs w:val="24"/>
          <w:lang w:val="en-US"/>
        </w:rPr>
      </w:pPr>
      <w:bookmarkStart w:id="58" w:name="_Toc31348"/>
      <w:bookmarkStart w:id="59" w:name="_Toc118821422"/>
      <w:r>
        <w:rPr>
          <w:rFonts w:hint="eastAsia"/>
          <w:szCs w:val="24"/>
          <w:lang w:val="en-US"/>
        </w:rPr>
        <w:t>1.3.6  事故闸</w:t>
      </w:r>
      <w:bookmarkEnd w:id="58"/>
      <w:bookmarkEnd w:id="59"/>
    </w:p>
    <w:p>
      <w:pPr>
        <w:overflowPunct w:val="0"/>
        <w:spacing w:line="490" w:lineRule="atLeast"/>
        <w:ind w:firstLine="480" w:firstLineChars="200"/>
        <w:rPr>
          <w:sz w:val="24"/>
        </w:rPr>
      </w:pPr>
      <w:r>
        <w:rPr>
          <w:sz w:val="24"/>
        </w:rPr>
        <w:t>古巷事故闸位于GX1盾构井内，布有一道控制平板闸。</w:t>
      </w:r>
      <w:r>
        <w:rPr>
          <w:rFonts w:hint="eastAsia"/>
          <w:sz w:val="24"/>
        </w:rPr>
        <w:t>监测项目主要包括：变形监测、水位监测等。</w:t>
      </w:r>
    </w:p>
    <w:p>
      <w:pPr>
        <w:overflowPunct w:val="0"/>
        <w:spacing w:line="500" w:lineRule="atLeast"/>
        <w:ind w:firstLine="480" w:firstLineChars="200"/>
        <w:rPr>
          <w:sz w:val="24"/>
        </w:rPr>
      </w:pPr>
      <w:r>
        <w:rPr>
          <w:sz w:val="24"/>
        </w:rPr>
        <w:t>（1）变形监测</w:t>
      </w:r>
    </w:p>
    <w:p>
      <w:pPr>
        <w:overflowPunct w:val="0"/>
        <w:spacing w:line="500" w:lineRule="atLeast"/>
        <w:ind w:firstLine="480" w:firstLineChars="200"/>
        <w:rPr>
          <w:sz w:val="24"/>
        </w:rPr>
      </w:pPr>
      <w:r>
        <w:rPr>
          <w:sz w:val="24"/>
        </w:rPr>
        <w:t>在</w:t>
      </w:r>
      <w:r>
        <w:rPr>
          <w:rFonts w:hint="eastAsia"/>
          <w:sz w:val="24"/>
        </w:rPr>
        <w:t>水</w:t>
      </w:r>
      <w:r>
        <w:rPr>
          <w:sz w:val="24"/>
        </w:rPr>
        <w:t>闸箱涵布置</w:t>
      </w:r>
      <w:r>
        <w:rPr>
          <w:rFonts w:hint="eastAsia"/>
          <w:sz w:val="24"/>
        </w:rPr>
        <w:t>2根</w:t>
      </w:r>
      <w:r>
        <w:rPr>
          <w:sz w:val="24"/>
        </w:rPr>
        <w:t>沉降标，用于监测箱涵的不均匀沉降。</w:t>
      </w:r>
      <w:r>
        <w:rPr>
          <w:rFonts w:hint="eastAsia"/>
          <w:sz w:val="24"/>
        </w:rPr>
        <w:t>在过水井的四周布置沉降测点，监测过水井的沉降变形。</w:t>
      </w:r>
    </w:p>
    <w:p>
      <w:pPr>
        <w:overflowPunct w:val="0"/>
        <w:spacing w:line="500" w:lineRule="atLeast"/>
        <w:ind w:firstLine="480" w:firstLineChars="200"/>
        <w:rPr>
          <w:sz w:val="24"/>
        </w:rPr>
      </w:pPr>
      <w:r>
        <w:rPr>
          <w:sz w:val="24"/>
        </w:rPr>
        <w:t>沉降监测采用水准法，监测仪器采用精密水准仪</w:t>
      </w:r>
      <w:r>
        <w:rPr>
          <w:rFonts w:hint="eastAsia"/>
          <w:sz w:val="24"/>
        </w:rPr>
        <w:t>，在建筑物以外基础稳固可靠的地方设置1组基准点，在水闸两侧各布置1个垂直位移工作基点。</w:t>
      </w:r>
    </w:p>
    <w:p>
      <w:pPr>
        <w:spacing w:line="500" w:lineRule="atLeast"/>
        <w:ind w:firstLine="480" w:firstLineChars="200"/>
        <w:rPr>
          <w:sz w:val="24"/>
        </w:rPr>
      </w:pPr>
      <w:r>
        <w:rPr>
          <w:sz w:val="24"/>
        </w:rPr>
        <w:t>为监测</w:t>
      </w:r>
      <w:r>
        <w:rPr>
          <w:rFonts w:hint="eastAsia"/>
          <w:sz w:val="24"/>
        </w:rPr>
        <w:t>过水井</w:t>
      </w:r>
      <w:r>
        <w:rPr>
          <w:sz w:val="24"/>
        </w:rPr>
        <w:t>的倾斜变形情况，选取两个方向，在</w:t>
      </w:r>
      <w:r>
        <w:rPr>
          <w:rFonts w:hint="eastAsia"/>
          <w:sz w:val="24"/>
        </w:rPr>
        <w:t>过水井墙上</w:t>
      </w:r>
      <w:r>
        <w:rPr>
          <w:sz w:val="24"/>
        </w:rPr>
        <w:t>布置倾角计，共计</w:t>
      </w:r>
      <w:r>
        <w:rPr>
          <w:rFonts w:hint="eastAsia"/>
          <w:sz w:val="24"/>
        </w:rPr>
        <w:t>2</w:t>
      </w:r>
      <w:r>
        <w:rPr>
          <w:sz w:val="24"/>
        </w:rPr>
        <w:t>支倾角计。</w:t>
      </w:r>
    </w:p>
    <w:p>
      <w:pPr>
        <w:overflowPunct w:val="0"/>
        <w:spacing w:line="500" w:lineRule="atLeast"/>
        <w:ind w:firstLine="480" w:firstLineChars="200"/>
        <w:rPr>
          <w:sz w:val="24"/>
        </w:rPr>
      </w:pPr>
      <w:r>
        <w:rPr>
          <w:sz w:val="24"/>
        </w:rPr>
        <w:t>（</w:t>
      </w:r>
      <w:r>
        <w:rPr>
          <w:rFonts w:hint="eastAsia"/>
          <w:sz w:val="24"/>
        </w:rPr>
        <w:t>2</w:t>
      </w:r>
      <w:r>
        <w:rPr>
          <w:sz w:val="24"/>
        </w:rPr>
        <w:t>）水位监测</w:t>
      </w:r>
    </w:p>
    <w:p>
      <w:pPr>
        <w:overflowPunct w:val="0"/>
        <w:spacing w:line="500" w:lineRule="atLeast"/>
        <w:ind w:firstLine="480" w:firstLineChars="200"/>
        <w:rPr>
          <w:sz w:val="24"/>
        </w:rPr>
      </w:pPr>
      <w:r>
        <w:rPr>
          <w:sz w:val="24"/>
        </w:rPr>
        <w:t>在</w:t>
      </w:r>
      <w:r>
        <w:rPr>
          <w:rFonts w:hint="eastAsia"/>
          <w:sz w:val="24"/>
        </w:rPr>
        <w:t>GX1过水井内</w:t>
      </w:r>
      <w:r>
        <w:rPr>
          <w:sz w:val="24"/>
        </w:rPr>
        <w:t>布置</w:t>
      </w:r>
      <w:r>
        <w:rPr>
          <w:kern w:val="0"/>
          <w:sz w:val="24"/>
        </w:rPr>
        <w:t>1</w:t>
      </w:r>
      <w:r>
        <w:rPr>
          <w:rFonts w:hint="eastAsia"/>
          <w:kern w:val="0"/>
          <w:sz w:val="24"/>
        </w:rPr>
        <w:t>支</w:t>
      </w:r>
      <w:r>
        <w:rPr>
          <w:kern w:val="0"/>
          <w:sz w:val="24"/>
        </w:rPr>
        <w:t>水位计，</w:t>
      </w:r>
      <w:r>
        <w:rPr>
          <w:sz w:val="24"/>
        </w:rPr>
        <w:t>并在水位计的附近布置1根水尺进行人工比测。</w:t>
      </w:r>
    </w:p>
    <w:p>
      <w:pPr>
        <w:pStyle w:val="21"/>
        <w:rPr>
          <w:color w:val="000000" w:themeColor="text1"/>
          <w:sz w:val="24"/>
          <w14:textFill>
            <w14:solidFill>
              <w14:schemeClr w14:val="tx1"/>
            </w14:solidFill>
          </w14:textFill>
        </w:rPr>
      </w:pPr>
    </w:p>
    <w:p>
      <w:pPr>
        <w:pStyle w:val="5"/>
        <w:snapToGrid w:val="0"/>
        <w:spacing w:before="0" w:after="0" w:line="500" w:lineRule="atLeast"/>
        <w:jc w:val="both"/>
        <w:rPr>
          <w:szCs w:val="24"/>
          <w:lang w:val="en-US"/>
        </w:rPr>
      </w:pPr>
      <w:bookmarkStart w:id="60" w:name="_Toc18710"/>
      <w:bookmarkStart w:id="61" w:name="_Toc118821423"/>
      <w:r>
        <w:rPr>
          <w:rFonts w:hint="eastAsia"/>
          <w:szCs w:val="24"/>
          <w:lang w:val="en-US"/>
        </w:rPr>
        <w:t>1.3.7  厂区边坡</w:t>
      </w:r>
      <w:bookmarkEnd w:id="60"/>
      <w:bookmarkEnd w:id="61"/>
    </w:p>
    <w:p>
      <w:pPr>
        <w:overflowPunct w:val="0"/>
        <w:spacing w:line="490" w:lineRule="atLeast"/>
        <w:ind w:firstLine="480" w:firstLineChars="200"/>
        <w:rPr>
          <w:sz w:val="24"/>
        </w:rPr>
      </w:pPr>
      <w:r>
        <w:rPr>
          <w:rFonts w:hint="eastAsia"/>
          <w:sz w:val="24"/>
        </w:rPr>
        <w:t>本标段永久厂区边坡包括GX3#工作井、GX4#工作井、GX7#工作井厂区边坡等，</w:t>
      </w:r>
      <w:r>
        <w:rPr>
          <w:sz w:val="24"/>
        </w:rPr>
        <w:t>为及时了解</w:t>
      </w:r>
      <w:r>
        <w:rPr>
          <w:rFonts w:hint="eastAsia"/>
          <w:sz w:val="24"/>
        </w:rPr>
        <w:t>永久工作井厂区</w:t>
      </w:r>
      <w:r>
        <w:rPr>
          <w:sz w:val="24"/>
        </w:rPr>
        <w:t>边坡的稳定状态，布置一定数量的监测设备对边坡工程进行连续监测。</w:t>
      </w:r>
      <w:r>
        <w:rPr>
          <w:rFonts w:hint="eastAsia"/>
          <w:sz w:val="24"/>
        </w:rPr>
        <w:t>厂区</w:t>
      </w:r>
      <w:r>
        <w:rPr>
          <w:sz w:val="24"/>
        </w:rPr>
        <w:t>边坡工程主要监测项目有：变形监测、地下水位监测</w:t>
      </w:r>
      <w:r>
        <w:rPr>
          <w:rFonts w:hint="eastAsia"/>
          <w:sz w:val="24"/>
        </w:rPr>
        <w:t>、支护</w:t>
      </w:r>
      <w:r>
        <w:rPr>
          <w:sz w:val="24"/>
        </w:rPr>
        <w:t>应力监测和现场检查等。</w:t>
      </w:r>
    </w:p>
    <w:p>
      <w:pPr>
        <w:overflowPunct w:val="0"/>
        <w:spacing w:line="490" w:lineRule="atLeast"/>
        <w:ind w:firstLine="480" w:firstLineChars="200"/>
        <w:rPr>
          <w:sz w:val="24"/>
        </w:rPr>
      </w:pPr>
      <w:r>
        <w:rPr>
          <w:sz w:val="24"/>
        </w:rPr>
        <w:t>根据地质条件，主要监测项目如下：</w:t>
      </w:r>
    </w:p>
    <w:p>
      <w:pPr>
        <w:overflowPunct w:val="0"/>
        <w:spacing w:line="490" w:lineRule="atLeast"/>
        <w:ind w:firstLine="480" w:firstLineChars="200"/>
        <w:rPr>
          <w:sz w:val="24"/>
        </w:rPr>
      </w:pPr>
      <w:r>
        <w:rPr>
          <w:rFonts w:hint="eastAsia"/>
          <w:sz w:val="24"/>
        </w:rPr>
        <w:t>（1）</w:t>
      </w:r>
      <w:r>
        <w:rPr>
          <w:sz w:val="24"/>
        </w:rPr>
        <w:t>表面变形监测</w:t>
      </w:r>
    </w:p>
    <w:p>
      <w:pPr>
        <w:overflowPunct w:val="0"/>
        <w:spacing w:line="490" w:lineRule="atLeast"/>
        <w:ind w:firstLine="480" w:firstLineChars="200"/>
        <w:rPr>
          <w:sz w:val="24"/>
        </w:rPr>
      </w:pPr>
      <w:r>
        <w:rPr>
          <w:sz w:val="24"/>
        </w:rPr>
        <w:t>为了解</w:t>
      </w:r>
      <w:r>
        <w:rPr>
          <w:rFonts w:hint="eastAsia"/>
          <w:sz w:val="24"/>
        </w:rPr>
        <w:t>厂区</w:t>
      </w:r>
      <w:r>
        <w:rPr>
          <w:sz w:val="24"/>
        </w:rPr>
        <w:t>边坡整体变形规律情况，在</w:t>
      </w:r>
      <w:r>
        <w:rPr>
          <w:rFonts w:hint="eastAsia"/>
          <w:sz w:val="24"/>
        </w:rPr>
        <w:t>永久</w:t>
      </w:r>
      <w:r>
        <w:rPr>
          <w:sz w:val="24"/>
        </w:rPr>
        <w:t>边坡</w:t>
      </w:r>
      <w:r>
        <w:rPr>
          <w:rFonts w:hint="eastAsia"/>
          <w:sz w:val="24"/>
        </w:rPr>
        <w:t>开</w:t>
      </w:r>
      <w:r>
        <w:rPr>
          <w:sz w:val="24"/>
        </w:rPr>
        <w:t>挖阶段沿不同高程马道布置位移测点，</w:t>
      </w:r>
      <w:r>
        <w:rPr>
          <w:rFonts w:hint="eastAsia"/>
          <w:sz w:val="24"/>
        </w:rPr>
        <w:t>水平位移采用交会法进行监测，垂直位移采用三角高程法进行监测。共计14个位移测点。在每个边坡以外基础稳固可靠的地方设置3个工作基点。</w:t>
      </w:r>
      <w:r>
        <w:rPr>
          <w:sz w:val="24"/>
        </w:rPr>
        <w:t>测点布置在相对稳定的基础上，避免在松动的表层土上布点。</w:t>
      </w:r>
    </w:p>
    <w:p>
      <w:pPr>
        <w:overflowPunct w:val="0"/>
        <w:spacing w:line="490" w:lineRule="atLeast"/>
        <w:ind w:firstLine="480" w:firstLineChars="200"/>
        <w:rPr>
          <w:sz w:val="24"/>
        </w:rPr>
      </w:pPr>
      <w:r>
        <w:rPr>
          <w:rFonts w:hint="eastAsia"/>
          <w:sz w:val="24"/>
        </w:rPr>
        <w:t>其中在GX7#工作井厂区边坡每个位移测点上各布置一套GNSS接收机，采用GPS静态测量方式进行水平位移的自动化监测。监测数据通过无线传输至监测管理中心。垂直位移采用三角高程法进行监测。</w:t>
      </w:r>
    </w:p>
    <w:p>
      <w:pPr>
        <w:overflowPunct w:val="0"/>
        <w:spacing w:line="490" w:lineRule="atLeast"/>
        <w:ind w:firstLine="480" w:firstLineChars="200"/>
        <w:rPr>
          <w:sz w:val="24"/>
        </w:rPr>
      </w:pPr>
      <w:r>
        <w:rPr>
          <w:rFonts w:hint="eastAsia"/>
          <w:sz w:val="24"/>
        </w:rPr>
        <w:t>（2）</w:t>
      </w:r>
      <w:r>
        <w:rPr>
          <w:sz w:val="24"/>
        </w:rPr>
        <w:t>内部变形监测</w:t>
      </w:r>
    </w:p>
    <w:p>
      <w:pPr>
        <w:overflowPunct w:val="0"/>
        <w:spacing w:line="490" w:lineRule="atLeast"/>
        <w:ind w:firstLine="480" w:firstLineChars="200"/>
        <w:rPr>
          <w:sz w:val="24"/>
        </w:rPr>
      </w:pPr>
      <w:r>
        <w:rPr>
          <w:sz w:val="24"/>
        </w:rPr>
        <w:t>在开挖阶段沿边坡不同高程布置</w:t>
      </w:r>
      <w:r>
        <w:rPr>
          <w:rFonts w:hint="eastAsia"/>
          <w:sz w:val="24"/>
        </w:rPr>
        <w:t>单点位移计和三点位移计</w:t>
      </w:r>
      <w:r>
        <w:rPr>
          <w:sz w:val="24"/>
        </w:rPr>
        <w:t>，对施工期</w:t>
      </w:r>
      <w:r>
        <w:rPr>
          <w:rFonts w:hint="eastAsia"/>
          <w:sz w:val="24"/>
        </w:rPr>
        <w:t>及运行期</w:t>
      </w:r>
      <w:r>
        <w:rPr>
          <w:sz w:val="24"/>
        </w:rPr>
        <w:t>边坡变形状态进行监测。</w:t>
      </w:r>
      <w:r>
        <w:rPr>
          <w:rFonts w:hint="eastAsia"/>
          <w:sz w:val="24"/>
        </w:rPr>
        <w:t>共计6组单点位移计和3组三点位移计。</w:t>
      </w:r>
    </w:p>
    <w:p>
      <w:pPr>
        <w:overflowPunct w:val="0"/>
        <w:spacing w:line="490" w:lineRule="atLeast"/>
        <w:ind w:firstLine="480" w:firstLineChars="200"/>
        <w:rPr>
          <w:sz w:val="24"/>
        </w:rPr>
      </w:pPr>
      <w:r>
        <w:rPr>
          <w:rFonts w:hint="eastAsia"/>
          <w:sz w:val="24"/>
        </w:rPr>
        <w:t>（3）</w:t>
      </w:r>
      <w:r>
        <w:rPr>
          <w:sz w:val="24"/>
        </w:rPr>
        <w:t>地下水位监测</w:t>
      </w:r>
    </w:p>
    <w:p>
      <w:pPr>
        <w:overflowPunct w:val="0"/>
        <w:spacing w:line="490" w:lineRule="atLeast"/>
        <w:ind w:firstLine="480" w:firstLineChars="200"/>
        <w:rPr>
          <w:sz w:val="24"/>
        </w:rPr>
      </w:pPr>
      <w:r>
        <w:rPr>
          <w:sz w:val="24"/>
        </w:rPr>
        <w:t>为了解地下水位</w:t>
      </w:r>
      <w:r>
        <w:rPr>
          <w:rFonts w:hint="eastAsia"/>
          <w:sz w:val="24"/>
        </w:rPr>
        <w:t>对边坡稳定性</w:t>
      </w:r>
      <w:r>
        <w:rPr>
          <w:sz w:val="24"/>
        </w:rPr>
        <w:t>的影响，在边坡上结合</w:t>
      </w:r>
      <w:r>
        <w:rPr>
          <w:rFonts w:hint="eastAsia"/>
          <w:sz w:val="24"/>
        </w:rPr>
        <w:t>表面变形测点</w:t>
      </w:r>
      <w:r>
        <w:rPr>
          <w:sz w:val="24"/>
        </w:rPr>
        <w:t>布置地下水位</w:t>
      </w:r>
      <w:r>
        <w:rPr>
          <w:rFonts w:hint="eastAsia"/>
          <w:sz w:val="24"/>
        </w:rPr>
        <w:t>测点</w:t>
      </w:r>
      <w:r>
        <w:rPr>
          <w:sz w:val="24"/>
        </w:rPr>
        <w:t>，每根测压管内均放入一支渗压计以实现自动化监测，采用电测水位计进行人工比测，监测施工期及运行期相应部位的地下水位变化情况。</w:t>
      </w:r>
      <w:r>
        <w:rPr>
          <w:rFonts w:hint="eastAsia"/>
          <w:sz w:val="24"/>
        </w:rPr>
        <w:t>共计10个地下水位监测点。</w:t>
      </w:r>
    </w:p>
    <w:p>
      <w:pPr>
        <w:overflowPunct w:val="0"/>
        <w:spacing w:line="490" w:lineRule="atLeast"/>
        <w:ind w:firstLine="480" w:firstLineChars="200"/>
        <w:rPr>
          <w:sz w:val="24"/>
        </w:rPr>
      </w:pPr>
      <w:r>
        <w:rPr>
          <w:rFonts w:hint="eastAsia"/>
          <w:sz w:val="24"/>
        </w:rPr>
        <w:t>（4）支护</w:t>
      </w:r>
      <w:r>
        <w:rPr>
          <w:sz w:val="24"/>
        </w:rPr>
        <w:t>应力监测</w:t>
      </w:r>
    </w:p>
    <w:p>
      <w:pPr>
        <w:overflowPunct w:val="0"/>
        <w:spacing w:line="490" w:lineRule="atLeast"/>
        <w:ind w:firstLine="480" w:firstLineChars="200"/>
        <w:rPr>
          <w:sz w:val="24"/>
        </w:rPr>
      </w:pPr>
      <w:r>
        <w:rPr>
          <w:sz w:val="24"/>
        </w:rPr>
        <w:t>为检验边坡锚杆的支护效果和承载力变化情况，沿边坡不同高程</w:t>
      </w:r>
      <w:r>
        <w:rPr>
          <w:rFonts w:hint="eastAsia"/>
          <w:sz w:val="24"/>
        </w:rPr>
        <w:t>的</w:t>
      </w:r>
      <w:r>
        <w:rPr>
          <w:sz w:val="24"/>
        </w:rPr>
        <w:t>锚杆</w:t>
      </w:r>
      <w:r>
        <w:rPr>
          <w:rFonts w:hint="eastAsia"/>
          <w:sz w:val="24"/>
        </w:rPr>
        <w:t>进行</w:t>
      </w:r>
      <w:r>
        <w:rPr>
          <w:sz w:val="24"/>
        </w:rPr>
        <w:t>应力监测，用于监测支护锚杆的应力应变状态。</w:t>
      </w:r>
      <w:r>
        <w:rPr>
          <w:rFonts w:hint="eastAsia"/>
          <w:sz w:val="24"/>
        </w:rPr>
        <w:t>共计布置20支锚杆应力计。</w:t>
      </w:r>
    </w:p>
    <w:p>
      <w:pPr>
        <w:overflowPunct w:val="0"/>
        <w:spacing w:line="490" w:lineRule="atLeast"/>
        <w:ind w:firstLine="480" w:firstLineChars="200"/>
        <w:rPr>
          <w:sz w:val="24"/>
        </w:rPr>
      </w:pPr>
      <w:r>
        <w:rPr>
          <w:rFonts w:hint="eastAsia"/>
          <w:sz w:val="24"/>
        </w:rPr>
        <w:t>边坡的具体监测项目在施工图阶段根据水工结构以及地质情况做适当的调整。</w:t>
      </w:r>
    </w:p>
    <w:p>
      <w:pPr>
        <w:overflowPunct w:val="0"/>
        <w:spacing w:line="490" w:lineRule="atLeast"/>
        <w:ind w:firstLine="480" w:firstLineChars="200"/>
        <w:rPr>
          <w:sz w:val="24"/>
        </w:rPr>
      </w:pPr>
    </w:p>
    <w:p>
      <w:pPr>
        <w:pStyle w:val="5"/>
        <w:spacing w:before="0" w:after="0" w:line="500" w:lineRule="atLeast"/>
        <w:jc w:val="both"/>
        <w:rPr>
          <w:szCs w:val="24"/>
          <w:lang w:val="en-US"/>
        </w:rPr>
      </w:pPr>
      <w:bookmarkStart w:id="62" w:name="_Toc29117"/>
      <w:bookmarkStart w:id="63" w:name="_Toc118821424"/>
      <w:r>
        <w:rPr>
          <w:rFonts w:hint="eastAsia"/>
          <w:szCs w:val="24"/>
          <w:lang w:val="en-US"/>
        </w:rPr>
        <w:t>1.3.8  检修支洞边坡</w:t>
      </w:r>
      <w:bookmarkEnd w:id="62"/>
      <w:bookmarkEnd w:id="63"/>
    </w:p>
    <w:p>
      <w:pPr>
        <w:overflowPunct w:val="0"/>
        <w:spacing w:line="490" w:lineRule="atLeast"/>
        <w:ind w:firstLine="480" w:firstLineChars="200"/>
        <w:rPr>
          <w:sz w:val="24"/>
        </w:rPr>
      </w:pPr>
      <w:r>
        <w:rPr>
          <w:rFonts w:hint="eastAsia"/>
          <w:sz w:val="24"/>
        </w:rPr>
        <w:t>本标段的检修支洞主要有钻爆隧洞的1#支洞、2#支洞和3#支洞。主要对输水线路沿线设置的3条检修支洞洞口边坡进行监测。主要监测项目如下：</w:t>
      </w:r>
    </w:p>
    <w:p>
      <w:pPr>
        <w:overflowPunct w:val="0"/>
        <w:spacing w:line="490" w:lineRule="atLeast"/>
        <w:ind w:firstLine="480" w:firstLineChars="200"/>
        <w:rPr>
          <w:sz w:val="24"/>
        </w:rPr>
      </w:pPr>
      <w:r>
        <w:rPr>
          <w:rFonts w:hint="eastAsia"/>
          <w:sz w:val="24"/>
        </w:rPr>
        <w:t>（1）表面变形监测</w:t>
      </w:r>
    </w:p>
    <w:p>
      <w:pPr>
        <w:overflowPunct w:val="0"/>
        <w:spacing w:line="490" w:lineRule="atLeast"/>
        <w:ind w:firstLine="480" w:firstLineChars="200"/>
        <w:rPr>
          <w:sz w:val="24"/>
        </w:rPr>
      </w:pPr>
      <w:r>
        <w:rPr>
          <w:rFonts w:hint="eastAsia"/>
          <w:sz w:val="24"/>
        </w:rPr>
        <w:t>为了解边坡岩土体表面变化规律，在每个隧洞洞口顶部布置位移测点，对施工期边坡变形、隧洞开挖对边坡的影响及运行期的围岩变形状态进行监测。水平位移采用交会法进行监测，垂直位移采用三角高程法进行监测。共计12个位移测点。在每个边坡以外基础稳固可靠的地方设置3个工作基点。</w:t>
      </w:r>
      <w:r>
        <w:rPr>
          <w:sz w:val="24"/>
        </w:rPr>
        <w:t>测点布置在相对稳定的基础上，避免在松动的表层土上布点。</w:t>
      </w:r>
    </w:p>
    <w:p>
      <w:pPr>
        <w:overflowPunct w:val="0"/>
        <w:spacing w:line="490" w:lineRule="atLeast"/>
        <w:ind w:firstLine="480" w:firstLineChars="200"/>
        <w:rPr>
          <w:sz w:val="24"/>
        </w:rPr>
      </w:pPr>
      <w:r>
        <w:rPr>
          <w:rFonts w:hint="eastAsia"/>
          <w:sz w:val="24"/>
        </w:rPr>
        <w:t>（2）内部变形监测</w:t>
      </w:r>
    </w:p>
    <w:p>
      <w:pPr>
        <w:overflowPunct w:val="0"/>
        <w:spacing w:line="490" w:lineRule="atLeast"/>
        <w:ind w:firstLine="480" w:firstLineChars="200"/>
        <w:rPr>
          <w:sz w:val="24"/>
        </w:rPr>
      </w:pPr>
      <w:r>
        <w:rPr>
          <w:rFonts w:hint="eastAsia"/>
          <w:sz w:val="24"/>
        </w:rPr>
        <w:t>为了解边坡岩土体内部变形规律，在每个隧洞洞口位移测点附近布置深层水平位移测点，通过埋设测斜管进行监测，采用活动式测斜仪对边坡内部变形进行观测。共计布置6根测斜管。内部位移测点孔深应大于潜在滑移面深度5~10m。</w:t>
      </w:r>
    </w:p>
    <w:p>
      <w:pPr>
        <w:overflowPunct w:val="0"/>
        <w:spacing w:line="490" w:lineRule="atLeast"/>
        <w:ind w:firstLine="480" w:firstLineChars="200"/>
        <w:rPr>
          <w:sz w:val="24"/>
        </w:rPr>
      </w:pPr>
      <w:r>
        <w:rPr>
          <w:rFonts w:hint="eastAsia"/>
          <w:sz w:val="24"/>
        </w:rPr>
        <w:t>（2）地下水位监测</w:t>
      </w:r>
    </w:p>
    <w:p>
      <w:pPr>
        <w:overflowPunct w:val="0"/>
        <w:spacing w:line="490" w:lineRule="atLeast"/>
        <w:ind w:firstLine="480" w:firstLineChars="200"/>
        <w:rPr>
          <w:sz w:val="24"/>
        </w:rPr>
      </w:pPr>
      <w:r>
        <w:rPr>
          <w:sz w:val="24"/>
        </w:rPr>
        <w:t>为了解地下水位</w:t>
      </w:r>
      <w:r>
        <w:rPr>
          <w:rFonts w:hint="eastAsia"/>
          <w:sz w:val="24"/>
        </w:rPr>
        <w:t>对边坡稳定性</w:t>
      </w:r>
      <w:r>
        <w:rPr>
          <w:sz w:val="24"/>
        </w:rPr>
        <w:t>的影响，</w:t>
      </w:r>
      <w:r>
        <w:rPr>
          <w:rFonts w:hint="eastAsia"/>
          <w:sz w:val="24"/>
        </w:rPr>
        <w:t>在边坡上结合测斜孔布置地下水位测点，采用测压管形式，每根测压管内均放入一支渗压计以实现自动化监测，采用电测水位计进行人工比测，监测施工期及运行期相应部位的地下水位变化情况。共计6个地下水位监测点。</w:t>
      </w:r>
    </w:p>
    <w:p>
      <w:pPr>
        <w:overflowPunct w:val="0"/>
        <w:spacing w:line="490" w:lineRule="atLeast"/>
        <w:ind w:firstLine="480" w:firstLineChars="200"/>
        <w:rPr>
          <w:sz w:val="24"/>
        </w:rPr>
      </w:pPr>
      <w:r>
        <w:rPr>
          <w:rFonts w:hint="eastAsia"/>
          <w:sz w:val="24"/>
        </w:rPr>
        <w:t>（3）支护</w:t>
      </w:r>
      <w:r>
        <w:rPr>
          <w:sz w:val="24"/>
        </w:rPr>
        <w:t>应力监测</w:t>
      </w:r>
    </w:p>
    <w:p>
      <w:pPr>
        <w:overflowPunct w:val="0"/>
        <w:spacing w:line="490" w:lineRule="atLeast"/>
        <w:ind w:firstLine="480" w:firstLineChars="200"/>
        <w:rPr>
          <w:sz w:val="24"/>
        </w:rPr>
      </w:pPr>
      <w:r>
        <w:rPr>
          <w:sz w:val="24"/>
        </w:rPr>
        <w:t>为检验边坡锚杆的支护效果和承载力变化情况，沿边坡不同高程</w:t>
      </w:r>
      <w:r>
        <w:rPr>
          <w:rFonts w:hint="eastAsia"/>
          <w:sz w:val="24"/>
        </w:rPr>
        <w:t>的</w:t>
      </w:r>
      <w:r>
        <w:rPr>
          <w:sz w:val="24"/>
        </w:rPr>
        <w:t>锚杆</w:t>
      </w:r>
      <w:r>
        <w:rPr>
          <w:rFonts w:hint="eastAsia"/>
          <w:sz w:val="24"/>
        </w:rPr>
        <w:t>进行</w:t>
      </w:r>
      <w:r>
        <w:rPr>
          <w:sz w:val="24"/>
        </w:rPr>
        <w:t>应力监测，用于监测支护锚杆的应力应变状态。</w:t>
      </w:r>
      <w:r>
        <w:rPr>
          <w:rFonts w:hint="eastAsia"/>
          <w:sz w:val="24"/>
        </w:rPr>
        <w:t>共计布置18支锚杆应力计。</w:t>
      </w:r>
    </w:p>
    <w:p>
      <w:pPr>
        <w:overflowPunct w:val="0"/>
        <w:spacing w:line="490" w:lineRule="atLeast"/>
        <w:ind w:firstLine="480" w:firstLineChars="200"/>
        <w:rPr>
          <w:sz w:val="24"/>
        </w:rPr>
      </w:pPr>
      <w:r>
        <w:rPr>
          <w:rFonts w:hint="eastAsia"/>
          <w:sz w:val="24"/>
        </w:rPr>
        <w:t>边坡的具体监测项目在施工图阶段根据水工结构以及地质情况做适当的调整。</w:t>
      </w:r>
    </w:p>
    <w:p>
      <w:pPr>
        <w:pStyle w:val="21"/>
      </w:pPr>
    </w:p>
    <w:p>
      <w:pPr>
        <w:pStyle w:val="21"/>
      </w:pPr>
    </w:p>
    <w:p>
      <w:pPr>
        <w:pStyle w:val="5"/>
        <w:spacing w:before="0" w:after="0" w:line="500" w:lineRule="atLeast"/>
        <w:jc w:val="both"/>
        <w:rPr>
          <w:szCs w:val="24"/>
          <w:lang w:val="en-US"/>
        </w:rPr>
      </w:pPr>
      <w:bookmarkStart w:id="64" w:name="_Toc118821425"/>
      <w:bookmarkStart w:id="65" w:name="_Toc1805"/>
      <w:r>
        <w:rPr>
          <w:rFonts w:hint="eastAsia"/>
          <w:szCs w:val="24"/>
          <w:lang w:val="en-US"/>
        </w:rPr>
        <w:t>1.3.9  施工期临时监测</w:t>
      </w:r>
      <w:bookmarkEnd w:id="64"/>
      <w:bookmarkEnd w:id="65"/>
    </w:p>
    <w:p>
      <w:pPr>
        <w:pStyle w:val="6"/>
      </w:pPr>
      <w:r>
        <w:rPr>
          <w:rFonts w:hint="eastAsia"/>
        </w:rPr>
        <w:t>1.3.9.1 工作井基坑</w:t>
      </w:r>
    </w:p>
    <w:p>
      <w:pPr>
        <w:pStyle w:val="21"/>
      </w:pPr>
    </w:p>
    <w:p>
      <w:pPr>
        <w:adjustRightInd w:val="0"/>
        <w:snapToGrid w:val="0"/>
        <w:spacing w:line="360" w:lineRule="auto"/>
        <w:ind w:firstLine="480" w:firstLineChars="200"/>
        <w:rPr>
          <w:sz w:val="24"/>
        </w:rPr>
      </w:pPr>
      <w:r>
        <w:rPr>
          <w:sz w:val="24"/>
        </w:rPr>
        <w:t>主干线设盾构工作井1</w:t>
      </w:r>
      <w:r>
        <w:rPr>
          <w:rFonts w:hint="eastAsia"/>
          <w:sz w:val="24"/>
        </w:rPr>
        <w:t>2</w:t>
      </w:r>
      <w:r>
        <w:rPr>
          <w:sz w:val="24"/>
        </w:rPr>
        <w:t>座</w:t>
      </w:r>
      <w:r>
        <w:rPr>
          <w:rFonts w:hint="eastAsia"/>
          <w:sz w:val="24"/>
        </w:rPr>
        <w:t>，</w:t>
      </w:r>
      <w:r>
        <w:rPr>
          <w:sz w:val="24"/>
        </w:rPr>
        <w:t>工作井为圆形</w:t>
      </w:r>
      <w:r>
        <w:rPr>
          <w:rFonts w:hint="eastAsia"/>
          <w:sz w:val="24"/>
        </w:rPr>
        <w:t>或矩形</w:t>
      </w:r>
      <w:r>
        <w:rPr>
          <w:sz w:val="24"/>
        </w:rPr>
        <w:t>。主要监测项目如下：</w:t>
      </w:r>
    </w:p>
    <w:p>
      <w:pPr>
        <w:adjustRightInd w:val="0"/>
        <w:snapToGrid w:val="0"/>
        <w:spacing w:line="360" w:lineRule="auto"/>
        <w:ind w:firstLine="480" w:firstLineChars="200"/>
        <w:rPr>
          <w:sz w:val="24"/>
        </w:rPr>
      </w:pPr>
      <w:r>
        <w:rPr>
          <w:sz w:val="24"/>
        </w:rPr>
        <w:t>(1)</w:t>
      </w:r>
      <w:r>
        <w:rPr>
          <w:rFonts w:hint="eastAsia"/>
          <w:sz w:val="24"/>
        </w:rPr>
        <w:t xml:space="preserve">  </w:t>
      </w:r>
      <w:r>
        <w:rPr>
          <w:sz w:val="24"/>
        </w:rPr>
        <w:t>表面位移监测</w:t>
      </w:r>
    </w:p>
    <w:p>
      <w:pPr>
        <w:adjustRightInd w:val="0"/>
        <w:snapToGrid w:val="0"/>
        <w:spacing w:line="360" w:lineRule="auto"/>
        <w:ind w:firstLine="480" w:firstLineChars="200"/>
        <w:rPr>
          <w:sz w:val="24"/>
        </w:rPr>
      </w:pPr>
      <w:r>
        <w:rPr>
          <w:sz w:val="24"/>
        </w:rPr>
        <w:t>为了解连续墙墙顶的位移变化情况，在每个工作井</w:t>
      </w:r>
      <w:r>
        <w:rPr>
          <w:rFonts w:hint="eastAsia"/>
          <w:sz w:val="24"/>
        </w:rPr>
        <w:t>的</w:t>
      </w:r>
      <w:r>
        <w:rPr>
          <w:sz w:val="24"/>
        </w:rPr>
        <w:t>每边连续墙顶部布置位移测点，同时监测水平位移和垂直位移，共计</w:t>
      </w:r>
      <w:r>
        <w:rPr>
          <w:rFonts w:hint="eastAsia"/>
          <w:sz w:val="24"/>
        </w:rPr>
        <w:t>52</w:t>
      </w:r>
      <w:r>
        <w:rPr>
          <w:sz w:val="24"/>
        </w:rPr>
        <w:t>个位移测点。为了解基坑开挖对周边地表和边坡的影响，</w:t>
      </w:r>
      <w:r>
        <w:rPr>
          <w:rFonts w:hint="eastAsia"/>
          <w:sz w:val="24"/>
        </w:rPr>
        <w:t>在</w:t>
      </w:r>
      <w:r>
        <w:rPr>
          <w:sz w:val="24"/>
        </w:rPr>
        <w:t>基坑外侧布置垂直位移测点，共计</w:t>
      </w:r>
      <w:r>
        <w:rPr>
          <w:rFonts w:hint="eastAsia"/>
          <w:sz w:val="24"/>
        </w:rPr>
        <w:t>160</w:t>
      </w:r>
      <w:r>
        <w:rPr>
          <w:sz w:val="24"/>
        </w:rPr>
        <w:t>个垂直位移测点。</w:t>
      </w:r>
    </w:p>
    <w:p>
      <w:pPr>
        <w:adjustRightInd w:val="0"/>
        <w:snapToGrid w:val="0"/>
        <w:spacing w:line="360" w:lineRule="auto"/>
        <w:ind w:firstLine="480" w:firstLineChars="200"/>
        <w:rPr>
          <w:sz w:val="24"/>
        </w:rPr>
      </w:pPr>
      <w:r>
        <w:rPr>
          <w:sz w:val="24"/>
        </w:rPr>
        <w:t>水平位移监测采用交会法，监测仪器采用全站仪，在</w:t>
      </w:r>
      <w:r>
        <w:rPr>
          <w:rFonts w:hint="eastAsia"/>
          <w:sz w:val="24"/>
        </w:rPr>
        <w:t>每座</w:t>
      </w:r>
      <w:r>
        <w:rPr>
          <w:sz w:val="24"/>
        </w:rPr>
        <w:t>基坑建筑物以外基础稳固可靠的地方布置3个</w:t>
      </w:r>
      <w:r>
        <w:rPr>
          <w:rFonts w:hint="eastAsia"/>
          <w:sz w:val="24"/>
        </w:rPr>
        <w:t>水平位移</w:t>
      </w:r>
      <w:r>
        <w:rPr>
          <w:sz w:val="24"/>
        </w:rPr>
        <w:t>工作基点；沉降监测采用水准法，监测仪器采用精密水准仪，在建筑物变形影响区域外布置</w:t>
      </w:r>
      <w:r>
        <w:rPr>
          <w:rFonts w:hint="eastAsia"/>
          <w:sz w:val="24"/>
        </w:rPr>
        <w:t>3个垂直位移工作基点</w:t>
      </w:r>
      <w:r>
        <w:rPr>
          <w:sz w:val="24"/>
        </w:rPr>
        <w:t>。</w:t>
      </w:r>
    </w:p>
    <w:p>
      <w:pPr>
        <w:adjustRightInd w:val="0"/>
        <w:snapToGrid w:val="0"/>
        <w:spacing w:line="360" w:lineRule="auto"/>
        <w:ind w:firstLine="480" w:firstLineChars="200"/>
        <w:rPr>
          <w:sz w:val="24"/>
        </w:rPr>
      </w:pPr>
      <w:r>
        <w:rPr>
          <w:sz w:val="24"/>
        </w:rPr>
        <w:t xml:space="preserve"> (2)</w:t>
      </w:r>
      <w:r>
        <w:rPr>
          <w:rFonts w:hint="eastAsia"/>
          <w:sz w:val="24"/>
        </w:rPr>
        <w:t xml:space="preserve">  </w:t>
      </w:r>
      <w:r>
        <w:rPr>
          <w:sz w:val="24"/>
        </w:rPr>
        <w:t xml:space="preserve">深层水平位移监测 </w:t>
      </w:r>
    </w:p>
    <w:p>
      <w:pPr>
        <w:adjustRightInd w:val="0"/>
        <w:snapToGrid w:val="0"/>
        <w:spacing w:line="360" w:lineRule="auto"/>
        <w:ind w:firstLine="480" w:firstLineChars="200"/>
        <w:rPr>
          <w:sz w:val="24"/>
        </w:rPr>
      </w:pPr>
      <w:r>
        <w:rPr>
          <w:sz w:val="24"/>
        </w:rPr>
        <w:t>为了解基坑开挖深层土体的水平位移情况，在每个工作井的每边连续墙的表面水平位移测点旁各布置1个深层水平位移测点，共计</w:t>
      </w:r>
      <w:r>
        <w:rPr>
          <w:rFonts w:hint="eastAsia"/>
          <w:sz w:val="24"/>
        </w:rPr>
        <w:t>52</w:t>
      </w:r>
      <w:r>
        <w:rPr>
          <w:sz w:val="24"/>
        </w:rPr>
        <w:t>个测点。每个测点采用预埋测斜管的方式安装埋设，每根测斜管管底高程应高于连续墙</w:t>
      </w:r>
      <w:r>
        <w:rPr>
          <w:rFonts w:hint="eastAsia"/>
          <w:sz w:val="24"/>
        </w:rPr>
        <w:t>底</w:t>
      </w:r>
      <w:r>
        <w:rPr>
          <w:sz w:val="24"/>
        </w:rPr>
        <w:t>0.5m。采用测斜仪对深层水平位移进行监测。</w:t>
      </w:r>
    </w:p>
    <w:p>
      <w:pPr>
        <w:adjustRightInd w:val="0"/>
        <w:snapToGrid w:val="0"/>
        <w:spacing w:line="360" w:lineRule="auto"/>
        <w:ind w:firstLine="480" w:firstLineChars="200"/>
        <w:rPr>
          <w:sz w:val="24"/>
        </w:rPr>
      </w:pPr>
      <w:r>
        <w:rPr>
          <w:sz w:val="24"/>
        </w:rPr>
        <w:t>(3)</w:t>
      </w:r>
      <w:r>
        <w:rPr>
          <w:rFonts w:hint="eastAsia"/>
          <w:sz w:val="24"/>
        </w:rPr>
        <w:t xml:space="preserve">  </w:t>
      </w:r>
      <w:r>
        <w:rPr>
          <w:sz w:val="24"/>
        </w:rPr>
        <w:t>地下水位监测</w:t>
      </w:r>
    </w:p>
    <w:p>
      <w:pPr>
        <w:adjustRightInd w:val="0"/>
        <w:snapToGrid w:val="0"/>
        <w:spacing w:line="360" w:lineRule="auto"/>
        <w:ind w:firstLine="480" w:firstLineChars="200"/>
        <w:rPr>
          <w:sz w:val="24"/>
        </w:rPr>
      </w:pPr>
      <w:r>
        <w:rPr>
          <w:sz w:val="24"/>
        </w:rPr>
        <w:t>在每个工作井基坑外侧布置地下水位孔，用于监测工作井四周的地下水位变化，共计</w:t>
      </w:r>
      <w:r>
        <w:rPr>
          <w:rFonts w:hint="eastAsia"/>
          <w:sz w:val="24"/>
        </w:rPr>
        <w:t>32</w:t>
      </w:r>
      <w:r>
        <w:rPr>
          <w:sz w:val="24"/>
        </w:rPr>
        <w:t>根测压管。采用电测水位计进行人工观测。</w:t>
      </w:r>
    </w:p>
    <w:p>
      <w:pPr>
        <w:adjustRightInd w:val="0"/>
        <w:snapToGrid w:val="0"/>
        <w:spacing w:line="360" w:lineRule="auto"/>
        <w:ind w:firstLine="480" w:firstLineChars="200"/>
        <w:rPr>
          <w:sz w:val="24"/>
        </w:rPr>
      </w:pPr>
      <w:r>
        <w:rPr>
          <w:sz w:val="24"/>
        </w:rPr>
        <w:t>(4)</w:t>
      </w:r>
      <w:r>
        <w:rPr>
          <w:rFonts w:hint="eastAsia"/>
          <w:sz w:val="24"/>
        </w:rPr>
        <w:t xml:space="preserve">  </w:t>
      </w:r>
      <w:r>
        <w:rPr>
          <w:sz w:val="24"/>
        </w:rPr>
        <w:t>围护墙内力监测</w:t>
      </w:r>
    </w:p>
    <w:p>
      <w:pPr>
        <w:adjustRightInd w:val="0"/>
        <w:snapToGrid w:val="0"/>
        <w:spacing w:line="360" w:lineRule="auto"/>
        <w:ind w:firstLine="480" w:firstLineChars="200"/>
        <w:rPr>
          <w:sz w:val="24"/>
        </w:rPr>
      </w:pPr>
      <w:r>
        <w:rPr>
          <w:sz w:val="24"/>
        </w:rPr>
        <w:t>在每个工作井的连续墙内选择不同高程应力较大的部位布置钢筋计，共计</w:t>
      </w:r>
      <w:r>
        <w:rPr>
          <w:rFonts w:hint="eastAsia"/>
          <w:sz w:val="24"/>
        </w:rPr>
        <w:t>192</w:t>
      </w:r>
      <w:r>
        <w:rPr>
          <w:sz w:val="24"/>
        </w:rPr>
        <w:t>支钢筋计，用于监测连续墙内的钢筋应力状态。</w:t>
      </w:r>
    </w:p>
    <w:p>
      <w:pPr>
        <w:adjustRightInd w:val="0"/>
        <w:snapToGrid w:val="0"/>
        <w:spacing w:line="360" w:lineRule="auto"/>
        <w:ind w:firstLine="480" w:firstLineChars="200"/>
        <w:rPr>
          <w:sz w:val="24"/>
        </w:rPr>
      </w:pPr>
      <w:r>
        <w:rPr>
          <w:sz w:val="24"/>
        </w:rPr>
        <w:t>(5)</w:t>
      </w:r>
      <w:r>
        <w:rPr>
          <w:rFonts w:hint="eastAsia"/>
          <w:sz w:val="24"/>
        </w:rPr>
        <w:t xml:space="preserve">  </w:t>
      </w:r>
      <w:r>
        <w:rPr>
          <w:sz w:val="24"/>
        </w:rPr>
        <w:t>支撑内力监测</w:t>
      </w:r>
    </w:p>
    <w:p>
      <w:pPr>
        <w:adjustRightInd w:val="0"/>
        <w:snapToGrid w:val="0"/>
        <w:spacing w:line="360" w:lineRule="auto"/>
        <w:ind w:firstLine="480" w:firstLineChars="200"/>
        <w:rPr>
          <w:sz w:val="24"/>
        </w:rPr>
      </w:pPr>
      <w:r>
        <w:rPr>
          <w:sz w:val="24"/>
        </w:rPr>
        <w:t>在每个矩形工作井的每层每道支撑的两支点间1/3部位选取一个支撑内力测点，砼支撑测点截面四角的纵向钢筋上各布置1支钢筋计</w:t>
      </w:r>
      <w:r>
        <w:rPr>
          <w:rFonts w:hint="eastAsia"/>
          <w:sz w:val="24"/>
        </w:rPr>
        <w:t>；</w:t>
      </w:r>
      <w:r>
        <w:rPr>
          <w:sz w:val="24"/>
        </w:rPr>
        <w:t>在钢支撑测点截面上下外弧面各布置1支表面应变计</w:t>
      </w:r>
      <w:r>
        <w:rPr>
          <w:rFonts w:hint="eastAsia"/>
          <w:sz w:val="24"/>
        </w:rPr>
        <w:t>；</w:t>
      </w:r>
      <w:r>
        <w:rPr>
          <w:sz w:val="24"/>
        </w:rPr>
        <w:t>在每个圆形工作井的砼内衬墙沿不同高程的内外侧钢筋上布置钢筋计</w:t>
      </w:r>
      <w:r>
        <w:rPr>
          <w:rFonts w:hint="eastAsia"/>
          <w:sz w:val="24"/>
        </w:rPr>
        <w:t>，</w:t>
      </w:r>
      <w:r>
        <w:rPr>
          <w:sz w:val="24"/>
        </w:rPr>
        <w:t>共计</w:t>
      </w:r>
      <w:r>
        <w:rPr>
          <w:rFonts w:hint="eastAsia"/>
          <w:sz w:val="24"/>
        </w:rPr>
        <w:t>152</w:t>
      </w:r>
      <w:r>
        <w:rPr>
          <w:sz w:val="24"/>
        </w:rPr>
        <w:t>支钢筋计和</w:t>
      </w:r>
      <w:r>
        <w:rPr>
          <w:rFonts w:hint="eastAsia"/>
          <w:sz w:val="24"/>
        </w:rPr>
        <w:t>38</w:t>
      </w:r>
      <w:r>
        <w:rPr>
          <w:sz w:val="24"/>
        </w:rPr>
        <w:t>支表面应变计，用于监测基坑开挖每层支撑轴力状态。</w:t>
      </w:r>
    </w:p>
    <w:p>
      <w:pPr>
        <w:pStyle w:val="6"/>
      </w:pPr>
      <w:r>
        <w:rPr>
          <w:rFonts w:hint="eastAsia"/>
        </w:rPr>
        <w:t>1.3.9.2 其他基坑</w:t>
      </w:r>
    </w:p>
    <w:p>
      <w:pPr>
        <w:adjustRightInd w:val="0"/>
        <w:snapToGrid w:val="0"/>
        <w:spacing w:line="480" w:lineRule="atLeast"/>
        <w:ind w:firstLine="480" w:firstLineChars="200"/>
        <w:rPr>
          <w:sz w:val="24"/>
        </w:rPr>
      </w:pPr>
      <w:r>
        <w:rPr>
          <w:rFonts w:hint="eastAsia"/>
          <w:sz w:val="24"/>
        </w:rPr>
        <w:t>主要对古巷控制闸基坑、潮安分水阀井基坑和空港分水阀井基坑等进行监测。</w:t>
      </w:r>
    </w:p>
    <w:p>
      <w:pPr>
        <w:adjustRightInd w:val="0"/>
        <w:snapToGrid w:val="0"/>
        <w:spacing w:line="480" w:lineRule="atLeast"/>
        <w:ind w:firstLine="480" w:firstLineChars="200"/>
        <w:rPr>
          <w:sz w:val="24"/>
        </w:rPr>
      </w:pPr>
      <w:r>
        <w:rPr>
          <w:sz w:val="24"/>
        </w:rPr>
        <w:t>主要监测项目如下：</w:t>
      </w:r>
    </w:p>
    <w:p>
      <w:pPr>
        <w:adjustRightInd w:val="0"/>
        <w:snapToGrid w:val="0"/>
        <w:spacing w:line="480" w:lineRule="atLeast"/>
        <w:ind w:firstLine="480" w:firstLineChars="200"/>
        <w:rPr>
          <w:sz w:val="24"/>
        </w:rPr>
      </w:pPr>
      <w:r>
        <w:rPr>
          <w:sz w:val="24"/>
        </w:rPr>
        <w:t>(1)</w:t>
      </w:r>
      <w:r>
        <w:rPr>
          <w:rFonts w:hint="eastAsia"/>
          <w:sz w:val="24"/>
        </w:rPr>
        <w:t xml:space="preserve">  </w:t>
      </w:r>
      <w:r>
        <w:rPr>
          <w:sz w:val="24"/>
        </w:rPr>
        <w:t>表面位移监测</w:t>
      </w:r>
    </w:p>
    <w:p>
      <w:pPr>
        <w:adjustRightInd w:val="0"/>
        <w:snapToGrid w:val="0"/>
        <w:spacing w:line="480" w:lineRule="atLeast"/>
        <w:ind w:firstLine="480" w:firstLineChars="200"/>
        <w:rPr>
          <w:sz w:val="24"/>
        </w:rPr>
      </w:pPr>
      <w:r>
        <w:rPr>
          <w:sz w:val="24"/>
        </w:rPr>
        <w:t>为了解连续墙</w:t>
      </w:r>
      <w:r>
        <w:rPr>
          <w:rFonts w:hint="eastAsia"/>
          <w:sz w:val="24"/>
        </w:rPr>
        <w:t>（灌注桩）</w:t>
      </w:r>
      <w:r>
        <w:rPr>
          <w:sz w:val="24"/>
        </w:rPr>
        <w:t>顶</w:t>
      </w:r>
      <w:r>
        <w:rPr>
          <w:rFonts w:hint="eastAsia"/>
          <w:sz w:val="24"/>
        </w:rPr>
        <w:t>和</w:t>
      </w:r>
      <w:r>
        <w:rPr>
          <w:sz w:val="24"/>
        </w:rPr>
        <w:t>基坑的周边位移变化情况，在</w:t>
      </w:r>
      <w:r>
        <w:rPr>
          <w:rFonts w:hint="eastAsia"/>
          <w:sz w:val="24"/>
        </w:rPr>
        <w:t>每个基坑连续</w:t>
      </w:r>
      <w:r>
        <w:rPr>
          <w:sz w:val="24"/>
        </w:rPr>
        <w:t>墙</w:t>
      </w:r>
      <w:r>
        <w:rPr>
          <w:rFonts w:hint="eastAsia"/>
          <w:sz w:val="24"/>
        </w:rPr>
        <w:t>（灌注桩）</w:t>
      </w:r>
      <w:r>
        <w:rPr>
          <w:sz w:val="24"/>
        </w:rPr>
        <w:t>顶部布置位移测点，同时监测水平位移和垂直位移，共计</w:t>
      </w:r>
      <w:r>
        <w:rPr>
          <w:rFonts w:hint="eastAsia"/>
          <w:sz w:val="24"/>
        </w:rPr>
        <w:t>10</w:t>
      </w:r>
      <w:r>
        <w:rPr>
          <w:sz w:val="24"/>
        </w:rPr>
        <w:t>个位移测点；为了解</w:t>
      </w:r>
      <w:r>
        <w:rPr>
          <w:rFonts w:hint="eastAsia"/>
          <w:sz w:val="24"/>
        </w:rPr>
        <w:t>每个</w:t>
      </w:r>
      <w:r>
        <w:rPr>
          <w:sz w:val="24"/>
        </w:rPr>
        <w:t>基坑开挖对周边地表和边坡的影响，</w:t>
      </w:r>
      <w:r>
        <w:rPr>
          <w:rFonts w:hint="eastAsia"/>
          <w:sz w:val="24"/>
        </w:rPr>
        <w:t>在</w:t>
      </w:r>
      <w:r>
        <w:rPr>
          <w:sz w:val="24"/>
        </w:rPr>
        <w:t>基坑边缘</w:t>
      </w:r>
      <w:r>
        <w:rPr>
          <w:rFonts w:hint="eastAsia"/>
          <w:sz w:val="24"/>
        </w:rPr>
        <w:t>共</w:t>
      </w:r>
      <w:r>
        <w:rPr>
          <w:sz w:val="24"/>
        </w:rPr>
        <w:t>布置</w:t>
      </w:r>
      <w:r>
        <w:rPr>
          <w:rFonts w:hint="eastAsia"/>
          <w:sz w:val="24"/>
        </w:rPr>
        <w:t>82</w:t>
      </w:r>
      <w:r>
        <w:rPr>
          <w:sz w:val="24"/>
        </w:rPr>
        <w:t>个垂直位移测点。</w:t>
      </w:r>
    </w:p>
    <w:p>
      <w:pPr>
        <w:adjustRightInd w:val="0"/>
        <w:snapToGrid w:val="0"/>
        <w:spacing w:line="480" w:lineRule="atLeast"/>
        <w:ind w:firstLine="480" w:firstLineChars="200"/>
        <w:rPr>
          <w:sz w:val="24"/>
        </w:rPr>
      </w:pPr>
      <w:r>
        <w:rPr>
          <w:sz w:val="24"/>
        </w:rPr>
        <w:t>水平位移监测采用交会法，监测仪器采用全站仪，在</w:t>
      </w:r>
      <w:r>
        <w:rPr>
          <w:rFonts w:hint="eastAsia"/>
          <w:sz w:val="24"/>
        </w:rPr>
        <w:t>每个</w:t>
      </w:r>
      <w:r>
        <w:rPr>
          <w:sz w:val="24"/>
        </w:rPr>
        <w:t>基坑建筑物以外基础稳固可靠的地方布置3个</w:t>
      </w:r>
      <w:r>
        <w:rPr>
          <w:rFonts w:hint="eastAsia"/>
          <w:sz w:val="24"/>
        </w:rPr>
        <w:t>水平位移</w:t>
      </w:r>
      <w:r>
        <w:rPr>
          <w:sz w:val="24"/>
        </w:rPr>
        <w:t>工作基点；沉降监测采用水准法，监测仪器采用精密水准仪，在建筑物变形影响区域外布置</w:t>
      </w:r>
      <w:r>
        <w:rPr>
          <w:rFonts w:hint="eastAsia"/>
          <w:sz w:val="24"/>
        </w:rPr>
        <w:t>3个垂直位移工作基点</w:t>
      </w:r>
      <w:r>
        <w:rPr>
          <w:sz w:val="24"/>
        </w:rPr>
        <w:t>。</w:t>
      </w:r>
    </w:p>
    <w:p>
      <w:pPr>
        <w:adjustRightInd w:val="0"/>
        <w:snapToGrid w:val="0"/>
        <w:spacing w:line="480" w:lineRule="atLeast"/>
        <w:ind w:firstLine="480" w:firstLineChars="200"/>
        <w:rPr>
          <w:sz w:val="24"/>
        </w:rPr>
      </w:pPr>
      <w:r>
        <w:rPr>
          <w:sz w:val="24"/>
        </w:rPr>
        <w:t>(2)</w:t>
      </w:r>
      <w:r>
        <w:rPr>
          <w:rFonts w:hint="eastAsia"/>
          <w:sz w:val="24"/>
        </w:rPr>
        <w:t xml:space="preserve">  </w:t>
      </w:r>
      <w:r>
        <w:rPr>
          <w:sz w:val="24"/>
        </w:rPr>
        <w:t xml:space="preserve">深层水平位移监测 </w:t>
      </w:r>
    </w:p>
    <w:p>
      <w:pPr>
        <w:adjustRightInd w:val="0"/>
        <w:snapToGrid w:val="0"/>
        <w:spacing w:line="480" w:lineRule="atLeast"/>
        <w:ind w:firstLine="480" w:firstLineChars="200"/>
        <w:rPr>
          <w:sz w:val="24"/>
        </w:rPr>
      </w:pPr>
      <w:r>
        <w:rPr>
          <w:sz w:val="24"/>
        </w:rPr>
        <w:t>为了解基坑开挖深层土体的水平位移情况，在</w:t>
      </w:r>
      <w:r>
        <w:rPr>
          <w:rFonts w:hint="eastAsia"/>
          <w:sz w:val="24"/>
        </w:rPr>
        <w:t>每个</w:t>
      </w:r>
      <w:r>
        <w:rPr>
          <w:sz w:val="24"/>
        </w:rPr>
        <w:t>基坑的</w:t>
      </w:r>
      <w:r>
        <w:rPr>
          <w:rFonts w:hint="eastAsia"/>
          <w:sz w:val="24"/>
        </w:rPr>
        <w:t>四周</w:t>
      </w:r>
      <w:r>
        <w:rPr>
          <w:sz w:val="24"/>
        </w:rPr>
        <w:t>连续墙</w:t>
      </w:r>
      <w:r>
        <w:rPr>
          <w:rFonts w:hint="eastAsia"/>
          <w:sz w:val="24"/>
        </w:rPr>
        <w:t>（灌注桩）内布置</w:t>
      </w:r>
      <w:r>
        <w:rPr>
          <w:sz w:val="24"/>
        </w:rPr>
        <w:t>深层水平位移测点，共计</w:t>
      </w:r>
      <w:r>
        <w:rPr>
          <w:rFonts w:hint="eastAsia"/>
          <w:sz w:val="24"/>
        </w:rPr>
        <w:t>8</w:t>
      </w:r>
      <w:r>
        <w:rPr>
          <w:sz w:val="24"/>
        </w:rPr>
        <w:t>个测点。每个测点采用预埋测斜管的方式安装埋设，每根测斜管管底高程应高于连续墙</w:t>
      </w:r>
      <w:r>
        <w:rPr>
          <w:rFonts w:hint="eastAsia"/>
          <w:sz w:val="24"/>
        </w:rPr>
        <w:t>（灌注桩）底</w:t>
      </w:r>
      <w:r>
        <w:rPr>
          <w:sz w:val="24"/>
        </w:rPr>
        <w:t>0.5m。采用测斜仪对深层水平位移进行监测。</w:t>
      </w:r>
    </w:p>
    <w:p>
      <w:pPr>
        <w:adjustRightInd w:val="0"/>
        <w:snapToGrid w:val="0"/>
        <w:spacing w:line="480" w:lineRule="atLeast"/>
        <w:ind w:firstLine="480" w:firstLineChars="200"/>
        <w:rPr>
          <w:sz w:val="24"/>
        </w:rPr>
      </w:pPr>
      <w:r>
        <w:rPr>
          <w:sz w:val="24"/>
        </w:rPr>
        <w:t>(3)</w:t>
      </w:r>
      <w:r>
        <w:rPr>
          <w:rFonts w:hint="eastAsia"/>
          <w:sz w:val="24"/>
        </w:rPr>
        <w:t xml:space="preserve">  </w:t>
      </w:r>
      <w:r>
        <w:rPr>
          <w:sz w:val="24"/>
        </w:rPr>
        <w:t>地下水位监测</w:t>
      </w:r>
    </w:p>
    <w:p>
      <w:pPr>
        <w:adjustRightInd w:val="0"/>
        <w:snapToGrid w:val="0"/>
        <w:spacing w:line="480" w:lineRule="atLeast"/>
        <w:ind w:firstLine="480" w:firstLineChars="200"/>
        <w:rPr>
          <w:sz w:val="24"/>
        </w:rPr>
      </w:pPr>
      <w:r>
        <w:rPr>
          <w:sz w:val="24"/>
        </w:rPr>
        <w:t>在</w:t>
      </w:r>
      <w:r>
        <w:rPr>
          <w:rFonts w:hint="eastAsia"/>
          <w:sz w:val="24"/>
        </w:rPr>
        <w:t>每个</w:t>
      </w:r>
      <w:r>
        <w:rPr>
          <w:sz w:val="24"/>
        </w:rPr>
        <w:t>基坑外侧</w:t>
      </w:r>
      <w:r>
        <w:rPr>
          <w:rFonts w:hint="eastAsia"/>
          <w:sz w:val="24"/>
        </w:rPr>
        <w:t>布置</w:t>
      </w:r>
      <w:r>
        <w:rPr>
          <w:sz w:val="24"/>
        </w:rPr>
        <w:t>地下水位孔，共计</w:t>
      </w:r>
      <w:r>
        <w:rPr>
          <w:rFonts w:hint="eastAsia"/>
          <w:sz w:val="24"/>
        </w:rPr>
        <w:t>5</w:t>
      </w:r>
      <w:r>
        <w:rPr>
          <w:sz w:val="24"/>
        </w:rPr>
        <w:t>根测压管，用于监测</w:t>
      </w:r>
      <w:r>
        <w:rPr>
          <w:rFonts w:hint="eastAsia"/>
          <w:sz w:val="24"/>
        </w:rPr>
        <w:t>基坑</w:t>
      </w:r>
      <w:r>
        <w:rPr>
          <w:sz w:val="24"/>
        </w:rPr>
        <w:t>四周的地下水位变化。采用电测水位计进行人工观测。</w:t>
      </w:r>
    </w:p>
    <w:p>
      <w:pPr>
        <w:adjustRightInd w:val="0"/>
        <w:snapToGrid w:val="0"/>
        <w:spacing w:line="480" w:lineRule="atLeast"/>
        <w:ind w:firstLine="480" w:firstLineChars="200"/>
        <w:rPr>
          <w:sz w:val="24"/>
        </w:rPr>
      </w:pPr>
      <w:r>
        <w:rPr>
          <w:sz w:val="24"/>
        </w:rPr>
        <w:t>(4)</w:t>
      </w:r>
      <w:r>
        <w:rPr>
          <w:rFonts w:hint="eastAsia"/>
          <w:sz w:val="24"/>
        </w:rPr>
        <w:t xml:space="preserve">  </w:t>
      </w:r>
      <w:r>
        <w:rPr>
          <w:sz w:val="24"/>
        </w:rPr>
        <w:t>围护墙内力监测</w:t>
      </w:r>
    </w:p>
    <w:p>
      <w:pPr>
        <w:adjustRightInd w:val="0"/>
        <w:snapToGrid w:val="0"/>
        <w:spacing w:line="480" w:lineRule="atLeast"/>
        <w:ind w:firstLine="480" w:firstLineChars="200"/>
        <w:rPr>
          <w:sz w:val="24"/>
        </w:rPr>
      </w:pPr>
      <w:r>
        <w:rPr>
          <w:sz w:val="24"/>
        </w:rPr>
        <w:t>在基坑的连续墙内选择不同高程应力较大的部位布置24支钢筋计，用于监测连续墙内的钢筋应力状态。</w:t>
      </w:r>
    </w:p>
    <w:p>
      <w:pPr>
        <w:adjustRightInd w:val="0"/>
        <w:snapToGrid w:val="0"/>
        <w:spacing w:line="480" w:lineRule="atLeast"/>
        <w:ind w:firstLine="480" w:firstLineChars="200"/>
        <w:rPr>
          <w:sz w:val="24"/>
        </w:rPr>
      </w:pPr>
      <w:r>
        <w:rPr>
          <w:sz w:val="24"/>
        </w:rPr>
        <w:t>(5)</w:t>
      </w:r>
      <w:r>
        <w:rPr>
          <w:rFonts w:hint="eastAsia"/>
          <w:sz w:val="24"/>
        </w:rPr>
        <w:t xml:space="preserve">  </w:t>
      </w:r>
      <w:r>
        <w:rPr>
          <w:sz w:val="24"/>
        </w:rPr>
        <w:t>支撑内力监测</w:t>
      </w:r>
    </w:p>
    <w:p>
      <w:pPr>
        <w:adjustRightInd w:val="0"/>
        <w:snapToGrid w:val="0"/>
        <w:spacing w:line="480" w:lineRule="atLeast"/>
        <w:ind w:firstLine="480" w:firstLineChars="200"/>
        <w:rPr>
          <w:sz w:val="24"/>
        </w:rPr>
      </w:pPr>
      <w:r>
        <w:rPr>
          <w:sz w:val="24"/>
        </w:rPr>
        <w:t>在</w:t>
      </w:r>
      <w:r>
        <w:rPr>
          <w:rFonts w:hint="eastAsia"/>
          <w:sz w:val="24"/>
        </w:rPr>
        <w:t>每个基坑</w:t>
      </w:r>
      <w:r>
        <w:rPr>
          <w:sz w:val="24"/>
        </w:rPr>
        <w:t>每层支撑的两支点间1/3部位选取一个支撑内力测点，砼支撑测点截面四角的纵向钢筋上各布置1支钢筋计</w:t>
      </w:r>
      <w:r>
        <w:rPr>
          <w:rFonts w:hint="eastAsia"/>
          <w:sz w:val="24"/>
        </w:rPr>
        <w:t>，</w:t>
      </w:r>
      <w:r>
        <w:rPr>
          <w:sz w:val="24"/>
        </w:rPr>
        <w:t>共计</w:t>
      </w:r>
      <w:r>
        <w:rPr>
          <w:rFonts w:hint="eastAsia"/>
          <w:sz w:val="24"/>
        </w:rPr>
        <w:t>88</w:t>
      </w:r>
      <w:r>
        <w:rPr>
          <w:sz w:val="24"/>
        </w:rPr>
        <w:t>支钢筋计，用于监测基坑开挖每层支撑轴力状态。</w:t>
      </w:r>
    </w:p>
    <w:p>
      <w:pPr>
        <w:adjustRightInd w:val="0"/>
        <w:snapToGrid w:val="0"/>
        <w:spacing w:line="480" w:lineRule="atLeast"/>
        <w:ind w:firstLine="480" w:firstLineChars="200"/>
        <w:rPr>
          <w:sz w:val="24"/>
        </w:rPr>
      </w:pPr>
      <w:r>
        <w:rPr>
          <w:sz w:val="24"/>
        </w:rPr>
        <w:t>(</w:t>
      </w:r>
      <w:r>
        <w:rPr>
          <w:rFonts w:hint="eastAsia"/>
          <w:sz w:val="24"/>
        </w:rPr>
        <w:t>6</w:t>
      </w:r>
      <w:r>
        <w:rPr>
          <w:sz w:val="24"/>
        </w:rPr>
        <w:t>)</w:t>
      </w:r>
      <w:r>
        <w:rPr>
          <w:rFonts w:hint="eastAsia"/>
          <w:sz w:val="24"/>
        </w:rPr>
        <w:t xml:space="preserve">  </w:t>
      </w:r>
      <w:r>
        <w:rPr>
          <w:sz w:val="24"/>
        </w:rPr>
        <w:t>锚杆应力监测</w:t>
      </w:r>
    </w:p>
    <w:p>
      <w:pPr>
        <w:adjustRightInd w:val="0"/>
        <w:snapToGrid w:val="0"/>
        <w:spacing w:line="480" w:lineRule="atLeast"/>
        <w:ind w:firstLine="480" w:firstLineChars="200"/>
        <w:rPr>
          <w:sz w:val="24"/>
        </w:rPr>
      </w:pPr>
      <w:r>
        <w:rPr>
          <w:sz w:val="24"/>
        </w:rPr>
        <w:t>为检验基坑连续墙后的锚杆的支护效果和承载力变化情况，在基坑外侧</w:t>
      </w:r>
      <w:r>
        <w:rPr>
          <w:rFonts w:hint="eastAsia"/>
          <w:sz w:val="24"/>
        </w:rPr>
        <w:t>的</w:t>
      </w:r>
      <w:r>
        <w:rPr>
          <w:sz w:val="24"/>
        </w:rPr>
        <w:t>支护锚杆上布置锚杆应力计，共计</w:t>
      </w:r>
      <w:r>
        <w:rPr>
          <w:rFonts w:hint="eastAsia"/>
          <w:sz w:val="24"/>
        </w:rPr>
        <w:t>6</w:t>
      </w:r>
      <w:r>
        <w:rPr>
          <w:sz w:val="24"/>
        </w:rPr>
        <w:t>支锚杆应力计，用于监测支护锚杆的应力状态。</w:t>
      </w:r>
    </w:p>
    <w:p>
      <w:pPr>
        <w:adjustRightInd w:val="0"/>
        <w:snapToGrid w:val="0"/>
        <w:spacing w:line="480" w:lineRule="atLeast"/>
        <w:ind w:firstLine="480" w:firstLineChars="200"/>
        <w:rPr>
          <w:sz w:val="24"/>
        </w:rPr>
      </w:pPr>
      <w:r>
        <w:rPr>
          <w:sz w:val="24"/>
        </w:rPr>
        <w:t>(</w:t>
      </w:r>
      <w:r>
        <w:rPr>
          <w:rFonts w:hint="eastAsia"/>
          <w:sz w:val="24"/>
        </w:rPr>
        <w:t>7</w:t>
      </w:r>
      <w:r>
        <w:rPr>
          <w:sz w:val="24"/>
        </w:rPr>
        <w:t>)</w:t>
      </w:r>
      <w:r>
        <w:rPr>
          <w:rFonts w:hint="eastAsia"/>
          <w:sz w:val="24"/>
        </w:rPr>
        <w:t xml:space="preserve">  锚索</w:t>
      </w:r>
      <w:r>
        <w:rPr>
          <w:sz w:val="24"/>
        </w:rPr>
        <w:t>应力</w:t>
      </w:r>
    </w:p>
    <w:p>
      <w:pPr>
        <w:adjustRightInd w:val="0"/>
        <w:snapToGrid w:val="0"/>
        <w:spacing w:line="480" w:lineRule="atLeast"/>
        <w:ind w:firstLine="480" w:firstLineChars="200"/>
        <w:rPr>
          <w:sz w:val="24"/>
        </w:rPr>
      </w:pPr>
      <w:r>
        <w:rPr>
          <w:sz w:val="24"/>
        </w:rPr>
        <w:t>为了监测预应力锚固效果和预应力荷载变化情况，在</w:t>
      </w:r>
      <w:r>
        <w:rPr>
          <w:rFonts w:hint="eastAsia"/>
          <w:sz w:val="24"/>
        </w:rPr>
        <w:t>基坑的锚索</w:t>
      </w:r>
      <w:r>
        <w:rPr>
          <w:sz w:val="24"/>
        </w:rPr>
        <w:t>锚固端上布置锚索测力计，共计</w:t>
      </w:r>
      <w:r>
        <w:rPr>
          <w:rFonts w:hint="eastAsia"/>
          <w:sz w:val="24"/>
        </w:rPr>
        <w:t>2</w:t>
      </w:r>
      <w:r>
        <w:rPr>
          <w:sz w:val="24"/>
        </w:rPr>
        <w:t>支锚索测力计。</w:t>
      </w:r>
    </w:p>
    <w:p>
      <w:pPr>
        <w:pStyle w:val="21"/>
      </w:pPr>
    </w:p>
    <w:p>
      <w:pPr>
        <w:pStyle w:val="5"/>
        <w:spacing w:before="0" w:after="0" w:line="500" w:lineRule="atLeast"/>
        <w:jc w:val="both"/>
        <w:rPr>
          <w:szCs w:val="24"/>
          <w:lang w:val="en-US"/>
        </w:rPr>
      </w:pPr>
      <w:bookmarkStart w:id="66" w:name="_Toc118821426"/>
      <w:r>
        <w:rPr>
          <w:rFonts w:hint="eastAsia"/>
          <w:szCs w:val="24"/>
          <w:lang w:val="en-US"/>
        </w:rPr>
        <w:t>1.3.10 隧洞施工地面建（构）筑物</w:t>
      </w:r>
      <w:bookmarkEnd w:id="66"/>
    </w:p>
    <w:p>
      <w:pPr>
        <w:adjustRightInd w:val="0"/>
        <w:snapToGrid w:val="0"/>
        <w:spacing w:line="480" w:lineRule="atLeast"/>
        <w:ind w:firstLine="480" w:firstLineChars="200"/>
        <w:rPr>
          <w:sz w:val="24"/>
        </w:rPr>
      </w:pPr>
      <w:r>
        <w:rPr>
          <w:rFonts w:hint="eastAsia"/>
          <w:sz w:val="24"/>
        </w:rPr>
        <w:t>本工程</w:t>
      </w:r>
      <w:r>
        <w:rPr>
          <w:sz w:val="24"/>
        </w:rPr>
        <w:t>盾构</w:t>
      </w:r>
      <w:r>
        <w:rPr>
          <w:rFonts w:hint="eastAsia"/>
          <w:sz w:val="24"/>
        </w:rPr>
        <w:t>线路长，</w:t>
      </w:r>
      <w:r>
        <w:rPr>
          <w:sz w:val="24"/>
        </w:rPr>
        <w:t>沿线穿越民宅、厂房、公路、</w:t>
      </w:r>
      <w:r>
        <w:rPr>
          <w:rFonts w:hint="eastAsia"/>
          <w:sz w:val="24"/>
        </w:rPr>
        <w:t>高架桥</w:t>
      </w:r>
      <w:r>
        <w:rPr>
          <w:sz w:val="24"/>
        </w:rPr>
        <w:t>、堤防等建(构)筑物</w:t>
      </w:r>
      <w:r>
        <w:rPr>
          <w:rFonts w:hint="eastAsia"/>
          <w:sz w:val="24"/>
        </w:rPr>
        <w:t>众多，因此主要</w:t>
      </w:r>
      <w:r>
        <w:rPr>
          <w:sz w:val="24"/>
        </w:rPr>
        <w:t>对本工程</w:t>
      </w:r>
      <w:r>
        <w:rPr>
          <w:rFonts w:hint="eastAsia"/>
          <w:sz w:val="24"/>
        </w:rPr>
        <w:t>盾构隧洞</w:t>
      </w:r>
      <w:r>
        <w:rPr>
          <w:sz w:val="24"/>
        </w:rPr>
        <w:t>沿线</w:t>
      </w:r>
      <w:r>
        <w:rPr>
          <w:rFonts w:hint="eastAsia"/>
          <w:sz w:val="24"/>
        </w:rPr>
        <w:t>地表</w:t>
      </w:r>
      <w:r>
        <w:rPr>
          <w:sz w:val="24"/>
        </w:rPr>
        <w:t>建筑物</w:t>
      </w:r>
      <w:r>
        <w:rPr>
          <w:rFonts w:hint="eastAsia"/>
          <w:sz w:val="24"/>
        </w:rPr>
        <w:t>（铁路及地铁除外）进行监测。</w:t>
      </w:r>
    </w:p>
    <w:p>
      <w:pPr>
        <w:pStyle w:val="6"/>
      </w:pPr>
      <w:r>
        <w:rPr>
          <w:rFonts w:hint="eastAsia"/>
        </w:rPr>
        <w:t>1.3.10.2 甬莞高速</w:t>
      </w:r>
    </w:p>
    <w:p>
      <w:pPr>
        <w:adjustRightInd w:val="0"/>
        <w:snapToGrid w:val="0"/>
        <w:spacing w:line="480" w:lineRule="atLeast"/>
        <w:ind w:firstLine="480" w:firstLineChars="200"/>
        <w:rPr>
          <w:sz w:val="24"/>
        </w:rPr>
      </w:pPr>
      <w:r>
        <w:rPr>
          <w:rFonts w:hint="eastAsia"/>
          <w:sz w:val="24"/>
        </w:rPr>
        <w:t>输水隧洞在桩号GX3+631.000~GX3+686.000区域下穿甬莞高速高架桥。输水隧洞盾构掘进下穿甬莞高速高架桥桥墩的施工过程中，主要对高架桥进行墩台竖向位移、墩台差异沉降以及墩台水平位移监测等。</w:t>
      </w:r>
    </w:p>
    <w:p>
      <w:pPr>
        <w:adjustRightInd w:val="0"/>
        <w:snapToGrid w:val="0"/>
        <w:spacing w:line="480" w:lineRule="atLeast"/>
        <w:ind w:firstLine="480" w:firstLineChars="200"/>
        <w:rPr>
          <w:sz w:val="24"/>
        </w:rPr>
      </w:pPr>
      <w:r>
        <w:rPr>
          <w:rFonts w:hint="eastAsia"/>
          <w:sz w:val="24"/>
        </w:rPr>
        <w:t>对输水隧洞盾构下穿甬莞高速高架桥紧邻的24个桥墩布置位移测点，同时监测水平位移和沉降位移监测，共计24个沉降测点和24个水平位移测点。墩台的差异沉降通过相邻墩台的竖向位移差值得到。采用倾角计对水平位移测点进行自动化观测。</w:t>
      </w:r>
    </w:p>
    <w:p>
      <w:pPr>
        <w:adjustRightInd w:val="0"/>
        <w:snapToGrid w:val="0"/>
        <w:spacing w:line="480" w:lineRule="atLeast"/>
        <w:ind w:firstLine="480" w:firstLineChars="200"/>
        <w:rPr>
          <w:sz w:val="24"/>
        </w:rPr>
      </w:pPr>
      <w:r>
        <w:rPr>
          <w:rFonts w:hint="eastAsia"/>
          <w:sz w:val="24"/>
        </w:rPr>
        <w:t>在隧洞中心线两侧60m范围以外基础稳固可靠的位置布置3个基准点。</w:t>
      </w:r>
    </w:p>
    <w:p>
      <w:pPr>
        <w:pStyle w:val="6"/>
      </w:pPr>
      <w:r>
        <w:rPr>
          <w:rFonts w:hint="eastAsia"/>
        </w:rPr>
        <w:t>1.3.10.3汕昆高速</w:t>
      </w:r>
    </w:p>
    <w:p>
      <w:pPr>
        <w:adjustRightInd w:val="0"/>
        <w:snapToGrid w:val="0"/>
        <w:spacing w:line="480" w:lineRule="atLeast"/>
        <w:ind w:firstLine="480" w:firstLineChars="200"/>
        <w:rPr>
          <w:sz w:val="24"/>
        </w:rPr>
      </w:pPr>
      <w:r>
        <w:rPr>
          <w:rFonts w:hint="eastAsia"/>
          <w:sz w:val="24"/>
        </w:rPr>
        <w:t>输水隧洞在桩号GX13+040.000~GX13+066.000附近下穿G78汕昆高速。输水隧洞盾构掘进下穿汕昆高速的施工过程中，主要对高速公路路面进行竖向位移监测。</w:t>
      </w:r>
    </w:p>
    <w:p>
      <w:pPr>
        <w:adjustRightInd w:val="0"/>
        <w:snapToGrid w:val="0"/>
        <w:spacing w:line="480" w:lineRule="atLeast"/>
        <w:ind w:firstLine="480" w:firstLineChars="200"/>
        <w:rPr>
          <w:sz w:val="24"/>
        </w:rPr>
      </w:pPr>
      <w:r>
        <w:rPr>
          <w:rFonts w:hint="eastAsia"/>
          <w:sz w:val="24"/>
        </w:rPr>
        <w:t>在隧洞轴线外侧1~3倍盾构井深范围沿高速公路两侧设置2个横向监测断面，每个横向监测断面布置5个沉降测点，共计10个沉降测点。</w:t>
      </w:r>
    </w:p>
    <w:p>
      <w:pPr>
        <w:adjustRightInd w:val="0"/>
        <w:snapToGrid w:val="0"/>
        <w:spacing w:line="480" w:lineRule="atLeast"/>
        <w:ind w:firstLine="480" w:firstLineChars="200"/>
        <w:rPr>
          <w:sz w:val="24"/>
        </w:rPr>
      </w:pPr>
      <w:r>
        <w:rPr>
          <w:rFonts w:hint="eastAsia"/>
          <w:sz w:val="24"/>
        </w:rPr>
        <w:t>在隧洞中心线两侧60m范围以外基础稳固可靠的位置布置3个基准点。</w:t>
      </w:r>
    </w:p>
    <w:p>
      <w:pPr>
        <w:pStyle w:val="6"/>
      </w:pPr>
      <w:r>
        <w:rPr>
          <w:rFonts w:hint="eastAsia"/>
        </w:rPr>
        <w:t>1.3.10.4 省道233</w:t>
      </w:r>
    </w:p>
    <w:p>
      <w:pPr>
        <w:adjustRightInd w:val="0"/>
        <w:snapToGrid w:val="0"/>
        <w:spacing w:line="480" w:lineRule="atLeast"/>
        <w:ind w:firstLine="480" w:firstLineChars="200"/>
        <w:rPr>
          <w:sz w:val="24"/>
        </w:rPr>
      </w:pPr>
      <w:r>
        <w:rPr>
          <w:rFonts w:hint="eastAsia"/>
          <w:sz w:val="24"/>
        </w:rPr>
        <w:t>输水隧洞在桩号GX0+496.000~GX0+517.000附近下穿233省道。输水隧洞盾构掘进下穿233省道的施工过程中，主要对公路路面进行竖向位移监测。</w:t>
      </w:r>
    </w:p>
    <w:p>
      <w:pPr>
        <w:adjustRightInd w:val="0"/>
        <w:snapToGrid w:val="0"/>
        <w:spacing w:line="480" w:lineRule="atLeast"/>
        <w:ind w:firstLine="480" w:firstLineChars="200"/>
        <w:rPr>
          <w:sz w:val="24"/>
        </w:rPr>
      </w:pPr>
      <w:r>
        <w:rPr>
          <w:rFonts w:hint="eastAsia"/>
          <w:sz w:val="24"/>
        </w:rPr>
        <w:t>在隧洞轴线外侧1~3倍盾构井深范围沿公路两侧设置2个横向监测断面，每个横向监测断面布置5个沉降测点，共计10个沉降测点。</w:t>
      </w:r>
    </w:p>
    <w:p>
      <w:pPr>
        <w:adjustRightInd w:val="0"/>
        <w:snapToGrid w:val="0"/>
        <w:spacing w:line="480" w:lineRule="atLeast"/>
        <w:ind w:firstLine="480" w:firstLineChars="200"/>
        <w:rPr>
          <w:sz w:val="24"/>
        </w:rPr>
      </w:pPr>
      <w:r>
        <w:rPr>
          <w:rFonts w:hint="eastAsia"/>
          <w:sz w:val="24"/>
        </w:rPr>
        <w:t>在隧洞中心线两侧60m范围以外基础稳固可靠的位置布置3个基准点。</w:t>
      </w:r>
    </w:p>
    <w:p>
      <w:pPr>
        <w:adjustRightInd w:val="0"/>
        <w:snapToGrid w:val="0"/>
        <w:spacing w:line="480" w:lineRule="atLeast"/>
        <w:ind w:firstLine="480" w:firstLineChars="200"/>
        <w:rPr>
          <w:sz w:val="24"/>
        </w:rPr>
      </w:pPr>
    </w:p>
    <w:p>
      <w:pPr>
        <w:pStyle w:val="6"/>
      </w:pPr>
      <w:r>
        <w:rPr>
          <w:rFonts w:hint="eastAsia"/>
        </w:rPr>
        <w:t>1.3.10.5 国道G539</w:t>
      </w:r>
    </w:p>
    <w:p>
      <w:pPr>
        <w:adjustRightInd w:val="0"/>
        <w:snapToGrid w:val="0"/>
        <w:spacing w:line="480" w:lineRule="atLeast"/>
        <w:ind w:firstLine="480" w:firstLineChars="200"/>
        <w:rPr>
          <w:sz w:val="24"/>
        </w:rPr>
      </w:pPr>
      <w:r>
        <w:rPr>
          <w:rFonts w:hint="eastAsia"/>
          <w:sz w:val="24"/>
        </w:rPr>
        <w:t>输水隧洞在桩号GX8+470.000~GX10+990.000附近下穿国道G539。输水隧洞盾构掘进下穿G539国道的施工过程中，主要对公路路面进行竖向位移监测。</w:t>
      </w:r>
    </w:p>
    <w:p>
      <w:pPr>
        <w:adjustRightInd w:val="0"/>
        <w:snapToGrid w:val="0"/>
        <w:spacing w:line="480" w:lineRule="atLeast"/>
        <w:ind w:firstLine="480" w:firstLineChars="200"/>
        <w:rPr>
          <w:sz w:val="24"/>
        </w:rPr>
      </w:pPr>
      <w:r>
        <w:rPr>
          <w:sz w:val="24"/>
        </w:rPr>
        <w:t>在</w:t>
      </w:r>
      <w:r>
        <w:rPr>
          <w:rFonts w:hint="eastAsia"/>
          <w:sz w:val="24"/>
        </w:rPr>
        <w:t>G539国道</w:t>
      </w:r>
      <w:r>
        <w:rPr>
          <w:sz w:val="24"/>
        </w:rPr>
        <w:t>两侧垂直于隧洞轴线布置横向监测断面，每个监测断面间距为</w:t>
      </w:r>
      <w:r>
        <w:rPr>
          <w:rFonts w:hint="eastAsia"/>
          <w:sz w:val="24"/>
        </w:rPr>
        <w:t>3</w:t>
      </w:r>
      <w:r>
        <w:rPr>
          <w:sz w:val="24"/>
        </w:rPr>
        <w:t>0m，每个监测断面布置</w:t>
      </w:r>
      <w:r>
        <w:rPr>
          <w:rFonts w:hint="eastAsia"/>
          <w:sz w:val="24"/>
        </w:rPr>
        <w:t>2</w:t>
      </w:r>
      <w:r>
        <w:rPr>
          <w:sz w:val="24"/>
        </w:rPr>
        <w:t>个沉降测点，共布置</w:t>
      </w:r>
      <w:r>
        <w:rPr>
          <w:rFonts w:hint="eastAsia"/>
          <w:sz w:val="24"/>
        </w:rPr>
        <w:t>170</w:t>
      </w:r>
      <w:r>
        <w:rPr>
          <w:sz w:val="24"/>
        </w:rPr>
        <w:t>个沉降测点。</w:t>
      </w:r>
    </w:p>
    <w:p>
      <w:pPr>
        <w:adjustRightInd w:val="0"/>
        <w:snapToGrid w:val="0"/>
        <w:spacing w:line="480" w:lineRule="atLeast"/>
        <w:ind w:firstLine="480" w:firstLineChars="200"/>
        <w:rPr>
          <w:sz w:val="24"/>
        </w:rPr>
      </w:pPr>
      <w:r>
        <w:rPr>
          <w:sz w:val="24"/>
        </w:rPr>
        <w:t>在隧洞中心线两侧60m范围以外基础稳固可靠的位置</w:t>
      </w:r>
      <w:r>
        <w:rPr>
          <w:rFonts w:hint="eastAsia"/>
          <w:sz w:val="24"/>
        </w:rPr>
        <w:t>每</w:t>
      </w:r>
      <w:r>
        <w:rPr>
          <w:sz w:val="24"/>
        </w:rPr>
        <w:t>公里布置3个基准点</w:t>
      </w:r>
      <w:r>
        <w:rPr>
          <w:rFonts w:hint="eastAsia"/>
          <w:sz w:val="24"/>
        </w:rPr>
        <w:t>，共计6</w:t>
      </w:r>
      <w:r>
        <w:rPr>
          <w:sz w:val="24"/>
        </w:rPr>
        <w:t>个基准点</w:t>
      </w:r>
      <w:r>
        <w:rPr>
          <w:rFonts w:hint="eastAsia"/>
          <w:sz w:val="24"/>
        </w:rPr>
        <w:t>。</w:t>
      </w:r>
    </w:p>
    <w:p>
      <w:pPr>
        <w:adjustRightInd w:val="0"/>
        <w:snapToGrid w:val="0"/>
        <w:spacing w:line="480" w:lineRule="atLeast"/>
        <w:ind w:firstLine="480" w:firstLineChars="200"/>
        <w:rPr>
          <w:sz w:val="24"/>
        </w:rPr>
      </w:pPr>
    </w:p>
    <w:p>
      <w:pPr>
        <w:pStyle w:val="6"/>
      </w:pPr>
      <w:r>
        <w:rPr>
          <w:rFonts w:hint="eastAsia"/>
        </w:rPr>
        <w:t>1.3.10.6 国道G206</w:t>
      </w:r>
    </w:p>
    <w:p>
      <w:pPr>
        <w:adjustRightInd w:val="0"/>
        <w:snapToGrid w:val="0"/>
        <w:spacing w:line="480" w:lineRule="atLeast"/>
        <w:ind w:firstLine="480" w:firstLineChars="200"/>
        <w:rPr>
          <w:sz w:val="24"/>
        </w:rPr>
      </w:pPr>
      <w:r>
        <w:rPr>
          <w:rFonts w:hint="eastAsia"/>
          <w:sz w:val="24"/>
        </w:rPr>
        <w:t>输水隧洞在桩号GX20+702.000~GX22+290.000附近下穿国道G206。输水隧洞盾构掘进下穿G206国道的施工过程中，主要对公路路面进行竖向位移监测。</w:t>
      </w:r>
    </w:p>
    <w:p>
      <w:pPr>
        <w:adjustRightInd w:val="0"/>
        <w:snapToGrid w:val="0"/>
        <w:spacing w:line="480" w:lineRule="atLeast"/>
        <w:ind w:firstLine="480" w:firstLineChars="200"/>
        <w:rPr>
          <w:sz w:val="24"/>
        </w:rPr>
      </w:pPr>
      <w:r>
        <w:rPr>
          <w:sz w:val="24"/>
        </w:rPr>
        <w:t>在</w:t>
      </w:r>
      <w:r>
        <w:rPr>
          <w:rFonts w:hint="eastAsia"/>
          <w:sz w:val="24"/>
        </w:rPr>
        <w:t>G206国道</w:t>
      </w:r>
      <w:r>
        <w:rPr>
          <w:sz w:val="24"/>
        </w:rPr>
        <w:t>两侧垂直于隧洞轴线布置横向监测断面，每个监测断面间距为</w:t>
      </w:r>
      <w:r>
        <w:rPr>
          <w:rFonts w:hint="eastAsia"/>
          <w:sz w:val="24"/>
        </w:rPr>
        <w:t>3</w:t>
      </w:r>
      <w:r>
        <w:rPr>
          <w:sz w:val="24"/>
        </w:rPr>
        <w:t>0m，每个监测断面布置</w:t>
      </w:r>
      <w:r>
        <w:rPr>
          <w:rFonts w:hint="eastAsia"/>
          <w:sz w:val="24"/>
        </w:rPr>
        <w:t>2</w:t>
      </w:r>
      <w:r>
        <w:rPr>
          <w:sz w:val="24"/>
        </w:rPr>
        <w:t>个沉降测点，共布置</w:t>
      </w:r>
      <w:r>
        <w:rPr>
          <w:rFonts w:hint="eastAsia"/>
          <w:sz w:val="24"/>
        </w:rPr>
        <w:t>106</w:t>
      </w:r>
      <w:r>
        <w:rPr>
          <w:sz w:val="24"/>
        </w:rPr>
        <w:t>个沉降测点。</w:t>
      </w:r>
    </w:p>
    <w:p>
      <w:pPr>
        <w:adjustRightInd w:val="0"/>
        <w:snapToGrid w:val="0"/>
        <w:spacing w:line="480" w:lineRule="atLeast"/>
        <w:ind w:firstLine="480" w:firstLineChars="200"/>
        <w:rPr>
          <w:sz w:val="24"/>
        </w:rPr>
      </w:pPr>
      <w:r>
        <w:rPr>
          <w:sz w:val="24"/>
        </w:rPr>
        <w:t>在隧洞中心线两侧60m范围以外基础稳固可靠的位置</w:t>
      </w:r>
      <w:r>
        <w:rPr>
          <w:rFonts w:hint="eastAsia"/>
          <w:sz w:val="24"/>
        </w:rPr>
        <w:t>每</w:t>
      </w:r>
      <w:r>
        <w:rPr>
          <w:sz w:val="24"/>
        </w:rPr>
        <w:t>公里布置3个基准点</w:t>
      </w:r>
      <w:r>
        <w:rPr>
          <w:rFonts w:hint="eastAsia"/>
          <w:sz w:val="24"/>
        </w:rPr>
        <w:t>，共计6</w:t>
      </w:r>
      <w:r>
        <w:rPr>
          <w:sz w:val="24"/>
        </w:rPr>
        <w:t>个基准点</w:t>
      </w:r>
      <w:r>
        <w:rPr>
          <w:rFonts w:hint="eastAsia"/>
          <w:sz w:val="24"/>
        </w:rPr>
        <w:t>。</w:t>
      </w:r>
    </w:p>
    <w:p>
      <w:pPr>
        <w:adjustRightInd w:val="0"/>
        <w:snapToGrid w:val="0"/>
        <w:spacing w:line="480" w:lineRule="atLeast"/>
        <w:ind w:firstLine="480" w:firstLineChars="200"/>
        <w:rPr>
          <w:sz w:val="24"/>
        </w:rPr>
      </w:pPr>
    </w:p>
    <w:p>
      <w:pPr>
        <w:pStyle w:val="6"/>
      </w:pPr>
      <w:r>
        <w:rPr>
          <w:rFonts w:hint="eastAsia"/>
        </w:rPr>
        <w:t>1.3.10.7 堤防</w:t>
      </w:r>
    </w:p>
    <w:p>
      <w:pPr>
        <w:adjustRightInd w:val="0"/>
        <w:snapToGrid w:val="0"/>
        <w:spacing w:line="480" w:lineRule="atLeast"/>
        <w:ind w:firstLine="480" w:firstLineChars="200"/>
        <w:rPr>
          <w:sz w:val="24"/>
        </w:rPr>
      </w:pPr>
      <w:r>
        <w:rPr>
          <w:rFonts w:hint="eastAsia"/>
          <w:sz w:val="24"/>
        </w:rPr>
        <w:t>本项目输水隧洞下穿的江（河涌）主要有西山溪、枫江等。</w:t>
      </w:r>
    </w:p>
    <w:p>
      <w:pPr>
        <w:adjustRightInd w:val="0"/>
        <w:snapToGrid w:val="0"/>
        <w:spacing w:line="480" w:lineRule="atLeast"/>
        <w:ind w:firstLine="480" w:firstLineChars="200"/>
        <w:rPr>
          <w:sz w:val="24"/>
        </w:rPr>
      </w:pPr>
      <w:r>
        <w:rPr>
          <w:rFonts w:hint="eastAsia"/>
          <w:sz w:val="24"/>
        </w:rPr>
        <w:t>输水隧洞盾构掘进下穿江（河涌）的施工过程中，主要对输水干线两侧1~3倍盾构井深的范围进行沉降监测。在每个部位的输水隧洞下穿堤防区域两岸各布置1个监测断面，每个监测断面各布置5个沉降测点，共计20个沉降测点。</w:t>
      </w:r>
    </w:p>
    <w:p>
      <w:pPr>
        <w:adjustRightInd w:val="0"/>
        <w:snapToGrid w:val="0"/>
        <w:spacing w:line="480" w:lineRule="atLeast"/>
        <w:ind w:firstLine="480" w:firstLineChars="200"/>
        <w:rPr>
          <w:sz w:val="24"/>
        </w:rPr>
      </w:pPr>
      <w:r>
        <w:rPr>
          <w:rFonts w:hint="eastAsia"/>
          <w:sz w:val="24"/>
        </w:rPr>
        <w:t>在输水隧洞中心线两侧60m范围以外基础稳固可靠的位置各布置3个基准点，每个部位共计6个基准点，共计12个基准点。</w:t>
      </w:r>
    </w:p>
    <w:p>
      <w:pPr>
        <w:adjustRightInd w:val="0"/>
        <w:snapToGrid w:val="0"/>
        <w:spacing w:line="480" w:lineRule="atLeast"/>
        <w:ind w:firstLine="480" w:firstLineChars="200"/>
        <w:rPr>
          <w:sz w:val="24"/>
        </w:rPr>
      </w:pPr>
    </w:p>
    <w:p>
      <w:pPr>
        <w:pStyle w:val="6"/>
      </w:pPr>
      <w:r>
        <w:rPr>
          <w:rFonts w:hint="eastAsia"/>
        </w:rPr>
        <w:t>1.3.10.8 沿线民房</w:t>
      </w:r>
    </w:p>
    <w:p>
      <w:pPr>
        <w:adjustRightInd w:val="0"/>
        <w:snapToGrid w:val="0"/>
        <w:spacing w:line="480" w:lineRule="atLeast"/>
        <w:ind w:firstLine="480" w:firstLineChars="200"/>
        <w:rPr>
          <w:sz w:val="24"/>
        </w:rPr>
      </w:pPr>
      <w:r>
        <w:rPr>
          <w:rFonts w:hint="eastAsia"/>
          <w:sz w:val="24"/>
        </w:rPr>
        <w:t>本工程</w:t>
      </w:r>
      <w:r>
        <w:rPr>
          <w:sz w:val="24"/>
        </w:rPr>
        <w:t>隧洞盾构掘进下穿</w:t>
      </w:r>
      <w:r>
        <w:rPr>
          <w:rFonts w:hint="eastAsia"/>
          <w:sz w:val="24"/>
        </w:rPr>
        <w:t>民房</w:t>
      </w:r>
      <w:r>
        <w:rPr>
          <w:sz w:val="24"/>
        </w:rPr>
        <w:t>的施工过程中</w:t>
      </w:r>
      <w:r>
        <w:rPr>
          <w:rFonts w:hint="eastAsia"/>
          <w:sz w:val="24"/>
        </w:rPr>
        <w:t>，主要对影响范围内民房结构的沉降位移进行监测。</w:t>
      </w:r>
    </w:p>
    <w:p>
      <w:pPr>
        <w:adjustRightInd w:val="0"/>
        <w:snapToGrid w:val="0"/>
        <w:spacing w:line="480" w:lineRule="atLeast"/>
        <w:ind w:firstLine="480" w:firstLineChars="200"/>
        <w:rPr>
          <w:sz w:val="24"/>
        </w:rPr>
      </w:pPr>
      <w:r>
        <w:rPr>
          <w:rFonts w:hint="eastAsia"/>
          <w:sz w:val="24"/>
        </w:rPr>
        <w:t>民房位于主要影响区时，监测点沿外墙间距宜为10~15m，或每隔两根承重柱布设一个监测点；位于次要影响区时，监测点沿外墙间隔宜为15~30m，或每隔2根~3根承重柱布设一个监测点。因此对于外墙长度不大于20m的民房结构，每栋民房约布置4个沉降监测点，面积较大的民房沉降监测点适当增多，共计布置2182个沉降测点。在每处民房建筑物以外基础稳固可靠的位置各布置3个基准点，共计36个基准点。</w:t>
      </w:r>
    </w:p>
    <w:p>
      <w:pPr>
        <w:pStyle w:val="6"/>
      </w:pPr>
      <w:r>
        <w:rPr>
          <w:rFonts w:hint="eastAsia"/>
        </w:rPr>
        <w:t>1.3.10.1 沿线地表</w:t>
      </w:r>
    </w:p>
    <w:p>
      <w:pPr>
        <w:adjustRightInd w:val="0"/>
        <w:snapToGrid w:val="0"/>
        <w:spacing w:line="480" w:lineRule="atLeast"/>
        <w:ind w:firstLine="480" w:firstLineChars="200"/>
        <w:rPr>
          <w:sz w:val="24"/>
        </w:rPr>
      </w:pPr>
      <w:r>
        <w:rPr>
          <w:rFonts w:hint="eastAsia"/>
          <w:sz w:val="24"/>
        </w:rPr>
        <w:t>根据《城市轨道交通工程监测技术规范》（GB 50911-2013）中规定，隧洞穿越区域需进行地表沉降位移监测。</w:t>
      </w:r>
    </w:p>
    <w:p>
      <w:pPr>
        <w:adjustRightInd w:val="0"/>
        <w:snapToGrid w:val="0"/>
        <w:spacing w:line="480" w:lineRule="atLeast"/>
        <w:ind w:firstLine="480" w:firstLineChars="200"/>
        <w:rPr>
          <w:sz w:val="24"/>
        </w:rPr>
      </w:pPr>
      <w:r>
        <w:rPr>
          <w:rFonts w:hint="eastAsia"/>
          <w:sz w:val="24"/>
        </w:rPr>
        <w:t>在输水隧洞沿线地表上方布置纵向监测断面，纵向监测断面每隔30m布置1个沉降测点，共计762个沉降测点。</w:t>
      </w:r>
    </w:p>
    <w:p>
      <w:pPr>
        <w:adjustRightInd w:val="0"/>
        <w:snapToGrid w:val="0"/>
        <w:spacing w:line="480" w:lineRule="atLeast"/>
        <w:ind w:firstLine="480" w:firstLineChars="200"/>
        <w:rPr>
          <w:sz w:val="24"/>
        </w:rPr>
      </w:pPr>
      <w:r>
        <w:rPr>
          <w:rFonts w:hint="eastAsia"/>
          <w:sz w:val="24"/>
        </w:rPr>
        <w:t>沿线地表沉降测点监测与其他建筑物共用基准点。</w:t>
      </w:r>
    </w:p>
    <w:p/>
    <w:p>
      <w:pPr>
        <w:pStyle w:val="5"/>
        <w:spacing w:before="0" w:after="0" w:line="500" w:lineRule="atLeast"/>
        <w:jc w:val="both"/>
        <w:rPr>
          <w:szCs w:val="24"/>
        </w:rPr>
      </w:pPr>
      <w:bookmarkStart w:id="67" w:name="_Toc29313"/>
      <w:bookmarkStart w:id="68" w:name="_Toc118821427"/>
      <w:r>
        <w:rPr>
          <w:szCs w:val="24"/>
        </w:rPr>
        <w:t>1.3.</w:t>
      </w:r>
      <w:r>
        <w:rPr>
          <w:rFonts w:hint="eastAsia"/>
          <w:szCs w:val="24"/>
          <w:lang w:val="en-US"/>
        </w:rPr>
        <w:t>11</w:t>
      </w:r>
      <w:r>
        <w:rPr>
          <w:rFonts w:hint="eastAsia"/>
          <w:szCs w:val="24"/>
        </w:rPr>
        <w:t xml:space="preserve"> </w:t>
      </w:r>
      <w:r>
        <w:rPr>
          <w:szCs w:val="24"/>
        </w:rPr>
        <w:t xml:space="preserve"> </w:t>
      </w:r>
      <w:r>
        <w:rPr>
          <w:rFonts w:hint="eastAsia"/>
          <w:szCs w:val="24"/>
        </w:rPr>
        <w:t>现场检查</w:t>
      </w:r>
      <w:bookmarkEnd w:id="67"/>
      <w:bookmarkEnd w:id="68"/>
    </w:p>
    <w:p>
      <w:pPr>
        <w:pStyle w:val="6"/>
      </w:pPr>
      <w:r>
        <w:rPr>
          <w:rFonts w:hint="eastAsia"/>
        </w:rPr>
        <w:t>1.3.11.1现场检查程序</w:t>
      </w:r>
    </w:p>
    <w:p>
      <w:pPr>
        <w:spacing w:line="500" w:lineRule="atLeast"/>
        <w:ind w:firstLine="420"/>
        <w:rPr>
          <w:sz w:val="24"/>
        </w:rPr>
      </w:pPr>
      <w:r>
        <w:rPr>
          <w:rFonts w:hint="eastAsia"/>
          <w:sz w:val="24"/>
        </w:rPr>
        <w:t>工程施工期及运行期的现场检查工作包括：日常现场检查，年度现场检查和专项现场检查。本工程安全监测设计仅提出原则性意见，具体工作与安排，由监理单位组织设计、施工和监测单位共同研究确定和实施。</w:t>
      </w:r>
    </w:p>
    <w:p>
      <w:pPr>
        <w:spacing w:line="500" w:lineRule="atLeast"/>
        <w:ind w:firstLine="420"/>
        <w:rPr>
          <w:sz w:val="24"/>
        </w:rPr>
      </w:pPr>
      <w:r>
        <w:rPr>
          <w:rFonts w:hint="eastAsia"/>
          <w:sz w:val="24"/>
        </w:rPr>
        <w:t>工程运行期的现场检查工作，由本工程管理部门根据有关规范的规定和工程的具体情况及安全监测的需要研究确定。</w:t>
      </w:r>
    </w:p>
    <w:p>
      <w:pPr>
        <w:spacing w:line="500" w:lineRule="atLeast"/>
        <w:ind w:firstLine="420"/>
        <w:rPr>
          <w:sz w:val="24"/>
        </w:rPr>
      </w:pPr>
      <w:r>
        <w:rPr>
          <w:rFonts w:hint="eastAsia"/>
          <w:sz w:val="24"/>
        </w:rPr>
        <w:t>（1）日常现场检查</w:t>
      </w:r>
    </w:p>
    <w:p>
      <w:pPr>
        <w:spacing w:line="500" w:lineRule="atLeast"/>
        <w:ind w:firstLine="420"/>
        <w:rPr>
          <w:sz w:val="24"/>
        </w:rPr>
      </w:pPr>
      <w:r>
        <w:rPr>
          <w:rFonts w:hint="eastAsia"/>
          <w:sz w:val="24"/>
        </w:rPr>
        <w:t>根据本工程的实际情况，按照监理、设计、施工和监测部门共同制订的日常巡视检查程序，对所有建筑物、机电设备、岩土工程等进行例行检查。</w:t>
      </w:r>
    </w:p>
    <w:p>
      <w:pPr>
        <w:spacing w:line="500" w:lineRule="atLeast"/>
        <w:ind w:firstLine="420"/>
        <w:rPr>
          <w:sz w:val="24"/>
        </w:rPr>
      </w:pPr>
      <w:r>
        <w:rPr>
          <w:rFonts w:hint="eastAsia"/>
          <w:sz w:val="24"/>
        </w:rPr>
        <w:t>（2）专项现场检查</w:t>
      </w:r>
    </w:p>
    <w:p>
      <w:pPr>
        <w:spacing w:line="500" w:lineRule="atLeast"/>
        <w:ind w:firstLine="420"/>
        <w:rPr>
          <w:sz w:val="24"/>
        </w:rPr>
      </w:pPr>
      <w:r>
        <w:rPr>
          <w:sz w:val="24"/>
        </w:rPr>
        <w:t>输水隧洞、水闸、</w:t>
      </w:r>
      <w:r>
        <w:rPr>
          <w:rFonts w:hint="eastAsia"/>
          <w:sz w:val="24"/>
        </w:rPr>
        <w:t>竖井、</w:t>
      </w:r>
      <w:r>
        <w:rPr>
          <w:sz w:val="24"/>
        </w:rPr>
        <w:t>交通隧洞</w:t>
      </w:r>
      <w:r>
        <w:rPr>
          <w:rFonts w:hint="eastAsia"/>
          <w:sz w:val="24"/>
        </w:rPr>
        <w:t>、</w:t>
      </w:r>
      <w:r>
        <w:rPr>
          <w:sz w:val="24"/>
        </w:rPr>
        <w:t>检修排水井、渗漏排水井及</w:t>
      </w:r>
      <w:r>
        <w:rPr>
          <w:rFonts w:hint="eastAsia"/>
          <w:sz w:val="24"/>
        </w:rPr>
        <w:t>边坡等主要建筑物的现场检查，列为专项现场检查内容，可根据监测和分析成果及时制定和调整巡视检查工作计划，并按计划及时进行。</w:t>
      </w:r>
    </w:p>
    <w:p>
      <w:pPr>
        <w:spacing w:line="500" w:lineRule="atLeast"/>
        <w:ind w:firstLine="420"/>
        <w:rPr>
          <w:sz w:val="24"/>
        </w:rPr>
      </w:pPr>
      <w:r>
        <w:rPr>
          <w:rFonts w:hint="eastAsia"/>
          <w:sz w:val="24"/>
        </w:rPr>
        <w:t>在工程区发生有感地震或遭受暴风雨袭击时，以及发生其他特殊情况时，需立即组织现场检查。必要时，还需对可能出现险情的部位实施昼夜监视。</w:t>
      </w:r>
    </w:p>
    <w:p>
      <w:pPr>
        <w:spacing w:line="500" w:lineRule="atLeast"/>
        <w:ind w:firstLine="420"/>
        <w:rPr>
          <w:sz w:val="24"/>
        </w:rPr>
      </w:pPr>
      <w:r>
        <w:rPr>
          <w:rFonts w:hint="eastAsia"/>
          <w:sz w:val="24"/>
        </w:rPr>
        <w:t>（3）年度现场检查</w:t>
      </w:r>
    </w:p>
    <w:p>
      <w:pPr>
        <w:spacing w:line="500" w:lineRule="atLeast"/>
        <w:ind w:firstLine="420"/>
        <w:rPr>
          <w:sz w:val="24"/>
        </w:rPr>
      </w:pPr>
      <w:r>
        <w:rPr>
          <w:rFonts w:hint="eastAsia"/>
          <w:sz w:val="24"/>
        </w:rPr>
        <w:t>年度现场检查应在每年汛前、汛后及高水位、低气温时，按规定的所有检查项目(包括日常检查项目和专项检查项目)，对整个枢纽工程进行较为全面的检查。</w:t>
      </w:r>
    </w:p>
    <w:p>
      <w:pPr>
        <w:spacing w:line="500" w:lineRule="atLeast"/>
        <w:ind w:firstLine="420"/>
        <w:rPr>
          <w:sz w:val="24"/>
        </w:rPr>
      </w:pPr>
    </w:p>
    <w:p>
      <w:pPr>
        <w:pStyle w:val="6"/>
      </w:pPr>
      <w:bookmarkStart w:id="69" w:name="_Toc532977713"/>
      <w:r>
        <w:rPr>
          <w:rFonts w:hint="eastAsia"/>
        </w:rPr>
        <w:t>1.3.11.2现场检查内容</w:t>
      </w:r>
      <w:bookmarkEnd w:id="69"/>
    </w:p>
    <w:p>
      <w:pPr>
        <w:spacing w:line="500" w:lineRule="atLeast"/>
        <w:ind w:firstLine="420"/>
        <w:rPr>
          <w:sz w:val="24"/>
        </w:rPr>
      </w:pPr>
      <w:r>
        <w:rPr>
          <w:rFonts w:hint="eastAsia"/>
          <w:sz w:val="24"/>
        </w:rPr>
        <w:t>（1）输水隧洞及</w:t>
      </w:r>
      <w:r>
        <w:rPr>
          <w:sz w:val="24"/>
        </w:rPr>
        <w:t>交通隧洞</w:t>
      </w:r>
    </w:p>
    <w:p>
      <w:pPr>
        <w:spacing w:line="500" w:lineRule="atLeast"/>
        <w:ind w:firstLine="420"/>
        <w:rPr>
          <w:sz w:val="24"/>
        </w:rPr>
      </w:pPr>
      <w:r>
        <w:rPr>
          <w:rFonts w:hint="eastAsia"/>
          <w:sz w:val="24"/>
        </w:rPr>
        <w:t>针对输水隧洞特点，视工程实际情况应加强现场检查的工程部位有以下方面：</w:t>
      </w:r>
    </w:p>
    <w:p>
      <w:pPr>
        <w:spacing w:line="500" w:lineRule="atLeast"/>
        <w:ind w:firstLine="420"/>
        <w:rPr>
          <w:sz w:val="24"/>
        </w:rPr>
      </w:pPr>
      <w:r>
        <w:rPr>
          <w:rFonts w:hint="eastAsia"/>
          <w:sz w:val="24"/>
        </w:rPr>
        <w:t>1) 隧洞围岩，在施工期随开挖施工应检查围岩地层岩性、断层及裂隙构造发育情况、岩体裂缝、楔形体、局部危岩、地下渗水、喷锚支护结构施工质量，以及盾构隧洞施工及爆破参数控制等可能影响工程质量和运行安全的隧洞围岩工程隐患。</w:t>
      </w:r>
    </w:p>
    <w:p>
      <w:pPr>
        <w:spacing w:line="500" w:lineRule="atLeast"/>
        <w:ind w:firstLine="420"/>
        <w:rPr>
          <w:sz w:val="24"/>
        </w:rPr>
      </w:pPr>
      <w:r>
        <w:rPr>
          <w:rFonts w:hint="eastAsia"/>
          <w:sz w:val="24"/>
        </w:rPr>
        <w:t>2) 混凝土衬砌及进出水口结构，在施工期和放空期间要注意检查：混凝土结构有无蜂窝、麻面、裂缝、位移变形、隆起、塌陷、磨损冲蚀(空蚀)、渗水、腐蚀及表层剥落等现象；有无挤碎、架空、错断；有无钢筋露头及处理情况;接缝止水是否有集中渗水现象；检修支洞的封堵及渗漏情况等。</w:t>
      </w:r>
    </w:p>
    <w:p>
      <w:pPr>
        <w:spacing w:line="500" w:lineRule="atLeast"/>
        <w:ind w:firstLine="420"/>
        <w:rPr>
          <w:sz w:val="24"/>
        </w:rPr>
      </w:pPr>
      <w:r>
        <w:rPr>
          <w:rFonts w:hint="eastAsia"/>
          <w:sz w:val="24"/>
        </w:rPr>
        <w:t>3) 在施工期和运行期应同时对监测仪器设施等进行检查，除不可修复外保证使其处于正常工作状态；在运行期输水系统放空时根据需要可对建筑物结构进行系统全面的现场检查，认真检查和记录可能存在的安全隐患等，对发现的问题进行妥善处理。</w:t>
      </w:r>
    </w:p>
    <w:p>
      <w:pPr>
        <w:spacing w:line="500" w:lineRule="atLeast"/>
        <w:ind w:firstLine="420"/>
        <w:rPr>
          <w:sz w:val="24"/>
        </w:rPr>
      </w:pPr>
      <w:r>
        <w:rPr>
          <w:rFonts w:hint="eastAsia"/>
          <w:sz w:val="24"/>
        </w:rPr>
        <w:t>（2）边坡工程</w:t>
      </w:r>
    </w:p>
    <w:p>
      <w:pPr>
        <w:spacing w:line="500" w:lineRule="atLeast"/>
        <w:ind w:firstLine="420"/>
        <w:rPr>
          <w:sz w:val="24"/>
        </w:rPr>
      </w:pPr>
      <w:r>
        <w:rPr>
          <w:rFonts w:hint="eastAsia"/>
          <w:sz w:val="24"/>
        </w:rPr>
        <w:t>1）边（滑）坡地表或隧洞进出洞口边坡有无新裂缝、坍塌发生，原有裂缝有无扩大、延伸，断层有无错动发生。</w:t>
      </w:r>
    </w:p>
    <w:p>
      <w:pPr>
        <w:spacing w:line="500" w:lineRule="atLeast"/>
        <w:ind w:firstLine="420"/>
        <w:rPr>
          <w:sz w:val="24"/>
        </w:rPr>
      </w:pPr>
      <w:r>
        <w:rPr>
          <w:rFonts w:hint="eastAsia"/>
          <w:sz w:val="24"/>
        </w:rPr>
        <w:t>2）地表有无隆起或下陷，边坡后缘有无裂缝，前缘有无剪切和错位出现，局部锲形体有无滑动迹象。</w:t>
      </w:r>
    </w:p>
    <w:p>
      <w:pPr>
        <w:spacing w:line="500" w:lineRule="atLeast"/>
        <w:ind w:firstLine="420"/>
        <w:rPr>
          <w:sz w:val="24"/>
        </w:rPr>
      </w:pPr>
      <w:r>
        <w:rPr>
          <w:rFonts w:hint="eastAsia"/>
          <w:sz w:val="24"/>
        </w:rPr>
        <w:t>3）排水沟、排水洞、排水孔、截水沟是否通畅，排水量是否正常。</w:t>
      </w:r>
    </w:p>
    <w:p>
      <w:pPr>
        <w:spacing w:line="500" w:lineRule="atLeast"/>
        <w:ind w:firstLine="420"/>
        <w:rPr>
          <w:sz w:val="24"/>
        </w:rPr>
      </w:pPr>
      <w:r>
        <w:rPr>
          <w:rFonts w:hint="eastAsia"/>
          <w:sz w:val="24"/>
        </w:rPr>
        <w:t>4）有无新等地下水露头，原有的渗水量和水质有无变化。</w:t>
      </w:r>
    </w:p>
    <w:p>
      <w:pPr>
        <w:spacing w:line="500" w:lineRule="atLeast"/>
        <w:ind w:firstLine="420"/>
        <w:rPr>
          <w:sz w:val="24"/>
        </w:rPr>
      </w:pPr>
      <w:r>
        <w:rPr>
          <w:rFonts w:hint="eastAsia"/>
          <w:sz w:val="24"/>
        </w:rPr>
        <w:t>5）支护结构、喷层表面、锚索墩头混凝土是否开裂及裂缝等开展情况。</w:t>
      </w:r>
    </w:p>
    <w:p>
      <w:pPr>
        <w:spacing w:line="500" w:lineRule="atLeast"/>
        <w:ind w:firstLine="420"/>
        <w:rPr>
          <w:sz w:val="24"/>
        </w:rPr>
      </w:pPr>
      <w:r>
        <w:rPr>
          <w:rFonts w:hint="eastAsia"/>
          <w:sz w:val="24"/>
        </w:rPr>
        <w:t>6）注意观察边坡上有无害虫、害兽的活动痕迹。在发现上述痕迹后，应进一步追查有无鼠穴、獾洞、白蚁窝等隐患。</w:t>
      </w:r>
    </w:p>
    <w:p>
      <w:pPr>
        <w:spacing w:line="500" w:lineRule="atLeast"/>
        <w:ind w:firstLine="420"/>
        <w:rPr>
          <w:sz w:val="24"/>
        </w:rPr>
      </w:pPr>
      <w:r>
        <w:rPr>
          <w:rFonts w:hint="eastAsia"/>
          <w:sz w:val="24"/>
        </w:rPr>
        <w:t>7）对于边坡上的块石护坡，应注意观察有无块石翻起、松动、塌陷、垫层流失、架空或风化变质等损坏现象。</w:t>
      </w:r>
    </w:p>
    <w:p>
      <w:pPr>
        <w:spacing w:line="500" w:lineRule="atLeast"/>
        <w:ind w:firstLine="420"/>
        <w:rPr>
          <w:sz w:val="24"/>
        </w:rPr>
      </w:pPr>
      <w:r>
        <w:rPr>
          <w:rFonts w:hint="eastAsia"/>
          <w:sz w:val="24"/>
        </w:rPr>
        <w:t>8）对于边坡表面排水系统，应注意观察有无裂缝或损坏，沟内有无障碍物及泥沙淤积或石缝中长草等情况，以及降雨时的排水情况。</w:t>
      </w:r>
    </w:p>
    <w:p>
      <w:pPr>
        <w:spacing w:line="500" w:lineRule="atLeast"/>
        <w:ind w:firstLine="420"/>
        <w:rPr>
          <w:sz w:val="24"/>
        </w:rPr>
      </w:pPr>
      <w:r>
        <w:rPr>
          <w:rFonts w:hint="eastAsia"/>
          <w:sz w:val="24"/>
        </w:rPr>
        <w:t>（3）输水沿线主要建筑物</w:t>
      </w:r>
    </w:p>
    <w:p>
      <w:pPr>
        <w:spacing w:line="500" w:lineRule="atLeast"/>
        <w:ind w:firstLine="420"/>
        <w:rPr>
          <w:sz w:val="24"/>
        </w:rPr>
      </w:pPr>
      <w:r>
        <w:rPr>
          <w:sz w:val="24"/>
        </w:rPr>
        <w:t>输水隧洞、水闸、</w:t>
      </w:r>
      <w:r>
        <w:rPr>
          <w:rFonts w:hint="eastAsia"/>
          <w:sz w:val="24"/>
        </w:rPr>
        <w:t>竖井、</w:t>
      </w:r>
      <w:r>
        <w:rPr>
          <w:sz w:val="24"/>
        </w:rPr>
        <w:t>交通隧洞</w:t>
      </w:r>
      <w:r>
        <w:rPr>
          <w:rFonts w:hint="eastAsia"/>
          <w:sz w:val="24"/>
        </w:rPr>
        <w:t>、</w:t>
      </w:r>
      <w:r>
        <w:rPr>
          <w:sz w:val="24"/>
        </w:rPr>
        <w:t>检修排水井、渗漏排水井</w:t>
      </w:r>
      <w:r>
        <w:rPr>
          <w:rFonts w:hint="eastAsia"/>
          <w:sz w:val="24"/>
        </w:rPr>
        <w:t>等。针对输水沿线建筑物特点，视工程实际情况应加强现场检查的工程部位有以下方面：</w:t>
      </w:r>
    </w:p>
    <w:p>
      <w:pPr>
        <w:spacing w:line="500" w:lineRule="atLeast"/>
        <w:ind w:firstLine="420"/>
        <w:rPr>
          <w:sz w:val="24"/>
        </w:rPr>
      </w:pPr>
      <w:r>
        <w:rPr>
          <w:rFonts w:hint="eastAsia"/>
          <w:sz w:val="24"/>
        </w:rPr>
        <w:t>1) 建筑物混凝土结构有无裂缝和局部损坏现象。</w:t>
      </w:r>
    </w:p>
    <w:p>
      <w:pPr>
        <w:spacing w:line="500" w:lineRule="atLeast"/>
        <w:ind w:firstLine="420"/>
        <w:rPr>
          <w:sz w:val="24"/>
        </w:rPr>
      </w:pPr>
      <w:r>
        <w:rPr>
          <w:rFonts w:hint="eastAsia"/>
          <w:sz w:val="24"/>
        </w:rPr>
        <w:t>2) 建筑物各分块结构缝有无错台和基础变形情况。</w:t>
      </w:r>
    </w:p>
    <w:p>
      <w:pPr>
        <w:spacing w:line="500" w:lineRule="atLeast"/>
        <w:ind w:firstLine="420"/>
        <w:rPr>
          <w:sz w:val="24"/>
        </w:rPr>
      </w:pPr>
      <w:r>
        <w:rPr>
          <w:rFonts w:hint="eastAsia"/>
          <w:sz w:val="24"/>
        </w:rPr>
        <w:t>3) 出水箱涵进、出水口放水期流态、流量是否正常；停水期是否有水渗漏；进、出水口有无冲刷或砂石、杂物堆积现象；镇墩是否出现裂缝和变形。</w:t>
      </w:r>
    </w:p>
    <w:p>
      <w:pPr>
        <w:spacing w:line="500" w:lineRule="atLeast"/>
        <w:ind w:firstLine="420"/>
        <w:rPr>
          <w:sz w:val="24"/>
        </w:rPr>
      </w:pPr>
      <w:r>
        <w:rPr>
          <w:rFonts w:hint="eastAsia"/>
          <w:sz w:val="24"/>
        </w:rPr>
        <w:t>4) 机电设备和控制设备是否正常，观测设施是否完好等。</w:t>
      </w:r>
    </w:p>
    <w:p>
      <w:pPr>
        <w:spacing w:line="500" w:lineRule="atLeast"/>
        <w:ind w:firstLine="420"/>
        <w:rPr>
          <w:sz w:val="24"/>
        </w:rPr>
      </w:pPr>
      <w:r>
        <w:rPr>
          <w:rFonts w:hint="eastAsia"/>
          <w:sz w:val="24"/>
        </w:rPr>
        <w:t>（4）监测设备</w:t>
      </w:r>
    </w:p>
    <w:p>
      <w:pPr>
        <w:spacing w:line="500" w:lineRule="atLeast"/>
        <w:ind w:firstLine="420"/>
        <w:rPr>
          <w:sz w:val="24"/>
        </w:rPr>
      </w:pPr>
      <w:r>
        <w:rPr>
          <w:rFonts w:hint="eastAsia"/>
          <w:sz w:val="24"/>
        </w:rPr>
        <w:t>1) 建筑物以外的观测墩与岩体连接是否牢固，有无自身滑动和倾斜迹象。</w:t>
      </w:r>
    </w:p>
    <w:p>
      <w:pPr>
        <w:spacing w:line="500" w:lineRule="atLeast"/>
        <w:ind w:firstLine="420"/>
        <w:rPr>
          <w:sz w:val="24"/>
        </w:rPr>
      </w:pPr>
      <w:r>
        <w:rPr>
          <w:rFonts w:hint="eastAsia"/>
          <w:sz w:val="24"/>
        </w:rPr>
        <w:t>2) 水准测墩标心有无松动，测点墩与被测建筑物是否牢固连接。</w:t>
      </w:r>
    </w:p>
    <w:p>
      <w:pPr>
        <w:spacing w:line="500" w:lineRule="atLeast"/>
        <w:ind w:firstLine="420"/>
        <w:rPr>
          <w:sz w:val="24"/>
        </w:rPr>
      </w:pPr>
      <w:r>
        <w:rPr>
          <w:rFonts w:hint="eastAsia"/>
          <w:sz w:val="24"/>
        </w:rPr>
        <w:t>3) 地下水位观测孔和测斜孔孔口保护装置是否完整，锁封装置是否可靠。</w:t>
      </w:r>
    </w:p>
    <w:p>
      <w:pPr>
        <w:spacing w:line="500" w:lineRule="atLeast"/>
        <w:ind w:firstLine="420"/>
        <w:rPr>
          <w:sz w:val="24"/>
        </w:rPr>
      </w:pPr>
      <w:r>
        <w:rPr>
          <w:rFonts w:hint="eastAsia"/>
          <w:sz w:val="24"/>
        </w:rPr>
        <w:t>4) 水位计有无破损，引水沟是否畅通，沟底淤积是否已清除。</w:t>
      </w:r>
    </w:p>
    <w:p>
      <w:pPr>
        <w:spacing w:line="500" w:lineRule="atLeast"/>
        <w:ind w:firstLine="420"/>
        <w:rPr>
          <w:sz w:val="24"/>
        </w:rPr>
      </w:pPr>
      <w:r>
        <w:rPr>
          <w:rFonts w:hint="eastAsia"/>
          <w:sz w:val="24"/>
        </w:rPr>
        <w:t>5) 施工期及运行期监测数据采集模块供电电压是否稳定。</w:t>
      </w:r>
    </w:p>
    <w:p>
      <w:pPr>
        <w:spacing w:line="500" w:lineRule="atLeast"/>
        <w:ind w:firstLine="420"/>
        <w:rPr>
          <w:sz w:val="24"/>
        </w:rPr>
      </w:pPr>
      <w:r>
        <w:rPr>
          <w:rFonts w:hint="eastAsia"/>
          <w:sz w:val="24"/>
        </w:rPr>
        <w:t>6) 各外露测点和测站的保护装置、防潮装置及接地防雷装置是否完好，工作是否正常。</w:t>
      </w:r>
    </w:p>
    <w:p>
      <w:pPr>
        <w:spacing w:line="500" w:lineRule="atLeast"/>
        <w:ind w:firstLine="420"/>
        <w:rPr>
          <w:sz w:val="24"/>
        </w:rPr>
      </w:pPr>
      <w:r>
        <w:rPr>
          <w:rFonts w:hint="eastAsia"/>
          <w:sz w:val="24"/>
        </w:rPr>
        <w:t>7) 观测仪器电缆的引出线、监测自动化系统网络通信电缆、通讯光缆及电源电线敷设有无异常，保护是否完整。</w:t>
      </w:r>
    </w:p>
    <w:p>
      <w:pPr>
        <w:spacing w:line="500" w:lineRule="atLeast"/>
        <w:ind w:firstLine="420"/>
        <w:rPr>
          <w:sz w:val="24"/>
        </w:rPr>
      </w:pPr>
    </w:p>
    <w:p>
      <w:pPr>
        <w:pStyle w:val="6"/>
      </w:pPr>
      <w:bookmarkStart w:id="70" w:name="_Toc532977714"/>
      <w:r>
        <w:rPr>
          <w:rFonts w:hint="eastAsia"/>
        </w:rPr>
        <w:t>1.3.11.3 现场检查要求</w:t>
      </w:r>
      <w:bookmarkEnd w:id="70"/>
    </w:p>
    <w:p>
      <w:pPr>
        <w:spacing w:line="500" w:lineRule="atLeast"/>
        <w:ind w:firstLine="420"/>
        <w:rPr>
          <w:sz w:val="24"/>
        </w:rPr>
      </w:pPr>
      <w:r>
        <w:rPr>
          <w:rFonts w:hint="eastAsia"/>
          <w:sz w:val="24"/>
        </w:rPr>
        <w:t>（1）现场检查主要由熟悉本工程情况的人员参加，并相对固定，每次检查前，均须对照检查程序要求，做好准备工作。</w:t>
      </w:r>
    </w:p>
    <w:p>
      <w:pPr>
        <w:spacing w:line="500" w:lineRule="atLeast"/>
        <w:ind w:firstLine="420"/>
        <w:rPr>
          <w:sz w:val="24"/>
        </w:rPr>
      </w:pPr>
      <w:r>
        <w:rPr>
          <w:rFonts w:hint="eastAsia"/>
          <w:sz w:val="24"/>
        </w:rPr>
        <w:t>（2）年度现场检查和特殊情况下的现场检查，还须做好相关的准备工作，并采取相应的安全防护措施，确保巡查工作及设备、人身安全。</w:t>
      </w:r>
    </w:p>
    <w:p>
      <w:pPr>
        <w:spacing w:line="500" w:lineRule="atLeast"/>
        <w:ind w:firstLine="420"/>
        <w:rPr>
          <w:sz w:val="24"/>
        </w:rPr>
      </w:pPr>
      <w:r>
        <w:rPr>
          <w:rFonts w:hint="eastAsia"/>
          <w:sz w:val="24"/>
        </w:rPr>
        <w:t>（3）检查的方法主要依靠目视、耳听、手摸、鼻嗅等直观方法，可辅以锤、钎、量尺、放大镜、望远镜、照相机、摄像机</w:t>
      </w:r>
      <w:r>
        <w:rPr>
          <w:rFonts w:hint="eastAsia"/>
          <w:color w:val="000000"/>
          <w:sz w:val="24"/>
        </w:rPr>
        <w:t>、无人机</w:t>
      </w:r>
      <w:r>
        <w:rPr>
          <w:color w:val="000000"/>
          <w:sz w:val="24"/>
        </w:rPr>
        <w:t>等</w:t>
      </w:r>
      <w:r>
        <w:rPr>
          <w:rFonts w:hint="eastAsia"/>
          <w:sz w:val="24"/>
        </w:rPr>
        <w:t>工具进行；如有必要，可采用(坑)槽探挖、钻孔取样或孔内电视、注水或抽水试验，化学试剂、水下检查或水下电视摄像、超声波探测及锈蚀检测、材质化验或强度检测等特殊方法进行检查。</w:t>
      </w:r>
    </w:p>
    <w:p>
      <w:pPr>
        <w:spacing w:line="500" w:lineRule="atLeast"/>
        <w:ind w:firstLine="420"/>
        <w:rPr>
          <w:sz w:val="24"/>
        </w:rPr>
      </w:pPr>
    </w:p>
    <w:p>
      <w:pPr>
        <w:pStyle w:val="6"/>
      </w:pPr>
      <w:bookmarkStart w:id="71" w:name="_Toc532977715"/>
      <w:r>
        <w:rPr>
          <w:rFonts w:hint="eastAsia"/>
        </w:rPr>
        <w:t>1.3.11.4 现场检查记录和报告</w:t>
      </w:r>
      <w:bookmarkEnd w:id="71"/>
    </w:p>
    <w:p>
      <w:pPr>
        <w:spacing w:line="500" w:lineRule="atLeast"/>
        <w:ind w:firstLine="420"/>
        <w:rPr>
          <w:sz w:val="24"/>
        </w:rPr>
      </w:pPr>
      <w:r>
        <w:rPr>
          <w:rFonts w:hint="eastAsia"/>
          <w:sz w:val="24"/>
        </w:rPr>
        <w:t>（1）记录和整理</w:t>
      </w:r>
    </w:p>
    <w:p>
      <w:pPr>
        <w:spacing w:line="500" w:lineRule="atLeast"/>
        <w:ind w:firstLine="420"/>
        <w:rPr>
          <w:sz w:val="24"/>
        </w:rPr>
      </w:pPr>
      <w:r>
        <w:rPr>
          <w:rFonts w:hint="eastAsia"/>
          <w:sz w:val="24"/>
        </w:rPr>
        <w:t>每次现场检查均应作好详细的现场记录，必要时应附有略图、素描、照片或录像资料。</w:t>
      </w:r>
    </w:p>
    <w:p>
      <w:pPr>
        <w:spacing w:line="500" w:lineRule="atLeast"/>
        <w:ind w:firstLine="420"/>
        <w:rPr>
          <w:sz w:val="24"/>
        </w:rPr>
      </w:pPr>
      <w:r>
        <w:rPr>
          <w:rFonts w:hint="eastAsia"/>
          <w:sz w:val="24"/>
        </w:rPr>
        <w:t>对于有可疑迹象部位的记录，应在现场就地对其进行校对，确定无误后才能离开现场。</w:t>
      </w:r>
    </w:p>
    <w:p>
      <w:pPr>
        <w:spacing w:line="500" w:lineRule="atLeast"/>
        <w:ind w:firstLine="420"/>
        <w:rPr>
          <w:sz w:val="24"/>
        </w:rPr>
      </w:pPr>
      <w:r>
        <w:rPr>
          <w:rFonts w:hint="eastAsia"/>
          <w:sz w:val="24"/>
        </w:rPr>
        <w:t>现场检查必须及时整理，登记专项卡片，还应将本次检查结果与上次或历次检查结果对比，分析有无异常迹象。在整理分析过程中，如有疑问或发生异常现象，应立即对该检查项目进行复查，以保证记录的准确性和真实性。</w:t>
      </w:r>
    </w:p>
    <w:p>
      <w:pPr>
        <w:spacing w:line="500" w:lineRule="atLeast"/>
        <w:ind w:firstLine="420"/>
        <w:rPr>
          <w:sz w:val="24"/>
        </w:rPr>
      </w:pPr>
      <w:r>
        <w:rPr>
          <w:rFonts w:hint="eastAsia"/>
          <w:sz w:val="24"/>
        </w:rPr>
        <w:t>（2）报告</w:t>
      </w:r>
    </w:p>
    <w:p>
      <w:pPr>
        <w:spacing w:line="500" w:lineRule="atLeast"/>
        <w:ind w:firstLine="420"/>
        <w:rPr>
          <w:sz w:val="24"/>
        </w:rPr>
      </w:pPr>
      <w:r>
        <w:rPr>
          <w:rFonts w:hint="eastAsia"/>
          <w:sz w:val="24"/>
        </w:rPr>
        <w:t>日常现场检查中发现异常情况时，应立即编写检查报告，并及时上报。</w:t>
      </w:r>
    </w:p>
    <w:p>
      <w:pPr>
        <w:spacing w:line="500" w:lineRule="atLeast"/>
        <w:ind w:firstLine="420"/>
        <w:rPr>
          <w:sz w:val="24"/>
        </w:rPr>
      </w:pPr>
      <w:r>
        <w:rPr>
          <w:rFonts w:hint="eastAsia"/>
          <w:sz w:val="24"/>
        </w:rPr>
        <w:t>年度现场检查在现场工作结束后一个月内必须提交详细报告。</w:t>
      </w:r>
    </w:p>
    <w:p>
      <w:pPr>
        <w:spacing w:line="500" w:lineRule="atLeast"/>
        <w:ind w:firstLine="420"/>
        <w:rPr>
          <w:sz w:val="24"/>
        </w:rPr>
      </w:pPr>
      <w:r>
        <w:rPr>
          <w:rFonts w:hint="eastAsia"/>
          <w:sz w:val="24"/>
        </w:rPr>
        <w:t>专项现场检查和特殊情况下的现场检查，在现场工作结束后，应立即提交一份简报。</w:t>
      </w:r>
    </w:p>
    <w:p>
      <w:pPr>
        <w:spacing w:line="500" w:lineRule="atLeast"/>
        <w:ind w:firstLine="420"/>
        <w:rPr>
          <w:sz w:val="24"/>
        </w:rPr>
      </w:pPr>
      <w:r>
        <w:rPr>
          <w:rFonts w:hint="eastAsia"/>
          <w:sz w:val="24"/>
        </w:rPr>
        <w:t>各种记录、报告至少应保留一份副本，存档备查。</w:t>
      </w:r>
    </w:p>
    <w:p>
      <w:pPr>
        <w:spacing w:line="500" w:lineRule="atLeast"/>
        <w:ind w:firstLine="420"/>
        <w:rPr>
          <w:sz w:val="24"/>
        </w:rPr>
      </w:pPr>
      <w:r>
        <w:rPr>
          <w:rFonts w:hint="eastAsia"/>
          <w:sz w:val="24"/>
        </w:rPr>
        <w:t>施工期和运行期的现场检查记录及报告，在工程竣工验收时应全部移交给运行管理单位。</w:t>
      </w:r>
    </w:p>
    <w:p>
      <w:pPr>
        <w:spacing w:line="500" w:lineRule="atLeast"/>
        <w:ind w:firstLine="420"/>
        <w:rPr>
          <w:sz w:val="24"/>
        </w:rPr>
      </w:pPr>
    </w:p>
    <w:p>
      <w:pPr>
        <w:pStyle w:val="5"/>
        <w:spacing w:before="0" w:after="0" w:line="500" w:lineRule="atLeast"/>
        <w:jc w:val="both"/>
        <w:rPr>
          <w:szCs w:val="24"/>
        </w:rPr>
      </w:pPr>
      <w:bookmarkStart w:id="72" w:name="_Toc25197"/>
      <w:bookmarkStart w:id="73" w:name="_Toc118821428"/>
      <w:r>
        <w:rPr>
          <w:szCs w:val="24"/>
        </w:rPr>
        <w:t>1.3.</w:t>
      </w:r>
      <w:r>
        <w:rPr>
          <w:rFonts w:hint="eastAsia"/>
          <w:szCs w:val="24"/>
          <w:lang w:val="en-US"/>
        </w:rPr>
        <w:t>12</w:t>
      </w:r>
      <w:r>
        <w:rPr>
          <w:rFonts w:hint="eastAsia"/>
          <w:szCs w:val="24"/>
        </w:rPr>
        <w:t xml:space="preserve"> </w:t>
      </w:r>
      <w:r>
        <w:rPr>
          <w:szCs w:val="24"/>
        </w:rPr>
        <w:t xml:space="preserve"> </w:t>
      </w:r>
      <w:r>
        <w:rPr>
          <w:rFonts w:hint="eastAsia"/>
          <w:szCs w:val="24"/>
        </w:rPr>
        <w:t>安全监测自动化</w:t>
      </w:r>
      <w:r>
        <w:rPr>
          <w:rFonts w:hint="eastAsia"/>
          <w:szCs w:val="24"/>
          <w:lang w:val="en-US"/>
        </w:rPr>
        <w:t>采集</w:t>
      </w:r>
      <w:r>
        <w:rPr>
          <w:rFonts w:hint="eastAsia"/>
          <w:szCs w:val="24"/>
        </w:rPr>
        <w:t>系统</w:t>
      </w:r>
      <w:bookmarkEnd w:id="72"/>
      <w:bookmarkEnd w:id="73"/>
    </w:p>
    <w:p>
      <w:pPr>
        <w:pStyle w:val="6"/>
      </w:pPr>
      <w:r>
        <w:t>1.3.</w:t>
      </w:r>
      <w:r>
        <w:rPr>
          <w:rFonts w:hint="eastAsia"/>
        </w:rPr>
        <w:t>12</w:t>
      </w:r>
      <w:r>
        <w:t>.1</w:t>
      </w:r>
      <w:r>
        <w:rPr>
          <w:rFonts w:hint="eastAsia"/>
        </w:rPr>
        <w:t xml:space="preserve"> </w:t>
      </w:r>
      <w:r>
        <w:t xml:space="preserve"> </w:t>
      </w:r>
      <w:r>
        <w:rPr>
          <w:rFonts w:hint="eastAsia"/>
        </w:rPr>
        <w:t>监测站设置</w:t>
      </w:r>
    </w:p>
    <w:p>
      <w:pPr>
        <w:pStyle w:val="200"/>
        <w:snapToGrid w:val="0"/>
        <w:spacing w:line="500" w:lineRule="atLeast"/>
        <w:ind w:left="0" w:leftChars="0" w:right="0" w:rightChars="0" w:firstLine="480" w:firstLineChars="200"/>
        <w:rPr>
          <w:sz w:val="24"/>
        </w:rPr>
      </w:pPr>
      <w:r>
        <w:rPr>
          <w:rFonts w:hint="eastAsia"/>
          <w:sz w:val="24"/>
        </w:rPr>
        <w:t>（1）</w:t>
      </w:r>
      <w:r>
        <w:rPr>
          <w:sz w:val="24"/>
        </w:rPr>
        <w:t>施工期监测站</w:t>
      </w:r>
    </w:p>
    <w:p>
      <w:pPr>
        <w:pStyle w:val="200"/>
        <w:snapToGrid w:val="0"/>
        <w:spacing w:line="500" w:lineRule="atLeast"/>
        <w:ind w:left="0" w:leftChars="0" w:right="0" w:rightChars="0" w:firstLine="480" w:firstLineChars="200"/>
        <w:rPr>
          <w:sz w:val="24"/>
        </w:rPr>
      </w:pPr>
      <w:r>
        <w:rPr>
          <w:sz w:val="24"/>
        </w:rPr>
        <w:t>施工期自动化监测由现场网络层监控设备和</w:t>
      </w:r>
      <w:r>
        <w:rPr>
          <w:rFonts w:hint="eastAsia"/>
          <w:sz w:val="24"/>
        </w:rPr>
        <w:t>监测管理</w:t>
      </w:r>
      <w:r>
        <w:rPr>
          <w:sz w:val="24"/>
        </w:rPr>
        <w:t>中心站监测设备两大部分组成。施工期监测站主要布置在</w:t>
      </w:r>
      <w:r>
        <w:rPr>
          <w:rFonts w:hint="eastAsia"/>
          <w:sz w:val="24"/>
        </w:rPr>
        <w:t>隧洞</w:t>
      </w:r>
      <w:r>
        <w:rPr>
          <w:sz w:val="24"/>
        </w:rPr>
        <w:t>监测断面</w:t>
      </w:r>
      <w:r>
        <w:rPr>
          <w:rFonts w:hint="eastAsia"/>
          <w:sz w:val="24"/>
        </w:rPr>
        <w:t>内</w:t>
      </w:r>
      <w:r>
        <w:rPr>
          <w:sz w:val="24"/>
        </w:rPr>
        <w:t>、</w:t>
      </w:r>
      <w:r>
        <w:rPr>
          <w:rFonts w:hint="eastAsia"/>
          <w:sz w:val="24"/>
        </w:rPr>
        <w:t>基坑</w:t>
      </w:r>
      <w:r>
        <w:rPr>
          <w:sz w:val="24"/>
        </w:rPr>
        <w:t>、</w:t>
      </w:r>
      <w:r>
        <w:rPr>
          <w:rFonts w:hint="eastAsia"/>
          <w:sz w:val="24"/>
        </w:rPr>
        <w:t>竖井、水闸及边坡</w:t>
      </w:r>
      <w:r>
        <w:rPr>
          <w:sz w:val="24"/>
        </w:rPr>
        <w:t>的附近，对施工期便开始进行数据采集，并通过无线传输</w:t>
      </w:r>
      <w:r>
        <w:rPr>
          <w:rFonts w:hint="eastAsia"/>
          <w:sz w:val="24"/>
        </w:rPr>
        <w:t>或人工录入数据</w:t>
      </w:r>
      <w:r>
        <w:rPr>
          <w:sz w:val="24"/>
        </w:rPr>
        <w:t>至</w:t>
      </w:r>
      <w:r>
        <w:rPr>
          <w:rFonts w:hint="eastAsia"/>
          <w:sz w:val="24"/>
        </w:rPr>
        <w:t>监测管理</w:t>
      </w:r>
      <w:r>
        <w:rPr>
          <w:sz w:val="24"/>
        </w:rPr>
        <w:t>中心站。</w:t>
      </w:r>
    </w:p>
    <w:p>
      <w:pPr>
        <w:pStyle w:val="200"/>
        <w:snapToGrid w:val="0"/>
        <w:spacing w:line="500" w:lineRule="atLeast"/>
        <w:ind w:left="0" w:leftChars="0" w:right="0" w:rightChars="0" w:firstLine="480" w:firstLineChars="200"/>
        <w:rPr>
          <w:sz w:val="24"/>
        </w:rPr>
      </w:pPr>
      <w:r>
        <w:rPr>
          <w:sz w:val="24"/>
        </w:rPr>
        <w:t>施工期自动化监测除需具备监测自动化系统以上功能及应用外，还应具有以下特点：</w:t>
      </w:r>
    </w:p>
    <w:p>
      <w:pPr>
        <w:pStyle w:val="200"/>
        <w:numPr>
          <w:ilvl w:val="0"/>
          <w:numId w:val="9"/>
        </w:numPr>
        <w:snapToGrid w:val="0"/>
        <w:spacing w:line="500" w:lineRule="atLeast"/>
        <w:ind w:left="426" w:leftChars="0" w:right="0" w:rightChars="0" w:firstLine="0"/>
        <w:rPr>
          <w:sz w:val="24"/>
        </w:rPr>
      </w:pPr>
      <w:r>
        <w:rPr>
          <w:sz w:val="24"/>
        </w:rPr>
        <w:t>施工期自动化</w:t>
      </w:r>
      <w:r>
        <w:rPr>
          <w:rFonts w:hint="eastAsia"/>
          <w:sz w:val="24"/>
        </w:rPr>
        <w:t>采集</w:t>
      </w:r>
      <w:r>
        <w:rPr>
          <w:sz w:val="24"/>
        </w:rPr>
        <w:t>系统要求能够可靠、稳定地运行，具有完善的数据备份、恢复等功能；</w:t>
      </w:r>
    </w:p>
    <w:p>
      <w:pPr>
        <w:pStyle w:val="200"/>
        <w:numPr>
          <w:ilvl w:val="0"/>
          <w:numId w:val="9"/>
        </w:numPr>
        <w:snapToGrid w:val="0"/>
        <w:spacing w:line="500" w:lineRule="atLeast"/>
        <w:ind w:left="426" w:leftChars="0" w:right="0" w:rightChars="0" w:firstLine="0"/>
        <w:rPr>
          <w:sz w:val="24"/>
        </w:rPr>
      </w:pPr>
      <w:r>
        <w:rPr>
          <w:sz w:val="24"/>
        </w:rPr>
        <w:t>现场采集设备机箱附属设备少，安装简单，移动性强，模块与模块之间的互换性好；</w:t>
      </w:r>
    </w:p>
    <w:p>
      <w:pPr>
        <w:pStyle w:val="200"/>
        <w:numPr>
          <w:ilvl w:val="0"/>
          <w:numId w:val="9"/>
        </w:numPr>
        <w:snapToGrid w:val="0"/>
        <w:spacing w:line="500" w:lineRule="atLeast"/>
        <w:ind w:left="426" w:leftChars="0" w:right="0" w:rightChars="0" w:firstLine="0"/>
        <w:rPr>
          <w:sz w:val="24"/>
        </w:rPr>
      </w:pPr>
      <w:r>
        <w:rPr>
          <w:rFonts w:hint="eastAsia"/>
          <w:sz w:val="24"/>
        </w:rPr>
        <w:t>采用电池</w:t>
      </w:r>
      <w:r>
        <w:rPr>
          <w:sz w:val="24"/>
        </w:rPr>
        <w:t>供电；</w:t>
      </w:r>
    </w:p>
    <w:p>
      <w:pPr>
        <w:pStyle w:val="200"/>
        <w:numPr>
          <w:ilvl w:val="0"/>
          <w:numId w:val="9"/>
        </w:numPr>
        <w:snapToGrid w:val="0"/>
        <w:spacing w:line="500" w:lineRule="atLeast"/>
        <w:ind w:left="426" w:leftChars="0" w:right="0" w:rightChars="0" w:firstLine="0"/>
        <w:rPr>
          <w:sz w:val="24"/>
        </w:rPr>
      </w:pPr>
      <w:r>
        <w:rPr>
          <w:sz w:val="24"/>
        </w:rPr>
        <w:t>可以进行</w:t>
      </w:r>
      <w:r>
        <w:rPr>
          <w:rFonts w:hint="eastAsia"/>
          <w:sz w:val="24"/>
        </w:rPr>
        <w:t>无线传输</w:t>
      </w:r>
      <w:r>
        <w:rPr>
          <w:sz w:val="24"/>
        </w:rPr>
        <w:t>。</w:t>
      </w:r>
    </w:p>
    <w:p>
      <w:pPr>
        <w:pStyle w:val="200"/>
        <w:numPr>
          <w:ilvl w:val="0"/>
          <w:numId w:val="9"/>
        </w:numPr>
        <w:snapToGrid w:val="0"/>
        <w:spacing w:line="500" w:lineRule="atLeast"/>
        <w:ind w:left="426" w:leftChars="0" w:right="0" w:rightChars="0" w:firstLine="0"/>
        <w:rPr>
          <w:sz w:val="24"/>
        </w:rPr>
      </w:pPr>
      <w:r>
        <w:rPr>
          <w:sz w:val="24"/>
        </w:rPr>
        <w:t>能适应野外露天、潮湿等恶劣环境，具有良好的防感应雷击和抗电磁干扰能力。</w:t>
      </w:r>
    </w:p>
    <w:p>
      <w:pPr>
        <w:pStyle w:val="200"/>
        <w:snapToGrid w:val="0"/>
        <w:spacing w:line="500" w:lineRule="atLeast"/>
        <w:ind w:left="0" w:leftChars="0" w:right="0" w:rightChars="0" w:firstLine="480" w:firstLineChars="200"/>
        <w:rPr>
          <w:sz w:val="24"/>
        </w:rPr>
      </w:pPr>
      <w:r>
        <w:rPr>
          <w:sz w:val="24"/>
        </w:rPr>
        <w:t>因此，施工期需要对自动化监测数据采集装置(MCU、光纤光栅解调仪) 采用蓄电池进行供电。施工期自动化监测系统数据传输需采用无线传输方式</w:t>
      </w:r>
      <w:r>
        <w:rPr>
          <w:rFonts w:hint="eastAsia"/>
          <w:sz w:val="24"/>
        </w:rPr>
        <w:t>发送</w:t>
      </w:r>
      <w:bookmarkStart w:id="74" w:name="_Hlk118798404"/>
      <w:r>
        <w:rPr>
          <w:rFonts w:hint="eastAsia"/>
          <w:sz w:val="24"/>
        </w:rPr>
        <w:t>或人工录入数据</w:t>
      </w:r>
      <w:bookmarkEnd w:id="74"/>
      <w:r>
        <w:rPr>
          <w:sz w:val="24"/>
        </w:rPr>
        <w:t>至本地及</w:t>
      </w:r>
      <w:r>
        <w:rPr>
          <w:rFonts w:hint="eastAsia"/>
          <w:sz w:val="24"/>
        </w:rPr>
        <w:t>监测</w:t>
      </w:r>
      <w:r>
        <w:rPr>
          <w:sz w:val="24"/>
        </w:rPr>
        <w:t>管理中心站</w:t>
      </w:r>
      <w:r>
        <w:rPr>
          <w:rFonts w:hint="eastAsia"/>
          <w:sz w:val="24"/>
        </w:rPr>
        <w:t>，本地</w:t>
      </w:r>
      <w:r>
        <w:rPr>
          <w:sz w:val="24"/>
        </w:rPr>
        <w:t>和监测管理中心站均配置</w:t>
      </w:r>
      <w:r>
        <w:rPr>
          <w:rFonts w:hint="eastAsia"/>
          <w:sz w:val="24"/>
        </w:rPr>
        <w:t>数据采集、</w:t>
      </w:r>
      <w:r>
        <w:rPr>
          <w:sz w:val="24"/>
        </w:rPr>
        <w:t>整编</w:t>
      </w:r>
      <w:r>
        <w:rPr>
          <w:rFonts w:hint="eastAsia"/>
          <w:sz w:val="24"/>
        </w:rPr>
        <w:t>及</w:t>
      </w:r>
      <w:r>
        <w:rPr>
          <w:sz w:val="24"/>
        </w:rPr>
        <w:t>分析</w:t>
      </w:r>
      <w:r>
        <w:rPr>
          <w:rFonts w:hint="eastAsia"/>
          <w:sz w:val="24"/>
        </w:rPr>
        <w:t>软件，</w:t>
      </w:r>
      <w:r>
        <w:rPr>
          <w:sz w:val="24"/>
        </w:rPr>
        <w:t>保证安全监测数据能够及时查询、本地可验证、</w:t>
      </w:r>
      <w:r>
        <w:rPr>
          <w:rFonts w:hint="eastAsia"/>
          <w:sz w:val="24"/>
        </w:rPr>
        <w:t>避免数据丢失</w:t>
      </w:r>
      <w:r>
        <w:rPr>
          <w:sz w:val="24"/>
        </w:rPr>
        <w:t>的风险。</w:t>
      </w:r>
      <w:r>
        <w:rPr>
          <w:rFonts w:hint="eastAsia"/>
          <w:sz w:val="24"/>
          <w:highlight w:val="none"/>
        </w:rPr>
        <w:t>每支仪器安装后，即开始在监测信息管理平台进行测点创建，并将观测资料同步录入，做好仪器全生命周期管理。</w:t>
      </w:r>
      <w:r>
        <w:rPr>
          <w:sz w:val="24"/>
        </w:rPr>
        <w:t>安全监测系统</w:t>
      </w:r>
      <w:r>
        <w:rPr>
          <w:rFonts w:hint="eastAsia"/>
          <w:sz w:val="24"/>
        </w:rPr>
        <w:t>数据</w:t>
      </w:r>
      <w:r>
        <w:rPr>
          <w:sz w:val="24"/>
        </w:rPr>
        <w:t>传输</w:t>
      </w:r>
      <w:r>
        <w:rPr>
          <w:rFonts w:hint="eastAsia"/>
          <w:sz w:val="24"/>
        </w:rPr>
        <w:t>应</w:t>
      </w:r>
      <w:r>
        <w:rPr>
          <w:sz w:val="24"/>
        </w:rPr>
        <w:t>具有无线通讯</w:t>
      </w:r>
      <w:r>
        <w:rPr>
          <w:rFonts w:hint="eastAsia"/>
          <w:sz w:val="24"/>
        </w:rPr>
        <w:t>、</w:t>
      </w:r>
      <w:r>
        <w:rPr>
          <w:sz w:val="24"/>
        </w:rPr>
        <w:t>低功耗</w:t>
      </w:r>
      <w:r>
        <w:rPr>
          <w:rFonts w:hint="eastAsia"/>
          <w:sz w:val="24"/>
        </w:rPr>
        <w:t>、</w:t>
      </w:r>
      <w:r>
        <w:rPr>
          <w:sz w:val="24"/>
        </w:rPr>
        <w:t>传输距离远</w:t>
      </w:r>
      <w:r>
        <w:rPr>
          <w:rFonts w:hint="eastAsia"/>
          <w:sz w:val="24"/>
        </w:rPr>
        <w:t>、</w:t>
      </w:r>
      <w:r>
        <w:rPr>
          <w:sz w:val="24"/>
        </w:rPr>
        <w:t>接受灵敏</w:t>
      </w:r>
      <w:r>
        <w:rPr>
          <w:rFonts w:hint="eastAsia"/>
          <w:sz w:val="24"/>
        </w:rPr>
        <w:t>、</w:t>
      </w:r>
      <w:r>
        <w:rPr>
          <w:sz w:val="24"/>
        </w:rPr>
        <w:t>抗干扰能力强等特点</w:t>
      </w:r>
      <w:r>
        <w:rPr>
          <w:rFonts w:hint="eastAsia"/>
          <w:sz w:val="24"/>
        </w:rPr>
        <w:t>。</w:t>
      </w:r>
    </w:p>
    <w:p>
      <w:pPr>
        <w:pStyle w:val="200"/>
        <w:snapToGrid w:val="0"/>
        <w:spacing w:line="500" w:lineRule="atLeast"/>
        <w:ind w:left="0" w:leftChars="0" w:right="0" w:rightChars="0" w:firstLine="480" w:firstLineChars="200"/>
        <w:rPr>
          <w:sz w:val="24"/>
        </w:rPr>
      </w:pPr>
      <w:r>
        <w:rPr>
          <w:rFonts w:hint="eastAsia"/>
          <w:sz w:val="24"/>
        </w:rPr>
        <w:t>（2）</w:t>
      </w:r>
      <w:r>
        <w:rPr>
          <w:sz w:val="24"/>
        </w:rPr>
        <w:t>永久监测站</w:t>
      </w:r>
    </w:p>
    <w:p>
      <w:pPr>
        <w:pStyle w:val="200"/>
        <w:snapToGrid w:val="0"/>
        <w:spacing w:line="500" w:lineRule="atLeast"/>
        <w:ind w:left="0" w:leftChars="0" w:right="0" w:rightChars="0" w:firstLine="480" w:firstLineChars="200"/>
        <w:rPr>
          <w:sz w:val="24"/>
        </w:rPr>
      </w:pPr>
      <w:r>
        <w:rPr>
          <w:sz w:val="24"/>
        </w:rPr>
        <w:t>在</w:t>
      </w:r>
      <w:r>
        <w:rPr>
          <w:rFonts w:hint="eastAsia"/>
          <w:sz w:val="24"/>
        </w:rPr>
        <w:t>竖井、水闸及</w:t>
      </w:r>
      <w:r>
        <w:rPr>
          <w:sz w:val="24"/>
        </w:rPr>
        <w:t>交通隧洞设置监测站，</w:t>
      </w:r>
      <w:r>
        <w:rPr>
          <w:rFonts w:hint="eastAsia"/>
          <w:sz w:val="24"/>
        </w:rPr>
        <w:t>竖井、水闸及</w:t>
      </w:r>
      <w:r>
        <w:rPr>
          <w:sz w:val="24"/>
        </w:rPr>
        <w:t>交通隧洞附近的监测仪器均接入</w:t>
      </w:r>
      <w:r>
        <w:rPr>
          <w:rFonts w:hint="eastAsia"/>
          <w:sz w:val="24"/>
        </w:rPr>
        <w:t>就近</w:t>
      </w:r>
      <w:r>
        <w:rPr>
          <w:sz w:val="24"/>
        </w:rPr>
        <w:t>的数据采集装置；输水隧洞监测断面的监测仪器线缆在管片内侧或衬砌混凝土内进行引线，引至就近的工作井、隧洞进出口或检修支洞监测站内的数据采集装置(MCU</w:t>
      </w:r>
      <w:r>
        <w:rPr>
          <w:rFonts w:hint="eastAsia"/>
          <w:sz w:val="24"/>
        </w:rPr>
        <w:t>和</w:t>
      </w:r>
      <w:r>
        <w:rPr>
          <w:sz w:val="24"/>
        </w:rPr>
        <w:t>光纤光栅解调仪)</w:t>
      </w:r>
      <w:r>
        <w:rPr>
          <w:rFonts w:hint="eastAsia"/>
          <w:sz w:val="24"/>
        </w:rPr>
        <w:t>。数据采集</w:t>
      </w:r>
      <w:r>
        <w:rPr>
          <w:sz w:val="24"/>
        </w:rPr>
        <w:t>装置后期与通讯主光缆连接传输</w:t>
      </w:r>
      <w:r>
        <w:rPr>
          <w:rFonts w:hint="eastAsia"/>
          <w:sz w:val="24"/>
        </w:rPr>
        <w:t>结合</w:t>
      </w:r>
      <w:r>
        <w:rPr>
          <w:sz w:val="24"/>
        </w:rPr>
        <w:t>无线传输至</w:t>
      </w:r>
      <w:r>
        <w:rPr>
          <w:rFonts w:hint="eastAsia"/>
          <w:sz w:val="24"/>
        </w:rPr>
        <w:t>监测</w:t>
      </w:r>
      <w:r>
        <w:rPr>
          <w:sz w:val="24"/>
        </w:rPr>
        <w:t>管理中心站。</w:t>
      </w:r>
      <w:r>
        <w:rPr>
          <w:rFonts w:hint="eastAsia"/>
          <w:sz w:val="24"/>
        </w:rPr>
        <w:t>监测</w:t>
      </w:r>
      <w:r>
        <w:rPr>
          <w:sz w:val="24"/>
        </w:rPr>
        <w:t>管理中心站的设备可实现监测数据的远程、向上级管理部门传输和控制。</w:t>
      </w:r>
    </w:p>
    <w:p>
      <w:pPr>
        <w:spacing w:line="500" w:lineRule="atLeast"/>
        <w:rPr>
          <w:kern w:val="0"/>
          <w:sz w:val="24"/>
        </w:rPr>
      </w:pPr>
    </w:p>
    <w:p>
      <w:pPr>
        <w:pStyle w:val="6"/>
      </w:pPr>
      <w:r>
        <w:rPr>
          <w:rFonts w:hint="eastAsia"/>
        </w:rPr>
        <w:t xml:space="preserve">1.3.12.2 </w:t>
      </w:r>
      <w:r>
        <w:t xml:space="preserve"> </w:t>
      </w:r>
      <w:r>
        <w:rPr>
          <w:rFonts w:hint="eastAsia"/>
        </w:rPr>
        <w:t>监测自动化系统网络</w:t>
      </w:r>
    </w:p>
    <w:p>
      <w:pPr>
        <w:pStyle w:val="200"/>
        <w:snapToGrid w:val="0"/>
        <w:spacing w:line="500" w:lineRule="atLeast"/>
        <w:ind w:left="0" w:leftChars="0" w:right="0" w:rightChars="0" w:firstLine="480" w:firstLineChars="200"/>
        <w:rPr>
          <w:sz w:val="24"/>
        </w:rPr>
      </w:pPr>
      <w:r>
        <w:rPr>
          <w:rFonts w:hint="eastAsia"/>
          <w:sz w:val="24"/>
        </w:rPr>
        <w:t>根据韩江榕江练江水系连通后续优化工程总体布置，以及监测自动化仪器设备的工作特点和要求，本工程安全监测自动化系统主要由数据自动采集系统、通信系统和安全监测智能管理系统等三部分组成。</w:t>
      </w:r>
      <w:r>
        <w:rPr>
          <w:sz w:val="24"/>
        </w:rPr>
        <w:t>系统采用分布式、多级连接的网络结构型式。分布式自动化数据采集装置设在各测点集中部位，</w:t>
      </w:r>
      <w:r>
        <w:rPr>
          <w:rFonts w:hint="eastAsia"/>
          <w:sz w:val="24"/>
        </w:rPr>
        <w:t>采用以太网结构形式组网，</w:t>
      </w:r>
      <w:r>
        <w:rPr>
          <w:sz w:val="24"/>
        </w:rPr>
        <w:t>实现“无人值班、少人值守”的管理模式。</w:t>
      </w:r>
      <w:r>
        <w:rPr>
          <w:rFonts w:hint="eastAsia"/>
          <w:sz w:val="24"/>
        </w:rPr>
        <w:t>现场监测站与监测管理中心站之间，采用光纤通讯结合无线传输，实现异地远程数据通信与管理。</w:t>
      </w:r>
    </w:p>
    <w:p>
      <w:pPr>
        <w:spacing w:line="500" w:lineRule="atLeast"/>
        <w:ind w:firstLine="420"/>
        <w:rPr>
          <w:sz w:val="24"/>
        </w:rPr>
      </w:pPr>
      <w:r>
        <w:rPr>
          <w:rFonts w:hint="eastAsia"/>
          <w:sz w:val="24"/>
        </w:rPr>
        <w:t>本工程安全监测系统现场通讯介质采用光缆、双绞屏蔽电缆混合方式进行联接(即各观测站数据检测单元之间及数据检测单元与监测管理中心站计算机之间的连接)。传输距离较远、电磁干扰较重以及可能遭受雷击的线路应采用光缆；传输距离短、电磁干扰小的线路可采用屏蔽通讯电缆。具体要求如下：</w:t>
      </w:r>
    </w:p>
    <w:p>
      <w:pPr>
        <w:pStyle w:val="200"/>
        <w:snapToGrid w:val="0"/>
        <w:spacing w:line="500" w:lineRule="atLeast"/>
        <w:ind w:left="0" w:leftChars="0" w:right="0" w:rightChars="0" w:firstLine="480" w:firstLineChars="200"/>
        <w:rPr>
          <w:sz w:val="24"/>
        </w:rPr>
      </w:pPr>
      <w:r>
        <w:rPr>
          <w:rFonts w:hint="eastAsia"/>
          <w:sz w:val="24"/>
        </w:rPr>
        <w:t>（1）现场各测站(数据采集装置)与监测管理中心之间均采用光缆通讯结合无线传输。</w:t>
      </w:r>
    </w:p>
    <w:p>
      <w:pPr>
        <w:pStyle w:val="200"/>
        <w:snapToGrid w:val="0"/>
        <w:spacing w:line="500" w:lineRule="atLeast"/>
        <w:ind w:left="0" w:leftChars="0" w:right="0" w:rightChars="0" w:firstLine="480" w:firstLineChars="200"/>
        <w:rPr>
          <w:sz w:val="24"/>
        </w:rPr>
      </w:pPr>
      <w:r>
        <w:rPr>
          <w:rFonts w:hint="eastAsia"/>
          <w:sz w:val="24"/>
        </w:rPr>
        <w:t>通讯光缆的敷设方式和工程量纳入韩江榕江练江水系连通后续优化工程自动化控制系统统筹安排(即在工程自动化控制系统线路设计时，预留工程安全监测现场通讯光缆通道)。</w:t>
      </w:r>
    </w:p>
    <w:p>
      <w:pPr>
        <w:pStyle w:val="200"/>
        <w:snapToGrid w:val="0"/>
        <w:spacing w:line="500" w:lineRule="atLeast"/>
        <w:ind w:left="0" w:leftChars="0" w:right="0" w:rightChars="0" w:firstLine="480" w:firstLineChars="200"/>
        <w:rPr>
          <w:sz w:val="24"/>
        </w:rPr>
      </w:pPr>
      <w:r>
        <w:rPr>
          <w:rFonts w:hint="eastAsia"/>
          <w:sz w:val="24"/>
        </w:rPr>
        <w:t>（2）数据采集装置应根据现场采用通讯介质(光缆或双绞屏蔽电缆)进行配置。采用双绞屏蔽电缆作为通讯介质时，采用标准配置；采用光缆作为通讯介质时，应在采用标准配置的基础上，增配交换机(光缆接口)和4G路由器。</w:t>
      </w:r>
    </w:p>
    <w:p>
      <w:pPr>
        <w:pStyle w:val="200"/>
        <w:snapToGrid w:val="0"/>
        <w:spacing w:line="500" w:lineRule="atLeast"/>
        <w:ind w:left="0" w:leftChars="0" w:right="0" w:rightChars="0" w:firstLine="480" w:firstLineChars="200"/>
        <w:rPr>
          <w:sz w:val="24"/>
        </w:rPr>
      </w:pPr>
      <w:r>
        <w:rPr>
          <w:rFonts w:hint="eastAsia"/>
          <w:sz w:val="24"/>
        </w:rPr>
        <w:t>本工程建成后的监测自动化系统网络结构图详见图1.3-1。</w:t>
      </w:r>
      <w:r>
        <w:drawing>
          <wp:inline distT="0" distB="0" distL="114300" distR="114300">
            <wp:extent cx="5286375" cy="3068955"/>
            <wp:effectExtent l="0" t="0" r="952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86375" cy="3068955"/>
                    </a:xfrm>
                    <a:prstGeom prst="rect">
                      <a:avLst/>
                    </a:prstGeom>
                    <a:noFill/>
                    <a:ln>
                      <a:noFill/>
                    </a:ln>
                  </pic:spPr>
                </pic:pic>
              </a:graphicData>
            </a:graphic>
          </wp:inline>
        </w:drawing>
      </w:r>
    </w:p>
    <w:p>
      <w:pPr>
        <w:pStyle w:val="200"/>
        <w:snapToGrid w:val="0"/>
        <w:spacing w:line="500" w:lineRule="atLeast"/>
        <w:ind w:left="0" w:leftChars="0" w:right="0" w:rightChars="0"/>
        <w:jc w:val="center"/>
        <w:rPr>
          <w:sz w:val="24"/>
          <w:lang w:val="zh-CN"/>
        </w:rPr>
      </w:pPr>
      <w:r>
        <w:rPr>
          <w:rFonts w:hint="eastAsia"/>
          <w:sz w:val="24"/>
          <w:lang w:val="zh-CN"/>
        </w:rPr>
        <w:t>图</w:t>
      </w:r>
      <w:r>
        <w:rPr>
          <w:rFonts w:hint="eastAsia"/>
          <w:sz w:val="24"/>
        </w:rPr>
        <w:t xml:space="preserve">1.3-1  </w:t>
      </w:r>
      <w:r>
        <w:rPr>
          <w:rFonts w:hint="eastAsia"/>
          <w:sz w:val="24"/>
          <w:lang w:val="zh-CN"/>
        </w:rPr>
        <w:t>监测自动化系统网络图</w:t>
      </w:r>
    </w:p>
    <w:p>
      <w:pPr>
        <w:spacing w:line="500" w:lineRule="atLeast"/>
        <w:ind w:firstLine="480"/>
        <w:rPr>
          <w:kern w:val="0"/>
          <w:sz w:val="24"/>
        </w:rPr>
      </w:pPr>
    </w:p>
    <w:p>
      <w:pPr>
        <w:pStyle w:val="6"/>
      </w:pPr>
      <w:r>
        <w:t>1.3.</w:t>
      </w:r>
      <w:r>
        <w:rPr>
          <w:rFonts w:hint="eastAsia"/>
        </w:rPr>
        <w:t>12</w:t>
      </w:r>
      <w:r>
        <w:t xml:space="preserve">.3  </w:t>
      </w:r>
      <w:r>
        <w:rPr>
          <w:rFonts w:hint="eastAsia"/>
        </w:rPr>
        <w:t>主要技术性能</w:t>
      </w:r>
    </w:p>
    <w:p>
      <w:pPr>
        <w:pStyle w:val="200"/>
        <w:snapToGrid w:val="0"/>
        <w:spacing w:line="500" w:lineRule="atLeast"/>
        <w:ind w:left="0" w:leftChars="0" w:right="0" w:rightChars="0" w:firstLine="480" w:firstLineChars="200"/>
        <w:rPr>
          <w:sz w:val="24"/>
        </w:rPr>
      </w:pPr>
      <w:r>
        <w:rPr>
          <w:rFonts w:hint="eastAsia"/>
          <w:sz w:val="24"/>
        </w:rPr>
        <w:t>由于技术发展较快，可靠性和通用性要求不断提高，并且有关数据采集装置、计算机设备和软件的不断升级是必然趋势，因此监测自动化系统设备选择主流配置，并兼顾升级的需求。</w:t>
      </w:r>
    </w:p>
    <w:p>
      <w:pPr>
        <w:pStyle w:val="200"/>
        <w:snapToGrid w:val="0"/>
        <w:spacing w:line="500" w:lineRule="atLeast"/>
        <w:ind w:left="0" w:leftChars="0" w:right="0" w:rightChars="0" w:firstLine="480" w:firstLineChars="200"/>
        <w:rPr>
          <w:sz w:val="24"/>
        </w:rPr>
      </w:pPr>
      <w:r>
        <w:rPr>
          <w:rFonts w:hint="eastAsia"/>
          <w:sz w:val="24"/>
        </w:rPr>
        <w:t xml:space="preserve">（1）可靠性要求：监测自动化系统能适应水工建筑物的恶劣环境，具有可靠的防雷保护措施。数据采集要求准确可靠，具有人工监测的接口，可以保证在任何情况下都不会丢失监测数据。 </w:t>
      </w:r>
    </w:p>
    <w:p>
      <w:pPr>
        <w:pStyle w:val="200"/>
        <w:snapToGrid w:val="0"/>
        <w:spacing w:line="500" w:lineRule="atLeast"/>
        <w:ind w:left="0" w:leftChars="0" w:right="0" w:rightChars="0" w:firstLine="480" w:firstLineChars="200"/>
        <w:rPr>
          <w:sz w:val="24"/>
        </w:rPr>
      </w:pPr>
      <w:r>
        <w:rPr>
          <w:rFonts w:hint="eastAsia"/>
          <w:sz w:val="24"/>
        </w:rPr>
        <w:t>（2）通用性要求：监测仪器的种类多，工作原理各不相同。自动化系统能较好地适应这些复杂的接口要求，保证各种监测仪器都能方便而有效地与自动化系统连接。</w:t>
      </w:r>
    </w:p>
    <w:p>
      <w:pPr>
        <w:pStyle w:val="200"/>
        <w:snapToGrid w:val="0"/>
        <w:spacing w:line="500" w:lineRule="atLeast"/>
        <w:ind w:left="0" w:leftChars="0" w:right="0" w:rightChars="0" w:firstLine="480" w:firstLineChars="200"/>
        <w:rPr>
          <w:sz w:val="24"/>
        </w:rPr>
      </w:pPr>
      <w:r>
        <w:rPr>
          <w:rFonts w:hint="eastAsia"/>
          <w:sz w:val="24"/>
        </w:rPr>
        <w:t>（3）先进性要求：计算机技术、电子技术和通讯技术发展很快，自动化系统必须充分考虑技术的先进性和将来系统更新换代的兼容性，具有较强的自诊断能力，能够自动查出系统故障并发出信息，便于维修和更换。</w:t>
      </w:r>
    </w:p>
    <w:p>
      <w:pPr>
        <w:pStyle w:val="200"/>
        <w:snapToGrid w:val="0"/>
        <w:spacing w:line="500" w:lineRule="atLeast"/>
        <w:ind w:left="0" w:leftChars="0" w:right="0" w:rightChars="0" w:firstLine="480" w:firstLineChars="200"/>
        <w:jc w:val="both"/>
        <w:rPr>
          <w:sz w:val="24"/>
        </w:rPr>
      </w:pPr>
      <w:r>
        <w:rPr>
          <w:rFonts w:hint="eastAsia"/>
          <w:sz w:val="24"/>
        </w:rPr>
        <w:t>（4）开放性：安全监测仪器设备种类繁多，原理各不相同，输出大多为非标信号，造成接入自动化系统困难。因此，除了要求自动化数据采集装置必须尽量适应各类传感器输出信号的接入外，还要求接入自动化系统的监测仪器其技术指标应满足《土石坝安全监测技术规范》（SL551-2012）、《混凝土坝安全监测技术规范》</w:t>
      </w:r>
      <w:r>
        <w:rPr>
          <w:rFonts w:hint="eastAsia"/>
        </w:rPr>
        <w:fldChar w:fldCharType="begin"/>
      </w:r>
      <w:r>
        <w:instrText xml:space="preserve"> HYPERLINK "http://www.baidu.com/link?url=P9NvSqTkrLDqo3p9sr1-ToI-SCeFpSjpD4jFVRr4SSGWhJ6-fEVJhGBsULr_Vu_k" \t "_blank" </w:instrText>
      </w:r>
      <w:r>
        <w:rPr>
          <w:rFonts w:hint="eastAsia"/>
        </w:rPr>
        <w:fldChar w:fldCharType="separate"/>
      </w:r>
      <w:r>
        <w:rPr>
          <w:rFonts w:hint="eastAsia"/>
          <w:sz w:val="24"/>
        </w:rPr>
        <w:t>(SL601-2013)</w:t>
      </w:r>
      <w:r>
        <w:rPr>
          <w:rFonts w:hint="eastAsia"/>
          <w:sz w:val="24"/>
        </w:rPr>
        <w:fldChar w:fldCharType="end"/>
      </w:r>
      <w:r>
        <w:rPr>
          <w:rFonts w:hint="eastAsia"/>
          <w:sz w:val="24"/>
        </w:rPr>
        <w:t>和</w:t>
      </w:r>
      <w:r>
        <w:rPr>
          <w:rFonts w:eastAsiaTheme="minorEastAsia"/>
          <w:sz w:val="24"/>
        </w:rPr>
        <w:t>《大坝安全</w:t>
      </w:r>
      <w:r>
        <w:rPr>
          <w:rFonts w:hint="eastAsia" w:eastAsiaTheme="minorEastAsia"/>
          <w:sz w:val="24"/>
        </w:rPr>
        <w:t>自动监测系统设备基本技术条件</w:t>
      </w:r>
      <w:r>
        <w:rPr>
          <w:rFonts w:eastAsiaTheme="minorEastAsia"/>
          <w:sz w:val="24"/>
        </w:rPr>
        <w:t>》</w:t>
      </w:r>
      <w:r>
        <w:rPr>
          <w:rFonts w:hint="eastAsia"/>
          <w:sz w:val="24"/>
        </w:rPr>
        <w:t>（</w:t>
      </w:r>
      <w:r>
        <w:rPr>
          <w:rFonts w:hint="eastAsia" w:eastAsiaTheme="minorEastAsia"/>
          <w:sz w:val="24"/>
        </w:rPr>
        <w:t>S</w:t>
      </w:r>
      <w:r>
        <w:rPr>
          <w:rFonts w:eastAsiaTheme="minorEastAsia"/>
          <w:sz w:val="24"/>
        </w:rPr>
        <w:t>L</w:t>
      </w:r>
      <w:r>
        <w:rPr>
          <w:rFonts w:hint="eastAsia" w:eastAsiaTheme="minorEastAsia"/>
          <w:sz w:val="24"/>
        </w:rPr>
        <w:t>268</w:t>
      </w:r>
      <w:r>
        <w:rPr>
          <w:rFonts w:eastAsiaTheme="minorEastAsia"/>
          <w:sz w:val="24"/>
        </w:rPr>
        <w:t>-20</w:t>
      </w:r>
      <w:r>
        <w:rPr>
          <w:rFonts w:hint="eastAsia" w:eastAsiaTheme="minorEastAsia"/>
          <w:sz w:val="24"/>
        </w:rPr>
        <w:t>01</w:t>
      </w:r>
      <w:r>
        <w:rPr>
          <w:rFonts w:hint="eastAsia"/>
          <w:sz w:val="24"/>
        </w:rPr>
        <w:t>）的要求，并符合国家计量法的规定。其输出信号的软硬件标准应开放，以便于自动化系统的集成组网，形成统一的系统。这样将有利于设计人员根据各生产厂商特点进行设计选型，避免中心站设备的重复配置，也有利于业主对自动化系统运行管理以及以后进行必要的系统升级。</w:t>
      </w:r>
    </w:p>
    <w:p>
      <w:pPr>
        <w:pStyle w:val="200"/>
        <w:snapToGrid w:val="0"/>
        <w:spacing w:line="500" w:lineRule="atLeast"/>
        <w:ind w:left="0" w:leftChars="0" w:right="0" w:rightChars="0" w:firstLine="480" w:firstLineChars="200"/>
        <w:jc w:val="both"/>
        <w:rPr>
          <w:sz w:val="24"/>
        </w:rPr>
      </w:pPr>
    </w:p>
    <w:p>
      <w:pPr>
        <w:pStyle w:val="6"/>
      </w:pPr>
      <w:r>
        <w:rPr>
          <w:rFonts w:hint="eastAsia"/>
        </w:rPr>
        <w:t xml:space="preserve">1.3.12.4 </w:t>
      </w:r>
      <w:r>
        <w:t xml:space="preserve"> </w:t>
      </w:r>
      <w:r>
        <w:rPr>
          <w:rFonts w:hint="eastAsia"/>
        </w:rPr>
        <w:t>工作方式</w:t>
      </w:r>
    </w:p>
    <w:p>
      <w:pPr>
        <w:pStyle w:val="200"/>
        <w:snapToGrid w:val="0"/>
        <w:spacing w:line="500" w:lineRule="atLeast"/>
        <w:ind w:left="0" w:leftChars="0" w:right="0" w:rightChars="0" w:firstLine="480" w:firstLineChars="200"/>
        <w:rPr>
          <w:sz w:val="24"/>
        </w:rPr>
      </w:pPr>
      <w:r>
        <w:rPr>
          <w:rFonts w:hint="eastAsia"/>
          <w:sz w:val="24"/>
        </w:rPr>
        <w:t>安全监测自动化监测数据采集方式分为人工采集、半自动采集、自动采集和远程控制。</w:t>
      </w:r>
    </w:p>
    <w:p>
      <w:pPr>
        <w:pStyle w:val="200"/>
        <w:snapToGrid w:val="0"/>
        <w:spacing w:line="500" w:lineRule="atLeast"/>
        <w:ind w:left="0" w:leftChars="0" w:right="0" w:rightChars="0" w:firstLine="480" w:firstLineChars="200"/>
        <w:rPr>
          <w:sz w:val="24"/>
        </w:rPr>
      </w:pPr>
      <w:r>
        <w:rPr>
          <w:rFonts w:hint="eastAsia"/>
          <w:sz w:val="24"/>
        </w:rPr>
        <w:t xml:space="preserve">人工采集：人工采集的对象为只能人工监测的项目和需要用人工方法作为对比的监测项目；通过人工采集方式获得的原始数据，均应及时输入安全监测自动化系统的相关数据库。 </w:t>
      </w:r>
    </w:p>
    <w:p>
      <w:pPr>
        <w:pStyle w:val="200"/>
        <w:snapToGrid w:val="0"/>
        <w:spacing w:line="500" w:lineRule="atLeast"/>
        <w:ind w:left="0" w:leftChars="0" w:right="0" w:rightChars="0" w:firstLine="480" w:firstLineChars="200"/>
        <w:rPr>
          <w:sz w:val="24"/>
        </w:rPr>
      </w:pPr>
      <w:r>
        <w:rPr>
          <w:rFonts w:hint="eastAsia"/>
          <w:sz w:val="24"/>
        </w:rPr>
        <w:t>半自动采集：在施工期和运行期自动化系统故障或检修的情况下，可由操作人员携带读数仪表(检测仪)或便携式电脑或LED显示键盘到现场直接读数，然后再转入安全监测自动化系统的相关数据库。</w:t>
      </w:r>
    </w:p>
    <w:p>
      <w:pPr>
        <w:pStyle w:val="200"/>
        <w:snapToGrid w:val="0"/>
        <w:spacing w:line="500" w:lineRule="atLeast"/>
        <w:ind w:left="0" w:leftChars="0" w:right="0" w:rightChars="0" w:firstLine="480" w:firstLineChars="200"/>
        <w:rPr>
          <w:sz w:val="24"/>
        </w:rPr>
      </w:pPr>
      <w:r>
        <w:rPr>
          <w:rFonts w:hint="eastAsia"/>
          <w:sz w:val="24"/>
        </w:rPr>
        <w:t>自动采集：可实现自动采集的监测项目，由操作人员在监测中心站层的监测服务器或监测工作站上，直接设置采集参数后，通过现场数据采集装置（MCU、光纤光栅解调仪）自动进行监测数据采集并传输至监测管理中心站的相关数据库。</w:t>
      </w:r>
    </w:p>
    <w:p>
      <w:pPr>
        <w:pStyle w:val="200"/>
        <w:snapToGrid w:val="0"/>
        <w:spacing w:line="500" w:lineRule="atLeast"/>
        <w:ind w:left="0" w:leftChars="0" w:right="0" w:rightChars="0" w:firstLine="480" w:firstLineChars="200"/>
        <w:rPr>
          <w:sz w:val="24"/>
        </w:rPr>
      </w:pPr>
      <w:r>
        <w:rPr>
          <w:rFonts w:hint="eastAsia"/>
          <w:sz w:val="24"/>
        </w:rPr>
        <w:t>远程控制方式：由经过允许协议的远程计算机，通过电话通信线路、计算机网络或无线通信等方式，对监测管理站设备、现场数据采集装置或监测仪器进行远程连接控制、检查和管理。</w:t>
      </w:r>
    </w:p>
    <w:p>
      <w:pPr>
        <w:pStyle w:val="200"/>
        <w:snapToGrid w:val="0"/>
        <w:spacing w:line="360" w:lineRule="auto"/>
        <w:ind w:left="0" w:leftChars="0" w:right="0" w:rightChars="0" w:firstLine="480" w:firstLineChars="200"/>
        <w:rPr>
          <w:sz w:val="24"/>
        </w:rPr>
      </w:pPr>
    </w:p>
    <w:p>
      <w:pPr>
        <w:pStyle w:val="6"/>
        <w:spacing w:line="360" w:lineRule="auto"/>
      </w:pPr>
      <w:r>
        <w:rPr>
          <w:rFonts w:hint="eastAsia"/>
        </w:rPr>
        <w:t xml:space="preserve">1.3.12.5 </w:t>
      </w:r>
      <w:r>
        <w:t xml:space="preserve"> 安全监测自动化系统功能</w:t>
      </w:r>
    </w:p>
    <w:p>
      <w:pPr>
        <w:autoSpaceDE w:val="0"/>
        <w:autoSpaceDN w:val="0"/>
        <w:adjustRightInd w:val="0"/>
        <w:snapToGrid w:val="0"/>
        <w:spacing w:line="360" w:lineRule="auto"/>
        <w:rPr>
          <w:kern w:val="0"/>
          <w:sz w:val="24"/>
        </w:rPr>
      </w:pPr>
      <w:r>
        <w:rPr>
          <w:rFonts w:hint="eastAsia"/>
          <w:kern w:val="0"/>
          <w:sz w:val="24"/>
        </w:rPr>
        <w:t>1.3.12.5.1 总体功能</w:t>
      </w:r>
    </w:p>
    <w:p>
      <w:pPr>
        <w:pStyle w:val="200"/>
        <w:snapToGrid w:val="0"/>
        <w:spacing w:line="360" w:lineRule="auto"/>
        <w:ind w:left="0" w:leftChars="0" w:right="0" w:rightChars="0" w:firstLine="480" w:firstLineChars="200"/>
        <w:rPr>
          <w:sz w:val="24"/>
        </w:rPr>
      </w:pPr>
      <w:r>
        <w:rPr>
          <w:rFonts w:hint="eastAsia"/>
          <w:sz w:val="24"/>
        </w:rPr>
        <w:t>本标段安全监测自动化系统的总体功能包括：</w:t>
      </w:r>
    </w:p>
    <w:p>
      <w:pPr>
        <w:pStyle w:val="140"/>
        <w:widowControl/>
        <w:numPr>
          <w:ilvl w:val="0"/>
          <w:numId w:val="10"/>
        </w:numPr>
        <w:tabs>
          <w:tab w:val="left" w:pos="1134"/>
        </w:tabs>
        <w:adjustRightInd w:val="0"/>
        <w:snapToGrid w:val="0"/>
        <w:spacing w:line="360" w:lineRule="auto"/>
        <w:ind w:left="0" w:firstLine="480"/>
        <w:rPr>
          <w:sz w:val="24"/>
        </w:rPr>
      </w:pPr>
      <w:r>
        <w:rPr>
          <w:sz w:val="24"/>
        </w:rPr>
        <w:t>安全监测自动化系统不但应具有采集、信息管理等全部功能，还应方便扩充和拓展，其系统数据采集网络采用总线拓扑。测控装置之间及与采集设备的连接采用无线连接、双绞线或光缆通讯方式，监测管理中心站</w:t>
      </w:r>
      <w:r>
        <w:rPr>
          <w:rFonts w:hint="eastAsia"/>
          <w:sz w:val="24"/>
        </w:rPr>
        <w:t>设在</w:t>
      </w:r>
      <w:r>
        <w:rPr>
          <w:sz w:val="24"/>
        </w:rPr>
        <w:t>工程信息管理中心内。</w:t>
      </w:r>
    </w:p>
    <w:p>
      <w:pPr>
        <w:pStyle w:val="140"/>
        <w:widowControl/>
        <w:numPr>
          <w:ilvl w:val="0"/>
          <w:numId w:val="10"/>
        </w:numPr>
        <w:tabs>
          <w:tab w:val="left" w:pos="1134"/>
        </w:tabs>
        <w:adjustRightInd w:val="0"/>
        <w:snapToGrid w:val="0"/>
        <w:spacing w:line="360" w:lineRule="auto"/>
        <w:ind w:left="0" w:firstLine="480"/>
        <w:rPr>
          <w:sz w:val="24"/>
        </w:rPr>
      </w:pPr>
      <w:r>
        <w:rPr>
          <w:sz w:val="24"/>
        </w:rPr>
        <w:t>安全监测管理信息系统软件</w:t>
      </w:r>
      <w:r>
        <w:rPr>
          <w:rFonts w:hint="eastAsia"/>
          <w:sz w:val="24"/>
        </w:rPr>
        <w:t>应按照</w:t>
      </w:r>
      <w:r>
        <w:rPr>
          <w:sz w:val="24"/>
        </w:rPr>
        <w:t>国家</w:t>
      </w:r>
      <w:r>
        <w:rPr>
          <w:rFonts w:hint="eastAsia"/>
          <w:sz w:val="24"/>
        </w:rPr>
        <w:t>、</w:t>
      </w:r>
      <w:r>
        <w:rPr>
          <w:sz w:val="24"/>
        </w:rPr>
        <w:t>行业</w:t>
      </w:r>
      <w:r>
        <w:rPr>
          <w:rFonts w:hint="eastAsia"/>
          <w:sz w:val="24"/>
        </w:rPr>
        <w:t>和本工程</w:t>
      </w:r>
      <w:r>
        <w:rPr>
          <w:sz w:val="24"/>
        </w:rPr>
        <w:t>项目的标准，</w:t>
      </w:r>
      <w:r>
        <w:rPr>
          <w:rFonts w:hint="eastAsia"/>
          <w:sz w:val="24"/>
        </w:rPr>
        <w:t>基于本</w:t>
      </w:r>
      <w:r>
        <w:rPr>
          <w:sz w:val="24"/>
        </w:rPr>
        <w:t>工程项目</w:t>
      </w:r>
      <w:r>
        <w:rPr>
          <w:rFonts w:hint="eastAsia"/>
          <w:sz w:val="24"/>
        </w:rPr>
        <w:t>信息</w:t>
      </w:r>
      <w:r>
        <w:rPr>
          <w:sz w:val="24"/>
        </w:rPr>
        <w:t>系统总体架构的要求，</w:t>
      </w:r>
      <w:r>
        <w:rPr>
          <w:rFonts w:hint="eastAsia"/>
          <w:sz w:val="24"/>
        </w:rPr>
        <w:t>满足本</w:t>
      </w:r>
      <w:r>
        <w:rPr>
          <w:sz w:val="24"/>
        </w:rPr>
        <w:t>工程</w:t>
      </w:r>
      <w:r>
        <w:rPr>
          <w:rFonts w:hint="eastAsia"/>
          <w:sz w:val="24"/>
        </w:rPr>
        <w:t>数据</w:t>
      </w:r>
      <w:r>
        <w:rPr>
          <w:sz w:val="24"/>
        </w:rPr>
        <w:t>集中</w:t>
      </w:r>
      <w:r>
        <w:rPr>
          <w:rFonts w:hint="eastAsia"/>
          <w:sz w:val="24"/>
        </w:rPr>
        <w:t>存储</w:t>
      </w:r>
      <w:r>
        <w:rPr>
          <w:sz w:val="24"/>
        </w:rPr>
        <w:t>，平台</w:t>
      </w:r>
      <w:r>
        <w:rPr>
          <w:rFonts w:hint="eastAsia"/>
          <w:sz w:val="24"/>
        </w:rPr>
        <w:t>集中展现</w:t>
      </w:r>
      <w:r>
        <w:rPr>
          <w:sz w:val="24"/>
        </w:rPr>
        <w:t>的要求。系统</w:t>
      </w:r>
      <w:r>
        <w:rPr>
          <w:rFonts w:hint="eastAsia"/>
          <w:sz w:val="24"/>
        </w:rPr>
        <w:t>应</w:t>
      </w:r>
      <w:r>
        <w:rPr>
          <w:sz w:val="24"/>
        </w:rPr>
        <w:t>结构清晰、标准统一、功能全面可扩展、</w:t>
      </w:r>
      <w:r>
        <w:rPr>
          <w:rFonts w:hint="eastAsia"/>
          <w:sz w:val="24"/>
        </w:rPr>
        <w:t>接口</w:t>
      </w:r>
      <w:r>
        <w:rPr>
          <w:sz w:val="24"/>
        </w:rPr>
        <w:t>丰富</w:t>
      </w:r>
      <w:r>
        <w:rPr>
          <w:rFonts w:hint="eastAsia"/>
          <w:sz w:val="24"/>
        </w:rPr>
        <w:t>等</w:t>
      </w:r>
      <w:r>
        <w:rPr>
          <w:sz w:val="24"/>
        </w:rPr>
        <w:t>特点。</w:t>
      </w:r>
    </w:p>
    <w:p>
      <w:pPr>
        <w:pStyle w:val="140"/>
        <w:widowControl/>
        <w:numPr>
          <w:ilvl w:val="0"/>
          <w:numId w:val="10"/>
        </w:numPr>
        <w:tabs>
          <w:tab w:val="left" w:pos="1134"/>
        </w:tabs>
        <w:adjustRightInd w:val="0"/>
        <w:snapToGrid w:val="0"/>
        <w:spacing w:line="360" w:lineRule="auto"/>
        <w:ind w:left="0" w:firstLine="480"/>
        <w:rPr>
          <w:sz w:val="24"/>
        </w:rPr>
      </w:pPr>
      <w:r>
        <w:rPr>
          <w:sz w:val="24"/>
        </w:rPr>
        <w:t>软件应采用一体化架构设计，即采用分布式面向服务的组件模型设计思想，统一规划设计，将各类应用功能划分为不同服务模块，模块间应具有数据交互、事件发布、应用调用等功能，同时可实现各类数据源共享，在此基础之上建立信息互动、综合联动、智能决策的应用平台。</w:t>
      </w:r>
    </w:p>
    <w:p>
      <w:pPr>
        <w:pStyle w:val="140"/>
        <w:widowControl/>
        <w:numPr>
          <w:ilvl w:val="0"/>
          <w:numId w:val="10"/>
        </w:numPr>
        <w:tabs>
          <w:tab w:val="left" w:pos="1134"/>
        </w:tabs>
        <w:adjustRightInd w:val="0"/>
        <w:snapToGrid w:val="0"/>
        <w:spacing w:line="360" w:lineRule="auto"/>
        <w:ind w:left="0" w:firstLine="480"/>
        <w:rPr>
          <w:sz w:val="24"/>
        </w:rPr>
      </w:pPr>
      <w:r>
        <w:rPr>
          <w:sz w:val="24"/>
        </w:rPr>
        <w:t>软件所涉及到的数据采集与监视、数据处理、数据分析与决策等所有应用应进行统一数据建模方式，数据应按照标准规约传输存储于工程安全监测一体化平台，平台提供系统管理、数据分析、人机界面等功能支持。平台统一管理数据同步、数据交换、对外通讯、模型管理等，集中进行备份、审计、日志等，保证应用功能高效、稳定运行。</w:t>
      </w:r>
    </w:p>
    <w:p>
      <w:pPr>
        <w:pStyle w:val="140"/>
        <w:widowControl/>
        <w:numPr>
          <w:ilvl w:val="0"/>
          <w:numId w:val="10"/>
        </w:numPr>
        <w:tabs>
          <w:tab w:val="left" w:pos="1134"/>
        </w:tabs>
        <w:adjustRightInd w:val="0"/>
        <w:snapToGrid w:val="0"/>
        <w:spacing w:line="360" w:lineRule="auto"/>
        <w:ind w:left="0" w:firstLine="480"/>
        <w:rPr>
          <w:sz w:val="24"/>
        </w:rPr>
      </w:pPr>
      <w:r>
        <w:rPr>
          <w:rFonts w:hint="eastAsia"/>
          <w:sz w:val="24"/>
        </w:rPr>
        <w:t>软件系统采用B/S架构，具有</w:t>
      </w:r>
      <w:r>
        <w:rPr>
          <w:sz w:val="24"/>
        </w:rPr>
        <w:t>通信采集、数据计算整编、数据管理分析</w:t>
      </w:r>
      <w:r>
        <w:rPr>
          <w:rFonts w:hint="eastAsia"/>
          <w:sz w:val="24"/>
        </w:rPr>
        <w:t>、</w:t>
      </w:r>
      <w:r>
        <w:rPr>
          <w:sz w:val="24"/>
        </w:rPr>
        <w:t>图形报表展示</w:t>
      </w:r>
      <w:r>
        <w:rPr>
          <w:rFonts w:hint="eastAsia"/>
          <w:sz w:val="24"/>
        </w:rPr>
        <w:t>、</w:t>
      </w:r>
      <w:r>
        <w:rPr>
          <w:sz w:val="24"/>
        </w:rPr>
        <w:t>预警报警</w:t>
      </w:r>
      <w:r>
        <w:rPr>
          <w:rFonts w:hint="eastAsia"/>
          <w:sz w:val="24"/>
        </w:rPr>
        <w:t>、</w:t>
      </w:r>
      <w:r>
        <w:rPr>
          <w:sz w:val="24"/>
        </w:rPr>
        <w:t>系统管理及资料管理</w:t>
      </w:r>
      <w:r>
        <w:rPr>
          <w:rFonts w:hint="eastAsia"/>
          <w:sz w:val="24"/>
        </w:rPr>
        <w:t>、</w:t>
      </w:r>
      <w:r>
        <w:rPr>
          <w:sz w:val="24"/>
        </w:rPr>
        <w:t>画面组态及图像热点</w:t>
      </w:r>
      <w:r>
        <w:rPr>
          <w:rFonts w:hint="eastAsia"/>
          <w:sz w:val="24"/>
        </w:rPr>
        <w:t>、</w:t>
      </w:r>
      <w:r>
        <w:rPr>
          <w:sz w:val="24"/>
        </w:rPr>
        <w:t>格式化文档</w:t>
      </w:r>
      <w:r>
        <w:rPr>
          <w:rFonts w:hint="eastAsia"/>
          <w:sz w:val="24"/>
        </w:rPr>
        <w:t>、巡视检查等。</w:t>
      </w:r>
    </w:p>
    <w:p>
      <w:pPr>
        <w:numPr>
          <w:ilvl w:val="0"/>
          <w:numId w:val="10"/>
        </w:numPr>
        <w:adjustRightInd w:val="0"/>
        <w:snapToGrid w:val="0"/>
        <w:spacing w:line="360" w:lineRule="auto"/>
        <w:ind w:left="851"/>
        <w:rPr>
          <w:sz w:val="24"/>
        </w:rPr>
      </w:pPr>
      <w:r>
        <w:rPr>
          <w:sz w:val="24"/>
        </w:rPr>
        <w:t>数据存储、电源管理及通信功能</w:t>
      </w:r>
    </w:p>
    <w:p>
      <w:pPr>
        <w:adjustRightInd w:val="0"/>
        <w:snapToGrid w:val="0"/>
        <w:spacing w:line="360" w:lineRule="auto"/>
        <w:ind w:firstLine="480" w:firstLineChars="200"/>
        <w:rPr>
          <w:sz w:val="24"/>
        </w:rPr>
      </w:pPr>
      <w:r>
        <w:rPr>
          <w:sz w:val="24"/>
        </w:rPr>
        <w:t>测控装置应具有存储器和掉电保护模块，能暂存所采集的数据，存储容量用完后应能自动覆盖。</w:t>
      </w:r>
    </w:p>
    <w:p>
      <w:pPr>
        <w:adjustRightInd w:val="0"/>
        <w:snapToGrid w:val="0"/>
        <w:spacing w:line="360" w:lineRule="auto"/>
        <w:ind w:firstLine="480" w:firstLineChars="200"/>
        <w:rPr>
          <w:sz w:val="24"/>
        </w:rPr>
      </w:pPr>
      <w:r>
        <w:rPr>
          <w:sz w:val="24"/>
        </w:rPr>
        <w:t>测控装置应具备有备用电源(如蓄电池等)，在交流供电电源(220V)断电时可自动切换，且至少能供电2</w:t>
      </w:r>
      <w:r>
        <w:rPr>
          <w:rFonts w:hint="eastAsia"/>
          <w:sz w:val="24"/>
        </w:rPr>
        <w:t>小时</w:t>
      </w:r>
      <w:r>
        <w:rPr>
          <w:sz w:val="24"/>
        </w:rPr>
        <w:t>以上，以保证交流供电电源故障时，数据不丢失和不影响正常的数据采集。</w:t>
      </w:r>
    </w:p>
    <w:p>
      <w:pPr>
        <w:adjustRightInd w:val="0"/>
        <w:snapToGrid w:val="0"/>
        <w:spacing w:line="360" w:lineRule="auto"/>
        <w:ind w:firstLine="480" w:firstLineChars="200"/>
        <w:rPr>
          <w:sz w:val="24"/>
        </w:rPr>
      </w:pPr>
      <w:r>
        <w:rPr>
          <w:sz w:val="24"/>
        </w:rPr>
        <w:t>数据通信包括现场级和监测管理中心级的数据通信，现场级通信为测控装置与监测管理中心之间的双向数据通信；监测管理中心与上级主管部门的计算机系统、其它系统之间的双向数据通信。</w:t>
      </w:r>
    </w:p>
    <w:p>
      <w:pPr>
        <w:pStyle w:val="140"/>
        <w:widowControl/>
        <w:numPr>
          <w:ilvl w:val="0"/>
          <w:numId w:val="10"/>
        </w:numPr>
        <w:tabs>
          <w:tab w:val="left" w:pos="1134"/>
        </w:tabs>
        <w:adjustRightInd w:val="0"/>
        <w:snapToGrid w:val="0"/>
        <w:spacing w:line="360" w:lineRule="auto"/>
        <w:ind w:left="0" w:firstLine="480"/>
        <w:rPr>
          <w:sz w:val="24"/>
        </w:rPr>
      </w:pPr>
      <w:r>
        <w:rPr>
          <w:sz w:val="24"/>
        </w:rPr>
        <w:t>系统管理</w:t>
      </w:r>
    </w:p>
    <w:p>
      <w:pPr>
        <w:adjustRightInd w:val="0"/>
        <w:snapToGrid w:val="0"/>
        <w:spacing w:line="360" w:lineRule="auto"/>
        <w:ind w:firstLine="480" w:firstLineChars="200"/>
        <w:rPr>
          <w:sz w:val="24"/>
        </w:rPr>
      </w:pPr>
      <w:r>
        <w:rPr>
          <w:sz w:val="24"/>
        </w:rPr>
        <w:t>具有用户管理功能，拒绝非法使用者，用户操作权限的划分应丰富细致。对数据库和系统设置进行管理，如创建和修改服务器上的整编数据库；可以新增、修改或删除用户、更改口令、更改用户级别，新增或删除测点、更改测点属性和计算公式，建立或修改整编测点与自动采集测点之间的关系等，能备份和恢复数据库等。</w:t>
      </w:r>
    </w:p>
    <w:p>
      <w:pPr>
        <w:pStyle w:val="140"/>
        <w:widowControl/>
        <w:numPr>
          <w:ilvl w:val="0"/>
          <w:numId w:val="10"/>
        </w:numPr>
        <w:tabs>
          <w:tab w:val="left" w:pos="1134"/>
        </w:tabs>
        <w:adjustRightInd w:val="0"/>
        <w:snapToGrid w:val="0"/>
        <w:spacing w:line="360" w:lineRule="auto"/>
        <w:ind w:left="0" w:firstLine="480"/>
        <w:rPr>
          <w:sz w:val="24"/>
        </w:rPr>
      </w:pPr>
      <w:r>
        <w:rPr>
          <w:sz w:val="24"/>
        </w:rPr>
        <w:t>兼容性</w:t>
      </w:r>
    </w:p>
    <w:p>
      <w:pPr>
        <w:adjustRightInd w:val="0"/>
        <w:snapToGrid w:val="0"/>
        <w:spacing w:line="360" w:lineRule="auto"/>
        <w:ind w:firstLine="480" w:firstLineChars="200"/>
        <w:rPr>
          <w:sz w:val="24"/>
        </w:rPr>
      </w:pPr>
      <w:r>
        <w:rPr>
          <w:sz w:val="24"/>
        </w:rPr>
        <w:t>新的信息系统软件需与现有系统软件具有很好的兼容性，保证新旧系统均可正常运行。原有采集系统需同时接入本次更新改造系统中，并可保证实现系统的实时采集及控制功能。</w:t>
      </w:r>
    </w:p>
    <w:p>
      <w:pPr>
        <w:pStyle w:val="140"/>
        <w:widowControl/>
        <w:numPr>
          <w:ilvl w:val="0"/>
          <w:numId w:val="10"/>
        </w:numPr>
        <w:tabs>
          <w:tab w:val="left" w:pos="1134"/>
        </w:tabs>
        <w:adjustRightInd w:val="0"/>
        <w:snapToGrid w:val="0"/>
        <w:spacing w:line="360" w:lineRule="auto"/>
        <w:ind w:left="0" w:firstLine="480"/>
        <w:rPr>
          <w:sz w:val="24"/>
        </w:rPr>
      </w:pPr>
      <w:r>
        <w:rPr>
          <w:sz w:val="24"/>
        </w:rPr>
        <w:t>保留接口</w:t>
      </w:r>
    </w:p>
    <w:p>
      <w:pPr>
        <w:adjustRightInd w:val="0"/>
        <w:snapToGrid w:val="0"/>
        <w:spacing w:line="360" w:lineRule="auto"/>
        <w:ind w:firstLine="480" w:firstLineChars="200"/>
        <w:rPr>
          <w:sz w:val="24"/>
        </w:rPr>
      </w:pPr>
      <w:r>
        <w:rPr>
          <w:sz w:val="24"/>
        </w:rPr>
        <w:t>新系统需保留接口，便于日后其他系统软件的接入。</w:t>
      </w:r>
    </w:p>
    <w:p>
      <w:pPr>
        <w:pStyle w:val="140"/>
        <w:widowControl/>
        <w:numPr>
          <w:ilvl w:val="0"/>
          <w:numId w:val="10"/>
        </w:numPr>
        <w:tabs>
          <w:tab w:val="left" w:pos="1134"/>
        </w:tabs>
        <w:adjustRightInd w:val="0"/>
        <w:snapToGrid w:val="0"/>
        <w:spacing w:line="360" w:lineRule="auto"/>
        <w:ind w:left="0" w:firstLine="480"/>
        <w:rPr>
          <w:sz w:val="24"/>
        </w:rPr>
      </w:pPr>
      <w:r>
        <w:rPr>
          <w:rFonts w:hint="eastAsia"/>
          <w:sz w:val="24"/>
        </w:rPr>
        <w:t>其他要求</w:t>
      </w:r>
    </w:p>
    <w:p>
      <w:pPr>
        <w:numPr>
          <w:ilvl w:val="0"/>
          <w:numId w:val="11"/>
        </w:numPr>
        <w:adjustRightInd w:val="0"/>
        <w:snapToGrid w:val="0"/>
        <w:spacing w:line="360" w:lineRule="auto"/>
        <w:rPr>
          <w:sz w:val="24"/>
        </w:rPr>
      </w:pPr>
      <w:r>
        <w:rPr>
          <w:sz w:val="24"/>
        </w:rPr>
        <w:t>模型和历史数据应分离存储，模型信息数据表结构可动态扩充，历史数据除实时数据表外，还应包括小时、日、月、年等整编数据表；</w:t>
      </w:r>
    </w:p>
    <w:p>
      <w:pPr>
        <w:numPr>
          <w:ilvl w:val="0"/>
          <w:numId w:val="11"/>
        </w:numPr>
        <w:adjustRightInd w:val="0"/>
        <w:snapToGrid w:val="0"/>
        <w:spacing w:line="360" w:lineRule="auto"/>
        <w:rPr>
          <w:sz w:val="24"/>
        </w:rPr>
      </w:pPr>
      <w:r>
        <w:rPr>
          <w:sz w:val="24"/>
        </w:rPr>
        <w:t>数据存储应具备高安全性，具有良好的安全保障设置；</w:t>
      </w:r>
    </w:p>
    <w:p>
      <w:pPr>
        <w:numPr>
          <w:ilvl w:val="0"/>
          <w:numId w:val="11"/>
        </w:numPr>
        <w:adjustRightInd w:val="0"/>
        <w:snapToGrid w:val="0"/>
        <w:spacing w:line="360" w:lineRule="auto"/>
        <w:rPr>
          <w:sz w:val="24"/>
        </w:rPr>
      </w:pPr>
      <w:r>
        <w:rPr>
          <w:sz w:val="24"/>
        </w:rPr>
        <w:t>支持网络运行，支持较高的并发数且并发响应速度快，且响应时间不超过5秒；</w:t>
      </w:r>
    </w:p>
    <w:p>
      <w:pPr>
        <w:numPr>
          <w:ilvl w:val="0"/>
          <w:numId w:val="11"/>
        </w:numPr>
        <w:adjustRightInd w:val="0"/>
        <w:snapToGrid w:val="0"/>
        <w:spacing w:line="360" w:lineRule="auto"/>
        <w:rPr>
          <w:sz w:val="24"/>
        </w:rPr>
      </w:pPr>
      <w:r>
        <w:rPr>
          <w:sz w:val="24"/>
        </w:rPr>
        <w:t>具备分区功能，支持SQL语法、OLEDB等多种数据访问模式，保证查询与调用的快捷性和方便性；</w:t>
      </w:r>
    </w:p>
    <w:p>
      <w:pPr>
        <w:numPr>
          <w:ilvl w:val="0"/>
          <w:numId w:val="11"/>
        </w:numPr>
        <w:adjustRightInd w:val="0"/>
        <w:snapToGrid w:val="0"/>
        <w:spacing w:line="360" w:lineRule="auto"/>
        <w:rPr>
          <w:sz w:val="24"/>
        </w:rPr>
      </w:pPr>
      <w:r>
        <w:rPr>
          <w:sz w:val="24"/>
        </w:rPr>
        <w:t>允许外部数据的导入和内部数据的导出，具备与多种平台、应用和设备之间的交互操作能力；</w:t>
      </w:r>
    </w:p>
    <w:p>
      <w:pPr>
        <w:numPr>
          <w:ilvl w:val="0"/>
          <w:numId w:val="11"/>
        </w:numPr>
        <w:adjustRightInd w:val="0"/>
        <w:snapToGrid w:val="0"/>
        <w:spacing w:line="360" w:lineRule="auto"/>
        <w:rPr>
          <w:sz w:val="24"/>
        </w:rPr>
      </w:pPr>
      <w:r>
        <w:rPr>
          <w:sz w:val="24"/>
        </w:rPr>
        <w:t>系统运行过程中应能自动记录操作行为(如：选点、画面跳转)，对行为进行分析，为用户进行相关推荐；</w:t>
      </w:r>
    </w:p>
    <w:p>
      <w:pPr>
        <w:numPr>
          <w:ilvl w:val="0"/>
          <w:numId w:val="11"/>
        </w:numPr>
        <w:adjustRightInd w:val="0"/>
        <w:snapToGrid w:val="0"/>
        <w:spacing w:line="360" w:lineRule="auto"/>
        <w:rPr>
          <w:sz w:val="24"/>
        </w:rPr>
      </w:pPr>
      <w:r>
        <w:rPr>
          <w:sz w:val="24"/>
        </w:rPr>
        <w:t>系统维护简单，运行可靠，具可视化功能</w:t>
      </w:r>
      <w:r>
        <w:rPr>
          <w:rFonts w:hint="eastAsia"/>
          <w:sz w:val="24"/>
        </w:rPr>
        <w:t>。</w:t>
      </w:r>
    </w:p>
    <w:p>
      <w:pPr>
        <w:adjustRightInd w:val="0"/>
        <w:snapToGrid w:val="0"/>
        <w:spacing w:line="360" w:lineRule="auto"/>
        <w:ind w:left="480"/>
        <w:rPr>
          <w:sz w:val="24"/>
        </w:rPr>
      </w:pPr>
    </w:p>
    <w:p>
      <w:pPr>
        <w:autoSpaceDE w:val="0"/>
        <w:autoSpaceDN w:val="0"/>
        <w:adjustRightInd w:val="0"/>
        <w:snapToGrid w:val="0"/>
        <w:spacing w:line="360" w:lineRule="auto"/>
        <w:rPr>
          <w:kern w:val="0"/>
          <w:sz w:val="24"/>
        </w:rPr>
      </w:pPr>
      <w:r>
        <w:rPr>
          <w:rFonts w:hint="eastAsia"/>
          <w:kern w:val="0"/>
          <w:sz w:val="24"/>
        </w:rPr>
        <w:t>1.3.12.5.2 系统功能</w:t>
      </w:r>
    </w:p>
    <w:p>
      <w:pPr>
        <w:autoSpaceDE w:val="0"/>
        <w:autoSpaceDN w:val="0"/>
        <w:adjustRightInd w:val="0"/>
        <w:snapToGrid w:val="0"/>
        <w:spacing w:line="360" w:lineRule="auto"/>
        <w:rPr>
          <w:kern w:val="0"/>
          <w:sz w:val="24"/>
        </w:rPr>
      </w:pPr>
      <w:r>
        <w:rPr>
          <w:rFonts w:hint="eastAsia"/>
          <w:kern w:val="0"/>
          <w:sz w:val="24"/>
        </w:rPr>
        <w:t>（1）自动化数据采集</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本系统</w:t>
      </w:r>
      <w:r>
        <w:rPr>
          <w:rFonts w:ascii="宋体" w:hAnsi="宋体" w:cs="宋体"/>
          <w:sz w:val="24"/>
        </w:rPr>
        <w:t>不仅采集本工程监测仪器的数据信息，同时还能够记录巡视检查、工程处理、工作日志等相关信息。</w:t>
      </w:r>
    </w:p>
    <w:p>
      <w:pPr>
        <w:adjustRightInd w:val="0"/>
        <w:snapToGrid w:val="0"/>
        <w:spacing w:line="360" w:lineRule="auto"/>
        <w:ind w:firstLine="480" w:firstLineChars="200"/>
        <w:rPr>
          <w:rFonts w:ascii="宋体" w:hAnsi="宋体" w:cs="宋体"/>
          <w:sz w:val="24"/>
        </w:rPr>
      </w:pPr>
      <w:r>
        <w:rPr>
          <w:rFonts w:ascii="宋体" w:hAnsi="宋体" w:cs="宋体"/>
          <w:sz w:val="24"/>
        </w:rPr>
        <w:t>提供自动数据采集和人工数据录入等工作模式，自动采集的运行方式包括应答式和自报式，根据需要可定制打包成自动任务，并实现异地远程数据采集。除了自动采集的数据自动入库外，系统需同时提供人工采集以及其他环境量、第三方数据等各类监测数据和资料的导入功能，并能够在系统中对其进行统一的管理与维护。</w:t>
      </w:r>
    </w:p>
    <w:p>
      <w:pPr>
        <w:adjustRightInd w:val="0"/>
        <w:snapToGrid w:val="0"/>
        <w:spacing w:line="360" w:lineRule="auto"/>
        <w:ind w:firstLine="480" w:firstLineChars="200"/>
        <w:rPr>
          <w:sz w:val="24"/>
        </w:rPr>
      </w:pPr>
      <w:r>
        <w:rPr>
          <w:rFonts w:hint="eastAsia" w:ascii="宋体" w:hAnsi="宋体" w:cs="宋体"/>
          <w:sz w:val="24"/>
        </w:rPr>
        <w:t>①</w:t>
      </w:r>
      <w:r>
        <w:rPr>
          <w:sz w:val="24"/>
        </w:rPr>
        <w:t>监测功能</w:t>
      </w:r>
    </w:p>
    <w:p>
      <w:pPr>
        <w:adjustRightInd w:val="0"/>
        <w:snapToGrid w:val="0"/>
        <w:spacing w:line="360" w:lineRule="auto"/>
        <w:ind w:firstLine="480" w:firstLineChars="200"/>
        <w:rPr>
          <w:sz w:val="24"/>
        </w:rPr>
      </w:pPr>
      <w:r>
        <w:rPr>
          <w:sz w:val="24"/>
        </w:rPr>
        <w:t>系统应具备多种采集方式和测量控制方式：</w:t>
      </w:r>
    </w:p>
    <w:p>
      <w:pPr>
        <w:adjustRightInd w:val="0"/>
        <w:snapToGrid w:val="0"/>
        <w:spacing w:line="360" w:lineRule="auto"/>
        <w:ind w:firstLine="480" w:firstLineChars="200"/>
        <w:rPr>
          <w:sz w:val="24"/>
        </w:rPr>
      </w:pPr>
      <w:r>
        <w:rPr>
          <w:sz w:val="24"/>
        </w:rPr>
        <w:t>a. 数据采集方式应有：选点测量、选箱测量、巡回测量、定时检测，并可在测量控制单元上进行人工测读。</w:t>
      </w:r>
    </w:p>
    <w:p>
      <w:pPr>
        <w:adjustRightInd w:val="0"/>
        <w:snapToGrid w:val="0"/>
        <w:spacing w:line="360" w:lineRule="auto"/>
        <w:ind w:firstLine="480" w:firstLineChars="200"/>
        <w:rPr>
          <w:sz w:val="24"/>
        </w:rPr>
      </w:pPr>
      <w:r>
        <w:rPr>
          <w:sz w:val="24"/>
        </w:rPr>
        <w:t>b. 测量控制方式应有应答式和自报式两种方式采集各类传感器数据。并能够对每支传感器设置其警戒值，当测值超过警戒值，系统能够进行自动报警。</w:t>
      </w:r>
    </w:p>
    <w:p>
      <w:pPr>
        <w:adjustRightInd w:val="0"/>
        <w:snapToGrid w:val="0"/>
        <w:spacing w:line="360" w:lineRule="auto"/>
        <w:ind w:firstLine="480" w:firstLineChars="200"/>
        <w:rPr>
          <w:sz w:val="24"/>
        </w:rPr>
      </w:pPr>
      <w:r>
        <w:rPr>
          <w:sz w:val="24"/>
        </w:rPr>
        <w:t>应答式：由采集机或联网计算机发出命令，测控单元接收命令、完成规定的测量，测量完毕将数据暂存，并根据命令要求将测量的数据传输至计算机中。</w:t>
      </w:r>
    </w:p>
    <w:p>
      <w:pPr>
        <w:adjustRightInd w:val="0"/>
        <w:snapToGrid w:val="0"/>
        <w:spacing w:line="360" w:lineRule="auto"/>
        <w:ind w:firstLine="480" w:firstLineChars="200"/>
        <w:rPr>
          <w:sz w:val="24"/>
        </w:rPr>
      </w:pPr>
      <w:r>
        <w:rPr>
          <w:sz w:val="24"/>
        </w:rPr>
        <w:t>自报式：由各台测控单元自动按设定的时间和方式进行数据采集，并将所测的数据暂存，同时传送至采集机。</w:t>
      </w:r>
    </w:p>
    <w:p>
      <w:pPr>
        <w:adjustRightInd w:val="0"/>
        <w:snapToGrid w:val="0"/>
        <w:spacing w:line="360" w:lineRule="auto"/>
        <w:ind w:firstLine="480" w:firstLineChars="200"/>
        <w:rPr>
          <w:sz w:val="24"/>
        </w:rPr>
      </w:pPr>
      <w:r>
        <w:rPr>
          <w:rFonts w:hint="eastAsia" w:ascii="宋体" w:hAnsi="宋体" w:cs="宋体"/>
          <w:sz w:val="24"/>
        </w:rPr>
        <w:t>②</w:t>
      </w:r>
      <w:r>
        <w:rPr>
          <w:sz w:val="24"/>
        </w:rPr>
        <w:t>显示功能</w:t>
      </w:r>
    </w:p>
    <w:p>
      <w:pPr>
        <w:adjustRightInd w:val="0"/>
        <w:snapToGrid w:val="0"/>
        <w:spacing w:line="360" w:lineRule="auto"/>
        <w:ind w:firstLine="480" w:firstLineChars="200"/>
        <w:rPr>
          <w:sz w:val="24"/>
        </w:rPr>
      </w:pPr>
      <w:r>
        <w:rPr>
          <w:rFonts w:hint="eastAsia"/>
          <w:sz w:val="24"/>
        </w:rPr>
        <w:t>显示监测布置图、过程曲线、监测数据分布图、监测控制点布置图、建筑物变形状态（三维立体）</w:t>
      </w:r>
      <w:r>
        <w:rPr>
          <w:rFonts w:hint="eastAsia"/>
          <w:sz w:val="24"/>
          <w:lang w:val="en-US" w:eastAsia="zh-CN"/>
        </w:rPr>
        <w:t>图</w:t>
      </w:r>
      <w:r>
        <w:rPr>
          <w:rFonts w:hint="eastAsia"/>
          <w:sz w:val="24"/>
        </w:rPr>
        <w:t>、报警状态显示窗口等。</w:t>
      </w:r>
    </w:p>
    <w:p>
      <w:pPr>
        <w:adjustRightInd w:val="0"/>
        <w:snapToGrid w:val="0"/>
        <w:spacing w:line="360" w:lineRule="auto"/>
        <w:ind w:firstLine="480" w:firstLineChars="200"/>
        <w:rPr>
          <w:sz w:val="24"/>
        </w:rPr>
      </w:pPr>
      <w:r>
        <w:rPr>
          <w:rFonts w:hint="eastAsia" w:ascii="宋体" w:hAnsi="宋体" w:cs="宋体"/>
          <w:sz w:val="24"/>
        </w:rPr>
        <w:t>③</w:t>
      </w:r>
      <w:r>
        <w:rPr>
          <w:sz w:val="24"/>
        </w:rPr>
        <w:t>存储功能</w:t>
      </w:r>
    </w:p>
    <w:p>
      <w:pPr>
        <w:adjustRightInd w:val="0"/>
        <w:snapToGrid w:val="0"/>
        <w:spacing w:line="360" w:lineRule="auto"/>
        <w:ind w:firstLine="480" w:firstLineChars="200"/>
        <w:rPr>
          <w:sz w:val="24"/>
        </w:rPr>
      </w:pPr>
      <w:r>
        <w:rPr>
          <w:sz w:val="24"/>
        </w:rPr>
        <w:t>系统应具备数据自动存贮和数据自动备份功能。在外部电源突然中断时，保证内存数据和参数不丢失。</w:t>
      </w:r>
    </w:p>
    <w:p>
      <w:pPr>
        <w:adjustRightInd w:val="0"/>
        <w:snapToGrid w:val="0"/>
        <w:spacing w:line="360" w:lineRule="auto"/>
        <w:ind w:firstLine="480" w:firstLineChars="200"/>
        <w:rPr>
          <w:sz w:val="24"/>
        </w:rPr>
      </w:pPr>
      <w:r>
        <w:rPr>
          <w:rFonts w:hint="eastAsia" w:ascii="宋体" w:hAnsi="宋体" w:cs="宋体"/>
          <w:sz w:val="24"/>
        </w:rPr>
        <w:t>④</w:t>
      </w:r>
      <w:r>
        <w:rPr>
          <w:sz w:val="24"/>
        </w:rPr>
        <w:t xml:space="preserve">操作功能  </w:t>
      </w:r>
    </w:p>
    <w:p>
      <w:pPr>
        <w:adjustRightInd w:val="0"/>
        <w:snapToGrid w:val="0"/>
        <w:spacing w:line="360" w:lineRule="auto"/>
        <w:ind w:firstLine="480" w:firstLineChars="200"/>
        <w:rPr>
          <w:sz w:val="24"/>
        </w:rPr>
      </w:pPr>
      <w:r>
        <w:rPr>
          <w:sz w:val="24"/>
        </w:rPr>
        <w:t>从现场或监测中心的计算机上可实现监视操作、输入/输出、显示打印、报告现有测值状态、调用历史数据、评估运行状态。</w:t>
      </w:r>
    </w:p>
    <w:p>
      <w:pPr>
        <w:adjustRightInd w:val="0"/>
        <w:snapToGrid w:val="0"/>
        <w:spacing w:line="360" w:lineRule="auto"/>
        <w:ind w:firstLine="480" w:firstLineChars="200"/>
        <w:rPr>
          <w:sz w:val="24"/>
        </w:rPr>
      </w:pPr>
      <w:r>
        <w:rPr>
          <w:rFonts w:hint="eastAsia" w:ascii="宋体" w:hAnsi="宋体" w:cs="宋体"/>
          <w:sz w:val="24"/>
        </w:rPr>
        <w:t>⑤</w:t>
      </w:r>
      <w:r>
        <w:rPr>
          <w:sz w:val="24"/>
        </w:rPr>
        <w:t>远程操作</w:t>
      </w:r>
    </w:p>
    <w:p>
      <w:pPr>
        <w:adjustRightInd w:val="0"/>
        <w:snapToGrid w:val="0"/>
        <w:spacing w:line="360" w:lineRule="auto"/>
        <w:ind w:firstLine="480" w:firstLineChars="200"/>
        <w:rPr>
          <w:sz w:val="24"/>
        </w:rPr>
      </w:pPr>
      <w:r>
        <w:rPr>
          <w:sz w:val="24"/>
        </w:rPr>
        <w:t>局域网内的计算机能控制现场的测控单元进行各项操作，上级主管单位能通过公网或专网远程采集数据。</w:t>
      </w:r>
    </w:p>
    <w:p>
      <w:pPr>
        <w:adjustRightInd w:val="0"/>
        <w:snapToGrid w:val="0"/>
        <w:spacing w:line="360" w:lineRule="auto"/>
        <w:ind w:firstLine="480" w:firstLineChars="200"/>
        <w:rPr>
          <w:sz w:val="24"/>
        </w:rPr>
      </w:pPr>
      <w:r>
        <w:rPr>
          <w:rFonts w:hint="eastAsia" w:ascii="宋体" w:hAnsi="宋体" w:cs="宋体"/>
          <w:sz w:val="24"/>
        </w:rPr>
        <w:t>⑥</w:t>
      </w:r>
      <w:r>
        <w:rPr>
          <w:sz w:val="24"/>
        </w:rPr>
        <w:t>自检功能</w:t>
      </w:r>
    </w:p>
    <w:p>
      <w:pPr>
        <w:adjustRightInd w:val="0"/>
        <w:snapToGrid w:val="0"/>
        <w:spacing w:line="360" w:lineRule="auto"/>
        <w:ind w:firstLine="480" w:firstLineChars="200"/>
        <w:rPr>
          <w:sz w:val="24"/>
        </w:rPr>
      </w:pPr>
      <w:r>
        <w:rPr>
          <w:sz w:val="24"/>
        </w:rPr>
        <w:t>系统具有自检能力，对现场设备进行自动检查，能在计算机上显示系统运行状态和故障信息，以便及时对系统进行维护。</w:t>
      </w:r>
    </w:p>
    <w:p>
      <w:pPr>
        <w:adjustRightInd w:val="0"/>
        <w:snapToGrid w:val="0"/>
        <w:spacing w:line="360" w:lineRule="auto"/>
        <w:ind w:firstLine="480" w:firstLineChars="200"/>
        <w:rPr>
          <w:sz w:val="24"/>
        </w:rPr>
      </w:pPr>
      <w:r>
        <w:rPr>
          <w:sz w:val="24"/>
        </w:rPr>
        <w:fldChar w:fldCharType="begin"/>
      </w:r>
      <w:r>
        <w:rPr>
          <w:sz w:val="24"/>
        </w:rPr>
        <w:instrText xml:space="preserve">= 7 \* GB3</w:instrText>
      </w:r>
      <w:r>
        <w:rPr>
          <w:sz w:val="24"/>
        </w:rPr>
        <w:fldChar w:fldCharType="separate"/>
      </w:r>
      <w:r>
        <w:rPr>
          <w:rFonts w:hint="eastAsia" w:ascii="宋体" w:hAnsi="宋体" w:cs="宋体"/>
          <w:sz w:val="24"/>
        </w:rPr>
        <w:t>⑦</w:t>
      </w:r>
      <w:r>
        <w:rPr>
          <w:sz w:val="24"/>
        </w:rPr>
        <w:fldChar w:fldCharType="end"/>
      </w:r>
      <w:r>
        <w:rPr>
          <w:sz w:val="24"/>
        </w:rPr>
        <w:t>系统供电</w:t>
      </w:r>
    </w:p>
    <w:p>
      <w:pPr>
        <w:adjustRightInd w:val="0"/>
        <w:snapToGrid w:val="0"/>
        <w:spacing w:line="360" w:lineRule="auto"/>
        <w:ind w:firstLine="480" w:firstLineChars="200"/>
        <w:rPr>
          <w:sz w:val="24"/>
        </w:rPr>
      </w:pPr>
      <w:r>
        <w:rPr>
          <w:sz w:val="24"/>
        </w:rPr>
        <w:t>系统采用220V交流电源，测控单元配备备用蓄电池，在系统供电中断的情况下，能保证现场测控单元至少连续</w:t>
      </w:r>
      <w:r>
        <w:rPr>
          <w:rFonts w:hint="eastAsia"/>
          <w:sz w:val="24"/>
        </w:rPr>
        <w:t>工作2小时</w:t>
      </w:r>
      <w:r>
        <w:rPr>
          <w:sz w:val="24"/>
        </w:rPr>
        <w:t>以上。</w:t>
      </w:r>
    </w:p>
    <w:p>
      <w:pPr>
        <w:adjustRightInd w:val="0"/>
        <w:snapToGrid w:val="0"/>
        <w:spacing w:line="360" w:lineRule="auto"/>
        <w:ind w:firstLine="480" w:firstLineChars="200"/>
        <w:rPr>
          <w:sz w:val="24"/>
        </w:rPr>
      </w:pPr>
      <w:r>
        <w:rPr>
          <w:sz w:val="24"/>
        </w:rPr>
        <w:fldChar w:fldCharType="begin"/>
      </w:r>
      <w:r>
        <w:rPr>
          <w:sz w:val="24"/>
        </w:rPr>
        <w:instrText xml:space="preserve">= 8 \* GB3</w:instrText>
      </w:r>
      <w:r>
        <w:rPr>
          <w:sz w:val="24"/>
        </w:rPr>
        <w:fldChar w:fldCharType="separate"/>
      </w:r>
      <w:r>
        <w:rPr>
          <w:rFonts w:hint="eastAsia" w:ascii="宋体" w:hAnsi="宋体" w:cs="宋体"/>
          <w:sz w:val="24"/>
        </w:rPr>
        <w:t>⑧</w:t>
      </w:r>
      <w:r>
        <w:rPr>
          <w:sz w:val="24"/>
        </w:rPr>
        <w:fldChar w:fldCharType="end"/>
      </w:r>
      <w:r>
        <w:rPr>
          <w:sz w:val="24"/>
        </w:rPr>
        <w:t>系统应具有较强的环境适应性和耐恶劣环境性，具备防雷、防潮、防锈蚀、防鼠、抗振、抗电磁干扰等性能，能够在潮湿、高雷击、强电磁干扰条件下长期连续稳定正常运行。</w:t>
      </w:r>
    </w:p>
    <w:p>
      <w:pPr>
        <w:adjustRightInd w:val="0"/>
        <w:snapToGrid w:val="0"/>
        <w:spacing w:line="360" w:lineRule="auto"/>
        <w:ind w:firstLine="480" w:firstLineChars="200"/>
        <w:rPr>
          <w:sz w:val="24"/>
        </w:rPr>
      </w:pPr>
      <w:r>
        <w:rPr>
          <w:sz w:val="24"/>
        </w:rPr>
        <w:fldChar w:fldCharType="begin"/>
      </w:r>
      <w:r>
        <w:rPr>
          <w:sz w:val="24"/>
        </w:rPr>
        <w:instrText xml:space="preserve">= 9 \* GB3</w:instrText>
      </w:r>
      <w:r>
        <w:rPr>
          <w:sz w:val="24"/>
        </w:rPr>
        <w:fldChar w:fldCharType="separate"/>
      </w:r>
      <w:r>
        <w:rPr>
          <w:rFonts w:hint="eastAsia" w:ascii="宋体" w:hAnsi="宋体" w:cs="宋体"/>
          <w:sz w:val="24"/>
        </w:rPr>
        <w:t>⑨</w:t>
      </w:r>
      <w:r>
        <w:rPr>
          <w:sz w:val="24"/>
        </w:rPr>
        <w:fldChar w:fldCharType="end"/>
      </w:r>
      <w:r>
        <w:rPr>
          <w:sz w:val="24"/>
        </w:rPr>
        <w:t>系统应备有与便携式检测仪表或便携式计算机通信的接口，能够使用便携式检测仪表或便携式计算机采集监测数据，进行人工补测、比测，防止资料中断。</w:t>
      </w:r>
    </w:p>
    <w:p>
      <w:pPr>
        <w:adjustRightInd w:val="0"/>
        <w:snapToGrid w:val="0"/>
        <w:spacing w:line="360" w:lineRule="auto"/>
        <w:ind w:firstLine="480" w:firstLineChars="200"/>
        <w:rPr>
          <w:sz w:val="24"/>
        </w:rPr>
      </w:pPr>
    </w:p>
    <w:p>
      <w:pPr>
        <w:adjustRightInd w:val="0"/>
        <w:snapToGrid w:val="0"/>
        <w:spacing w:line="360" w:lineRule="auto"/>
        <w:rPr>
          <w:sz w:val="24"/>
        </w:rPr>
      </w:pPr>
      <w:bookmarkStart w:id="75" w:name="_Toc193002435"/>
      <w:bookmarkStart w:id="76" w:name="_Toc192931551"/>
      <w:bookmarkStart w:id="77" w:name="_Toc170194301"/>
      <w:bookmarkStart w:id="78" w:name="_Toc192933825"/>
      <w:bookmarkStart w:id="79" w:name="_Toc193002660"/>
      <w:bookmarkStart w:id="80" w:name="_Toc194756116"/>
      <w:bookmarkStart w:id="81" w:name="_Toc194757189"/>
      <w:bookmarkStart w:id="82" w:name="_Toc193002205"/>
      <w:r>
        <w:rPr>
          <w:rFonts w:hint="eastAsia"/>
          <w:sz w:val="24"/>
        </w:rPr>
        <w:t>（2）</w:t>
      </w:r>
      <w:r>
        <w:rPr>
          <w:sz w:val="24"/>
        </w:rPr>
        <w:t>数据计算、整编功能</w:t>
      </w:r>
      <w:bookmarkEnd w:id="75"/>
      <w:bookmarkEnd w:id="76"/>
      <w:bookmarkEnd w:id="77"/>
      <w:bookmarkEnd w:id="78"/>
      <w:bookmarkEnd w:id="79"/>
      <w:bookmarkEnd w:id="80"/>
      <w:bookmarkEnd w:id="81"/>
      <w:bookmarkEnd w:id="82"/>
    </w:p>
    <w:p>
      <w:pPr>
        <w:adjustRightInd w:val="0"/>
        <w:snapToGrid w:val="0"/>
        <w:spacing w:line="360" w:lineRule="auto"/>
        <w:ind w:firstLine="480" w:firstLineChars="200"/>
        <w:rPr>
          <w:sz w:val="24"/>
        </w:rPr>
      </w:pPr>
      <w:r>
        <w:rPr>
          <w:sz w:val="24"/>
        </w:rPr>
        <w:t>软件应能将各传感器原始数据自动进行计算，并转换为观测的位移、开度、渗压等物理量，并将成果存放在成果数据库内，同一测点计算支持多套不同时段应用公式，计算公式包括固定换算公式、自定义公式、查表计算、相关点计算、平差计算等。</w:t>
      </w:r>
    </w:p>
    <w:p>
      <w:pPr>
        <w:adjustRightInd w:val="0"/>
        <w:snapToGrid w:val="0"/>
        <w:spacing w:line="360" w:lineRule="auto"/>
        <w:ind w:firstLine="480" w:firstLineChars="200"/>
        <w:rPr>
          <w:sz w:val="24"/>
        </w:rPr>
      </w:pPr>
      <w:r>
        <w:rPr>
          <w:sz w:val="24"/>
        </w:rPr>
        <w:t>计算过程应提供自动计算和手动计算两种方式，自动计算根据设定时间周期，自动将未计算的数据进行计算处理；手动计算可以选取选任意时段、测点范围或数据类型的测值进行计算。</w:t>
      </w:r>
    </w:p>
    <w:p>
      <w:pPr>
        <w:adjustRightInd w:val="0"/>
        <w:snapToGrid w:val="0"/>
        <w:spacing w:line="360" w:lineRule="auto"/>
        <w:ind w:firstLine="480" w:firstLineChars="200"/>
        <w:rPr>
          <w:sz w:val="24"/>
        </w:rPr>
      </w:pPr>
      <w:r>
        <w:rPr>
          <w:sz w:val="24"/>
        </w:rPr>
        <w:t>数据整编将原始实时数据整编成特征值数据，包括：小时特征值数据、日特征值数据、旬特征值数据、月特征值数据。整编后的数据分别存人相应的特征值数据表中，便于后续特征值数据输出展示。</w:t>
      </w:r>
    </w:p>
    <w:p>
      <w:pPr>
        <w:adjustRightInd w:val="0"/>
        <w:snapToGrid w:val="0"/>
        <w:spacing w:line="360" w:lineRule="auto"/>
        <w:ind w:firstLine="480" w:firstLineChars="200"/>
        <w:rPr>
          <w:sz w:val="24"/>
        </w:rPr>
      </w:pPr>
      <w:r>
        <w:rPr>
          <w:sz w:val="24"/>
        </w:rPr>
        <w:t>整编过程具有自动整编和手动整编两种方式，自动整编根据设定时间周期，自动将未整编的数据进行整编处理；手动整编可以选取选任意时段、测点范围或数据类型的测值进行整编。</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r>
        <w:rPr>
          <w:rFonts w:hint="eastAsia"/>
          <w:sz w:val="24"/>
        </w:rPr>
        <w:t>（3）数据管理功能</w:t>
      </w:r>
    </w:p>
    <w:p>
      <w:pPr>
        <w:adjustRightInd w:val="0"/>
        <w:snapToGrid w:val="0"/>
        <w:spacing w:line="360" w:lineRule="auto"/>
        <w:ind w:firstLine="480" w:firstLineChars="200"/>
        <w:rPr>
          <w:sz w:val="24"/>
        </w:rPr>
      </w:pPr>
      <w:r>
        <w:rPr>
          <w:sz w:val="24"/>
        </w:rPr>
        <w:t>数据管理功能，包括数据查询、修改、删除和新增功能，同时可以根据数据评判规则(上限、下限、变幅等)，对数据进行评判分析和粗差异常分析，另外还应具有以下功能：</w:t>
      </w:r>
    </w:p>
    <w:p>
      <w:pPr>
        <w:adjustRightInd w:val="0"/>
        <w:snapToGrid w:val="0"/>
        <w:spacing w:line="360" w:lineRule="auto"/>
        <w:ind w:firstLine="480" w:firstLineChars="200"/>
        <w:rPr>
          <w:sz w:val="24"/>
        </w:rPr>
      </w:pPr>
      <w:r>
        <w:rPr>
          <w:rFonts w:hint="eastAsia" w:ascii="宋体" w:hAnsi="宋体" w:cs="宋体"/>
          <w:sz w:val="24"/>
        </w:rPr>
        <w:t>①</w:t>
      </w:r>
      <w:r>
        <w:rPr>
          <w:sz w:val="24"/>
        </w:rPr>
        <w:t>数据以表格形式查询、展示数据，数据查询包括测点数据数据查询和测值组合查询。测点数据查询是指以测点为单位进行的查询。测值组合查询是指以测值为单位进行查询，可能让多个测值显示在同一行中进行查询。查询条件包括：时间段、测点、测值类型等，表格具有排序过滤功能；</w:t>
      </w:r>
    </w:p>
    <w:p>
      <w:pPr>
        <w:adjustRightInd w:val="0"/>
        <w:snapToGrid w:val="0"/>
        <w:spacing w:line="360" w:lineRule="auto"/>
        <w:ind w:firstLine="480" w:firstLineChars="200"/>
        <w:rPr>
          <w:sz w:val="24"/>
        </w:rPr>
      </w:pPr>
      <w:r>
        <w:rPr>
          <w:rFonts w:hint="eastAsia" w:ascii="宋体" w:hAnsi="宋体" w:cs="宋体"/>
          <w:sz w:val="24"/>
        </w:rPr>
        <w:t>②</w:t>
      </w:r>
      <w:r>
        <w:rPr>
          <w:sz w:val="24"/>
        </w:rPr>
        <w:t>支持数据对比分析；</w:t>
      </w:r>
    </w:p>
    <w:p>
      <w:pPr>
        <w:adjustRightInd w:val="0"/>
        <w:snapToGrid w:val="0"/>
        <w:spacing w:line="360" w:lineRule="auto"/>
        <w:ind w:firstLine="480" w:firstLineChars="200"/>
        <w:rPr>
          <w:sz w:val="24"/>
        </w:rPr>
      </w:pPr>
      <w:r>
        <w:rPr>
          <w:rFonts w:hint="eastAsia" w:ascii="宋体" w:hAnsi="宋体" w:cs="宋体"/>
          <w:sz w:val="24"/>
        </w:rPr>
        <w:t>③</w:t>
      </w:r>
      <w:r>
        <w:rPr>
          <w:sz w:val="24"/>
        </w:rPr>
        <w:t>支持多种数据导入格式（Excel、文本文件），可对人工观测数据和导入的第三方数据进行处理。</w:t>
      </w:r>
    </w:p>
    <w:p>
      <w:pPr>
        <w:adjustRightInd w:val="0"/>
        <w:snapToGrid w:val="0"/>
        <w:spacing w:line="360" w:lineRule="auto"/>
        <w:ind w:firstLine="480" w:firstLineChars="200"/>
        <w:rPr>
          <w:sz w:val="24"/>
        </w:rPr>
      </w:pPr>
      <w:r>
        <w:rPr>
          <w:rFonts w:hint="eastAsia"/>
          <w:sz w:val="24"/>
        </w:rPr>
        <w:t>④支持数据统计功能，包括施工期监测频次计量、参建单位安全监测实施、安全监测信息录入情况统计等。</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r>
        <w:rPr>
          <w:rFonts w:hint="eastAsia"/>
          <w:sz w:val="24"/>
        </w:rPr>
        <w:t>（4）报表制作功能</w:t>
      </w:r>
    </w:p>
    <w:p>
      <w:pPr>
        <w:adjustRightInd w:val="0"/>
        <w:snapToGrid w:val="0"/>
        <w:spacing w:line="360" w:lineRule="auto"/>
        <w:ind w:firstLine="480" w:firstLineChars="200"/>
        <w:rPr>
          <w:sz w:val="24"/>
        </w:rPr>
      </w:pPr>
      <w:r>
        <w:rPr>
          <w:rFonts w:hint="eastAsia" w:ascii="宋体" w:hAnsi="宋体" w:cs="宋体"/>
          <w:sz w:val="24"/>
        </w:rPr>
        <w:t>①</w:t>
      </w:r>
      <w:r>
        <w:rPr>
          <w:sz w:val="24"/>
        </w:rPr>
        <w:t>报表组件可以定制各种不同类型的报表，包括：年报，月报，日报等，也可以制作时段报表，进行实时数据报表展示等。</w:t>
      </w:r>
    </w:p>
    <w:p>
      <w:pPr>
        <w:adjustRightInd w:val="0"/>
        <w:snapToGrid w:val="0"/>
        <w:spacing w:line="360" w:lineRule="auto"/>
        <w:ind w:firstLine="480" w:firstLineChars="200"/>
        <w:rPr>
          <w:sz w:val="24"/>
        </w:rPr>
      </w:pPr>
      <w:r>
        <w:rPr>
          <w:rFonts w:hint="eastAsia" w:ascii="宋体" w:hAnsi="宋体" w:cs="宋体"/>
          <w:sz w:val="24"/>
        </w:rPr>
        <w:t>②</w:t>
      </w:r>
      <w:r>
        <w:rPr>
          <w:sz w:val="24"/>
        </w:rPr>
        <w:t>提供报表编辑器，用户可自定义任意格式的报表并可通过模板进行管理。</w:t>
      </w:r>
    </w:p>
    <w:p>
      <w:pPr>
        <w:adjustRightInd w:val="0"/>
        <w:snapToGrid w:val="0"/>
        <w:spacing w:line="360" w:lineRule="auto"/>
        <w:ind w:firstLine="480" w:firstLineChars="200"/>
        <w:rPr>
          <w:sz w:val="24"/>
        </w:rPr>
      </w:pPr>
      <w:r>
        <w:rPr>
          <w:rFonts w:hint="eastAsia" w:ascii="宋体" w:hAnsi="宋体" w:cs="宋体"/>
          <w:sz w:val="24"/>
        </w:rPr>
        <w:t>③</w:t>
      </w:r>
      <w:r>
        <w:rPr>
          <w:sz w:val="24"/>
        </w:rPr>
        <w:t>报表组件的编辑模式与运行模式可以在权限许可的情况下，灵活地进行切换。</w:t>
      </w:r>
    </w:p>
    <w:p>
      <w:pPr>
        <w:adjustRightInd w:val="0"/>
        <w:snapToGrid w:val="0"/>
        <w:spacing w:line="360" w:lineRule="auto"/>
        <w:ind w:firstLine="480" w:firstLineChars="200"/>
        <w:rPr>
          <w:sz w:val="24"/>
        </w:rPr>
      </w:pPr>
      <w:r>
        <w:rPr>
          <w:rFonts w:hint="eastAsia" w:ascii="宋体" w:hAnsi="宋体" w:cs="宋体"/>
          <w:sz w:val="24"/>
        </w:rPr>
        <w:t>④</w:t>
      </w:r>
      <w:r>
        <w:rPr>
          <w:sz w:val="24"/>
        </w:rPr>
        <w:t>支持图表插入。</w:t>
      </w:r>
    </w:p>
    <w:p>
      <w:pPr>
        <w:adjustRightInd w:val="0"/>
        <w:snapToGrid w:val="0"/>
        <w:spacing w:line="360" w:lineRule="auto"/>
        <w:ind w:firstLine="480" w:firstLineChars="200"/>
        <w:rPr>
          <w:sz w:val="24"/>
        </w:rPr>
      </w:pPr>
      <w:r>
        <w:rPr>
          <w:rFonts w:hint="eastAsia" w:ascii="宋体" w:hAnsi="宋体" w:cs="宋体"/>
          <w:sz w:val="24"/>
        </w:rPr>
        <w:t>⑤</w:t>
      </w:r>
      <w:r>
        <w:rPr>
          <w:sz w:val="24"/>
        </w:rPr>
        <w:t>支持基本数学统计计算。</w:t>
      </w:r>
    </w:p>
    <w:p>
      <w:pPr>
        <w:adjustRightInd w:val="0"/>
        <w:snapToGrid w:val="0"/>
        <w:spacing w:line="360" w:lineRule="auto"/>
        <w:ind w:firstLine="480" w:firstLineChars="200"/>
        <w:rPr>
          <w:sz w:val="24"/>
        </w:rPr>
      </w:pPr>
      <w:r>
        <w:rPr>
          <w:rFonts w:hint="eastAsia" w:ascii="宋体" w:hAnsi="宋体" w:cs="宋体"/>
          <w:sz w:val="24"/>
        </w:rPr>
        <w:t>⑥</w:t>
      </w:r>
      <w:r>
        <w:rPr>
          <w:sz w:val="24"/>
        </w:rPr>
        <w:t>支持EXCEL文件导入、导出。</w:t>
      </w:r>
    </w:p>
    <w:p>
      <w:pPr>
        <w:adjustRightInd w:val="0"/>
        <w:snapToGrid w:val="0"/>
        <w:spacing w:line="360" w:lineRule="auto"/>
        <w:ind w:firstLine="480" w:firstLineChars="200"/>
        <w:rPr>
          <w:sz w:val="24"/>
        </w:rPr>
      </w:pPr>
      <w:r>
        <w:rPr>
          <w:rFonts w:hint="eastAsia" w:ascii="宋体" w:hAnsi="宋体" w:cs="宋体"/>
          <w:sz w:val="24"/>
        </w:rPr>
        <w:t>⑦</w:t>
      </w:r>
      <w:r>
        <w:rPr>
          <w:sz w:val="24"/>
        </w:rPr>
        <w:t>支持二次开发。</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r>
        <w:rPr>
          <w:rFonts w:hint="eastAsia"/>
          <w:sz w:val="24"/>
        </w:rPr>
        <w:t>（5）图形制作功能</w:t>
      </w:r>
    </w:p>
    <w:p>
      <w:pPr>
        <w:adjustRightInd w:val="0"/>
        <w:snapToGrid w:val="0"/>
        <w:spacing w:line="360" w:lineRule="auto"/>
        <w:ind w:firstLine="480" w:firstLineChars="200"/>
        <w:rPr>
          <w:sz w:val="24"/>
        </w:rPr>
      </w:pPr>
      <w:r>
        <w:rPr>
          <w:sz w:val="24"/>
        </w:rPr>
        <w:t>可以定制并生成各种需要的图形，包括多测点过程线图、布置图、分布图、相关图等。</w:t>
      </w:r>
    </w:p>
    <w:p>
      <w:pPr>
        <w:adjustRightInd w:val="0"/>
        <w:snapToGrid w:val="0"/>
        <w:spacing w:line="360" w:lineRule="auto"/>
        <w:ind w:firstLine="480" w:firstLineChars="200"/>
        <w:rPr>
          <w:sz w:val="24"/>
        </w:rPr>
      </w:pPr>
      <w:r>
        <w:rPr>
          <w:rFonts w:hint="eastAsia" w:ascii="宋体" w:hAnsi="宋体" w:cs="宋体"/>
          <w:sz w:val="24"/>
        </w:rPr>
        <w:t>①</w:t>
      </w:r>
      <w:r>
        <w:rPr>
          <w:sz w:val="24"/>
        </w:rPr>
        <w:t>布置图：</w:t>
      </w:r>
      <w:r>
        <w:rPr>
          <w:rFonts w:hint="eastAsia"/>
          <w:sz w:val="24"/>
        </w:rPr>
        <w:t>以</w:t>
      </w:r>
      <w:r>
        <w:rPr>
          <w:rFonts w:ascii="宋体" w:hAnsi="宋体" w:cs="宋体"/>
          <w:color w:val="000000"/>
          <w:sz w:val="24"/>
        </w:rPr>
        <w:t>工程图纸文件作为背景图，在各监测部位放置相关测点</w:t>
      </w:r>
      <w:r>
        <w:rPr>
          <w:rFonts w:ascii="宋体" w:hAnsi="宋体" w:cs="宋体"/>
          <w:color w:val="000000"/>
          <w:sz w:val="24"/>
        </w:rPr>
        <w:br w:type="textWrapping"/>
      </w:r>
      <w:r>
        <w:rPr>
          <w:rFonts w:ascii="宋体" w:hAnsi="宋体" w:cs="宋体"/>
          <w:color w:val="000000"/>
          <w:sz w:val="24"/>
        </w:rPr>
        <w:t>图元，展示和监测各部位的数据状态。</w:t>
      </w:r>
      <w:r>
        <w:rPr>
          <w:rFonts w:hint="eastAsia" w:ascii="宋体" w:hAnsi="宋体" w:cs="宋体"/>
          <w:sz w:val="24"/>
        </w:rPr>
        <w:t>②</w:t>
      </w:r>
      <w:r>
        <w:rPr>
          <w:sz w:val="24"/>
        </w:rPr>
        <w:t>状态图：能够将多种类型的图形文件（如emf，wmf，jpg，bmp等）作为布置图背景，在布置图上能够放置测点、模块，采集模块作为操作的热点对象，实时观察最新采集到的数据，利用右键功能菜单，可以获取测点的过程线、历史数据和属性，可以对图中的模块和测点进行监测控制（取时钟、单检、选测）。</w:t>
      </w:r>
    </w:p>
    <w:p>
      <w:pPr>
        <w:adjustRightInd w:val="0"/>
        <w:snapToGrid w:val="0"/>
        <w:spacing w:line="360" w:lineRule="auto"/>
        <w:ind w:firstLine="480" w:firstLineChars="200"/>
        <w:rPr>
          <w:sz w:val="24"/>
        </w:rPr>
      </w:pPr>
      <w:r>
        <w:rPr>
          <w:rFonts w:hint="eastAsia" w:ascii="宋体" w:hAnsi="宋体" w:cs="宋体"/>
          <w:sz w:val="24"/>
        </w:rPr>
        <w:t>③</w:t>
      </w:r>
      <w:r>
        <w:rPr>
          <w:sz w:val="24"/>
        </w:rPr>
        <w:t>过程线图：过程线图以棒、折线和平滑线的形式，显示多图、多坐标轴和多测值数据的画面，图形样式参数、输出测值参数均可自定义设置，同时具有数据缩放查看、跟踪查看、统计分析和数据表格联动功能。</w:t>
      </w:r>
    </w:p>
    <w:p>
      <w:pPr>
        <w:adjustRightInd w:val="0"/>
        <w:snapToGrid w:val="0"/>
        <w:spacing w:line="360" w:lineRule="auto"/>
        <w:ind w:firstLine="480" w:firstLineChars="200"/>
        <w:rPr>
          <w:sz w:val="24"/>
        </w:rPr>
      </w:pPr>
      <w:r>
        <w:rPr>
          <w:sz w:val="24"/>
        </w:rPr>
        <w:t>过程线图元编辑时应具备的主要功能有：</w:t>
      </w:r>
    </w:p>
    <w:p>
      <w:pPr>
        <w:adjustRightInd w:val="0"/>
        <w:snapToGrid w:val="0"/>
        <w:spacing w:line="360" w:lineRule="auto"/>
        <w:ind w:firstLine="480" w:firstLineChars="200"/>
        <w:rPr>
          <w:sz w:val="24"/>
        </w:rPr>
      </w:pPr>
      <w:r>
        <w:rPr>
          <w:sz w:val="24"/>
        </w:rPr>
        <w:t>a. 多种方式显示，以棒图、折线和平滑线的形式显示数据；</w:t>
      </w:r>
    </w:p>
    <w:p>
      <w:pPr>
        <w:adjustRightInd w:val="0"/>
        <w:snapToGrid w:val="0"/>
        <w:spacing w:line="360" w:lineRule="auto"/>
        <w:ind w:firstLine="480" w:firstLineChars="200"/>
        <w:rPr>
          <w:sz w:val="24"/>
        </w:rPr>
      </w:pPr>
      <w:r>
        <w:rPr>
          <w:sz w:val="24"/>
        </w:rPr>
        <w:t>b. 多图多线，在同一幅过程图中，可显示多个子图，在每个子图中可显示多个测点数据线；</w:t>
      </w:r>
    </w:p>
    <w:p>
      <w:pPr>
        <w:adjustRightInd w:val="0"/>
        <w:snapToGrid w:val="0"/>
        <w:spacing w:line="360" w:lineRule="auto"/>
        <w:ind w:firstLine="480" w:firstLineChars="200"/>
        <w:rPr>
          <w:sz w:val="24"/>
        </w:rPr>
      </w:pPr>
      <w:r>
        <w:rPr>
          <w:sz w:val="24"/>
        </w:rPr>
        <w:t>c. 多坐标轴，每个子图支持多坐标轴，可选中某过程线快速更换参照的坐标轴；</w:t>
      </w:r>
    </w:p>
    <w:p>
      <w:pPr>
        <w:adjustRightInd w:val="0"/>
        <w:snapToGrid w:val="0"/>
        <w:spacing w:line="360" w:lineRule="auto"/>
        <w:ind w:firstLine="480" w:firstLineChars="200"/>
        <w:rPr>
          <w:sz w:val="24"/>
        </w:rPr>
      </w:pPr>
      <w:r>
        <w:rPr>
          <w:sz w:val="24"/>
        </w:rPr>
        <w:t>d. 图表联动，在图中可关联显示数据表格，并具有联动功能，在图中的跟踪线能定位数据表中选中某条数据，同样在数据表中选中某条数据能定位到图中的跟踪线；</w:t>
      </w:r>
    </w:p>
    <w:p>
      <w:pPr>
        <w:adjustRightInd w:val="0"/>
        <w:snapToGrid w:val="0"/>
        <w:spacing w:line="360" w:lineRule="auto"/>
        <w:ind w:firstLine="480" w:firstLineChars="200"/>
        <w:rPr>
          <w:sz w:val="24"/>
        </w:rPr>
      </w:pPr>
      <w:r>
        <w:rPr>
          <w:sz w:val="24"/>
        </w:rPr>
        <w:t>e. 实时跟踪，在实时跟踪模式下，可滑动鼠标查看跟踪曲线位置的测值及时间信息；</w:t>
      </w:r>
    </w:p>
    <w:p>
      <w:pPr>
        <w:adjustRightInd w:val="0"/>
        <w:snapToGrid w:val="0"/>
        <w:spacing w:line="360" w:lineRule="auto"/>
        <w:ind w:firstLine="480" w:firstLineChars="200"/>
        <w:rPr>
          <w:sz w:val="24"/>
        </w:rPr>
      </w:pPr>
      <w:r>
        <w:rPr>
          <w:sz w:val="24"/>
        </w:rPr>
        <w:t>f. 放大还原，在缩放模式下，可拖动鼠标框选图中区域局部放大并可还原；</w:t>
      </w:r>
    </w:p>
    <w:p>
      <w:pPr>
        <w:adjustRightInd w:val="0"/>
        <w:snapToGrid w:val="0"/>
        <w:spacing w:line="360" w:lineRule="auto"/>
        <w:ind w:firstLine="480" w:firstLineChars="200"/>
        <w:rPr>
          <w:sz w:val="24"/>
        </w:rPr>
      </w:pPr>
      <w:r>
        <w:rPr>
          <w:sz w:val="24"/>
        </w:rPr>
        <w:t>g. 特征值统计，在特征值统计模式下，可拖动鼠标框选数据区域，查看选择区域的特征值（如：最大、最小和平均值）；</w:t>
      </w:r>
    </w:p>
    <w:p>
      <w:pPr>
        <w:adjustRightInd w:val="0"/>
        <w:snapToGrid w:val="0"/>
        <w:spacing w:line="360" w:lineRule="auto"/>
        <w:ind w:firstLine="480" w:firstLineChars="200"/>
        <w:rPr>
          <w:sz w:val="24"/>
        </w:rPr>
      </w:pPr>
      <w:r>
        <w:rPr>
          <w:sz w:val="24"/>
        </w:rPr>
        <w:t>h. 数据移动，在拖动模式下，可拖动数据线横向或纵向移，也可弹出精确移动设置对话框，精确移动设置；</w:t>
      </w:r>
    </w:p>
    <w:p>
      <w:pPr>
        <w:adjustRightInd w:val="0"/>
        <w:snapToGrid w:val="0"/>
        <w:spacing w:line="360" w:lineRule="auto"/>
        <w:ind w:firstLine="480" w:firstLineChars="200"/>
        <w:rPr>
          <w:sz w:val="24"/>
        </w:rPr>
      </w:pPr>
      <w:r>
        <w:rPr>
          <w:sz w:val="24"/>
        </w:rPr>
        <w:fldChar w:fldCharType="begin"/>
      </w:r>
      <w:r>
        <w:rPr>
          <w:sz w:val="24"/>
        </w:rPr>
        <w:instrText xml:space="preserve">= 4 \* GB3</w:instrText>
      </w:r>
      <w:r>
        <w:rPr>
          <w:sz w:val="24"/>
        </w:rPr>
        <w:fldChar w:fldCharType="separate"/>
      </w:r>
      <w:r>
        <w:rPr>
          <w:rFonts w:hint="eastAsia" w:ascii="宋体" w:hAnsi="宋体" w:cs="宋体"/>
          <w:sz w:val="24"/>
        </w:rPr>
        <w:t>④</w:t>
      </w:r>
      <w:r>
        <w:rPr>
          <w:sz w:val="24"/>
        </w:rPr>
        <w:fldChar w:fldCharType="end"/>
      </w:r>
      <w:r>
        <w:rPr>
          <w:sz w:val="24"/>
        </w:rPr>
        <w:t>分布图：分布图用于展示多个分布测点在某时间点的测值变化。</w:t>
      </w:r>
    </w:p>
    <w:p>
      <w:pPr>
        <w:adjustRightInd w:val="0"/>
        <w:snapToGrid w:val="0"/>
        <w:spacing w:line="360" w:lineRule="auto"/>
        <w:ind w:firstLine="480" w:firstLineChars="200"/>
        <w:rPr>
          <w:sz w:val="24"/>
        </w:rPr>
      </w:pPr>
      <w:r>
        <w:rPr>
          <w:sz w:val="24"/>
        </w:rPr>
        <w:t>分布图编辑时的主要功能应包括：</w:t>
      </w:r>
    </w:p>
    <w:p>
      <w:pPr>
        <w:adjustRightInd w:val="0"/>
        <w:snapToGrid w:val="0"/>
        <w:spacing w:line="360" w:lineRule="auto"/>
        <w:ind w:firstLine="480" w:firstLineChars="200"/>
        <w:rPr>
          <w:sz w:val="24"/>
        </w:rPr>
      </w:pPr>
      <w:r>
        <w:rPr>
          <w:sz w:val="24"/>
        </w:rPr>
        <w:t>a. 设置分布测点，按测点和按分布项目两种方式选择；</w:t>
      </w:r>
    </w:p>
    <w:p>
      <w:pPr>
        <w:adjustRightInd w:val="0"/>
        <w:snapToGrid w:val="0"/>
        <w:spacing w:line="360" w:lineRule="auto"/>
        <w:ind w:firstLine="480" w:firstLineChars="200"/>
        <w:rPr>
          <w:sz w:val="24"/>
        </w:rPr>
      </w:pPr>
      <w:r>
        <w:rPr>
          <w:sz w:val="24"/>
        </w:rPr>
        <w:t>b. 设置背景图；</w:t>
      </w:r>
    </w:p>
    <w:p>
      <w:pPr>
        <w:adjustRightInd w:val="0"/>
        <w:snapToGrid w:val="0"/>
        <w:spacing w:line="360" w:lineRule="auto"/>
        <w:ind w:firstLine="480" w:firstLineChars="200"/>
        <w:rPr>
          <w:sz w:val="24"/>
        </w:rPr>
      </w:pPr>
      <w:r>
        <w:rPr>
          <w:sz w:val="24"/>
        </w:rPr>
        <w:t>c. 其它属性设置，如：标题、外观、图例和曲线样式；</w:t>
      </w:r>
    </w:p>
    <w:p>
      <w:pPr>
        <w:adjustRightInd w:val="0"/>
        <w:snapToGrid w:val="0"/>
        <w:spacing w:line="360" w:lineRule="auto"/>
        <w:ind w:firstLine="480" w:firstLineChars="200"/>
        <w:rPr>
          <w:sz w:val="24"/>
        </w:rPr>
      </w:pPr>
      <w:r>
        <w:rPr>
          <w:sz w:val="24"/>
        </w:rPr>
        <w:t>分布图运行时的主要功能应包括：</w:t>
      </w:r>
    </w:p>
    <w:p>
      <w:pPr>
        <w:adjustRightInd w:val="0"/>
        <w:snapToGrid w:val="0"/>
        <w:spacing w:line="360" w:lineRule="auto"/>
        <w:ind w:firstLine="480" w:firstLineChars="200"/>
        <w:rPr>
          <w:sz w:val="24"/>
        </w:rPr>
      </w:pPr>
      <w:r>
        <w:rPr>
          <w:sz w:val="24"/>
        </w:rPr>
        <w:t>a. 查询某时段数据；</w:t>
      </w:r>
    </w:p>
    <w:p>
      <w:pPr>
        <w:adjustRightInd w:val="0"/>
        <w:snapToGrid w:val="0"/>
        <w:spacing w:line="360" w:lineRule="auto"/>
        <w:ind w:firstLine="480" w:firstLineChars="200"/>
        <w:rPr>
          <w:sz w:val="24"/>
        </w:rPr>
      </w:pPr>
      <w:r>
        <w:rPr>
          <w:sz w:val="24"/>
        </w:rPr>
        <w:t>b. 显示分布曲线；</w:t>
      </w:r>
    </w:p>
    <w:p>
      <w:pPr>
        <w:adjustRightInd w:val="0"/>
        <w:snapToGrid w:val="0"/>
        <w:spacing w:line="360" w:lineRule="auto"/>
        <w:ind w:firstLine="480" w:firstLineChars="200"/>
        <w:rPr>
          <w:sz w:val="24"/>
        </w:rPr>
      </w:pPr>
      <w:r>
        <w:rPr>
          <w:sz w:val="24"/>
        </w:rPr>
        <w:t>c.显示特征、统计曲线(如：历史最大、最小值、平均值和设计值等)；</w:t>
      </w:r>
    </w:p>
    <w:p>
      <w:pPr>
        <w:adjustRightInd w:val="0"/>
        <w:snapToGrid w:val="0"/>
        <w:spacing w:line="360" w:lineRule="auto"/>
        <w:ind w:firstLine="480" w:firstLineChars="200"/>
        <w:rPr>
          <w:sz w:val="24"/>
        </w:rPr>
      </w:pPr>
      <w:r>
        <w:rPr>
          <w:rFonts w:hint="eastAsia" w:ascii="宋体" w:hAnsi="宋体" w:cs="宋体"/>
          <w:sz w:val="24"/>
        </w:rPr>
        <w:t>⑤</w:t>
      </w:r>
      <w:r>
        <w:rPr>
          <w:sz w:val="24"/>
        </w:rPr>
        <w:t>相关图</w:t>
      </w:r>
    </w:p>
    <w:p>
      <w:pPr>
        <w:adjustRightInd w:val="0"/>
        <w:snapToGrid w:val="0"/>
        <w:spacing w:line="360" w:lineRule="auto"/>
        <w:ind w:firstLine="480" w:firstLineChars="200"/>
        <w:rPr>
          <w:sz w:val="24"/>
        </w:rPr>
      </w:pPr>
      <w:r>
        <w:rPr>
          <w:sz w:val="24"/>
        </w:rPr>
        <w:t>相关性曲线画面是以曲线、散点形式，展示两个测点数据（如位移与环境量相关性）的相关性画面，可以选择多种趋势分析方法(指数、线性、多项式等),并显示公式参数和相关系数。相关性曲线主要功能应包括：</w:t>
      </w:r>
    </w:p>
    <w:p>
      <w:pPr>
        <w:adjustRightInd w:val="0"/>
        <w:snapToGrid w:val="0"/>
        <w:spacing w:line="360" w:lineRule="auto"/>
        <w:ind w:firstLine="480" w:firstLineChars="200"/>
        <w:rPr>
          <w:sz w:val="24"/>
        </w:rPr>
      </w:pPr>
      <w:r>
        <w:rPr>
          <w:sz w:val="24"/>
        </w:rPr>
        <w:t>a. 二维相关性数据分析；</w:t>
      </w:r>
    </w:p>
    <w:p>
      <w:pPr>
        <w:adjustRightInd w:val="0"/>
        <w:snapToGrid w:val="0"/>
        <w:spacing w:line="360" w:lineRule="auto"/>
        <w:ind w:firstLine="480" w:firstLineChars="200"/>
        <w:rPr>
          <w:sz w:val="24"/>
        </w:rPr>
      </w:pPr>
      <w:r>
        <w:rPr>
          <w:sz w:val="24"/>
        </w:rPr>
        <w:t>b. 三维相关性数据分析；</w:t>
      </w:r>
    </w:p>
    <w:p>
      <w:pPr>
        <w:adjustRightInd w:val="0"/>
        <w:snapToGrid w:val="0"/>
        <w:spacing w:line="360" w:lineRule="auto"/>
        <w:ind w:firstLine="480" w:firstLineChars="200"/>
        <w:rPr>
          <w:sz w:val="24"/>
        </w:rPr>
      </w:pPr>
      <w:r>
        <w:rPr>
          <w:sz w:val="24"/>
        </w:rPr>
        <w:t>c. 显示趋势线及拟合公式；</w:t>
      </w:r>
    </w:p>
    <w:p>
      <w:pPr>
        <w:adjustRightInd w:val="0"/>
        <w:snapToGrid w:val="0"/>
        <w:spacing w:line="360" w:lineRule="auto"/>
        <w:ind w:firstLine="480" w:firstLineChars="200"/>
        <w:rPr>
          <w:sz w:val="24"/>
        </w:rPr>
      </w:pPr>
      <w:r>
        <w:rPr>
          <w:sz w:val="24"/>
        </w:rPr>
        <w:t>d. 实时拟合计算；</w:t>
      </w:r>
    </w:p>
    <w:p>
      <w:pPr>
        <w:adjustRightInd w:val="0"/>
        <w:snapToGrid w:val="0"/>
        <w:spacing w:line="360" w:lineRule="auto"/>
        <w:ind w:firstLine="480" w:firstLineChars="200"/>
        <w:rPr>
          <w:sz w:val="24"/>
        </w:rPr>
      </w:pPr>
      <w:r>
        <w:rPr>
          <w:sz w:val="24"/>
        </w:rPr>
        <w:t>e. 表格数据显示；</w:t>
      </w:r>
    </w:p>
    <w:p>
      <w:pPr>
        <w:adjustRightInd w:val="0"/>
        <w:snapToGrid w:val="0"/>
        <w:spacing w:line="360" w:lineRule="auto"/>
        <w:ind w:firstLine="480" w:firstLineChars="200"/>
        <w:rPr>
          <w:sz w:val="24"/>
        </w:rPr>
      </w:pPr>
      <w:r>
        <w:rPr>
          <w:sz w:val="24"/>
        </w:rPr>
        <w:t>f. 相关性参数设置；</w:t>
      </w:r>
    </w:p>
    <w:p>
      <w:pPr>
        <w:adjustRightInd w:val="0"/>
        <w:snapToGrid w:val="0"/>
        <w:spacing w:line="360" w:lineRule="auto"/>
        <w:ind w:firstLine="480" w:firstLineChars="200"/>
        <w:rPr>
          <w:sz w:val="24"/>
        </w:rPr>
      </w:pPr>
      <w:r>
        <w:rPr>
          <w:sz w:val="24"/>
        </w:rPr>
        <w:t>g. 数据样式设置；</w:t>
      </w:r>
    </w:p>
    <w:p>
      <w:pPr>
        <w:adjustRightInd w:val="0"/>
        <w:snapToGrid w:val="0"/>
        <w:spacing w:line="360" w:lineRule="auto"/>
        <w:ind w:firstLine="480" w:firstLineChars="200"/>
        <w:rPr>
          <w:sz w:val="24"/>
        </w:rPr>
      </w:pPr>
      <w:r>
        <w:rPr>
          <w:sz w:val="24"/>
        </w:rPr>
        <w:t>h. 坐标轴属性设置；</w:t>
      </w:r>
    </w:p>
    <w:p>
      <w:pPr>
        <w:adjustRightInd w:val="0"/>
        <w:snapToGrid w:val="0"/>
        <w:spacing w:line="360" w:lineRule="auto"/>
        <w:ind w:firstLine="480" w:firstLineChars="200"/>
        <w:rPr>
          <w:sz w:val="24"/>
        </w:rPr>
      </w:pPr>
      <w:r>
        <w:rPr>
          <w:sz w:val="24"/>
        </w:rPr>
        <w:t>i. 图形其它属性设置。</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r>
        <w:rPr>
          <w:rFonts w:hint="eastAsia"/>
          <w:sz w:val="24"/>
        </w:rPr>
        <w:t>（6）报警功能</w:t>
      </w:r>
    </w:p>
    <w:p>
      <w:pPr>
        <w:adjustRightInd w:val="0"/>
        <w:snapToGrid w:val="0"/>
        <w:spacing w:line="360" w:lineRule="auto"/>
        <w:ind w:firstLine="480" w:firstLineChars="200"/>
        <w:rPr>
          <w:sz w:val="24"/>
        </w:rPr>
      </w:pPr>
      <w:r>
        <w:rPr>
          <w:sz w:val="24"/>
        </w:rPr>
        <w:t>提供超量程、超预警值、超变幅、异常状态、缺数等内容的报警服务。各项报警信息按照用户的报警策略进行解析，按照指定方式发送给指定的报警接收者，报警方式有语音报警、短信报警、邮件报警、短信查询等。用户可以自定义报警源和报警策略。</w:t>
      </w:r>
      <w:r>
        <w:rPr>
          <w:rFonts w:hint="eastAsia"/>
          <w:sz w:val="24"/>
        </w:rPr>
        <w:t>对施工期和运行期异常信息、预警事件处置情况资料进行统计管理；实现从设备采集、维护到异常报警等多层次的信息推送。</w:t>
      </w:r>
    </w:p>
    <w:p>
      <w:pPr>
        <w:adjustRightInd w:val="0"/>
        <w:snapToGrid w:val="0"/>
        <w:spacing w:line="360" w:lineRule="auto"/>
        <w:ind w:firstLine="480" w:firstLineChars="200"/>
        <w:rPr>
          <w:sz w:val="24"/>
        </w:rPr>
      </w:pPr>
      <w:r>
        <w:rPr>
          <w:rFonts w:hint="eastAsia"/>
          <w:sz w:val="24"/>
        </w:rPr>
        <w:t>（7）实时重点监控功能</w:t>
      </w:r>
    </w:p>
    <w:p>
      <w:pPr>
        <w:adjustRightInd w:val="0"/>
        <w:snapToGrid w:val="0"/>
        <w:spacing w:line="360" w:lineRule="auto"/>
        <w:ind w:firstLine="480" w:firstLineChars="200"/>
        <w:rPr>
          <w:sz w:val="24"/>
        </w:rPr>
      </w:pPr>
      <w:r>
        <w:rPr>
          <w:sz w:val="24"/>
        </w:rPr>
        <w:t>可建立实时重点监控表，实时选测数据存储入库，表格定时从数据库中查询数据的方式展示重点监控项目。主要功能包括定时表格监视、定时选测及实时表格数据输出。</w:t>
      </w:r>
      <w:r>
        <w:rPr>
          <w:rFonts w:hint="eastAsia"/>
          <w:sz w:val="24"/>
        </w:rPr>
        <w:t>重点监控部位及监测数据可通过布置图的形式进行展示。</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r>
        <w:rPr>
          <w:rFonts w:hint="eastAsia"/>
          <w:sz w:val="24"/>
        </w:rPr>
        <w:t>（8）系统管理及资料管理功能</w:t>
      </w:r>
    </w:p>
    <w:p>
      <w:pPr>
        <w:adjustRightInd w:val="0"/>
        <w:snapToGrid w:val="0"/>
        <w:spacing w:line="360" w:lineRule="auto"/>
        <w:ind w:firstLine="480" w:firstLineChars="200"/>
        <w:rPr>
          <w:sz w:val="24"/>
        </w:rPr>
      </w:pPr>
      <w:r>
        <w:rPr>
          <w:sz w:val="24"/>
        </w:rPr>
        <w:fldChar w:fldCharType="begin"/>
      </w:r>
      <w:r>
        <w:rPr>
          <w:sz w:val="24"/>
        </w:rPr>
        <w:instrText xml:space="preserve">= 1 \* GB3</w:instrText>
      </w:r>
      <w:r>
        <w:rPr>
          <w:sz w:val="24"/>
        </w:rPr>
        <w:fldChar w:fldCharType="separate"/>
      </w:r>
      <w:r>
        <w:rPr>
          <w:rFonts w:hint="eastAsia" w:ascii="宋体" w:hAnsi="宋体" w:cs="宋体"/>
          <w:sz w:val="24"/>
        </w:rPr>
        <w:t>①</w:t>
      </w:r>
      <w:r>
        <w:rPr>
          <w:sz w:val="24"/>
        </w:rPr>
        <w:fldChar w:fldCharType="end"/>
      </w:r>
      <w:r>
        <w:rPr>
          <w:sz w:val="24"/>
        </w:rPr>
        <w:t>系统配置及测点维护，系统运行管理；</w:t>
      </w:r>
    </w:p>
    <w:p>
      <w:pPr>
        <w:adjustRightInd w:val="0"/>
        <w:snapToGrid w:val="0"/>
        <w:spacing w:line="360" w:lineRule="auto"/>
        <w:ind w:firstLine="480" w:firstLineChars="200"/>
        <w:rPr>
          <w:sz w:val="24"/>
        </w:rPr>
      </w:pPr>
      <w:r>
        <w:rPr>
          <w:sz w:val="24"/>
        </w:rPr>
        <w:fldChar w:fldCharType="begin"/>
      </w:r>
      <w:r>
        <w:rPr>
          <w:sz w:val="24"/>
        </w:rPr>
        <w:instrText xml:space="preserve">= 2 \* GB3</w:instrText>
      </w:r>
      <w:r>
        <w:rPr>
          <w:sz w:val="24"/>
        </w:rPr>
        <w:fldChar w:fldCharType="separate"/>
      </w:r>
      <w:r>
        <w:rPr>
          <w:rFonts w:hint="eastAsia" w:ascii="宋体" w:hAnsi="宋体" w:cs="宋体"/>
          <w:sz w:val="24"/>
        </w:rPr>
        <w:t>②</w:t>
      </w:r>
      <w:r>
        <w:rPr>
          <w:sz w:val="24"/>
        </w:rPr>
        <w:fldChar w:fldCharType="end"/>
      </w:r>
      <w:r>
        <w:rPr>
          <w:sz w:val="24"/>
        </w:rPr>
        <w:t>系统用户及权限管理；</w:t>
      </w:r>
    </w:p>
    <w:p>
      <w:pPr>
        <w:adjustRightInd w:val="0"/>
        <w:snapToGrid w:val="0"/>
        <w:spacing w:line="360" w:lineRule="auto"/>
        <w:ind w:firstLine="480" w:firstLineChars="200"/>
        <w:rPr>
          <w:sz w:val="24"/>
        </w:rPr>
      </w:pPr>
      <w:r>
        <w:rPr>
          <w:sz w:val="24"/>
        </w:rPr>
        <w:fldChar w:fldCharType="begin"/>
      </w:r>
      <w:r>
        <w:rPr>
          <w:sz w:val="24"/>
        </w:rPr>
        <w:instrText xml:space="preserve">= 3 \* GB3</w:instrText>
      </w:r>
      <w:r>
        <w:rPr>
          <w:sz w:val="24"/>
        </w:rPr>
        <w:fldChar w:fldCharType="separate"/>
      </w:r>
      <w:r>
        <w:rPr>
          <w:rFonts w:hint="eastAsia" w:ascii="宋体" w:hAnsi="宋体" w:cs="宋体"/>
          <w:sz w:val="24"/>
        </w:rPr>
        <w:t>③</w:t>
      </w:r>
      <w:r>
        <w:rPr>
          <w:sz w:val="24"/>
        </w:rPr>
        <w:fldChar w:fldCharType="end"/>
      </w:r>
      <w:r>
        <w:rPr>
          <w:sz w:val="24"/>
        </w:rPr>
        <w:t>系统数据备份及恢复；</w:t>
      </w:r>
    </w:p>
    <w:p>
      <w:pPr>
        <w:adjustRightInd w:val="0"/>
        <w:snapToGrid w:val="0"/>
        <w:spacing w:line="360" w:lineRule="auto"/>
        <w:ind w:firstLine="480" w:firstLineChars="200"/>
        <w:rPr>
          <w:sz w:val="24"/>
        </w:rPr>
      </w:pPr>
      <w:r>
        <w:rPr>
          <w:sz w:val="24"/>
        </w:rPr>
        <w:fldChar w:fldCharType="begin"/>
      </w:r>
      <w:r>
        <w:rPr>
          <w:sz w:val="24"/>
        </w:rPr>
        <w:instrText xml:space="preserve">= 4 \* GB3</w:instrText>
      </w:r>
      <w:r>
        <w:rPr>
          <w:sz w:val="24"/>
        </w:rPr>
        <w:fldChar w:fldCharType="separate"/>
      </w:r>
      <w:r>
        <w:rPr>
          <w:rFonts w:hint="eastAsia" w:ascii="宋体" w:hAnsi="宋体" w:cs="宋体"/>
          <w:sz w:val="24"/>
        </w:rPr>
        <w:t>④</w:t>
      </w:r>
      <w:r>
        <w:rPr>
          <w:sz w:val="24"/>
        </w:rPr>
        <w:fldChar w:fldCharType="end"/>
      </w:r>
      <w:r>
        <w:rPr>
          <w:sz w:val="24"/>
        </w:rPr>
        <w:t>提供文档管理器，可对各种格式的文件进行查询检索等管理；</w:t>
      </w:r>
    </w:p>
    <w:p>
      <w:pPr>
        <w:adjustRightInd w:val="0"/>
        <w:snapToGrid w:val="0"/>
        <w:spacing w:line="360" w:lineRule="auto"/>
        <w:ind w:firstLine="480" w:firstLineChars="200"/>
        <w:rPr>
          <w:sz w:val="24"/>
        </w:rPr>
      </w:pPr>
      <w:r>
        <w:rPr>
          <w:sz w:val="24"/>
        </w:rPr>
        <w:fldChar w:fldCharType="begin"/>
      </w:r>
      <w:r>
        <w:rPr>
          <w:sz w:val="24"/>
        </w:rPr>
        <w:instrText xml:space="preserve">= 5 \* GB3</w:instrText>
      </w:r>
      <w:r>
        <w:rPr>
          <w:sz w:val="24"/>
        </w:rPr>
        <w:fldChar w:fldCharType="separate"/>
      </w:r>
      <w:r>
        <w:rPr>
          <w:rFonts w:hint="eastAsia" w:ascii="宋体" w:hAnsi="宋体" w:cs="宋体"/>
          <w:sz w:val="24"/>
        </w:rPr>
        <w:t>⑤</w:t>
      </w:r>
      <w:r>
        <w:rPr>
          <w:sz w:val="24"/>
        </w:rPr>
        <w:fldChar w:fldCharType="end"/>
      </w:r>
      <w:r>
        <w:rPr>
          <w:sz w:val="24"/>
        </w:rPr>
        <w:t>可对工程资料、仪器考证资料及本工程建筑物安全信息资料进行管理。</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r>
        <w:rPr>
          <w:rFonts w:hint="eastAsia"/>
          <w:sz w:val="24"/>
        </w:rPr>
        <w:t>（9）画面组态及图像热点</w:t>
      </w:r>
    </w:p>
    <w:p>
      <w:pPr>
        <w:adjustRightInd w:val="0"/>
        <w:snapToGrid w:val="0"/>
        <w:spacing w:line="360" w:lineRule="auto"/>
        <w:ind w:firstLine="480" w:firstLineChars="200"/>
        <w:rPr>
          <w:sz w:val="24"/>
        </w:rPr>
      </w:pPr>
      <w:r>
        <w:rPr>
          <w:sz w:val="24"/>
        </w:rPr>
        <w:t>系统所有应用功能可组态，包括系统资源、业务画面、报表、报警信息等，如对布置图、过程线图、分布图、相关性图、状态图（监测系统的运行状态）、数据查询表格进行画面组态。在画面组态工具提供各种类型的图元，常用的图元包括：基本形状、常用图标、测点图元、过程线、相关图、实时监控等，同时还支持用户自定义扩展图元。画面支持多图层、多视图视显示，画面可在编辑态和运行态之间自由切换。建立图像热点，把每个热点链接到不同的网页或相应页面。</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r>
        <w:rPr>
          <w:rFonts w:hint="eastAsia"/>
          <w:sz w:val="24"/>
        </w:rPr>
        <w:t>（10）</w:t>
      </w:r>
      <w:r>
        <w:rPr>
          <w:sz w:val="24"/>
        </w:rPr>
        <w:t>格式化</w:t>
      </w:r>
      <w:r>
        <w:rPr>
          <w:rFonts w:hint="eastAsia"/>
          <w:sz w:val="24"/>
        </w:rPr>
        <w:t>文档</w:t>
      </w:r>
    </w:p>
    <w:p>
      <w:pPr>
        <w:adjustRightInd w:val="0"/>
        <w:snapToGrid w:val="0"/>
        <w:spacing w:line="360" w:lineRule="auto"/>
        <w:ind w:firstLine="480" w:firstLineChars="200"/>
        <w:rPr>
          <w:sz w:val="24"/>
        </w:rPr>
      </w:pPr>
      <w:r>
        <w:rPr>
          <w:sz w:val="24"/>
        </w:rPr>
        <w:t>对于办公中经常使用到的报告类型文档，可以实现简单的一键替换，而无须传统的手工查询数据并制作报告，达到提高办公自动化水平、提升工作效率、降低文档制作工作量的目的。</w:t>
      </w:r>
    </w:p>
    <w:p>
      <w:pPr>
        <w:adjustRightInd w:val="0"/>
        <w:snapToGrid w:val="0"/>
        <w:spacing w:line="360" w:lineRule="auto"/>
        <w:ind w:firstLine="480" w:firstLineChars="200"/>
        <w:rPr>
          <w:sz w:val="24"/>
        </w:rPr>
      </w:pPr>
      <w:r>
        <w:rPr>
          <w:sz w:val="24"/>
        </w:rPr>
        <w:t>格式化文档的主要功能分为编辑功能和数据替换功能。编辑功能可以实现对一个Word文档在需要插入可变数据的位置，从资源文件的数据来源处生成标记并保存。数据替换功能可以实现对已生成标记的Word文档从资源文件处获取查询数据，并替换至Word文档中标记的部分。</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r>
        <w:rPr>
          <w:rFonts w:hint="eastAsia"/>
          <w:sz w:val="24"/>
        </w:rPr>
        <w:t>（11）离线分析功能</w:t>
      </w:r>
    </w:p>
    <w:p>
      <w:pPr>
        <w:adjustRightInd w:val="0"/>
        <w:snapToGrid w:val="0"/>
        <w:spacing w:line="360" w:lineRule="auto"/>
        <w:ind w:firstLine="480" w:firstLineChars="200"/>
        <w:rPr>
          <w:sz w:val="24"/>
        </w:rPr>
      </w:pPr>
      <w:r>
        <w:rPr>
          <w:sz w:val="24"/>
        </w:rPr>
        <w:t>软件应具备监测资料模型分析功能，在足够的监测成果数据及其它相关信息数据的支撑下，实现监测量影响因子的设定及其数据自动生成、多种回归拟合算法（如多元线性逐步回归、偏最小二乘回归等）计算、包括统计模型、混合模型、确定性模型在内的监测量物理模型方程的建立、变形监测量一维分布模型的建立、模型方程的检验、模型方程的分解分析、各分量的对比分析、不可逆量的趋势性分析等诸多安全监测资料深入分析功能</w:t>
      </w:r>
      <w:r>
        <w:rPr>
          <w:rFonts w:hint="eastAsia"/>
          <w:sz w:val="24"/>
        </w:rPr>
        <w:t>。对</w:t>
      </w:r>
      <w:r>
        <w:rPr>
          <w:sz w:val="24"/>
        </w:rPr>
        <w:t>运行期重点部位安全状态</w:t>
      </w:r>
      <w:r>
        <w:rPr>
          <w:rFonts w:hint="eastAsia"/>
          <w:sz w:val="24"/>
        </w:rPr>
        <w:t>进行</w:t>
      </w:r>
      <w:r>
        <w:rPr>
          <w:sz w:val="24"/>
        </w:rPr>
        <w:t>智能分析、预测与评价</w:t>
      </w:r>
      <w:r>
        <w:rPr>
          <w:rFonts w:hint="eastAsia"/>
          <w:sz w:val="24"/>
        </w:rPr>
        <w:t>。</w:t>
      </w:r>
    </w:p>
    <w:p>
      <w:pPr>
        <w:adjustRightInd w:val="0"/>
        <w:snapToGrid w:val="0"/>
        <w:spacing w:line="360" w:lineRule="auto"/>
        <w:ind w:firstLine="480" w:firstLineChars="200"/>
        <w:rPr>
          <w:sz w:val="24"/>
        </w:rPr>
      </w:pPr>
    </w:p>
    <w:p>
      <w:pPr>
        <w:pStyle w:val="6"/>
        <w:adjustRightInd w:val="0"/>
        <w:snapToGrid w:val="0"/>
        <w:spacing w:line="360" w:lineRule="auto"/>
      </w:pPr>
      <w:r>
        <w:rPr>
          <w:rFonts w:hint="eastAsia"/>
        </w:rPr>
        <w:t>1.3.12.6 监测自动化系统供电及接地保护</w:t>
      </w:r>
    </w:p>
    <w:p>
      <w:pPr>
        <w:adjustRightInd w:val="0"/>
        <w:snapToGrid w:val="0"/>
        <w:spacing w:line="500" w:lineRule="atLeast"/>
        <w:ind w:firstLine="480" w:firstLineChars="200"/>
        <w:rPr>
          <w:sz w:val="24"/>
        </w:rPr>
      </w:pPr>
      <w:r>
        <w:rPr>
          <w:sz w:val="24"/>
        </w:rPr>
        <w:t>（1）数据采集装置</w:t>
      </w:r>
    </w:p>
    <w:p>
      <w:pPr>
        <w:adjustRightInd w:val="0"/>
        <w:snapToGrid w:val="0"/>
        <w:spacing w:line="500" w:lineRule="atLeast"/>
        <w:ind w:firstLine="480" w:firstLineChars="200"/>
        <w:rPr>
          <w:sz w:val="24"/>
        </w:rPr>
      </w:pPr>
      <w:r>
        <w:rPr>
          <w:sz w:val="24"/>
        </w:rPr>
        <w:t>数据采集装置采用现场网络层监控设备和监测中央控制层监控设备集中分路专供电源方式供电，数据采集装置接地电阻不大于10Ω，通信线路和电源线路应安装有专用防雷器。</w:t>
      </w:r>
    </w:p>
    <w:p>
      <w:pPr>
        <w:adjustRightInd w:val="0"/>
        <w:snapToGrid w:val="0"/>
        <w:spacing w:line="500" w:lineRule="atLeast"/>
        <w:ind w:firstLine="480" w:firstLineChars="200"/>
        <w:rPr>
          <w:sz w:val="24"/>
        </w:rPr>
      </w:pPr>
      <w:r>
        <w:rPr>
          <w:sz w:val="24"/>
        </w:rPr>
        <w:t>（2）通信线路</w:t>
      </w:r>
    </w:p>
    <w:p>
      <w:pPr>
        <w:adjustRightInd w:val="0"/>
        <w:snapToGrid w:val="0"/>
        <w:spacing w:line="500" w:lineRule="atLeast"/>
        <w:ind w:firstLine="480" w:firstLineChars="200"/>
        <w:rPr>
          <w:sz w:val="24"/>
        </w:rPr>
      </w:pPr>
      <w:r>
        <w:rPr>
          <w:sz w:val="24"/>
        </w:rPr>
        <w:t>通信及电源电缆沿地面敷设时，采用穿钢管保护，并将保护钢管分段重复接地。</w:t>
      </w:r>
    </w:p>
    <w:p>
      <w:pPr>
        <w:adjustRightInd w:val="0"/>
        <w:snapToGrid w:val="0"/>
        <w:spacing w:line="500" w:lineRule="atLeast"/>
        <w:ind w:firstLine="480" w:firstLineChars="200"/>
        <w:rPr>
          <w:sz w:val="24"/>
        </w:rPr>
      </w:pPr>
      <w:r>
        <w:rPr>
          <w:sz w:val="24"/>
        </w:rPr>
        <w:t>（3）现场监控与监测管理中心站</w:t>
      </w:r>
    </w:p>
    <w:p>
      <w:pPr>
        <w:adjustRightInd w:val="0"/>
        <w:snapToGrid w:val="0"/>
        <w:spacing w:line="500" w:lineRule="atLeast"/>
        <w:ind w:firstLine="480" w:firstLineChars="200"/>
        <w:rPr>
          <w:sz w:val="24"/>
        </w:rPr>
      </w:pPr>
      <w:r>
        <w:rPr>
          <w:sz w:val="24"/>
        </w:rPr>
        <w:t>现场监控层与监测管理中心站机房环境应满足设备的温度、湿度等要求。供电电源参数：频率50Hz；电压380V/220V；相数：三相五线制或三相四线制。机房不间断电源UPS应保证在交流断电后维持系统持续工作2h以上。另外，视现场供电交流电源质量情况，可选择配置净化供电装置。</w:t>
      </w:r>
    </w:p>
    <w:p>
      <w:pPr>
        <w:adjustRightInd w:val="0"/>
        <w:snapToGrid w:val="0"/>
        <w:spacing w:line="500" w:lineRule="atLeast"/>
        <w:ind w:firstLine="480" w:firstLineChars="200"/>
        <w:rPr>
          <w:sz w:val="24"/>
        </w:rPr>
      </w:pPr>
      <w:r>
        <w:rPr>
          <w:sz w:val="24"/>
        </w:rPr>
        <w:t>现场监控层与监测管理中心站设备应进行防护接地，要求接入电站工程接地网，接地电阻不大于4Ω。</w:t>
      </w:r>
    </w:p>
    <w:p>
      <w:pPr>
        <w:adjustRightInd w:val="0"/>
        <w:snapToGrid w:val="0"/>
        <w:spacing w:line="360" w:lineRule="auto"/>
        <w:ind w:firstLine="480" w:firstLineChars="200"/>
        <w:rPr>
          <w:sz w:val="24"/>
        </w:rPr>
      </w:pPr>
    </w:p>
    <w:p>
      <w:pPr>
        <w:pStyle w:val="6"/>
        <w:adjustRightInd w:val="0"/>
        <w:snapToGrid w:val="0"/>
        <w:spacing w:line="360" w:lineRule="auto"/>
      </w:pPr>
      <w:r>
        <w:rPr>
          <w:rFonts w:hint="eastAsia"/>
        </w:rPr>
        <w:t>1.3.12.7 现场安装和调试</w:t>
      </w:r>
    </w:p>
    <w:p>
      <w:pPr>
        <w:adjustRightInd w:val="0"/>
        <w:snapToGrid w:val="0"/>
        <w:spacing w:line="500" w:lineRule="atLeast"/>
        <w:ind w:firstLine="480" w:firstLineChars="200"/>
        <w:rPr>
          <w:sz w:val="24"/>
        </w:rPr>
      </w:pPr>
      <w:r>
        <w:rPr>
          <w:sz w:val="24"/>
        </w:rPr>
        <w:t>监测自动化系统设备安装及电缆布线应整齐，监测设施应考虑必要的防护措施。监测自动化系统设备支座及支架应安装牢固，确保与被测对象联成整体，支架必须进行防锈处理。对接入监测自动化系统的监测仪器应进行检查或比测。</w:t>
      </w:r>
    </w:p>
    <w:p>
      <w:pPr>
        <w:adjustRightInd w:val="0"/>
        <w:snapToGrid w:val="0"/>
        <w:spacing w:line="500" w:lineRule="atLeast"/>
        <w:ind w:firstLine="480" w:firstLineChars="200"/>
        <w:rPr>
          <w:sz w:val="24"/>
        </w:rPr>
      </w:pPr>
      <w:r>
        <w:rPr>
          <w:sz w:val="24"/>
        </w:rPr>
        <w:t>对每个自动化监测点进行快速连续测试，以检查测值的稳定性。对有条件的监测项目及监测点，人工干预给予一定物理量变化，检查自动化测值是否出现相应变化。逐项检查系统功能，以满足设计要求。逐项检查仪器设备的安装方向，确保与规范规定一致。系统安装调试完成后，应提供系统安装调试报告。</w:t>
      </w:r>
    </w:p>
    <w:p>
      <w:pPr>
        <w:adjustRightInd w:val="0"/>
        <w:snapToGrid w:val="0"/>
        <w:spacing w:line="500" w:lineRule="atLeast"/>
        <w:ind w:firstLine="480" w:firstLineChars="200"/>
        <w:rPr>
          <w:sz w:val="24"/>
        </w:rPr>
      </w:pPr>
      <w:bookmarkStart w:id="83" w:name="_Toc249322057"/>
      <w:bookmarkStart w:id="84" w:name="_Toc414615061"/>
      <w:bookmarkStart w:id="85" w:name="_Toc414615213"/>
      <w:bookmarkStart w:id="86" w:name="_Toc247353831"/>
    </w:p>
    <w:p>
      <w:pPr>
        <w:pStyle w:val="4"/>
        <w:adjustRightInd w:val="0"/>
        <w:snapToGrid w:val="0"/>
        <w:spacing w:before="0" w:after="0" w:line="500" w:lineRule="atLeast"/>
        <w:rPr>
          <w:rFonts w:ascii="黑体" w:hAnsi="黑体" w:eastAsia="黑体"/>
          <w:b w:val="0"/>
          <w:sz w:val="24"/>
          <w:szCs w:val="24"/>
        </w:rPr>
      </w:pPr>
      <w:bookmarkStart w:id="87" w:name="_Toc7806"/>
      <w:bookmarkStart w:id="88" w:name="_Toc118821429"/>
      <w:r>
        <w:rPr>
          <w:rFonts w:ascii="Times New Roman" w:hAnsi="Times New Roman"/>
          <w:sz w:val="24"/>
          <w:szCs w:val="24"/>
        </w:rPr>
        <w:t xml:space="preserve">1.4 </w:t>
      </w:r>
      <w:r>
        <w:rPr>
          <w:rFonts w:hint="eastAsia" w:ascii="黑体" w:hAnsi="黑体" w:eastAsia="黑体"/>
          <w:b w:val="0"/>
          <w:sz w:val="24"/>
          <w:szCs w:val="24"/>
        </w:rPr>
        <w:t xml:space="preserve"> </w:t>
      </w:r>
      <w:r>
        <w:rPr>
          <w:rFonts w:ascii="黑体" w:hAnsi="黑体" w:eastAsia="黑体"/>
          <w:b w:val="0"/>
          <w:sz w:val="24"/>
          <w:szCs w:val="24"/>
        </w:rPr>
        <w:t>工作范围</w:t>
      </w:r>
      <w:bookmarkEnd w:id="83"/>
      <w:bookmarkEnd w:id="84"/>
      <w:bookmarkEnd w:id="85"/>
      <w:bookmarkEnd w:id="86"/>
      <w:bookmarkEnd w:id="87"/>
      <w:bookmarkEnd w:id="88"/>
    </w:p>
    <w:p>
      <w:pPr>
        <w:adjustRightInd w:val="0"/>
        <w:snapToGrid w:val="0"/>
        <w:spacing w:line="360" w:lineRule="auto"/>
        <w:ind w:firstLine="480" w:firstLineChars="200"/>
        <w:rPr>
          <w:sz w:val="24"/>
        </w:rPr>
      </w:pPr>
      <w:bookmarkStart w:id="89" w:name="_Toc414615062"/>
      <w:bookmarkStart w:id="90" w:name="_Toc249322058"/>
      <w:bookmarkStart w:id="91" w:name="_Toc414615214"/>
      <w:bookmarkStart w:id="92" w:name="_Toc247353833"/>
      <w:r>
        <w:rPr>
          <w:sz w:val="24"/>
        </w:rPr>
        <w:t>(1)  本章规定适用于本合同施工图纸所示的主体工程的安全监测仪器设备的采购、安装、调试、埋设、验收和施工期监测。</w:t>
      </w:r>
    </w:p>
    <w:p>
      <w:pPr>
        <w:adjustRightInd w:val="0"/>
        <w:snapToGrid w:val="0"/>
        <w:spacing w:line="360" w:lineRule="auto"/>
        <w:ind w:firstLine="480" w:firstLineChars="200"/>
        <w:rPr>
          <w:sz w:val="24"/>
        </w:rPr>
      </w:pPr>
      <w:r>
        <w:rPr>
          <w:sz w:val="24"/>
        </w:rPr>
        <w:t>(2)  安全监测的工作范围为(但不限于)：</w:t>
      </w:r>
    </w:p>
    <w:p>
      <w:pPr>
        <w:adjustRightInd w:val="0"/>
        <w:snapToGrid w:val="0"/>
        <w:spacing w:line="360" w:lineRule="auto"/>
        <w:ind w:firstLine="480" w:firstLineChars="200"/>
        <w:rPr>
          <w:sz w:val="24"/>
        </w:rPr>
      </w:pPr>
      <w:r>
        <w:rPr>
          <w:rFonts w:hint="eastAsia"/>
          <w:sz w:val="24"/>
        </w:rPr>
        <w:t xml:space="preserve">1)  </w:t>
      </w:r>
      <w:r>
        <w:rPr>
          <w:sz w:val="24"/>
        </w:rPr>
        <w:t>根据本《技术文件》、图纸或监理人的指示，承包人应负责采购、验收、检验、率定、运输、装配、保管、埋设、安装、维护和保养</w:t>
      </w:r>
      <w:r>
        <w:rPr>
          <w:rFonts w:hint="eastAsia"/>
          <w:sz w:val="24"/>
        </w:rPr>
        <w:t>合同工程量清单所列</w:t>
      </w:r>
      <w:r>
        <w:rPr>
          <w:sz w:val="24"/>
        </w:rPr>
        <w:t>安全监测仪器设备，完成相应规定的土建工程</w:t>
      </w:r>
      <w:r>
        <w:rPr>
          <w:rFonts w:hint="eastAsia"/>
          <w:sz w:val="24"/>
        </w:rPr>
        <w:t>，</w:t>
      </w:r>
      <w:r>
        <w:rPr>
          <w:sz w:val="24"/>
        </w:rPr>
        <w:t>利用这些仪器设备实施施工期监测，并进行监测成果的整理和分析，最后按照监理人批准的格式将仪器设备、档案材料、监测资料及监测报告移交给发包人。提供完成本合同工作必须的劳力、施工工具、仪器设备、材料。</w:t>
      </w:r>
    </w:p>
    <w:p>
      <w:pPr>
        <w:adjustRightInd w:val="0"/>
        <w:snapToGrid w:val="0"/>
        <w:spacing w:line="360" w:lineRule="auto"/>
        <w:ind w:firstLine="480" w:firstLineChars="200"/>
        <w:rPr>
          <w:sz w:val="24"/>
        </w:rPr>
      </w:pPr>
      <w:r>
        <w:rPr>
          <w:rFonts w:hint="eastAsia"/>
          <w:sz w:val="24"/>
        </w:rPr>
        <w:t>2</w:t>
      </w:r>
      <w:r>
        <w:rPr>
          <w:sz w:val="24"/>
        </w:rPr>
        <w:t xml:space="preserve">)  </w:t>
      </w:r>
      <w:r>
        <w:rPr>
          <w:rFonts w:hint="eastAsia"/>
          <w:sz w:val="24"/>
        </w:rPr>
        <w:t>只能</w:t>
      </w:r>
      <w:r>
        <w:rPr>
          <w:sz w:val="24"/>
        </w:rPr>
        <w:t>采用</w:t>
      </w:r>
      <w:r>
        <w:rPr>
          <w:rFonts w:hint="eastAsia"/>
          <w:sz w:val="24"/>
        </w:rPr>
        <w:t>人工观测</w:t>
      </w:r>
      <w:r>
        <w:rPr>
          <w:sz w:val="24"/>
        </w:rPr>
        <w:t>和施工期</w:t>
      </w:r>
      <w:r>
        <w:rPr>
          <w:rFonts w:hint="eastAsia"/>
          <w:sz w:val="24"/>
        </w:rPr>
        <w:t>的安全监测资料</w:t>
      </w:r>
      <w:r>
        <w:rPr>
          <w:sz w:val="24"/>
        </w:rPr>
        <w:t>整编</w:t>
      </w:r>
      <w:r>
        <w:rPr>
          <w:rFonts w:hint="eastAsia"/>
          <w:sz w:val="24"/>
        </w:rPr>
        <w:t>及</w:t>
      </w:r>
      <w:r>
        <w:rPr>
          <w:sz w:val="24"/>
        </w:rPr>
        <w:t>分析均</w:t>
      </w:r>
      <w:r>
        <w:rPr>
          <w:rFonts w:hint="eastAsia"/>
          <w:sz w:val="24"/>
        </w:rPr>
        <w:t>由</w:t>
      </w:r>
      <w:r>
        <w:rPr>
          <w:sz w:val="24"/>
        </w:rPr>
        <w:t>本标段承包人完成。</w:t>
      </w:r>
    </w:p>
    <w:p>
      <w:pPr>
        <w:spacing w:line="360" w:lineRule="auto"/>
        <w:ind w:firstLine="480" w:firstLineChars="200"/>
        <w:rPr>
          <w:sz w:val="24"/>
        </w:rPr>
      </w:pPr>
      <w:r>
        <w:rPr>
          <w:rFonts w:hint="eastAsia"/>
          <w:sz w:val="24"/>
        </w:rPr>
        <w:t>3</w:t>
      </w:r>
      <w:r>
        <w:rPr>
          <w:sz w:val="24"/>
        </w:rPr>
        <w:t xml:space="preserve">)  </w:t>
      </w:r>
      <w:r>
        <w:rPr>
          <w:rFonts w:hint="eastAsia"/>
          <w:sz w:val="24"/>
        </w:rPr>
        <w:t>自动化和</w:t>
      </w:r>
      <w:r>
        <w:rPr>
          <w:sz w:val="24"/>
        </w:rPr>
        <w:t>人工观测</w:t>
      </w:r>
      <w:r>
        <w:rPr>
          <w:rFonts w:hint="eastAsia"/>
          <w:sz w:val="24"/>
        </w:rPr>
        <w:t>数据</w:t>
      </w:r>
      <w:r>
        <w:rPr>
          <w:sz w:val="24"/>
        </w:rPr>
        <w:t>接入</w:t>
      </w:r>
      <w:r>
        <w:rPr>
          <w:rFonts w:hint="eastAsia"/>
          <w:sz w:val="24"/>
        </w:rPr>
        <w:t>监测</w:t>
      </w:r>
      <w:r>
        <w:rPr>
          <w:sz w:val="24"/>
        </w:rPr>
        <w:t>管理中心</w:t>
      </w:r>
      <w:r>
        <w:rPr>
          <w:rFonts w:hint="eastAsia"/>
          <w:sz w:val="24"/>
        </w:rPr>
        <w:t>站</w:t>
      </w:r>
      <w:r>
        <w:rPr>
          <w:sz w:val="24"/>
        </w:rPr>
        <w:t>的工作</w:t>
      </w:r>
      <w:r>
        <w:rPr>
          <w:rFonts w:hint="eastAsia"/>
          <w:sz w:val="24"/>
        </w:rPr>
        <w:t>，</w:t>
      </w:r>
      <w:r>
        <w:rPr>
          <w:sz w:val="24"/>
        </w:rPr>
        <w:t>包括人工观测</w:t>
      </w:r>
      <w:r>
        <w:rPr>
          <w:rFonts w:hint="eastAsia"/>
          <w:sz w:val="24"/>
        </w:rPr>
        <w:t>成果</w:t>
      </w:r>
      <w:r>
        <w:rPr>
          <w:sz w:val="24"/>
        </w:rPr>
        <w:t>数据、工程监测仪器基本资料、安装埋设资料、监测初始值、监测仪器布置图及展示</w:t>
      </w:r>
      <w:r>
        <w:rPr>
          <w:rFonts w:hint="eastAsia"/>
          <w:sz w:val="24"/>
        </w:rPr>
        <w:t>平台</w:t>
      </w:r>
      <w:r>
        <w:rPr>
          <w:sz w:val="24"/>
        </w:rPr>
        <w:t>所需资料</w:t>
      </w:r>
      <w:r>
        <w:rPr>
          <w:rFonts w:hint="eastAsia"/>
          <w:sz w:val="24"/>
        </w:rPr>
        <w:t>等资料</w:t>
      </w:r>
      <w:r>
        <w:rPr>
          <w:sz w:val="24"/>
        </w:rPr>
        <w:t>录入工作。</w:t>
      </w:r>
    </w:p>
    <w:p>
      <w:pPr>
        <w:adjustRightInd w:val="0"/>
        <w:snapToGrid w:val="0"/>
        <w:spacing w:line="360" w:lineRule="auto"/>
        <w:ind w:firstLine="480" w:firstLineChars="200"/>
        <w:rPr>
          <w:sz w:val="24"/>
        </w:rPr>
      </w:pPr>
      <w:r>
        <w:rPr>
          <w:sz w:val="24"/>
        </w:rPr>
        <w:t xml:space="preserve">(3)  安全监测仪器设备包括(但不仅限于)： </w:t>
      </w:r>
    </w:p>
    <w:p>
      <w:pPr>
        <w:adjustRightInd w:val="0"/>
        <w:snapToGrid w:val="0"/>
        <w:spacing w:line="360" w:lineRule="auto"/>
        <w:ind w:firstLine="480" w:firstLineChars="200"/>
        <w:rPr>
          <w:sz w:val="24"/>
        </w:rPr>
      </w:pPr>
      <w:r>
        <w:rPr>
          <w:sz w:val="24"/>
        </w:rPr>
        <w:t>1)</w:t>
      </w:r>
      <w:r>
        <w:rPr>
          <w:rFonts w:hint="eastAsia"/>
          <w:sz w:val="24"/>
        </w:rPr>
        <w:t xml:space="preserve">  </w:t>
      </w:r>
      <w:r>
        <w:rPr>
          <w:sz w:val="24"/>
        </w:rPr>
        <w:t>变形监测：包括</w:t>
      </w:r>
      <w:r>
        <w:rPr>
          <w:rFonts w:hint="eastAsia"/>
          <w:sz w:val="24"/>
        </w:rPr>
        <w:t>全站仪、棱镜</w:t>
      </w:r>
      <w:r>
        <w:rPr>
          <w:sz w:val="24"/>
        </w:rPr>
        <w:t>、精密水准仪、</w:t>
      </w:r>
      <w:r>
        <w:rPr>
          <w:rFonts w:hint="eastAsia"/>
          <w:sz w:val="24"/>
        </w:rPr>
        <w:t>铟钢条码尺、测斜仪、强制对中基盘、</w:t>
      </w:r>
      <w:r>
        <w:rPr>
          <w:sz w:val="24"/>
        </w:rPr>
        <w:t>水准标点、沉降标、测缝计</w:t>
      </w:r>
      <w:r>
        <w:rPr>
          <w:rFonts w:hint="eastAsia"/>
          <w:sz w:val="24"/>
        </w:rPr>
        <w:t>和</w:t>
      </w:r>
      <w:r>
        <w:rPr>
          <w:sz w:val="24"/>
        </w:rPr>
        <w:t>倾角计</w:t>
      </w:r>
      <w:r>
        <w:rPr>
          <w:rFonts w:hint="eastAsia"/>
          <w:sz w:val="24"/>
        </w:rPr>
        <w:t>等</w:t>
      </w:r>
      <w:r>
        <w:rPr>
          <w:sz w:val="24"/>
        </w:rPr>
        <w:t>；</w:t>
      </w:r>
    </w:p>
    <w:p>
      <w:pPr>
        <w:adjustRightInd w:val="0"/>
        <w:snapToGrid w:val="0"/>
        <w:spacing w:line="360" w:lineRule="auto"/>
        <w:ind w:firstLine="480" w:firstLineChars="200"/>
        <w:rPr>
          <w:sz w:val="24"/>
        </w:rPr>
      </w:pPr>
      <w:r>
        <w:rPr>
          <w:sz w:val="24"/>
        </w:rPr>
        <w:t>2)</w:t>
      </w:r>
      <w:r>
        <w:rPr>
          <w:rFonts w:hint="eastAsia"/>
          <w:sz w:val="24"/>
        </w:rPr>
        <w:t xml:space="preserve">  </w:t>
      </w:r>
      <w:r>
        <w:rPr>
          <w:sz w:val="24"/>
        </w:rPr>
        <w:t>渗流</w:t>
      </w:r>
      <w:r>
        <w:rPr>
          <w:rFonts w:hint="eastAsia"/>
          <w:sz w:val="24"/>
        </w:rPr>
        <w:t>及</w:t>
      </w:r>
      <w:r>
        <w:rPr>
          <w:sz w:val="24"/>
        </w:rPr>
        <w:t>水压力监测：包括</w:t>
      </w:r>
      <w:r>
        <w:rPr>
          <w:rFonts w:hint="eastAsia"/>
          <w:sz w:val="24"/>
        </w:rPr>
        <w:t>电测水位计、</w:t>
      </w:r>
      <w:r>
        <w:rPr>
          <w:sz w:val="24"/>
        </w:rPr>
        <w:t>测压管、渗压计</w:t>
      </w:r>
      <w:r>
        <w:rPr>
          <w:rFonts w:hint="eastAsia"/>
          <w:sz w:val="24"/>
        </w:rPr>
        <w:t>、水位计、</w:t>
      </w:r>
      <w:r>
        <w:rPr>
          <w:sz w:val="24"/>
        </w:rPr>
        <w:t>水尺</w:t>
      </w:r>
      <w:r>
        <w:rPr>
          <w:rFonts w:hint="eastAsia"/>
          <w:sz w:val="24"/>
        </w:rPr>
        <w:t>、和压力传感器等</w:t>
      </w:r>
      <w:r>
        <w:rPr>
          <w:sz w:val="24"/>
        </w:rPr>
        <w:t>；</w:t>
      </w:r>
    </w:p>
    <w:p>
      <w:pPr>
        <w:adjustRightInd w:val="0"/>
        <w:snapToGrid w:val="0"/>
        <w:spacing w:line="360" w:lineRule="auto"/>
        <w:ind w:firstLine="480" w:firstLineChars="200"/>
        <w:rPr>
          <w:sz w:val="24"/>
        </w:rPr>
      </w:pPr>
      <w:r>
        <w:rPr>
          <w:rFonts w:hint="eastAsia"/>
          <w:sz w:val="24"/>
        </w:rPr>
        <w:t>3</w:t>
      </w:r>
      <w:r>
        <w:rPr>
          <w:sz w:val="24"/>
        </w:rPr>
        <w:t>)</w:t>
      </w:r>
      <w:r>
        <w:rPr>
          <w:rFonts w:hint="eastAsia"/>
          <w:sz w:val="24"/>
        </w:rPr>
        <w:t xml:space="preserve">  </w:t>
      </w:r>
      <w:r>
        <w:rPr>
          <w:sz w:val="24"/>
        </w:rPr>
        <w:t>应力应变监测：包括</w:t>
      </w:r>
      <w:r>
        <w:rPr>
          <w:rFonts w:hint="eastAsia"/>
          <w:sz w:val="24"/>
        </w:rPr>
        <w:t>应变计</w:t>
      </w:r>
      <w:r>
        <w:rPr>
          <w:sz w:val="24"/>
        </w:rPr>
        <w:t>、钢筋计</w:t>
      </w:r>
      <w:r>
        <w:rPr>
          <w:rFonts w:hint="eastAsia"/>
          <w:sz w:val="24"/>
        </w:rPr>
        <w:t>、</w:t>
      </w:r>
      <w:r>
        <w:rPr>
          <w:sz w:val="24"/>
        </w:rPr>
        <w:t>钢板计</w:t>
      </w:r>
      <w:r>
        <w:rPr>
          <w:rFonts w:hint="eastAsia"/>
          <w:sz w:val="24"/>
        </w:rPr>
        <w:t>、锚杆应力计、锚索测力计和螺栓应力计等</w:t>
      </w:r>
      <w:r>
        <w:rPr>
          <w:sz w:val="24"/>
        </w:rPr>
        <w:t>；</w:t>
      </w:r>
    </w:p>
    <w:p>
      <w:pPr>
        <w:adjustRightInd w:val="0"/>
        <w:snapToGrid w:val="0"/>
        <w:spacing w:line="360" w:lineRule="auto"/>
        <w:ind w:firstLine="480" w:firstLineChars="200"/>
        <w:rPr>
          <w:sz w:val="24"/>
        </w:rPr>
      </w:pPr>
      <w:r>
        <w:rPr>
          <w:rFonts w:hint="eastAsia"/>
          <w:sz w:val="24"/>
        </w:rPr>
        <w:t>4</w:t>
      </w:r>
      <w:r>
        <w:rPr>
          <w:sz w:val="24"/>
        </w:rPr>
        <w:t>)</w:t>
      </w:r>
      <w:r>
        <w:rPr>
          <w:rFonts w:hint="eastAsia"/>
          <w:sz w:val="24"/>
        </w:rPr>
        <w:t xml:space="preserve">  </w:t>
      </w:r>
      <w:r>
        <w:rPr>
          <w:sz w:val="24"/>
        </w:rPr>
        <w:t>所有与仪器相连的电缆</w:t>
      </w:r>
      <w:r>
        <w:rPr>
          <w:rFonts w:hint="eastAsia"/>
          <w:sz w:val="24"/>
        </w:rPr>
        <w:t>、光纤</w:t>
      </w:r>
      <w:r>
        <w:rPr>
          <w:sz w:val="24"/>
        </w:rPr>
        <w:t>和读数装置</w:t>
      </w:r>
      <w:r>
        <w:rPr>
          <w:rFonts w:hint="eastAsia"/>
          <w:sz w:val="24"/>
        </w:rPr>
        <w:t>等</w:t>
      </w:r>
      <w:r>
        <w:rPr>
          <w:sz w:val="24"/>
        </w:rPr>
        <w:t>。</w:t>
      </w:r>
    </w:p>
    <w:p>
      <w:pPr>
        <w:adjustRightInd w:val="0"/>
        <w:snapToGrid w:val="0"/>
        <w:spacing w:line="360" w:lineRule="auto"/>
        <w:ind w:firstLine="480" w:firstLineChars="200"/>
        <w:rPr>
          <w:sz w:val="24"/>
        </w:rPr>
      </w:pPr>
      <w:r>
        <w:rPr>
          <w:sz w:val="24"/>
        </w:rPr>
        <w:t>根据本《技术文件》、图纸或监理人的指示，承包人应提供监测仪器和实施监测所需的任何配套材料、设施及土建工作，包括(但不限于)如下各项：</w:t>
      </w:r>
    </w:p>
    <w:p>
      <w:pPr>
        <w:pStyle w:val="140"/>
        <w:numPr>
          <w:ilvl w:val="0"/>
          <w:numId w:val="12"/>
        </w:numPr>
        <w:adjustRightInd w:val="0"/>
        <w:snapToGrid w:val="0"/>
        <w:spacing w:line="360" w:lineRule="auto"/>
        <w:ind w:firstLineChars="0"/>
        <w:rPr>
          <w:sz w:val="24"/>
        </w:rPr>
      </w:pPr>
      <w:r>
        <w:rPr>
          <w:sz w:val="24"/>
        </w:rPr>
        <w:t>机械加工件；</w:t>
      </w:r>
    </w:p>
    <w:p>
      <w:pPr>
        <w:pStyle w:val="140"/>
        <w:numPr>
          <w:ilvl w:val="0"/>
          <w:numId w:val="12"/>
        </w:numPr>
        <w:adjustRightInd w:val="0"/>
        <w:snapToGrid w:val="0"/>
        <w:spacing w:line="360" w:lineRule="auto"/>
        <w:ind w:firstLineChars="0"/>
        <w:rPr>
          <w:sz w:val="24"/>
        </w:rPr>
      </w:pPr>
      <w:r>
        <w:rPr>
          <w:rFonts w:hint="eastAsia"/>
          <w:sz w:val="24"/>
        </w:rPr>
        <w:t>仪器安装</w:t>
      </w:r>
      <w:r>
        <w:rPr>
          <w:sz w:val="24"/>
        </w:rPr>
        <w:t>配件；</w:t>
      </w:r>
    </w:p>
    <w:p>
      <w:pPr>
        <w:pStyle w:val="140"/>
        <w:numPr>
          <w:ilvl w:val="0"/>
          <w:numId w:val="12"/>
        </w:numPr>
        <w:adjustRightInd w:val="0"/>
        <w:snapToGrid w:val="0"/>
        <w:spacing w:line="360" w:lineRule="auto"/>
        <w:ind w:firstLineChars="0"/>
        <w:rPr>
          <w:sz w:val="24"/>
        </w:rPr>
      </w:pPr>
      <w:r>
        <w:rPr>
          <w:sz w:val="24"/>
        </w:rPr>
        <w:t>水准点；</w:t>
      </w:r>
    </w:p>
    <w:p>
      <w:pPr>
        <w:pStyle w:val="140"/>
        <w:numPr>
          <w:ilvl w:val="0"/>
          <w:numId w:val="12"/>
        </w:numPr>
        <w:adjustRightInd w:val="0"/>
        <w:snapToGrid w:val="0"/>
        <w:spacing w:line="360" w:lineRule="auto"/>
        <w:ind w:firstLineChars="0"/>
        <w:rPr>
          <w:sz w:val="24"/>
        </w:rPr>
      </w:pPr>
      <w:r>
        <w:rPr>
          <w:sz w:val="24"/>
        </w:rPr>
        <w:t>电缆沟；</w:t>
      </w:r>
    </w:p>
    <w:p>
      <w:pPr>
        <w:pStyle w:val="140"/>
        <w:numPr>
          <w:ilvl w:val="0"/>
          <w:numId w:val="12"/>
        </w:numPr>
        <w:adjustRightInd w:val="0"/>
        <w:snapToGrid w:val="0"/>
        <w:spacing w:line="360" w:lineRule="auto"/>
        <w:ind w:firstLineChars="0"/>
        <w:rPr>
          <w:sz w:val="24"/>
        </w:rPr>
      </w:pPr>
      <w:r>
        <w:rPr>
          <w:sz w:val="24"/>
        </w:rPr>
        <w:t>保护管；</w:t>
      </w:r>
    </w:p>
    <w:p>
      <w:pPr>
        <w:pStyle w:val="140"/>
        <w:numPr>
          <w:ilvl w:val="0"/>
          <w:numId w:val="12"/>
        </w:numPr>
        <w:adjustRightInd w:val="0"/>
        <w:snapToGrid w:val="0"/>
        <w:spacing w:line="360" w:lineRule="auto"/>
        <w:ind w:firstLineChars="0"/>
        <w:rPr>
          <w:sz w:val="24"/>
        </w:rPr>
      </w:pPr>
      <w:r>
        <w:rPr>
          <w:sz w:val="24"/>
        </w:rPr>
        <w:t>电缆穿线孔；</w:t>
      </w:r>
    </w:p>
    <w:p>
      <w:pPr>
        <w:pStyle w:val="140"/>
        <w:numPr>
          <w:ilvl w:val="0"/>
          <w:numId w:val="12"/>
        </w:numPr>
        <w:adjustRightInd w:val="0"/>
        <w:snapToGrid w:val="0"/>
        <w:spacing w:line="360" w:lineRule="auto"/>
        <w:ind w:firstLineChars="0"/>
        <w:rPr>
          <w:sz w:val="24"/>
        </w:rPr>
      </w:pPr>
      <w:r>
        <w:rPr>
          <w:sz w:val="24"/>
        </w:rPr>
        <w:t>跟仪器安装埋设有关的所有钻孔、钻孔回填、仪器安装埋设；</w:t>
      </w:r>
    </w:p>
    <w:p>
      <w:pPr>
        <w:pStyle w:val="140"/>
        <w:numPr>
          <w:ilvl w:val="0"/>
          <w:numId w:val="12"/>
        </w:numPr>
        <w:adjustRightInd w:val="0"/>
        <w:snapToGrid w:val="0"/>
        <w:spacing w:line="360" w:lineRule="auto"/>
        <w:ind w:firstLineChars="0"/>
        <w:rPr>
          <w:sz w:val="24"/>
        </w:rPr>
      </w:pPr>
      <w:r>
        <w:rPr>
          <w:sz w:val="24"/>
        </w:rPr>
        <w:t>其它要求承包人外购、加工的器材等。</w:t>
      </w:r>
    </w:p>
    <w:p>
      <w:pPr>
        <w:adjustRightInd w:val="0"/>
        <w:snapToGrid w:val="0"/>
        <w:spacing w:line="500" w:lineRule="atLeast"/>
        <w:ind w:firstLine="480" w:firstLineChars="200"/>
        <w:rPr>
          <w:sz w:val="24"/>
        </w:rPr>
      </w:pPr>
      <w:r>
        <w:rPr>
          <w:sz w:val="24"/>
        </w:rPr>
        <w:t>(4)  承包人应以充分的精心和勤勉保管、安装和操作安全监测仪器设备和材料，凡是由于承包人的疏忽和大意导致仪器设备和材料的遗失、损坏或失效，承包人都应作出相当于其价值的赔偿，已安装的仪器不支付其安装费用。</w:t>
      </w:r>
    </w:p>
    <w:p>
      <w:pPr>
        <w:adjustRightInd w:val="0"/>
        <w:snapToGrid w:val="0"/>
        <w:spacing w:line="500" w:lineRule="atLeast"/>
        <w:ind w:firstLine="480" w:firstLineChars="200"/>
        <w:rPr>
          <w:sz w:val="24"/>
        </w:rPr>
      </w:pPr>
      <w:r>
        <w:rPr>
          <w:sz w:val="24"/>
        </w:rPr>
        <w:t xml:space="preserve">(5)  承包人在工程完工验收时，应向发包人移交合同规定的全部监测仪器设备、监测成果及其技术档案资料。为了监测工作的衔接，在施工期直至完工验收前，承包人应为发包人永久监测人员接收施工期监测工作提供必要的条件，并为发包人提供培训。  </w:t>
      </w:r>
    </w:p>
    <w:p>
      <w:pPr>
        <w:adjustRightInd w:val="0"/>
        <w:snapToGrid w:val="0"/>
        <w:spacing w:line="500" w:lineRule="atLeast"/>
        <w:ind w:firstLine="480" w:firstLineChars="200"/>
        <w:rPr>
          <w:rFonts w:hint="default" w:eastAsia="宋体"/>
          <w:sz w:val="24"/>
          <w:lang w:val="en-US" w:eastAsia="zh-CN"/>
        </w:rPr>
      </w:pPr>
      <w:r>
        <w:rPr>
          <w:rFonts w:hint="eastAsia"/>
          <w:sz w:val="24"/>
          <w:lang w:val="en-US" w:eastAsia="zh-CN"/>
        </w:rPr>
        <w:t>(6)  承包人应配合安全监测牵头标完成本标段工程安全监测自动化系统的建设。</w:t>
      </w:r>
    </w:p>
    <w:p>
      <w:pPr>
        <w:adjustRightInd w:val="0"/>
        <w:snapToGrid w:val="0"/>
        <w:spacing w:line="500" w:lineRule="atLeast"/>
        <w:ind w:firstLine="480" w:firstLineChars="200"/>
        <w:rPr>
          <w:sz w:val="24"/>
        </w:rPr>
      </w:pPr>
      <w:r>
        <w:rPr>
          <w:sz w:val="24"/>
        </w:rPr>
        <w:t>(</w:t>
      </w:r>
      <w:r>
        <w:rPr>
          <w:rFonts w:hint="eastAsia"/>
          <w:sz w:val="24"/>
          <w:lang w:val="en-US" w:eastAsia="zh-CN"/>
        </w:rPr>
        <w:t>7</w:t>
      </w:r>
      <w:r>
        <w:rPr>
          <w:sz w:val="24"/>
        </w:rPr>
        <w:t xml:space="preserve">) </w:t>
      </w:r>
      <w:r>
        <w:rPr>
          <w:rFonts w:hint="eastAsia"/>
          <w:sz w:val="24"/>
        </w:rPr>
        <w:t xml:space="preserve"> </w:t>
      </w:r>
      <w:r>
        <w:rPr>
          <w:sz w:val="24"/>
        </w:rPr>
        <w:t>承包人应按发包人要求无条件配合工程后续验收工作。</w:t>
      </w:r>
    </w:p>
    <w:p>
      <w:pPr>
        <w:adjustRightInd w:val="0"/>
        <w:snapToGrid w:val="0"/>
        <w:spacing w:line="500" w:lineRule="atLeast"/>
        <w:ind w:firstLine="480" w:firstLineChars="200"/>
        <w:rPr>
          <w:sz w:val="24"/>
        </w:rPr>
      </w:pPr>
    </w:p>
    <w:p>
      <w:pPr>
        <w:pStyle w:val="4"/>
        <w:adjustRightInd w:val="0"/>
        <w:snapToGrid w:val="0"/>
        <w:spacing w:before="0" w:after="0" w:line="500" w:lineRule="atLeast"/>
        <w:rPr>
          <w:rFonts w:ascii="黑体" w:hAnsi="黑体" w:eastAsia="黑体"/>
          <w:b w:val="0"/>
          <w:sz w:val="24"/>
          <w:szCs w:val="24"/>
        </w:rPr>
      </w:pPr>
      <w:bookmarkStart w:id="93" w:name="_Toc118821430"/>
      <w:bookmarkStart w:id="94" w:name="_Toc490510095"/>
      <w:bookmarkStart w:id="95" w:name="_Toc7868"/>
      <w:r>
        <w:rPr>
          <w:rFonts w:ascii="Times New Roman" w:hAnsi="Times New Roman"/>
          <w:sz w:val="24"/>
          <w:szCs w:val="24"/>
        </w:rPr>
        <w:t xml:space="preserve">1.5  </w:t>
      </w:r>
      <w:r>
        <w:rPr>
          <w:rFonts w:ascii="黑体" w:hAnsi="黑体" w:eastAsia="黑体"/>
          <w:b w:val="0"/>
          <w:sz w:val="24"/>
          <w:szCs w:val="24"/>
        </w:rPr>
        <w:t>承包人责任</w:t>
      </w:r>
      <w:bookmarkEnd w:id="93"/>
      <w:bookmarkEnd w:id="94"/>
      <w:bookmarkEnd w:id="95"/>
    </w:p>
    <w:p>
      <w:pPr>
        <w:tabs>
          <w:tab w:val="left" w:pos="0"/>
        </w:tabs>
        <w:adjustRightInd w:val="0"/>
        <w:snapToGrid w:val="0"/>
        <w:spacing w:line="360" w:lineRule="auto"/>
        <w:ind w:firstLine="480" w:firstLineChars="200"/>
        <w:rPr>
          <w:sz w:val="24"/>
        </w:rPr>
      </w:pPr>
      <w:r>
        <w:rPr>
          <w:sz w:val="24"/>
        </w:rPr>
        <w:t>(1)  承包人应派遣在仪器安装埋设、监测资料分析等方面具有丰富经验的监测专业人员完成本合同规定的各项工作。被</w:t>
      </w:r>
      <w:r>
        <w:rPr>
          <w:rFonts w:hint="eastAsia"/>
          <w:sz w:val="24"/>
        </w:rPr>
        <w:t>派遣的</w:t>
      </w:r>
      <w:r>
        <w:rPr>
          <w:sz w:val="24"/>
        </w:rPr>
        <w:t>监测专业人员简历应在投标书中全面反映，并在监测仪器设备开始安装埋设前，报送监理人</w:t>
      </w:r>
      <w:r>
        <w:rPr>
          <w:rFonts w:hint="eastAsia"/>
          <w:sz w:val="24"/>
        </w:rPr>
        <w:t>和</w:t>
      </w:r>
      <w:r>
        <w:rPr>
          <w:sz w:val="24"/>
        </w:rPr>
        <w:t>发包人核查、批准。</w:t>
      </w:r>
    </w:p>
    <w:p>
      <w:pPr>
        <w:tabs>
          <w:tab w:val="left" w:pos="0"/>
        </w:tabs>
        <w:adjustRightInd w:val="0"/>
        <w:snapToGrid w:val="0"/>
        <w:spacing w:line="360" w:lineRule="auto"/>
        <w:ind w:firstLine="480" w:firstLineChars="200"/>
        <w:rPr>
          <w:sz w:val="24"/>
        </w:rPr>
      </w:pPr>
      <w:r>
        <w:rPr>
          <w:sz w:val="24"/>
        </w:rPr>
        <w:t>承包人应配备足够监测实施人员，必须完全了解合同范围内工程的土建施工进度，主动同监理人、土建承包人保持联系，根据土建施工进度及时合理安排仪器安装埋设和保护。</w:t>
      </w:r>
    </w:p>
    <w:p>
      <w:pPr>
        <w:tabs>
          <w:tab w:val="left" w:pos="0"/>
        </w:tabs>
        <w:adjustRightInd w:val="0"/>
        <w:snapToGrid w:val="0"/>
        <w:spacing w:line="360" w:lineRule="auto"/>
        <w:ind w:firstLine="480" w:firstLineChars="200"/>
        <w:rPr>
          <w:sz w:val="24"/>
        </w:rPr>
      </w:pPr>
      <w:r>
        <w:rPr>
          <w:sz w:val="24"/>
        </w:rPr>
        <w:t>(</w:t>
      </w:r>
      <w:r>
        <w:rPr>
          <w:rFonts w:hint="eastAsia"/>
          <w:sz w:val="24"/>
        </w:rPr>
        <w:t>2</w:t>
      </w:r>
      <w:r>
        <w:rPr>
          <w:sz w:val="24"/>
        </w:rPr>
        <w:t>)  当监理人认为在现场的经批准的监测专业人员不合格时，承包人必须替换</w:t>
      </w:r>
      <w:r>
        <w:rPr>
          <w:rFonts w:hint="eastAsia"/>
          <w:sz w:val="24"/>
        </w:rPr>
        <w:t>；</w:t>
      </w:r>
      <w:r>
        <w:rPr>
          <w:sz w:val="24"/>
        </w:rPr>
        <w:t>替换人员的简历必须在监理人书面提出替换不合格人员通知的14天内提交给监理人审批。</w:t>
      </w:r>
    </w:p>
    <w:p>
      <w:pPr>
        <w:tabs>
          <w:tab w:val="left" w:pos="0"/>
        </w:tabs>
        <w:adjustRightInd w:val="0"/>
        <w:snapToGrid w:val="0"/>
        <w:spacing w:line="360" w:lineRule="auto"/>
        <w:ind w:firstLine="480" w:firstLineChars="200"/>
        <w:rPr>
          <w:sz w:val="24"/>
        </w:rPr>
      </w:pPr>
      <w:r>
        <w:rPr>
          <w:sz w:val="24"/>
        </w:rPr>
        <w:t>(</w:t>
      </w:r>
      <w:r>
        <w:rPr>
          <w:rFonts w:hint="eastAsia"/>
          <w:sz w:val="24"/>
        </w:rPr>
        <w:t>3</w:t>
      </w:r>
      <w:r>
        <w:rPr>
          <w:sz w:val="24"/>
        </w:rPr>
        <w:t>)  由监测</w:t>
      </w:r>
      <w:r>
        <w:rPr>
          <w:rFonts w:hint="eastAsia"/>
          <w:sz w:val="24"/>
        </w:rPr>
        <w:t>专业人员</w:t>
      </w:r>
      <w:r>
        <w:rPr>
          <w:sz w:val="24"/>
        </w:rPr>
        <w:t>专门负责</w:t>
      </w:r>
      <w:r>
        <w:rPr>
          <w:rFonts w:hint="eastAsia"/>
          <w:sz w:val="24"/>
        </w:rPr>
        <w:t>组织</w:t>
      </w:r>
      <w:r>
        <w:rPr>
          <w:sz w:val="24"/>
        </w:rPr>
        <w:t>仪器设备安装、维护及监测，</w:t>
      </w:r>
      <w:r>
        <w:rPr>
          <w:rFonts w:hint="eastAsia"/>
          <w:sz w:val="24"/>
        </w:rPr>
        <w:t>所有</w:t>
      </w:r>
      <w:r>
        <w:rPr>
          <w:sz w:val="24"/>
        </w:rPr>
        <w:t>安装、维护及监测</w:t>
      </w:r>
      <w:r>
        <w:rPr>
          <w:rFonts w:hint="eastAsia"/>
          <w:sz w:val="24"/>
        </w:rPr>
        <w:t>人员均需</w:t>
      </w:r>
      <w:r>
        <w:rPr>
          <w:sz w:val="24"/>
        </w:rPr>
        <w:t>经过技术培训并报监理人批准后方可上岗。在整个施工期，监测专业人员、</w:t>
      </w:r>
      <w:r>
        <w:rPr>
          <w:rFonts w:hint="eastAsia"/>
          <w:sz w:val="24"/>
        </w:rPr>
        <w:t>所有</w:t>
      </w:r>
      <w:r>
        <w:rPr>
          <w:sz w:val="24"/>
        </w:rPr>
        <w:t>安装、维护及监测</w:t>
      </w:r>
      <w:r>
        <w:rPr>
          <w:rFonts w:hint="eastAsia"/>
          <w:sz w:val="24"/>
        </w:rPr>
        <w:t>人员</w:t>
      </w:r>
      <w:r>
        <w:rPr>
          <w:sz w:val="24"/>
        </w:rPr>
        <w:t>应</w:t>
      </w:r>
      <w:r>
        <w:rPr>
          <w:rFonts w:hint="eastAsia"/>
          <w:sz w:val="24"/>
        </w:rPr>
        <w:t>保持相对固定</w:t>
      </w:r>
      <w:r>
        <w:rPr>
          <w:sz w:val="24"/>
        </w:rPr>
        <w:t>。</w:t>
      </w:r>
    </w:p>
    <w:p>
      <w:pPr>
        <w:tabs>
          <w:tab w:val="left" w:pos="0"/>
        </w:tabs>
        <w:adjustRightInd w:val="0"/>
        <w:snapToGrid w:val="0"/>
        <w:spacing w:line="360" w:lineRule="auto"/>
        <w:ind w:firstLine="480" w:firstLineChars="200"/>
        <w:rPr>
          <w:spacing w:val="-2"/>
          <w:sz w:val="24"/>
        </w:rPr>
      </w:pPr>
      <w:r>
        <w:rPr>
          <w:sz w:val="24"/>
        </w:rPr>
        <w:t>(</w:t>
      </w:r>
      <w:r>
        <w:rPr>
          <w:rFonts w:hint="eastAsia"/>
          <w:sz w:val="24"/>
        </w:rPr>
        <w:t>4</w:t>
      </w:r>
      <w:r>
        <w:rPr>
          <w:sz w:val="24"/>
        </w:rPr>
        <w:t>)  承</w:t>
      </w:r>
      <w:r>
        <w:rPr>
          <w:spacing w:val="-2"/>
          <w:sz w:val="24"/>
        </w:rPr>
        <w:t>包人的工作人员应有高度的责任心和质量意识，并密切配合监理人的工作。监理人有权要求承包人立即从该项目中撤去监理人认为不称职的工作人员。</w:t>
      </w:r>
    </w:p>
    <w:p>
      <w:pPr>
        <w:tabs>
          <w:tab w:val="left" w:pos="0"/>
        </w:tabs>
        <w:adjustRightInd w:val="0"/>
        <w:snapToGrid w:val="0"/>
        <w:spacing w:line="360" w:lineRule="auto"/>
        <w:ind w:firstLine="480" w:firstLineChars="200"/>
        <w:rPr>
          <w:sz w:val="24"/>
        </w:rPr>
      </w:pPr>
      <w:r>
        <w:rPr>
          <w:sz w:val="24"/>
        </w:rPr>
        <w:t>(</w:t>
      </w:r>
      <w:r>
        <w:rPr>
          <w:rFonts w:hint="eastAsia"/>
          <w:sz w:val="24"/>
        </w:rPr>
        <w:t>5</w:t>
      </w:r>
      <w:r>
        <w:rPr>
          <w:sz w:val="24"/>
        </w:rPr>
        <w:t>)  所有的其它监测设施和装置都应按照图纸、</w:t>
      </w:r>
      <w:r>
        <w:rPr>
          <w:rFonts w:hint="eastAsia"/>
          <w:sz w:val="24"/>
        </w:rPr>
        <w:t>现行</w:t>
      </w:r>
      <w:r>
        <w:rPr>
          <w:sz w:val="24"/>
        </w:rPr>
        <w:t>技术规范和监理人的指示进行。</w:t>
      </w:r>
    </w:p>
    <w:p>
      <w:pPr>
        <w:tabs>
          <w:tab w:val="left" w:pos="0"/>
        </w:tabs>
        <w:adjustRightInd w:val="0"/>
        <w:snapToGrid w:val="0"/>
        <w:spacing w:line="360" w:lineRule="auto"/>
        <w:ind w:firstLine="480" w:firstLineChars="200"/>
        <w:rPr>
          <w:sz w:val="24"/>
        </w:rPr>
      </w:pPr>
      <w:r>
        <w:rPr>
          <w:sz w:val="24"/>
        </w:rPr>
        <w:t>(</w:t>
      </w:r>
      <w:r>
        <w:rPr>
          <w:rFonts w:hint="eastAsia"/>
          <w:sz w:val="24"/>
        </w:rPr>
        <w:t>6</w:t>
      </w:r>
      <w:r>
        <w:rPr>
          <w:sz w:val="24"/>
        </w:rPr>
        <w:t>)  合同执行期间，承包人应对已埋设或安装的监测仪器设备(施)进行可靠的保护，并会同监理人提醒及警示</w:t>
      </w:r>
      <w:r>
        <w:rPr>
          <w:rFonts w:hint="eastAsia"/>
          <w:sz w:val="24"/>
        </w:rPr>
        <w:t>其他</w:t>
      </w:r>
      <w:r>
        <w:rPr>
          <w:sz w:val="24"/>
        </w:rPr>
        <w:t>单位</w:t>
      </w:r>
      <w:r>
        <w:rPr>
          <w:rFonts w:hint="eastAsia"/>
          <w:sz w:val="24"/>
        </w:rPr>
        <w:t>和个人不得</w:t>
      </w:r>
      <w:r>
        <w:rPr>
          <w:sz w:val="24"/>
        </w:rPr>
        <w:t>干扰</w:t>
      </w:r>
      <w:r>
        <w:rPr>
          <w:rFonts w:hint="eastAsia"/>
          <w:sz w:val="24"/>
        </w:rPr>
        <w:t>、</w:t>
      </w:r>
      <w:r>
        <w:rPr>
          <w:sz w:val="24"/>
        </w:rPr>
        <w:t>破坏任何已埋设和安装的监测仪器设备(施)。如果已埋设和安装的监测仪器设备(施)被损坏，承包人必须在监理人规定的期限内恢复其功能或在其附近安装替代仪器，发包人不另外支付费用。如确因现场特殊原因不具备修复或安装替代仪器的条件，承包人应向监理人提交书面申请，经监理人和设计人员核实批准后，可以不进行仪器的修复或安装替代仪器。</w:t>
      </w:r>
    </w:p>
    <w:p>
      <w:pPr>
        <w:tabs>
          <w:tab w:val="left" w:pos="0"/>
        </w:tabs>
        <w:adjustRightInd w:val="0"/>
        <w:snapToGrid w:val="0"/>
        <w:spacing w:line="360" w:lineRule="auto"/>
        <w:ind w:firstLine="480" w:firstLineChars="200"/>
        <w:rPr>
          <w:sz w:val="24"/>
        </w:rPr>
      </w:pPr>
      <w:r>
        <w:rPr>
          <w:sz w:val="24"/>
        </w:rPr>
        <w:t>(</w:t>
      </w:r>
      <w:r>
        <w:rPr>
          <w:rFonts w:hint="eastAsia"/>
          <w:sz w:val="24"/>
        </w:rPr>
        <w:t>7</w:t>
      </w:r>
      <w:r>
        <w:rPr>
          <w:sz w:val="24"/>
        </w:rPr>
        <w:t>)  合同执行期间，承包人应对</w:t>
      </w:r>
      <w:r>
        <w:rPr>
          <w:rFonts w:hint="eastAsia"/>
          <w:sz w:val="24"/>
        </w:rPr>
        <w:t>土建</w:t>
      </w:r>
      <w:r>
        <w:rPr>
          <w:sz w:val="24"/>
        </w:rPr>
        <w:t>结构进行保护，如需</w:t>
      </w:r>
      <w:r>
        <w:rPr>
          <w:rFonts w:hint="eastAsia"/>
          <w:sz w:val="24"/>
        </w:rPr>
        <w:t>对</w:t>
      </w:r>
      <w:r>
        <w:rPr>
          <w:sz w:val="24"/>
        </w:rPr>
        <w:t>土建结构进行</w:t>
      </w:r>
      <w:r>
        <w:rPr>
          <w:rFonts w:hint="eastAsia"/>
          <w:sz w:val="24"/>
        </w:rPr>
        <w:t>钻孔</w:t>
      </w:r>
      <w:r>
        <w:rPr>
          <w:sz w:val="24"/>
        </w:rPr>
        <w:t>或开挖等</w:t>
      </w:r>
      <w:r>
        <w:rPr>
          <w:rFonts w:hint="eastAsia"/>
          <w:sz w:val="24"/>
        </w:rPr>
        <w:t>施工工艺，</w:t>
      </w:r>
      <w:r>
        <w:rPr>
          <w:sz w:val="24"/>
        </w:rPr>
        <w:t>承包人应向监理人提交书面申请，经</w:t>
      </w:r>
      <w:r>
        <w:rPr>
          <w:rFonts w:hint="eastAsia"/>
          <w:sz w:val="24"/>
        </w:rPr>
        <w:t>发包人</w:t>
      </w:r>
      <w:r>
        <w:rPr>
          <w:sz w:val="24"/>
        </w:rPr>
        <w:t>、监理人和设计人员核实批准后，</w:t>
      </w:r>
      <w:r>
        <w:rPr>
          <w:rFonts w:hint="eastAsia"/>
          <w:sz w:val="24"/>
        </w:rPr>
        <w:t>方</w:t>
      </w:r>
      <w:r>
        <w:rPr>
          <w:sz w:val="24"/>
        </w:rPr>
        <w:t>可对土建结构进行</w:t>
      </w:r>
      <w:r>
        <w:rPr>
          <w:rFonts w:hint="eastAsia"/>
          <w:sz w:val="24"/>
        </w:rPr>
        <w:t>钻孔</w:t>
      </w:r>
      <w:r>
        <w:rPr>
          <w:sz w:val="24"/>
        </w:rPr>
        <w:t>或开槽等施工。</w:t>
      </w:r>
    </w:p>
    <w:p>
      <w:pPr>
        <w:tabs>
          <w:tab w:val="left" w:pos="0"/>
        </w:tabs>
        <w:adjustRightInd w:val="0"/>
        <w:snapToGrid w:val="0"/>
        <w:spacing w:line="360" w:lineRule="auto"/>
        <w:ind w:firstLine="480" w:firstLineChars="200"/>
        <w:rPr>
          <w:sz w:val="24"/>
        </w:rPr>
      </w:pPr>
      <w:r>
        <w:rPr>
          <w:sz w:val="24"/>
        </w:rPr>
        <w:t>(8)  在本合同工作范围内监测仪器、设备和设施，承包人应按照施工图纸的要求或监理人指示严格执行，除按本技术文件––––“计量与支付”中的规定进行结算外，承包人不得要求额外的费用。</w:t>
      </w:r>
    </w:p>
    <w:p>
      <w:pPr>
        <w:tabs>
          <w:tab w:val="left" w:pos="0"/>
        </w:tabs>
        <w:adjustRightInd w:val="0"/>
        <w:snapToGrid w:val="0"/>
        <w:spacing w:line="360" w:lineRule="auto"/>
        <w:ind w:firstLine="480" w:firstLineChars="200"/>
        <w:rPr>
          <w:sz w:val="24"/>
        </w:rPr>
      </w:pPr>
      <w:r>
        <w:rPr>
          <w:sz w:val="24"/>
        </w:rPr>
        <w:t>(9)  全部监测仪器和设备安装调试验收合格后移交给</w:t>
      </w:r>
      <w:r>
        <w:rPr>
          <w:rFonts w:hint="eastAsia"/>
          <w:sz w:val="24"/>
        </w:rPr>
        <w:t>建设单位</w:t>
      </w:r>
      <w:r>
        <w:rPr>
          <w:sz w:val="24"/>
        </w:rPr>
        <w:t>，承包人</w:t>
      </w:r>
      <w:r>
        <w:rPr>
          <w:rFonts w:hint="eastAsia"/>
          <w:sz w:val="24"/>
        </w:rPr>
        <w:t>负责</w:t>
      </w:r>
      <w:r>
        <w:rPr>
          <w:sz w:val="24"/>
        </w:rPr>
        <w:t>培训发包人，包括仪器设备使用、数据读取及分析等工作。</w:t>
      </w:r>
      <w:r>
        <w:rPr>
          <w:rFonts w:hint="eastAsia"/>
          <w:sz w:val="24"/>
        </w:rPr>
        <w:t xml:space="preserve"> </w:t>
      </w:r>
    </w:p>
    <w:p>
      <w:pPr>
        <w:tabs>
          <w:tab w:val="left" w:pos="0"/>
        </w:tabs>
        <w:adjustRightInd w:val="0"/>
        <w:snapToGrid w:val="0"/>
        <w:spacing w:line="360" w:lineRule="auto"/>
        <w:ind w:firstLine="480" w:firstLineChars="200"/>
        <w:rPr>
          <w:rFonts w:hint="eastAsia"/>
          <w:sz w:val="24"/>
        </w:rPr>
      </w:pPr>
      <w:r>
        <w:rPr>
          <w:sz w:val="24"/>
        </w:rPr>
        <w:t>(10)  在本合同执行期间，承包人应确保按照施工图和监理人指示进行安装和埋设的、具备正常测读功能的全部仪器设备及设施(包括损坏后及时修复或更换和失效后及时修复或更换的具备正常测读功能的仪器设备及设施)的完好率</w:t>
      </w:r>
      <w:r>
        <w:rPr>
          <w:rFonts w:hint="eastAsia"/>
          <w:sz w:val="24"/>
          <w:lang w:eastAsia="zh-CN"/>
        </w:rPr>
        <w:t>。</w:t>
      </w:r>
      <w:r>
        <w:rPr>
          <w:rFonts w:hint="eastAsia" w:ascii="宋体" w:hAnsi="宋体" w:cs="宋体"/>
          <w:sz w:val="24"/>
          <w:szCs w:val="24"/>
        </w:rPr>
        <w:t>仪器完好率</w:t>
      </w:r>
      <w:r>
        <w:rPr>
          <w:rFonts w:hint="eastAsia" w:ascii="宋体" w:hAnsi="宋体" w:cs="宋体"/>
          <w:b/>
          <w:bCs/>
          <w:sz w:val="24"/>
          <w:szCs w:val="24"/>
        </w:rPr>
        <w:t>验收标准</w:t>
      </w:r>
      <w:r>
        <w:rPr>
          <w:rFonts w:hint="eastAsia"/>
          <w:sz w:val="24"/>
          <w:lang w:eastAsia="zh-CN"/>
        </w:rPr>
        <w:t>：</w:t>
      </w:r>
      <w:r>
        <w:rPr>
          <w:sz w:val="24"/>
        </w:rPr>
        <w:t>外部变形监测设施的完好率为100%，其他仪器设备和设施的完好率应不得少于按照施工图和监理人指示进行安装埋设总测点数量(不包括外部变形监测设施的数量)的85%。</w:t>
      </w:r>
    </w:p>
    <w:p>
      <w:pPr>
        <w:tabs>
          <w:tab w:val="left" w:pos="0"/>
        </w:tabs>
        <w:adjustRightInd w:val="0"/>
        <w:snapToGrid w:val="0"/>
        <w:spacing w:line="360" w:lineRule="auto"/>
        <w:ind w:firstLine="480" w:firstLineChars="200"/>
        <w:rPr>
          <w:sz w:val="24"/>
        </w:rPr>
      </w:pPr>
      <w:r>
        <w:rPr>
          <w:rFonts w:hint="eastAsia"/>
          <w:sz w:val="24"/>
        </w:rPr>
        <w:t>三</w:t>
      </w:r>
      <w:r>
        <w:rPr>
          <w:sz w:val="24"/>
        </w:rPr>
        <w:t>点位移计的测点数按仪器的锚头数量计，</w:t>
      </w:r>
      <w:r>
        <w:rPr>
          <w:rFonts w:hint="eastAsia"/>
          <w:sz w:val="24"/>
        </w:rPr>
        <w:t>其他</w:t>
      </w:r>
      <w:r>
        <w:rPr>
          <w:sz w:val="24"/>
        </w:rPr>
        <w:t>仪器、设备及设施的测点数按《工程量清单》中所列仪器、设备及设施计量单位进行计算。</w:t>
      </w:r>
    </w:p>
    <w:p>
      <w:pPr>
        <w:tabs>
          <w:tab w:val="left" w:pos="0"/>
        </w:tabs>
        <w:adjustRightInd w:val="0"/>
        <w:snapToGrid w:val="0"/>
        <w:spacing w:line="360" w:lineRule="auto"/>
        <w:ind w:firstLine="480" w:firstLineChars="200"/>
        <w:rPr>
          <w:sz w:val="24"/>
        </w:rPr>
      </w:pPr>
      <w:r>
        <w:rPr>
          <w:sz w:val="24"/>
        </w:rPr>
        <w:t>(11)  承包人负责完成发包人为施工期安全要求进行的各项监测工作，并为施工期监测及时安装必要的监测仪器和设备。</w:t>
      </w:r>
    </w:p>
    <w:p>
      <w:pPr>
        <w:tabs>
          <w:tab w:val="left" w:pos="0"/>
        </w:tabs>
        <w:adjustRightInd w:val="0"/>
        <w:snapToGrid w:val="0"/>
        <w:spacing w:line="360" w:lineRule="auto"/>
        <w:ind w:firstLine="480" w:firstLineChars="200"/>
        <w:rPr>
          <w:sz w:val="24"/>
        </w:rPr>
      </w:pPr>
      <w:r>
        <w:rPr>
          <w:sz w:val="24"/>
        </w:rPr>
        <w:t>(12)  对于与仪器安装</w:t>
      </w:r>
      <w:r>
        <w:rPr>
          <w:rFonts w:hint="eastAsia"/>
          <w:sz w:val="24"/>
        </w:rPr>
        <w:t>及</w:t>
      </w:r>
      <w:r>
        <w:rPr>
          <w:sz w:val="24"/>
        </w:rPr>
        <w:t>埋设相关的土建工程，承包人应承担以下责任：</w:t>
      </w:r>
    </w:p>
    <w:p>
      <w:pPr>
        <w:tabs>
          <w:tab w:val="left" w:pos="0"/>
        </w:tabs>
        <w:adjustRightInd w:val="0"/>
        <w:snapToGrid w:val="0"/>
        <w:spacing w:line="360" w:lineRule="auto"/>
        <w:ind w:firstLine="480" w:firstLineChars="200"/>
        <w:rPr>
          <w:sz w:val="24"/>
        </w:rPr>
      </w:pPr>
      <w:r>
        <w:rPr>
          <w:sz w:val="24"/>
        </w:rPr>
        <w:t>1)  承包人应按本技术文件的规定以及施工图纸和监理人的指示，完成本合同工作范围包括的作业，组织并实施本合同规定的全部土建工作；</w:t>
      </w:r>
    </w:p>
    <w:p>
      <w:pPr>
        <w:tabs>
          <w:tab w:val="left" w:pos="0"/>
        </w:tabs>
        <w:adjustRightInd w:val="0"/>
        <w:snapToGrid w:val="0"/>
        <w:spacing w:line="360" w:lineRule="auto"/>
        <w:ind w:firstLine="480" w:firstLineChars="200"/>
        <w:rPr>
          <w:sz w:val="24"/>
        </w:rPr>
      </w:pPr>
      <w:r>
        <w:rPr>
          <w:sz w:val="24"/>
        </w:rPr>
        <w:t>2)  承包人负责提供完成上述各项工作所必须的人工、材料、设备及其它辅助设施的采购、供应、运输、设计、制作、安装、验收、保管、维修或拆除；</w:t>
      </w:r>
    </w:p>
    <w:p>
      <w:pPr>
        <w:tabs>
          <w:tab w:val="left" w:pos="0"/>
        </w:tabs>
        <w:adjustRightInd w:val="0"/>
        <w:snapToGrid w:val="0"/>
        <w:spacing w:line="360" w:lineRule="auto"/>
        <w:ind w:firstLine="480" w:firstLineChars="200"/>
        <w:rPr>
          <w:sz w:val="24"/>
        </w:rPr>
      </w:pPr>
      <w:r>
        <w:rPr>
          <w:sz w:val="24"/>
        </w:rPr>
        <w:t>3)  承包人应在施工前详细了解工程的地形、地质和水文地质情况。承包人根据实际情况，需要修改钻孔布置时，应以书面形式报送监理人审批，并最终按监理人的审批意见执行。</w:t>
      </w:r>
    </w:p>
    <w:p>
      <w:pPr>
        <w:tabs>
          <w:tab w:val="left" w:pos="0"/>
        </w:tabs>
        <w:adjustRightInd w:val="0"/>
        <w:snapToGrid w:val="0"/>
        <w:spacing w:line="360" w:lineRule="auto"/>
        <w:ind w:firstLine="480" w:firstLineChars="200"/>
        <w:rPr>
          <w:sz w:val="24"/>
        </w:rPr>
      </w:pPr>
      <w:r>
        <w:rPr>
          <w:sz w:val="24"/>
        </w:rPr>
        <w:t>4)  承包人因施工需要在施工图纸所示开挖线以外进行土建工作时，应经监理人批准，由此增加的费用由承包人承担，发包人不再另外支付费用。</w:t>
      </w:r>
      <w:r>
        <w:rPr>
          <w:rFonts w:hint="eastAsia"/>
          <w:sz w:val="24"/>
        </w:rPr>
        <w:t xml:space="preserve"> </w:t>
      </w:r>
    </w:p>
    <w:p>
      <w:pPr>
        <w:tabs>
          <w:tab w:val="left" w:pos="0"/>
        </w:tabs>
        <w:adjustRightInd w:val="0"/>
        <w:snapToGrid w:val="0"/>
        <w:spacing w:line="360" w:lineRule="auto"/>
        <w:ind w:firstLine="480" w:firstLineChars="200"/>
        <w:rPr>
          <w:sz w:val="24"/>
        </w:rPr>
      </w:pPr>
      <w:r>
        <w:rPr>
          <w:sz w:val="24"/>
        </w:rPr>
        <w:t xml:space="preserve">5)  </w:t>
      </w:r>
      <w:r>
        <w:rPr>
          <w:rFonts w:hint="eastAsia"/>
          <w:sz w:val="24"/>
        </w:rPr>
        <w:t>需要</w:t>
      </w:r>
      <w:r>
        <w:rPr>
          <w:sz w:val="24"/>
        </w:rPr>
        <w:t>土建</w:t>
      </w:r>
      <w:r>
        <w:rPr>
          <w:rFonts w:hint="eastAsia"/>
          <w:sz w:val="24"/>
        </w:rPr>
        <w:t>承包人完成本标段的配合</w:t>
      </w:r>
      <w:r>
        <w:rPr>
          <w:sz w:val="24"/>
        </w:rPr>
        <w:t>工作</w:t>
      </w:r>
      <w:r>
        <w:rPr>
          <w:rFonts w:hint="eastAsia"/>
          <w:sz w:val="24"/>
        </w:rPr>
        <w:t>时，本</w:t>
      </w:r>
      <w:r>
        <w:rPr>
          <w:sz w:val="24"/>
        </w:rPr>
        <w:t>标段</w:t>
      </w:r>
      <w:r>
        <w:rPr>
          <w:rFonts w:hint="eastAsia"/>
          <w:sz w:val="24"/>
        </w:rPr>
        <w:t>承包人负责提出相应的技术要求和技术指导，并在</w:t>
      </w:r>
      <w:r>
        <w:rPr>
          <w:sz w:val="24"/>
        </w:rPr>
        <w:t>现场进行技术指导</w:t>
      </w:r>
      <w:r>
        <w:rPr>
          <w:rFonts w:hint="eastAsia"/>
          <w:sz w:val="24"/>
        </w:rPr>
        <w:t>。例如预留</w:t>
      </w:r>
      <w:r>
        <w:rPr>
          <w:sz w:val="24"/>
        </w:rPr>
        <w:t>监测仪器安装所需工期</w:t>
      </w:r>
      <w:r>
        <w:rPr>
          <w:rFonts w:hint="eastAsia"/>
          <w:sz w:val="24"/>
        </w:rPr>
        <w:t>、直螺栓</w:t>
      </w:r>
      <w:r>
        <w:rPr>
          <w:sz w:val="24"/>
        </w:rPr>
        <w:t>和弯螺栓</w:t>
      </w:r>
      <w:r>
        <w:rPr>
          <w:rFonts w:hint="eastAsia"/>
          <w:sz w:val="24"/>
        </w:rPr>
        <w:t>需要</w:t>
      </w:r>
      <w:r>
        <w:rPr>
          <w:sz w:val="24"/>
        </w:rPr>
        <w:t>土建承包人提供、</w:t>
      </w:r>
      <w:r>
        <w:rPr>
          <w:rFonts w:hint="eastAsia"/>
          <w:sz w:val="24"/>
        </w:rPr>
        <w:t>土建</w:t>
      </w:r>
      <w:r>
        <w:rPr>
          <w:sz w:val="24"/>
        </w:rPr>
        <w:t>承包人推钢管</w:t>
      </w:r>
      <w:r>
        <w:rPr>
          <w:rFonts w:hint="eastAsia"/>
          <w:sz w:val="24"/>
        </w:rPr>
        <w:t>的偏差</w:t>
      </w:r>
      <w:r>
        <w:rPr>
          <w:sz w:val="24"/>
        </w:rPr>
        <w:t>范围、</w:t>
      </w:r>
      <w:r>
        <w:rPr>
          <w:rFonts w:hint="eastAsia"/>
          <w:sz w:val="24"/>
        </w:rPr>
        <w:t>监测</w:t>
      </w:r>
      <w:r>
        <w:rPr>
          <w:sz w:val="24"/>
        </w:rPr>
        <w:t>仪器保护等，以及</w:t>
      </w:r>
      <w:r>
        <w:rPr>
          <w:rFonts w:hint="eastAsia"/>
          <w:sz w:val="24"/>
        </w:rPr>
        <w:t>其他监测</w:t>
      </w:r>
      <w:r>
        <w:rPr>
          <w:sz w:val="24"/>
        </w:rPr>
        <w:t>仪器埋设和观测</w:t>
      </w:r>
      <w:r>
        <w:rPr>
          <w:rFonts w:hint="eastAsia"/>
          <w:sz w:val="24"/>
        </w:rPr>
        <w:t>所需</w:t>
      </w:r>
      <w:r>
        <w:rPr>
          <w:sz w:val="24"/>
        </w:rPr>
        <w:t>的配合工作。</w:t>
      </w:r>
      <w:r>
        <w:rPr>
          <w:rFonts w:hint="eastAsia"/>
          <w:sz w:val="24"/>
        </w:rPr>
        <w:t>因本标段承包人指导不到位而造成设备损坏，承包人</w:t>
      </w:r>
      <w:r>
        <w:rPr>
          <w:sz w:val="24"/>
        </w:rPr>
        <w:t>应</w:t>
      </w:r>
      <w:r>
        <w:rPr>
          <w:rFonts w:hint="eastAsia"/>
          <w:sz w:val="24"/>
        </w:rPr>
        <w:t>承担相应</w:t>
      </w:r>
      <w:r>
        <w:rPr>
          <w:sz w:val="24"/>
        </w:rPr>
        <w:t>的费用</w:t>
      </w:r>
      <w:r>
        <w:rPr>
          <w:rFonts w:hint="eastAsia"/>
          <w:sz w:val="24"/>
        </w:rPr>
        <w:t>，</w:t>
      </w:r>
      <w:r>
        <w:rPr>
          <w:sz w:val="24"/>
        </w:rPr>
        <w:t>包括含仪器采购、率定、埋设安装及观测等费用或者修复费，</w:t>
      </w:r>
      <w:r>
        <w:rPr>
          <w:rFonts w:hint="eastAsia"/>
          <w:sz w:val="24"/>
        </w:rPr>
        <w:t>甚至导致所涉监测范围内的施工延误</w:t>
      </w:r>
      <w:r>
        <w:rPr>
          <w:sz w:val="24"/>
        </w:rPr>
        <w:t>等原因产生的费用。</w:t>
      </w:r>
    </w:p>
    <w:p>
      <w:pPr>
        <w:pStyle w:val="739"/>
        <w:adjustRightInd w:val="0"/>
        <w:snapToGrid w:val="0"/>
        <w:ind w:firstLine="480"/>
        <w:rPr>
          <w:rFonts w:ascii="Times New Roman" w:hAnsi="Times New Roman" w:cs="Times New Roman"/>
        </w:rPr>
      </w:pPr>
      <w:r>
        <w:rPr>
          <w:rFonts w:ascii="Times New Roman" w:hAnsi="Times New Roman" w:cs="Times New Roman"/>
        </w:rPr>
        <w:t>（13）由于本标段</w:t>
      </w:r>
      <w:r>
        <w:rPr>
          <w:rFonts w:hint="eastAsia" w:ascii="Times New Roman" w:hAnsi="Times New Roman" w:cs="Times New Roman"/>
        </w:rPr>
        <w:t>盾构隧洞</w:t>
      </w:r>
      <w:r>
        <w:rPr>
          <w:rFonts w:ascii="Times New Roman" w:hAnsi="Times New Roman" w:cs="Times New Roman"/>
        </w:rPr>
        <w:t>部分</w:t>
      </w:r>
      <w:r>
        <w:rPr>
          <w:rFonts w:hint="eastAsia" w:ascii="Times New Roman" w:hAnsi="Times New Roman" w:cs="Times New Roman"/>
        </w:rPr>
        <w:t>监测仪器线缆</w:t>
      </w:r>
      <w:r>
        <w:rPr>
          <w:rFonts w:ascii="Times New Roman" w:hAnsi="Times New Roman" w:cs="Times New Roman"/>
        </w:rPr>
        <w:t>需接入安全监测</w:t>
      </w:r>
      <w:r>
        <w:rPr>
          <w:rFonts w:hint="eastAsia" w:ascii="Times New Roman" w:hAnsi="Times New Roman" w:cs="Times New Roman"/>
        </w:rPr>
        <w:t>2</w:t>
      </w:r>
      <w:r>
        <w:rPr>
          <w:rFonts w:ascii="Times New Roman" w:hAnsi="Times New Roman" w:cs="Times New Roman"/>
        </w:rPr>
        <w:t>标段</w:t>
      </w:r>
      <w:r>
        <w:rPr>
          <w:rFonts w:hint="eastAsia" w:ascii="Times New Roman" w:hAnsi="Times New Roman" w:cs="Times New Roman"/>
        </w:rPr>
        <w:t>光纤光栅解调仪</w:t>
      </w:r>
      <w:r>
        <w:rPr>
          <w:rFonts w:ascii="Times New Roman" w:hAnsi="Times New Roman" w:cs="Times New Roman"/>
        </w:rPr>
        <w:t>，本标段的</w:t>
      </w:r>
      <w:r>
        <w:rPr>
          <w:rFonts w:hint="eastAsia" w:ascii="Times New Roman" w:hAnsi="Times New Roman" w:cs="Times New Roman"/>
        </w:rPr>
        <w:t>监测仪器线缆</w:t>
      </w:r>
      <w:r>
        <w:rPr>
          <w:rFonts w:ascii="Times New Roman" w:hAnsi="Times New Roman" w:cs="Times New Roman"/>
        </w:rPr>
        <w:t>接入安全监测</w:t>
      </w:r>
      <w:r>
        <w:rPr>
          <w:rFonts w:hint="eastAsia" w:ascii="Times New Roman" w:hAnsi="Times New Roman" w:cs="Times New Roman"/>
        </w:rPr>
        <w:t>2</w:t>
      </w:r>
      <w:r>
        <w:rPr>
          <w:rFonts w:ascii="Times New Roman" w:hAnsi="Times New Roman" w:cs="Times New Roman"/>
        </w:rPr>
        <w:t>标段预留的</w:t>
      </w:r>
      <w:r>
        <w:rPr>
          <w:rFonts w:hint="eastAsia" w:ascii="Times New Roman" w:hAnsi="Times New Roman" w:cs="Times New Roman"/>
        </w:rPr>
        <w:t>光纤光栅解调仪</w:t>
      </w:r>
      <w:r>
        <w:rPr>
          <w:rFonts w:ascii="Times New Roman" w:hAnsi="Times New Roman" w:cs="Times New Roman"/>
        </w:rPr>
        <w:t>端口，本标段承包人进行安全监测配合工作时，应主动要求安全监测</w:t>
      </w:r>
      <w:r>
        <w:rPr>
          <w:rFonts w:hint="eastAsia" w:ascii="Times New Roman" w:hAnsi="Times New Roman" w:cs="Times New Roman"/>
        </w:rPr>
        <w:t>2</w:t>
      </w:r>
      <w:r>
        <w:rPr>
          <w:rFonts w:ascii="Times New Roman" w:hAnsi="Times New Roman" w:cs="Times New Roman"/>
        </w:rPr>
        <w:t>标承包人在现场进行指导并提出技术要求。</w:t>
      </w:r>
    </w:p>
    <w:p>
      <w:pPr>
        <w:tabs>
          <w:tab w:val="left" w:pos="0"/>
        </w:tabs>
        <w:adjustRightInd w:val="0"/>
        <w:snapToGrid w:val="0"/>
        <w:spacing w:line="360" w:lineRule="auto"/>
        <w:ind w:firstLine="480" w:firstLineChars="200"/>
        <w:rPr>
          <w:sz w:val="24"/>
        </w:rPr>
      </w:pPr>
      <w:r>
        <w:rPr>
          <w:sz w:val="24"/>
        </w:rPr>
        <w:t>（1</w:t>
      </w:r>
      <w:r>
        <w:rPr>
          <w:rFonts w:hint="eastAsia"/>
          <w:sz w:val="24"/>
        </w:rPr>
        <w:t>4</w:t>
      </w:r>
      <w:r>
        <w:rPr>
          <w:sz w:val="24"/>
        </w:rPr>
        <w:t>）</w:t>
      </w:r>
      <w:r>
        <w:rPr>
          <w:rFonts w:hint="eastAsia"/>
          <w:sz w:val="24"/>
        </w:rPr>
        <w:t>监理人</w:t>
      </w:r>
      <w:r>
        <w:rPr>
          <w:sz w:val="24"/>
        </w:rPr>
        <w:t>和安全监测2标</w:t>
      </w:r>
      <w:r>
        <w:rPr>
          <w:rFonts w:hint="eastAsia"/>
          <w:sz w:val="24"/>
        </w:rPr>
        <w:t>承包人</w:t>
      </w:r>
      <w:r>
        <w:rPr>
          <w:sz w:val="24"/>
        </w:rPr>
        <w:t>对本标段</w:t>
      </w:r>
      <w:r>
        <w:rPr>
          <w:rFonts w:hint="eastAsia"/>
          <w:sz w:val="24"/>
        </w:rPr>
        <w:t>施工</w:t>
      </w:r>
      <w:r>
        <w:rPr>
          <w:sz w:val="24"/>
        </w:rPr>
        <w:t>范围内提出的技术要求和技术指导，</w:t>
      </w:r>
      <w:r>
        <w:rPr>
          <w:rFonts w:hint="eastAsia"/>
          <w:sz w:val="24"/>
        </w:rPr>
        <w:t>本</w:t>
      </w:r>
      <w:r>
        <w:rPr>
          <w:sz w:val="24"/>
        </w:rPr>
        <w:t>标段承包人应配合执行。例如</w:t>
      </w:r>
      <w:r>
        <w:rPr>
          <w:rFonts w:hint="eastAsia"/>
          <w:sz w:val="24"/>
        </w:rPr>
        <w:t>监理人</w:t>
      </w:r>
      <w:r>
        <w:rPr>
          <w:sz w:val="24"/>
        </w:rPr>
        <w:t>和安全监测2标</w:t>
      </w:r>
      <w:r>
        <w:rPr>
          <w:rFonts w:hint="eastAsia"/>
          <w:sz w:val="24"/>
        </w:rPr>
        <w:t>承包人有权</w:t>
      </w:r>
      <w:r>
        <w:rPr>
          <w:sz w:val="24"/>
        </w:rPr>
        <w:t>对本标段</w:t>
      </w:r>
      <w:r>
        <w:rPr>
          <w:rFonts w:hint="eastAsia"/>
          <w:sz w:val="24"/>
        </w:rPr>
        <w:t>的</w:t>
      </w:r>
      <w:r>
        <w:rPr>
          <w:sz w:val="24"/>
        </w:rPr>
        <w:t>安全</w:t>
      </w:r>
      <w:r>
        <w:rPr>
          <w:rFonts w:hint="eastAsia"/>
          <w:sz w:val="24"/>
        </w:rPr>
        <w:t>监测</w:t>
      </w:r>
      <w:r>
        <w:rPr>
          <w:sz w:val="24"/>
        </w:rPr>
        <w:t>数据和资料分析</w:t>
      </w:r>
      <w:r>
        <w:rPr>
          <w:rFonts w:hint="eastAsia"/>
          <w:sz w:val="24"/>
        </w:rPr>
        <w:t>报告</w:t>
      </w:r>
      <w:r>
        <w:rPr>
          <w:sz w:val="24"/>
        </w:rPr>
        <w:t>进行</w:t>
      </w:r>
      <w:r>
        <w:rPr>
          <w:rFonts w:hint="eastAsia"/>
          <w:sz w:val="24"/>
        </w:rPr>
        <w:t>查阅</w:t>
      </w:r>
      <w:r>
        <w:rPr>
          <w:sz w:val="24"/>
        </w:rPr>
        <w:t>，并提出整改要求</w:t>
      </w:r>
      <w:r>
        <w:rPr>
          <w:rFonts w:hint="eastAsia"/>
          <w:sz w:val="24"/>
        </w:rPr>
        <w:t>。</w:t>
      </w:r>
    </w:p>
    <w:p>
      <w:pPr>
        <w:tabs>
          <w:tab w:val="left" w:pos="0"/>
        </w:tabs>
        <w:adjustRightInd w:val="0"/>
        <w:snapToGrid w:val="0"/>
        <w:spacing w:line="360" w:lineRule="auto"/>
        <w:ind w:firstLine="480" w:firstLineChars="200"/>
        <w:rPr>
          <w:sz w:val="24"/>
        </w:rPr>
      </w:pPr>
      <w:r>
        <w:rPr>
          <w:sz w:val="24"/>
        </w:rPr>
        <w:t>（1</w:t>
      </w:r>
      <w:r>
        <w:rPr>
          <w:rFonts w:hint="eastAsia"/>
          <w:sz w:val="24"/>
        </w:rPr>
        <w:t>5</w:t>
      </w:r>
      <w:r>
        <w:rPr>
          <w:sz w:val="24"/>
        </w:rPr>
        <w:t>）</w:t>
      </w:r>
      <w:r>
        <w:rPr>
          <w:rFonts w:hint="eastAsia"/>
          <w:sz w:val="24"/>
        </w:rPr>
        <w:t>由于考虑</w:t>
      </w:r>
      <w:r>
        <w:rPr>
          <w:sz w:val="24"/>
        </w:rPr>
        <w:t>到</w:t>
      </w:r>
      <w:r>
        <w:rPr>
          <w:rFonts w:hint="eastAsia"/>
          <w:sz w:val="24"/>
        </w:rPr>
        <w:t>本标段数据采集设备与</w:t>
      </w:r>
      <w:r>
        <w:rPr>
          <w:sz w:val="24"/>
        </w:rPr>
        <w:t>安全监测自动化系统</w:t>
      </w:r>
      <w:r>
        <w:rPr>
          <w:rFonts w:hint="eastAsia"/>
          <w:sz w:val="24"/>
        </w:rPr>
        <w:t>的兼容性，本</w:t>
      </w:r>
      <w:r>
        <w:rPr>
          <w:sz w:val="24"/>
        </w:rPr>
        <w:t>标段</w:t>
      </w:r>
      <w:r>
        <w:rPr>
          <w:rFonts w:hint="eastAsia"/>
          <w:sz w:val="24"/>
        </w:rPr>
        <w:t>承包人的</w:t>
      </w:r>
      <w:r>
        <w:rPr>
          <w:sz w:val="24"/>
        </w:rPr>
        <w:t>数据采集</w:t>
      </w:r>
      <w:r>
        <w:rPr>
          <w:rFonts w:hint="eastAsia"/>
          <w:sz w:val="24"/>
        </w:rPr>
        <w:t>系统应</w:t>
      </w:r>
      <w:r>
        <w:rPr>
          <w:sz w:val="24"/>
        </w:rPr>
        <w:t>对</w:t>
      </w:r>
      <w:r>
        <w:rPr>
          <w:rFonts w:hint="eastAsia"/>
          <w:sz w:val="24"/>
        </w:rPr>
        <w:t>安全监测2标承包人开放，</w:t>
      </w:r>
      <w:r>
        <w:rPr>
          <w:sz w:val="24"/>
        </w:rPr>
        <w:t>以保证监测数据正常采集</w:t>
      </w:r>
      <w:r>
        <w:rPr>
          <w:rFonts w:hint="eastAsia"/>
          <w:sz w:val="24"/>
        </w:rPr>
        <w:t>。</w:t>
      </w:r>
    </w:p>
    <w:p>
      <w:pPr>
        <w:pStyle w:val="739"/>
        <w:adjustRightInd w:val="0"/>
        <w:snapToGrid w:val="0"/>
        <w:ind w:firstLine="480"/>
        <w:rPr>
          <w:rFonts w:ascii="Times New Roman" w:hAnsi="Times New Roman" w:cs="Times New Roman"/>
        </w:rPr>
      </w:pPr>
      <w:r>
        <w:rPr>
          <w:rFonts w:hint="eastAsia" w:ascii="Times New Roman" w:hAnsi="Times New Roman" w:cs="Times New Roman"/>
        </w:rPr>
        <w:t>（1</w:t>
      </w:r>
      <w:r>
        <w:rPr>
          <w:rFonts w:hint="eastAsia" w:ascii="Times New Roman" w:hAnsi="Times New Roman" w:cs="Times New Roman"/>
          <w:lang w:val="en-US" w:eastAsia="zh-CN"/>
        </w:rPr>
        <w:t>6</w:t>
      </w:r>
      <w:r>
        <w:rPr>
          <w:rFonts w:hint="eastAsia" w:ascii="Times New Roman" w:hAnsi="Times New Roman" w:cs="Times New Roman"/>
        </w:rPr>
        <w:t>）承包人应配合做好安全监测信息管理系统与智慧工地管理信息平台集成。</w:t>
      </w:r>
      <w:r>
        <w:rPr>
          <w:rFonts w:ascii="Times New Roman" w:hAnsi="Times New Roman" w:cs="Times New Roman"/>
        </w:rPr>
        <w:t>将异常报警、重点监控等信息集成到智慧工地管理信息平台。将智慧工地管理信息平台安全相关必要信息集成到本系统，满足工程安全业务统一管控需要。</w:t>
      </w:r>
    </w:p>
    <w:p>
      <w:pPr>
        <w:tabs>
          <w:tab w:val="left" w:pos="0"/>
        </w:tabs>
        <w:adjustRightInd w:val="0"/>
        <w:snapToGrid w:val="0"/>
        <w:spacing w:line="360" w:lineRule="auto"/>
        <w:ind w:firstLine="480" w:firstLineChars="200"/>
        <w:rPr>
          <w:sz w:val="24"/>
        </w:rPr>
      </w:pPr>
    </w:p>
    <w:p>
      <w:pPr>
        <w:pStyle w:val="4"/>
        <w:adjustRightInd w:val="0"/>
        <w:snapToGrid w:val="0"/>
        <w:spacing w:before="0" w:after="0" w:line="500" w:lineRule="atLeast"/>
        <w:rPr>
          <w:rFonts w:ascii="黑体" w:hAnsi="黑体" w:eastAsia="黑体"/>
          <w:b w:val="0"/>
          <w:sz w:val="24"/>
          <w:szCs w:val="24"/>
        </w:rPr>
      </w:pPr>
      <w:bookmarkStart w:id="96" w:name="_Toc14562"/>
      <w:bookmarkStart w:id="97" w:name="_Toc118821431"/>
      <w:r>
        <w:rPr>
          <w:rFonts w:ascii="Times New Roman" w:hAnsi="Times New Roman"/>
          <w:sz w:val="24"/>
          <w:szCs w:val="24"/>
        </w:rPr>
        <w:t xml:space="preserve">1.6 </w:t>
      </w:r>
      <w:r>
        <w:rPr>
          <w:rFonts w:hint="eastAsia" w:ascii="Times New Roman" w:hAnsi="Times New Roman"/>
          <w:sz w:val="24"/>
          <w:szCs w:val="24"/>
        </w:rPr>
        <w:t xml:space="preserve"> </w:t>
      </w:r>
      <w:r>
        <w:rPr>
          <w:rFonts w:ascii="黑体" w:hAnsi="黑体" w:eastAsia="黑体"/>
          <w:b w:val="0"/>
          <w:sz w:val="24"/>
          <w:szCs w:val="24"/>
        </w:rPr>
        <w:t>承包人主要提</w:t>
      </w:r>
      <w:bookmarkEnd w:id="89"/>
      <w:bookmarkEnd w:id="90"/>
      <w:bookmarkEnd w:id="91"/>
      <w:r>
        <w:rPr>
          <w:rFonts w:ascii="黑体" w:hAnsi="黑体" w:eastAsia="黑体"/>
          <w:b w:val="0"/>
          <w:sz w:val="24"/>
          <w:szCs w:val="24"/>
        </w:rPr>
        <w:t>交件</w:t>
      </w:r>
      <w:bookmarkEnd w:id="96"/>
      <w:bookmarkEnd w:id="97"/>
    </w:p>
    <w:bookmarkEnd w:id="92"/>
    <w:p>
      <w:pPr>
        <w:pStyle w:val="5"/>
        <w:spacing w:before="0" w:after="0" w:line="500" w:lineRule="atLeast"/>
        <w:jc w:val="both"/>
        <w:rPr>
          <w:szCs w:val="24"/>
        </w:rPr>
      </w:pPr>
      <w:bookmarkStart w:id="98" w:name="_Toc12610"/>
      <w:bookmarkStart w:id="99" w:name="_Toc521577738"/>
      <w:bookmarkStart w:id="100" w:name="_Toc118821432"/>
      <w:bookmarkStart w:id="101" w:name="_Toc249322059"/>
      <w:bookmarkStart w:id="102" w:name="_Toc414615063"/>
      <w:bookmarkStart w:id="103" w:name="_Toc232162539"/>
      <w:bookmarkStart w:id="104" w:name="_Toc414615215"/>
      <w:r>
        <w:rPr>
          <w:szCs w:val="24"/>
        </w:rPr>
        <w:t>1.6.1  监测仪器设备采购计划</w:t>
      </w:r>
      <w:bookmarkEnd w:id="98"/>
      <w:bookmarkEnd w:id="99"/>
      <w:bookmarkEnd w:id="100"/>
    </w:p>
    <w:p>
      <w:pPr>
        <w:adjustRightInd w:val="0"/>
        <w:snapToGrid w:val="0"/>
        <w:spacing w:line="500" w:lineRule="atLeast"/>
        <w:ind w:firstLine="480" w:firstLineChars="200"/>
        <w:rPr>
          <w:sz w:val="24"/>
        </w:rPr>
      </w:pPr>
      <w:r>
        <w:rPr>
          <w:rFonts w:hint="eastAsia"/>
          <w:sz w:val="24"/>
        </w:rPr>
        <w:t>合同约定由承包人负责采购的监测仪器设备，承包人应在监测仪器设备安装前，按工程量清单所列项目和施工图纸的要求，编制监测仪器设备采购计划，提交监理人批准，其内容包括：</w:t>
      </w:r>
    </w:p>
    <w:p>
      <w:pPr>
        <w:adjustRightInd w:val="0"/>
        <w:snapToGrid w:val="0"/>
        <w:spacing w:line="500" w:lineRule="atLeast"/>
        <w:ind w:firstLine="480" w:firstLineChars="200"/>
        <w:rPr>
          <w:sz w:val="24"/>
        </w:rPr>
      </w:pPr>
      <w:r>
        <w:rPr>
          <w:rFonts w:hint="eastAsia"/>
          <w:sz w:val="24"/>
        </w:rPr>
        <w:t>（1）</w:t>
      </w:r>
      <w:r>
        <w:rPr>
          <w:sz w:val="24"/>
        </w:rPr>
        <w:t>仪器设备清单、各项仪器设备的生产厂家和技术参数</w:t>
      </w:r>
      <w:r>
        <w:rPr>
          <w:rFonts w:hint="eastAsia"/>
          <w:sz w:val="24"/>
        </w:rPr>
        <w:t>；</w:t>
      </w:r>
    </w:p>
    <w:p>
      <w:pPr>
        <w:adjustRightInd w:val="0"/>
        <w:snapToGrid w:val="0"/>
        <w:spacing w:line="500" w:lineRule="atLeast"/>
        <w:ind w:firstLine="480" w:firstLineChars="200"/>
        <w:rPr>
          <w:sz w:val="24"/>
        </w:rPr>
      </w:pPr>
      <w:r>
        <w:rPr>
          <w:rFonts w:hint="eastAsia"/>
          <w:sz w:val="24"/>
        </w:rPr>
        <w:t>（2）</w:t>
      </w:r>
      <w:r>
        <w:rPr>
          <w:sz w:val="24"/>
        </w:rPr>
        <w:t>仪器采购时间和计划安装埋设时间</w:t>
      </w:r>
      <w:r>
        <w:rPr>
          <w:rFonts w:hint="eastAsia"/>
          <w:sz w:val="24"/>
        </w:rPr>
        <w:t>；</w:t>
      </w:r>
    </w:p>
    <w:p>
      <w:pPr>
        <w:adjustRightInd w:val="0"/>
        <w:snapToGrid w:val="0"/>
        <w:spacing w:line="500" w:lineRule="atLeast"/>
        <w:ind w:firstLine="480" w:firstLineChars="200"/>
        <w:rPr>
          <w:sz w:val="24"/>
        </w:rPr>
      </w:pPr>
      <w:r>
        <w:rPr>
          <w:rFonts w:hint="eastAsia"/>
          <w:sz w:val="24"/>
        </w:rPr>
        <w:t>（3）</w:t>
      </w:r>
      <w:r>
        <w:rPr>
          <w:sz w:val="24"/>
        </w:rPr>
        <w:t>仪器设备检验</w:t>
      </w:r>
      <w:r>
        <w:rPr>
          <w:rFonts w:hint="eastAsia"/>
          <w:sz w:val="24"/>
        </w:rPr>
        <w:t>（率定）</w:t>
      </w:r>
      <w:r>
        <w:rPr>
          <w:sz w:val="24"/>
        </w:rPr>
        <w:t>的项目、内容、方法、程序和要求</w:t>
      </w:r>
      <w:r>
        <w:rPr>
          <w:rFonts w:hint="eastAsia"/>
          <w:sz w:val="24"/>
        </w:rPr>
        <w:t>；</w:t>
      </w:r>
    </w:p>
    <w:p>
      <w:pPr>
        <w:adjustRightInd w:val="0"/>
        <w:snapToGrid w:val="0"/>
        <w:spacing w:line="500" w:lineRule="atLeast"/>
        <w:ind w:firstLine="480" w:firstLineChars="200"/>
        <w:rPr>
          <w:sz w:val="24"/>
        </w:rPr>
      </w:pPr>
      <w:r>
        <w:rPr>
          <w:rFonts w:hint="eastAsia"/>
          <w:sz w:val="24"/>
        </w:rPr>
        <w:t>（4）</w:t>
      </w:r>
      <w:r>
        <w:rPr>
          <w:sz w:val="24"/>
        </w:rPr>
        <w:t>仪器设备检验</w:t>
      </w:r>
      <w:r>
        <w:rPr>
          <w:rFonts w:hint="eastAsia"/>
          <w:sz w:val="24"/>
        </w:rPr>
        <w:t>（率定）</w:t>
      </w:r>
      <w:r>
        <w:rPr>
          <w:sz w:val="24"/>
        </w:rPr>
        <w:t>时使用的设备、工具</w:t>
      </w:r>
      <w:r>
        <w:rPr>
          <w:rFonts w:hint="eastAsia"/>
          <w:sz w:val="24"/>
        </w:rPr>
        <w:t>；</w:t>
      </w:r>
    </w:p>
    <w:p>
      <w:pPr>
        <w:adjustRightInd w:val="0"/>
        <w:snapToGrid w:val="0"/>
        <w:spacing w:line="500" w:lineRule="atLeast"/>
        <w:ind w:firstLine="480" w:firstLineChars="200"/>
        <w:rPr>
          <w:sz w:val="24"/>
        </w:rPr>
      </w:pPr>
      <w:r>
        <w:rPr>
          <w:rFonts w:hint="eastAsia"/>
          <w:sz w:val="24"/>
        </w:rPr>
        <w:t>（5）</w:t>
      </w:r>
      <w:r>
        <w:rPr>
          <w:sz w:val="24"/>
        </w:rPr>
        <w:t>仪器设备检验</w:t>
      </w:r>
      <w:r>
        <w:rPr>
          <w:rFonts w:hint="eastAsia"/>
          <w:sz w:val="24"/>
        </w:rPr>
        <w:t>（率定）</w:t>
      </w:r>
      <w:r>
        <w:rPr>
          <w:sz w:val="24"/>
        </w:rPr>
        <w:t>后的计算方法和对仪器设备质量判断的标准</w:t>
      </w:r>
      <w:r>
        <w:rPr>
          <w:rFonts w:hint="eastAsia"/>
          <w:sz w:val="24"/>
        </w:rPr>
        <w:t>；</w:t>
      </w:r>
    </w:p>
    <w:p>
      <w:pPr>
        <w:adjustRightInd w:val="0"/>
        <w:snapToGrid w:val="0"/>
        <w:spacing w:line="500" w:lineRule="atLeast"/>
        <w:ind w:firstLine="480" w:firstLineChars="200"/>
        <w:rPr>
          <w:sz w:val="24"/>
        </w:rPr>
      </w:pPr>
      <w:r>
        <w:rPr>
          <w:rFonts w:hint="eastAsia"/>
          <w:sz w:val="24"/>
        </w:rPr>
        <w:t>（6）监理人要求提交的其它资料。</w:t>
      </w:r>
    </w:p>
    <w:p>
      <w:pPr>
        <w:tabs>
          <w:tab w:val="left" w:pos="1134"/>
        </w:tabs>
        <w:adjustRightInd w:val="0"/>
        <w:snapToGrid w:val="0"/>
        <w:spacing w:line="500" w:lineRule="atLeast"/>
        <w:ind w:firstLine="480" w:firstLineChars="200"/>
        <w:rPr>
          <w:sz w:val="24"/>
        </w:rPr>
      </w:pPr>
    </w:p>
    <w:p>
      <w:pPr>
        <w:pStyle w:val="5"/>
        <w:snapToGrid w:val="0"/>
        <w:spacing w:before="0" w:after="0" w:line="500" w:lineRule="atLeast"/>
        <w:jc w:val="both"/>
        <w:rPr>
          <w:szCs w:val="24"/>
        </w:rPr>
      </w:pPr>
      <w:bookmarkStart w:id="105" w:name="_Toc118821433"/>
      <w:bookmarkStart w:id="106" w:name="_Toc521577739"/>
      <w:bookmarkStart w:id="107" w:name="_Toc27995"/>
      <w:r>
        <w:rPr>
          <w:szCs w:val="24"/>
        </w:rPr>
        <w:t>1.6.2  监测仪器设备安装埋设技术措施</w:t>
      </w:r>
      <w:bookmarkEnd w:id="105"/>
      <w:bookmarkEnd w:id="106"/>
      <w:bookmarkEnd w:id="107"/>
    </w:p>
    <w:p>
      <w:pPr>
        <w:adjustRightInd w:val="0"/>
        <w:snapToGrid w:val="0"/>
        <w:spacing w:line="500" w:lineRule="atLeast"/>
        <w:ind w:firstLine="480" w:firstLineChars="200"/>
        <w:rPr>
          <w:sz w:val="24"/>
        </w:rPr>
      </w:pPr>
      <w:r>
        <w:rPr>
          <w:sz w:val="24"/>
        </w:rPr>
        <w:t>承包人应按监理人指示，编制监测仪器设备安装埋设和维护技术措施，提交监理人批准，其内容包括：</w:t>
      </w:r>
    </w:p>
    <w:p>
      <w:pPr>
        <w:tabs>
          <w:tab w:val="left" w:pos="1134"/>
        </w:tabs>
        <w:adjustRightInd w:val="0"/>
        <w:snapToGrid w:val="0"/>
        <w:spacing w:line="500" w:lineRule="atLeast"/>
        <w:ind w:firstLine="480" w:firstLineChars="200"/>
        <w:rPr>
          <w:sz w:val="24"/>
        </w:rPr>
      </w:pPr>
      <w:r>
        <w:rPr>
          <w:sz w:val="24"/>
        </w:rPr>
        <w:t>(</w:t>
      </w:r>
      <w:r>
        <w:rPr>
          <w:rFonts w:hint="eastAsia"/>
          <w:sz w:val="24"/>
        </w:rPr>
        <w:t>1</w:t>
      </w:r>
      <w:r>
        <w:rPr>
          <w:sz w:val="24"/>
        </w:rPr>
        <w:t>)  监测仪器设备编码及其电缆标识规则；</w:t>
      </w:r>
    </w:p>
    <w:p>
      <w:pPr>
        <w:tabs>
          <w:tab w:val="left" w:pos="1134"/>
        </w:tabs>
        <w:adjustRightInd w:val="0"/>
        <w:snapToGrid w:val="0"/>
        <w:spacing w:line="500" w:lineRule="atLeast"/>
        <w:ind w:firstLine="480" w:firstLineChars="200"/>
        <w:rPr>
          <w:sz w:val="24"/>
        </w:rPr>
      </w:pPr>
      <w:r>
        <w:rPr>
          <w:sz w:val="24"/>
        </w:rPr>
        <w:t>(</w:t>
      </w:r>
      <w:r>
        <w:rPr>
          <w:rFonts w:hint="eastAsia"/>
          <w:sz w:val="24"/>
        </w:rPr>
        <w:t>2</w:t>
      </w:r>
      <w:r>
        <w:rPr>
          <w:sz w:val="24"/>
        </w:rPr>
        <w:t>)  监测仪器设备安装埋设方法和程序；</w:t>
      </w:r>
    </w:p>
    <w:p>
      <w:pPr>
        <w:tabs>
          <w:tab w:val="left" w:pos="1134"/>
        </w:tabs>
        <w:adjustRightInd w:val="0"/>
        <w:snapToGrid w:val="0"/>
        <w:spacing w:line="500" w:lineRule="atLeast"/>
        <w:ind w:firstLine="480" w:firstLineChars="200"/>
        <w:rPr>
          <w:sz w:val="24"/>
        </w:rPr>
      </w:pPr>
      <w:r>
        <w:rPr>
          <w:rFonts w:hint="eastAsia"/>
          <w:sz w:val="24"/>
        </w:rPr>
        <w:t>(3)  监测仪器电缆连接与敷设方法；</w:t>
      </w:r>
    </w:p>
    <w:p>
      <w:pPr>
        <w:tabs>
          <w:tab w:val="left" w:pos="1134"/>
        </w:tabs>
        <w:adjustRightInd w:val="0"/>
        <w:snapToGrid w:val="0"/>
        <w:spacing w:line="500" w:lineRule="atLeast"/>
        <w:ind w:firstLine="480" w:firstLineChars="200"/>
        <w:rPr>
          <w:sz w:val="24"/>
        </w:rPr>
      </w:pPr>
      <w:r>
        <w:rPr>
          <w:sz w:val="24"/>
        </w:rPr>
        <w:t>(</w:t>
      </w:r>
      <w:r>
        <w:rPr>
          <w:rFonts w:hint="eastAsia"/>
          <w:sz w:val="24"/>
        </w:rPr>
        <w:t>4</w:t>
      </w:r>
      <w:r>
        <w:rPr>
          <w:sz w:val="24"/>
        </w:rPr>
        <w:t>)  监测仪器设备安装埋设详图；</w:t>
      </w:r>
    </w:p>
    <w:p>
      <w:pPr>
        <w:tabs>
          <w:tab w:val="left" w:pos="1134"/>
        </w:tabs>
        <w:adjustRightInd w:val="0"/>
        <w:snapToGrid w:val="0"/>
        <w:spacing w:line="500" w:lineRule="atLeast"/>
        <w:ind w:firstLine="480" w:firstLineChars="200"/>
        <w:rPr>
          <w:sz w:val="24"/>
        </w:rPr>
      </w:pPr>
      <w:r>
        <w:rPr>
          <w:sz w:val="24"/>
        </w:rPr>
        <w:t>(</w:t>
      </w:r>
      <w:r>
        <w:rPr>
          <w:rFonts w:hint="eastAsia"/>
          <w:sz w:val="24"/>
        </w:rPr>
        <w:t>5</w:t>
      </w:r>
      <w:r>
        <w:rPr>
          <w:sz w:val="24"/>
        </w:rPr>
        <w:t>)  施工期监测仪器设备的维护措施；</w:t>
      </w:r>
    </w:p>
    <w:p>
      <w:pPr>
        <w:tabs>
          <w:tab w:val="left" w:pos="1134"/>
        </w:tabs>
        <w:adjustRightInd w:val="0"/>
        <w:snapToGrid w:val="0"/>
        <w:spacing w:line="500" w:lineRule="atLeast"/>
        <w:ind w:firstLine="480" w:firstLineChars="200"/>
        <w:rPr>
          <w:sz w:val="24"/>
        </w:rPr>
      </w:pPr>
      <w:r>
        <w:rPr>
          <w:sz w:val="24"/>
        </w:rPr>
        <w:t>(</w:t>
      </w:r>
      <w:r>
        <w:rPr>
          <w:rFonts w:hint="eastAsia"/>
          <w:sz w:val="24"/>
        </w:rPr>
        <w:t>6</w:t>
      </w:r>
      <w:r>
        <w:rPr>
          <w:sz w:val="24"/>
        </w:rPr>
        <w:t>)  质量和安全保证措施；</w:t>
      </w:r>
    </w:p>
    <w:p>
      <w:pPr>
        <w:tabs>
          <w:tab w:val="left" w:pos="1134"/>
        </w:tabs>
        <w:adjustRightInd w:val="0"/>
        <w:snapToGrid w:val="0"/>
        <w:spacing w:line="500" w:lineRule="atLeast"/>
        <w:ind w:left="480"/>
        <w:rPr>
          <w:sz w:val="24"/>
        </w:rPr>
      </w:pPr>
      <w:r>
        <w:rPr>
          <w:sz w:val="24"/>
        </w:rPr>
        <w:t>(</w:t>
      </w:r>
      <w:r>
        <w:rPr>
          <w:rFonts w:hint="eastAsia"/>
          <w:sz w:val="24"/>
        </w:rPr>
        <w:t>7</w:t>
      </w:r>
      <w:r>
        <w:rPr>
          <w:sz w:val="24"/>
        </w:rPr>
        <w:t>)  监测仪器设备安装埋设与工程建筑物施工的协调安排和要求。</w:t>
      </w:r>
    </w:p>
    <w:p>
      <w:pPr>
        <w:tabs>
          <w:tab w:val="left" w:pos="1134"/>
        </w:tabs>
        <w:adjustRightInd w:val="0"/>
        <w:snapToGrid w:val="0"/>
        <w:spacing w:line="500" w:lineRule="atLeast"/>
        <w:ind w:left="480"/>
        <w:rPr>
          <w:sz w:val="24"/>
        </w:rPr>
      </w:pPr>
    </w:p>
    <w:p>
      <w:pPr>
        <w:pStyle w:val="5"/>
        <w:snapToGrid w:val="0"/>
        <w:spacing w:before="0" w:after="0" w:line="500" w:lineRule="atLeast"/>
        <w:jc w:val="both"/>
        <w:rPr>
          <w:szCs w:val="24"/>
        </w:rPr>
      </w:pPr>
      <w:bookmarkStart w:id="108" w:name="_Toc7255"/>
      <w:bookmarkStart w:id="109" w:name="_Toc118821434"/>
      <w:bookmarkStart w:id="110" w:name="_Toc521577740"/>
      <w:r>
        <w:rPr>
          <w:szCs w:val="24"/>
        </w:rPr>
        <w:t>1.6.3  监测仪器设备的现场保护和维护措施计划</w:t>
      </w:r>
      <w:bookmarkEnd w:id="108"/>
      <w:bookmarkEnd w:id="109"/>
      <w:bookmarkEnd w:id="110"/>
    </w:p>
    <w:p>
      <w:pPr>
        <w:spacing w:line="500" w:lineRule="atLeast"/>
        <w:ind w:firstLine="480" w:firstLineChars="200"/>
        <w:rPr>
          <w:sz w:val="24"/>
        </w:rPr>
      </w:pPr>
      <w:r>
        <w:rPr>
          <w:sz w:val="24"/>
        </w:rPr>
        <w:t>承包人应在监测仪器设备安装前28天，提交一份全部监测仪器、设备、电缆的现场保护和维护措施计划报送监理人审批，其内容应包括各结构物部位监测仪器、设备、电缆的保护方法、预防措施、设备维护措施及与其他标段的协调措施等。</w:t>
      </w:r>
    </w:p>
    <w:p>
      <w:pPr>
        <w:spacing w:line="500" w:lineRule="atLeast"/>
        <w:ind w:firstLine="480" w:firstLineChars="200"/>
        <w:rPr>
          <w:sz w:val="24"/>
        </w:rPr>
      </w:pPr>
    </w:p>
    <w:p>
      <w:pPr>
        <w:pStyle w:val="5"/>
        <w:snapToGrid w:val="0"/>
        <w:spacing w:before="0" w:after="0" w:line="500" w:lineRule="atLeast"/>
        <w:jc w:val="both"/>
        <w:rPr>
          <w:szCs w:val="24"/>
        </w:rPr>
      </w:pPr>
      <w:bookmarkStart w:id="111" w:name="_Toc118821435"/>
      <w:bookmarkStart w:id="112" w:name="_Toc521577741"/>
      <w:bookmarkStart w:id="113" w:name="_Toc11450"/>
      <w:r>
        <w:rPr>
          <w:szCs w:val="24"/>
        </w:rPr>
        <w:t>1.6.4  与其他标段相关的土建工程施工计划</w:t>
      </w:r>
      <w:bookmarkEnd w:id="111"/>
      <w:bookmarkEnd w:id="112"/>
      <w:bookmarkEnd w:id="113"/>
    </w:p>
    <w:p>
      <w:pPr>
        <w:spacing w:line="500" w:lineRule="atLeast"/>
        <w:ind w:firstLine="480" w:firstLineChars="200"/>
        <w:rPr>
          <w:sz w:val="24"/>
        </w:rPr>
      </w:pPr>
      <w:r>
        <w:rPr>
          <w:sz w:val="24"/>
        </w:rPr>
        <w:t>承包人应在监测仪器设备安装前21天，提交一份由其他标段配合实施的钻孔计划、由其他标段配合实施的电缆喷护、安装配合、施工保护计划报送监理人审批，其内容应包括与监测仪器设备安装埋设相关的土建钻孔的施工时段、技术要求，安装配合及监测仪器设备电缆埋设后的施工保护要求等。</w:t>
      </w:r>
    </w:p>
    <w:p>
      <w:pPr>
        <w:spacing w:line="500" w:lineRule="atLeast"/>
        <w:ind w:firstLine="480" w:firstLineChars="200"/>
        <w:rPr>
          <w:sz w:val="24"/>
        </w:rPr>
      </w:pPr>
    </w:p>
    <w:p>
      <w:pPr>
        <w:pStyle w:val="5"/>
        <w:snapToGrid w:val="0"/>
        <w:spacing w:before="0" w:after="0" w:line="500" w:lineRule="atLeast"/>
        <w:jc w:val="both"/>
        <w:rPr>
          <w:szCs w:val="24"/>
        </w:rPr>
      </w:pPr>
      <w:bookmarkStart w:id="114" w:name="_Toc521577742"/>
      <w:bookmarkStart w:id="115" w:name="_Toc118821436"/>
      <w:bookmarkStart w:id="116" w:name="_Toc3578"/>
      <w:r>
        <w:rPr>
          <w:szCs w:val="24"/>
        </w:rPr>
        <w:t>1.6.5  本标段范围内的土建工程施工措施计划</w:t>
      </w:r>
      <w:bookmarkEnd w:id="114"/>
      <w:bookmarkEnd w:id="115"/>
      <w:bookmarkEnd w:id="116"/>
    </w:p>
    <w:p>
      <w:pPr>
        <w:spacing w:line="500" w:lineRule="atLeast"/>
        <w:ind w:firstLine="480" w:firstLineChars="200"/>
        <w:rPr>
          <w:sz w:val="24"/>
        </w:rPr>
      </w:pPr>
      <w:r>
        <w:rPr>
          <w:sz w:val="24"/>
        </w:rPr>
        <w:t>在钻孔和回填作业、土石方明挖和混凝土工程开工前21天，承包人应根据施工图纸和本技术文件的规定或监理人的指示，分别提交一份钻孔和回填施工措施计划，土石方明挖施工措施计划、混凝土工程施工措施计划和建筑装修工程施工配合措施计划报送监理人审批。</w:t>
      </w:r>
    </w:p>
    <w:p>
      <w:pPr>
        <w:spacing w:line="500" w:lineRule="atLeast"/>
        <w:ind w:firstLine="480" w:firstLineChars="200"/>
        <w:rPr>
          <w:sz w:val="24"/>
        </w:rPr>
      </w:pPr>
      <w:r>
        <w:rPr>
          <w:sz w:val="24"/>
        </w:rPr>
        <w:t>(1)  钻孔和回填施工措施计划内容应包括：</w:t>
      </w:r>
    </w:p>
    <w:p>
      <w:pPr>
        <w:spacing w:line="500" w:lineRule="atLeast"/>
        <w:ind w:firstLine="480" w:firstLineChars="200"/>
        <w:rPr>
          <w:sz w:val="24"/>
        </w:rPr>
      </w:pPr>
      <w:r>
        <w:rPr>
          <w:sz w:val="24"/>
        </w:rPr>
        <w:t>1)  钻孔和回填工程的施工平面布置图：</w:t>
      </w:r>
    </w:p>
    <w:p>
      <w:pPr>
        <w:spacing w:line="500" w:lineRule="atLeast"/>
        <w:ind w:firstLine="480" w:firstLineChars="200"/>
        <w:rPr>
          <w:sz w:val="24"/>
        </w:rPr>
      </w:pPr>
      <w:r>
        <w:rPr>
          <w:sz w:val="24"/>
        </w:rPr>
        <w:t>2)  钻孔和回填的材料和设备；</w:t>
      </w:r>
    </w:p>
    <w:p>
      <w:pPr>
        <w:spacing w:line="500" w:lineRule="atLeast"/>
        <w:ind w:firstLine="480" w:firstLineChars="200"/>
        <w:rPr>
          <w:sz w:val="24"/>
        </w:rPr>
      </w:pPr>
      <w:r>
        <w:rPr>
          <w:sz w:val="24"/>
        </w:rPr>
        <w:t>3)  钻孔和回填的程序和工艺；</w:t>
      </w:r>
    </w:p>
    <w:p>
      <w:pPr>
        <w:spacing w:line="500" w:lineRule="atLeast"/>
        <w:ind w:firstLine="480" w:firstLineChars="200"/>
        <w:rPr>
          <w:sz w:val="24"/>
        </w:rPr>
      </w:pPr>
      <w:r>
        <w:rPr>
          <w:sz w:val="24"/>
        </w:rPr>
        <w:t>4)  钻孔和回填的质量保证措施；</w:t>
      </w:r>
    </w:p>
    <w:p>
      <w:pPr>
        <w:spacing w:line="500" w:lineRule="atLeast"/>
        <w:ind w:firstLine="480" w:firstLineChars="200"/>
        <w:rPr>
          <w:sz w:val="24"/>
        </w:rPr>
      </w:pPr>
      <w:r>
        <w:rPr>
          <w:sz w:val="24"/>
        </w:rPr>
        <w:t>5)  钻孔和回填的施工人员配备：</w:t>
      </w:r>
    </w:p>
    <w:p>
      <w:pPr>
        <w:spacing w:line="500" w:lineRule="atLeast"/>
        <w:ind w:firstLine="480" w:firstLineChars="200"/>
        <w:rPr>
          <w:sz w:val="24"/>
        </w:rPr>
      </w:pPr>
      <w:r>
        <w:rPr>
          <w:sz w:val="24"/>
        </w:rPr>
        <w:t xml:space="preserve">6)  施工进度计划等。 </w:t>
      </w:r>
    </w:p>
    <w:p>
      <w:pPr>
        <w:spacing w:line="500" w:lineRule="atLeast"/>
        <w:ind w:firstLine="480" w:firstLineChars="200"/>
        <w:rPr>
          <w:sz w:val="24"/>
        </w:rPr>
      </w:pPr>
      <w:r>
        <w:rPr>
          <w:sz w:val="24"/>
        </w:rPr>
        <w:t>(2)  土石方明挖施工措施计划内容应包括：</w:t>
      </w:r>
    </w:p>
    <w:p>
      <w:pPr>
        <w:spacing w:line="500" w:lineRule="atLeast"/>
        <w:ind w:firstLine="480" w:firstLineChars="200"/>
        <w:rPr>
          <w:sz w:val="24"/>
        </w:rPr>
      </w:pPr>
      <w:r>
        <w:rPr>
          <w:sz w:val="24"/>
        </w:rPr>
        <w:t>1)  开挖施工平面和剖面布置图：</w:t>
      </w:r>
    </w:p>
    <w:p>
      <w:pPr>
        <w:spacing w:line="500" w:lineRule="atLeast"/>
        <w:ind w:firstLine="480" w:firstLineChars="200"/>
        <w:rPr>
          <w:sz w:val="24"/>
        </w:rPr>
      </w:pPr>
      <w:r>
        <w:rPr>
          <w:sz w:val="24"/>
        </w:rPr>
        <w:t>2)  施工设备配置和劳动力安排；</w:t>
      </w:r>
    </w:p>
    <w:p>
      <w:pPr>
        <w:spacing w:line="500" w:lineRule="atLeast"/>
        <w:ind w:firstLine="480" w:firstLineChars="200"/>
        <w:rPr>
          <w:sz w:val="24"/>
        </w:rPr>
      </w:pPr>
      <w:r>
        <w:rPr>
          <w:sz w:val="24"/>
        </w:rPr>
        <w:t>3)  出渣、弃渣措施；</w:t>
      </w:r>
    </w:p>
    <w:p>
      <w:pPr>
        <w:spacing w:line="500" w:lineRule="atLeast"/>
        <w:ind w:firstLine="480" w:firstLineChars="200"/>
        <w:rPr>
          <w:sz w:val="24"/>
        </w:rPr>
      </w:pPr>
      <w:r>
        <w:rPr>
          <w:sz w:val="24"/>
        </w:rPr>
        <w:t xml:space="preserve">4)  质量与安全保证措施； </w:t>
      </w:r>
    </w:p>
    <w:p>
      <w:pPr>
        <w:spacing w:line="500" w:lineRule="atLeast"/>
        <w:ind w:firstLine="480" w:firstLineChars="200"/>
        <w:rPr>
          <w:sz w:val="24"/>
        </w:rPr>
      </w:pPr>
      <w:r>
        <w:rPr>
          <w:sz w:val="24"/>
        </w:rPr>
        <w:t>5)  施工进度计划。</w:t>
      </w:r>
    </w:p>
    <w:p>
      <w:pPr>
        <w:spacing w:line="500" w:lineRule="atLeast"/>
        <w:ind w:firstLine="480" w:firstLineChars="200"/>
        <w:rPr>
          <w:sz w:val="24"/>
        </w:rPr>
      </w:pPr>
      <w:r>
        <w:rPr>
          <w:sz w:val="24"/>
        </w:rPr>
        <w:t>(3)  混凝土工程施工措施计划内容包括：</w:t>
      </w:r>
    </w:p>
    <w:p>
      <w:pPr>
        <w:spacing w:line="500" w:lineRule="atLeast"/>
        <w:ind w:firstLine="480" w:firstLineChars="200"/>
        <w:rPr>
          <w:sz w:val="24"/>
        </w:rPr>
      </w:pPr>
      <w:r>
        <w:rPr>
          <w:sz w:val="24"/>
        </w:rPr>
        <w:t>1)  水泥、钢筋、骨料和模板的供应计划；</w:t>
      </w:r>
    </w:p>
    <w:p>
      <w:pPr>
        <w:spacing w:line="500" w:lineRule="atLeast"/>
        <w:ind w:firstLine="480" w:firstLineChars="200"/>
        <w:rPr>
          <w:sz w:val="24"/>
        </w:rPr>
      </w:pPr>
      <w:r>
        <w:rPr>
          <w:sz w:val="24"/>
        </w:rPr>
        <w:t>2)  钢筋绑焊、预埋件安装等的施工方法和程序；</w:t>
      </w:r>
    </w:p>
    <w:p>
      <w:pPr>
        <w:spacing w:line="500" w:lineRule="atLeast"/>
        <w:ind w:firstLine="480" w:firstLineChars="200"/>
        <w:rPr>
          <w:sz w:val="24"/>
        </w:rPr>
      </w:pPr>
      <w:r>
        <w:rPr>
          <w:sz w:val="24"/>
        </w:rPr>
        <w:t>3)  施工设备配置和劳动力安排：</w:t>
      </w:r>
    </w:p>
    <w:p>
      <w:pPr>
        <w:spacing w:line="500" w:lineRule="atLeast"/>
        <w:ind w:firstLine="480" w:firstLineChars="200"/>
        <w:rPr>
          <w:sz w:val="24"/>
        </w:rPr>
      </w:pPr>
      <w:r>
        <w:rPr>
          <w:sz w:val="24"/>
        </w:rPr>
        <w:t>4)  混凝土工程平面和剖面图；</w:t>
      </w:r>
    </w:p>
    <w:p>
      <w:pPr>
        <w:spacing w:line="500" w:lineRule="atLeast"/>
        <w:ind w:firstLine="480" w:firstLineChars="200"/>
        <w:rPr>
          <w:sz w:val="24"/>
        </w:rPr>
      </w:pPr>
      <w:r>
        <w:rPr>
          <w:sz w:val="24"/>
        </w:rPr>
        <w:t>5)  质量与安全保证措施：</w:t>
      </w:r>
    </w:p>
    <w:p>
      <w:pPr>
        <w:spacing w:line="500" w:lineRule="atLeast"/>
        <w:ind w:firstLine="480" w:firstLineChars="200"/>
        <w:rPr>
          <w:sz w:val="24"/>
        </w:rPr>
      </w:pPr>
      <w:r>
        <w:rPr>
          <w:sz w:val="24"/>
        </w:rPr>
        <w:t>6)  施工进度计划等。</w:t>
      </w:r>
    </w:p>
    <w:p>
      <w:pPr>
        <w:spacing w:line="500" w:lineRule="atLeast"/>
        <w:ind w:firstLine="480" w:firstLineChars="200"/>
        <w:rPr>
          <w:sz w:val="24"/>
        </w:rPr>
      </w:pPr>
    </w:p>
    <w:p>
      <w:pPr>
        <w:pStyle w:val="5"/>
        <w:snapToGrid w:val="0"/>
        <w:spacing w:before="0" w:after="0" w:line="500" w:lineRule="atLeast"/>
        <w:jc w:val="both"/>
        <w:rPr>
          <w:szCs w:val="24"/>
        </w:rPr>
      </w:pPr>
      <w:bookmarkStart w:id="117" w:name="_Toc118821437"/>
      <w:bookmarkStart w:id="118" w:name="_Toc13233"/>
      <w:bookmarkStart w:id="119" w:name="_Toc521577743"/>
      <w:r>
        <w:rPr>
          <w:szCs w:val="24"/>
        </w:rPr>
        <w:t>1.6.6  放样剖面资料</w:t>
      </w:r>
      <w:bookmarkEnd w:id="117"/>
      <w:bookmarkEnd w:id="118"/>
      <w:bookmarkEnd w:id="119"/>
    </w:p>
    <w:p>
      <w:pPr>
        <w:spacing w:line="500" w:lineRule="atLeast"/>
        <w:ind w:firstLine="480" w:firstLineChars="200"/>
        <w:rPr>
          <w:sz w:val="24"/>
        </w:rPr>
      </w:pPr>
      <w:r>
        <w:rPr>
          <w:sz w:val="24"/>
        </w:rPr>
        <w:t>承包人应按图放样，报送监理人复核，经批准后方可进行开挖。监理人的复核并不减轻承包人对其放线的准确性应负的责任，承包人不能因临理人纠正其自身放线错误而引起工程量的增加，向发包人要求支付额外费用。</w:t>
      </w:r>
    </w:p>
    <w:p>
      <w:pPr>
        <w:spacing w:line="500" w:lineRule="atLeast"/>
        <w:ind w:firstLine="480" w:firstLineChars="200"/>
        <w:rPr>
          <w:sz w:val="24"/>
        </w:rPr>
      </w:pPr>
    </w:p>
    <w:p>
      <w:pPr>
        <w:pStyle w:val="5"/>
        <w:snapToGrid w:val="0"/>
        <w:spacing w:before="0" w:after="0" w:line="500" w:lineRule="atLeast"/>
        <w:jc w:val="both"/>
        <w:rPr>
          <w:szCs w:val="24"/>
        </w:rPr>
      </w:pPr>
      <w:bookmarkStart w:id="120" w:name="_Toc521577744"/>
      <w:bookmarkStart w:id="121" w:name="_Toc9241"/>
      <w:bookmarkStart w:id="122" w:name="_Toc118821438"/>
      <w:r>
        <w:rPr>
          <w:szCs w:val="24"/>
        </w:rPr>
        <w:t xml:space="preserve">1.6.7 </w:t>
      </w:r>
      <w:r>
        <w:rPr>
          <w:rFonts w:hint="eastAsia"/>
          <w:szCs w:val="24"/>
        </w:rPr>
        <w:t xml:space="preserve"> </w:t>
      </w:r>
      <w:r>
        <w:rPr>
          <w:szCs w:val="24"/>
        </w:rPr>
        <w:t>安装埋设记录和质量检查报表</w:t>
      </w:r>
      <w:bookmarkEnd w:id="120"/>
      <w:bookmarkEnd w:id="121"/>
      <w:bookmarkEnd w:id="122"/>
    </w:p>
    <w:p>
      <w:pPr>
        <w:adjustRightInd w:val="0"/>
        <w:snapToGrid w:val="0"/>
        <w:spacing w:line="500" w:lineRule="atLeast"/>
        <w:ind w:firstLine="480" w:firstLineChars="200"/>
        <w:rPr>
          <w:sz w:val="24"/>
        </w:rPr>
      </w:pPr>
      <w:r>
        <w:rPr>
          <w:sz w:val="24"/>
        </w:rPr>
        <w:t>承包人应在施工过程中，及时向监理人提交仪器设备安装埋设的施工记录和质量检查报表，其内容包括：</w:t>
      </w:r>
    </w:p>
    <w:p>
      <w:pPr>
        <w:tabs>
          <w:tab w:val="left" w:pos="1134"/>
        </w:tabs>
        <w:adjustRightInd w:val="0"/>
        <w:snapToGrid w:val="0"/>
        <w:spacing w:line="500" w:lineRule="atLeast"/>
        <w:ind w:left="567"/>
        <w:rPr>
          <w:sz w:val="24"/>
        </w:rPr>
      </w:pPr>
      <w:r>
        <w:rPr>
          <w:sz w:val="24"/>
        </w:rPr>
        <w:t>(1)  监测仪器设备安装埋设前、后的测试和调试记录；</w:t>
      </w:r>
    </w:p>
    <w:p>
      <w:pPr>
        <w:tabs>
          <w:tab w:val="left" w:pos="1134"/>
        </w:tabs>
        <w:adjustRightInd w:val="0"/>
        <w:snapToGrid w:val="0"/>
        <w:spacing w:line="500" w:lineRule="atLeast"/>
        <w:ind w:left="567"/>
        <w:rPr>
          <w:sz w:val="24"/>
        </w:rPr>
      </w:pPr>
      <w:r>
        <w:rPr>
          <w:sz w:val="24"/>
        </w:rPr>
        <w:t>(</w:t>
      </w:r>
      <w:r>
        <w:rPr>
          <w:rFonts w:hint="eastAsia"/>
          <w:sz w:val="24"/>
        </w:rPr>
        <w:t>2</w:t>
      </w:r>
      <w:r>
        <w:rPr>
          <w:sz w:val="24"/>
        </w:rPr>
        <w:t>)</w:t>
      </w:r>
      <w:r>
        <w:rPr>
          <w:spacing w:val="-6"/>
          <w:sz w:val="24"/>
        </w:rPr>
        <w:t xml:space="preserve">  仪器设备安装、埋设和调试记录；安装埋设质量检查表和监理人签证表；</w:t>
      </w:r>
    </w:p>
    <w:p>
      <w:pPr>
        <w:tabs>
          <w:tab w:val="left" w:pos="1134"/>
        </w:tabs>
        <w:adjustRightInd w:val="0"/>
        <w:snapToGrid w:val="0"/>
        <w:spacing w:line="500" w:lineRule="atLeast"/>
        <w:ind w:left="567"/>
        <w:rPr>
          <w:sz w:val="24"/>
        </w:rPr>
      </w:pPr>
      <w:r>
        <w:rPr>
          <w:sz w:val="24"/>
        </w:rPr>
        <w:t>(</w:t>
      </w:r>
      <w:r>
        <w:rPr>
          <w:rFonts w:hint="eastAsia"/>
          <w:sz w:val="24"/>
        </w:rPr>
        <w:t>3</w:t>
      </w:r>
      <w:r>
        <w:rPr>
          <w:sz w:val="24"/>
        </w:rPr>
        <w:t>)  施工期监测记录；</w:t>
      </w:r>
    </w:p>
    <w:p>
      <w:pPr>
        <w:tabs>
          <w:tab w:val="left" w:pos="1134"/>
        </w:tabs>
        <w:adjustRightInd w:val="0"/>
        <w:snapToGrid w:val="0"/>
        <w:spacing w:line="500" w:lineRule="atLeast"/>
        <w:ind w:left="567"/>
        <w:rPr>
          <w:sz w:val="24"/>
        </w:rPr>
      </w:pPr>
      <w:r>
        <w:rPr>
          <w:sz w:val="24"/>
        </w:rPr>
        <w:t>(</w:t>
      </w:r>
      <w:r>
        <w:rPr>
          <w:rFonts w:hint="eastAsia"/>
          <w:sz w:val="24"/>
        </w:rPr>
        <w:t>4</w:t>
      </w:r>
      <w:r>
        <w:rPr>
          <w:sz w:val="24"/>
        </w:rPr>
        <w:t>)  质量事故处理记录。</w:t>
      </w:r>
    </w:p>
    <w:p>
      <w:pPr>
        <w:tabs>
          <w:tab w:val="left" w:pos="1134"/>
        </w:tabs>
        <w:adjustRightInd w:val="0"/>
        <w:snapToGrid w:val="0"/>
        <w:spacing w:line="500" w:lineRule="atLeast"/>
        <w:ind w:left="567"/>
        <w:rPr>
          <w:sz w:val="24"/>
        </w:rPr>
      </w:pPr>
    </w:p>
    <w:p>
      <w:pPr>
        <w:pStyle w:val="5"/>
        <w:snapToGrid w:val="0"/>
        <w:spacing w:before="0" w:after="0" w:line="500" w:lineRule="atLeast"/>
        <w:jc w:val="both"/>
        <w:rPr>
          <w:szCs w:val="24"/>
        </w:rPr>
      </w:pPr>
      <w:bookmarkStart w:id="123" w:name="_Toc13420"/>
      <w:bookmarkStart w:id="124" w:name="_Toc521577745"/>
      <w:bookmarkStart w:id="125" w:name="_Toc118821439"/>
      <w:r>
        <w:rPr>
          <w:szCs w:val="24"/>
        </w:rPr>
        <w:t>1.6.8  合同期监测规程</w:t>
      </w:r>
      <w:bookmarkEnd w:id="123"/>
      <w:bookmarkEnd w:id="124"/>
      <w:bookmarkEnd w:id="125"/>
    </w:p>
    <w:p>
      <w:pPr>
        <w:spacing w:line="500" w:lineRule="atLeast"/>
        <w:ind w:firstLine="480" w:firstLineChars="200"/>
        <w:rPr>
          <w:sz w:val="24"/>
        </w:rPr>
      </w:pPr>
      <w:r>
        <w:rPr>
          <w:sz w:val="24"/>
        </w:rPr>
        <w:t>承包人应在监测工作开始前35天，编制一份合同期监测规程，报送监理人审批，其内容应包括：</w:t>
      </w:r>
    </w:p>
    <w:p>
      <w:pPr>
        <w:spacing w:line="500" w:lineRule="atLeast"/>
        <w:ind w:firstLine="480" w:firstLineChars="200"/>
        <w:rPr>
          <w:sz w:val="24"/>
        </w:rPr>
      </w:pPr>
      <w:r>
        <w:rPr>
          <w:sz w:val="24"/>
        </w:rPr>
        <w:t>(1)  监测点的位置和埋设时间；</w:t>
      </w:r>
    </w:p>
    <w:p>
      <w:pPr>
        <w:spacing w:line="500" w:lineRule="atLeast"/>
        <w:ind w:firstLine="480" w:firstLineChars="200"/>
        <w:rPr>
          <w:sz w:val="24"/>
        </w:rPr>
      </w:pPr>
      <w:r>
        <w:rPr>
          <w:sz w:val="24"/>
        </w:rPr>
        <w:t>(2)  各种监测仪器设备的监测要求、监测程序和方法；</w:t>
      </w:r>
    </w:p>
    <w:p>
      <w:pPr>
        <w:spacing w:line="500" w:lineRule="atLeast"/>
        <w:ind w:firstLine="480" w:firstLineChars="200"/>
        <w:rPr>
          <w:sz w:val="24"/>
        </w:rPr>
      </w:pPr>
      <w:r>
        <w:rPr>
          <w:sz w:val="24"/>
        </w:rPr>
        <w:t>(3)  巡视检查机构、线路、项目和方法；</w:t>
      </w:r>
    </w:p>
    <w:p>
      <w:pPr>
        <w:spacing w:line="500" w:lineRule="atLeast"/>
        <w:ind w:firstLine="480" w:firstLineChars="200"/>
        <w:rPr>
          <w:sz w:val="24"/>
        </w:rPr>
      </w:pPr>
      <w:r>
        <w:rPr>
          <w:sz w:val="24"/>
        </w:rPr>
        <w:t>(4)  监测仪器设备的维护；</w:t>
      </w:r>
    </w:p>
    <w:p>
      <w:pPr>
        <w:spacing w:line="500" w:lineRule="atLeast"/>
        <w:ind w:firstLine="480" w:firstLineChars="200"/>
        <w:rPr>
          <w:sz w:val="24"/>
        </w:rPr>
      </w:pPr>
      <w:r>
        <w:rPr>
          <w:sz w:val="24"/>
        </w:rPr>
        <w:t>(5)  监测资料的整编和分析方法；</w:t>
      </w:r>
    </w:p>
    <w:p>
      <w:pPr>
        <w:spacing w:line="500" w:lineRule="atLeast"/>
        <w:ind w:firstLine="480" w:firstLineChars="200"/>
        <w:rPr>
          <w:sz w:val="24"/>
        </w:rPr>
      </w:pPr>
      <w:r>
        <w:rPr>
          <w:sz w:val="24"/>
        </w:rPr>
        <w:t>(6)  监测信息的反馈方式。</w:t>
      </w:r>
    </w:p>
    <w:p>
      <w:pPr>
        <w:spacing w:line="500" w:lineRule="atLeast"/>
        <w:ind w:firstLine="480" w:firstLineChars="200"/>
        <w:rPr>
          <w:sz w:val="24"/>
        </w:rPr>
      </w:pPr>
    </w:p>
    <w:p>
      <w:pPr>
        <w:pStyle w:val="5"/>
        <w:snapToGrid w:val="0"/>
        <w:spacing w:before="0" w:after="0" w:line="500" w:lineRule="atLeast"/>
        <w:jc w:val="both"/>
        <w:rPr>
          <w:szCs w:val="24"/>
        </w:rPr>
      </w:pPr>
      <w:bookmarkStart w:id="126" w:name="_Toc118821440"/>
      <w:bookmarkStart w:id="127" w:name="_Toc521577746"/>
      <w:bookmarkStart w:id="128" w:name="_Toc3132"/>
      <w:r>
        <w:rPr>
          <w:szCs w:val="24"/>
        </w:rPr>
        <w:t>1.6.9  合同期监测资料和监测成果分析报告</w:t>
      </w:r>
      <w:bookmarkEnd w:id="126"/>
      <w:bookmarkEnd w:id="127"/>
      <w:bookmarkEnd w:id="128"/>
    </w:p>
    <w:p>
      <w:pPr>
        <w:spacing w:line="500" w:lineRule="atLeast"/>
        <w:ind w:firstLine="480" w:firstLineChars="200"/>
        <w:rPr>
          <w:sz w:val="24"/>
        </w:rPr>
      </w:pPr>
      <w:r>
        <w:rPr>
          <w:sz w:val="24"/>
        </w:rPr>
        <w:t>承包人应在施工过程中，定期向监理人提交包括监测初始数据在内的监测记录，并应按监理人指示报送监测成果分析报告。一般情况下，承包人应向监理人提供监测</w:t>
      </w:r>
      <w:r>
        <w:rPr>
          <w:rFonts w:hint="eastAsia"/>
          <w:sz w:val="24"/>
        </w:rPr>
        <w:t>周报、</w:t>
      </w:r>
      <w:r>
        <w:rPr>
          <w:sz w:val="24"/>
        </w:rPr>
        <w:t>月报、季报和年报，特殊情况下应提交监测快报，以及监测专项报告。当监测数据出现异常情况，如</w:t>
      </w:r>
      <w:r>
        <w:rPr>
          <w:rFonts w:hint="eastAsia"/>
          <w:sz w:val="24"/>
        </w:rPr>
        <w:t>水压力</w:t>
      </w:r>
      <w:r>
        <w:rPr>
          <w:sz w:val="24"/>
        </w:rPr>
        <w:t>、</w:t>
      </w:r>
      <w:r>
        <w:rPr>
          <w:rFonts w:hint="eastAsia"/>
          <w:sz w:val="24"/>
        </w:rPr>
        <w:t>应力应变</w:t>
      </w:r>
      <w:r>
        <w:rPr>
          <w:sz w:val="24"/>
        </w:rPr>
        <w:t>等反映工程安全性状的监测数据发生显著变化或持续递增时，承包人应在测读数据后6小时以内将经整理分析的有关监测成果以及相关资料以书面形式提交监理人；出现紧急情况时，承包人必须在1小时以内口头报告监理人，同时6小时以内将经整理分析的有关监测成果以及相关资料以书面形式提交监理人。</w:t>
      </w:r>
    </w:p>
    <w:p>
      <w:pPr>
        <w:spacing w:line="500" w:lineRule="atLeast"/>
        <w:ind w:firstLine="480" w:firstLineChars="200"/>
        <w:rPr>
          <w:sz w:val="24"/>
        </w:rPr>
      </w:pPr>
    </w:p>
    <w:p>
      <w:pPr>
        <w:pStyle w:val="5"/>
        <w:snapToGrid w:val="0"/>
        <w:spacing w:before="0" w:after="0" w:line="500" w:lineRule="atLeast"/>
        <w:jc w:val="both"/>
        <w:rPr>
          <w:szCs w:val="24"/>
        </w:rPr>
      </w:pPr>
      <w:bookmarkStart w:id="129" w:name="_Toc521577747"/>
      <w:bookmarkStart w:id="130" w:name="_Toc8734"/>
      <w:bookmarkStart w:id="131" w:name="_Toc118821441"/>
      <w:r>
        <w:rPr>
          <w:szCs w:val="24"/>
        </w:rPr>
        <w:t>1.6.10  监测自动化接入计划</w:t>
      </w:r>
      <w:bookmarkEnd w:id="129"/>
      <w:bookmarkEnd w:id="130"/>
      <w:bookmarkEnd w:id="131"/>
    </w:p>
    <w:p>
      <w:pPr>
        <w:spacing w:line="500" w:lineRule="atLeast"/>
        <w:ind w:firstLine="480" w:firstLineChars="200"/>
        <w:rPr>
          <w:sz w:val="24"/>
        </w:rPr>
      </w:pPr>
      <w:r>
        <w:rPr>
          <w:sz w:val="24"/>
        </w:rPr>
        <w:t>承包人应</w:t>
      </w:r>
      <w:r>
        <w:rPr>
          <w:rFonts w:hint="eastAsia"/>
          <w:sz w:val="24"/>
        </w:rPr>
        <w:t>根据进度</w:t>
      </w:r>
      <w:r>
        <w:rPr>
          <w:sz w:val="24"/>
        </w:rPr>
        <w:t>在监测自动化设备安装前28天，提交一份全部自动化监测仪器设备的接入计划报送监理人审批，其内容应包括各结构物部位接入的监测仪器信息、功能要求、安装调试</w:t>
      </w:r>
      <w:r>
        <w:rPr>
          <w:rFonts w:hint="eastAsia"/>
          <w:sz w:val="24"/>
        </w:rPr>
        <w:t>、</w:t>
      </w:r>
      <w:r>
        <w:rPr>
          <w:sz w:val="24"/>
        </w:rPr>
        <w:t>接入监测管理中心站</w:t>
      </w:r>
      <w:r>
        <w:rPr>
          <w:rFonts w:hint="eastAsia"/>
          <w:sz w:val="24"/>
        </w:rPr>
        <w:t>以及</w:t>
      </w:r>
      <w:r>
        <w:rPr>
          <w:sz w:val="24"/>
        </w:rPr>
        <w:t>配合工作计划等。</w:t>
      </w:r>
    </w:p>
    <w:p>
      <w:pPr>
        <w:spacing w:line="500" w:lineRule="atLeast"/>
        <w:ind w:firstLine="480" w:firstLineChars="200"/>
        <w:rPr>
          <w:sz w:val="24"/>
        </w:rPr>
      </w:pPr>
    </w:p>
    <w:p>
      <w:pPr>
        <w:pStyle w:val="5"/>
        <w:snapToGrid w:val="0"/>
        <w:spacing w:before="0" w:after="0" w:line="500" w:lineRule="atLeast"/>
        <w:jc w:val="both"/>
        <w:rPr>
          <w:szCs w:val="24"/>
        </w:rPr>
      </w:pPr>
      <w:bookmarkStart w:id="132" w:name="_Toc118821442"/>
      <w:bookmarkStart w:id="133" w:name="_Toc8564"/>
      <w:bookmarkStart w:id="134" w:name="_Toc521577748"/>
      <w:r>
        <w:rPr>
          <w:szCs w:val="24"/>
        </w:rPr>
        <w:t>1.6.11  完工验收资料</w:t>
      </w:r>
      <w:bookmarkEnd w:id="132"/>
      <w:bookmarkEnd w:id="133"/>
      <w:bookmarkEnd w:id="134"/>
    </w:p>
    <w:p>
      <w:pPr>
        <w:spacing w:line="500" w:lineRule="atLeast"/>
        <w:ind w:firstLine="480" w:firstLineChars="200"/>
        <w:rPr>
          <w:sz w:val="24"/>
        </w:rPr>
      </w:pPr>
      <w:r>
        <w:rPr>
          <w:sz w:val="24"/>
        </w:rPr>
        <w:t>(1)  全部监测仪器设备安装埋设完毕后，承包人应在进行工程建筑物完工验收的同时，申请对本工程安全监测项目进行完工验收，并向监理人提交以下完工资料：</w:t>
      </w:r>
    </w:p>
    <w:p>
      <w:pPr>
        <w:spacing w:line="500" w:lineRule="atLeast"/>
        <w:ind w:firstLine="480" w:firstLineChars="200"/>
        <w:rPr>
          <w:sz w:val="24"/>
        </w:rPr>
      </w:pPr>
      <w:r>
        <w:rPr>
          <w:sz w:val="24"/>
        </w:rPr>
        <w:t>1)  监测仪器设备清单(包括编号、部位、仪器名称、起测日期、目前状态等)；</w:t>
      </w:r>
    </w:p>
    <w:p>
      <w:pPr>
        <w:spacing w:line="500" w:lineRule="atLeast"/>
        <w:ind w:firstLine="480" w:firstLineChars="200"/>
        <w:rPr>
          <w:sz w:val="24"/>
        </w:rPr>
      </w:pPr>
      <w:r>
        <w:rPr>
          <w:sz w:val="24"/>
        </w:rPr>
        <w:t>2)  监测仪器设备的检验和安装埋设记录；</w:t>
      </w:r>
    </w:p>
    <w:p>
      <w:pPr>
        <w:spacing w:line="500" w:lineRule="atLeast"/>
        <w:ind w:firstLine="480" w:firstLineChars="200"/>
        <w:rPr>
          <w:sz w:val="24"/>
        </w:rPr>
      </w:pPr>
      <w:r>
        <w:rPr>
          <w:sz w:val="24"/>
        </w:rPr>
        <w:t>3)  监测仪器设备安装埋设竣工图；</w:t>
      </w:r>
    </w:p>
    <w:p>
      <w:pPr>
        <w:spacing w:line="500" w:lineRule="atLeast"/>
        <w:ind w:firstLine="480" w:firstLineChars="200"/>
        <w:rPr>
          <w:sz w:val="24"/>
        </w:rPr>
      </w:pPr>
      <w:r>
        <w:rPr>
          <w:sz w:val="24"/>
        </w:rPr>
        <w:t>4)  监测资料整编分析报告(包括监测仪器特征值汇总表、各测点的数据过程线)。</w:t>
      </w:r>
    </w:p>
    <w:p>
      <w:pPr>
        <w:spacing w:line="500" w:lineRule="atLeast"/>
        <w:ind w:firstLine="480" w:firstLineChars="200"/>
        <w:rPr>
          <w:sz w:val="24"/>
        </w:rPr>
      </w:pPr>
      <w:r>
        <w:rPr>
          <w:sz w:val="24"/>
        </w:rPr>
        <w:t>(2)  本合同工程建筑物全部完成，并经验收合格，全部监测仪器设备及其监测原始数据及资料(包括电子文档)应完好地移交发包人。</w:t>
      </w:r>
    </w:p>
    <w:p>
      <w:pPr>
        <w:spacing w:line="500" w:lineRule="atLeast"/>
        <w:ind w:firstLine="480" w:firstLineChars="200"/>
        <w:rPr>
          <w:sz w:val="24"/>
        </w:rPr>
      </w:pPr>
      <w:r>
        <w:rPr>
          <w:sz w:val="24"/>
        </w:rPr>
        <w:t xml:space="preserve">(3)  </w:t>
      </w:r>
      <w:r>
        <w:rPr>
          <w:rFonts w:hint="eastAsia"/>
          <w:sz w:val="24"/>
        </w:rPr>
        <w:t>全部监测仪器设备的保修期与工程保修期相同。保修期内承包人应按工程建筑物安全监测设计要求，负责维护全部仪器设备的应用性能，一旦由于仪器自身或埋设原因发生仪器设备失效，应由承包人负责更换。对无法更换的埋置设备，应及时报告监理人，并按监理人指示，采取补救措施，设法满足安全监测数据的采集要求。</w:t>
      </w:r>
    </w:p>
    <w:p>
      <w:pPr>
        <w:spacing w:line="500" w:lineRule="atLeast"/>
        <w:ind w:firstLine="480" w:firstLineChars="200"/>
        <w:rPr>
          <w:sz w:val="24"/>
        </w:rPr>
      </w:pPr>
    </w:p>
    <w:p>
      <w:pPr>
        <w:pStyle w:val="4"/>
        <w:adjustRightInd w:val="0"/>
        <w:snapToGrid w:val="0"/>
        <w:spacing w:before="0" w:after="0" w:line="500" w:lineRule="atLeast"/>
        <w:rPr>
          <w:rFonts w:ascii="黑体" w:hAnsi="黑体" w:eastAsia="黑体"/>
          <w:b w:val="0"/>
          <w:sz w:val="24"/>
          <w:szCs w:val="24"/>
        </w:rPr>
      </w:pPr>
      <w:bookmarkStart w:id="135" w:name="_Toc118821443"/>
      <w:bookmarkStart w:id="136" w:name="_Toc21937"/>
      <w:bookmarkStart w:id="137" w:name="_Toc483070236"/>
      <w:bookmarkStart w:id="138" w:name="_Toc476234289"/>
      <w:r>
        <w:rPr>
          <w:rFonts w:ascii="Times New Roman" w:hAnsi="Times New Roman"/>
          <w:sz w:val="24"/>
          <w:szCs w:val="24"/>
        </w:rPr>
        <w:t xml:space="preserve">1.7  </w:t>
      </w:r>
      <w:r>
        <w:rPr>
          <w:rFonts w:ascii="黑体" w:hAnsi="黑体" w:eastAsia="黑体"/>
          <w:b w:val="0"/>
          <w:sz w:val="24"/>
          <w:szCs w:val="24"/>
        </w:rPr>
        <w:t>发包人提供的图纸</w:t>
      </w:r>
      <w:bookmarkEnd w:id="135"/>
      <w:bookmarkEnd w:id="136"/>
      <w:bookmarkEnd w:id="137"/>
      <w:bookmarkEnd w:id="138"/>
    </w:p>
    <w:p>
      <w:pPr>
        <w:pStyle w:val="5"/>
        <w:snapToGrid w:val="0"/>
        <w:spacing w:before="0" w:after="0" w:line="500" w:lineRule="atLeast"/>
        <w:jc w:val="both"/>
        <w:rPr>
          <w:szCs w:val="24"/>
        </w:rPr>
      </w:pPr>
      <w:bookmarkStart w:id="139" w:name="_Toc689"/>
      <w:bookmarkStart w:id="140" w:name="_Toc521577750"/>
      <w:bookmarkStart w:id="141" w:name="_Toc232162504"/>
      <w:bookmarkStart w:id="142" w:name="_Toc246214054"/>
      <w:bookmarkStart w:id="143" w:name="_Toc324239479"/>
      <w:bookmarkStart w:id="144" w:name="_Toc118821444"/>
      <w:r>
        <w:rPr>
          <w:szCs w:val="24"/>
        </w:rPr>
        <w:t>1.7.1  施工图纸的提供</w:t>
      </w:r>
      <w:bookmarkEnd w:id="139"/>
      <w:bookmarkEnd w:id="140"/>
      <w:bookmarkEnd w:id="141"/>
      <w:bookmarkEnd w:id="142"/>
      <w:bookmarkEnd w:id="143"/>
      <w:bookmarkEnd w:id="144"/>
    </w:p>
    <w:p>
      <w:pPr>
        <w:adjustRightInd w:val="0"/>
        <w:snapToGrid w:val="0"/>
        <w:spacing w:line="500" w:lineRule="atLeast"/>
        <w:ind w:firstLine="480" w:firstLineChars="200"/>
        <w:rPr>
          <w:sz w:val="24"/>
        </w:rPr>
      </w:pPr>
      <w:r>
        <w:rPr>
          <w:sz w:val="24"/>
        </w:rPr>
        <w:t>(1)  招标文件所附的图纸为招标设计图纸，仅供承包人投标之用，不能作为指导施工的依据。</w:t>
      </w:r>
    </w:p>
    <w:p>
      <w:pPr>
        <w:adjustRightInd w:val="0"/>
        <w:snapToGrid w:val="0"/>
        <w:spacing w:line="500" w:lineRule="atLeast"/>
        <w:ind w:firstLine="480" w:firstLineChars="200"/>
        <w:rPr>
          <w:sz w:val="24"/>
        </w:rPr>
      </w:pPr>
      <w:r>
        <w:rPr>
          <w:sz w:val="24"/>
        </w:rPr>
        <w:t>(2)  用于本标工程监测项目的施工图纸，由监理人按合同条款的有关规定及与承包人共同协商的供图计划，陆续提交承包人。</w:t>
      </w:r>
    </w:p>
    <w:p>
      <w:pPr>
        <w:adjustRightInd w:val="0"/>
        <w:snapToGrid w:val="0"/>
        <w:spacing w:line="500" w:lineRule="atLeast"/>
        <w:ind w:firstLine="480" w:firstLineChars="200"/>
        <w:rPr>
          <w:sz w:val="24"/>
        </w:rPr>
      </w:pPr>
      <w:r>
        <w:rPr>
          <w:sz w:val="24"/>
        </w:rPr>
        <w:t>(3)  未经监理人批准的任何图纸和设计资料仅供参考，不能作为正式施工依据。凡经监理人批准的任何图纸和文件必须加盖监理人技术文件专用章或技术文件转发章，才能作为承包人使用的有效图纸和文件。</w:t>
      </w:r>
    </w:p>
    <w:p>
      <w:pPr>
        <w:adjustRightInd w:val="0"/>
        <w:snapToGrid w:val="0"/>
        <w:spacing w:line="500" w:lineRule="atLeast"/>
        <w:ind w:firstLine="480" w:firstLineChars="200"/>
        <w:rPr>
          <w:sz w:val="24"/>
        </w:rPr>
      </w:pPr>
      <w:r>
        <w:rPr>
          <w:sz w:val="24"/>
        </w:rPr>
        <w:t>(4)  由于受不可预见因素的影响，发包人无法按预定计划提供施工图纸时，应由监理人与承包人共同研究临时措施，适当调整部分工程的施工进度。</w:t>
      </w:r>
    </w:p>
    <w:p>
      <w:pPr>
        <w:pStyle w:val="21"/>
      </w:pPr>
    </w:p>
    <w:p>
      <w:pPr>
        <w:pStyle w:val="5"/>
        <w:snapToGrid w:val="0"/>
        <w:spacing w:before="0" w:after="0" w:line="500" w:lineRule="atLeast"/>
        <w:jc w:val="both"/>
        <w:rPr>
          <w:szCs w:val="24"/>
        </w:rPr>
      </w:pPr>
      <w:bookmarkStart w:id="145" w:name="_Toc521577751"/>
      <w:bookmarkStart w:id="146" w:name="_Toc246214055"/>
      <w:bookmarkStart w:id="147" w:name="_Toc15673"/>
      <w:bookmarkStart w:id="148" w:name="_Toc118821445"/>
      <w:bookmarkStart w:id="149" w:name="_Toc324239480"/>
      <w:bookmarkStart w:id="150" w:name="_Toc232162505"/>
      <w:r>
        <w:rPr>
          <w:szCs w:val="24"/>
        </w:rPr>
        <w:t>1.7.2  设计修改</w:t>
      </w:r>
      <w:bookmarkEnd w:id="145"/>
      <w:bookmarkEnd w:id="146"/>
      <w:bookmarkEnd w:id="147"/>
      <w:bookmarkEnd w:id="148"/>
      <w:bookmarkEnd w:id="149"/>
      <w:bookmarkEnd w:id="150"/>
    </w:p>
    <w:p>
      <w:pPr>
        <w:spacing w:line="500" w:lineRule="atLeast"/>
        <w:ind w:firstLine="480" w:firstLineChars="200"/>
        <w:rPr>
          <w:sz w:val="24"/>
        </w:rPr>
      </w:pPr>
      <w:r>
        <w:rPr>
          <w:sz w:val="24"/>
        </w:rPr>
        <w:t>(1)  承包人在收到监理人按上述第1.7.1条提供的图纸和文件后，应进行详细阅读和检查，若发现错误或表达不清楚时，应在收到图纸和文件后的7天内书面通知监理人。若监理人确认需要作出修改或补充时，亦应在接件后7天内将修改和补充后的图纸和文件提供给承包人。</w:t>
      </w:r>
    </w:p>
    <w:p>
      <w:pPr>
        <w:spacing w:line="500" w:lineRule="atLeast"/>
        <w:ind w:firstLine="480" w:firstLineChars="200"/>
        <w:rPr>
          <w:sz w:val="24"/>
        </w:rPr>
      </w:pPr>
      <w:r>
        <w:rPr>
          <w:sz w:val="24"/>
        </w:rPr>
        <w:t>(2)  监理人发出施工图纸后，需要对某些工程设计进行修改和补充时，应在该部位开始施工14天前及时签发设计修改图，当监理人根据施工过程中新揭露的实际地质情况对某部位的设计进行临时变更时，应在该部位施工前72h口头通知本合同承包人，并在该部位施工前48h签发设计修改图或设计修改通知单。上述设计修改中涉及变更的应按合同条款的规定办理，对不属于变更范畴的设计修改，承包人不得要求增加额外付款。</w:t>
      </w:r>
    </w:p>
    <w:p>
      <w:pPr>
        <w:spacing w:line="500" w:lineRule="atLeast"/>
        <w:ind w:firstLine="480" w:firstLineChars="200"/>
        <w:rPr>
          <w:sz w:val="24"/>
        </w:rPr>
      </w:pPr>
    </w:p>
    <w:p>
      <w:pPr>
        <w:pStyle w:val="5"/>
        <w:snapToGrid w:val="0"/>
        <w:spacing w:before="0" w:after="0" w:line="500" w:lineRule="atLeast"/>
        <w:jc w:val="both"/>
        <w:rPr>
          <w:szCs w:val="24"/>
        </w:rPr>
      </w:pPr>
      <w:bookmarkStart w:id="151" w:name="_Toc246214057"/>
      <w:bookmarkStart w:id="152" w:name="_Toc324239482"/>
      <w:bookmarkStart w:id="153" w:name="_Toc232162507"/>
      <w:bookmarkStart w:id="154" w:name="_Toc118821446"/>
      <w:bookmarkStart w:id="155" w:name="_Toc521577752"/>
      <w:bookmarkStart w:id="156" w:name="_Toc5096"/>
      <w:r>
        <w:rPr>
          <w:szCs w:val="24"/>
        </w:rPr>
        <w:t>1.7.</w:t>
      </w:r>
      <w:r>
        <w:rPr>
          <w:rFonts w:hint="eastAsia"/>
          <w:szCs w:val="24"/>
          <w:lang w:val="en-US"/>
        </w:rPr>
        <w:t>3</w:t>
      </w:r>
      <w:r>
        <w:rPr>
          <w:szCs w:val="24"/>
        </w:rPr>
        <w:t xml:space="preserve">  发包人提供的其他图纸文件</w:t>
      </w:r>
      <w:bookmarkEnd w:id="151"/>
      <w:bookmarkEnd w:id="152"/>
      <w:bookmarkEnd w:id="153"/>
      <w:bookmarkEnd w:id="154"/>
      <w:bookmarkEnd w:id="155"/>
      <w:bookmarkEnd w:id="156"/>
    </w:p>
    <w:p>
      <w:pPr>
        <w:spacing w:line="500" w:lineRule="atLeast"/>
        <w:ind w:firstLine="480" w:firstLineChars="200"/>
        <w:rPr>
          <w:sz w:val="24"/>
        </w:rPr>
      </w:pPr>
      <w:r>
        <w:rPr>
          <w:sz w:val="24"/>
        </w:rPr>
        <w:t>发包人提供的其他图纸文件为与本合同工作相关的土建和机电设备安装的施工进度安排，包括总体施工进度计划、月和季进度计划。提供数量各为1份。</w:t>
      </w:r>
    </w:p>
    <w:p>
      <w:pPr>
        <w:spacing w:line="500" w:lineRule="atLeast"/>
        <w:ind w:firstLine="480" w:firstLineChars="200"/>
        <w:rPr>
          <w:sz w:val="24"/>
        </w:rPr>
      </w:pPr>
    </w:p>
    <w:p>
      <w:pPr>
        <w:pStyle w:val="4"/>
        <w:adjustRightInd w:val="0"/>
        <w:snapToGrid w:val="0"/>
        <w:spacing w:before="0" w:after="0" w:line="500" w:lineRule="atLeast"/>
        <w:rPr>
          <w:rFonts w:ascii="黑体" w:hAnsi="黑体" w:eastAsia="黑体"/>
          <w:b w:val="0"/>
          <w:sz w:val="24"/>
          <w:szCs w:val="24"/>
        </w:rPr>
      </w:pPr>
      <w:bookmarkStart w:id="157" w:name="_Toc246214058"/>
      <w:bookmarkStart w:id="158" w:name="_Toc240878258"/>
      <w:bookmarkStart w:id="159" w:name="_Toc483070237"/>
      <w:bookmarkStart w:id="160" w:name="_Toc476234290"/>
      <w:bookmarkStart w:id="161" w:name="_Toc16392"/>
      <w:bookmarkStart w:id="162" w:name="_Toc118821447"/>
      <w:r>
        <w:rPr>
          <w:rFonts w:ascii="Times New Roman" w:hAnsi="Times New Roman"/>
          <w:sz w:val="24"/>
          <w:szCs w:val="24"/>
        </w:rPr>
        <w:t xml:space="preserve">1.8  </w:t>
      </w:r>
      <w:r>
        <w:rPr>
          <w:rFonts w:ascii="黑体" w:hAnsi="黑体" w:eastAsia="黑体"/>
          <w:b w:val="0"/>
          <w:sz w:val="24"/>
          <w:szCs w:val="24"/>
        </w:rPr>
        <w:t>承包人提交的图纸、文件</w:t>
      </w:r>
      <w:bookmarkEnd w:id="157"/>
      <w:bookmarkEnd w:id="158"/>
      <w:r>
        <w:rPr>
          <w:rFonts w:ascii="黑体" w:hAnsi="黑体" w:eastAsia="黑体"/>
          <w:b w:val="0"/>
          <w:sz w:val="24"/>
          <w:szCs w:val="24"/>
        </w:rPr>
        <w:t>及相关资料</w:t>
      </w:r>
      <w:bookmarkEnd w:id="159"/>
      <w:bookmarkEnd w:id="160"/>
      <w:bookmarkEnd w:id="161"/>
      <w:bookmarkEnd w:id="162"/>
    </w:p>
    <w:p>
      <w:pPr>
        <w:pStyle w:val="5"/>
        <w:snapToGrid w:val="0"/>
        <w:spacing w:before="0" w:after="0" w:line="500" w:lineRule="atLeast"/>
        <w:jc w:val="both"/>
        <w:rPr>
          <w:szCs w:val="24"/>
        </w:rPr>
      </w:pPr>
      <w:bookmarkStart w:id="163" w:name="_Toc240878259"/>
      <w:bookmarkStart w:id="164" w:name="_Toc324239485"/>
      <w:bookmarkStart w:id="165" w:name="_Toc20097"/>
      <w:bookmarkStart w:id="166" w:name="_Toc521577754"/>
      <w:bookmarkStart w:id="167" w:name="_Toc118821448"/>
      <w:bookmarkStart w:id="168" w:name="_Toc246214059"/>
      <w:r>
        <w:rPr>
          <w:szCs w:val="24"/>
        </w:rPr>
        <w:t>1.8.1  图纸和文件的提交计划</w:t>
      </w:r>
      <w:bookmarkEnd w:id="163"/>
      <w:bookmarkEnd w:id="164"/>
      <w:bookmarkEnd w:id="165"/>
      <w:bookmarkEnd w:id="166"/>
      <w:bookmarkEnd w:id="167"/>
      <w:bookmarkEnd w:id="168"/>
    </w:p>
    <w:p>
      <w:pPr>
        <w:spacing w:line="500" w:lineRule="atLeast"/>
        <w:ind w:firstLine="480" w:firstLineChars="200"/>
        <w:rPr>
          <w:sz w:val="24"/>
        </w:rPr>
      </w:pPr>
      <w:r>
        <w:rPr>
          <w:sz w:val="24"/>
        </w:rPr>
        <w:t>承包人应在签署协议书后21天内将承包人项目经理签署的承包人图纸和文件的提交计划，报送监理人审批，监理人应在收到该提交计划后14天内批复承包人。提交计划应说明图纸文件名称和提交时间，图纸和文件提交计划的项目应包括(但不限于)本章第1.8.2条至第1.8.5条规定的各项提交件，以及由承包人负责的施工图纸和本技术条款各章规定应由承包人负责的施工图纸和文件。</w:t>
      </w:r>
    </w:p>
    <w:p>
      <w:pPr>
        <w:spacing w:line="500" w:lineRule="atLeast"/>
        <w:ind w:firstLine="480" w:firstLineChars="200"/>
        <w:rPr>
          <w:sz w:val="24"/>
        </w:rPr>
      </w:pPr>
      <w:r>
        <w:rPr>
          <w:sz w:val="24"/>
        </w:rPr>
        <w:t>承包人提供给监理人的所有图纸、文件、影像资料等费用，均应包括在承包人的各项目报价中。</w:t>
      </w:r>
    </w:p>
    <w:p>
      <w:pPr>
        <w:spacing w:line="500" w:lineRule="atLeast"/>
        <w:ind w:firstLine="480" w:firstLineChars="200"/>
        <w:rPr>
          <w:sz w:val="24"/>
        </w:rPr>
      </w:pPr>
    </w:p>
    <w:p>
      <w:pPr>
        <w:pStyle w:val="5"/>
        <w:snapToGrid w:val="0"/>
        <w:spacing w:before="0" w:after="0" w:line="500" w:lineRule="atLeast"/>
        <w:jc w:val="both"/>
        <w:rPr>
          <w:rFonts w:ascii="宋体" w:hAnsi="宋体"/>
          <w:szCs w:val="24"/>
        </w:rPr>
      </w:pPr>
      <w:bookmarkStart w:id="169" w:name="_Toc521577755"/>
      <w:bookmarkStart w:id="170" w:name="_Toc118821449"/>
      <w:bookmarkStart w:id="171" w:name="_Toc324239486"/>
      <w:bookmarkStart w:id="172" w:name="_Toc2421"/>
      <w:bookmarkStart w:id="173" w:name="_Toc246214060"/>
      <w:bookmarkStart w:id="174" w:name="_Toc240878260"/>
      <w:r>
        <w:rPr>
          <w:szCs w:val="24"/>
        </w:rPr>
        <w:t xml:space="preserve">1.8.2 </w:t>
      </w:r>
      <w:r>
        <w:rPr>
          <w:rFonts w:ascii="宋体" w:hAnsi="宋体"/>
          <w:szCs w:val="24"/>
        </w:rPr>
        <w:t xml:space="preserve"> 施工总进度计划</w:t>
      </w:r>
      <w:bookmarkEnd w:id="169"/>
      <w:bookmarkEnd w:id="170"/>
      <w:bookmarkEnd w:id="171"/>
      <w:bookmarkEnd w:id="172"/>
      <w:bookmarkEnd w:id="173"/>
      <w:bookmarkEnd w:id="174"/>
    </w:p>
    <w:p>
      <w:pPr>
        <w:spacing w:line="500" w:lineRule="atLeast"/>
        <w:ind w:firstLine="480" w:firstLineChars="200"/>
        <w:rPr>
          <w:sz w:val="24"/>
        </w:rPr>
      </w:pPr>
      <w:r>
        <w:rPr>
          <w:sz w:val="24"/>
        </w:rPr>
        <w:t>(1)  承包人应在收到开工通知后的14天内，应编制本工程施工总进度网络计划报送监理人审批。监理人应在签收后7天内批复承包人，并同时抄送给设计人。经监理人批准的施工总进度计划是控制本合同工程进度的依据。</w:t>
      </w:r>
    </w:p>
    <w:p>
      <w:pPr>
        <w:spacing w:line="500" w:lineRule="atLeast"/>
        <w:ind w:firstLine="480" w:firstLineChars="200"/>
        <w:rPr>
          <w:sz w:val="24"/>
        </w:rPr>
      </w:pPr>
      <w:r>
        <w:rPr>
          <w:sz w:val="24"/>
        </w:rPr>
        <w:t>(2)  承包人编制的施工总进度应满足关于工程开工日期及全部工程、单位工程和部分工程完工日期的规定。网络图的编制应以下列各项数据和内容来表述全部工程的施工作业与各单位工程的相互关系。</w:t>
      </w:r>
    </w:p>
    <w:p>
      <w:pPr>
        <w:spacing w:line="500" w:lineRule="atLeast"/>
        <w:ind w:firstLine="480" w:firstLineChars="200"/>
        <w:rPr>
          <w:sz w:val="24"/>
        </w:rPr>
      </w:pPr>
      <w:r>
        <w:rPr>
          <w:sz w:val="24"/>
        </w:rPr>
        <w:t>1)  作业和相应节点编号；</w:t>
      </w:r>
    </w:p>
    <w:p>
      <w:pPr>
        <w:spacing w:line="500" w:lineRule="atLeast"/>
        <w:ind w:firstLine="480" w:firstLineChars="200"/>
        <w:rPr>
          <w:sz w:val="24"/>
        </w:rPr>
      </w:pPr>
      <w:r>
        <w:rPr>
          <w:sz w:val="24"/>
        </w:rPr>
        <w:t>2)  持续时间；</w:t>
      </w:r>
    </w:p>
    <w:p>
      <w:pPr>
        <w:spacing w:line="500" w:lineRule="atLeast"/>
        <w:ind w:firstLine="480" w:firstLineChars="200"/>
        <w:rPr>
          <w:sz w:val="24"/>
        </w:rPr>
      </w:pPr>
      <w:r>
        <w:rPr>
          <w:sz w:val="24"/>
        </w:rPr>
        <w:t>3)  最早开工及最早完工日期；</w:t>
      </w:r>
    </w:p>
    <w:p>
      <w:pPr>
        <w:spacing w:line="500" w:lineRule="atLeast"/>
        <w:ind w:firstLine="480" w:firstLineChars="200"/>
        <w:rPr>
          <w:sz w:val="24"/>
        </w:rPr>
      </w:pPr>
      <w:r>
        <w:rPr>
          <w:sz w:val="24"/>
        </w:rPr>
        <w:t>4)  最迟开工及最迟完工日期；</w:t>
      </w:r>
    </w:p>
    <w:p>
      <w:pPr>
        <w:spacing w:line="500" w:lineRule="atLeast"/>
        <w:ind w:firstLine="480" w:firstLineChars="200"/>
        <w:rPr>
          <w:sz w:val="24"/>
        </w:rPr>
      </w:pPr>
      <w:r>
        <w:rPr>
          <w:sz w:val="24"/>
        </w:rPr>
        <w:t>5)  附需要资源和说明。</w:t>
      </w:r>
    </w:p>
    <w:p>
      <w:pPr>
        <w:spacing w:line="500" w:lineRule="atLeast"/>
        <w:ind w:firstLine="480" w:firstLineChars="200"/>
        <w:rPr>
          <w:sz w:val="24"/>
        </w:rPr>
      </w:pPr>
    </w:p>
    <w:p>
      <w:pPr>
        <w:pStyle w:val="5"/>
        <w:snapToGrid w:val="0"/>
        <w:spacing w:before="0" w:after="0" w:line="500" w:lineRule="atLeast"/>
        <w:jc w:val="both"/>
        <w:rPr>
          <w:rFonts w:ascii="宋体" w:hAnsi="宋体"/>
          <w:szCs w:val="24"/>
        </w:rPr>
      </w:pPr>
      <w:bookmarkStart w:id="175" w:name="_Toc521577756"/>
      <w:bookmarkStart w:id="176" w:name="_Toc240878263"/>
      <w:bookmarkStart w:id="177" w:name="_Toc324239487"/>
      <w:bookmarkStart w:id="178" w:name="_Toc2221"/>
      <w:bookmarkStart w:id="179" w:name="_Toc118821450"/>
      <w:bookmarkStart w:id="180" w:name="_Toc246214063"/>
      <w:r>
        <w:rPr>
          <w:szCs w:val="24"/>
        </w:rPr>
        <w:t xml:space="preserve">1.8.3  </w:t>
      </w:r>
      <w:r>
        <w:rPr>
          <w:rFonts w:ascii="宋体" w:hAnsi="宋体"/>
          <w:szCs w:val="24"/>
        </w:rPr>
        <w:t>施工方法和措施</w:t>
      </w:r>
      <w:bookmarkEnd w:id="175"/>
      <w:bookmarkEnd w:id="176"/>
      <w:bookmarkEnd w:id="177"/>
      <w:bookmarkEnd w:id="178"/>
      <w:bookmarkEnd w:id="179"/>
      <w:bookmarkEnd w:id="180"/>
    </w:p>
    <w:p>
      <w:pPr>
        <w:spacing w:line="500" w:lineRule="atLeast"/>
        <w:ind w:firstLine="480" w:firstLineChars="200"/>
        <w:rPr>
          <w:sz w:val="24"/>
        </w:rPr>
      </w:pPr>
      <w:r>
        <w:rPr>
          <w:sz w:val="24"/>
        </w:rPr>
        <w:t>(1)  承包人应在收到开工通知后14天内，按本合同规定的内容提交各监测项目的施工方法和监测措施。</w:t>
      </w:r>
    </w:p>
    <w:p>
      <w:pPr>
        <w:spacing w:line="500" w:lineRule="atLeast"/>
        <w:ind w:firstLine="480" w:firstLineChars="200"/>
        <w:rPr>
          <w:sz w:val="24"/>
        </w:rPr>
      </w:pPr>
      <w:r>
        <w:rPr>
          <w:sz w:val="24"/>
        </w:rPr>
        <w:t>(2)  监理人认为有必要时，承包人应在规定的期限内，按监理人指示，提交单位工程的施工方法和措施，报送监理人审批。单位工程施工方法和措施的内容包括施工布置、施工工艺、施工程序、主要施工材料及设备和劳动力、质量检验和安全保证措施、施工进度计划等。</w:t>
      </w:r>
    </w:p>
    <w:p>
      <w:pPr>
        <w:spacing w:line="500" w:lineRule="atLeast"/>
        <w:ind w:firstLine="480" w:firstLineChars="200"/>
        <w:rPr>
          <w:sz w:val="24"/>
        </w:rPr>
      </w:pPr>
    </w:p>
    <w:p>
      <w:pPr>
        <w:pStyle w:val="5"/>
        <w:snapToGrid w:val="0"/>
        <w:spacing w:before="0" w:after="0" w:line="500" w:lineRule="atLeast"/>
        <w:jc w:val="both"/>
        <w:rPr>
          <w:szCs w:val="24"/>
        </w:rPr>
      </w:pPr>
      <w:bookmarkStart w:id="181" w:name="_Toc521577757"/>
      <w:bookmarkStart w:id="182" w:name="_Toc4414"/>
      <w:bookmarkStart w:id="183" w:name="_Toc324239488"/>
      <w:bookmarkStart w:id="184" w:name="_Toc118821451"/>
      <w:bookmarkStart w:id="185" w:name="_Toc240878264"/>
      <w:bookmarkStart w:id="186" w:name="_Toc246214064"/>
      <w:r>
        <w:rPr>
          <w:szCs w:val="24"/>
        </w:rPr>
        <w:t>1.8.4  施工图纸</w:t>
      </w:r>
      <w:bookmarkEnd w:id="181"/>
      <w:bookmarkEnd w:id="182"/>
      <w:bookmarkEnd w:id="183"/>
      <w:bookmarkEnd w:id="184"/>
      <w:bookmarkEnd w:id="185"/>
      <w:bookmarkEnd w:id="186"/>
    </w:p>
    <w:p>
      <w:pPr>
        <w:spacing w:line="500" w:lineRule="atLeast"/>
        <w:ind w:firstLine="480" w:firstLineChars="200"/>
        <w:rPr>
          <w:sz w:val="24"/>
        </w:rPr>
      </w:pPr>
      <w:r>
        <w:rPr>
          <w:sz w:val="24"/>
        </w:rPr>
        <w:t>(1)  由承包人负责设计的工程项目，应按监理人指示，在该工程项目开始施工前14天，由承包人提交该项目的结构总图、设计依据、计算和试验成果以及监理人认为需要提交审查的其它图纸和文件，报送监理人审批。</w:t>
      </w:r>
    </w:p>
    <w:p>
      <w:pPr>
        <w:spacing w:line="500" w:lineRule="atLeast"/>
        <w:ind w:firstLine="480" w:firstLineChars="200"/>
        <w:rPr>
          <w:sz w:val="24"/>
        </w:rPr>
      </w:pPr>
      <w:r>
        <w:rPr>
          <w:sz w:val="24"/>
        </w:rPr>
        <w:t>(2)  由发包人负责设计的工程项目，应由监理人按本章第1.7.1条的规定提供施工图纸给承包人，承包人则应按发包人提供的施工图纸绘制细部设计图、浇筑图、车间加工图和安装图等施工图纸，承包人的上述施工图纸以及按本技术条款其它各章规定由承包人提交的图纸和文件，均应在每项工程开始施工或制造安装前14天报送监理人、设计人批准。</w:t>
      </w:r>
    </w:p>
    <w:p>
      <w:pPr>
        <w:spacing w:line="500" w:lineRule="atLeast"/>
        <w:ind w:firstLine="480" w:firstLineChars="200"/>
        <w:rPr>
          <w:sz w:val="24"/>
        </w:rPr>
      </w:pPr>
      <w:r>
        <w:rPr>
          <w:sz w:val="24"/>
        </w:rPr>
        <w:t>(3)  若承包人根据其施工的需要，要求对发包人提供的施工图纸作局部修改时，须经监理人、设计人批准。</w:t>
      </w:r>
    </w:p>
    <w:p>
      <w:pPr>
        <w:pStyle w:val="5"/>
        <w:snapToGrid w:val="0"/>
        <w:spacing w:before="0" w:after="0" w:line="500" w:lineRule="atLeast"/>
        <w:jc w:val="both"/>
        <w:rPr>
          <w:szCs w:val="24"/>
        </w:rPr>
      </w:pPr>
      <w:bookmarkStart w:id="187" w:name="_Toc24980"/>
      <w:bookmarkStart w:id="188" w:name="_Toc246214065"/>
      <w:bookmarkStart w:id="189" w:name="_Toc324239489"/>
      <w:bookmarkStart w:id="190" w:name="_Toc240878265"/>
      <w:bookmarkStart w:id="191" w:name="_Toc118821452"/>
      <w:bookmarkStart w:id="192" w:name="_Toc521577758"/>
      <w:r>
        <w:rPr>
          <w:szCs w:val="24"/>
        </w:rPr>
        <w:t>1.8.5  图纸和文件的审批</w:t>
      </w:r>
      <w:bookmarkEnd w:id="187"/>
      <w:bookmarkEnd w:id="188"/>
      <w:bookmarkEnd w:id="189"/>
      <w:bookmarkEnd w:id="190"/>
      <w:bookmarkEnd w:id="191"/>
      <w:bookmarkEnd w:id="192"/>
    </w:p>
    <w:p>
      <w:pPr>
        <w:spacing w:line="500" w:lineRule="atLeast"/>
        <w:ind w:firstLine="480" w:firstLineChars="200"/>
        <w:rPr>
          <w:sz w:val="24"/>
        </w:rPr>
      </w:pPr>
      <w:r>
        <w:rPr>
          <w:sz w:val="24"/>
        </w:rPr>
        <w:t>(1)  除合同另有规定外，凡须经监理人审批的图纸和文件，监理人应在收到承包人提交的各项图纸和文件后7天内批复承包人，并同时抄送给设计人。逾期不批复，则视为已经监理人批准。其审批意见包括：</w:t>
      </w:r>
    </w:p>
    <w:p>
      <w:pPr>
        <w:spacing w:line="500" w:lineRule="atLeast"/>
        <w:ind w:firstLine="480" w:firstLineChars="200"/>
        <w:rPr>
          <w:sz w:val="24"/>
        </w:rPr>
      </w:pPr>
      <w:r>
        <w:rPr>
          <w:sz w:val="24"/>
        </w:rPr>
        <w:t xml:space="preserve">1)  同意按此执行； </w:t>
      </w:r>
    </w:p>
    <w:p>
      <w:pPr>
        <w:spacing w:line="500" w:lineRule="atLeast"/>
        <w:ind w:firstLine="480" w:firstLineChars="200"/>
        <w:rPr>
          <w:sz w:val="24"/>
        </w:rPr>
      </w:pPr>
      <w:r>
        <w:rPr>
          <w:sz w:val="24"/>
        </w:rPr>
        <w:t xml:space="preserve">2)  按修改意见执行； </w:t>
      </w:r>
    </w:p>
    <w:p>
      <w:pPr>
        <w:spacing w:line="500" w:lineRule="atLeast"/>
        <w:ind w:firstLine="480" w:firstLineChars="200"/>
        <w:rPr>
          <w:sz w:val="24"/>
        </w:rPr>
      </w:pPr>
      <w:r>
        <w:rPr>
          <w:sz w:val="24"/>
        </w:rPr>
        <w:t xml:space="preserve">3)  修改后重新递交； </w:t>
      </w:r>
    </w:p>
    <w:p>
      <w:pPr>
        <w:spacing w:line="500" w:lineRule="atLeast"/>
        <w:ind w:firstLine="480" w:firstLineChars="200"/>
        <w:rPr>
          <w:sz w:val="24"/>
        </w:rPr>
      </w:pPr>
      <w:r>
        <w:rPr>
          <w:sz w:val="24"/>
        </w:rPr>
        <w:t>4)  不予批准。</w:t>
      </w:r>
    </w:p>
    <w:p>
      <w:pPr>
        <w:spacing w:line="500" w:lineRule="atLeast"/>
        <w:ind w:firstLine="480" w:firstLineChars="200"/>
        <w:rPr>
          <w:sz w:val="24"/>
        </w:rPr>
      </w:pPr>
      <w:r>
        <w:rPr>
          <w:sz w:val="24"/>
        </w:rPr>
        <w:t>(2)  凡标有“按修改意见执行”或“修改后重新递交”的图纸和文件，应由承包人在收到批复件后7天内作出相应修改，并重新提交监理人批复。所有修改都应在修改的图纸和文件上标明编号、日期以及说明修改范围和内容，承包人应在图纸的标题附近留有一块空白框供监理人批注及建立档案编目用。</w:t>
      </w:r>
    </w:p>
    <w:p>
      <w:pPr>
        <w:spacing w:line="500" w:lineRule="atLeast"/>
        <w:ind w:firstLine="480" w:firstLineChars="200"/>
        <w:rPr>
          <w:sz w:val="24"/>
        </w:rPr>
      </w:pPr>
      <w:r>
        <w:rPr>
          <w:sz w:val="24"/>
        </w:rPr>
        <w:t>(3)  凡合同规定须经监理人批准的图纸和文件，必须由承包人项目经理签署。</w:t>
      </w:r>
    </w:p>
    <w:p>
      <w:pPr>
        <w:spacing w:line="500" w:lineRule="atLeast"/>
        <w:ind w:firstLine="480" w:firstLineChars="200"/>
        <w:rPr>
          <w:sz w:val="24"/>
        </w:rPr>
      </w:pPr>
    </w:p>
    <w:p>
      <w:pPr>
        <w:pStyle w:val="4"/>
        <w:adjustRightInd w:val="0"/>
        <w:snapToGrid w:val="0"/>
        <w:spacing w:before="0" w:after="0" w:line="500" w:lineRule="atLeast"/>
        <w:rPr>
          <w:rFonts w:ascii="黑体" w:hAnsi="黑体" w:eastAsia="黑体"/>
          <w:b w:val="0"/>
          <w:sz w:val="24"/>
          <w:szCs w:val="24"/>
        </w:rPr>
      </w:pPr>
      <w:bookmarkStart w:id="193" w:name="_Toc31844"/>
      <w:bookmarkStart w:id="194" w:name="_Toc118821453"/>
      <w:r>
        <w:rPr>
          <w:rFonts w:ascii="Times New Roman" w:hAnsi="Times New Roman"/>
          <w:sz w:val="24"/>
          <w:szCs w:val="24"/>
        </w:rPr>
        <w:t xml:space="preserve">1.9  </w:t>
      </w:r>
      <w:r>
        <w:rPr>
          <w:rFonts w:ascii="黑体" w:hAnsi="黑体" w:eastAsia="黑体"/>
          <w:b w:val="0"/>
          <w:sz w:val="24"/>
          <w:szCs w:val="24"/>
        </w:rPr>
        <w:t>进度计划的实施</w:t>
      </w:r>
      <w:bookmarkEnd w:id="193"/>
      <w:bookmarkEnd w:id="194"/>
    </w:p>
    <w:p>
      <w:pPr>
        <w:pStyle w:val="5"/>
        <w:snapToGrid w:val="0"/>
        <w:spacing w:before="0" w:after="0" w:line="500" w:lineRule="atLeast"/>
        <w:jc w:val="both"/>
        <w:rPr>
          <w:szCs w:val="24"/>
        </w:rPr>
      </w:pPr>
      <w:bookmarkStart w:id="195" w:name="_Toc521577760"/>
      <w:bookmarkStart w:id="196" w:name="_Toc497045977"/>
      <w:bookmarkStart w:id="197" w:name="_Toc118821454"/>
      <w:bookmarkStart w:id="198" w:name="_Toc232162522"/>
      <w:bookmarkStart w:id="199" w:name="_Toc27308"/>
      <w:bookmarkStart w:id="200" w:name="_Toc464031599"/>
      <w:r>
        <w:rPr>
          <w:szCs w:val="24"/>
        </w:rPr>
        <w:t>1.9.1  月、年进度计划</w:t>
      </w:r>
      <w:bookmarkEnd w:id="195"/>
      <w:bookmarkEnd w:id="196"/>
      <w:bookmarkEnd w:id="197"/>
      <w:bookmarkEnd w:id="198"/>
      <w:bookmarkEnd w:id="199"/>
      <w:bookmarkEnd w:id="200"/>
    </w:p>
    <w:p>
      <w:pPr>
        <w:spacing w:line="500" w:lineRule="atLeast"/>
        <w:ind w:firstLine="480" w:firstLineChars="200"/>
        <w:rPr>
          <w:sz w:val="24"/>
        </w:rPr>
      </w:pPr>
      <w:r>
        <w:rPr>
          <w:sz w:val="24"/>
        </w:rPr>
        <w:t>承包人应根据土建工程的施工组织设计，制定各安全监测项目的月、季、年和阶段性的实施和监测计划，并经监理人批准。其计划至少应包括如下内容：</w:t>
      </w:r>
    </w:p>
    <w:p>
      <w:pPr>
        <w:spacing w:line="500" w:lineRule="atLeast"/>
        <w:ind w:firstLine="480" w:firstLineChars="200"/>
        <w:rPr>
          <w:sz w:val="24"/>
        </w:rPr>
      </w:pPr>
      <w:r>
        <w:rPr>
          <w:sz w:val="24"/>
        </w:rPr>
        <w:t>(1)  材料、监测仪器设备订货、采购计划；</w:t>
      </w:r>
    </w:p>
    <w:p>
      <w:pPr>
        <w:spacing w:line="500" w:lineRule="atLeast"/>
        <w:ind w:firstLine="480" w:firstLineChars="200"/>
        <w:rPr>
          <w:sz w:val="24"/>
        </w:rPr>
      </w:pPr>
      <w:r>
        <w:rPr>
          <w:sz w:val="24"/>
        </w:rPr>
        <w:t>(2)  监测仪器设备检验(率定)计划；</w:t>
      </w:r>
    </w:p>
    <w:p>
      <w:pPr>
        <w:spacing w:line="500" w:lineRule="atLeast"/>
        <w:ind w:firstLine="480" w:firstLineChars="200"/>
        <w:rPr>
          <w:sz w:val="24"/>
        </w:rPr>
      </w:pPr>
      <w:r>
        <w:rPr>
          <w:sz w:val="24"/>
        </w:rPr>
        <w:t>(3)  监测仪器设备埋设安装、监测计划；</w:t>
      </w:r>
    </w:p>
    <w:p>
      <w:pPr>
        <w:spacing w:line="500" w:lineRule="atLeast"/>
        <w:ind w:firstLine="480" w:firstLineChars="200"/>
        <w:rPr>
          <w:sz w:val="24"/>
        </w:rPr>
      </w:pPr>
      <w:r>
        <w:rPr>
          <w:sz w:val="24"/>
        </w:rPr>
        <w:t xml:space="preserve">(4)  监测仪器设备埋设安装、监测措施计划； </w:t>
      </w:r>
    </w:p>
    <w:p>
      <w:pPr>
        <w:spacing w:line="500" w:lineRule="atLeast"/>
        <w:ind w:firstLine="480" w:firstLineChars="200"/>
        <w:rPr>
          <w:sz w:val="24"/>
        </w:rPr>
      </w:pPr>
      <w:r>
        <w:rPr>
          <w:sz w:val="24"/>
        </w:rPr>
        <w:t xml:space="preserve">(5)  要求发包人提供施工图纸的计划； </w:t>
      </w:r>
    </w:p>
    <w:p>
      <w:pPr>
        <w:spacing w:line="500" w:lineRule="atLeast"/>
        <w:ind w:firstLine="480" w:firstLineChars="200"/>
        <w:rPr>
          <w:sz w:val="24"/>
        </w:rPr>
      </w:pPr>
      <w:r>
        <w:rPr>
          <w:sz w:val="24"/>
        </w:rPr>
        <w:t>(6)  要求发包人或其他承包人配合钻孔、预埋件预埋等的计划；</w:t>
      </w:r>
    </w:p>
    <w:p>
      <w:pPr>
        <w:spacing w:line="500" w:lineRule="atLeast"/>
        <w:ind w:firstLine="480" w:firstLineChars="200"/>
        <w:rPr>
          <w:sz w:val="24"/>
        </w:rPr>
      </w:pPr>
      <w:r>
        <w:rPr>
          <w:sz w:val="24"/>
        </w:rPr>
        <w:t>(7)  本承包人承担的土建工程施工措施计划；</w:t>
      </w:r>
    </w:p>
    <w:p>
      <w:pPr>
        <w:spacing w:line="500" w:lineRule="atLeast"/>
        <w:ind w:firstLine="480" w:firstLineChars="200"/>
        <w:rPr>
          <w:sz w:val="24"/>
        </w:rPr>
      </w:pPr>
      <w:r>
        <w:rPr>
          <w:sz w:val="24"/>
        </w:rPr>
        <w:t>(8)  施工期监测计划；</w:t>
      </w:r>
    </w:p>
    <w:p>
      <w:pPr>
        <w:spacing w:line="500" w:lineRule="atLeast"/>
        <w:ind w:firstLine="480" w:firstLineChars="200"/>
        <w:rPr>
          <w:sz w:val="24"/>
        </w:rPr>
      </w:pPr>
      <w:r>
        <w:rPr>
          <w:sz w:val="24"/>
        </w:rPr>
        <w:t>(9)  人员安排计划；</w:t>
      </w:r>
    </w:p>
    <w:p>
      <w:pPr>
        <w:spacing w:line="500" w:lineRule="atLeast"/>
        <w:ind w:firstLine="480" w:firstLineChars="200"/>
        <w:rPr>
          <w:sz w:val="24"/>
        </w:rPr>
      </w:pPr>
      <w:r>
        <w:rPr>
          <w:sz w:val="24"/>
        </w:rPr>
        <w:t>(10)  监理人要求承包人提供的其它计划。</w:t>
      </w:r>
      <w:bookmarkStart w:id="201" w:name="_Toc232162523"/>
      <w:bookmarkStart w:id="202" w:name="_Toc497045979"/>
      <w:bookmarkStart w:id="203" w:name="_Toc464031600"/>
    </w:p>
    <w:p>
      <w:pPr>
        <w:spacing w:line="500" w:lineRule="atLeast"/>
        <w:ind w:firstLine="480" w:firstLineChars="200"/>
        <w:rPr>
          <w:sz w:val="24"/>
        </w:rPr>
      </w:pPr>
    </w:p>
    <w:p>
      <w:pPr>
        <w:pStyle w:val="5"/>
        <w:snapToGrid w:val="0"/>
        <w:spacing w:before="0" w:after="0" w:line="500" w:lineRule="atLeast"/>
        <w:jc w:val="both"/>
        <w:rPr>
          <w:szCs w:val="24"/>
        </w:rPr>
      </w:pPr>
      <w:bookmarkStart w:id="204" w:name="_Toc118821455"/>
      <w:bookmarkStart w:id="205" w:name="_Toc521577761"/>
      <w:bookmarkStart w:id="206" w:name="_Toc32028"/>
      <w:r>
        <w:rPr>
          <w:szCs w:val="24"/>
        </w:rPr>
        <w:t xml:space="preserve">1.9.2  </w:t>
      </w:r>
      <w:r>
        <w:rPr>
          <w:rFonts w:hint="eastAsia"/>
          <w:szCs w:val="24"/>
          <w:lang w:val="en-US"/>
        </w:rPr>
        <w:t>月</w:t>
      </w:r>
      <w:r>
        <w:rPr>
          <w:szCs w:val="24"/>
        </w:rPr>
        <w:t>进度报告</w:t>
      </w:r>
      <w:bookmarkEnd w:id="201"/>
      <w:bookmarkEnd w:id="202"/>
      <w:bookmarkEnd w:id="203"/>
      <w:bookmarkEnd w:id="204"/>
      <w:bookmarkEnd w:id="205"/>
      <w:bookmarkEnd w:id="206"/>
    </w:p>
    <w:p>
      <w:pPr>
        <w:spacing w:line="500" w:lineRule="atLeast"/>
        <w:ind w:firstLine="480" w:firstLineChars="200"/>
        <w:rPr>
          <w:sz w:val="24"/>
        </w:rPr>
      </w:pPr>
      <w:r>
        <w:rPr>
          <w:sz w:val="24"/>
        </w:rPr>
        <w:t>(1)  承包人应在每月底按批准的格式，向监理人提交月进度实施报告，其内容包括：</w:t>
      </w:r>
    </w:p>
    <w:p>
      <w:pPr>
        <w:spacing w:line="500" w:lineRule="atLeast"/>
        <w:ind w:firstLine="480" w:firstLineChars="200"/>
        <w:rPr>
          <w:sz w:val="24"/>
        </w:rPr>
      </w:pPr>
      <w:r>
        <w:rPr>
          <w:sz w:val="24"/>
        </w:rPr>
        <w:t>1)  月完成工程量和累计完成工程量(包括永久工程和临时工程: 当月仪器、设备材料的订货、到货及加工情况；当月完成的仪器、设计检验(率定)情况；当月完成仪器、设备埋设安装情况；截至当月已完成的累计工程量)；</w:t>
      </w:r>
    </w:p>
    <w:p>
      <w:pPr>
        <w:spacing w:line="500" w:lineRule="atLeast"/>
        <w:ind w:firstLine="480" w:firstLineChars="200"/>
        <w:rPr>
          <w:sz w:val="24"/>
        </w:rPr>
      </w:pPr>
      <w:r>
        <w:rPr>
          <w:sz w:val="24"/>
        </w:rPr>
        <w:t>2)  月完成的工程面貌简图；</w:t>
      </w:r>
    </w:p>
    <w:p>
      <w:pPr>
        <w:spacing w:line="500" w:lineRule="atLeast"/>
        <w:ind w:firstLine="480" w:firstLineChars="200"/>
        <w:rPr>
          <w:sz w:val="24"/>
        </w:rPr>
      </w:pPr>
      <w:r>
        <w:rPr>
          <w:sz w:val="24"/>
        </w:rPr>
        <w:t>3)  材料实际进货、消耗和库存量；</w:t>
      </w:r>
    </w:p>
    <w:p>
      <w:pPr>
        <w:spacing w:line="500" w:lineRule="atLeast"/>
        <w:ind w:firstLine="480" w:firstLineChars="200"/>
        <w:rPr>
          <w:sz w:val="24"/>
        </w:rPr>
      </w:pPr>
      <w:r>
        <w:rPr>
          <w:sz w:val="24"/>
        </w:rPr>
        <w:t>4)  现场施工设备的投运数量和运行状况；</w:t>
      </w:r>
    </w:p>
    <w:p>
      <w:pPr>
        <w:spacing w:line="500" w:lineRule="atLeast"/>
        <w:ind w:firstLine="480" w:firstLineChars="200"/>
        <w:rPr>
          <w:sz w:val="24"/>
        </w:rPr>
      </w:pPr>
      <w:r>
        <w:rPr>
          <w:sz w:val="24"/>
        </w:rPr>
        <w:t>5)  仪器设备的到货情况；</w:t>
      </w:r>
    </w:p>
    <w:p>
      <w:pPr>
        <w:spacing w:line="500" w:lineRule="atLeast"/>
        <w:ind w:firstLine="480" w:firstLineChars="200"/>
        <w:rPr>
          <w:sz w:val="24"/>
        </w:rPr>
      </w:pPr>
      <w:r>
        <w:rPr>
          <w:sz w:val="24"/>
        </w:rPr>
        <w:t>6)  劳动力数量(本月及预计未来三个月劳动力的数量)；</w:t>
      </w:r>
    </w:p>
    <w:p>
      <w:pPr>
        <w:spacing w:line="500" w:lineRule="atLeast"/>
        <w:ind w:firstLine="480" w:firstLineChars="200"/>
        <w:rPr>
          <w:sz w:val="24"/>
        </w:rPr>
      </w:pPr>
      <w:r>
        <w:rPr>
          <w:sz w:val="24"/>
        </w:rPr>
        <w:t>7)  当前影响施工进度计划的因素和采取的改进措施；</w:t>
      </w:r>
    </w:p>
    <w:p>
      <w:pPr>
        <w:spacing w:line="500" w:lineRule="atLeast"/>
        <w:ind w:firstLine="480" w:firstLineChars="200"/>
        <w:rPr>
          <w:sz w:val="24"/>
        </w:rPr>
      </w:pPr>
      <w:r>
        <w:rPr>
          <w:sz w:val="24"/>
        </w:rPr>
        <w:t>8)  进度计划调整及其说明；</w:t>
      </w:r>
    </w:p>
    <w:p>
      <w:pPr>
        <w:spacing w:line="500" w:lineRule="atLeast"/>
        <w:ind w:firstLine="480" w:firstLineChars="200"/>
        <w:rPr>
          <w:sz w:val="24"/>
        </w:rPr>
      </w:pPr>
      <w:r>
        <w:rPr>
          <w:sz w:val="24"/>
        </w:rPr>
        <w:t>9)  质量事故和质量缺陷纪录及处理结果，质量监测有关数据、质量状况及评价；</w:t>
      </w:r>
    </w:p>
    <w:p>
      <w:pPr>
        <w:spacing w:line="500" w:lineRule="atLeast"/>
        <w:ind w:firstLine="480" w:firstLineChars="200"/>
        <w:rPr>
          <w:sz w:val="24"/>
        </w:rPr>
      </w:pPr>
      <w:r>
        <w:rPr>
          <w:sz w:val="24"/>
        </w:rPr>
        <w:t>10)  安全事故以及人员伤亡和财产损失情况；</w:t>
      </w:r>
    </w:p>
    <w:p>
      <w:pPr>
        <w:spacing w:line="500" w:lineRule="atLeast"/>
        <w:ind w:firstLine="480" w:firstLineChars="200"/>
        <w:rPr>
          <w:sz w:val="24"/>
        </w:rPr>
      </w:pPr>
      <w:r>
        <w:rPr>
          <w:sz w:val="24"/>
        </w:rPr>
        <w:t>11)  监测及监测资料的分析情况；</w:t>
      </w:r>
    </w:p>
    <w:p>
      <w:pPr>
        <w:spacing w:line="500" w:lineRule="atLeast"/>
        <w:ind w:firstLine="480" w:firstLineChars="200"/>
        <w:rPr>
          <w:sz w:val="24"/>
        </w:rPr>
      </w:pPr>
      <w:r>
        <w:rPr>
          <w:sz w:val="24"/>
        </w:rPr>
        <w:t>12)  监理人要求报送的其它资料。</w:t>
      </w:r>
    </w:p>
    <w:p>
      <w:pPr>
        <w:spacing w:line="500" w:lineRule="atLeast"/>
        <w:ind w:firstLine="480" w:firstLineChars="200"/>
        <w:rPr>
          <w:sz w:val="24"/>
        </w:rPr>
      </w:pPr>
      <w:r>
        <w:rPr>
          <w:sz w:val="24"/>
        </w:rPr>
        <w:t>(2)  月进度报告应附有一组充分显示工程施工面貌与实际进度相对应的定点摄影照片。</w:t>
      </w:r>
    </w:p>
    <w:p>
      <w:pPr>
        <w:spacing w:line="500" w:lineRule="atLeast"/>
        <w:ind w:firstLine="480" w:firstLineChars="200"/>
        <w:rPr>
          <w:sz w:val="24"/>
        </w:rPr>
      </w:pPr>
    </w:p>
    <w:p>
      <w:pPr>
        <w:pStyle w:val="5"/>
        <w:snapToGrid w:val="0"/>
        <w:spacing w:before="0" w:after="0" w:line="500" w:lineRule="atLeast"/>
        <w:jc w:val="both"/>
        <w:rPr>
          <w:szCs w:val="24"/>
        </w:rPr>
      </w:pPr>
      <w:bookmarkStart w:id="207" w:name="_Toc521577762"/>
      <w:bookmarkStart w:id="208" w:name="_Toc8610"/>
      <w:bookmarkStart w:id="209" w:name="_Toc118821456"/>
      <w:r>
        <w:rPr>
          <w:szCs w:val="24"/>
        </w:rPr>
        <w:t>1.9.3  承包人提供的相关资料</w:t>
      </w:r>
      <w:bookmarkEnd w:id="207"/>
      <w:bookmarkEnd w:id="208"/>
      <w:bookmarkEnd w:id="209"/>
    </w:p>
    <w:p>
      <w:pPr>
        <w:spacing w:line="500" w:lineRule="atLeast"/>
        <w:ind w:firstLine="480" w:firstLineChars="200"/>
        <w:rPr>
          <w:sz w:val="24"/>
        </w:rPr>
      </w:pPr>
      <w:r>
        <w:rPr>
          <w:sz w:val="24"/>
        </w:rPr>
        <w:t>承包人用于本工程的各类监测记录、考证表等各类表格，应在实施前根据规范要求将格式上报给监理人，经审批后使用。</w:t>
      </w:r>
    </w:p>
    <w:p>
      <w:pPr>
        <w:spacing w:line="500" w:lineRule="atLeast"/>
        <w:ind w:firstLine="480" w:firstLineChars="200"/>
        <w:rPr>
          <w:sz w:val="24"/>
        </w:rPr>
      </w:pPr>
      <w:r>
        <w:rPr>
          <w:sz w:val="24"/>
        </w:rPr>
        <w:t>承包人应向发包人提供工程监测仪器基本资料、安装埋设资料、监测初始值、监测仪器布置图及其他所需资料。</w:t>
      </w:r>
    </w:p>
    <w:p>
      <w:pPr>
        <w:spacing w:line="500" w:lineRule="atLeast"/>
        <w:ind w:firstLine="480" w:firstLineChars="200"/>
        <w:rPr>
          <w:sz w:val="24"/>
        </w:rPr>
      </w:pPr>
    </w:p>
    <w:p>
      <w:pPr>
        <w:pStyle w:val="4"/>
        <w:adjustRightInd w:val="0"/>
        <w:snapToGrid w:val="0"/>
        <w:spacing w:before="0" w:after="0" w:line="500" w:lineRule="atLeast"/>
        <w:rPr>
          <w:rFonts w:ascii="黑体" w:hAnsi="黑体" w:eastAsia="黑体"/>
          <w:b w:val="0"/>
          <w:sz w:val="24"/>
          <w:szCs w:val="24"/>
        </w:rPr>
      </w:pPr>
      <w:bookmarkStart w:id="210" w:name="_Toc118821457"/>
      <w:bookmarkStart w:id="211" w:name="_Toc1411"/>
      <w:r>
        <w:rPr>
          <w:rFonts w:ascii="Times New Roman" w:hAnsi="Times New Roman"/>
          <w:sz w:val="24"/>
          <w:szCs w:val="24"/>
        </w:rPr>
        <w:t>1.10</w:t>
      </w:r>
      <w:r>
        <w:rPr>
          <w:rFonts w:hint="eastAsia" w:ascii="Times New Roman" w:hAnsi="Times New Roman"/>
          <w:sz w:val="24"/>
          <w:szCs w:val="24"/>
        </w:rPr>
        <w:t xml:space="preserve">  </w:t>
      </w:r>
      <w:r>
        <w:rPr>
          <w:rFonts w:ascii="黑体" w:hAnsi="黑体" w:eastAsia="黑体"/>
          <w:b w:val="0"/>
          <w:sz w:val="24"/>
          <w:szCs w:val="24"/>
        </w:rPr>
        <w:t>工程质量的检查和检验</w:t>
      </w:r>
      <w:bookmarkEnd w:id="210"/>
      <w:bookmarkEnd w:id="211"/>
    </w:p>
    <w:p>
      <w:pPr>
        <w:pStyle w:val="5"/>
        <w:snapToGrid w:val="0"/>
        <w:spacing w:before="0" w:after="0" w:line="500" w:lineRule="atLeast"/>
        <w:jc w:val="both"/>
        <w:rPr>
          <w:szCs w:val="24"/>
        </w:rPr>
      </w:pPr>
      <w:bookmarkStart w:id="212" w:name="_Toc118821458"/>
      <w:bookmarkStart w:id="213" w:name="_Toc240878276"/>
      <w:bookmarkStart w:id="214" w:name="_Toc521577764"/>
      <w:bookmarkStart w:id="215" w:name="_Toc30391"/>
      <w:bookmarkStart w:id="216" w:name="_Toc324239501"/>
      <w:bookmarkStart w:id="217" w:name="_Toc246214077"/>
      <w:r>
        <w:rPr>
          <w:szCs w:val="24"/>
        </w:rPr>
        <w:t>1.10.1  承包人的质量自检</w:t>
      </w:r>
      <w:bookmarkEnd w:id="212"/>
      <w:bookmarkEnd w:id="213"/>
      <w:bookmarkEnd w:id="214"/>
      <w:bookmarkEnd w:id="215"/>
      <w:bookmarkEnd w:id="216"/>
      <w:bookmarkEnd w:id="217"/>
    </w:p>
    <w:p>
      <w:pPr>
        <w:spacing w:line="500" w:lineRule="atLeast"/>
        <w:ind w:firstLine="480" w:firstLineChars="200"/>
        <w:rPr>
          <w:sz w:val="24"/>
        </w:rPr>
      </w:pPr>
      <w:r>
        <w:rPr>
          <w:sz w:val="24"/>
        </w:rPr>
        <w:t>(1)  承包人应按本技术条款的规定，建立完善质量管理体制，严格履行合同规定的质量检查职责。承包人应赋予质检人员对工程使用的材料和工程的所有部位及其施工工艺过程进行全面质量检查和随机抽样检验的权力。当发现工程质量不合格时，承包人质检人员应有责任及时纠正。</w:t>
      </w:r>
    </w:p>
    <w:p>
      <w:pPr>
        <w:spacing w:line="500" w:lineRule="atLeast"/>
        <w:ind w:firstLine="480" w:firstLineChars="200"/>
        <w:rPr>
          <w:sz w:val="24"/>
        </w:rPr>
      </w:pPr>
      <w:r>
        <w:rPr>
          <w:sz w:val="24"/>
        </w:rPr>
        <w:t>(2)  承包人应按本技术条款的规定，详细做好质量检查记录，编写质量检查报表，承包人应定期向监理人提交质量自检报告。</w:t>
      </w:r>
    </w:p>
    <w:p>
      <w:pPr>
        <w:spacing w:line="500" w:lineRule="atLeast"/>
        <w:ind w:firstLine="480" w:firstLineChars="200"/>
        <w:rPr>
          <w:sz w:val="24"/>
        </w:rPr>
      </w:pPr>
    </w:p>
    <w:p>
      <w:pPr>
        <w:pStyle w:val="5"/>
        <w:snapToGrid w:val="0"/>
        <w:spacing w:before="0" w:after="0" w:line="500" w:lineRule="atLeast"/>
        <w:jc w:val="both"/>
        <w:rPr>
          <w:szCs w:val="24"/>
        </w:rPr>
      </w:pPr>
      <w:bookmarkStart w:id="218" w:name="_Toc324239502"/>
      <w:bookmarkStart w:id="219" w:name="_Toc240878277"/>
      <w:bookmarkStart w:id="220" w:name="_Toc22785"/>
      <w:bookmarkStart w:id="221" w:name="_Toc246214078"/>
      <w:bookmarkStart w:id="222" w:name="_Toc118821459"/>
      <w:bookmarkStart w:id="223" w:name="_Toc521577765"/>
      <w:r>
        <w:rPr>
          <w:szCs w:val="24"/>
        </w:rPr>
        <w:t>1.10.2  监理人的质量检查</w:t>
      </w:r>
      <w:bookmarkEnd w:id="218"/>
      <w:bookmarkEnd w:id="219"/>
      <w:bookmarkEnd w:id="220"/>
      <w:bookmarkEnd w:id="221"/>
      <w:bookmarkEnd w:id="222"/>
      <w:bookmarkEnd w:id="223"/>
    </w:p>
    <w:p>
      <w:pPr>
        <w:spacing w:line="500" w:lineRule="atLeast"/>
        <w:ind w:firstLine="480" w:firstLineChars="200"/>
        <w:rPr>
          <w:sz w:val="24"/>
        </w:rPr>
      </w:pPr>
      <w:bookmarkStart w:id="224" w:name="_Toc240878278"/>
      <w:bookmarkStart w:id="225" w:name="_Toc483070241"/>
      <w:bookmarkStart w:id="226" w:name="_Toc246214079"/>
      <w:bookmarkStart w:id="227" w:name="_Toc476234294"/>
      <w:r>
        <w:rPr>
          <w:sz w:val="24"/>
        </w:rPr>
        <w:t>(1)  监理人有权按本技术条款的规定</w:t>
      </w:r>
      <w:r>
        <w:rPr>
          <w:rFonts w:hint="eastAsia"/>
          <w:sz w:val="24"/>
        </w:rPr>
        <w:t>，</w:t>
      </w:r>
      <w:r>
        <w:rPr>
          <w:sz w:val="24"/>
        </w:rPr>
        <w:t>对工程的所有部位及其任何一项工艺、材料和工程设备进行检查和检验。</w:t>
      </w:r>
    </w:p>
    <w:p>
      <w:pPr>
        <w:spacing w:line="500" w:lineRule="atLeast"/>
        <w:ind w:firstLine="480" w:firstLineChars="200"/>
        <w:rPr>
          <w:sz w:val="24"/>
        </w:rPr>
      </w:pPr>
      <w:r>
        <w:rPr>
          <w:sz w:val="24"/>
        </w:rPr>
        <w:t>(2)  监理人检验工程材料的性能指标和检查工程质量时，有权要求承包人按合同规定的数量，提供试验用的材料样品和在现场钻取试件，承包人还应按监理人指示为质量检查进行需补充的试验检验工作。检查和检验的时间、地点和费用，应按本技术条款的规定办理。</w:t>
      </w:r>
    </w:p>
    <w:p>
      <w:pPr>
        <w:spacing w:line="500" w:lineRule="atLeast"/>
        <w:ind w:firstLine="480" w:firstLineChars="200"/>
        <w:rPr>
          <w:sz w:val="24"/>
        </w:rPr>
      </w:pPr>
      <w:r>
        <w:rPr>
          <w:sz w:val="24"/>
        </w:rPr>
        <w:t>(3)  监理人为检查工程设备质量需要检测设备性能，当监理人提出要求时，承包人应予提供测试设备，并协助监理人进行测试工作。</w:t>
      </w:r>
    </w:p>
    <w:p>
      <w:pPr>
        <w:spacing w:line="500" w:lineRule="atLeast"/>
        <w:ind w:firstLine="480" w:firstLineChars="200"/>
        <w:rPr>
          <w:sz w:val="24"/>
        </w:rPr>
      </w:pPr>
      <w:r>
        <w:rPr>
          <w:sz w:val="24"/>
        </w:rPr>
        <w:t>(4)  监理人为检查检验工程和工程设备质量的需要，可要求承包人提供材料质量证明书和设备出厂合格证、材料试验和设备检测成果、施工和安装记录、质量自检报表等作为工程和工程设备验收的依据。</w:t>
      </w:r>
    </w:p>
    <w:p>
      <w:pPr>
        <w:spacing w:line="500" w:lineRule="atLeast"/>
        <w:ind w:firstLine="480" w:firstLineChars="200"/>
        <w:rPr>
          <w:sz w:val="24"/>
        </w:rPr>
      </w:pPr>
    </w:p>
    <w:p>
      <w:pPr>
        <w:pStyle w:val="4"/>
        <w:adjustRightInd w:val="0"/>
        <w:snapToGrid w:val="0"/>
        <w:spacing w:before="0" w:after="0" w:line="500" w:lineRule="atLeast"/>
        <w:rPr>
          <w:rFonts w:ascii="黑体" w:hAnsi="黑体" w:eastAsia="黑体"/>
          <w:b w:val="0"/>
          <w:sz w:val="24"/>
          <w:szCs w:val="24"/>
        </w:rPr>
      </w:pPr>
      <w:bookmarkStart w:id="228" w:name="_Toc11040"/>
      <w:bookmarkStart w:id="229" w:name="_Toc118821460"/>
      <w:r>
        <w:rPr>
          <w:rFonts w:ascii="Times New Roman" w:hAnsi="Times New Roman"/>
          <w:sz w:val="24"/>
          <w:szCs w:val="24"/>
        </w:rPr>
        <w:t xml:space="preserve">1.11 </w:t>
      </w:r>
      <w:r>
        <w:rPr>
          <w:rFonts w:ascii="黑体" w:hAnsi="黑体" w:eastAsia="黑体"/>
          <w:b w:val="0"/>
          <w:sz w:val="24"/>
          <w:szCs w:val="24"/>
        </w:rPr>
        <w:t xml:space="preserve"> 施工安全保护</w:t>
      </w:r>
      <w:bookmarkEnd w:id="224"/>
      <w:r>
        <w:rPr>
          <w:rFonts w:ascii="黑体" w:hAnsi="黑体" w:eastAsia="黑体"/>
          <w:b w:val="0"/>
          <w:sz w:val="24"/>
          <w:szCs w:val="24"/>
        </w:rPr>
        <w:t>与卫生</w:t>
      </w:r>
      <w:bookmarkEnd w:id="225"/>
      <w:bookmarkEnd w:id="226"/>
      <w:bookmarkEnd w:id="227"/>
      <w:bookmarkEnd w:id="228"/>
      <w:bookmarkEnd w:id="229"/>
    </w:p>
    <w:p>
      <w:pPr>
        <w:pStyle w:val="5"/>
        <w:snapToGrid w:val="0"/>
        <w:spacing w:before="0" w:after="0" w:line="500" w:lineRule="atLeast"/>
        <w:jc w:val="both"/>
        <w:rPr>
          <w:szCs w:val="24"/>
        </w:rPr>
      </w:pPr>
      <w:bookmarkStart w:id="230" w:name="_Toc118821461"/>
      <w:bookmarkStart w:id="231" w:name="_Toc240878279"/>
      <w:bookmarkStart w:id="232" w:name="_Toc324239504"/>
      <w:bookmarkStart w:id="233" w:name="_Toc521577767"/>
      <w:bookmarkStart w:id="234" w:name="_Toc246214080"/>
      <w:bookmarkStart w:id="235" w:name="_Toc14784"/>
      <w:r>
        <w:rPr>
          <w:szCs w:val="24"/>
        </w:rPr>
        <w:t>1.11.1  承包人的安全保护责任</w:t>
      </w:r>
      <w:bookmarkEnd w:id="230"/>
      <w:bookmarkEnd w:id="231"/>
      <w:bookmarkEnd w:id="232"/>
      <w:bookmarkEnd w:id="233"/>
      <w:bookmarkEnd w:id="234"/>
      <w:bookmarkEnd w:id="235"/>
    </w:p>
    <w:p>
      <w:pPr>
        <w:spacing w:line="500" w:lineRule="atLeast"/>
        <w:ind w:firstLine="480" w:firstLineChars="200"/>
        <w:rPr>
          <w:sz w:val="24"/>
        </w:rPr>
      </w:pPr>
      <w:r>
        <w:rPr>
          <w:sz w:val="24"/>
        </w:rPr>
        <w:t>(1)  承包人必须履行其安全保护职责。承包人应在工程开工后14天内编制一份工程施工安全措施文件报送监理人审批，其内容应包括安全机构的设置、专职人员的配备以及防火、防毒、防噪声、救护、警报和治安等的安全措施。</w:t>
      </w:r>
    </w:p>
    <w:p>
      <w:pPr>
        <w:spacing w:line="500" w:lineRule="atLeast"/>
        <w:ind w:firstLine="480" w:firstLineChars="200"/>
        <w:rPr>
          <w:sz w:val="24"/>
        </w:rPr>
      </w:pPr>
      <w:r>
        <w:rPr>
          <w:sz w:val="24"/>
        </w:rPr>
        <w:t>(2)  承包人应加强对职工进行施工安全教育，应按本款第1.11.9条的规定编印安全保护手册发给全体职工。工人上岗前应进行安全操作的考试和考核。合格者才准上岗。</w:t>
      </w:r>
    </w:p>
    <w:p>
      <w:pPr>
        <w:spacing w:line="500" w:lineRule="atLeast"/>
        <w:ind w:firstLine="480" w:firstLineChars="200"/>
        <w:rPr>
          <w:sz w:val="24"/>
        </w:rPr>
      </w:pPr>
      <w:r>
        <w:rPr>
          <w:sz w:val="24"/>
        </w:rPr>
        <w:t>(3)  承包人必须遵守国家颁布的有关安全规程。若承包人责任区内发生重大安全事故时，承包人应立即通报发包人，并在事故发生后24h内向发包人提交事故情况的书面报告。</w:t>
      </w:r>
    </w:p>
    <w:p>
      <w:pPr>
        <w:spacing w:line="500" w:lineRule="atLeast"/>
        <w:ind w:firstLine="480" w:firstLineChars="200"/>
        <w:rPr>
          <w:sz w:val="24"/>
        </w:rPr>
      </w:pPr>
      <w:r>
        <w:rPr>
          <w:sz w:val="24"/>
        </w:rPr>
        <w:t>(4)  承包人应加强对危险作业的安全检查，建立专门检查机构，配备专职的安检人员。</w:t>
      </w:r>
    </w:p>
    <w:p>
      <w:pPr>
        <w:spacing w:line="500" w:lineRule="atLeast"/>
        <w:ind w:firstLine="480" w:firstLineChars="200"/>
        <w:rPr>
          <w:sz w:val="24"/>
        </w:rPr>
      </w:pPr>
    </w:p>
    <w:p>
      <w:pPr>
        <w:pStyle w:val="5"/>
        <w:snapToGrid w:val="0"/>
        <w:spacing w:before="0" w:after="0" w:line="500" w:lineRule="atLeast"/>
        <w:jc w:val="both"/>
        <w:rPr>
          <w:szCs w:val="24"/>
        </w:rPr>
      </w:pPr>
      <w:bookmarkStart w:id="236" w:name="_Toc324239505"/>
      <w:bookmarkStart w:id="237" w:name="_Toc118821462"/>
      <w:bookmarkStart w:id="238" w:name="_Toc246214081"/>
      <w:bookmarkStart w:id="239" w:name="_Toc521577768"/>
      <w:bookmarkStart w:id="240" w:name="_Toc28439"/>
      <w:bookmarkStart w:id="241" w:name="_Toc240878280"/>
      <w:r>
        <w:rPr>
          <w:szCs w:val="24"/>
        </w:rPr>
        <w:t>1.11.2  劳动保护</w:t>
      </w:r>
      <w:bookmarkEnd w:id="236"/>
      <w:bookmarkEnd w:id="237"/>
      <w:bookmarkEnd w:id="238"/>
      <w:bookmarkEnd w:id="239"/>
      <w:bookmarkEnd w:id="240"/>
      <w:bookmarkEnd w:id="241"/>
    </w:p>
    <w:p>
      <w:pPr>
        <w:spacing w:line="500" w:lineRule="atLeast"/>
        <w:ind w:firstLine="480" w:firstLineChars="200"/>
        <w:rPr>
          <w:sz w:val="24"/>
        </w:rPr>
      </w:pPr>
      <w:r>
        <w:rPr>
          <w:sz w:val="24"/>
        </w:rPr>
        <w:t>承包人应按照国家劳动保护法的规定，定期发给在现场施工的工作人员必需的劳动保护用品：如安全帽、水鞋、雨衣、手套、手灯、防护面具和安全带等。承包人还应按照有关的劳动保护法的规定发给特殊工种作业人员的劳动保护津贴和营养补助。</w:t>
      </w:r>
    </w:p>
    <w:p>
      <w:pPr>
        <w:spacing w:line="500" w:lineRule="atLeast"/>
        <w:ind w:firstLine="480" w:firstLineChars="200"/>
        <w:rPr>
          <w:sz w:val="24"/>
        </w:rPr>
      </w:pPr>
    </w:p>
    <w:p>
      <w:pPr>
        <w:pStyle w:val="5"/>
        <w:snapToGrid w:val="0"/>
        <w:spacing w:before="0" w:after="0" w:line="500" w:lineRule="atLeast"/>
        <w:jc w:val="both"/>
        <w:rPr>
          <w:szCs w:val="24"/>
        </w:rPr>
      </w:pPr>
      <w:bookmarkStart w:id="242" w:name="_Toc246214082"/>
      <w:bookmarkStart w:id="243" w:name="_Toc118821463"/>
      <w:bookmarkStart w:id="244" w:name="_Toc6881"/>
      <w:bookmarkStart w:id="245" w:name="_Toc521577769"/>
      <w:bookmarkStart w:id="246" w:name="_Toc240878281"/>
      <w:bookmarkStart w:id="247" w:name="_Toc324239506"/>
      <w:r>
        <w:rPr>
          <w:szCs w:val="24"/>
        </w:rPr>
        <w:t>1.11.3  照明安全</w:t>
      </w:r>
      <w:bookmarkEnd w:id="242"/>
      <w:bookmarkEnd w:id="243"/>
      <w:bookmarkEnd w:id="244"/>
      <w:bookmarkEnd w:id="245"/>
      <w:bookmarkEnd w:id="246"/>
      <w:bookmarkEnd w:id="247"/>
    </w:p>
    <w:p>
      <w:pPr>
        <w:spacing w:line="500" w:lineRule="atLeast"/>
        <w:ind w:firstLine="480" w:firstLineChars="200"/>
        <w:rPr>
          <w:sz w:val="24"/>
        </w:rPr>
      </w:pPr>
      <w:r>
        <w:rPr>
          <w:sz w:val="24"/>
        </w:rPr>
        <w:t>(1)  承包人应在施工作业区、施工道路、临时设施、办公区和生活区设置足够的照明。</w:t>
      </w:r>
    </w:p>
    <w:p>
      <w:pPr>
        <w:spacing w:line="500" w:lineRule="atLeast"/>
        <w:ind w:firstLine="480" w:firstLineChars="200"/>
        <w:rPr>
          <w:sz w:val="24"/>
        </w:rPr>
      </w:pPr>
      <w:r>
        <w:rPr>
          <w:sz w:val="24"/>
        </w:rPr>
        <w:t>(2)  在不便于使用电器照明的工作面应采用特殊照明设施。地下工程照明用电应遵守</w:t>
      </w:r>
      <w:r>
        <w:fldChar w:fldCharType="begin"/>
      </w:r>
      <w:r>
        <w:instrText xml:space="preserve"> HYPERLINK "http://www.baidu.com/link?url=vQvVMreDDnmjpou4Ww9QVdwwfLuUkcD54Zn63pfB7knEjIJbBx616bBBNem00NEagZqA_AvWFmiwTNNIYzFDMw6ke8ULoBl2o2JMG7ovOmC" \t "_blank" </w:instrText>
      </w:r>
      <w:r>
        <w:fldChar w:fldCharType="separate"/>
      </w:r>
      <w:r>
        <w:rPr>
          <w:sz w:val="24"/>
        </w:rPr>
        <w:t>《水工建筑物地下开挖工程施工规范》(SL378-2007)</w:t>
      </w:r>
      <w:r>
        <w:rPr>
          <w:sz w:val="24"/>
        </w:rPr>
        <w:fldChar w:fldCharType="end"/>
      </w:r>
      <w:r>
        <w:rPr>
          <w:sz w:val="24"/>
        </w:rPr>
        <w:t>在潮湿和易触及带电体场所的照明供电电压的相关要求。</w:t>
      </w:r>
    </w:p>
    <w:p>
      <w:pPr>
        <w:spacing w:line="500" w:lineRule="atLeast"/>
        <w:ind w:firstLine="480" w:firstLineChars="200"/>
        <w:rPr>
          <w:sz w:val="24"/>
        </w:rPr>
      </w:pPr>
    </w:p>
    <w:p>
      <w:pPr>
        <w:pStyle w:val="5"/>
        <w:snapToGrid w:val="0"/>
        <w:spacing w:before="0" w:after="0" w:line="500" w:lineRule="atLeast"/>
        <w:jc w:val="both"/>
        <w:rPr>
          <w:szCs w:val="24"/>
        </w:rPr>
      </w:pPr>
      <w:bookmarkStart w:id="248" w:name="_Toc246214083"/>
      <w:bookmarkStart w:id="249" w:name="_Toc118821464"/>
      <w:bookmarkStart w:id="250" w:name="_Toc324239507"/>
      <w:bookmarkStart w:id="251" w:name="_Toc521577770"/>
      <w:bookmarkStart w:id="252" w:name="_Toc9665"/>
      <w:bookmarkStart w:id="253" w:name="_Toc240878282"/>
      <w:r>
        <w:rPr>
          <w:szCs w:val="24"/>
        </w:rPr>
        <w:t>1.11.4  接地及避雷装置</w:t>
      </w:r>
      <w:bookmarkEnd w:id="248"/>
      <w:bookmarkEnd w:id="249"/>
      <w:bookmarkEnd w:id="250"/>
      <w:bookmarkEnd w:id="251"/>
      <w:bookmarkEnd w:id="252"/>
      <w:bookmarkEnd w:id="253"/>
    </w:p>
    <w:p>
      <w:pPr>
        <w:spacing w:line="500" w:lineRule="atLeast"/>
        <w:ind w:firstLine="480" w:firstLineChars="200"/>
        <w:rPr>
          <w:sz w:val="24"/>
        </w:rPr>
      </w:pPr>
      <w:r>
        <w:rPr>
          <w:sz w:val="24"/>
        </w:rPr>
        <w:t>凡可能漏电伤人或易受雷击的电器及建筑物均应设置接地或避雷装置。承包人应负责避雷装置的采购、安装、管理和维修，并建立定期检查制度。</w:t>
      </w:r>
    </w:p>
    <w:p>
      <w:pPr>
        <w:spacing w:line="500" w:lineRule="atLeast"/>
        <w:ind w:firstLine="480" w:firstLineChars="200"/>
        <w:rPr>
          <w:sz w:val="24"/>
        </w:rPr>
      </w:pPr>
      <w:bookmarkStart w:id="254" w:name="_Toc246214084"/>
      <w:bookmarkStart w:id="255" w:name="_Toc521577771"/>
      <w:bookmarkStart w:id="256" w:name="_Toc324239508"/>
      <w:bookmarkStart w:id="257" w:name="_Toc240878283"/>
    </w:p>
    <w:p>
      <w:pPr>
        <w:pStyle w:val="5"/>
        <w:snapToGrid w:val="0"/>
        <w:spacing w:before="0" w:after="0" w:line="500" w:lineRule="atLeast"/>
        <w:jc w:val="both"/>
        <w:rPr>
          <w:szCs w:val="24"/>
        </w:rPr>
      </w:pPr>
      <w:bookmarkStart w:id="258" w:name="_Toc17752"/>
      <w:bookmarkStart w:id="259" w:name="_Toc118821465"/>
      <w:r>
        <w:rPr>
          <w:szCs w:val="24"/>
        </w:rPr>
        <w:t>1.11.5  有害气体的控制</w:t>
      </w:r>
      <w:bookmarkEnd w:id="254"/>
      <w:bookmarkEnd w:id="255"/>
      <w:bookmarkEnd w:id="256"/>
      <w:bookmarkEnd w:id="257"/>
      <w:bookmarkEnd w:id="258"/>
      <w:bookmarkEnd w:id="259"/>
    </w:p>
    <w:p>
      <w:pPr>
        <w:spacing w:line="500" w:lineRule="atLeast"/>
        <w:ind w:firstLine="480" w:firstLineChars="200"/>
        <w:rPr>
          <w:sz w:val="24"/>
        </w:rPr>
      </w:pPr>
      <w:r>
        <w:rPr>
          <w:sz w:val="24"/>
        </w:rPr>
        <w:t>在地下工程施工中，承包人应配备对有害气体的监测和报警装置以及工人使用的防护面具。一旦发现有毒气体，承包人应立即停止施工和疏散人员，并及时报告监理人。承包人应在经过慎重处理，确认不存在危险，并取得监理人同意后，方可复工。</w:t>
      </w:r>
      <w:bookmarkStart w:id="260" w:name="_Toc324239509"/>
      <w:bookmarkStart w:id="261" w:name="_Toc246214085"/>
      <w:bookmarkStart w:id="262" w:name="_Toc240878284"/>
    </w:p>
    <w:p>
      <w:pPr>
        <w:spacing w:line="500" w:lineRule="atLeast"/>
        <w:ind w:firstLine="480" w:firstLineChars="200"/>
        <w:rPr>
          <w:sz w:val="24"/>
        </w:rPr>
      </w:pPr>
    </w:p>
    <w:bookmarkEnd w:id="260"/>
    <w:bookmarkEnd w:id="261"/>
    <w:bookmarkEnd w:id="262"/>
    <w:p>
      <w:pPr>
        <w:pStyle w:val="5"/>
        <w:snapToGrid w:val="0"/>
        <w:spacing w:before="0" w:after="0" w:line="500" w:lineRule="atLeast"/>
        <w:jc w:val="both"/>
        <w:rPr>
          <w:szCs w:val="24"/>
        </w:rPr>
      </w:pPr>
      <w:bookmarkStart w:id="263" w:name="_Toc246214087"/>
      <w:bookmarkStart w:id="264" w:name="_Toc9504"/>
      <w:bookmarkStart w:id="265" w:name="_Toc324239511"/>
      <w:bookmarkStart w:id="266" w:name="_Toc240878286"/>
      <w:bookmarkStart w:id="267" w:name="_Toc521577772"/>
      <w:bookmarkStart w:id="268" w:name="_Toc118821466"/>
      <w:r>
        <w:rPr>
          <w:szCs w:val="24"/>
        </w:rPr>
        <w:t>1.11.6  消防</w:t>
      </w:r>
      <w:bookmarkEnd w:id="263"/>
      <w:bookmarkEnd w:id="264"/>
      <w:bookmarkEnd w:id="265"/>
      <w:bookmarkEnd w:id="266"/>
      <w:bookmarkEnd w:id="267"/>
      <w:bookmarkEnd w:id="268"/>
    </w:p>
    <w:p>
      <w:pPr>
        <w:spacing w:line="500" w:lineRule="atLeast"/>
        <w:ind w:firstLine="480" w:firstLineChars="200"/>
        <w:rPr>
          <w:sz w:val="24"/>
        </w:rPr>
      </w:pPr>
      <w:r>
        <w:rPr>
          <w:sz w:val="24"/>
        </w:rPr>
        <w:t>承包人还应对其辖区内发生的火灾及其造成的人员伤亡和财产损失负责。</w:t>
      </w:r>
      <w:bookmarkStart w:id="269" w:name="_Toc240878287"/>
      <w:bookmarkStart w:id="270" w:name="_Toc324239512"/>
      <w:bookmarkStart w:id="271" w:name="_Toc246214088"/>
    </w:p>
    <w:p>
      <w:pPr>
        <w:spacing w:line="500" w:lineRule="atLeast"/>
        <w:ind w:firstLine="480" w:firstLineChars="200"/>
        <w:rPr>
          <w:sz w:val="24"/>
        </w:rPr>
      </w:pPr>
    </w:p>
    <w:p>
      <w:pPr>
        <w:pStyle w:val="5"/>
        <w:snapToGrid w:val="0"/>
        <w:spacing w:before="0" w:after="0" w:line="500" w:lineRule="atLeast"/>
        <w:jc w:val="both"/>
        <w:rPr>
          <w:szCs w:val="24"/>
        </w:rPr>
      </w:pPr>
      <w:bookmarkStart w:id="272" w:name="_Toc118821467"/>
      <w:bookmarkStart w:id="273" w:name="_Toc521577773"/>
      <w:bookmarkStart w:id="274" w:name="_Toc3214"/>
      <w:r>
        <w:rPr>
          <w:szCs w:val="24"/>
        </w:rPr>
        <w:t>1.1</w:t>
      </w:r>
      <w:r>
        <w:rPr>
          <w:rFonts w:hint="eastAsia"/>
          <w:szCs w:val="24"/>
        </w:rPr>
        <w:t>1</w:t>
      </w:r>
      <w:r>
        <w:rPr>
          <w:szCs w:val="24"/>
        </w:rPr>
        <w:t>.7  洪水和气象灾害的防护</w:t>
      </w:r>
      <w:bookmarkEnd w:id="269"/>
      <w:bookmarkEnd w:id="270"/>
      <w:bookmarkEnd w:id="271"/>
      <w:bookmarkEnd w:id="272"/>
      <w:bookmarkEnd w:id="273"/>
      <w:bookmarkEnd w:id="274"/>
    </w:p>
    <w:p>
      <w:pPr>
        <w:spacing w:line="500" w:lineRule="atLeast"/>
        <w:ind w:firstLine="480" w:firstLineChars="200"/>
        <w:rPr>
          <w:sz w:val="24"/>
        </w:rPr>
      </w:pPr>
      <w:r>
        <w:rPr>
          <w:sz w:val="24"/>
        </w:rPr>
        <w:t>承包人应根据发包人提供的水情和气象预报，做好洪水和气象灾害的防护工作。一旦发现有可能危及工程和人身财产安全的洪水和气象灾害的预兆时，承包人应立即采取有效的防洪和防灾措施，以确保工程和人员、财产的安全。</w:t>
      </w:r>
      <w:bookmarkStart w:id="275" w:name="_Toc324239513"/>
      <w:bookmarkStart w:id="276" w:name="_Toc246214089"/>
      <w:bookmarkStart w:id="277" w:name="_Toc240878288"/>
    </w:p>
    <w:p>
      <w:pPr>
        <w:spacing w:line="500" w:lineRule="atLeast"/>
        <w:ind w:firstLine="480" w:firstLineChars="200"/>
        <w:rPr>
          <w:sz w:val="24"/>
        </w:rPr>
      </w:pPr>
    </w:p>
    <w:p>
      <w:pPr>
        <w:pStyle w:val="5"/>
        <w:snapToGrid w:val="0"/>
        <w:spacing w:before="0" w:after="0" w:line="500" w:lineRule="atLeast"/>
        <w:jc w:val="both"/>
        <w:rPr>
          <w:szCs w:val="24"/>
        </w:rPr>
      </w:pPr>
      <w:bookmarkStart w:id="278" w:name="_Toc118821468"/>
      <w:bookmarkStart w:id="279" w:name="_Toc521577774"/>
      <w:bookmarkStart w:id="280" w:name="_Toc15010"/>
      <w:r>
        <w:rPr>
          <w:szCs w:val="24"/>
        </w:rPr>
        <w:t>1.11.8  信号</w:t>
      </w:r>
      <w:bookmarkEnd w:id="275"/>
      <w:bookmarkEnd w:id="276"/>
      <w:bookmarkEnd w:id="277"/>
      <w:bookmarkEnd w:id="278"/>
      <w:bookmarkEnd w:id="279"/>
      <w:bookmarkEnd w:id="280"/>
    </w:p>
    <w:p>
      <w:pPr>
        <w:spacing w:line="500" w:lineRule="atLeast"/>
        <w:ind w:firstLine="480" w:firstLineChars="200"/>
        <w:rPr>
          <w:sz w:val="24"/>
        </w:rPr>
      </w:pPr>
      <w:r>
        <w:rPr>
          <w:sz w:val="24"/>
        </w:rPr>
        <w:t>(1)  承包人应在施工区内设置一切必须的信号装置，包括：</w:t>
      </w:r>
    </w:p>
    <w:p>
      <w:pPr>
        <w:spacing w:line="500" w:lineRule="atLeast"/>
        <w:ind w:firstLine="480" w:firstLineChars="200"/>
        <w:rPr>
          <w:sz w:val="24"/>
        </w:rPr>
      </w:pPr>
      <w:r>
        <w:rPr>
          <w:sz w:val="24"/>
        </w:rPr>
        <w:t>1)  标准道路信号；</w:t>
      </w:r>
    </w:p>
    <w:p>
      <w:pPr>
        <w:spacing w:line="500" w:lineRule="atLeast"/>
        <w:ind w:firstLine="480" w:firstLineChars="200"/>
        <w:rPr>
          <w:sz w:val="24"/>
        </w:rPr>
      </w:pPr>
      <w:r>
        <w:rPr>
          <w:sz w:val="24"/>
        </w:rPr>
        <w:t>2)  报警信号；</w:t>
      </w:r>
    </w:p>
    <w:p>
      <w:pPr>
        <w:spacing w:line="500" w:lineRule="atLeast"/>
        <w:ind w:firstLine="480" w:firstLineChars="200"/>
        <w:rPr>
          <w:sz w:val="24"/>
        </w:rPr>
      </w:pPr>
      <w:r>
        <w:rPr>
          <w:sz w:val="24"/>
        </w:rPr>
        <w:t>3)  危险信号；</w:t>
      </w:r>
    </w:p>
    <w:p>
      <w:pPr>
        <w:spacing w:line="500" w:lineRule="atLeast"/>
        <w:ind w:firstLine="480" w:firstLineChars="200"/>
        <w:rPr>
          <w:sz w:val="24"/>
        </w:rPr>
      </w:pPr>
      <w:r>
        <w:rPr>
          <w:sz w:val="24"/>
        </w:rPr>
        <w:t>4)  控制信号；</w:t>
      </w:r>
    </w:p>
    <w:p>
      <w:pPr>
        <w:spacing w:line="500" w:lineRule="atLeast"/>
        <w:ind w:firstLine="480" w:firstLineChars="200"/>
        <w:rPr>
          <w:sz w:val="24"/>
        </w:rPr>
      </w:pPr>
      <w:r>
        <w:rPr>
          <w:sz w:val="24"/>
        </w:rPr>
        <w:t>5)  安全信号；</w:t>
      </w:r>
    </w:p>
    <w:p>
      <w:pPr>
        <w:spacing w:line="500" w:lineRule="atLeast"/>
        <w:ind w:firstLine="480" w:firstLineChars="200"/>
        <w:rPr>
          <w:sz w:val="24"/>
        </w:rPr>
      </w:pPr>
      <w:r>
        <w:rPr>
          <w:sz w:val="24"/>
        </w:rPr>
        <w:t>6)  指示信号。</w:t>
      </w:r>
    </w:p>
    <w:p>
      <w:pPr>
        <w:spacing w:line="500" w:lineRule="atLeast"/>
        <w:ind w:firstLine="480" w:firstLineChars="200"/>
        <w:rPr>
          <w:sz w:val="24"/>
        </w:rPr>
      </w:pPr>
      <w:r>
        <w:rPr>
          <w:sz w:val="24"/>
        </w:rPr>
        <w:t>(2)  承包人应负责维修和保护施工区内自设或发包人设置的所有信号装置，并按监理人的指示，经常补充或更换失效的信号装置。</w:t>
      </w:r>
      <w:bookmarkStart w:id="281" w:name="_Toc497045996"/>
      <w:bookmarkStart w:id="282" w:name="_Toc209428036"/>
      <w:bookmarkStart w:id="283" w:name="_Toc324239514"/>
      <w:bookmarkStart w:id="284" w:name="_Toc246214090"/>
    </w:p>
    <w:p>
      <w:pPr>
        <w:spacing w:line="500" w:lineRule="atLeast"/>
        <w:ind w:firstLine="480" w:firstLineChars="200"/>
        <w:rPr>
          <w:sz w:val="24"/>
        </w:rPr>
      </w:pPr>
    </w:p>
    <w:p>
      <w:pPr>
        <w:pStyle w:val="5"/>
        <w:snapToGrid w:val="0"/>
        <w:spacing w:before="0" w:after="0" w:line="500" w:lineRule="atLeast"/>
        <w:jc w:val="both"/>
        <w:rPr>
          <w:szCs w:val="24"/>
        </w:rPr>
      </w:pPr>
      <w:bookmarkStart w:id="285" w:name="_Toc521577775"/>
      <w:bookmarkStart w:id="286" w:name="_Toc22848"/>
      <w:bookmarkStart w:id="287" w:name="_Toc118821469"/>
      <w:r>
        <w:rPr>
          <w:szCs w:val="24"/>
        </w:rPr>
        <w:t>1.11.9  安全防护手册</w:t>
      </w:r>
      <w:bookmarkEnd w:id="281"/>
      <w:bookmarkEnd w:id="282"/>
      <w:bookmarkEnd w:id="283"/>
      <w:bookmarkEnd w:id="284"/>
      <w:bookmarkEnd w:id="285"/>
      <w:bookmarkEnd w:id="286"/>
      <w:bookmarkEnd w:id="287"/>
    </w:p>
    <w:p>
      <w:pPr>
        <w:spacing w:line="500" w:lineRule="atLeast"/>
        <w:ind w:firstLine="480" w:firstLineChars="200"/>
        <w:rPr>
          <w:sz w:val="24"/>
        </w:rPr>
      </w:pPr>
      <w:r>
        <w:rPr>
          <w:sz w:val="24"/>
        </w:rPr>
        <w:t>承包人应编制适合本工程需要的安全防护手册，其内容应遵守国家颁布的各种安全规程。承包人应在收到开工通知后42天内将手册的复制清样提交监理人。安全防护手册的基本内容应包括(但不限于)：</w:t>
      </w:r>
    </w:p>
    <w:p>
      <w:pPr>
        <w:spacing w:line="500" w:lineRule="atLeast"/>
        <w:ind w:firstLine="480" w:firstLineChars="200"/>
        <w:rPr>
          <w:sz w:val="24"/>
        </w:rPr>
      </w:pPr>
      <w:r>
        <w:rPr>
          <w:sz w:val="24"/>
        </w:rPr>
        <w:t>(1)  防护衣、安全帽、防护鞋袜及防护用品的使用；</w:t>
      </w:r>
    </w:p>
    <w:p>
      <w:pPr>
        <w:spacing w:line="500" w:lineRule="atLeast"/>
        <w:ind w:firstLine="480" w:firstLineChars="200"/>
        <w:rPr>
          <w:sz w:val="24"/>
        </w:rPr>
      </w:pPr>
      <w:r>
        <w:rPr>
          <w:sz w:val="24"/>
        </w:rPr>
        <w:t>(2)  各种施工机械的使用；</w:t>
      </w:r>
    </w:p>
    <w:p>
      <w:pPr>
        <w:spacing w:line="500" w:lineRule="atLeast"/>
        <w:ind w:firstLine="480" w:firstLineChars="200"/>
        <w:rPr>
          <w:sz w:val="24"/>
        </w:rPr>
      </w:pPr>
      <w:r>
        <w:rPr>
          <w:sz w:val="24"/>
        </w:rPr>
        <w:t>(3)  汽车驾驶安全；</w:t>
      </w:r>
    </w:p>
    <w:p>
      <w:pPr>
        <w:spacing w:line="500" w:lineRule="atLeast"/>
        <w:ind w:firstLine="480" w:firstLineChars="200"/>
        <w:rPr>
          <w:sz w:val="24"/>
        </w:rPr>
      </w:pPr>
      <w:r>
        <w:rPr>
          <w:sz w:val="24"/>
        </w:rPr>
        <w:t>(4)  用电安全；</w:t>
      </w:r>
    </w:p>
    <w:p>
      <w:pPr>
        <w:spacing w:line="500" w:lineRule="atLeast"/>
        <w:ind w:firstLine="480" w:firstLineChars="200"/>
        <w:rPr>
          <w:sz w:val="24"/>
        </w:rPr>
      </w:pPr>
      <w:r>
        <w:rPr>
          <w:sz w:val="24"/>
        </w:rPr>
        <w:t>(5)  灌浆作业的安全；</w:t>
      </w:r>
    </w:p>
    <w:p>
      <w:pPr>
        <w:spacing w:line="500" w:lineRule="atLeast"/>
        <w:ind w:firstLine="480" w:firstLineChars="200"/>
        <w:rPr>
          <w:sz w:val="24"/>
        </w:rPr>
      </w:pPr>
      <w:r>
        <w:rPr>
          <w:sz w:val="24"/>
        </w:rPr>
        <w:t>(6)  模板、脚手架作业的安全；</w:t>
      </w:r>
    </w:p>
    <w:p>
      <w:pPr>
        <w:spacing w:line="500" w:lineRule="atLeast"/>
        <w:ind w:firstLine="480" w:firstLineChars="200"/>
        <w:rPr>
          <w:sz w:val="24"/>
        </w:rPr>
      </w:pPr>
      <w:r>
        <w:rPr>
          <w:sz w:val="24"/>
        </w:rPr>
        <w:t>(7)  混凝土浇筑作业的安全；</w:t>
      </w:r>
    </w:p>
    <w:p>
      <w:pPr>
        <w:spacing w:line="500" w:lineRule="atLeast"/>
        <w:ind w:firstLine="480" w:firstLineChars="200"/>
        <w:rPr>
          <w:sz w:val="24"/>
        </w:rPr>
      </w:pPr>
      <w:r>
        <w:rPr>
          <w:sz w:val="24"/>
        </w:rPr>
        <w:t>(8)  钢结构制造和安装作业的安全；</w:t>
      </w:r>
    </w:p>
    <w:p>
      <w:pPr>
        <w:spacing w:line="500" w:lineRule="atLeast"/>
        <w:ind w:firstLine="480" w:firstLineChars="200"/>
        <w:rPr>
          <w:sz w:val="24"/>
        </w:rPr>
      </w:pPr>
      <w:r>
        <w:rPr>
          <w:sz w:val="24"/>
        </w:rPr>
        <w:t>(9)  高空作业的安全；</w:t>
      </w:r>
    </w:p>
    <w:p>
      <w:pPr>
        <w:spacing w:line="500" w:lineRule="atLeast"/>
        <w:ind w:firstLine="480" w:firstLineChars="200"/>
        <w:rPr>
          <w:sz w:val="24"/>
        </w:rPr>
      </w:pPr>
      <w:r>
        <w:rPr>
          <w:sz w:val="24"/>
        </w:rPr>
        <w:t>(10)  焊接作业的安全和防护；</w:t>
      </w:r>
    </w:p>
    <w:p>
      <w:pPr>
        <w:spacing w:line="500" w:lineRule="atLeast"/>
        <w:ind w:firstLine="480" w:firstLineChars="200"/>
        <w:rPr>
          <w:sz w:val="24"/>
        </w:rPr>
      </w:pPr>
      <w:r>
        <w:rPr>
          <w:sz w:val="24"/>
        </w:rPr>
        <w:t>(11)  油漆作业的安全和防护；</w:t>
      </w:r>
    </w:p>
    <w:p>
      <w:pPr>
        <w:spacing w:line="500" w:lineRule="atLeast"/>
        <w:ind w:firstLine="480" w:firstLineChars="200"/>
        <w:rPr>
          <w:sz w:val="24"/>
        </w:rPr>
      </w:pPr>
      <w:r>
        <w:rPr>
          <w:sz w:val="24"/>
        </w:rPr>
        <w:t>(12)  意外事故和火灾的救护程序；</w:t>
      </w:r>
    </w:p>
    <w:p>
      <w:pPr>
        <w:spacing w:line="500" w:lineRule="atLeast"/>
        <w:ind w:firstLine="480" w:firstLineChars="200"/>
        <w:rPr>
          <w:sz w:val="24"/>
        </w:rPr>
      </w:pPr>
      <w:r>
        <w:rPr>
          <w:sz w:val="24"/>
        </w:rPr>
        <w:t>(13)  防洪和气象灾害措施；</w:t>
      </w:r>
    </w:p>
    <w:p>
      <w:pPr>
        <w:spacing w:line="500" w:lineRule="atLeast"/>
        <w:ind w:firstLine="480" w:firstLineChars="200"/>
        <w:rPr>
          <w:sz w:val="24"/>
        </w:rPr>
      </w:pPr>
      <w:r>
        <w:rPr>
          <w:sz w:val="24"/>
        </w:rPr>
        <w:t>(14)  信号和告警知识；</w:t>
      </w:r>
    </w:p>
    <w:p>
      <w:pPr>
        <w:spacing w:line="500" w:lineRule="atLeast"/>
        <w:ind w:firstLine="480" w:firstLineChars="200"/>
        <w:rPr>
          <w:sz w:val="24"/>
        </w:rPr>
      </w:pPr>
      <w:r>
        <w:rPr>
          <w:sz w:val="24"/>
        </w:rPr>
        <w:t>(15)  其它有关规定。</w:t>
      </w:r>
    </w:p>
    <w:p>
      <w:pPr>
        <w:spacing w:line="500" w:lineRule="atLeast"/>
        <w:ind w:firstLine="480" w:firstLineChars="200"/>
        <w:rPr>
          <w:sz w:val="24"/>
        </w:rPr>
      </w:pPr>
    </w:p>
    <w:p>
      <w:pPr>
        <w:pStyle w:val="4"/>
        <w:adjustRightInd w:val="0"/>
        <w:snapToGrid w:val="0"/>
        <w:spacing w:before="0" w:after="0" w:line="500" w:lineRule="atLeast"/>
        <w:rPr>
          <w:rFonts w:ascii="黑体" w:hAnsi="黑体" w:eastAsia="黑体"/>
          <w:b w:val="0"/>
          <w:sz w:val="24"/>
          <w:szCs w:val="24"/>
        </w:rPr>
      </w:pPr>
      <w:bookmarkStart w:id="288" w:name="_Toc16649"/>
      <w:bookmarkStart w:id="289" w:name="_Toc483070242"/>
      <w:bookmarkStart w:id="290" w:name="_Toc118821470"/>
      <w:r>
        <w:rPr>
          <w:rFonts w:ascii="Times New Roman" w:hAnsi="Times New Roman"/>
          <w:sz w:val="24"/>
          <w:szCs w:val="24"/>
        </w:rPr>
        <w:t xml:space="preserve">1.12  </w:t>
      </w:r>
      <w:r>
        <w:rPr>
          <w:rFonts w:ascii="黑体" w:hAnsi="黑体" w:eastAsia="黑体"/>
          <w:b w:val="0"/>
          <w:sz w:val="24"/>
          <w:szCs w:val="24"/>
        </w:rPr>
        <w:t>项目竣工</w:t>
      </w:r>
      <w:bookmarkEnd w:id="288"/>
      <w:bookmarkEnd w:id="289"/>
      <w:bookmarkEnd w:id="290"/>
    </w:p>
    <w:p>
      <w:pPr>
        <w:spacing w:line="500" w:lineRule="atLeast"/>
        <w:ind w:firstLine="480" w:firstLineChars="200"/>
        <w:rPr>
          <w:sz w:val="24"/>
        </w:rPr>
      </w:pPr>
      <w:r>
        <w:rPr>
          <w:sz w:val="24"/>
        </w:rPr>
        <w:t>(1)  分项或分部工程完成后，承包人应当按照监理人提出的完工验收要求，申报分项或分部工程完工验收。</w:t>
      </w:r>
    </w:p>
    <w:p>
      <w:pPr>
        <w:spacing w:line="500" w:lineRule="atLeast"/>
        <w:ind w:firstLine="480" w:firstLineChars="200"/>
        <w:rPr>
          <w:sz w:val="24"/>
        </w:rPr>
      </w:pPr>
      <w:r>
        <w:rPr>
          <w:sz w:val="24"/>
        </w:rPr>
        <w:t>(2)  安全监测设施在竣工验收之前，承包人应接受监理人对所有埋设安装就绪的监测仪器设备的测试鉴定。对于未达到监理人要求的仪器设备，承包人应及时修复，并向监理人申请再次鉴定，直至达到监理人的要求。因承包人的责任导致的不能修复和不能达到监理人要求的仪器设备的损失由承包人承担。</w:t>
      </w:r>
    </w:p>
    <w:p>
      <w:pPr>
        <w:spacing w:line="500" w:lineRule="atLeast"/>
        <w:ind w:firstLine="480" w:firstLineChars="200"/>
        <w:rPr>
          <w:sz w:val="24"/>
        </w:rPr>
      </w:pPr>
      <w:r>
        <w:rPr>
          <w:sz w:val="24"/>
        </w:rPr>
        <w:t>(3)  在安全监测工程移交时，承包人应同时向发包人移交根据监理人批准的施工详图、通知及仪器设备清单所采购、埋设、安装的仪器、设备和材料及其档案资料，包括仪器设备说明书及保修卡、埋设施工记录、全部监测数据的原始记录，并以光盘方式提供整理后的全部监测数据。</w:t>
      </w:r>
    </w:p>
    <w:p>
      <w:pPr>
        <w:spacing w:line="500" w:lineRule="atLeast"/>
        <w:ind w:firstLine="480" w:firstLineChars="200"/>
        <w:rPr>
          <w:sz w:val="24"/>
        </w:rPr>
      </w:pPr>
      <w:r>
        <w:rPr>
          <w:sz w:val="24"/>
        </w:rPr>
        <w:t>(4)  已经验收合格的工程，由监理人发给工程(部分或中间)验收合格证明。最终验收合格，由监理人发给最终验收合格证明。验收过程中发现的工程缺陷或质量问题，承包人应按照监理人指示自费修理。工程责任期内，无论工程项目验收合格与否，都不能免除承包人对整个工程项目应负的合同责任和义务。</w:t>
      </w:r>
    </w:p>
    <w:p>
      <w:pPr>
        <w:spacing w:line="500" w:lineRule="atLeast"/>
        <w:ind w:firstLine="480" w:firstLineChars="200"/>
        <w:rPr>
          <w:sz w:val="24"/>
        </w:rPr>
      </w:pPr>
      <w:r>
        <w:rPr>
          <w:sz w:val="24"/>
        </w:rPr>
        <w:t>(5)  承包人向监理人提供或移交的验收或竣工资料的费用均包括在承包工程的总价中，发包人不另行支付费用。</w:t>
      </w:r>
    </w:p>
    <w:p>
      <w:pPr>
        <w:spacing w:line="500" w:lineRule="atLeast"/>
        <w:ind w:firstLine="480" w:firstLineChars="200"/>
        <w:rPr>
          <w:sz w:val="24"/>
        </w:rPr>
      </w:pPr>
    </w:p>
    <w:p>
      <w:pPr>
        <w:pStyle w:val="4"/>
        <w:adjustRightInd w:val="0"/>
        <w:snapToGrid w:val="0"/>
        <w:spacing w:before="0" w:after="0" w:line="500" w:lineRule="atLeast"/>
        <w:rPr>
          <w:rFonts w:ascii="黑体" w:hAnsi="黑体" w:eastAsia="黑体"/>
          <w:b w:val="0"/>
          <w:sz w:val="24"/>
          <w:szCs w:val="24"/>
        </w:rPr>
      </w:pPr>
      <w:bookmarkStart w:id="291" w:name="_Toc118821471"/>
      <w:bookmarkStart w:id="292" w:name="_Toc17462"/>
      <w:r>
        <w:rPr>
          <w:rFonts w:ascii="Times New Roman" w:hAnsi="Times New Roman"/>
          <w:sz w:val="24"/>
          <w:szCs w:val="24"/>
        </w:rPr>
        <w:t xml:space="preserve">1.13  </w:t>
      </w:r>
      <w:r>
        <w:rPr>
          <w:rFonts w:ascii="黑体" w:hAnsi="黑体" w:eastAsia="黑体"/>
          <w:b w:val="0"/>
          <w:sz w:val="24"/>
          <w:szCs w:val="24"/>
        </w:rPr>
        <w:t>现场施工测量</w:t>
      </w:r>
      <w:bookmarkEnd w:id="101"/>
      <w:bookmarkEnd w:id="102"/>
      <w:bookmarkEnd w:id="103"/>
      <w:bookmarkEnd w:id="104"/>
      <w:bookmarkEnd w:id="291"/>
      <w:bookmarkEnd w:id="292"/>
    </w:p>
    <w:p>
      <w:pPr>
        <w:pStyle w:val="5"/>
        <w:snapToGrid w:val="0"/>
        <w:spacing w:before="0" w:after="0" w:line="500" w:lineRule="atLeast"/>
        <w:jc w:val="both"/>
        <w:rPr>
          <w:szCs w:val="24"/>
        </w:rPr>
      </w:pPr>
      <w:bookmarkStart w:id="293" w:name="_Toc232162540"/>
      <w:bookmarkStart w:id="294" w:name="_Toc118821472"/>
      <w:bookmarkStart w:id="295" w:name="_Toc521577778"/>
      <w:bookmarkStart w:id="296" w:name="_Toc497045998"/>
      <w:bookmarkStart w:id="297" w:name="_Toc15044"/>
      <w:r>
        <w:rPr>
          <w:szCs w:val="24"/>
        </w:rPr>
        <w:t>1.13.1  测量基准</w:t>
      </w:r>
      <w:bookmarkEnd w:id="293"/>
      <w:bookmarkEnd w:id="294"/>
      <w:bookmarkEnd w:id="295"/>
      <w:bookmarkEnd w:id="296"/>
      <w:bookmarkEnd w:id="297"/>
    </w:p>
    <w:p>
      <w:pPr>
        <w:spacing w:line="500" w:lineRule="atLeast"/>
        <w:ind w:firstLine="480" w:firstLineChars="200"/>
        <w:rPr>
          <w:sz w:val="24"/>
        </w:rPr>
      </w:pPr>
      <w:r>
        <w:rPr>
          <w:sz w:val="24"/>
        </w:rPr>
        <w:t>(1)  监理人应在发出开工通知前28天，向承包人提供测量基准点、基准线和水准点及其基本资料和数据。</w:t>
      </w:r>
    </w:p>
    <w:p>
      <w:pPr>
        <w:spacing w:line="500" w:lineRule="atLeast"/>
        <w:ind w:firstLine="480" w:firstLineChars="200"/>
        <w:rPr>
          <w:sz w:val="24"/>
        </w:rPr>
      </w:pPr>
      <w:r>
        <w:rPr>
          <w:sz w:val="24"/>
        </w:rPr>
        <w:t>(2)  承包人接收监理人提供的测量基准后，应与监理人共同校测其基准点(线)的测量精度，并复核其资料和数据的准确性。</w:t>
      </w:r>
    </w:p>
    <w:p>
      <w:pPr>
        <w:spacing w:line="500" w:lineRule="atLeast"/>
        <w:ind w:firstLine="480" w:firstLineChars="200"/>
        <w:rPr>
          <w:sz w:val="24"/>
        </w:rPr>
      </w:pPr>
    </w:p>
    <w:p>
      <w:pPr>
        <w:pStyle w:val="5"/>
        <w:snapToGrid w:val="0"/>
        <w:spacing w:before="0" w:after="0" w:line="500" w:lineRule="atLeast"/>
        <w:jc w:val="both"/>
        <w:rPr>
          <w:szCs w:val="24"/>
        </w:rPr>
      </w:pPr>
      <w:bookmarkStart w:id="298" w:name="_Toc232162541"/>
      <w:bookmarkStart w:id="299" w:name="_Toc521577779"/>
      <w:bookmarkStart w:id="300" w:name="_Toc1988"/>
      <w:bookmarkStart w:id="301" w:name="_Toc118821473"/>
      <w:bookmarkStart w:id="302" w:name="_Toc497045999"/>
      <w:r>
        <w:rPr>
          <w:szCs w:val="24"/>
        </w:rPr>
        <w:t>1.13.2  施工测量</w:t>
      </w:r>
      <w:bookmarkEnd w:id="298"/>
      <w:bookmarkEnd w:id="299"/>
      <w:bookmarkEnd w:id="300"/>
      <w:bookmarkEnd w:id="301"/>
      <w:bookmarkEnd w:id="302"/>
    </w:p>
    <w:p>
      <w:pPr>
        <w:spacing w:line="500" w:lineRule="atLeast"/>
        <w:ind w:firstLine="480" w:firstLineChars="200"/>
        <w:rPr>
          <w:sz w:val="24"/>
        </w:rPr>
      </w:pPr>
      <w:r>
        <w:rPr>
          <w:sz w:val="24"/>
        </w:rPr>
        <w:t>(1)  承包人应负责本工程施工所需的全部施工测量放线工作。</w:t>
      </w:r>
    </w:p>
    <w:p>
      <w:pPr>
        <w:spacing w:line="500" w:lineRule="atLeast"/>
        <w:ind w:firstLine="480" w:firstLineChars="200"/>
        <w:rPr>
          <w:sz w:val="24"/>
        </w:rPr>
      </w:pPr>
      <w:r>
        <w:rPr>
          <w:sz w:val="24"/>
        </w:rPr>
        <w:t>(2)  承包人应按本技术条款的规定，提交计量测量资料报送监理人审核。监理人可以自行进行检查放样测量，亦可要求承包人在监理人直接监督下进行复核对照测量。</w:t>
      </w:r>
    </w:p>
    <w:p>
      <w:pPr>
        <w:spacing w:line="500" w:lineRule="atLeast"/>
        <w:ind w:firstLine="480" w:firstLineChars="200"/>
        <w:rPr>
          <w:sz w:val="24"/>
        </w:rPr>
      </w:pPr>
      <w:r>
        <w:rPr>
          <w:sz w:val="24"/>
        </w:rPr>
        <w:t>若经双方协商同意，承包人可邀请监理人的测量人员联合进行计量测量，经双方核签的测量成果，可直接用于计量付款。</w:t>
      </w:r>
    </w:p>
    <w:p>
      <w:pPr>
        <w:spacing w:line="500" w:lineRule="atLeast"/>
        <w:ind w:firstLine="480" w:firstLineChars="200"/>
        <w:rPr>
          <w:sz w:val="24"/>
        </w:rPr>
      </w:pPr>
      <w:r>
        <w:rPr>
          <w:sz w:val="24"/>
        </w:rPr>
        <w:t>(3)  承包人应负责保护好测量基准点和水准点。</w:t>
      </w:r>
    </w:p>
    <w:p>
      <w:pPr>
        <w:spacing w:line="500" w:lineRule="atLeast"/>
        <w:ind w:firstLine="480" w:firstLineChars="200"/>
        <w:rPr>
          <w:sz w:val="24"/>
        </w:rPr>
      </w:pPr>
    </w:p>
    <w:p>
      <w:pPr>
        <w:pStyle w:val="4"/>
        <w:adjustRightInd w:val="0"/>
        <w:snapToGrid w:val="0"/>
        <w:spacing w:before="0" w:after="0" w:line="500" w:lineRule="atLeast"/>
        <w:rPr>
          <w:rFonts w:ascii="黑体" w:hAnsi="黑体" w:eastAsia="黑体"/>
          <w:b w:val="0"/>
          <w:sz w:val="24"/>
          <w:szCs w:val="24"/>
        </w:rPr>
      </w:pPr>
      <w:bookmarkStart w:id="303" w:name="_Toc462389658"/>
      <w:bookmarkStart w:id="304" w:name="_Toc15354"/>
      <w:bookmarkStart w:id="305" w:name="_Toc483070244"/>
      <w:bookmarkStart w:id="306" w:name="_Toc118821474"/>
      <w:bookmarkStart w:id="307" w:name="_Toc476234298"/>
      <w:bookmarkStart w:id="308" w:name="_Toc462389546"/>
      <w:bookmarkStart w:id="309" w:name="_Toc457575827"/>
      <w:r>
        <w:rPr>
          <w:rFonts w:ascii="Times New Roman" w:hAnsi="Times New Roman"/>
          <w:sz w:val="24"/>
          <w:szCs w:val="24"/>
        </w:rPr>
        <w:t xml:space="preserve">1.14  </w:t>
      </w:r>
      <w:r>
        <w:rPr>
          <w:rFonts w:ascii="黑体" w:hAnsi="黑体" w:eastAsia="黑体"/>
          <w:b w:val="0"/>
          <w:sz w:val="24"/>
          <w:szCs w:val="24"/>
        </w:rPr>
        <w:t>承包人和其他标段承包人之间协调</w:t>
      </w:r>
      <w:bookmarkEnd w:id="303"/>
      <w:bookmarkEnd w:id="304"/>
      <w:bookmarkEnd w:id="305"/>
      <w:bookmarkEnd w:id="306"/>
      <w:bookmarkEnd w:id="307"/>
      <w:bookmarkEnd w:id="308"/>
      <w:bookmarkEnd w:id="309"/>
    </w:p>
    <w:p>
      <w:pPr>
        <w:spacing w:line="500" w:lineRule="atLeast"/>
        <w:ind w:firstLine="480" w:firstLineChars="200"/>
        <w:rPr>
          <w:sz w:val="24"/>
        </w:rPr>
      </w:pPr>
      <w:bookmarkStart w:id="310" w:name="_Toc240878304"/>
      <w:bookmarkStart w:id="311" w:name="_Toc246214110"/>
      <w:bookmarkStart w:id="312" w:name="_Toc483070247"/>
      <w:bookmarkStart w:id="313" w:name="_Toc476234302"/>
      <w:bookmarkStart w:id="314" w:name="_Toc7317786"/>
      <w:bookmarkStart w:id="315" w:name="_Toc232162554"/>
      <w:r>
        <w:rPr>
          <w:sz w:val="24"/>
        </w:rPr>
        <w:t>安全监测仪器的安装埋设需要紧密结合土建主体单位施工进度的进行，与土建承</w:t>
      </w:r>
      <w:r>
        <w:rPr>
          <w:rFonts w:hint="eastAsia"/>
          <w:sz w:val="24"/>
        </w:rPr>
        <w:t>包</w:t>
      </w:r>
      <w:r>
        <w:rPr>
          <w:sz w:val="24"/>
        </w:rPr>
        <w:t>人</w:t>
      </w:r>
      <w:r>
        <w:rPr>
          <w:rFonts w:hint="eastAsia"/>
          <w:sz w:val="24"/>
        </w:rPr>
        <w:t>和</w:t>
      </w:r>
      <w:r>
        <w:rPr>
          <w:sz w:val="24"/>
        </w:rPr>
        <w:t>其</w:t>
      </w:r>
      <w:r>
        <w:rPr>
          <w:rFonts w:hint="eastAsia"/>
          <w:sz w:val="24"/>
        </w:rPr>
        <w:t>他</w:t>
      </w:r>
      <w:r>
        <w:rPr>
          <w:sz w:val="24"/>
        </w:rPr>
        <w:t>标段安全监测标承包人的密切配合对监测工作的顺利开展有着重要影响，主要体现在以下几点：</w:t>
      </w:r>
    </w:p>
    <w:p>
      <w:pPr>
        <w:spacing w:line="500" w:lineRule="atLeast"/>
        <w:ind w:firstLine="480" w:firstLineChars="200"/>
        <w:rPr>
          <w:sz w:val="24"/>
        </w:rPr>
      </w:pPr>
      <w:r>
        <w:rPr>
          <w:sz w:val="24"/>
        </w:rPr>
        <w:t>(1)  承包人应与土建承包人和监理</w:t>
      </w:r>
      <w:r>
        <w:rPr>
          <w:rFonts w:hint="eastAsia"/>
          <w:sz w:val="24"/>
        </w:rPr>
        <w:t>人</w:t>
      </w:r>
      <w:r>
        <w:rPr>
          <w:sz w:val="24"/>
        </w:rPr>
        <w:t>保持密切联系，及时获取土建单位的季、月、周施工进度计划，了解土建单位的施工顺序。应根据土建施工进度制定所承担项目的月、周施工进度计划。</w:t>
      </w:r>
    </w:p>
    <w:p>
      <w:pPr>
        <w:spacing w:line="500" w:lineRule="atLeast"/>
        <w:ind w:firstLine="480" w:firstLineChars="200"/>
        <w:rPr>
          <w:sz w:val="24"/>
        </w:rPr>
      </w:pPr>
      <w:r>
        <w:rPr>
          <w:sz w:val="24"/>
          <w:highlight w:val="none"/>
        </w:rPr>
        <w:t xml:space="preserve">(2)  </w:t>
      </w:r>
      <w:r>
        <w:rPr>
          <w:sz w:val="24"/>
        </w:rPr>
        <w:t>承包人应参加监理</w:t>
      </w:r>
      <w:r>
        <w:rPr>
          <w:rFonts w:hint="eastAsia"/>
          <w:sz w:val="24"/>
        </w:rPr>
        <w:t>人</w:t>
      </w:r>
      <w:r>
        <w:rPr>
          <w:sz w:val="24"/>
        </w:rPr>
        <w:t>组织的</w:t>
      </w:r>
      <w:r>
        <w:rPr>
          <w:rFonts w:hint="eastAsia"/>
          <w:sz w:val="24"/>
        </w:rPr>
        <w:t>季、月、</w:t>
      </w:r>
      <w:r>
        <w:rPr>
          <w:sz w:val="24"/>
        </w:rPr>
        <w:t>周协调会和技术交底会，在周协调会上汇报安全监测仪器埋设月、周进度计划，监测仪器的安装部位、安装方法及与其他与土建方需要协调的事情。通报监测成果，</w:t>
      </w:r>
      <w:r>
        <w:rPr>
          <w:rFonts w:hint="eastAsia"/>
          <w:sz w:val="24"/>
        </w:rPr>
        <w:t>如</w:t>
      </w:r>
      <w:r>
        <w:rPr>
          <w:sz w:val="24"/>
        </w:rPr>
        <w:t>变形、应力应变和接缝等变化异常的情况。</w:t>
      </w:r>
    </w:p>
    <w:p>
      <w:pPr>
        <w:spacing w:line="500" w:lineRule="atLeast"/>
        <w:ind w:firstLine="480" w:firstLineChars="200"/>
        <w:rPr>
          <w:sz w:val="24"/>
        </w:rPr>
      </w:pPr>
      <w:r>
        <w:rPr>
          <w:sz w:val="24"/>
        </w:rPr>
        <w:t>(</w:t>
      </w:r>
      <w:r>
        <w:rPr>
          <w:rFonts w:hint="eastAsia"/>
          <w:sz w:val="24"/>
          <w:lang w:val="en-US" w:eastAsia="zh-CN"/>
        </w:rPr>
        <w:t>3</w:t>
      </w:r>
      <w:r>
        <w:rPr>
          <w:sz w:val="24"/>
        </w:rPr>
        <w:t>)  承包人应妥善协调好开挖和混凝土浇筑施工与仪器埋设安装之间的关系，在规定的时间内尽快完成仪器埋设安装工作。完成仪器安装后向土建承包人移交工作面时及时清理仪器安装的废弃物，要保证工作面干净、整洁。</w:t>
      </w:r>
    </w:p>
    <w:p>
      <w:pPr>
        <w:spacing w:line="500" w:lineRule="atLeast"/>
        <w:ind w:firstLine="480" w:firstLineChars="200"/>
        <w:rPr>
          <w:sz w:val="24"/>
        </w:rPr>
      </w:pPr>
      <w:r>
        <w:rPr>
          <w:sz w:val="24"/>
        </w:rPr>
        <w:t>(</w:t>
      </w:r>
      <w:r>
        <w:rPr>
          <w:rFonts w:hint="eastAsia"/>
          <w:sz w:val="24"/>
          <w:lang w:val="en-US" w:eastAsia="zh-CN"/>
        </w:rPr>
        <w:t>4</w:t>
      </w:r>
      <w:r>
        <w:rPr>
          <w:sz w:val="24"/>
        </w:rPr>
        <w:t>)  非承包人自身的原因而导致承包人不能按期完工或移交工程项目或工作面时，承包人应及时地提出报告递交监理人。</w:t>
      </w:r>
    </w:p>
    <w:p>
      <w:pPr>
        <w:spacing w:line="500" w:lineRule="atLeast"/>
        <w:ind w:firstLine="480" w:firstLineChars="200"/>
        <w:rPr>
          <w:sz w:val="24"/>
        </w:rPr>
      </w:pPr>
      <w:r>
        <w:rPr>
          <w:sz w:val="24"/>
        </w:rPr>
        <w:t>(</w:t>
      </w:r>
      <w:r>
        <w:rPr>
          <w:rFonts w:hint="eastAsia"/>
          <w:sz w:val="24"/>
          <w:lang w:val="en-US" w:eastAsia="zh-CN"/>
        </w:rPr>
        <w:t>5</w:t>
      </w:r>
      <w:r>
        <w:rPr>
          <w:sz w:val="24"/>
        </w:rPr>
        <w:t>)  承包人应服从土建单位施工现场的安全管理，遵守文明施工和现场安全的相关规定，维护作业面的工作环境，应按本合同相关条款的有关规定和发包人的指示，为其他承包人提供必要的便利。</w:t>
      </w:r>
    </w:p>
    <w:p>
      <w:pPr>
        <w:spacing w:line="500" w:lineRule="atLeast"/>
        <w:ind w:firstLine="480" w:firstLineChars="200"/>
        <w:rPr>
          <w:sz w:val="24"/>
        </w:rPr>
      </w:pPr>
      <w:r>
        <w:rPr>
          <w:sz w:val="24"/>
        </w:rPr>
        <w:t>(</w:t>
      </w:r>
      <w:r>
        <w:rPr>
          <w:rFonts w:hint="eastAsia"/>
          <w:sz w:val="24"/>
          <w:lang w:val="en-US" w:eastAsia="zh-CN"/>
        </w:rPr>
        <w:t>6</w:t>
      </w:r>
      <w:r>
        <w:rPr>
          <w:sz w:val="24"/>
        </w:rPr>
        <w:t>)  承包人在施工组织设计中应考虑主体工程</w:t>
      </w:r>
      <w:r>
        <w:rPr>
          <w:rFonts w:hint="eastAsia"/>
          <w:sz w:val="24"/>
        </w:rPr>
        <w:t>进度需要</w:t>
      </w:r>
      <w:r>
        <w:rPr>
          <w:sz w:val="24"/>
        </w:rPr>
        <w:t>及关键节点工期等对监测工作开展的影响。</w:t>
      </w:r>
    </w:p>
    <w:p>
      <w:pPr>
        <w:spacing w:line="500" w:lineRule="atLeast"/>
        <w:ind w:firstLine="480" w:firstLineChars="200"/>
        <w:rPr>
          <w:sz w:val="24"/>
        </w:rPr>
      </w:pPr>
      <w:r>
        <w:rPr>
          <w:sz w:val="24"/>
        </w:rPr>
        <w:t>(</w:t>
      </w:r>
      <w:r>
        <w:rPr>
          <w:rFonts w:hint="eastAsia"/>
          <w:sz w:val="24"/>
          <w:lang w:val="en-US" w:eastAsia="zh-CN"/>
        </w:rPr>
        <w:t>7</w:t>
      </w:r>
      <w:r>
        <w:rPr>
          <w:sz w:val="24"/>
        </w:rPr>
        <w:t>)  承包人可利用现场已有的交通便利和供风、供电、供水、照明、移动登高设备和交通通道等，此外承包人还应配备必要的自身劳动安全保护设备</w:t>
      </w:r>
      <w:r>
        <w:rPr>
          <w:rFonts w:hint="eastAsia"/>
          <w:sz w:val="24"/>
        </w:rPr>
        <w:t>，</w:t>
      </w:r>
      <w:r>
        <w:rPr>
          <w:sz w:val="24"/>
        </w:rPr>
        <w:t>以及施工期观测需要的工具</w:t>
      </w:r>
      <w:r>
        <w:rPr>
          <w:rFonts w:hint="eastAsia"/>
          <w:sz w:val="24"/>
        </w:rPr>
        <w:t>和</w:t>
      </w:r>
      <w:r>
        <w:rPr>
          <w:sz w:val="24"/>
        </w:rPr>
        <w:t>其他需要的设施。</w:t>
      </w:r>
    </w:p>
    <w:p>
      <w:pPr>
        <w:spacing w:line="500" w:lineRule="atLeast"/>
        <w:ind w:firstLine="480" w:firstLineChars="200"/>
        <w:rPr>
          <w:sz w:val="24"/>
        </w:rPr>
      </w:pPr>
      <w:r>
        <w:rPr>
          <w:sz w:val="24"/>
        </w:rPr>
        <w:t>(</w:t>
      </w:r>
      <w:r>
        <w:rPr>
          <w:rFonts w:hint="eastAsia"/>
          <w:sz w:val="24"/>
          <w:lang w:val="en-US" w:eastAsia="zh-CN"/>
        </w:rPr>
        <w:t>8</w:t>
      </w:r>
      <w:r>
        <w:rPr>
          <w:sz w:val="24"/>
        </w:rPr>
        <w:t>)  承包人因施工需要，需要租用土建承包人的机械设备时，承包人与其自行协商，由监理人和发包人提供协调。</w:t>
      </w:r>
    </w:p>
    <w:p>
      <w:pPr>
        <w:spacing w:line="500" w:lineRule="atLeast"/>
        <w:ind w:firstLine="480" w:firstLineChars="200"/>
        <w:rPr>
          <w:sz w:val="24"/>
        </w:rPr>
      </w:pPr>
      <w:r>
        <w:rPr>
          <w:sz w:val="24"/>
        </w:rPr>
        <w:t>(</w:t>
      </w:r>
      <w:r>
        <w:rPr>
          <w:rFonts w:hint="eastAsia"/>
          <w:sz w:val="24"/>
          <w:lang w:val="en-US" w:eastAsia="zh-CN"/>
        </w:rPr>
        <w:t>9</w:t>
      </w:r>
      <w:r>
        <w:rPr>
          <w:sz w:val="24"/>
        </w:rPr>
        <w:t>)  承包人应按进度计划配备足够的资源，保证接到仪器埋设要求6小时内</w:t>
      </w:r>
      <w:r>
        <w:rPr>
          <w:rFonts w:hint="eastAsia"/>
          <w:sz w:val="24"/>
        </w:rPr>
        <w:t>做</w:t>
      </w:r>
      <w:r>
        <w:rPr>
          <w:sz w:val="24"/>
        </w:rPr>
        <w:t>出</w:t>
      </w:r>
      <w:r>
        <w:rPr>
          <w:rFonts w:hint="eastAsia"/>
          <w:sz w:val="24"/>
        </w:rPr>
        <w:t>工作安排</w:t>
      </w:r>
      <w:r>
        <w:rPr>
          <w:sz w:val="24"/>
        </w:rPr>
        <w:t>。对有监测仪器安装的部位，需要至少提前2天通知土建承包人和监理人，</w:t>
      </w:r>
      <w:r>
        <w:rPr>
          <w:rFonts w:hint="eastAsia"/>
          <w:sz w:val="24"/>
        </w:rPr>
        <w:t>在</w:t>
      </w:r>
      <w:r>
        <w:rPr>
          <w:sz w:val="24"/>
        </w:rPr>
        <w:t>减少对主体工程施工影响的前提下，合理安排安全监测仪器的实施，及时完成监测仪器的安装和电缆牵引工作。</w:t>
      </w:r>
    </w:p>
    <w:p>
      <w:pPr>
        <w:spacing w:line="500" w:lineRule="atLeast"/>
        <w:ind w:firstLine="480" w:firstLineChars="200"/>
        <w:rPr>
          <w:sz w:val="24"/>
        </w:rPr>
      </w:pPr>
      <w:r>
        <w:rPr>
          <w:sz w:val="24"/>
        </w:rPr>
        <w:t>(</w:t>
      </w:r>
      <w:r>
        <w:rPr>
          <w:rFonts w:hint="eastAsia"/>
          <w:sz w:val="24"/>
          <w:lang w:val="en-US" w:eastAsia="zh-CN"/>
        </w:rPr>
        <w:t>10</w:t>
      </w:r>
      <w:r>
        <w:rPr>
          <w:sz w:val="24"/>
        </w:rPr>
        <w:t>)  承包人在土建承包人配合下完成监测仪器的安装工作时，应与配合方做好技术交底、技术指导，协调好仪器保护工作，不能因配合问题减轻承包人应承担的责任。</w:t>
      </w:r>
    </w:p>
    <w:p>
      <w:pPr>
        <w:spacing w:line="500" w:lineRule="atLeast"/>
        <w:ind w:firstLine="480" w:firstLineChars="200"/>
        <w:rPr>
          <w:sz w:val="24"/>
        </w:rPr>
      </w:pPr>
      <w:r>
        <w:rPr>
          <w:sz w:val="24"/>
        </w:rPr>
        <w:t>(1</w:t>
      </w:r>
      <w:r>
        <w:rPr>
          <w:rFonts w:hint="eastAsia"/>
          <w:sz w:val="24"/>
          <w:lang w:val="en-US" w:eastAsia="zh-CN"/>
        </w:rPr>
        <w:t>1</w:t>
      </w:r>
      <w:r>
        <w:rPr>
          <w:sz w:val="24"/>
        </w:rPr>
        <w:t xml:space="preserve">)  </w:t>
      </w:r>
      <w:r>
        <w:rPr>
          <w:rFonts w:hint="eastAsia"/>
          <w:sz w:val="24"/>
        </w:rPr>
        <w:t>承包人应与</w:t>
      </w:r>
      <w:r>
        <w:rPr>
          <w:sz w:val="24"/>
        </w:rPr>
        <w:t>土建承包人协调好</w:t>
      </w:r>
      <w:r>
        <w:rPr>
          <w:rFonts w:hint="eastAsia"/>
          <w:sz w:val="24"/>
        </w:rPr>
        <w:t>在</w:t>
      </w:r>
      <w:r>
        <w:rPr>
          <w:sz w:val="24"/>
        </w:rPr>
        <w:t>钢管推送过程中有</w:t>
      </w:r>
      <w:r>
        <w:rPr>
          <w:rFonts w:hint="eastAsia"/>
          <w:sz w:val="24"/>
        </w:rPr>
        <w:t>监测</w:t>
      </w:r>
      <w:r>
        <w:rPr>
          <w:sz w:val="24"/>
        </w:rPr>
        <w:t>设备损坏的情况</w:t>
      </w:r>
      <w:r>
        <w:rPr>
          <w:rFonts w:hint="eastAsia"/>
          <w:sz w:val="24"/>
        </w:rPr>
        <w:t>下</w:t>
      </w:r>
      <w:r>
        <w:rPr>
          <w:sz w:val="24"/>
        </w:rPr>
        <w:t>，土建承包人</w:t>
      </w:r>
      <w:r>
        <w:rPr>
          <w:rFonts w:hint="eastAsia"/>
          <w:sz w:val="24"/>
        </w:rPr>
        <w:t>应将</w:t>
      </w:r>
      <w:r>
        <w:rPr>
          <w:sz w:val="24"/>
        </w:rPr>
        <w:t>正在推送的此</w:t>
      </w:r>
      <w:r>
        <w:rPr>
          <w:rFonts w:hint="eastAsia"/>
          <w:sz w:val="24"/>
        </w:rPr>
        <w:t>段</w:t>
      </w:r>
      <w:r>
        <w:rPr>
          <w:sz w:val="24"/>
        </w:rPr>
        <w:t>钢管退出，</w:t>
      </w:r>
      <w:r>
        <w:rPr>
          <w:rFonts w:hint="eastAsia"/>
          <w:sz w:val="24"/>
        </w:rPr>
        <w:t>承包人</w:t>
      </w:r>
      <w:r>
        <w:rPr>
          <w:sz w:val="24"/>
        </w:rPr>
        <w:t>按监理人的指示在规定的时间内恢复其功能或</w:t>
      </w:r>
      <w:r>
        <w:rPr>
          <w:rFonts w:hint="eastAsia"/>
          <w:sz w:val="24"/>
        </w:rPr>
        <w:t>确定无法</w:t>
      </w:r>
      <w:r>
        <w:rPr>
          <w:sz w:val="24"/>
        </w:rPr>
        <w:t>修复后，</w:t>
      </w:r>
      <w:r>
        <w:rPr>
          <w:rFonts w:hint="eastAsia"/>
          <w:sz w:val="24"/>
        </w:rPr>
        <w:t>土建</w:t>
      </w:r>
      <w:r>
        <w:rPr>
          <w:sz w:val="24"/>
        </w:rPr>
        <w:t>承</w:t>
      </w:r>
      <w:r>
        <w:rPr>
          <w:rFonts w:hint="eastAsia"/>
          <w:sz w:val="24"/>
        </w:rPr>
        <w:t>包</w:t>
      </w:r>
      <w:r>
        <w:rPr>
          <w:sz w:val="24"/>
        </w:rPr>
        <w:t>人再</w:t>
      </w:r>
      <w:r>
        <w:rPr>
          <w:rFonts w:hint="eastAsia"/>
          <w:sz w:val="24"/>
        </w:rPr>
        <w:t>进行下一步操作。</w:t>
      </w:r>
    </w:p>
    <w:p>
      <w:pPr>
        <w:spacing w:line="500" w:lineRule="atLeast"/>
        <w:ind w:firstLine="480" w:firstLineChars="200"/>
        <w:rPr>
          <w:sz w:val="24"/>
        </w:rPr>
      </w:pPr>
      <w:r>
        <w:rPr>
          <w:sz w:val="24"/>
        </w:rPr>
        <w:t>(1</w:t>
      </w:r>
      <w:r>
        <w:rPr>
          <w:rFonts w:hint="eastAsia"/>
          <w:sz w:val="24"/>
          <w:lang w:val="en-US" w:eastAsia="zh-CN"/>
        </w:rPr>
        <w:t>2</w:t>
      </w:r>
      <w:r>
        <w:rPr>
          <w:sz w:val="24"/>
        </w:rPr>
        <w:t>)  合同执行期间，承包人应对已安装和埋设的监测仪器设备进行可靠的保护，并确保施工操作不干扰和不破坏任何已安装和埋设的监测仪器设备。土建承包人在埋有安全监测仪器、设备部位进行钻孔、浇筑、焊接等作业时，承包人应做好监测仪器设备的保护和标识，指导、提醒土建承包人注意保护安全监测仪器设备不受到损伤、损坏，必要时派人旁站执守。如产生损坏，相应仪器赔偿及恢复所产生费用由责任方承担</w:t>
      </w:r>
      <w:r>
        <w:rPr>
          <w:rFonts w:hint="eastAsia"/>
          <w:sz w:val="24"/>
        </w:rPr>
        <w:t>，其费用</w:t>
      </w:r>
      <w:r>
        <w:rPr>
          <w:sz w:val="24"/>
        </w:rPr>
        <w:t>包括含仪器采购、率定、埋设安装及观测等费用或者修复费。</w:t>
      </w:r>
    </w:p>
    <w:p>
      <w:pPr>
        <w:spacing w:line="500" w:lineRule="atLeast"/>
        <w:ind w:firstLine="480" w:firstLineChars="200"/>
        <w:rPr>
          <w:sz w:val="24"/>
        </w:rPr>
      </w:pPr>
      <w:r>
        <w:rPr>
          <w:sz w:val="24"/>
        </w:rPr>
        <w:t xml:space="preserve"> (1</w:t>
      </w:r>
      <w:r>
        <w:rPr>
          <w:rFonts w:hint="eastAsia"/>
          <w:sz w:val="24"/>
          <w:lang w:val="en-US" w:eastAsia="zh-CN"/>
        </w:rPr>
        <w:t>3</w:t>
      </w:r>
      <w:r>
        <w:rPr>
          <w:sz w:val="24"/>
        </w:rPr>
        <w:t>)  承包人应做好仪器电缆</w:t>
      </w:r>
      <w:r>
        <w:rPr>
          <w:rFonts w:hint="eastAsia"/>
          <w:sz w:val="24"/>
        </w:rPr>
        <w:t>和光纤</w:t>
      </w:r>
      <w:r>
        <w:rPr>
          <w:sz w:val="24"/>
        </w:rPr>
        <w:t>线路走线规划，在仪器埋设位置及电缆</w:t>
      </w:r>
      <w:r>
        <w:rPr>
          <w:rFonts w:hint="eastAsia"/>
          <w:sz w:val="24"/>
        </w:rPr>
        <w:t>、光纤</w:t>
      </w:r>
      <w:r>
        <w:rPr>
          <w:sz w:val="24"/>
        </w:rPr>
        <w:t>牵引线路上做好醒目警示标识，及时跟进仪器和电缆</w:t>
      </w:r>
      <w:r>
        <w:rPr>
          <w:rFonts w:hint="eastAsia"/>
          <w:sz w:val="24"/>
        </w:rPr>
        <w:t>、光纤</w:t>
      </w:r>
      <w:r>
        <w:rPr>
          <w:sz w:val="24"/>
        </w:rPr>
        <w:t>引线的喷护等保护措施。承包人应及时将已经埋设仪器设备和电缆</w:t>
      </w:r>
      <w:r>
        <w:rPr>
          <w:rFonts w:hint="eastAsia"/>
          <w:sz w:val="24"/>
        </w:rPr>
        <w:t>、光纤</w:t>
      </w:r>
      <w:r>
        <w:rPr>
          <w:sz w:val="24"/>
        </w:rPr>
        <w:t>引线以适当的形式报告监理人，并通过监理人转发至相邻或交叉工作面上的其他承包人，以免其他承包人在钻孔、灌浆时损坏已埋设的仪器或电缆。由于承包人保护措施不得力造成的监测仪器和电缆线</w:t>
      </w:r>
      <w:r>
        <w:rPr>
          <w:rFonts w:hint="eastAsia"/>
          <w:sz w:val="24"/>
        </w:rPr>
        <w:t>、光纤</w:t>
      </w:r>
      <w:r>
        <w:rPr>
          <w:sz w:val="24"/>
        </w:rPr>
        <w:t>的损坏由承包人免费负责恢复。</w:t>
      </w:r>
    </w:p>
    <w:p>
      <w:pPr>
        <w:spacing w:line="500" w:lineRule="atLeast"/>
        <w:ind w:firstLine="480" w:firstLineChars="200"/>
        <w:rPr>
          <w:sz w:val="24"/>
        </w:rPr>
      </w:pPr>
      <w:r>
        <w:rPr>
          <w:sz w:val="24"/>
        </w:rPr>
        <w:t>(1</w:t>
      </w:r>
      <w:r>
        <w:rPr>
          <w:rFonts w:hint="eastAsia"/>
          <w:sz w:val="24"/>
          <w:lang w:val="en-US" w:eastAsia="zh-CN"/>
        </w:rPr>
        <w:t>4</w:t>
      </w:r>
      <w:r>
        <w:rPr>
          <w:sz w:val="24"/>
        </w:rPr>
        <w:t>)  任何已安装和埋设的监测仪器设备和电缆引线发生损坏，承包人必须第一时间报告监理人，并按监理人的指示在规定的时间内恢复其功能或在其附近安装替代仪器设备，若因不能及时恢复而影响了监测数据的取得，发生损坏的责任将由承包人承担</w:t>
      </w:r>
      <w:r>
        <w:rPr>
          <w:rFonts w:hint="eastAsia"/>
          <w:sz w:val="24"/>
        </w:rPr>
        <w:t>。</w:t>
      </w:r>
    </w:p>
    <w:p>
      <w:pPr>
        <w:spacing w:line="500" w:lineRule="atLeast"/>
        <w:ind w:firstLine="480" w:firstLineChars="200"/>
        <w:rPr>
          <w:sz w:val="24"/>
        </w:rPr>
      </w:pPr>
      <w:r>
        <w:rPr>
          <w:sz w:val="24"/>
        </w:rPr>
        <w:t>(1</w:t>
      </w:r>
      <w:r>
        <w:rPr>
          <w:rFonts w:hint="eastAsia"/>
          <w:sz w:val="24"/>
          <w:lang w:val="en-US" w:eastAsia="zh-CN"/>
        </w:rPr>
        <w:t>5</w:t>
      </w:r>
      <w:r>
        <w:rPr>
          <w:sz w:val="24"/>
        </w:rPr>
        <w:t xml:space="preserve">)  </w:t>
      </w:r>
      <w:r>
        <w:rPr>
          <w:rFonts w:hint="eastAsia"/>
          <w:sz w:val="24"/>
        </w:rPr>
        <w:t>承包人</w:t>
      </w:r>
      <w:r>
        <w:rPr>
          <w:sz w:val="24"/>
        </w:rPr>
        <w:t>应与安全监测工程</w:t>
      </w:r>
      <w:r>
        <w:rPr>
          <w:rFonts w:hint="eastAsia"/>
          <w:sz w:val="24"/>
        </w:rPr>
        <w:t>2标段</w:t>
      </w:r>
      <w:r>
        <w:rPr>
          <w:sz w:val="24"/>
        </w:rPr>
        <w:t>承包人协调好</w:t>
      </w:r>
      <w:r>
        <w:rPr>
          <w:rFonts w:hint="eastAsia"/>
          <w:sz w:val="24"/>
        </w:rPr>
        <w:t>自动化和</w:t>
      </w:r>
      <w:r>
        <w:rPr>
          <w:sz w:val="24"/>
        </w:rPr>
        <w:t>人工观测</w:t>
      </w:r>
      <w:r>
        <w:rPr>
          <w:rFonts w:hint="eastAsia"/>
          <w:sz w:val="24"/>
        </w:rPr>
        <w:t>数据</w:t>
      </w:r>
      <w:r>
        <w:rPr>
          <w:sz w:val="24"/>
        </w:rPr>
        <w:t>接入</w:t>
      </w:r>
      <w:r>
        <w:rPr>
          <w:rFonts w:hint="eastAsia"/>
          <w:sz w:val="24"/>
        </w:rPr>
        <w:t>监控</w:t>
      </w:r>
      <w:r>
        <w:rPr>
          <w:sz w:val="24"/>
        </w:rPr>
        <w:t>管理中心</w:t>
      </w:r>
      <w:r>
        <w:rPr>
          <w:rFonts w:hint="eastAsia"/>
          <w:sz w:val="24"/>
        </w:rPr>
        <w:t>站</w:t>
      </w:r>
      <w:r>
        <w:rPr>
          <w:sz w:val="24"/>
        </w:rPr>
        <w:t>的工作</w:t>
      </w:r>
      <w:r>
        <w:rPr>
          <w:rFonts w:hint="eastAsia"/>
          <w:sz w:val="24"/>
        </w:rPr>
        <w:t>，</w:t>
      </w:r>
      <w:r>
        <w:rPr>
          <w:sz w:val="24"/>
        </w:rPr>
        <w:t>包括人工观测</w:t>
      </w:r>
      <w:r>
        <w:rPr>
          <w:rFonts w:hint="eastAsia"/>
          <w:sz w:val="24"/>
        </w:rPr>
        <w:t>成果</w:t>
      </w:r>
      <w:r>
        <w:rPr>
          <w:sz w:val="24"/>
        </w:rPr>
        <w:t>数据、工程监测仪器基本资料、安装埋设资料、监测初始值、监测仪器布置图及</w:t>
      </w:r>
      <w:r>
        <w:rPr>
          <w:rFonts w:hint="eastAsia"/>
          <w:sz w:val="24"/>
        </w:rPr>
        <w:t>等</w:t>
      </w:r>
      <w:r>
        <w:rPr>
          <w:sz w:val="24"/>
        </w:rPr>
        <w:t>录入工作。</w:t>
      </w:r>
    </w:p>
    <w:p>
      <w:pPr>
        <w:spacing w:line="500" w:lineRule="atLeast"/>
        <w:ind w:firstLine="480" w:firstLineChars="200"/>
        <w:rPr>
          <w:sz w:val="24"/>
        </w:rPr>
      </w:pPr>
      <w:r>
        <w:rPr>
          <w:sz w:val="24"/>
        </w:rPr>
        <w:t>(1</w:t>
      </w:r>
      <w:r>
        <w:rPr>
          <w:rFonts w:hint="eastAsia"/>
          <w:sz w:val="24"/>
          <w:lang w:val="en-US" w:eastAsia="zh-CN"/>
        </w:rPr>
        <w:t>6</w:t>
      </w:r>
      <w:r>
        <w:rPr>
          <w:sz w:val="24"/>
        </w:rPr>
        <w:t>)  承包人和其他</w:t>
      </w:r>
      <w:r>
        <w:rPr>
          <w:rFonts w:hint="eastAsia"/>
          <w:sz w:val="24"/>
        </w:rPr>
        <w:t>标段</w:t>
      </w:r>
      <w:r>
        <w:rPr>
          <w:sz w:val="24"/>
        </w:rPr>
        <w:t>承包人在场地的共同使用上发生矛盾时，所有承包人均应服从监理人的协调。</w:t>
      </w:r>
    </w:p>
    <w:p/>
    <w:p>
      <w:pPr>
        <w:pStyle w:val="4"/>
        <w:adjustRightInd w:val="0"/>
        <w:snapToGrid w:val="0"/>
        <w:spacing w:before="0" w:after="0" w:line="500" w:lineRule="atLeast"/>
        <w:rPr>
          <w:rFonts w:ascii="黑体" w:hAnsi="黑体" w:eastAsia="黑体"/>
          <w:b w:val="0"/>
          <w:sz w:val="24"/>
          <w:szCs w:val="24"/>
        </w:rPr>
      </w:pPr>
      <w:bookmarkStart w:id="316" w:name="_Toc118821475"/>
      <w:bookmarkStart w:id="317" w:name="_Toc1581"/>
      <w:r>
        <w:rPr>
          <w:rFonts w:ascii="Times New Roman" w:hAnsi="Times New Roman"/>
          <w:sz w:val="24"/>
          <w:szCs w:val="24"/>
        </w:rPr>
        <w:t xml:space="preserve">1.15 </w:t>
      </w:r>
      <w:r>
        <w:rPr>
          <w:rFonts w:ascii="黑体" w:hAnsi="黑体" w:eastAsia="黑体"/>
          <w:b w:val="0"/>
          <w:sz w:val="24"/>
          <w:szCs w:val="24"/>
        </w:rPr>
        <w:t xml:space="preserve"> 环境保护</w:t>
      </w:r>
      <w:bookmarkEnd w:id="310"/>
      <w:bookmarkEnd w:id="311"/>
      <w:bookmarkEnd w:id="312"/>
      <w:bookmarkEnd w:id="313"/>
      <w:bookmarkEnd w:id="314"/>
      <w:bookmarkEnd w:id="315"/>
      <w:bookmarkEnd w:id="316"/>
      <w:bookmarkEnd w:id="317"/>
    </w:p>
    <w:p>
      <w:pPr>
        <w:pStyle w:val="5"/>
        <w:snapToGrid w:val="0"/>
        <w:spacing w:before="0" w:after="0" w:line="500" w:lineRule="atLeast"/>
        <w:jc w:val="both"/>
        <w:rPr>
          <w:szCs w:val="24"/>
        </w:rPr>
      </w:pPr>
      <w:bookmarkStart w:id="318" w:name="_Toc118821476"/>
      <w:bookmarkStart w:id="319" w:name="_Toc521577782"/>
      <w:bookmarkStart w:id="320" w:name="_Toc232162555"/>
      <w:bookmarkStart w:id="321" w:name="_Toc324239533"/>
      <w:bookmarkStart w:id="322" w:name="_Toc2496"/>
      <w:bookmarkStart w:id="323" w:name="_Toc240878305"/>
      <w:bookmarkStart w:id="324" w:name="_Toc246214111"/>
      <w:r>
        <w:rPr>
          <w:szCs w:val="24"/>
        </w:rPr>
        <w:t>1.15.1  遵守环境保护的法律、法规和规章</w:t>
      </w:r>
      <w:bookmarkEnd w:id="318"/>
      <w:bookmarkEnd w:id="319"/>
      <w:bookmarkEnd w:id="320"/>
      <w:bookmarkEnd w:id="321"/>
      <w:bookmarkEnd w:id="322"/>
      <w:bookmarkEnd w:id="323"/>
      <w:bookmarkEnd w:id="324"/>
    </w:p>
    <w:p>
      <w:pPr>
        <w:spacing w:line="500" w:lineRule="atLeast"/>
        <w:ind w:firstLine="480" w:firstLineChars="200"/>
        <w:rPr>
          <w:sz w:val="24"/>
        </w:rPr>
      </w:pPr>
      <w:r>
        <w:rPr>
          <w:sz w:val="24"/>
        </w:rPr>
        <w:t>承包人必须遵守国家有关环境保护的法律、法规和规章，并按本技术条款的有关规定，做好施工区的环境保护工作，防止由于工程施工造成施工区附近地区的环境污染和破坏。</w:t>
      </w:r>
    </w:p>
    <w:p>
      <w:pPr>
        <w:spacing w:line="500" w:lineRule="atLeast"/>
        <w:ind w:firstLine="480" w:firstLineChars="200"/>
        <w:rPr>
          <w:sz w:val="24"/>
        </w:rPr>
      </w:pPr>
      <w:bookmarkStart w:id="325" w:name="_Toc232162556"/>
      <w:bookmarkStart w:id="326" w:name="_Toc324239534"/>
      <w:bookmarkStart w:id="327" w:name="_Toc240878306"/>
      <w:bookmarkStart w:id="328" w:name="_Toc521577783"/>
      <w:bookmarkStart w:id="329" w:name="_Toc246214112"/>
    </w:p>
    <w:p>
      <w:pPr>
        <w:pStyle w:val="5"/>
        <w:snapToGrid w:val="0"/>
        <w:spacing w:before="0" w:after="0" w:line="500" w:lineRule="atLeast"/>
        <w:jc w:val="both"/>
        <w:rPr>
          <w:szCs w:val="24"/>
        </w:rPr>
      </w:pPr>
      <w:bookmarkStart w:id="330" w:name="_Toc118821477"/>
      <w:bookmarkStart w:id="331" w:name="_Toc21614"/>
      <w:r>
        <w:rPr>
          <w:szCs w:val="24"/>
        </w:rPr>
        <w:t>1.15.2  环境保护措施计划</w:t>
      </w:r>
      <w:bookmarkEnd w:id="325"/>
      <w:bookmarkEnd w:id="326"/>
      <w:bookmarkEnd w:id="327"/>
      <w:bookmarkEnd w:id="328"/>
      <w:bookmarkEnd w:id="329"/>
      <w:bookmarkEnd w:id="330"/>
      <w:bookmarkEnd w:id="331"/>
    </w:p>
    <w:p>
      <w:pPr>
        <w:spacing w:line="500" w:lineRule="atLeast"/>
        <w:ind w:firstLine="480" w:firstLineChars="200"/>
        <w:rPr>
          <w:sz w:val="24"/>
        </w:rPr>
      </w:pPr>
      <w:r>
        <w:rPr>
          <w:sz w:val="24"/>
        </w:rPr>
        <w:t>承包人应在编报施工总布置设计文件的同时，编制一份施工区和生活区的环境保护措施计划，报送监理人审批。其内容应包括：</w:t>
      </w:r>
    </w:p>
    <w:p>
      <w:pPr>
        <w:spacing w:line="500" w:lineRule="atLeast"/>
        <w:ind w:firstLine="480" w:firstLineChars="200"/>
        <w:rPr>
          <w:sz w:val="24"/>
        </w:rPr>
      </w:pPr>
      <w:r>
        <w:rPr>
          <w:sz w:val="24"/>
        </w:rPr>
        <w:t>(1)  施工弃渣的利用和堆放；</w:t>
      </w:r>
    </w:p>
    <w:p>
      <w:pPr>
        <w:spacing w:line="500" w:lineRule="atLeast"/>
        <w:ind w:firstLine="480" w:firstLineChars="200"/>
        <w:rPr>
          <w:sz w:val="24"/>
        </w:rPr>
      </w:pPr>
      <w:r>
        <w:rPr>
          <w:sz w:val="24"/>
        </w:rPr>
        <w:t>(2)  施工场地开挖的边坡保护和水土流失防治措施；</w:t>
      </w:r>
    </w:p>
    <w:p>
      <w:pPr>
        <w:spacing w:line="500" w:lineRule="atLeast"/>
        <w:ind w:firstLine="480" w:firstLineChars="200"/>
        <w:rPr>
          <w:sz w:val="24"/>
        </w:rPr>
      </w:pPr>
      <w:r>
        <w:rPr>
          <w:sz w:val="24"/>
        </w:rPr>
        <w:t>(3)  防止饮用水污染措施；</w:t>
      </w:r>
    </w:p>
    <w:p>
      <w:pPr>
        <w:spacing w:line="500" w:lineRule="atLeast"/>
        <w:ind w:firstLine="480" w:firstLineChars="200"/>
        <w:rPr>
          <w:sz w:val="24"/>
        </w:rPr>
      </w:pPr>
      <w:r>
        <w:rPr>
          <w:sz w:val="24"/>
        </w:rPr>
        <w:t>(4)  施工活动中的噪声、粉尘、废气、废水和废油等的治理措施；</w:t>
      </w:r>
    </w:p>
    <w:p>
      <w:pPr>
        <w:spacing w:line="500" w:lineRule="atLeast"/>
        <w:ind w:firstLine="480" w:firstLineChars="200"/>
        <w:rPr>
          <w:sz w:val="24"/>
        </w:rPr>
      </w:pPr>
      <w:r>
        <w:rPr>
          <w:sz w:val="24"/>
        </w:rPr>
        <w:t>(5)  施工区和生活区的卫生设施以及粪便、垃圾的治理措施；</w:t>
      </w:r>
    </w:p>
    <w:p>
      <w:pPr>
        <w:spacing w:line="500" w:lineRule="atLeast"/>
        <w:ind w:firstLine="480" w:firstLineChars="200"/>
        <w:rPr>
          <w:sz w:val="24"/>
        </w:rPr>
      </w:pPr>
      <w:r>
        <w:rPr>
          <w:sz w:val="24"/>
        </w:rPr>
        <w:t>(6)  完工后的场地清理。</w:t>
      </w:r>
      <w:bookmarkStart w:id="332" w:name="_Toc240878307"/>
      <w:bookmarkStart w:id="333" w:name="_Toc232162557"/>
      <w:bookmarkStart w:id="334" w:name="_Toc324239535"/>
      <w:bookmarkStart w:id="335" w:name="_Toc246214113"/>
    </w:p>
    <w:p>
      <w:pPr>
        <w:spacing w:line="500" w:lineRule="atLeast"/>
        <w:ind w:firstLine="480" w:firstLineChars="200"/>
        <w:rPr>
          <w:sz w:val="24"/>
        </w:rPr>
      </w:pPr>
      <w:bookmarkStart w:id="336" w:name="_Toc521577784"/>
    </w:p>
    <w:p>
      <w:pPr>
        <w:pStyle w:val="5"/>
        <w:snapToGrid w:val="0"/>
        <w:spacing w:before="0" w:after="0" w:line="500" w:lineRule="atLeast"/>
        <w:jc w:val="both"/>
        <w:rPr>
          <w:szCs w:val="24"/>
        </w:rPr>
      </w:pPr>
      <w:bookmarkStart w:id="337" w:name="_Toc118821478"/>
      <w:bookmarkStart w:id="338" w:name="_Toc16485"/>
      <w:r>
        <w:rPr>
          <w:szCs w:val="24"/>
        </w:rPr>
        <w:t>1.15.3  施工弃渣的治理</w:t>
      </w:r>
      <w:bookmarkEnd w:id="332"/>
      <w:bookmarkEnd w:id="333"/>
      <w:bookmarkEnd w:id="334"/>
      <w:bookmarkEnd w:id="335"/>
      <w:bookmarkEnd w:id="336"/>
      <w:bookmarkEnd w:id="337"/>
      <w:bookmarkEnd w:id="338"/>
    </w:p>
    <w:p>
      <w:pPr>
        <w:spacing w:line="500" w:lineRule="atLeast"/>
        <w:ind w:firstLine="480" w:firstLineChars="200"/>
        <w:rPr>
          <w:sz w:val="24"/>
        </w:rPr>
      </w:pPr>
      <w:r>
        <w:rPr>
          <w:sz w:val="24"/>
        </w:rPr>
        <w:t>承包人应按本合同技术文件的规定和监理人指示做好施工弃渣的治理措施，保护施工开挖边坡的稳定，防止料场、永久建筑物基础和施工场地的开挖弃渣冲蚀河床或淤积河道。</w:t>
      </w:r>
      <w:bookmarkStart w:id="339" w:name="_Toc240878308"/>
      <w:bookmarkStart w:id="340" w:name="_Toc232162558"/>
      <w:bookmarkStart w:id="341" w:name="_Toc246214114"/>
      <w:bookmarkStart w:id="342" w:name="_Toc324239536"/>
    </w:p>
    <w:p>
      <w:pPr>
        <w:spacing w:line="500" w:lineRule="atLeast"/>
        <w:ind w:firstLine="480" w:firstLineChars="200"/>
        <w:rPr>
          <w:sz w:val="24"/>
        </w:rPr>
      </w:pPr>
      <w:bookmarkStart w:id="343" w:name="_Toc521577785"/>
    </w:p>
    <w:p>
      <w:pPr>
        <w:pStyle w:val="5"/>
        <w:snapToGrid w:val="0"/>
        <w:spacing w:before="0" w:after="0" w:line="500" w:lineRule="atLeast"/>
        <w:jc w:val="both"/>
        <w:rPr>
          <w:szCs w:val="24"/>
        </w:rPr>
      </w:pPr>
      <w:bookmarkStart w:id="344" w:name="_Toc29677"/>
      <w:bookmarkStart w:id="345" w:name="_Toc118821479"/>
      <w:r>
        <w:rPr>
          <w:szCs w:val="24"/>
        </w:rPr>
        <w:t>1.15.4  环境污染的治理</w:t>
      </w:r>
      <w:bookmarkEnd w:id="339"/>
      <w:bookmarkEnd w:id="340"/>
      <w:bookmarkEnd w:id="341"/>
      <w:bookmarkEnd w:id="342"/>
      <w:bookmarkEnd w:id="343"/>
      <w:bookmarkEnd w:id="344"/>
      <w:bookmarkEnd w:id="345"/>
    </w:p>
    <w:p>
      <w:pPr>
        <w:spacing w:line="500" w:lineRule="atLeast"/>
        <w:ind w:firstLine="480" w:firstLineChars="200"/>
        <w:rPr>
          <w:sz w:val="24"/>
        </w:rPr>
      </w:pPr>
      <w:r>
        <w:rPr>
          <w:sz w:val="24"/>
        </w:rPr>
        <w:t>(1)  承包人应按国家和地方有关环境保护法规和规章的规定控制地下工程施工的噪声、粉尘和有毒气体，保障工人的劳动卫生条件。</w:t>
      </w:r>
    </w:p>
    <w:p>
      <w:pPr>
        <w:spacing w:line="500" w:lineRule="atLeast"/>
        <w:ind w:firstLine="480" w:firstLineChars="200"/>
        <w:rPr>
          <w:sz w:val="24"/>
        </w:rPr>
      </w:pPr>
      <w:r>
        <w:rPr>
          <w:sz w:val="24"/>
        </w:rPr>
        <w:t>(2)  承包人应保护施工区和生活区的环境卫生，生活垃圾应做到一日一清，垃圾收集后运送至当地环卫部门指定的填埋场进行填埋。施工产生的建筑垃圾除部分回收综合利用外，其余和生活垃圾一起处理。</w:t>
      </w:r>
      <w:bookmarkStart w:id="346" w:name="_Toc232162559"/>
      <w:bookmarkStart w:id="347" w:name="_Toc246214115"/>
      <w:bookmarkStart w:id="348" w:name="_Toc324239537"/>
      <w:bookmarkStart w:id="349" w:name="_Toc240878309"/>
    </w:p>
    <w:p>
      <w:pPr>
        <w:spacing w:line="500" w:lineRule="atLeast"/>
        <w:ind w:firstLine="480" w:firstLineChars="200"/>
        <w:rPr>
          <w:sz w:val="24"/>
        </w:rPr>
      </w:pPr>
    </w:p>
    <w:p>
      <w:pPr>
        <w:pStyle w:val="5"/>
        <w:snapToGrid w:val="0"/>
        <w:spacing w:before="0" w:after="0" w:line="500" w:lineRule="atLeast"/>
        <w:jc w:val="both"/>
        <w:rPr>
          <w:szCs w:val="24"/>
        </w:rPr>
      </w:pPr>
      <w:bookmarkStart w:id="350" w:name="_Toc118821480"/>
      <w:bookmarkStart w:id="351" w:name="_Toc8374"/>
      <w:bookmarkStart w:id="352" w:name="_Toc521577786"/>
      <w:r>
        <w:rPr>
          <w:szCs w:val="24"/>
        </w:rPr>
        <w:t>1.15.5  场地清理</w:t>
      </w:r>
      <w:bookmarkEnd w:id="346"/>
      <w:bookmarkEnd w:id="347"/>
      <w:bookmarkEnd w:id="348"/>
      <w:bookmarkEnd w:id="349"/>
      <w:bookmarkEnd w:id="350"/>
      <w:bookmarkEnd w:id="351"/>
      <w:bookmarkEnd w:id="352"/>
    </w:p>
    <w:p>
      <w:pPr>
        <w:spacing w:line="500" w:lineRule="atLeast"/>
        <w:ind w:firstLine="480" w:firstLineChars="200"/>
        <w:rPr>
          <w:sz w:val="24"/>
        </w:rPr>
      </w:pPr>
      <w:r>
        <w:rPr>
          <w:sz w:val="24"/>
        </w:rPr>
        <w:t>除合同另有规定外，承包人应在工程完工后的规定期限内，拆除施工临时设施，清除施工区和生活区及其附近的施工废弃物，并按监理人批准的环境保护措施计划完成环境恢复。</w:t>
      </w:r>
    </w:p>
    <w:p>
      <w:pPr>
        <w:spacing w:line="500" w:lineRule="atLeast"/>
        <w:ind w:firstLine="480" w:firstLineChars="200"/>
        <w:rPr>
          <w:sz w:val="24"/>
        </w:rPr>
      </w:pPr>
    </w:p>
    <w:p>
      <w:pPr>
        <w:pStyle w:val="4"/>
        <w:adjustRightInd w:val="0"/>
        <w:snapToGrid w:val="0"/>
        <w:spacing w:before="0" w:after="0" w:line="500" w:lineRule="atLeast"/>
        <w:rPr>
          <w:rFonts w:ascii="黑体" w:hAnsi="黑体" w:eastAsia="黑体"/>
          <w:b w:val="0"/>
          <w:sz w:val="24"/>
          <w:szCs w:val="24"/>
        </w:rPr>
      </w:pPr>
      <w:bookmarkStart w:id="353" w:name="_Toc246214116"/>
      <w:bookmarkStart w:id="354" w:name="_Toc118821481"/>
      <w:bookmarkStart w:id="355" w:name="_Toc483070248"/>
      <w:bookmarkStart w:id="356" w:name="_Toc31529"/>
      <w:bookmarkStart w:id="357" w:name="_Toc240878310"/>
      <w:bookmarkStart w:id="358" w:name="_Toc476234303"/>
      <w:r>
        <w:rPr>
          <w:rFonts w:ascii="Times New Roman" w:hAnsi="Times New Roman"/>
          <w:sz w:val="24"/>
          <w:szCs w:val="24"/>
        </w:rPr>
        <w:t xml:space="preserve">1.16 </w:t>
      </w:r>
      <w:r>
        <w:rPr>
          <w:rFonts w:ascii="黑体" w:hAnsi="黑体" w:eastAsia="黑体"/>
          <w:b w:val="0"/>
          <w:sz w:val="24"/>
          <w:szCs w:val="24"/>
        </w:rPr>
        <w:t xml:space="preserve"> 工程量计量方法</w:t>
      </w:r>
      <w:bookmarkEnd w:id="353"/>
      <w:bookmarkEnd w:id="354"/>
      <w:bookmarkEnd w:id="355"/>
      <w:bookmarkEnd w:id="356"/>
      <w:bookmarkEnd w:id="357"/>
      <w:bookmarkEnd w:id="358"/>
    </w:p>
    <w:p>
      <w:pPr>
        <w:pStyle w:val="5"/>
        <w:snapToGrid w:val="0"/>
        <w:spacing w:before="0" w:after="0" w:line="500" w:lineRule="atLeast"/>
        <w:jc w:val="both"/>
        <w:rPr>
          <w:szCs w:val="24"/>
        </w:rPr>
      </w:pPr>
      <w:bookmarkStart w:id="359" w:name="_Toc118821482"/>
      <w:bookmarkStart w:id="360" w:name="_Toc240878311"/>
      <w:bookmarkStart w:id="361" w:name="_Toc25754"/>
      <w:bookmarkStart w:id="362" w:name="_Toc521577788"/>
      <w:bookmarkStart w:id="363" w:name="_Toc246214117"/>
      <w:bookmarkStart w:id="364" w:name="_Toc324239539"/>
      <w:r>
        <w:rPr>
          <w:szCs w:val="24"/>
        </w:rPr>
        <w:t>1.16.1  说明</w:t>
      </w:r>
      <w:bookmarkEnd w:id="359"/>
      <w:bookmarkEnd w:id="360"/>
      <w:bookmarkEnd w:id="361"/>
      <w:bookmarkEnd w:id="362"/>
      <w:bookmarkEnd w:id="363"/>
      <w:bookmarkEnd w:id="364"/>
    </w:p>
    <w:p>
      <w:pPr>
        <w:adjustRightInd w:val="0"/>
        <w:snapToGrid w:val="0"/>
        <w:spacing w:line="500" w:lineRule="atLeast"/>
        <w:ind w:firstLine="480" w:firstLineChars="200"/>
        <w:rPr>
          <w:sz w:val="24"/>
        </w:rPr>
      </w:pPr>
      <w:r>
        <w:rPr>
          <w:sz w:val="24"/>
        </w:rPr>
        <w:t>(1)  本合同的工程项目应按本技术条款第七章的规定进行计量。</w:t>
      </w:r>
    </w:p>
    <w:p>
      <w:pPr>
        <w:adjustRightInd w:val="0"/>
        <w:snapToGrid w:val="0"/>
        <w:spacing w:line="500" w:lineRule="atLeast"/>
        <w:ind w:firstLine="480" w:firstLineChars="200"/>
        <w:rPr>
          <w:sz w:val="24"/>
        </w:rPr>
      </w:pPr>
      <w:r>
        <w:rPr>
          <w:sz w:val="24"/>
        </w:rPr>
        <w:t>(2)  所有工程项目的计量方法均应符合本技术条款各章的规定，承包人应自供一切计量设备和用具，并保证计量设备和用具符合国家度量衡标准的精度要求。</w:t>
      </w:r>
    </w:p>
    <w:p>
      <w:pPr>
        <w:adjustRightInd w:val="0"/>
        <w:snapToGrid w:val="0"/>
        <w:spacing w:line="500" w:lineRule="atLeast"/>
        <w:ind w:firstLine="480" w:firstLineChars="200"/>
        <w:rPr>
          <w:sz w:val="24"/>
        </w:rPr>
      </w:pPr>
      <w:r>
        <w:rPr>
          <w:sz w:val="24"/>
        </w:rPr>
        <w:t>(3)  凡超出施工图纸和本技术条款规定的计量范围以外的长度、面积或体积，均不予计量或计算。</w:t>
      </w:r>
    </w:p>
    <w:p>
      <w:pPr>
        <w:adjustRightInd w:val="0"/>
        <w:snapToGrid w:val="0"/>
        <w:spacing w:line="500" w:lineRule="atLeast"/>
        <w:ind w:firstLine="480" w:firstLineChars="200"/>
        <w:rPr>
          <w:sz w:val="24"/>
        </w:rPr>
      </w:pPr>
      <w:r>
        <w:rPr>
          <w:sz w:val="24"/>
        </w:rPr>
        <w:t xml:space="preserve">(4)  实物工程量的计量，应由承包人应用标准的计量设备进行称量或计算，并经监理人签认后，列入承包人的每月工程量报表。 </w:t>
      </w:r>
    </w:p>
    <w:p>
      <w:pPr>
        <w:adjustRightInd w:val="0"/>
        <w:snapToGrid w:val="0"/>
        <w:spacing w:line="500" w:lineRule="atLeast"/>
        <w:ind w:firstLine="480" w:firstLineChars="200"/>
        <w:rPr>
          <w:sz w:val="24"/>
        </w:rPr>
      </w:pPr>
    </w:p>
    <w:p>
      <w:pPr>
        <w:pStyle w:val="5"/>
        <w:snapToGrid w:val="0"/>
        <w:spacing w:before="0" w:after="0" w:line="500" w:lineRule="atLeast"/>
        <w:jc w:val="both"/>
        <w:rPr>
          <w:szCs w:val="24"/>
        </w:rPr>
      </w:pPr>
      <w:bookmarkStart w:id="365" w:name="_Toc11356"/>
      <w:bookmarkStart w:id="366" w:name="_Toc13589948"/>
      <w:bookmarkStart w:id="367" w:name="_Toc240878312"/>
      <w:bookmarkStart w:id="368" w:name="_Toc246214118"/>
      <w:bookmarkStart w:id="369" w:name="_Toc324239540"/>
      <w:bookmarkStart w:id="370" w:name="_Toc118821483"/>
      <w:r>
        <w:rPr>
          <w:szCs w:val="24"/>
        </w:rPr>
        <w:t>1.1</w:t>
      </w:r>
      <w:r>
        <w:rPr>
          <w:rFonts w:hint="eastAsia"/>
          <w:szCs w:val="24"/>
        </w:rPr>
        <w:t>6</w:t>
      </w:r>
      <w:r>
        <w:rPr>
          <w:szCs w:val="24"/>
        </w:rPr>
        <w:t>.2  重量计量的计算</w:t>
      </w:r>
      <w:bookmarkEnd w:id="365"/>
      <w:bookmarkEnd w:id="366"/>
      <w:bookmarkEnd w:id="367"/>
      <w:bookmarkEnd w:id="368"/>
      <w:bookmarkEnd w:id="369"/>
      <w:bookmarkEnd w:id="370"/>
    </w:p>
    <w:p>
      <w:pPr>
        <w:adjustRightInd w:val="0"/>
        <w:snapToGrid w:val="0"/>
        <w:spacing w:line="500" w:lineRule="atLeast"/>
        <w:ind w:firstLine="480" w:firstLineChars="200"/>
        <w:rPr>
          <w:sz w:val="24"/>
        </w:rPr>
      </w:pPr>
      <w:r>
        <w:rPr>
          <w:sz w:val="24"/>
        </w:rPr>
        <w:t>(1)  凡以重量计量的材料，应由承包人合格的称量人员使用经国家计量监督部门检验合格的秤量器，在规定的地点进行称量。</w:t>
      </w:r>
    </w:p>
    <w:p>
      <w:pPr>
        <w:adjustRightInd w:val="0"/>
        <w:snapToGrid w:val="0"/>
        <w:spacing w:line="500" w:lineRule="atLeast"/>
        <w:ind w:firstLine="480" w:firstLineChars="200"/>
        <w:rPr>
          <w:sz w:val="24"/>
        </w:rPr>
      </w:pPr>
      <w:r>
        <w:rPr>
          <w:sz w:val="24"/>
        </w:rPr>
        <w:t>(2)  钢材的计量应按施工图纸所示的净值计量。钢筋应按监理人批准的钢筋下料表，以直径和长度计算，不计入钢筋损耗和架设定位的附加钢筋量；施工附加量均不单独计量，而应包括在有关钢筋等各自的单价中。</w:t>
      </w:r>
    </w:p>
    <w:p>
      <w:pPr>
        <w:adjustRightInd w:val="0"/>
        <w:snapToGrid w:val="0"/>
        <w:spacing w:line="500" w:lineRule="atLeast"/>
        <w:ind w:firstLine="480" w:firstLineChars="200"/>
        <w:rPr>
          <w:sz w:val="24"/>
        </w:rPr>
      </w:pPr>
    </w:p>
    <w:p>
      <w:pPr>
        <w:pStyle w:val="5"/>
        <w:snapToGrid w:val="0"/>
        <w:spacing w:before="0" w:after="0" w:line="500" w:lineRule="atLeast"/>
        <w:jc w:val="both"/>
        <w:rPr>
          <w:szCs w:val="24"/>
        </w:rPr>
      </w:pPr>
      <w:bookmarkStart w:id="371" w:name="_Toc521577789"/>
      <w:bookmarkStart w:id="372" w:name="_Toc324239541"/>
      <w:bookmarkStart w:id="373" w:name="_Toc118821484"/>
      <w:bookmarkStart w:id="374" w:name="_Toc15751"/>
      <w:bookmarkStart w:id="375" w:name="_Toc240878313"/>
      <w:bookmarkStart w:id="376" w:name="_Toc246214119"/>
      <w:r>
        <w:rPr>
          <w:szCs w:val="24"/>
        </w:rPr>
        <w:t>1.16.</w:t>
      </w:r>
      <w:r>
        <w:rPr>
          <w:rFonts w:hint="eastAsia"/>
          <w:szCs w:val="24"/>
          <w:lang w:val="en-US"/>
        </w:rPr>
        <w:t>3</w:t>
      </w:r>
      <w:r>
        <w:rPr>
          <w:szCs w:val="24"/>
        </w:rPr>
        <w:t xml:space="preserve">  面积计量的计算</w:t>
      </w:r>
      <w:bookmarkEnd w:id="371"/>
      <w:bookmarkEnd w:id="372"/>
      <w:bookmarkEnd w:id="373"/>
      <w:bookmarkEnd w:id="374"/>
      <w:bookmarkEnd w:id="375"/>
      <w:bookmarkEnd w:id="376"/>
    </w:p>
    <w:p>
      <w:pPr>
        <w:adjustRightInd w:val="0"/>
        <w:snapToGrid w:val="0"/>
        <w:spacing w:line="500" w:lineRule="atLeast"/>
        <w:ind w:firstLine="480" w:firstLineChars="200"/>
        <w:rPr>
          <w:sz w:val="24"/>
        </w:rPr>
      </w:pPr>
      <w:r>
        <w:rPr>
          <w:sz w:val="24"/>
        </w:rPr>
        <w:t>结构面积的计算，应按施工图纸所示结构物尺寸线或监理人指示在现场实际量测的结构物净尺寸线进行计算。</w:t>
      </w:r>
      <w:bookmarkStart w:id="377" w:name="_Toc246214120"/>
      <w:bookmarkStart w:id="378" w:name="_Toc240878314"/>
      <w:bookmarkStart w:id="379" w:name="_Toc324239542"/>
    </w:p>
    <w:p>
      <w:pPr>
        <w:adjustRightInd w:val="0"/>
        <w:snapToGrid w:val="0"/>
        <w:spacing w:line="500" w:lineRule="atLeast"/>
        <w:ind w:firstLine="480" w:firstLineChars="200"/>
        <w:rPr>
          <w:sz w:val="24"/>
        </w:rPr>
      </w:pPr>
    </w:p>
    <w:p>
      <w:pPr>
        <w:pStyle w:val="5"/>
        <w:snapToGrid w:val="0"/>
        <w:spacing w:before="0" w:after="0" w:line="500" w:lineRule="atLeast"/>
        <w:jc w:val="both"/>
        <w:rPr>
          <w:szCs w:val="24"/>
        </w:rPr>
      </w:pPr>
      <w:bookmarkStart w:id="380" w:name="_Toc12966"/>
      <w:bookmarkStart w:id="381" w:name="_Toc521577790"/>
      <w:bookmarkStart w:id="382" w:name="_Toc118821485"/>
      <w:r>
        <w:rPr>
          <w:szCs w:val="24"/>
        </w:rPr>
        <w:t>1.16.</w:t>
      </w:r>
      <w:r>
        <w:rPr>
          <w:rFonts w:hint="eastAsia"/>
          <w:szCs w:val="24"/>
          <w:lang w:val="en-US"/>
        </w:rPr>
        <w:t>4</w:t>
      </w:r>
      <w:r>
        <w:rPr>
          <w:szCs w:val="24"/>
        </w:rPr>
        <w:t xml:space="preserve">  体积计量的计算</w:t>
      </w:r>
      <w:bookmarkEnd w:id="377"/>
      <w:bookmarkEnd w:id="378"/>
      <w:bookmarkEnd w:id="379"/>
      <w:bookmarkEnd w:id="380"/>
      <w:bookmarkEnd w:id="381"/>
      <w:bookmarkEnd w:id="382"/>
    </w:p>
    <w:p>
      <w:pPr>
        <w:adjustRightInd w:val="0"/>
        <w:snapToGrid w:val="0"/>
        <w:spacing w:line="500" w:lineRule="atLeast"/>
        <w:ind w:firstLine="480" w:firstLineChars="200"/>
        <w:rPr>
          <w:sz w:val="24"/>
        </w:rPr>
      </w:pPr>
      <w:r>
        <w:rPr>
          <w:sz w:val="24"/>
        </w:rPr>
        <w:t>(1)  结构物体积计量的计算，应按施工图纸所示轮廓线内的实际工程量或按监理人指示在现场量测的净尺寸线进行计算。经监理人批准，大体积混凝土中所设体积小于0.1m</w:t>
      </w:r>
      <w:r>
        <w:rPr>
          <w:sz w:val="24"/>
          <w:vertAlign w:val="superscript"/>
        </w:rPr>
        <w:t>3</w:t>
      </w:r>
      <w:r>
        <w:rPr>
          <w:sz w:val="24"/>
        </w:rPr>
        <w:t>的孔洞、排水管、预埋管和凹槽等工程量不予扣除，按施工图纸和指示要求对临时孔洞进行回填的工程量不重复计量。</w:t>
      </w:r>
    </w:p>
    <w:p>
      <w:pPr>
        <w:adjustRightInd w:val="0"/>
        <w:snapToGrid w:val="0"/>
        <w:spacing w:line="500" w:lineRule="atLeast"/>
        <w:ind w:firstLine="480" w:firstLineChars="200"/>
        <w:rPr>
          <w:sz w:val="24"/>
        </w:rPr>
      </w:pPr>
      <w:r>
        <w:rPr>
          <w:sz w:val="24"/>
        </w:rPr>
        <w:t>(2)  混凝土工程量的计量，应按监理人签认的已完工程的净尺寸计算；土石方填筑工程量的计量，应按完工验收时实测的工程量进行最终计量。</w:t>
      </w:r>
      <w:bookmarkStart w:id="383" w:name="_Toc240878315"/>
      <w:bookmarkStart w:id="384" w:name="_Toc324239543"/>
      <w:bookmarkStart w:id="385" w:name="_Toc246214121"/>
    </w:p>
    <w:p>
      <w:pPr>
        <w:adjustRightInd w:val="0"/>
        <w:snapToGrid w:val="0"/>
        <w:spacing w:line="500" w:lineRule="atLeast"/>
        <w:ind w:firstLine="480" w:firstLineChars="200"/>
        <w:rPr>
          <w:sz w:val="24"/>
        </w:rPr>
      </w:pPr>
    </w:p>
    <w:p>
      <w:pPr>
        <w:pStyle w:val="5"/>
        <w:snapToGrid w:val="0"/>
        <w:spacing w:before="0" w:after="0" w:line="500" w:lineRule="atLeast"/>
        <w:jc w:val="both"/>
        <w:rPr>
          <w:szCs w:val="24"/>
        </w:rPr>
      </w:pPr>
      <w:bookmarkStart w:id="386" w:name="_Toc118821486"/>
      <w:bookmarkStart w:id="387" w:name="_Toc29590"/>
      <w:bookmarkStart w:id="388" w:name="_Toc521577791"/>
      <w:r>
        <w:rPr>
          <w:szCs w:val="24"/>
        </w:rPr>
        <w:t>1.16.4  长度计量的计算</w:t>
      </w:r>
      <w:bookmarkEnd w:id="383"/>
      <w:bookmarkEnd w:id="384"/>
      <w:bookmarkEnd w:id="385"/>
      <w:bookmarkEnd w:id="386"/>
      <w:bookmarkEnd w:id="387"/>
      <w:bookmarkEnd w:id="388"/>
    </w:p>
    <w:p>
      <w:pPr>
        <w:adjustRightInd w:val="0"/>
        <w:snapToGrid w:val="0"/>
        <w:spacing w:line="500" w:lineRule="atLeast"/>
        <w:ind w:firstLine="480" w:firstLineChars="200"/>
        <w:rPr>
          <w:sz w:val="24"/>
        </w:rPr>
      </w:pPr>
      <w:r>
        <w:rPr>
          <w:sz w:val="24"/>
        </w:rPr>
        <w:t>所有以米计量的结构物，除施工图纸另有规定，应按平行于结构物位置的纵向轴线或基础方向的长度计算。</w:t>
      </w:r>
    </w:p>
    <w:p>
      <w:pPr>
        <w:adjustRightInd w:val="0"/>
        <w:snapToGrid w:val="0"/>
        <w:spacing w:line="500" w:lineRule="atLeast"/>
        <w:ind w:firstLine="480" w:firstLineChars="200"/>
        <w:rPr>
          <w:sz w:val="24"/>
        </w:rPr>
      </w:pPr>
    </w:p>
    <w:p>
      <w:pPr>
        <w:pStyle w:val="4"/>
        <w:adjustRightInd w:val="0"/>
        <w:snapToGrid w:val="0"/>
        <w:spacing w:before="0" w:after="0" w:line="500" w:lineRule="atLeast"/>
        <w:rPr>
          <w:rFonts w:ascii="黑体" w:hAnsi="黑体" w:eastAsia="黑体"/>
          <w:b w:val="0"/>
          <w:sz w:val="24"/>
          <w:szCs w:val="24"/>
        </w:rPr>
      </w:pPr>
      <w:bookmarkStart w:id="389" w:name="_Toc476234304"/>
      <w:bookmarkStart w:id="390" w:name="_Toc16717"/>
      <w:bookmarkStart w:id="391" w:name="_Toc483070249"/>
      <w:bookmarkStart w:id="392" w:name="_Toc118821487"/>
      <w:r>
        <w:rPr>
          <w:rFonts w:ascii="Times New Roman" w:hAnsi="Times New Roman"/>
          <w:sz w:val="24"/>
          <w:szCs w:val="24"/>
        </w:rPr>
        <w:t xml:space="preserve">1.17  </w:t>
      </w:r>
      <w:r>
        <w:rPr>
          <w:rFonts w:ascii="黑体" w:hAnsi="黑体" w:eastAsia="黑体"/>
          <w:b w:val="0"/>
          <w:sz w:val="24"/>
          <w:szCs w:val="24"/>
        </w:rPr>
        <w:t>技术标准和规程规范</w:t>
      </w:r>
      <w:bookmarkEnd w:id="389"/>
      <w:bookmarkEnd w:id="390"/>
      <w:bookmarkEnd w:id="391"/>
      <w:bookmarkEnd w:id="392"/>
    </w:p>
    <w:p>
      <w:pPr>
        <w:adjustRightInd w:val="0"/>
        <w:snapToGrid w:val="0"/>
        <w:spacing w:line="500" w:lineRule="atLeast"/>
        <w:ind w:firstLine="480" w:firstLineChars="200"/>
        <w:rPr>
          <w:sz w:val="24"/>
        </w:rPr>
      </w:pPr>
      <w:bookmarkStart w:id="393" w:name="_Toc414615010"/>
      <w:bookmarkStart w:id="394" w:name="_Toc232162567"/>
      <w:bookmarkStart w:id="395" w:name="_Toc414549228"/>
      <w:bookmarkStart w:id="396" w:name="_Toc414615064"/>
      <w:bookmarkStart w:id="397" w:name="_Toc414549294"/>
      <w:bookmarkStart w:id="398" w:name="_Toc414615216"/>
      <w:bookmarkStart w:id="399" w:name="_Toc7317788"/>
      <w:bookmarkStart w:id="400" w:name="_Toc249322060"/>
      <w:r>
        <w:rPr>
          <w:sz w:val="24"/>
        </w:rPr>
        <w:t>(1)  除本技术文件另有规定外，承包人施工所用的材料、设备、施工工艺和工程质量的检验和验收应符合本技术文件中引用的国家和行业颁布的技术标准和规程规范规定的技术要求。</w:t>
      </w:r>
    </w:p>
    <w:p>
      <w:pPr>
        <w:adjustRightInd w:val="0"/>
        <w:snapToGrid w:val="0"/>
        <w:spacing w:line="500" w:lineRule="atLeast"/>
        <w:ind w:firstLine="480" w:firstLineChars="200"/>
        <w:rPr>
          <w:sz w:val="24"/>
        </w:rPr>
      </w:pPr>
      <w:r>
        <w:rPr>
          <w:sz w:val="24"/>
        </w:rPr>
        <w:t>(2)  当本技术文件的内容与所引用的标准和规程规范的规定有矛盾时，应与监理及设计单位核定后确定。</w:t>
      </w:r>
    </w:p>
    <w:p>
      <w:pPr>
        <w:adjustRightInd w:val="0"/>
        <w:snapToGrid w:val="0"/>
        <w:spacing w:line="500" w:lineRule="atLeast"/>
        <w:ind w:firstLine="480" w:firstLineChars="200"/>
        <w:rPr>
          <w:sz w:val="24"/>
        </w:rPr>
      </w:pPr>
      <w:r>
        <w:rPr>
          <w:sz w:val="24"/>
        </w:rPr>
        <w:t>(3)  涉及变更的应按本《合同条款》的规定办理。</w:t>
      </w:r>
    </w:p>
    <w:p>
      <w:pPr>
        <w:adjustRightInd w:val="0"/>
        <w:snapToGrid w:val="0"/>
        <w:spacing w:line="500" w:lineRule="atLeast"/>
        <w:ind w:firstLine="480" w:firstLineChars="200"/>
        <w:rPr>
          <w:sz w:val="24"/>
        </w:rPr>
      </w:pPr>
      <w:r>
        <w:rPr>
          <w:sz w:val="24"/>
        </w:rPr>
        <w:t>(4)  在施工过程中，监理人为保证工程质量和施工进度的要求，有权指示承包人或批准承包人采用新技术和新工艺，并增补和修改技术文件的内容，其增补和修改的内容涉及变更时，应按《合同条款》的规定办理。</w:t>
      </w:r>
    </w:p>
    <w:p>
      <w:pPr>
        <w:adjustRightInd w:val="0"/>
        <w:snapToGrid w:val="0"/>
        <w:spacing w:line="500" w:lineRule="atLeast"/>
        <w:ind w:firstLine="480" w:firstLineChars="200"/>
        <w:rPr>
          <w:sz w:val="24"/>
        </w:rPr>
      </w:pPr>
      <w:r>
        <w:rPr>
          <w:sz w:val="24"/>
        </w:rPr>
        <w:t>(5)  本合同技术文件中引用的标准和规程规范在本合同出版时均为有效，所有标准和规程规范都会被修订，故使用本合同范本编制工程技术文件时，应执行其最新版本。</w:t>
      </w:r>
    </w:p>
    <w:p>
      <w:pPr>
        <w:adjustRightInd w:val="0"/>
        <w:snapToGrid w:val="0"/>
        <w:spacing w:line="500" w:lineRule="atLeast"/>
        <w:ind w:firstLine="480" w:firstLineChars="200"/>
        <w:rPr>
          <w:sz w:val="24"/>
        </w:rPr>
      </w:pPr>
      <w:r>
        <w:rPr>
          <w:sz w:val="24"/>
        </w:rPr>
        <w:t>本合同</w:t>
      </w:r>
      <w:r>
        <w:rPr>
          <w:rFonts w:hint="eastAsia"/>
          <w:sz w:val="24"/>
        </w:rPr>
        <w:t>安全</w:t>
      </w:r>
      <w:r>
        <w:rPr>
          <w:sz w:val="24"/>
        </w:rPr>
        <w:t>监测工程施工引用主要标准和规程规范</w:t>
      </w:r>
      <w:r>
        <w:rPr>
          <w:rFonts w:hint="eastAsia"/>
          <w:sz w:val="24"/>
        </w:rPr>
        <w:t>见</w:t>
      </w:r>
      <w:r>
        <w:rPr>
          <w:sz w:val="24"/>
        </w:rPr>
        <w:t>本技术条款第</w:t>
      </w:r>
      <w:r>
        <w:rPr>
          <w:rFonts w:hint="eastAsia"/>
          <w:sz w:val="24"/>
        </w:rPr>
        <w:t>1.2节的</w:t>
      </w:r>
      <w:r>
        <w:rPr>
          <w:sz w:val="24"/>
        </w:rPr>
        <w:t>内容</w:t>
      </w:r>
      <w:r>
        <w:rPr>
          <w:rFonts w:hint="eastAsia"/>
          <w:sz w:val="24"/>
        </w:rPr>
        <w:t>。</w:t>
      </w:r>
    </w:p>
    <w:p>
      <w:pPr>
        <w:adjustRightInd w:val="0"/>
        <w:snapToGrid w:val="0"/>
        <w:spacing w:line="500" w:lineRule="atLeast"/>
        <w:ind w:firstLine="480" w:firstLineChars="200"/>
        <w:rPr>
          <w:sz w:val="24"/>
        </w:rPr>
        <w:sectPr>
          <w:headerReference r:id="rId7" w:type="default"/>
          <w:footerReference r:id="rId9" w:type="default"/>
          <w:headerReference r:id="rId8" w:type="even"/>
          <w:footerReference r:id="rId10" w:type="even"/>
          <w:pgSz w:w="11906" w:h="16838"/>
          <w:pgMar w:top="1418" w:right="1361" w:bottom="1418" w:left="2211" w:header="851" w:footer="992" w:gutter="0"/>
          <w:cols w:space="720" w:num="1"/>
          <w:titlePg/>
          <w:docGrid w:linePitch="312" w:charSpace="0"/>
        </w:sectPr>
      </w:pPr>
    </w:p>
    <w:p>
      <w:pPr>
        <w:pStyle w:val="3"/>
        <w:spacing w:before="0" w:after="0" w:line="500" w:lineRule="atLeast"/>
        <w:jc w:val="center"/>
        <w:rPr>
          <w:rFonts w:ascii="黑体" w:hAnsi="黑体" w:eastAsia="黑体"/>
          <w:b w:val="0"/>
          <w:sz w:val="30"/>
        </w:rPr>
      </w:pPr>
      <w:bookmarkStart w:id="401" w:name="_Toc4676"/>
      <w:bookmarkStart w:id="402" w:name="_Toc118821488"/>
      <w:r>
        <w:rPr>
          <w:rFonts w:ascii="黑体" w:hAnsi="黑体" w:eastAsia="黑体"/>
          <w:b w:val="0"/>
          <w:sz w:val="30"/>
        </w:rPr>
        <w:t>第二章  监测仪器设备的采购、验收和率定</w:t>
      </w:r>
      <w:bookmarkEnd w:id="393"/>
      <w:bookmarkEnd w:id="394"/>
      <w:bookmarkEnd w:id="395"/>
      <w:bookmarkEnd w:id="396"/>
      <w:bookmarkEnd w:id="397"/>
      <w:bookmarkEnd w:id="398"/>
      <w:bookmarkEnd w:id="399"/>
      <w:bookmarkEnd w:id="400"/>
      <w:bookmarkEnd w:id="401"/>
      <w:bookmarkEnd w:id="402"/>
    </w:p>
    <w:p/>
    <w:p>
      <w:pPr>
        <w:pStyle w:val="4"/>
        <w:adjustRightInd w:val="0"/>
        <w:snapToGrid w:val="0"/>
        <w:spacing w:before="0" w:after="0" w:line="500" w:lineRule="atLeast"/>
        <w:rPr>
          <w:rFonts w:ascii="Times New Roman" w:hAnsi="Times New Roman"/>
          <w:sz w:val="24"/>
          <w:szCs w:val="24"/>
        </w:rPr>
      </w:pPr>
      <w:bookmarkStart w:id="403" w:name="_Toc28159"/>
      <w:bookmarkStart w:id="404" w:name="_Toc249322061"/>
      <w:bookmarkStart w:id="405" w:name="_Toc414615065"/>
      <w:bookmarkStart w:id="406" w:name="_Toc7317789"/>
      <w:bookmarkStart w:id="407" w:name="_Toc414615217"/>
      <w:bookmarkStart w:id="408" w:name="_Toc118821489"/>
      <w:bookmarkStart w:id="409" w:name="_Toc247353869"/>
      <w:r>
        <w:rPr>
          <w:rFonts w:ascii="Times New Roman" w:hAnsi="Times New Roman"/>
          <w:sz w:val="24"/>
          <w:szCs w:val="24"/>
        </w:rPr>
        <w:t xml:space="preserve">2.1  </w:t>
      </w:r>
      <w:r>
        <w:rPr>
          <w:rFonts w:hint="eastAsia" w:ascii="Times New Roman" w:hAnsi="Times New Roman"/>
          <w:sz w:val="24"/>
          <w:szCs w:val="24"/>
        </w:rPr>
        <w:t>仪器设备的采购</w:t>
      </w:r>
      <w:bookmarkEnd w:id="403"/>
      <w:bookmarkEnd w:id="404"/>
      <w:bookmarkEnd w:id="405"/>
      <w:bookmarkEnd w:id="406"/>
      <w:bookmarkEnd w:id="407"/>
      <w:bookmarkEnd w:id="408"/>
      <w:bookmarkEnd w:id="409"/>
    </w:p>
    <w:p>
      <w:pPr>
        <w:adjustRightInd w:val="0"/>
        <w:snapToGrid w:val="0"/>
        <w:spacing w:line="360" w:lineRule="auto"/>
        <w:ind w:firstLine="480" w:firstLineChars="200"/>
        <w:rPr>
          <w:sz w:val="24"/>
        </w:rPr>
      </w:pPr>
      <w:bookmarkStart w:id="410" w:name="_Toc249322062"/>
      <w:bookmarkStart w:id="411" w:name="_Toc414615066"/>
      <w:bookmarkStart w:id="412" w:name="_Toc414615218"/>
      <w:bookmarkStart w:id="413" w:name="_Toc247353870"/>
      <w:bookmarkStart w:id="414" w:name="_Toc7317790"/>
      <w:r>
        <w:rPr>
          <w:sz w:val="24"/>
        </w:rPr>
        <w:t>(1)  除合同另有规定外，承包人应按规范规定、本技术文件要求及施工图和监理人指示的要求提供《工程量清单》中列出的全部仪器、量测设备及附件，包括电缆及其套管和支架、导管，以及其他附属设施。</w:t>
      </w:r>
    </w:p>
    <w:p>
      <w:pPr>
        <w:adjustRightInd w:val="0"/>
        <w:snapToGrid w:val="0"/>
        <w:spacing w:line="360" w:lineRule="auto"/>
        <w:ind w:firstLine="480" w:firstLineChars="200"/>
        <w:rPr>
          <w:sz w:val="24"/>
        </w:rPr>
      </w:pPr>
      <w:r>
        <w:rPr>
          <w:sz w:val="24"/>
        </w:rPr>
        <w:t>(2)  标书规定采用的监测仪器设备必须是国内外知名品牌</w:t>
      </w:r>
      <w:r>
        <w:rPr>
          <w:rFonts w:hint="eastAsia"/>
          <w:sz w:val="24"/>
        </w:rPr>
        <w:t>，且</w:t>
      </w:r>
      <w:r>
        <w:rPr>
          <w:sz w:val="24"/>
        </w:rPr>
        <w:t>有在不少于</w:t>
      </w:r>
      <w:r>
        <w:rPr>
          <w:rFonts w:hint="eastAsia"/>
          <w:sz w:val="24"/>
        </w:rPr>
        <w:t>三</w:t>
      </w:r>
      <w:r>
        <w:rPr>
          <w:sz w:val="24"/>
        </w:rPr>
        <w:t>个同类工程中使用实例，并且</w:t>
      </w:r>
      <w:r>
        <w:rPr>
          <w:rFonts w:hint="eastAsia"/>
          <w:sz w:val="24"/>
        </w:rPr>
        <w:t>均</w:t>
      </w:r>
      <w:r>
        <w:rPr>
          <w:sz w:val="24"/>
        </w:rPr>
        <w:t>已经</w:t>
      </w:r>
      <w:r>
        <w:rPr>
          <w:rFonts w:hint="eastAsia"/>
          <w:sz w:val="24"/>
        </w:rPr>
        <w:t>良好</w:t>
      </w:r>
      <w:r>
        <w:rPr>
          <w:sz w:val="24"/>
        </w:rPr>
        <w:t>地运行</w:t>
      </w:r>
      <w:r>
        <w:rPr>
          <w:rFonts w:hint="eastAsia"/>
          <w:sz w:val="24"/>
        </w:rPr>
        <w:t>不少于</w:t>
      </w:r>
      <w:r>
        <w:rPr>
          <w:sz w:val="24"/>
        </w:rPr>
        <w:t>三年。</w:t>
      </w:r>
    </w:p>
    <w:p>
      <w:pPr>
        <w:adjustRightInd w:val="0"/>
        <w:snapToGrid w:val="0"/>
        <w:spacing w:line="360" w:lineRule="auto"/>
        <w:ind w:firstLine="480" w:firstLineChars="200"/>
        <w:rPr>
          <w:sz w:val="24"/>
        </w:rPr>
      </w:pPr>
      <w:r>
        <w:rPr>
          <w:sz w:val="24"/>
        </w:rPr>
        <w:t>(3)  承包人所提供的仪器设备的生产厂家应符合《中华人民共和国计量法》的有关规定。国产仪器设备生产厂家应通过ISO9001系列质量体系认证；进口仪器设备必须提供报关单，ISO900</w:t>
      </w:r>
      <w:r>
        <w:rPr>
          <w:rFonts w:hint="eastAsia"/>
          <w:sz w:val="24"/>
        </w:rPr>
        <w:t>1</w:t>
      </w:r>
      <w:r>
        <w:rPr>
          <w:sz w:val="24"/>
        </w:rPr>
        <w:t>质量认证及检验合格证，仪器抵达现场后，承包人必须进行检验或委托有计量认证资质的部门进行检定。</w:t>
      </w:r>
    </w:p>
    <w:p>
      <w:pPr>
        <w:adjustRightInd w:val="0"/>
        <w:snapToGrid w:val="0"/>
        <w:spacing w:line="360" w:lineRule="auto"/>
        <w:ind w:firstLine="480" w:firstLineChars="200"/>
        <w:rPr>
          <w:sz w:val="24"/>
        </w:rPr>
      </w:pPr>
      <w:r>
        <w:rPr>
          <w:sz w:val="24"/>
        </w:rPr>
        <w:t>(4)  承包人按规范规定、本技术文件要求及施工图和监理人指示的要求</w:t>
      </w:r>
      <w:r>
        <w:rPr>
          <w:rFonts w:hint="eastAsia"/>
          <w:sz w:val="24"/>
        </w:rPr>
        <w:t>，</w:t>
      </w:r>
      <w:r>
        <w:rPr>
          <w:sz w:val="24"/>
        </w:rPr>
        <w:t>所提供的全部仪器设备及附件应是性能稳定、质量可靠、耐用、技术参数符合设计要求的，且未经使用过的全新产品。</w:t>
      </w:r>
    </w:p>
    <w:p>
      <w:pPr>
        <w:adjustRightInd w:val="0"/>
        <w:snapToGrid w:val="0"/>
        <w:spacing w:line="360" w:lineRule="auto"/>
        <w:ind w:firstLine="480" w:firstLineChars="200"/>
        <w:rPr>
          <w:sz w:val="24"/>
        </w:rPr>
      </w:pPr>
      <w:r>
        <w:rPr>
          <w:sz w:val="24"/>
        </w:rPr>
        <w:t>(5)  承包人采购的所有仪器、设备及其附件均必须要有产品制造厂家提供的校准表、检验证书、报告及制造厂家的长期售后服务保证，以防购进伪劣产品。</w:t>
      </w:r>
    </w:p>
    <w:p>
      <w:pPr>
        <w:adjustRightInd w:val="0"/>
        <w:snapToGrid w:val="0"/>
        <w:spacing w:line="360" w:lineRule="auto"/>
        <w:ind w:firstLine="480" w:firstLineChars="200"/>
        <w:rPr>
          <w:sz w:val="24"/>
        </w:rPr>
      </w:pPr>
      <w:r>
        <w:rPr>
          <w:sz w:val="24"/>
        </w:rPr>
        <w:t>(6)  监测仪器的电缆应是能负重、防水、防酸、防碱、耐腐蚀、质地柔软的专用电缆，其芯线应为镀锡铜丝，适应温度范围在-20</w:t>
      </w:r>
      <w:r>
        <w:rPr>
          <w:rFonts w:hint="eastAsia"/>
          <w:sz w:val="24"/>
        </w:rPr>
        <w:t>℃</w:t>
      </w:r>
      <w:r>
        <w:rPr>
          <w:sz w:val="24"/>
        </w:rPr>
        <w:t>～80</w:t>
      </w:r>
      <w:r>
        <w:rPr>
          <w:rFonts w:hint="eastAsia"/>
          <w:sz w:val="24"/>
        </w:rPr>
        <w:t>℃</w:t>
      </w:r>
      <w:r>
        <w:rPr>
          <w:sz w:val="24"/>
        </w:rPr>
        <w:t>之间。电缆芯线应在100m内无接头。承包人应使用符合施工图指定的技术参数的电缆或由制造厂家提供的与仪器配套的专用电缆。</w:t>
      </w:r>
    </w:p>
    <w:p>
      <w:pPr>
        <w:adjustRightInd w:val="0"/>
        <w:snapToGrid w:val="0"/>
        <w:spacing w:line="360" w:lineRule="auto"/>
        <w:ind w:firstLine="480" w:firstLineChars="200"/>
        <w:rPr>
          <w:sz w:val="24"/>
        </w:rPr>
      </w:pPr>
      <w:r>
        <w:rPr>
          <w:sz w:val="24"/>
        </w:rPr>
        <w:t>(7)  承包人所提供的传感器读数仪表应符合《中华人民共和国计量法》的有关规定，承包人第一次使用前和使用过程中必须按期委托有计量认证资质的部门进行检定。</w:t>
      </w:r>
    </w:p>
    <w:p>
      <w:pPr>
        <w:adjustRightInd w:val="0"/>
        <w:snapToGrid w:val="0"/>
        <w:spacing w:line="360" w:lineRule="auto"/>
        <w:ind w:firstLine="480" w:firstLineChars="200"/>
        <w:rPr>
          <w:sz w:val="24"/>
        </w:rPr>
      </w:pPr>
      <w:r>
        <w:rPr>
          <w:sz w:val="24"/>
        </w:rPr>
        <w:t>(8)  承包人应在采购合同签订前21天向监理人报送拟采购的仪器设备及其附件的详细资料，经批准后方可采购。若监理人认为仪器设备不满足要求时，承包人则应按监理人指示立即予以更换，并在7天内提供更换后的仪器设备资料。首批仪器设备的采购中承包人报送以上相关资料的时间应按照监理人的批示执行。承包人必须考虑留有充裕的时间进行原装进口仪器设备的采购，采购计划经监理认可后方可采购。承包人在施工组织时应充分考虑到主体工程施工进度可能产生的变化，不得因各种原因随意改变监理人批准的采购计划中任何监测仪器的类型。</w:t>
      </w:r>
    </w:p>
    <w:p>
      <w:pPr>
        <w:adjustRightInd w:val="0"/>
        <w:snapToGrid w:val="0"/>
        <w:spacing w:line="360" w:lineRule="auto"/>
        <w:ind w:firstLine="480" w:firstLineChars="200"/>
        <w:rPr>
          <w:sz w:val="24"/>
        </w:rPr>
      </w:pPr>
      <w:r>
        <w:rPr>
          <w:sz w:val="24"/>
        </w:rPr>
        <w:t>(9)  承包人应向监理人提交的仪器设备资料包括(但不限于)：</w:t>
      </w:r>
    </w:p>
    <w:p>
      <w:pPr>
        <w:adjustRightInd w:val="0"/>
        <w:snapToGrid w:val="0"/>
        <w:spacing w:line="360" w:lineRule="auto"/>
        <w:ind w:firstLine="480" w:firstLineChars="200"/>
        <w:rPr>
          <w:sz w:val="24"/>
        </w:rPr>
      </w:pPr>
      <w:r>
        <w:rPr>
          <w:sz w:val="24"/>
        </w:rPr>
        <w:t>1)  制造厂家名称及地址；</w:t>
      </w:r>
    </w:p>
    <w:p>
      <w:pPr>
        <w:adjustRightInd w:val="0"/>
        <w:snapToGrid w:val="0"/>
        <w:spacing w:line="360" w:lineRule="auto"/>
        <w:ind w:firstLine="480" w:firstLineChars="200"/>
        <w:rPr>
          <w:sz w:val="24"/>
        </w:rPr>
      </w:pPr>
      <w:r>
        <w:rPr>
          <w:sz w:val="24"/>
        </w:rPr>
        <w:t>2)  仪器产品出厂检验合格证、使用说明书；</w:t>
      </w:r>
    </w:p>
    <w:p>
      <w:pPr>
        <w:adjustRightInd w:val="0"/>
        <w:snapToGrid w:val="0"/>
        <w:spacing w:line="360" w:lineRule="auto"/>
        <w:ind w:firstLine="480" w:firstLineChars="200"/>
        <w:rPr>
          <w:sz w:val="24"/>
        </w:rPr>
      </w:pPr>
      <w:r>
        <w:rPr>
          <w:sz w:val="24"/>
        </w:rPr>
        <w:t>3)  仪器型号、规格、技术参数及工作原理(包括数据采集装置)；</w:t>
      </w:r>
    </w:p>
    <w:p>
      <w:pPr>
        <w:adjustRightInd w:val="0"/>
        <w:snapToGrid w:val="0"/>
        <w:spacing w:line="360" w:lineRule="auto"/>
        <w:ind w:firstLine="480" w:firstLineChars="200"/>
        <w:rPr>
          <w:sz w:val="24"/>
        </w:rPr>
      </w:pPr>
      <w:r>
        <w:rPr>
          <w:sz w:val="24"/>
        </w:rPr>
        <w:t>4)  测量方法、精度和范围；</w:t>
      </w:r>
    </w:p>
    <w:p>
      <w:pPr>
        <w:adjustRightInd w:val="0"/>
        <w:snapToGrid w:val="0"/>
        <w:spacing w:line="360" w:lineRule="auto"/>
        <w:ind w:firstLine="480" w:firstLineChars="200"/>
        <w:rPr>
          <w:sz w:val="24"/>
        </w:rPr>
      </w:pPr>
      <w:r>
        <w:rPr>
          <w:sz w:val="24"/>
        </w:rPr>
        <w:t>5)  测试和率定程序；</w:t>
      </w:r>
    </w:p>
    <w:p>
      <w:pPr>
        <w:adjustRightInd w:val="0"/>
        <w:snapToGrid w:val="0"/>
        <w:spacing w:line="360" w:lineRule="auto"/>
        <w:ind w:firstLine="480" w:firstLineChars="200"/>
        <w:rPr>
          <w:sz w:val="24"/>
        </w:rPr>
      </w:pPr>
      <w:r>
        <w:rPr>
          <w:sz w:val="24"/>
        </w:rPr>
        <w:t>6)  仪器设备安装方法及技术规程；</w:t>
      </w:r>
    </w:p>
    <w:p>
      <w:pPr>
        <w:adjustRightInd w:val="0"/>
        <w:snapToGrid w:val="0"/>
        <w:spacing w:line="360" w:lineRule="auto"/>
        <w:ind w:firstLine="480" w:firstLineChars="200"/>
        <w:rPr>
          <w:sz w:val="24"/>
        </w:rPr>
      </w:pPr>
      <w:r>
        <w:rPr>
          <w:sz w:val="24"/>
        </w:rPr>
        <w:t>7)  安装后的测试和检验程序；</w:t>
      </w:r>
    </w:p>
    <w:p>
      <w:pPr>
        <w:adjustRightInd w:val="0"/>
        <w:snapToGrid w:val="0"/>
        <w:spacing w:line="360" w:lineRule="auto"/>
        <w:ind w:firstLine="480" w:firstLineChars="200"/>
        <w:rPr>
          <w:sz w:val="24"/>
        </w:rPr>
      </w:pPr>
      <w:r>
        <w:rPr>
          <w:sz w:val="24"/>
        </w:rPr>
        <w:t>8)  安装期间的读数和其他要记录的数据；</w:t>
      </w:r>
    </w:p>
    <w:p>
      <w:pPr>
        <w:adjustRightInd w:val="0"/>
        <w:snapToGrid w:val="0"/>
        <w:spacing w:line="360" w:lineRule="auto"/>
        <w:ind w:firstLine="480" w:firstLineChars="200"/>
        <w:rPr>
          <w:sz w:val="24"/>
        </w:rPr>
      </w:pPr>
      <w:r>
        <w:rPr>
          <w:sz w:val="24"/>
        </w:rPr>
        <w:t>9)  仪器初始和长期测读方法及操作规程；</w:t>
      </w:r>
    </w:p>
    <w:p>
      <w:pPr>
        <w:adjustRightInd w:val="0"/>
        <w:snapToGrid w:val="0"/>
        <w:spacing w:line="360" w:lineRule="auto"/>
        <w:ind w:firstLine="480" w:firstLineChars="200"/>
        <w:rPr>
          <w:sz w:val="24"/>
        </w:rPr>
      </w:pPr>
      <w:r>
        <w:rPr>
          <w:sz w:val="24"/>
        </w:rPr>
        <w:t>10)  仪器和读数设备的定期检验、校正和率定方法；</w:t>
      </w:r>
    </w:p>
    <w:p>
      <w:pPr>
        <w:adjustRightInd w:val="0"/>
        <w:snapToGrid w:val="0"/>
        <w:spacing w:line="360" w:lineRule="auto"/>
        <w:ind w:firstLine="480" w:firstLineChars="200"/>
        <w:rPr>
          <w:sz w:val="24"/>
        </w:rPr>
      </w:pPr>
      <w:r>
        <w:rPr>
          <w:sz w:val="24"/>
        </w:rPr>
        <w:t>11)  人员和设备安全的注意事项；</w:t>
      </w:r>
    </w:p>
    <w:p>
      <w:pPr>
        <w:adjustRightInd w:val="0"/>
        <w:snapToGrid w:val="0"/>
        <w:spacing w:line="360" w:lineRule="auto"/>
        <w:ind w:firstLine="480" w:firstLineChars="200"/>
        <w:rPr>
          <w:sz w:val="24"/>
        </w:rPr>
      </w:pPr>
      <w:r>
        <w:rPr>
          <w:sz w:val="24"/>
        </w:rPr>
        <w:t>12)  读数设备和动力要求；</w:t>
      </w:r>
    </w:p>
    <w:p>
      <w:pPr>
        <w:adjustRightInd w:val="0"/>
        <w:snapToGrid w:val="0"/>
        <w:spacing w:line="360" w:lineRule="auto"/>
        <w:ind w:firstLine="480" w:firstLineChars="200"/>
        <w:rPr>
          <w:sz w:val="24"/>
        </w:rPr>
      </w:pPr>
      <w:r>
        <w:rPr>
          <w:sz w:val="24"/>
        </w:rPr>
        <w:t>13)  监测数据处理方法；</w:t>
      </w:r>
    </w:p>
    <w:p>
      <w:pPr>
        <w:adjustRightInd w:val="0"/>
        <w:snapToGrid w:val="0"/>
        <w:spacing w:line="360" w:lineRule="auto"/>
        <w:ind w:firstLine="480" w:firstLineChars="200"/>
        <w:rPr>
          <w:sz w:val="24"/>
        </w:rPr>
      </w:pPr>
      <w:r>
        <w:rPr>
          <w:sz w:val="24"/>
        </w:rPr>
        <w:t>14)  维修的要求和程序；</w:t>
      </w:r>
    </w:p>
    <w:p>
      <w:pPr>
        <w:adjustRightInd w:val="0"/>
        <w:snapToGrid w:val="0"/>
        <w:spacing w:line="360" w:lineRule="auto"/>
        <w:ind w:firstLine="480" w:firstLineChars="200"/>
        <w:rPr>
          <w:sz w:val="24"/>
        </w:rPr>
      </w:pPr>
      <w:r>
        <w:rPr>
          <w:sz w:val="24"/>
        </w:rPr>
        <w:t>15)  故障检查和维修指南；</w:t>
      </w:r>
    </w:p>
    <w:p>
      <w:pPr>
        <w:adjustRightInd w:val="0"/>
        <w:snapToGrid w:val="0"/>
        <w:spacing w:line="360" w:lineRule="auto"/>
        <w:ind w:firstLine="480" w:firstLineChars="200"/>
        <w:rPr>
          <w:sz w:val="24"/>
        </w:rPr>
      </w:pPr>
      <w:r>
        <w:rPr>
          <w:sz w:val="24"/>
        </w:rPr>
        <w:t>16)  零配件清单(包括消耗品和工具)；</w:t>
      </w:r>
    </w:p>
    <w:p>
      <w:pPr>
        <w:adjustRightInd w:val="0"/>
        <w:snapToGrid w:val="0"/>
        <w:spacing w:line="360" w:lineRule="auto"/>
        <w:ind w:firstLine="480" w:firstLineChars="200"/>
        <w:rPr>
          <w:sz w:val="24"/>
        </w:rPr>
      </w:pPr>
      <w:r>
        <w:rPr>
          <w:sz w:val="24"/>
        </w:rPr>
        <w:t>17)  原装进口监测仪器设备的报关单复印件；</w:t>
      </w:r>
    </w:p>
    <w:p>
      <w:pPr>
        <w:adjustRightInd w:val="0"/>
        <w:snapToGrid w:val="0"/>
        <w:spacing w:line="360" w:lineRule="auto"/>
        <w:ind w:firstLine="480" w:firstLineChars="200"/>
        <w:rPr>
          <w:sz w:val="24"/>
        </w:rPr>
      </w:pPr>
      <w:r>
        <w:rPr>
          <w:sz w:val="24"/>
        </w:rPr>
        <w:t>18)  原装进口监测仪器设备制造厂家的ISO9001质量体系认证书；</w:t>
      </w:r>
    </w:p>
    <w:p>
      <w:pPr>
        <w:adjustRightInd w:val="0"/>
        <w:snapToGrid w:val="0"/>
        <w:spacing w:line="360" w:lineRule="auto"/>
        <w:ind w:firstLine="480" w:firstLineChars="200"/>
        <w:rPr>
          <w:sz w:val="24"/>
        </w:rPr>
      </w:pPr>
      <w:r>
        <w:rPr>
          <w:sz w:val="24"/>
        </w:rPr>
        <w:t xml:space="preserve">19)  厂家的监测仪器设备产品介绍书； </w:t>
      </w:r>
    </w:p>
    <w:p>
      <w:pPr>
        <w:adjustRightInd w:val="0"/>
        <w:snapToGrid w:val="0"/>
        <w:spacing w:line="360" w:lineRule="auto"/>
        <w:ind w:firstLine="480" w:firstLineChars="200"/>
        <w:rPr>
          <w:sz w:val="24"/>
        </w:rPr>
      </w:pPr>
      <w:r>
        <w:rPr>
          <w:sz w:val="24"/>
        </w:rPr>
        <w:t>20)  仪器使用的实例资料。</w:t>
      </w:r>
    </w:p>
    <w:p>
      <w:pPr>
        <w:adjustRightInd w:val="0"/>
        <w:snapToGrid w:val="0"/>
        <w:spacing w:line="360" w:lineRule="auto"/>
        <w:ind w:firstLine="480" w:firstLineChars="200"/>
        <w:rPr>
          <w:sz w:val="24"/>
        </w:rPr>
      </w:pPr>
      <w:r>
        <w:rPr>
          <w:sz w:val="24"/>
        </w:rPr>
        <w:t>(10)  监测仪器的选择必须考虑便于实现自动化。未经监理人批准，一种监测仪器设备不</w:t>
      </w:r>
      <w:r>
        <w:rPr>
          <w:rFonts w:hint="eastAsia"/>
          <w:sz w:val="24"/>
        </w:rPr>
        <w:t>得</w:t>
      </w:r>
      <w:r>
        <w:rPr>
          <w:sz w:val="24"/>
        </w:rPr>
        <w:t>选择两个生产厂家的产品。</w:t>
      </w:r>
    </w:p>
    <w:p>
      <w:pPr>
        <w:adjustRightInd w:val="0"/>
        <w:snapToGrid w:val="0"/>
        <w:spacing w:line="360" w:lineRule="auto"/>
        <w:ind w:firstLine="480" w:firstLineChars="200"/>
        <w:rPr>
          <w:sz w:val="24"/>
          <w:highlight w:val="none"/>
        </w:rPr>
      </w:pPr>
      <w:r>
        <w:rPr>
          <w:sz w:val="24"/>
          <w:highlight w:val="none"/>
        </w:rPr>
        <w:t xml:space="preserve">(11)  </w:t>
      </w:r>
      <w:r>
        <w:rPr>
          <w:rFonts w:hint="eastAsia"/>
          <w:sz w:val="24"/>
          <w:highlight w:val="none"/>
        </w:rPr>
        <w:t>考虑到自动化监测系统的兼容性，需要每个标段的</w:t>
      </w:r>
      <w:r>
        <w:rPr>
          <w:sz w:val="24"/>
          <w:highlight w:val="none"/>
        </w:rPr>
        <w:t>MCU</w:t>
      </w:r>
      <w:r>
        <w:rPr>
          <w:rFonts w:hint="eastAsia"/>
          <w:sz w:val="24"/>
          <w:highlight w:val="none"/>
        </w:rPr>
        <w:t>设备需采用统一品牌。承包人应综合考虑各品牌</w:t>
      </w:r>
      <w:r>
        <w:rPr>
          <w:sz w:val="24"/>
          <w:highlight w:val="none"/>
        </w:rPr>
        <w:t>MCU</w:t>
      </w:r>
      <w:r>
        <w:rPr>
          <w:rFonts w:hint="eastAsia"/>
          <w:sz w:val="24"/>
          <w:highlight w:val="none"/>
        </w:rPr>
        <w:t>的性能、口碑、行业地位、稳定性等因素进行选型并报价，最后选用的品牌由业主、设计、监理、中标单位共同协商选定。承包人在投标时选用的</w:t>
      </w:r>
      <w:r>
        <w:rPr>
          <w:sz w:val="24"/>
          <w:highlight w:val="none"/>
        </w:rPr>
        <w:t>MCU</w:t>
      </w:r>
      <w:r>
        <w:rPr>
          <w:rFonts w:hint="eastAsia"/>
          <w:sz w:val="24"/>
          <w:highlight w:val="none"/>
        </w:rPr>
        <w:t>与最终选定的</w:t>
      </w:r>
      <w:r>
        <w:rPr>
          <w:sz w:val="24"/>
          <w:highlight w:val="none"/>
        </w:rPr>
        <w:t>MCU</w:t>
      </w:r>
      <w:r>
        <w:rPr>
          <w:rFonts w:hint="eastAsia"/>
          <w:sz w:val="24"/>
          <w:highlight w:val="none"/>
        </w:rPr>
        <w:t>品牌不一致的，仍按照承包人投标报价进行后续计量及支付工作。</w:t>
      </w:r>
    </w:p>
    <w:p>
      <w:pPr>
        <w:adjustRightInd w:val="0"/>
        <w:snapToGrid w:val="0"/>
        <w:spacing w:line="360" w:lineRule="auto"/>
        <w:ind w:firstLine="480" w:firstLineChars="200"/>
        <w:rPr>
          <w:sz w:val="24"/>
        </w:rPr>
      </w:pPr>
      <w:r>
        <w:rPr>
          <w:sz w:val="24"/>
        </w:rPr>
        <w:t>(12)  如果在仪器采购时，承包人认为市场上有更优良的或在所监测环境下比指定的仪器能更好运行的仪器，承包人可以请求批准提供和安装替换仪器。承包人应向监理人提供每一种替换仪器的充分的资料。资料应至少在仪器开始安装前42天提交监理人。</w:t>
      </w:r>
    </w:p>
    <w:p>
      <w:pPr>
        <w:pStyle w:val="4"/>
        <w:adjustRightInd w:val="0"/>
        <w:snapToGrid w:val="0"/>
        <w:spacing w:before="0" w:after="0" w:line="500" w:lineRule="atLeast"/>
        <w:rPr>
          <w:rFonts w:ascii="黑体" w:hAnsi="黑体" w:eastAsia="黑体"/>
          <w:b w:val="0"/>
          <w:sz w:val="24"/>
          <w:szCs w:val="24"/>
        </w:rPr>
      </w:pPr>
      <w:bookmarkStart w:id="415" w:name="_Toc118821490"/>
      <w:bookmarkStart w:id="416" w:name="_Toc14364"/>
      <w:r>
        <w:rPr>
          <w:rFonts w:ascii="Times New Roman" w:hAnsi="Times New Roman"/>
          <w:sz w:val="24"/>
          <w:szCs w:val="24"/>
        </w:rPr>
        <w:t xml:space="preserve">2.2 </w:t>
      </w:r>
      <w:r>
        <w:rPr>
          <w:rFonts w:hint="eastAsia" w:ascii="Times New Roman" w:hAnsi="Times New Roman"/>
          <w:sz w:val="24"/>
          <w:szCs w:val="24"/>
        </w:rPr>
        <w:t xml:space="preserve"> </w:t>
      </w:r>
      <w:r>
        <w:rPr>
          <w:rFonts w:ascii="黑体" w:hAnsi="黑体" w:eastAsia="黑体"/>
          <w:b w:val="0"/>
          <w:sz w:val="24"/>
          <w:szCs w:val="24"/>
        </w:rPr>
        <w:t>仪器设备的验收和率定</w:t>
      </w:r>
      <w:bookmarkEnd w:id="410"/>
      <w:bookmarkEnd w:id="411"/>
      <w:bookmarkEnd w:id="412"/>
      <w:bookmarkEnd w:id="413"/>
      <w:bookmarkEnd w:id="414"/>
      <w:bookmarkEnd w:id="415"/>
      <w:bookmarkEnd w:id="416"/>
    </w:p>
    <w:p>
      <w:pPr>
        <w:adjustRightInd w:val="0"/>
        <w:snapToGrid w:val="0"/>
        <w:spacing w:line="360" w:lineRule="auto"/>
        <w:ind w:firstLine="480" w:firstLineChars="200"/>
        <w:rPr>
          <w:sz w:val="24"/>
        </w:rPr>
      </w:pPr>
      <w:bookmarkStart w:id="417" w:name="_Toc414615067"/>
      <w:bookmarkStart w:id="418" w:name="_Toc249322063"/>
      <w:bookmarkStart w:id="419" w:name="_Toc414615219"/>
      <w:bookmarkStart w:id="420" w:name="_Toc247353871"/>
      <w:r>
        <w:rPr>
          <w:rFonts w:hint="eastAsia"/>
          <w:sz w:val="24"/>
        </w:rPr>
        <w:t>(1)  承包人应要求生产厂家在监测仪器设备出厂前，完成全部监测仪器设备的率定、调试和检验等工作。每项设备均应提交检验合格证书。</w:t>
      </w:r>
    </w:p>
    <w:p>
      <w:pPr>
        <w:adjustRightInd w:val="0"/>
        <w:snapToGrid w:val="0"/>
        <w:spacing w:line="360" w:lineRule="auto"/>
        <w:ind w:firstLine="480" w:firstLineChars="200"/>
        <w:rPr>
          <w:sz w:val="24"/>
        </w:rPr>
      </w:pPr>
      <w:r>
        <w:rPr>
          <w:rFonts w:hint="eastAsia"/>
          <w:sz w:val="24"/>
        </w:rPr>
        <w:t>(2)  监测仪器设备运至现场后，</w:t>
      </w:r>
      <w:r>
        <w:rPr>
          <w:sz w:val="24"/>
        </w:rPr>
        <w:t>承包人应按厂家的要求在工地存放和保管，并制定仓库管理规章制度。</w:t>
      </w:r>
    </w:p>
    <w:p>
      <w:pPr>
        <w:adjustRightInd w:val="0"/>
        <w:snapToGrid w:val="0"/>
        <w:spacing w:line="360" w:lineRule="auto"/>
        <w:ind w:firstLine="480" w:firstLineChars="200"/>
        <w:rPr>
          <w:sz w:val="24"/>
        </w:rPr>
      </w:pPr>
      <w:r>
        <w:rPr>
          <w:rFonts w:hint="eastAsia"/>
          <w:sz w:val="24"/>
        </w:rPr>
        <w:t>(3)  承包人应按本技术条款和施工图纸要求，对运至现场的全部监测仪器设备进行检验和验收，</w:t>
      </w:r>
      <w:r>
        <w:rPr>
          <w:sz w:val="24"/>
        </w:rPr>
        <w:t>验收合格后方可使用</w:t>
      </w:r>
      <w:r>
        <w:rPr>
          <w:rFonts w:hint="eastAsia"/>
          <w:sz w:val="24"/>
        </w:rPr>
        <w:t>。</w:t>
      </w:r>
    </w:p>
    <w:p>
      <w:pPr>
        <w:adjustRightInd w:val="0"/>
        <w:snapToGrid w:val="0"/>
        <w:spacing w:line="360" w:lineRule="auto"/>
        <w:ind w:firstLine="480" w:firstLineChars="200"/>
        <w:rPr>
          <w:sz w:val="24"/>
        </w:rPr>
      </w:pPr>
      <w:r>
        <w:rPr>
          <w:rFonts w:hint="eastAsia"/>
          <w:sz w:val="24"/>
        </w:rPr>
        <w:t xml:space="preserve">(4)  </w:t>
      </w:r>
      <w:r>
        <w:rPr>
          <w:sz w:val="24"/>
        </w:rPr>
        <w:t>承包人应按《混凝土坝安全监测技术规范》(</w:t>
      </w:r>
      <w:r>
        <w:fldChar w:fldCharType="begin"/>
      </w:r>
      <w:r>
        <w:instrText xml:space="preserve"> HYPERLINK "http://www.baidu.com/link?url=qHH4yhbAZlIePhnDM4c0wm59hatYYSKmeVqcdpRYSst1sYhhQK3XKUAQZsZ5sGFs" \t "_blank" </w:instrText>
      </w:r>
      <w:r>
        <w:fldChar w:fldCharType="separate"/>
      </w:r>
      <w:r>
        <w:rPr>
          <w:sz w:val="24"/>
        </w:rPr>
        <w:t>SL601-2013</w:t>
      </w:r>
      <w:r>
        <w:rPr>
          <w:sz w:val="24"/>
        </w:rPr>
        <w:fldChar w:fldCharType="end"/>
      </w:r>
      <w:r>
        <w:rPr>
          <w:sz w:val="24"/>
        </w:rPr>
        <w:t>)、《土石坝安全监测技术规范》(</w:t>
      </w:r>
      <w:r>
        <w:fldChar w:fldCharType="begin"/>
      </w:r>
      <w:r>
        <w:instrText xml:space="preserve"> HYPERLINK "http://www.baidu.com/link?url=qU4yU-5m4CRtJLjV7CwH9eXDa1txORnF5og2igNGgKiHVjLvnYLJP9qKjLfKSC6g" \t "_blank" </w:instrText>
      </w:r>
      <w:r>
        <w:fldChar w:fldCharType="separate"/>
      </w:r>
      <w:r>
        <w:rPr>
          <w:sz w:val="24"/>
        </w:rPr>
        <w:t>SL 551-2012</w:t>
      </w:r>
      <w:r>
        <w:rPr>
          <w:sz w:val="24"/>
        </w:rPr>
        <w:fldChar w:fldCharType="end"/>
      </w:r>
      <w:r>
        <w:rPr>
          <w:sz w:val="24"/>
        </w:rPr>
        <w:t>)</w:t>
      </w:r>
      <w:r>
        <w:rPr>
          <w:rFonts w:hint="eastAsia"/>
          <w:sz w:val="24"/>
        </w:rPr>
        <w:t>、《大坝安全监测仪器检验测试规程》</w:t>
      </w:r>
      <w:r>
        <w:rPr>
          <w:sz w:val="24"/>
        </w:rPr>
        <w:t>(</w:t>
      </w:r>
      <w:r>
        <w:fldChar w:fldCharType="begin"/>
      </w:r>
      <w:r>
        <w:instrText xml:space="preserve"> HYPERLINK "http://www.baidu.com/link?url=qU4yU-5m4CRtJLjV7CwH9eXDa1txORnF5og2igNGgKiHVjLvnYLJP9qKjLfKSC6g" \t "_blank" </w:instrText>
      </w:r>
      <w:r>
        <w:fldChar w:fldCharType="separate"/>
      </w:r>
      <w:r>
        <w:rPr>
          <w:sz w:val="24"/>
        </w:rPr>
        <w:t>SL 530-2012</w:t>
      </w:r>
      <w:r>
        <w:rPr>
          <w:sz w:val="24"/>
        </w:rPr>
        <w:fldChar w:fldCharType="end"/>
      </w:r>
      <w:r>
        <w:rPr>
          <w:sz w:val="24"/>
        </w:rPr>
        <w:t>)等相关规范和施工图规定的有关技术要求对全部仪器设备进行全面测试、校正、率定，对电缆还应进行通电测试。这种测试、校正、率定除非监理人另有要求外均应在监理人在场的情况下进行。测试报告应在安装前28天报送监理人审查。</w:t>
      </w:r>
    </w:p>
    <w:p>
      <w:pPr>
        <w:adjustRightInd w:val="0"/>
        <w:snapToGrid w:val="0"/>
        <w:spacing w:line="360" w:lineRule="auto"/>
        <w:ind w:firstLine="480" w:firstLineChars="200"/>
        <w:rPr>
          <w:sz w:val="24"/>
        </w:rPr>
      </w:pPr>
      <w:r>
        <w:rPr>
          <w:rFonts w:hint="eastAsia"/>
          <w:sz w:val="24"/>
        </w:rPr>
        <w:t>(5)  所有光学、电子测量仪器必须经批准的国家计量和检验部门进行检验和率定，检验合格后方能使用。超过检验有效期的，应重新检验。检验成果应提交监理人。</w:t>
      </w:r>
    </w:p>
    <w:p>
      <w:pPr>
        <w:adjustRightInd w:val="0"/>
        <w:snapToGrid w:val="0"/>
        <w:spacing w:line="360" w:lineRule="auto"/>
        <w:ind w:firstLine="480" w:firstLineChars="200"/>
        <w:rPr>
          <w:sz w:val="24"/>
        </w:rPr>
      </w:pPr>
      <w:r>
        <w:rPr>
          <w:rFonts w:hint="eastAsia"/>
          <w:sz w:val="24"/>
        </w:rPr>
        <w:t xml:space="preserve">(6)  </w:t>
      </w:r>
      <w:r>
        <w:rPr>
          <w:sz w:val="24"/>
        </w:rPr>
        <w:t>仪器设备应小心装卸、存放和安装，以免损坏。如果在装卸、存放过程中发生损坏，承包人应在28天内按本规范规定、施工图要求或监理人指示进行更换或予以修复并重新率定，且发包人不另行支付费用。如果在安装过程中发生损坏，承包人应立即用其他已经测试、校正和率定的同类型仪器进行替换，此种替换发包人不另行支付费用。</w:t>
      </w:r>
    </w:p>
    <w:p>
      <w:pPr>
        <w:adjustRightInd w:val="0"/>
        <w:snapToGrid w:val="0"/>
        <w:spacing w:line="360" w:lineRule="auto"/>
        <w:ind w:firstLine="480" w:firstLineChars="200"/>
        <w:rPr>
          <w:sz w:val="24"/>
        </w:rPr>
      </w:pPr>
      <w:r>
        <w:rPr>
          <w:rFonts w:hint="eastAsia"/>
          <w:sz w:val="24"/>
        </w:rPr>
        <w:t>(7)  承包人应根据检验结果编写仪器设备检验报告，并应在仪器设备开始安装前，提交监理人审核确认合格后进行安装埋设。</w:t>
      </w:r>
    </w:p>
    <w:p>
      <w:pPr>
        <w:adjustRightInd w:val="0"/>
        <w:snapToGrid w:val="0"/>
        <w:spacing w:line="500" w:lineRule="atLeast"/>
        <w:ind w:firstLine="480" w:firstLineChars="200"/>
        <w:rPr>
          <w:sz w:val="24"/>
        </w:rPr>
      </w:pPr>
    </w:p>
    <w:p>
      <w:pPr>
        <w:pStyle w:val="4"/>
        <w:adjustRightInd w:val="0"/>
        <w:snapToGrid w:val="0"/>
        <w:spacing w:before="0" w:after="0" w:line="500" w:lineRule="atLeast"/>
        <w:rPr>
          <w:rFonts w:ascii="Times New Roman" w:hAnsi="Times New Roman"/>
          <w:sz w:val="24"/>
          <w:szCs w:val="24"/>
        </w:rPr>
      </w:pPr>
      <w:bookmarkStart w:id="421" w:name="_Toc9800"/>
      <w:bookmarkStart w:id="422" w:name="_Toc118821491"/>
      <w:r>
        <w:rPr>
          <w:rFonts w:ascii="Times New Roman" w:hAnsi="Times New Roman"/>
          <w:sz w:val="24"/>
          <w:szCs w:val="24"/>
        </w:rPr>
        <w:t xml:space="preserve">2.3 </w:t>
      </w:r>
      <w:r>
        <w:rPr>
          <w:rFonts w:ascii="黑体" w:hAnsi="黑体" w:eastAsia="黑体"/>
          <w:b w:val="0"/>
          <w:sz w:val="24"/>
          <w:szCs w:val="24"/>
        </w:rPr>
        <w:t xml:space="preserve"> 仪器设备的主要技术指标要求</w:t>
      </w:r>
      <w:bookmarkEnd w:id="417"/>
      <w:bookmarkEnd w:id="418"/>
      <w:bookmarkEnd w:id="419"/>
      <w:bookmarkEnd w:id="420"/>
      <w:bookmarkEnd w:id="421"/>
      <w:bookmarkEnd w:id="422"/>
      <w:r>
        <w:rPr>
          <w:rFonts w:ascii="黑体" w:hAnsi="黑体" w:eastAsia="黑体"/>
          <w:b w:val="0"/>
          <w:sz w:val="24"/>
          <w:szCs w:val="24"/>
        </w:rPr>
        <w:t xml:space="preserve"> </w:t>
      </w:r>
    </w:p>
    <w:p>
      <w:pPr>
        <w:adjustRightInd w:val="0"/>
        <w:snapToGrid w:val="0"/>
        <w:spacing w:line="500" w:lineRule="atLeast"/>
        <w:ind w:firstLine="480" w:firstLineChars="200"/>
        <w:rPr>
          <w:sz w:val="24"/>
        </w:rPr>
      </w:pPr>
      <w:bookmarkStart w:id="423" w:name="_Toc414615011"/>
      <w:bookmarkStart w:id="424" w:name="_Toc249322064"/>
      <w:bookmarkStart w:id="425" w:name="_Toc232162571"/>
      <w:bookmarkStart w:id="426" w:name="_Toc414549295"/>
      <w:bookmarkStart w:id="427" w:name="_Toc414549229"/>
      <w:bookmarkStart w:id="428" w:name="_Toc414615068"/>
      <w:bookmarkStart w:id="429" w:name="_Toc414615220"/>
      <w:r>
        <w:rPr>
          <w:sz w:val="24"/>
        </w:rPr>
        <w:t xml:space="preserve"> 本合同使用的监测仪器设备的主要技术指标见表</w:t>
      </w:r>
      <w:r>
        <w:rPr>
          <w:rFonts w:hint="eastAsia"/>
          <w:sz w:val="24"/>
        </w:rPr>
        <w:t>2</w:t>
      </w:r>
      <w:r>
        <w:rPr>
          <w:sz w:val="24"/>
        </w:rPr>
        <w:t>-1~2-</w:t>
      </w:r>
      <w:r>
        <w:rPr>
          <w:rFonts w:hint="eastAsia"/>
          <w:sz w:val="24"/>
        </w:rPr>
        <w:t>6</w:t>
      </w:r>
      <w:r>
        <w:rPr>
          <w:sz w:val="24"/>
        </w:rPr>
        <w:t>，投标人选择的监测仪器设备的主要技术指标必须能满足这些指标。投标人选择的监测仪器设备必须是满足表</w:t>
      </w:r>
      <w:r>
        <w:rPr>
          <w:rFonts w:hint="eastAsia"/>
          <w:sz w:val="24"/>
        </w:rPr>
        <w:t>2</w:t>
      </w:r>
      <w:r>
        <w:rPr>
          <w:sz w:val="24"/>
        </w:rPr>
        <w:t xml:space="preserve">-1~2-6规定的国内(外)知名专业生产厂家的产品。表中仪器设备注明原装进口的必须为原装进口产品。 </w:t>
      </w:r>
    </w:p>
    <w:p>
      <w:pPr>
        <w:adjustRightInd w:val="0"/>
        <w:jc w:val="center"/>
        <w:textAlignment w:val="baseline"/>
        <w:rPr>
          <w:rFonts w:eastAsia="黑体"/>
          <w:bCs/>
          <w:kern w:val="0"/>
          <w:sz w:val="24"/>
          <w:lang w:val="en-GB"/>
        </w:rPr>
      </w:pPr>
      <w:r>
        <w:rPr>
          <w:rFonts w:eastAsia="黑体"/>
          <w:bCs/>
          <w:kern w:val="0"/>
          <w:sz w:val="24"/>
          <w:lang w:val="en-GB"/>
        </w:rPr>
        <w:t>表2-1   公共监测仪器设备技术指标表</w:t>
      </w:r>
    </w:p>
    <w:tbl>
      <w:tblPr>
        <w:tblStyle w:val="8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4" w:type="dxa"/>
          <w:bottom w:w="0" w:type="dxa"/>
          <w:right w:w="24" w:type="dxa"/>
        </w:tblCellMar>
      </w:tblPr>
      <w:tblGrid>
        <w:gridCol w:w="567"/>
        <w:gridCol w:w="1196"/>
        <w:gridCol w:w="709"/>
        <w:gridCol w:w="4165"/>
        <w:gridCol w:w="587"/>
        <w:gridCol w:w="11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tblHeader/>
          <w:jc w:val="center"/>
        </w:trPr>
        <w:tc>
          <w:tcPr>
            <w:tcW w:w="338" w:type="pct"/>
            <w:shd w:val="clear" w:color="000000" w:fill="FFFFFF"/>
            <w:vAlign w:val="center"/>
          </w:tcPr>
          <w:p>
            <w:pPr>
              <w:jc w:val="center"/>
              <w:rPr>
                <w:sz w:val="18"/>
                <w:szCs w:val="18"/>
              </w:rPr>
            </w:pPr>
            <w:r>
              <w:rPr>
                <w:rFonts w:hint="eastAsia"/>
                <w:sz w:val="18"/>
                <w:szCs w:val="18"/>
              </w:rPr>
              <w:t>序号</w:t>
            </w:r>
          </w:p>
        </w:tc>
        <w:tc>
          <w:tcPr>
            <w:tcW w:w="713" w:type="pct"/>
            <w:shd w:val="clear" w:color="000000" w:fill="FFFFFF"/>
            <w:vAlign w:val="center"/>
          </w:tcPr>
          <w:p>
            <w:pPr>
              <w:jc w:val="center"/>
              <w:rPr>
                <w:sz w:val="18"/>
                <w:szCs w:val="18"/>
              </w:rPr>
            </w:pPr>
            <w:r>
              <w:rPr>
                <w:sz w:val="18"/>
                <w:szCs w:val="18"/>
              </w:rPr>
              <w:t>名称</w:t>
            </w:r>
          </w:p>
        </w:tc>
        <w:tc>
          <w:tcPr>
            <w:tcW w:w="423" w:type="pct"/>
            <w:shd w:val="clear" w:color="000000" w:fill="FFFFFF"/>
            <w:vAlign w:val="center"/>
          </w:tcPr>
          <w:p>
            <w:pPr>
              <w:jc w:val="center"/>
              <w:rPr>
                <w:sz w:val="18"/>
                <w:szCs w:val="18"/>
              </w:rPr>
            </w:pPr>
            <w:r>
              <w:rPr>
                <w:sz w:val="18"/>
                <w:szCs w:val="18"/>
              </w:rPr>
              <w:t>建议</w:t>
            </w:r>
          </w:p>
          <w:p>
            <w:pPr>
              <w:jc w:val="center"/>
              <w:rPr>
                <w:sz w:val="18"/>
                <w:szCs w:val="18"/>
              </w:rPr>
            </w:pPr>
            <w:r>
              <w:rPr>
                <w:sz w:val="18"/>
                <w:szCs w:val="18"/>
              </w:rPr>
              <w:t>类型</w:t>
            </w:r>
          </w:p>
        </w:tc>
        <w:tc>
          <w:tcPr>
            <w:tcW w:w="2484" w:type="pct"/>
            <w:shd w:val="clear" w:color="000000" w:fill="FFFFFF"/>
            <w:vAlign w:val="center"/>
          </w:tcPr>
          <w:p>
            <w:pPr>
              <w:jc w:val="center"/>
              <w:rPr>
                <w:sz w:val="18"/>
                <w:szCs w:val="18"/>
              </w:rPr>
            </w:pPr>
            <w:r>
              <w:rPr>
                <w:sz w:val="18"/>
                <w:szCs w:val="18"/>
              </w:rPr>
              <w:t>主要技术指标</w:t>
            </w:r>
          </w:p>
        </w:tc>
        <w:tc>
          <w:tcPr>
            <w:tcW w:w="350" w:type="pct"/>
            <w:shd w:val="clear" w:color="000000" w:fill="FFFFFF"/>
            <w:vAlign w:val="center"/>
          </w:tcPr>
          <w:p>
            <w:pPr>
              <w:jc w:val="center"/>
              <w:rPr>
                <w:sz w:val="18"/>
                <w:szCs w:val="18"/>
              </w:rPr>
            </w:pPr>
            <w:r>
              <w:rPr>
                <w:sz w:val="18"/>
                <w:szCs w:val="18"/>
              </w:rPr>
              <w:t>备注</w:t>
            </w:r>
          </w:p>
        </w:tc>
        <w:tc>
          <w:tcPr>
            <w:tcW w:w="689" w:type="pct"/>
            <w:shd w:val="clear" w:color="000000" w:fill="FFFFFF"/>
            <w:vAlign w:val="center"/>
          </w:tcPr>
          <w:p>
            <w:pPr>
              <w:jc w:val="center"/>
              <w:rPr>
                <w:sz w:val="18"/>
                <w:szCs w:val="18"/>
              </w:rPr>
            </w:pPr>
            <w:r>
              <w:rPr>
                <w:kern w:val="0"/>
                <w:sz w:val="18"/>
                <w:szCs w:val="18"/>
                <w:lang w:val="zh-CN"/>
              </w:rPr>
              <w:t>推荐或相当于以下品牌产品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1121" w:hRule="atLeast"/>
          <w:jc w:val="center"/>
        </w:trPr>
        <w:tc>
          <w:tcPr>
            <w:tcW w:w="338" w:type="pct"/>
            <w:shd w:val="clear" w:color="000000" w:fill="FFFFFF"/>
            <w:vAlign w:val="center"/>
          </w:tcPr>
          <w:p>
            <w:pPr>
              <w:autoSpaceDE w:val="0"/>
              <w:autoSpaceDN w:val="0"/>
              <w:adjustRightInd w:val="0"/>
              <w:snapToGrid w:val="0"/>
              <w:jc w:val="center"/>
              <w:textAlignment w:val="baseline"/>
              <w:rPr>
                <w:kern w:val="0"/>
                <w:sz w:val="18"/>
                <w:szCs w:val="18"/>
                <w:lang w:val="zh-CN"/>
              </w:rPr>
            </w:pPr>
            <w:r>
              <w:rPr>
                <w:rFonts w:hint="eastAsia"/>
                <w:kern w:val="0"/>
                <w:sz w:val="18"/>
                <w:szCs w:val="18"/>
                <w:lang w:val="zh-CN"/>
              </w:rPr>
              <w:t>1</w:t>
            </w:r>
          </w:p>
        </w:tc>
        <w:tc>
          <w:tcPr>
            <w:tcW w:w="713" w:type="pct"/>
            <w:shd w:val="clear" w:color="000000" w:fill="FFFFFF"/>
            <w:vAlign w:val="center"/>
          </w:tcPr>
          <w:p>
            <w:pPr>
              <w:jc w:val="center"/>
              <w:rPr>
                <w:sz w:val="18"/>
                <w:szCs w:val="18"/>
              </w:rPr>
            </w:pPr>
            <w:r>
              <w:rPr>
                <w:sz w:val="18"/>
                <w:szCs w:val="18"/>
              </w:rPr>
              <w:t>精密水准仪</w:t>
            </w:r>
          </w:p>
        </w:tc>
        <w:tc>
          <w:tcPr>
            <w:tcW w:w="423" w:type="pct"/>
            <w:shd w:val="clear" w:color="000000" w:fill="FFFFFF"/>
            <w:vAlign w:val="center"/>
          </w:tcPr>
          <w:p>
            <w:pPr>
              <w:rPr>
                <w:sz w:val="18"/>
                <w:szCs w:val="18"/>
              </w:rPr>
            </w:pPr>
          </w:p>
        </w:tc>
        <w:tc>
          <w:tcPr>
            <w:tcW w:w="2484" w:type="pct"/>
            <w:shd w:val="clear" w:color="000000" w:fill="FFFFFF"/>
            <w:vAlign w:val="center"/>
          </w:tcPr>
          <w:p>
            <w:pPr>
              <w:rPr>
                <w:sz w:val="18"/>
                <w:szCs w:val="18"/>
              </w:rPr>
            </w:pPr>
            <w:r>
              <w:rPr>
                <w:sz w:val="18"/>
                <w:szCs w:val="18"/>
              </w:rPr>
              <w:t>每公里高差测量中误差≤±0.3mm/km，距离测程：1.6m～100m，具有自动识别和照准目标、自动观测记录、自动检测各项限差等功能。</w:t>
            </w:r>
          </w:p>
        </w:tc>
        <w:tc>
          <w:tcPr>
            <w:tcW w:w="350" w:type="pct"/>
            <w:shd w:val="clear" w:color="000000" w:fill="FFFFFF"/>
            <w:vAlign w:val="center"/>
          </w:tcPr>
          <w:p>
            <w:pPr>
              <w:jc w:val="center"/>
              <w:rPr>
                <w:color w:val="0000FF"/>
                <w:sz w:val="18"/>
                <w:szCs w:val="18"/>
              </w:rPr>
            </w:pPr>
          </w:p>
        </w:tc>
        <w:tc>
          <w:tcPr>
            <w:tcW w:w="689" w:type="pct"/>
            <w:shd w:val="clear" w:color="000000" w:fill="FFFFFF"/>
            <w:vAlign w:val="center"/>
          </w:tcPr>
          <w:p>
            <w:pPr>
              <w:autoSpaceDE w:val="0"/>
              <w:autoSpaceDN w:val="0"/>
              <w:adjustRightInd w:val="0"/>
              <w:snapToGrid w:val="0"/>
              <w:jc w:val="center"/>
              <w:textAlignment w:val="baseline"/>
              <w:rPr>
                <w:color w:val="0000FF"/>
                <w:sz w:val="18"/>
                <w:szCs w:val="18"/>
              </w:rPr>
            </w:pPr>
            <w:r>
              <w:rPr>
                <w:color w:val="0000FF"/>
                <w:sz w:val="18"/>
                <w:szCs w:val="18"/>
              </w:rPr>
              <w:t>瑞士Leica</w:t>
            </w:r>
          </w:p>
          <w:p>
            <w:pPr>
              <w:autoSpaceDE w:val="0"/>
              <w:autoSpaceDN w:val="0"/>
              <w:adjustRightInd w:val="0"/>
              <w:snapToGrid w:val="0"/>
              <w:jc w:val="center"/>
              <w:textAlignment w:val="baseline"/>
              <w:rPr>
                <w:color w:val="0000FF"/>
                <w:sz w:val="18"/>
                <w:szCs w:val="18"/>
              </w:rPr>
            </w:pPr>
            <w:r>
              <w:rPr>
                <w:color w:val="0000FF"/>
                <w:sz w:val="18"/>
                <w:szCs w:val="18"/>
              </w:rPr>
              <w:t>日本sokkia</w:t>
            </w:r>
          </w:p>
          <w:p>
            <w:pPr>
              <w:autoSpaceDE w:val="0"/>
              <w:autoSpaceDN w:val="0"/>
              <w:adjustRightInd w:val="0"/>
              <w:snapToGrid w:val="0"/>
              <w:jc w:val="center"/>
              <w:textAlignment w:val="baseline"/>
              <w:rPr>
                <w:color w:val="0000FF"/>
                <w:sz w:val="18"/>
                <w:szCs w:val="18"/>
              </w:rPr>
            </w:pPr>
            <w:r>
              <w:rPr>
                <w:color w:val="0000FF"/>
                <w:sz w:val="18"/>
                <w:szCs w:val="18"/>
              </w:rPr>
              <w:t>美国</w:t>
            </w:r>
            <w:r>
              <w:rPr>
                <w:color w:val="0000FF"/>
                <w:kern w:val="0"/>
                <w:sz w:val="18"/>
                <w:szCs w:val="18"/>
                <w:lang w:val="zh-CN"/>
              </w:rPr>
              <w:t>Trimble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460" w:hRule="atLeast"/>
          <w:jc w:val="center"/>
        </w:trPr>
        <w:tc>
          <w:tcPr>
            <w:tcW w:w="338" w:type="pct"/>
            <w:shd w:val="clear" w:color="000000" w:fill="FFFFFF"/>
            <w:vAlign w:val="center"/>
          </w:tcPr>
          <w:p>
            <w:pPr>
              <w:autoSpaceDE w:val="0"/>
              <w:autoSpaceDN w:val="0"/>
              <w:adjustRightInd w:val="0"/>
              <w:snapToGrid w:val="0"/>
              <w:jc w:val="center"/>
              <w:textAlignment w:val="baseline"/>
              <w:rPr>
                <w:kern w:val="0"/>
                <w:sz w:val="18"/>
                <w:szCs w:val="18"/>
              </w:rPr>
            </w:pPr>
            <w:r>
              <w:rPr>
                <w:rFonts w:hint="eastAsia"/>
                <w:kern w:val="0"/>
                <w:sz w:val="18"/>
                <w:szCs w:val="18"/>
              </w:rPr>
              <w:t>2</w:t>
            </w:r>
          </w:p>
        </w:tc>
        <w:tc>
          <w:tcPr>
            <w:tcW w:w="713" w:type="pct"/>
            <w:shd w:val="clear" w:color="000000" w:fill="FFFFFF"/>
            <w:vAlign w:val="center"/>
          </w:tcPr>
          <w:p>
            <w:pPr>
              <w:jc w:val="center"/>
              <w:rPr>
                <w:sz w:val="18"/>
                <w:szCs w:val="18"/>
              </w:rPr>
            </w:pPr>
            <w:r>
              <w:rPr>
                <w:rFonts w:hint="eastAsia"/>
                <w:sz w:val="18"/>
                <w:szCs w:val="18"/>
              </w:rPr>
              <w:t>铟钢条码尺</w:t>
            </w:r>
          </w:p>
        </w:tc>
        <w:tc>
          <w:tcPr>
            <w:tcW w:w="423" w:type="pct"/>
            <w:shd w:val="clear" w:color="000000" w:fill="FFFFFF"/>
            <w:vAlign w:val="center"/>
          </w:tcPr>
          <w:p>
            <w:pPr>
              <w:rPr>
                <w:sz w:val="18"/>
                <w:szCs w:val="18"/>
              </w:rPr>
            </w:pPr>
          </w:p>
        </w:tc>
        <w:tc>
          <w:tcPr>
            <w:tcW w:w="2484" w:type="pct"/>
            <w:shd w:val="clear" w:color="000000" w:fill="FFFFFF"/>
            <w:vAlign w:val="center"/>
          </w:tcPr>
          <w:p>
            <w:pPr>
              <w:rPr>
                <w:sz w:val="18"/>
                <w:szCs w:val="18"/>
              </w:rPr>
            </w:pPr>
            <w:r>
              <w:rPr>
                <w:rFonts w:hint="eastAsia"/>
                <w:sz w:val="18"/>
                <w:szCs w:val="18"/>
                <w:lang w:val="en-US" w:eastAsia="zh-CN"/>
              </w:rPr>
              <w:t>3</w:t>
            </w:r>
            <w:r>
              <w:rPr>
                <w:rFonts w:hint="eastAsia"/>
                <w:sz w:val="18"/>
                <w:szCs w:val="18"/>
              </w:rPr>
              <w:t>m铟钢尺、尺垫</w:t>
            </w:r>
          </w:p>
        </w:tc>
        <w:tc>
          <w:tcPr>
            <w:tcW w:w="350" w:type="pct"/>
            <w:shd w:val="clear" w:color="000000" w:fill="FFFFFF"/>
            <w:vAlign w:val="center"/>
          </w:tcPr>
          <w:p>
            <w:pPr>
              <w:jc w:val="center"/>
              <w:rPr>
                <w:color w:val="0000FF"/>
                <w:sz w:val="18"/>
                <w:szCs w:val="18"/>
              </w:rPr>
            </w:pPr>
          </w:p>
        </w:tc>
        <w:tc>
          <w:tcPr>
            <w:tcW w:w="689" w:type="pct"/>
            <w:shd w:val="clear" w:color="000000" w:fill="FFFFFF"/>
            <w:vAlign w:val="center"/>
          </w:tcPr>
          <w:p>
            <w:pPr>
              <w:autoSpaceDE w:val="0"/>
              <w:autoSpaceDN w:val="0"/>
              <w:adjustRightInd w:val="0"/>
              <w:snapToGrid w:val="0"/>
              <w:jc w:val="center"/>
              <w:textAlignment w:val="baseline"/>
              <w:rPr>
                <w:color w:val="0000FF"/>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545" w:hRule="atLeast"/>
          <w:jc w:val="center"/>
        </w:trPr>
        <w:tc>
          <w:tcPr>
            <w:tcW w:w="338" w:type="pct"/>
            <w:shd w:val="clear" w:color="000000" w:fill="FFFFFF"/>
            <w:vAlign w:val="center"/>
          </w:tcPr>
          <w:p>
            <w:pPr>
              <w:autoSpaceDE w:val="0"/>
              <w:autoSpaceDN w:val="0"/>
              <w:adjustRightInd w:val="0"/>
              <w:snapToGrid w:val="0"/>
              <w:jc w:val="center"/>
              <w:textAlignment w:val="baseline"/>
              <w:rPr>
                <w:kern w:val="0"/>
                <w:sz w:val="18"/>
                <w:szCs w:val="18"/>
              </w:rPr>
            </w:pPr>
            <w:r>
              <w:rPr>
                <w:rFonts w:hint="eastAsia"/>
                <w:kern w:val="0"/>
                <w:sz w:val="18"/>
                <w:szCs w:val="18"/>
              </w:rPr>
              <w:t>3</w:t>
            </w:r>
          </w:p>
        </w:tc>
        <w:tc>
          <w:tcPr>
            <w:tcW w:w="713" w:type="pct"/>
            <w:shd w:val="clear" w:color="000000" w:fill="FFFFFF"/>
            <w:vAlign w:val="center"/>
          </w:tcPr>
          <w:p>
            <w:pPr>
              <w:jc w:val="center"/>
              <w:rPr>
                <w:sz w:val="18"/>
                <w:szCs w:val="18"/>
              </w:rPr>
            </w:pPr>
            <w:r>
              <w:rPr>
                <w:rFonts w:hint="eastAsia"/>
                <w:sz w:val="18"/>
                <w:szCs w:val="18"/>
              </w:rPr>
              <w:t>收敛计</w:t>
            </w:r>
          </w:p>
        </w:tc>
        <w:tc>
          <w:tcPr>
            <w:tcW w:w="423" w:type="pct"/>
            <w:shd w:val="clear" w:color="000000" w:fill="FFFFFF"/>
            <w:vAlign w:val="center"/>
          </w:tcPr>
          <w:p>
            <w:pPr>
              <w:rPr>
                <w:sz w:val="18"/>
                <w:szCs w:val="18"/>
              </w:rPr>
            </w:pPr>
          </w:p>
        </w:tc>
        <w:tc>
          <w:tcPr>
            <w:tcW w:w="2484" w:type="pct"/>
            <w:shd w:val="clear" w:color="000000" w:fill="FFFFFF"/>
            <w:vAlign w:val="center"/>
          </w:tcPr>
          <w:p>
            <w:pPr>
              <w:rPr>
                <w:sz w:val="18"/>
                <w:szCs w:val="18"/>
              </w:rPr>
            </w:pPr>
            <w:r>
              <w:rPr>
                <w:kern w:val="0"/>
                <w:sz w:val="18"/>
                <w:szCs w:val="18"/>
                <w:lang w:val="zh-CN"/>
              </w:rPr>
              <w:t>量程：20m，精度：±0.01mm，钢尺张力不小于10kg。</w:t>
            </w:r>
          </w:p>
        </w:tc>
        <w:tc>
          <w:tcPr>
            <w:tcW w:w="350" w:type="pct"/>
            <w:shd w:val="clear" w:color="000000" w:fill="FFFFFF"/>
            <w:vAlign w:val="center"/>
          </w:tcPr>
          <w:p>
            <w:pPr>
              <w:jc w:val="center"/>
              <w:rPr>
                <w:color w:val="0000FF"/>
                <w:sz w:val="18"/>
                <w:szCs w:val="18"/>
              </w:rPr>
            </w:pPr>
          </w:p>
        </w:tc>
        <w:tc>
          <w:tcPr>
            <w:tcW w:w="689" w:type="pct"/>
            <w:shd w:val="clear" w:color="000000" w:fill="FFFFFF"/>
            <w:vAlign w:val="center"/>
          </w:tcPr>
          <w:p>
            <w:pPr>
              <w:autoSpaceDE w:val="0"/>
              <w:autoSpaceDN w:val="0"/>
              <w:adjustRightInd w:val="0"/>
              <w:snapToGrid w:val="0"/>
              <w:jc w:val="center"/>
              <w:textAlignment w:val="baseline"/>
              <w:rPr>
                <w:color w:val="0000FF"/>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autoSpaceDE w:val="0"/>
              <w:autoSpaceDN w:val="0"/>
              <w:adjustRightInd w:val="0"/>
              <w:snapToGrid w:val="0"/>
              <w:jc w:val="center"/>
              <w:textAlignment w:val="baseline"/>
              <w:rPr>
                <w:kern w:val="0"/>
                <w:sz w:val="18"/>
                <w:szCs w:val="18"/>
                <w:lang w:val="zh-CN"/>
              </w:rPr>
            </w:pPr>
            <w:r>
              <w:rPr>
                <w:rFonts w:hint="eastAsia"/>
                <w:kern w:val="0"/>
                <w:sz w:val="18"/>
                <w:szCs w:val="18"/>
              </w:rPr>
              <w:t>4</w:t>
            </w:r>
          </w:p>
        </w:tc>
        <w:tc>
          <w:tcPr>
            <w:tcW w:w="713" w:type="pct"/>
            <w:shd w:val="clear" w:color="000000" w:fill="FFFFFF"/>
            <w:vAlign w:val="center"/>
          </w:tcPr>
          <w:p>
            <w:pPr>
              <w:jc w:val="center"/>
              <w:rPr>
                <w:sz w:val="18"/>
                <w:szCs w:val="18"/>
              </w:rPr>
            </w:pPr>
            <w:r>
              <w:rPr>
                <w:sz w:val="18"/>
                <w:szCs w:val="18"/>
              </w:rPr>
              <w:t>全站仪</w:t>
            </w:r>
          </w:p>
        </w:tc>
        <w:tc>
          <w:tcPr>
            <w:tcW w:w="423" w:type="pct"/>
            <w:shd w:val="clear" w:color="000000" w:fill="FFFFFF"/>
            <w:vAlign w:val="center"/>
          </w:tcPr>
          <w:p>
            <w:pPr>
              <w:rPr>
                <w:sz w:val="18"/>
                <w:szCs w:val="18"/>
              </w:rPr>
            </w:pPr>
          </w:p>
        </w:tc>
        <w:tc>
          <w:tcPr>
            <w:tcW w:w="2484" w:type="pct"/>
            <w:shd w:val="clear" w:color="000000" w:fill="FFFFFF"/>
            <w:vAlign w:val="center"/>
          </w:tcPr>
          <w:p>
            <w:pPr>
              <w:rPr>
                <w:sz w:val="18"/>
                <w:szCs w:val="18"/>
              </w:rPr>
            </w:pPr>
            <w:r>
              <w:rPr>
                <w:sz w:val="18"/>
                <w:szCs w:val="18"/>
              </w:rPr>
              <w:t>测角精度0.5″</w:t>
            </w:r>
            <w:r>
              <w:rPr>
                <w:rFonts w:hint="eastAsia"/>
                <w:sz w:val="18"/>
                <w:szCs w:val="18"/>
              </w:rPr>
              <w:t>；有棱镜</w:t>
            </w:r>
            <w:r>
              <w:rPr>
                <w:sz w:val="18"/>
                <w:szCs w:val="18"/>
              </w:rPr>
              <w:t>测距精度0.6mm+1ppm</w:t>
            </w:r>
            <w:r>
              <w:rPr>
                <w:rFonts w:hint="eastAsia"/>
                <w:sz w:val="18"/>
                <w:szCs w:val="18"/>
              </w:rPr>
              <w:t>/典型2.4秒</w:t>
            </w:r>
            <w:r>
              <w:rPr>
                <w:sz w:val="18"/>
                <w:szCs w:val="18"/>
              </w:rPr>
              <w:t>，</w:t>
            </w:r>
            <w:r>
              <w:rPr>
                <w:rFonts w:hint="eastAsia"/>
                <w:sz w:val="18"/>
                <w:szCs w:val="18"/>
              </w:rPr>
              <w:t>距离</w:t>
            </w:r>
            <w:r>
              <w:rPr>
                <w:sz w:val="18"/>
                <w:szCs w:val="18"/>
              </w:rPr>
              <w:t>范围</w:t>
            </w:r>
            <w:r>
              <w:rPr>
                <w:rFonts w:hint="eastAsia"/>
                <w:sz w:val="18"/>
                <w:szCs w:val="18"/>
              </w:rPr>
              <w:t>1.5</w:t>
            </w:r>
            <w:r>
              <w:rPr>
                <w:sz w:val="18"/>
                <w:szCs w:val="18"/>
              </w:rPr>
              <w:t>m</w:t>
            </w:r>
            <w:r>
              <w:rPr>
                <w:rFonts w:hint="eastAsia"/>
                <w:sz w:val="18"/>
                <w:szCs w:val="18"/>
              </w:rPr>
              <w:t>至3500</w:t>
            </w:r>
            <w:r>
              <w:rPr>
                <w:sz w:val="18"/>
                <w:szCs w:val="18"/>
              </w:rPr>
              <w:t>m</w:t>
            </w:r>
            <w:r>
              <w:rPr>
                <w:rFonts w:hint="eastAsia"/>
                <w:sz w:val="18"/>
                <w:szCs w:val="18"/>
              </w:rPr>
              <w:t>；无</w:t>
            </w:r>
            <w:r>
              <w:rPr>
                <w:sz w:val="18"/>
                <w:szCs w:val="18"/>
              </w:rPr>
              <w:t>棱镜测距</w:t>
            </w:r>
            <w:r>
              <w:rPr>
                <w:rFonts w:hint="eastAsia"/>
                <w:sz w:val="18"/>
                <w:szCs w:val="18"/>
              </w:rPr>
              <w:t>精度</w:t>
            </w:r>
            <w:r>
              <w:rPr>
                <w:sz w:val="18"/>
                <w:szCs w:val="18"/>
              </w:rPr>
              <w:t>2mm+2ppm</w:t>
            </w:r>
            <w:r>
              <w:rPr>
                <w:rFonts w:hint="eastAsia"/>
                <w:sz w:val="18"/>
                <w:szCs w:val="18"/>
              </w:rPr>
              <w:t>/典型</w:t>
            </w:r>
            <w:r>
              <w:rPr>
                <w:sz w:val="18"/>
                <w:szCs w:val="18"/>
              </w:rPr>
              <w:t>3</w:t>
            </w:r>
            <w:r>
              <w:rPr>
                <w:rFonts w:hint="eastAsia"/>
                <w:sz w:val="18"/>
                <w:szCs w:val="18"/>
              </w:rPr>
              <w:t>秒</w:t>
            </w:r>
            <w:r>
              <w:rPr>
                <w:sz w:val="18"/>
                <w:szCs w:val="18"/>
              </w:rPr>
              <w:t>，</w:t>
            </w:r>
            <w:r>
              <w:rPr>
                <w:rFonts w:hint="eastAsia"/>
                <w:sz w:val="18"/>
                <w:szCs w:val="18"/>
              </w:rPr>
              <w:t>距离</w:t>
            </w:r>
            <w:r>
              <w:rPr>
                <w:sz w:val="18"/>
                <w:szCs w:val="18"/>
              </w:rPr>
              <w:t>范围</w:t>
            </w:r>
            <w:r>
              <w:rPr>
                <w:rFonts w:hint="eastAsia"/>
                <w:sz w:val="18"/>
                <w:szCs w:val="18"/>
              </w:rPr>
              <w:t>1.5</w:t>
            </w:r>
            <w:r>
              <w:rPr>
                <w:sz w:val="18"/>
                <w:szCs w:val="18"/>
              </w:rPr>
              <w:t>m</w:t>
            </w:r>
            <w:r>
              <w:rPr>
                <w:rFonts w:hint="eastAsia"/>
                <w:sz w:val="18"/>
                <w:szCs w:val="18"/>
              </w:rPr>
              <w:t>至＞</w:t>
            </w:r>
            <w:r>
              <w:rPr>
                <w:sz w:val="18"/>
                <w:szCs w:val="18"/>
              </w:rPr>
              <w:t>10</w:t>
            </w:r>
            <w:r>
              <w:rPr>
                <w:rFonts w:hint="eastAsia"/>
                <w:sz w:val="18"/>
                <w:szCs w:val="18"/>
              </w:rPr>
              <w:t>00</w:t>
            </w:r>
            <w:r>
              <w:rPr>
                <w:sz w:val="18"/>
                <w:szCs w:val="18"/>
              </w:rPr>
              <w:t>m</w:t>
            </w:r>
            <w:r>
              <w:rPr>
                <w:rFonts w:hint="eastAsia"/>
                <w:sz w:val="18"/>
                <w:szCs w:val="18"/>
              </w:rPr>
              <w:t>；</w:t>
            </w:r>
            <w:r>
              <w:rPr>
                <w:sz w:val="18"/>
                <w:szCs w:val="18"/>
              </w:rPr>
              <w:t>结合配套软件使用，具有自动识别和照准目标、自动多测回观测和记录、自动学习和记忆各目标位置、自动校对限</w:t>
            </w:r>
            <w:r>
              <w:rPr>
                <w:rFonts w:hint="eastAsia"/>
                <w:sz w:val="18"/>
                <w:szCs w:val="18"/>
              </w:rPr>
              <w:t>差</w:t>
            </w:r>
            <w:r>
              <w:rPr>
                <w:sz w:val="18"/>
                <w:szCs w:val="18"/>
              </w:rPr>
              <w:t>、自动平差、预设质量控制参数、自动检测各项限差等功能。</w:t>
            </w:r>
          </w:p>
        </w:tc>
        <w:tc>
          <w:tcPr>
            <w:tcW w:w="350" w:type="pct"/>
            <w:shd w:val="clear" w:color="000000" w:fill="FFFFFF"/>
            <w:vAlign w:val="center"/>
          </w:tcPr>
          <w:p>
            <w:pPr>
              <w:jc w:val="center"/>
              <w:rPr>
                <w:color w:val="0000FF"/>
                <w:sz w:val="18"/>
                <w:szCs w:val="18"/>
              </w:rPr>
            </w:pPr>
          </w:p>
        </w:tc>
        <w:tc>
          <w:tcPr>
            <w:tcW w:w="689" w:type="pct"/>
            <w:shd w:val="clear" w:color="000000" w:fill="FFFFFF"/>
            <w:vAlign w:val="center"/>
          </w:tcPr>
          <w:p>
            <w:pPr>
              <w:autoSpaceDE w:val="0"/>
              <w:autoSpaceDN w:val="0"/>
              <w:adjustRightInd w:val="0"/>
              <w:snapToGrid w:val="0"/>
              <w:jc w:val="center"/>
              <w:textAlignment w:val="baseline"/>
              <w:rPr>
                <w:color w:val="0000FF"/>
                <w:sz w:val="18"/>
                <w:szCs w:val="18"/>
              </w:rPr>
            </w:pPr>
            <w:r>
              <w:rPr>
                <w:color w:val="0000FF"/>
                <w:sz w:val="18"/>
                <w:szCs w:val="18"/>
              </w:rPr>
              <w:t>瑞士Leica</w:t>
            </w:r>
          </w:p>
          <w:p>
            <w:pPr>
              <w:autoSpaceDE w:val="0"/>
              <w:autoSpaceDN w:val="0"/>
              <w:adjustRightInd w:val="0"/>
              <w:snapToGrid w:val="0"/>
              <w:jc w:val="center"/>
              <w:textAlignment w:val="baseline"/>
              <w:rPr>
                <w:color w:val="0000FF"/>
                <w:sz w:val="18"/>
                <w:szCs w:val="18"/>
              </w:rPr>
            </w:pPr>
            <w:r>
              <w:rPr>
                <w:color w:val="0000FF"/>
                <w:sz w:val="18"/>
                <w:szCs w:val="18"/>
              </w:rPr>
              <w:t>日本sokkia</w:t>
            </w:r>
          </w:p>
          <w:p>
            <w:pPr>
              <w:autoSpaceDE w:val="0"/>
              <w:autoSpaceDN w:val="0"/>
              <w:adjustRightInd w:val="0"/>
              <w:snapToGrid w:val="0"/>
              <w:jc w:val="center"/>
              <w:textAlignment w:val="baseline"/>
              <w:rPr>
                <w:color w:val="0000FF"/>
                <w:sz w:val="18"/>
                <w:szCs w:val="18"/>
              </w:rPr>
            </w:pPr>
            <w:r>
              <w:rPr>
                <w:color w:val="0000FF"/>
                <w:sz w:val="18"/>
                <w:szCs w:val="18"/>
              </w:rPr>
              <w:t>美国</w:t>
            </w:r>
            <w:r>
              <w:rPr>
                <w:color w:val="0000FF"/>
                <w:kern w:val="0"/>
                <w:sz w:val="18"/>
                <w:szCs w:val="18"/>
                <w:lang w:val="zh-CN"/>
              </w:rPr>
              <w:t>Trimble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autoSpaceDE w:val="0"/>
              <w:autoSpaceDN w:val="0"/>
              <w:adjustRightInd w:val="0"/>
              <w:snapToGrid w:val="0"/>
              <w:jc w:val="center"/>
              <w:textAlignment w:val="baseline"/>
              <w:rPr>
                <w:kern w:val="0"/>
                <w:sz w:val="18"/>
                <w:szCs w:val="18"/>
                <w:lang w:val="zh-CN"/>
              </w:rPr>
            </w:pPr>
            <w:r>
              <w:rPr>
                <w:rFonts w:hint="eastAsia"/>
                <w:kern w:val="0"/>
                <w:sz w:val="18"/>
                <w:szCs w:val="18"/>
              </w:rPr>
              <w:t>5</w:t>
            </w:r>
          </w:p>
        </w:tc>
        <w:tc>
          <w:tcPr>
            <w:tcW w:w="713" w:type="pct"/>
            <w:shd w:val="clear" w:color="000000" w:fill="FFFFFF"/>
            <w:vAlign w:val="center"/>
          </w:tcPr>
          <w:p>
            <w:pPr>
              <w:jc w:val="center"/>
              <w:rPr>
                <w:sz w:val="18"/>
                <w:szCs w:val="18"/>
              </w:rPr>
            </w:pPr>
            <w:r>
              <w:rPr>
                <w:sz w:val="18"/>
                <w:szCs w:val="18"/>
              </w:rPr>
              <w:t>棱镜</w:t>
            </w:r>
          </w:p>
        </w:tc>
        <w:tc>
          <w:tcPr>
            <w:tcW w:w="423" w:type="pct"/>
            <w:shd w:val="clear" w:color="000000" w:fill="FFFFFF"/>
            <w:vAlign w:val="center"/>
          </w:tcPr>
          <w:p>
            <w:pPr>
              <w:rPr>
                <w:sz w:val="18"/>
                <w:szCs w:val="18"/>
              </w:rPr>
            </w:pPr>
          </w:p>
        </w:tc>
        <w:tc>
          <w:tcPr>
            <w:tcW w:w="2484" w:type="pct"/>
            <w:shd w:val="clear" w:color="000000" w:fill="FFFFFF"/>
            <w:vAlign w:val="center"/>
          </w:tcPr>
          <w:p>
            <w:pPr>
              <w:rPr>
                <w:sz w:val="18"/>
                <w:szCs w:val="18"/>
              </w:rPr>
            </w:pPr>
            <w:r>
              <w:rPr>
                <w:sz w:val="18"/>
                <w:szCs w:val="18"/>
              </w:rPr>
              <w:t>与全站仪配套，</w:t>
            </w:r>
            <w:r>
              <w:rPr>
                <w:rFonts w:hint="eastAsia"/>
                <w:sz w:val="18"/>
                <w:szCs w:val="18"/>
              </w:rPr>
              <w:t>含</w:t>
            </w:r>
            <w:r>
              <w:rPr>
                <w:sz w:val="18"/>
                <w:szCs w:val="18"/>
              </w:rPr>
              <w:t>棱镜基座。</w:t>
            </w:r>
          </w:p>
        </w:tc>
        <w:tc>
          <w:tcPr>
            <w:tcW w:w="350" w:type="pct"/>
            <w:shd w:val="clear" w:color="000000" w:fill="FFFFFF"/>
            <w:vAlign w:val="center"/>
          </w:tcPr>
          <w:p>
            <w:pPr>
              <w:jc w:val="center"/>
              <w:rPr>
                <w:color w:val="0000FF"/>
                <w:sz w:val="18"/>
                <w:szCs w:val="18"/>
              </w:rPr>
            </w:pPr>
          </w:p>
        </w:tc>
        <w:tc>
          <w:tcPr>
            <w:tcW w:w="689" w:type="pct"/>
            <w:shd w:val="clear" w:color="000000" w:fill="FFFFFF"/>
            <w:vAlign w:val="center"/>
          </w:tcPr>
          <w:p>
            <w:pPr>
              <w:jc w:val="center"/>
              <w:rPr>
                <w:color w:val="0000FF"/>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autoSpaceDE w:val="0"/>
              <w:autoSpaceDN w:val="0"/>
              <w:adjustRightInd w:val="0"/>
              <w:snapToGrid w:val="0"/>
              <w:jc w:val="center"/>
              <w:textAlignment w:val="baseline"/>
              <w:rPr>
                <w:kern w:val="0"/>
                <w:sz w:val="18"/>
                <w:szCs w:val="18"/>
                <w:lang w:val="zh-CN"/>
              </w:rPr>
            </w:pPr>
            <w:r>
              <w:rPr>
                <w:rFonts w:hint="eastAsia"/>
                <w:kern w:val="0"/>
                <w:sz w:val="18"/>
                <w:szCs w:val="18"/>
              </w:rPr>
              <w:t>6</w:t>
            </w:r>
          </w:p>
        </w:tc>
        <w:tc>
          <w:tcPr>
            <w:tcW w:w="713" w:type="pct"/>
            <w:shd w:val="clear" w:color="000000" w:fill="FFFFFF"/>
            <w:vAlign w:val="center"/>
          </w:tcPr>
          <w:p>
            <w:pPr>
              <w:jc w:val="center"/>
              <w:rPr>
                <w:sz w:val="18"/>
                <w:szCs w:val="18"/>
              </w:rPr>
            </w:pPr>
            <w:r>
              <w:rPr>
                <w:sz w:val="18"/>
                <w:szCs w:val="18"/>
              </w:rPr>
              <w:t>测斜仪</w:t>
            </w:r>
          </w:p>
        </w:tc>
        <w:tc>
          <w:tcPr>
            <w:tcW w:w="423" w:type="pct"/>
            <w:shd w:val="clear" w:color="000000" w:fill="FFFFFF"/>
            <w:vAlign w:val="center"/>
          </w:tcPr>
          <w:p>
            <w:pPr>
              <w:rPr>
                <w:sz w:val="18"/>
                <w:szCs w:val="18"/>
              </w:rPr>
            </w:pPr>
            <w:r>
              <w:rPr>
                <w:rFonts w:hint="eastAsia"/>
                <w:sz w:val="18"/>
                <w:szCs w:val="18"/>
              </w:rPr>
              <w:t>双轴MEMS</w:t>
            </w:r>
          </w:p>
        </w:tc>
        <w:tc>
          <w:tcPr>
            <w:tcW w:w="2484" w:type="pct"/>
            <w:shd w:val="clear" w:color="000000" w:fill="FFFFFF"/>
            <w:vAlign w:val="center"/>
          </w:tcPr>
          <w:p>
            <w:pPr>
              <w:rPr>
                <w:sz w:val="18"/>
                <w:szCs w:val="18"/>
              </w:rPr>
            </w:pPr>
            <w:r>
              <w:rPr>
                <w:sz w:val="18"/>
                <w:szCs w:val="18"/>
              </w:rPr>
              <w:t>量程：±</w:t>
            </w:r>
            <w:r>
              <w:rPr>
                <w:rFonts w:hint="eastAsia"/>
                <w:sz w:val="18"/>
                <w:szCs w:val="18"/>
              </w:rPr>
              <w:t>30</w:t>
            </w:r>
            <w:r>
              <w:rPr>
                <w:sz w:val="18"/>
                <w:szCs w:val="18"/>
              </w:rPr>
              <w:t>°；分辨率：0.02mm/500m；含原装双轴探头、蓝牙绞盘及配套专用电缆，配pad接收仪</w:t>
            </w:r>
            <w:r>
              <w:rPr>
                <w:rFonts w:hint="eastAsia"/>
                <w:sz w:val="18"/>
                <w:szCs w:val="18"/>
              </w:rPr>
              <w:t>、</w:t>
            </w:r>
            <w:r>
              <w:rPr>
                <w:sz w:val="18"/>
                <w:szCs w:val="18"/>
              </w:rPr>
              <w:t>分析软件和模拟探头；电缆长度≥100m。</w:t>
            </w:r>
          </w:p>
        </w:tc>
        <w:tc>
          <w:tcPr>
            <w:tcW w:w="350" w:type="pct"/>
            <w:shd w:val="clear" w:color="000000" w:fill="FFFFFF"/>
            <w:vAlign w:val="center"/>
          </w:tcPr>
          <w:p>
            <w:pPr>
              <w:jc w:val="center"/>
              <w:rPr>
                <w:color w:val="0000FF"/>
                <w:sz w:val="18"/>
                <w:szCs w:val="18"/>
              </w:rPr>
            </w:pPr>
          </w:p>
        </w:tc>
        <w:tc>
          <w:tcPr>
            <w:tcW w:w="689" w:type="pct"/>
            <w:shd w:val="clear" w:color="000000" w:fill="FFFFFF"/>
            <w:vAlign w:val="center"/>
          </w:tcPr>
          <w:p>
            <w:pPr>
              <w:autoSpaceDE w:val="0"/>
              <w:autoSpaceDN w:val="0"/>
              <w:adjustRightInd w:val="0"/>
              <w:snapToGrid w:val="0"/>
              <w:jc w:val="center"/>
              <w:textAlignment w:val="baseline"/>
              <w:rPr>
                <w:color w:val="0000FF"/>
                <w:sz w:val="18"/>
                <w:szCs w:val="18"/>
                <w:lang w:val="en-GB"/>
              </w:rPr>
            </w:pPr>
            <w:r>
              <w:rPr>
                <w:color w:val="0000FF"/>
                <w:sz w:val="18"/>
                <w:szCs w:val="18"/>
                <w:lang w:val="zh-CN"/>
              </w:rPr>
              <w:t>美国</w:t>
            </w:r>
            <w:r>
              <w:rPr>
                <w:color w:val="0000FF"/>
                <w:sz w:val="18"/>
                <w:szCs w:val="18"/>
              </w:rPr>
              <w:t>Geokon</w:t>
            </w:r>
          </w:p>
          <w:p>
            <w:pPr>
              <w:widowControl/>
              <w:autoSpaceDE w:val="0"/>
              <w:autoSpaceDN w:val="0"/>
              <w:adjustRightInd w:val="0"/>
              <w:snapToGrid w:val="0"/>
              <w:jc w:val="center"/>
              <w:textAlignment w:val="baseline"/>
              <w:rPr>
                <w:color w:val="0000FF"/>
                <w:sz w:val="18"/>
                <w:szCs w:val="18"/>
              </w:rPr>
            </w:pPr>
            <w:r>
              <w:rPr>
                <w:color w:val="0000FF"/>
                <w:sz w:val="18"/>
                <w:szCs w:val="18"/>
              </w:rPr>
              <w:t>美国Sinco</w:t>
            </w:r>
          </w:p>
          <w:p>
            <w:pPr>
              <w:autoSpaceDE w:val="0"/>
              <w:autoSpaceDN w:val="0"/>
              <w:adjustRightInd w:val="0"/>
              <w:snapToGrid w:val="0"/>
              <w:jc w:val="center"/>
              <w:textAlignment w:val="baseline"/>
              <w:rPr>
                <w:color w:val="0000FF"/>
                <w:sz w:val="18"/>
                <w:szCs w:val="18"/>
              </w:rPr>
            </w:pPr>
            <w:r>
              <w:rPr>
                <w:color w:val="0000FF"/>
                <w:sz w:val="18"/>
                <w:szCs w:val="18"/>
              </w:rPr>
              <w:t>加拿大Roctest</w:t>
            </w:r>
          </w:p>
          <w:p>
            <w:pPr>
              <w:jc w:val="center"/>
              <w:rPr>
                <w:color w:val="0000FF"/>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autoSpaceDE w:val="0"/>
              <w:autoSpaceDN w:val="0"/>
              <w:adjustRightInd w:val="0"/>
              <w:snapToGrid w:val="0"/>
              <w:jc w:val="center"/>
              <w:textAlignment w:val="baseline"/>
              <w:rPr>
                <w:kern w:val="0"/>
                <w:sz w:val="18"/>
                <w:szCs w:val="18"/>
                <w:lang w:val="zh-CN"/>
              </w:rPr>
            </w:pPr>
            <w:r>
              <w:rPr>
                <w:rFonts w:hint="eastAsia"/>
                <w:kern w:val="0"/>
                <w:sz w:val="18"/>
                <w:szCs w:val="18"/>
              </w:rPr>
              <w:t>7</w:t>
            </w:r>
          </w:p>
        </w:tc>
        <w:tc>
          <w:tcPr>
            <w:tcW w:w="713" w:type="pct"/>
            <w:shd w:val="clear" w:color="000000" w:fill="FFFFFF"/>
            <w:vAlign w:val="center"/>
          </w:tcPr>
          <w:p>
            <w:pPr>
              <w:jc w:val="center"/>
              <w:rPr>
                <w:sz w:val="18"/>
                <w:szCs w:val="18"/>
              </w:rPr>
            </w:pPr>
            <w:r>
              <w:rPr>
                <w:rFonts w:hint="eastAsia"/>
                <w:sz w:val="18"/>
                <w:szCs w:val="18"/>
              </w:rPr>
              <w:t>电测水位计</w:t>
            </w:r>
          </w:p>
        </w:tc>
        <w:tc>
          <w:tcPr>
            <w:tcW w:w="423" w:type="pct"/>
            <w:shd w:val="clear" w:color="000000" w:fill="FFFFFF"/>
            <w:vAlign w:val="center"/>
          </w:tcPr>
          <w:p>
            <w:pPr>
              <w:rPr>
                <w:sz w:val="18"/>
                <w:szCs w:val="18"/>
              </w:rPr>
            </w:pPr>
          </w:p>
        </w:tc>
        <w:tc>
          <w:tcPr>
            <w:tcW w:w="2484" w:type="pct"/>
            <w:shd w:val="clear" w:color="000000" w:fill="FFFFFF"/>
            <w:vAlign w:val="center"/>
          </w:tcPr>
          <w:p>
            <w:pPr>
              <w:rPr>
                <w:sz w:val="18"/>
                <w:szCs w:val="18"/>
              </w:rPr>
            </w:pPr>
            <w:r>
              <w:rPr>
                <w:sz w:val="18"/>
                <w:szCs w:val="18"/>
              </w:rPr>
              <w:t xml:space="preserve">量程：50m；最小读数：1mm。   </w:t>
            </w:r>
          </w:p>
        </w:tc>
        <w:tc>
          <w:tcPr>
            <w:tcW w:w="350" w:type="pct"/>
            <w:shd w:val="clear" w:color="000000" w:fill="FFFFFF"/>
            <w:vAlign w:val="center"/>
          </w:tcPr>
          <w:p>
            <w:pPr>
              <w:rPr>
                <w:sz w:val="18"/>
                <w:szCs w:val="18"/>
              </w:rPr>
            </w:pPr>
          </w:p>
        </w:tc>
        <w:tc>
          <w:tcPr>
            <w:tcW w:w="689" w:type="pct"/>
            <w:shd w:val="clear" w:color="000000" w:fill="FFFFFF"/>
            <w:vAlign w:val="center"/>
          </w:tcPr>
          <w:p>
            <w:pPr>
              <w:autoSpaceDE w:val="0"/>
              <w:autoSpaceDN w:val="0"/>
              <w:adjustRightInd w:val="0"/>
              <w:snapToGrid w:val="0"/>
              <w:jc w:val="center"/>
              <w:textAlignment w:val="baseline"/>
              <w:rPr>
                <w:kern w:val="0"/>
                <w:sz w:val="18"/>
                <w:szCs w:val="18"/>
              </w:rPr>
            </w:pPr>
            <w:r>
              <w:rPr>
                <w:kern w:val="0"/>
                <w:sz w:val="18"/>
                <w:szCs w:val="18"/>
                <w:lang w:val="zh-CN"/>
              </w:rPr>
              <w:t>北京基康、</w:t>
            </w:r>
          </w:p>
          <w:p>
            <w:pPr>
              <w:autoSpaceDE w:val="0"/>
              <w:autoSpaceDN w:val="0"/>
              <w:adjustRightInd w:val="0"/>
              <w:snapToGrid w:val="0"/>
              <w:jc w:val="center"/>
              <w:textAlignment w:val="baseline"/>
              <w:rPr>
                <w:kern w:val="0"/>
                <w:sz w:val="18"/>
                <w:szCs w:val="18"/>
                <w:lang w:val="en-GB"/>
              </w:rPr>
            </w:pPr>
            <w:r>
              <w:rPr>
                <w:kern w:val="0"/>
                <w:sz w:val="18"/>
                <w:szCs w:val="18"/>
                <w:lang w:val="en-GB"/>
              </w:rPr>
              <w:t>南京葛南、</w:t>
            </w:r>
          </w:p>
          <w:p>
            <w:pPr>
              <w:rPr>
                <w:sz w:val="18"/>
                <w:szCs w:val="18"/>
              </w:rPr>
            </w:pPr>
            <w:r>
              <w:rPr>
                <w:sz w:val="18"/>
                <w:szCs w:val="18"/>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autoSpaceDE w:val="0"/>
              <w:autoSpaceDN w:val="0"/>
              <w:adjustRightInd w:val="0"/>
              <w:snapToGrid w:val="0"/>
              <w:jc w:val="center"/>
              <w:textAlignment w:val="baseline"/>
              <w:rPr>
                <w:kern w:val="0"/>
                <w:sz w:val="18"/>
                <w:szCs w:val="18"/>
                <w:lang w:val="zh-CN"/>
              </w:rPr>
            </w:pPr>
            <w:r>
              <w:rPr>
                <w:rFonts w:hint="eastAsia"/>
                <w:kern w:val="0"/>
                <w:sz w:val="18"/>
                <w:szCs w:val="18"/>
              </w:rPr>
              <w:t>8</w:t>
            </w:r>
          </w:p>
        </w:tc>
        <w:tc>
          <w:tcPr>
            <w:tcW w:w="713" w:type="pct"/>
            <w:shd w:val="clear" w:color="000000" w:fill="FFFFFF"/>
            <w:vAlign w:val="center"/>
          </w:tcPr>
          <w:p>
            <w:pPr>
              <w:jc w:val="center"/>
              <w:rPr>
                <w:sz w:val="18"/>
                <w:szCs w:val="18"/>
              </w:rPr>
            </w:pPr>
            <w:r>
              <w:rPr>
                <w:sz w:val="18"/>
                <w:szCs w:val="18"/>
              </w:rPr>
              <w:t>振弦式读数仪</w:t>
            </w:r>
          </w:p>
        </w:tc>
        <w:tc>
          <w:tcPr>
            <w:tcW w:w="423" w:type="pct"/>
            <w:shd w:val="clear" w:color="000000" w:fill="FFFFFF"/>
            <w:vAlign w:val="center"/>
          </w:tcPr>
          <w:p>
            <w:pPr>
              <w:rPr>
                <w:sz w:val="18"/>
                <w:szCs w:val="18"/>
              </w:rPr>
            </w:pPr>
          </w:p>
        </w:tc>
        <w:tc>
          <w:tcPr>
            <w:tcW w:w="2484" w:type="pct"/>
            <w:shd w:val="clear" w:color="000000" w:fill="FFFFFF"/>
            <w:vAlign w:val="center"/>
          </w:tcPr>
          <w:p>
            <w:pPr>
              <w:rPr>
                <w:sz w:val="18"/>
                <w:szCs w:val="18"/>
              </w:rPr>
            </w:pPr>
            <w:r>
              <w:rPr>
                <w:sz w:val="18"/>
                <w:szCs w:val="18"/>
              </w:rPr>
              <w:t>激励范围：400Hz～6000Hz；频率精度：≤0.</w:t>
            </w:r>
            <w:r>
              <w:rPr>
                <w:rFonts w:hint="eastAsia"/>
                <w:sz w:val="18"/>
                <w:szCs w:val="18"/>
              </w:rPr>
              <w:t>1</w:t>
            </w:r>
            <w:r>
              <w:rPr>
                <w:sz w:val="18"/>
                <w:szCs w:val="18"/>
              </w:rPr>
              <w:t>Hz；温度测量范围：-20</w:t>
            </w:r>
            <w:r>
              <w:rPr>
                <w:rFonts w:hint="eastAsia" w:ascii="宋体" w:hAnsi="宋体" w:cs="宋体"/>
                <w:sz w:val="18"/>
                <w:szCs w:val="18"/>
              </w:rPr>
              <w:t>℃</w:t>
            </w:r>
            <w:r>
              <w:rPr>
                <w:sz w:val="18"/>
                <w:szCs w:val="18"/>
              </w:rPr>
              <w:t>～﹢80</w:t>
            </w:r>
            <w:r>
              <w:rPr>
                <w:rFonts w:hint="eastAsia" w:ascii="宋体" w:hAnsi="宋体" w:cs="宋体"/>
                <w:sz w:val="18"/>
                <w:szCs w:val="18"/>
              </w:rPr>
              <w:t>℃</w:t>
            </w:r>
            <w:r>
              <w:rPr>
                <w:sz w:val="18"/>
                <w:szCs w:val="18"/>
              </w:rPr>
              <w:t>；温度分辨率：0.1</w:t>
            </w:r>
            <w:r>
              <w:rPr>
                <w:rFonts w:hint="eastAsia" w:ascii="宋体" w:hAnsi="宋体" w:cs="宋体"/>
                <w:sz w:val="18"/>
                <w:szCs w:val="18"/>
              </w:rPr>
              <w:t>℃</w:t>
            </w:r>
            <w:r>
              <w:rPr>
                <w:sz w:val="18"/>
                <w:szCs w:val="18"/>
              </w:rPr>
              <w:t>；存储能力：2000组；连续工作时间：＞24h。</w:t>
            </w:r>
          </w:p>
        </w:tc>
        <w:tc>
          <w:tcPr>
            <w:tcW w:w="350" w:type="pct"/>
            <w:shd w:val="clear" w:color="000000" w:fill="FFFFFF"/>
            <w:vAlign w:val="center"/>
          </w:tcPr>
          <w:p>
            <w:pPr>
              <w:rPr>
                <w:sz w:val="18"/>
                <w:szCs w:val="18"/>
              </w:rPr>
            </w:pPr>
          </w:p>
        </w:tc>
        <w:tc>
          <w:tcPr>
            <w:tcW w:w="689" w:type="pct"/>
            <w:shd w:val="clear" w:color="000000" w:fill="FFFFFF"/>
            <w:vAlign w:val="center"/>
          </w:tcPr>
          <w:p>
            <w:pPr>
              <w:autoSpaceDE w:val="0"/>
              <w:autoSpaceDN w:val="0"/>
              <w:adjustRightInd w:val="0"/>
              <w:snapToGrid w:val="0"/>
              <w:jc w:val="center"/>
              <w:textAlignment w:val="baseline"/>
              <w:rPr>
                <w:kern w:val="0"/>
                <w:sz w:val="18"/>
                <w:szCs w:val="18"/>
                <w:lang w:val="en-GB"/>
              </w:rPr>
            </w:pPr>
            <w:r>
              <w:rPr>
                <w:kern w:val="0"/>
                <w:sz w:val="18"/>
                <w:szCs w:val="18"/>
                <w:lang w:val="zh-CN"/>
              </w:rPr>
              <w:t>北京基康、</w:t>
            </w:r>
          </w:p>
          <w:p>
            <w:pPr>
              <w:autoSpaceDE w:val="0"/>
              <w:autoSpaceDN w:val="0"/>
              <w:adjustRightInd w:val="0"/>
              <w:snapToGrid w:val="0"/>
              <w:jc w:val="center"/>
              <w:textAlignment w:val="baseline"/>
              <w:rPr>
                <w:kern w:val="0"/>
                <w:sz w:val="18"/>
                <w:szCs w:val="18"/>
                <w:lang w:val="zh-CN"/>
              </w:rPr>
            </w:pPr>
            <w:r>
              <w:rPr>
                <w:kern w:val="0"/>
                <w:sz w:val="18"/>
                <w:szCs w:val="18"/>
                <w:lang w:val="zh-CN"/>
              </w:rPr>
              <w:t>南京南瑞、</w:t>
            </w:r>
          </w:p>
          <w:p>
            <w:pPr>
              <w:autoSpaceDE w:val="0"/>
              <w:autoSpaceDN w:val="0"/>
              <w:adjustRightInd w:val="0"/>
              <w:snapToGrid w:val="0"/>
              <w:jc w:val="center"/>
              <w:textAlignment w:val="baseline"/>
              <w:rPr>
                <w:kern w:val="0"/>
                <w:sz w:val="18"/>
                <w:szCs w:val="18"/>
              </w:rPr>
            </w:pPr>
            <w:r>
              <w:rPr>
                <w:rFonts w:hint="eastAsia" w:ascii="宋体" w:hAnsi="宋体" w:cs="宋体"/>
                <w:sz w:val="18"/>
                <w:szCs w:val="18"/>
              </w:rPr>
              <w:t>长江科创</w:t>
            </w:r>
            <w:r>
              <w:rPr>
                <w:rFonts w:hint="eastAsia"/>
                <w:kern w:val="0"/>
                <w:sz w:val="18"/>
                <w:szCs w:val="18"/>
                <w:lang w:val="zh-CN"/>
              </w:rPr>
              <w:t>、</w:t>
            </w:r>
          </w:p>
          <w:p>
            <w:pPr>
              <w:rPr>
                <w:sz w:val="18"/>
                <w:szCs w:val="18"/>
              </w:rPr>
            </w:pPr>
            <w:r>
              <w:rPr>
                <w:kern w:val="0"/>
                <w:sz w:val="18"/>
                <w:szCs w:val="18"/>
                <w:lang w:val="zh-CN"/>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autoSpaceDE w:val="0"/>
              <w:autoSpaceDN w:val="0"/>
              <w:adjustRightInd w:val="0"/>
              <w:snapToGrid w:val="0"/>
              <w:jc w:val="center"/>
              <w:textAlignment w:val="baseline"/>
              <w:rPr>
                <w:kern w:val="0"/>
                <w:sz w:val="18"/>
                <w:szCs w:val="18"/>
                <w:lang w:val="zh-CN"/>
              </w:rPr>
            </w:pPr>
            <w:r>
              <w:rPr>
                <w:rFonts w:hint="eastAsia"/>
                <w:kern w:val="0"/>
                <w:sz w:val="18"/>
                <w:szCs w:val="18"/>
              </w:rPr>
              <w:t>9</w:t>
            </w:r>
          </w:p>
        </w:tc>
        <w:tc>
          <w:tcPr>
            <w:tcW w:w="713" w:type="pct"/>
            <w:shd w:val="clear" w:color="000000" w:fill="FFFFFF"/>
            <w:vAlign w:val="center"/>
          </w:tcPr>
          <w:p>
            <w:pPr>
              <w:jc w:val="center"/>
              <w:rPr>
                <w:sz w:val="18"/>
                <w:szCs w:val="18"/>
              </w:rPr>
            </w:pPr>
            <w:r>
              <w:rPr>
                <w:sz w:val="18"/>
                <w:szCs w:val="18"/>
              </w:rPr>
              <w:t>便携式FBG解调仪</w:t>
            </w:r>
          </w:p>
        </w:tc>
        <w:tc>
          <w:tcPr>
            <w:tcW w:w="423" w:type="pct"/>
            <w:shd w:val="clear" w:color="000000" w:fill="FFFFFF"/>
            <w:vAlign w:val="center"/>
          </w:tcPr>
          <w:p>
            <w:pPr>
              <w:rPr>
                <w:sz w:val="18"/>
                <w:szCs w:val="18"/>
              </w:rPr>
            </w:pPr>
          </w:p>
        </w:tc>
        <w:tc>
          <w:tcPr>
            <w:tcW w:w="2484" w:type="pct"/>
            <w:shd w:val="clear" w:color="000000" w:fill="FFFFFF"/>
          </w:tcPr>
          <w:p>
            <w:pPr>
              <w:rPr>
                <w:sz w:val="18"/>
                <w:szCs w:val="18"/>
              </w:rPr>
            </w:pPr>
            <w:r>
              <w:rPr>
                <w:sz w:val="18"/>
                <w:szCs w:val="18"/>
              </w:rPr>
              <w:t>通道数：2；波长范围152</w:t>
            </w:r>
            <w:r>
              <w:rPr>
                <w:rFonts w:hint="eastAsia"/>
                <w:sz w:val="18"/>
                <w:szCs w:val="18"/>
              </w:rPr>
              <w:t>5</w:t>
            </w:r>
            <w:r>
              <w:rPr>
                <w:sz w:val="18"/>
                <w:szCs w:val="18"/>
              </w:rPr>
              <w:t>mm～15</w:t>
            </w:r>
            <w:r>
              <w:rPr>
                <w:rFonts w:hint="eastAsia"/>
                <w:sz w:val="18"/>
                <w:szCs w:val="18"/>
              </w:rPr>
              <w:t>65</w:t>
            </w:r>
            <w:r>
              <w:rPr>
                <w:sz w:val="18"/>
                <w:szCs w:val="18"/>
              </w:rPr>
              <w:t>mm；</w:t>
            </w:r>
            <w:r>
              <w:rPr>
                <w:rFonts w:hint="eastAsia"/>
                <w:sz w:val="18"/>
                <w:szCs w:val="18"/>
              </w:rPr>
              <w:t>波长精度</w:t>
            </w:r>
            <w:r>
              <w:rPr>
                <w:sz w:val="18"/>
                <w:szCs w:val="18"/>
              </w:rPr>
              <w:t>：</w:t>
            </w:r>
            <w:r>
              <w:rPr>
                <w:rFonts w:hint="eastAsia"/>
                <w:sz w:val="18"/>
                <w:szCs w:val="18"/>
              </w:rPr>
              <w:t>1</w:t>
            </w:r>
            <w:r>
              <w:rPr>
                <w:sz w:val="18"/>
                <w:szCs w:val="18"/>
              </w:rPr>
              <w:t>pm；波长稳定性：</w:t>
            </w:r>
            <w:r>
              <w:rPr>
                <w:rFonts w:hint="eastAsia"/>
                <w:sz w:val="18"/>
                <w:szCs w:val="18"/>
              </w:rPr>
              <w:t>1</w:t>
            </w:r>
            <w:r>
              <w:rPr>
                <w:sz w:val="18"/>
                <w:szCs w:val="18"/>
              </w:rPr>
              <w:t>pm；波长重复性：0.5pm at 1Hz；动态范围：≥40dB；数据传输接口：以太网；系统：可显示波长及传感器测试值，具有数据保存和回放功能；含有智能芯片模块，可对各类光纤光栅传感器现场自动智能识别和测试值自动换算；工作温度：0</w:t>
            </w:r>
            <w:r>
              <w:rPr>
                <w:rFonts w:hint="eastAsia" w:ascii="宋体" w:hAnsi="宋体" w:cs="宋体"/>
                <w:sz w:val="18"/>
                <w:szCs w:val="18"/>
              </w:rPr>
              <w:t>℃</w:t>
            </w:r>
            <w:r>
              <w:rPr>
                <w:sz w:val="18"/>
                <w:szCs w:val="18"/>
              </w:rPr>
              <w:t>~50</w:t>
            </w:r>
            <w:r>
              <w:rPr>
                <w:rFonts w:hint="eastAsia" w:ascii="宋体" w:hAnsi="宋体" w:cs="宋体"/>
                <w:sz w:val="18"/>
                <w:szCs w:val="18"/>
              </w:rPr>
              <w:t>℃</w:t>
            </w:r>
            <w:r>
              <w:rPr>
                <w:sz w:val="18"/>
                <w:szCs w:val="18"/>
              </w:rPr>
              <w:t>，湿度：0~80%。</w:t>
            </w:r>
          </w:p>
        </w:tc>
        <w:tc>
          <w:tcPr>
            <w:tcW w:w="350" w:type="pct"/>
            <w:shd w:val="clear" w:color="000000" w:fill="FFFFFF"/>
          </w:tcPr>
          <w:p>
            <w:pPr>
              <w:rPr>
                <w:sz w:val="18"/>
                <w:szCs w:val="18"/>
              </w:rPr>
            </w:pPr>
          </w:p>
        </w:tc>
        <w:tc>
          <w:tcPr>
            <w:tcW w:w="689" w:type="pct"/>
            <w:shd w:val="clear" w:color="000000" w:fill="FFFFFF"/>
          </w:tcPr>
          <w:p>
            <w:pPr>
              <w:autoSpaceDE w:val="0"/>
              <w:autoSpaceDN w:val="0"/>
              <w:adjustRightInd w:val="0"/>
              <w:snapToGrid w:val="0"/>
              <w:jc w:val="center"/>
              <w:textAlignment w:val="baseline"/>
              <w:rPr>
                <w:kern w:val="0"/>
                <w:sz w:val="18"/>
                <w:szCs w:val="18"/>
                <w:lang w:val="zh-CN"/>
              </w:rPr>
            </w:pPr>
          </w:p>
          <w:p>
            <w:pPr>
              <w:autoSpaceDE w:val="0"/>
              <w:autoSpaceDN w:val="0"/>
              <w:adjustRightInd w:val="0"/>
              <w:snapToGrid w:val="0"/>
              <w:jc w:val="center"/>
              <w:textAlignment w:val="baseline"/>
              <w:rPr>
                <w:kern w:val="0"/>
                <w:sz w:val="18"/>
                <w:szCs w:val="18"/>
                <w:lang w:val="zh-CN"/>
              </w:rPr>
            </w:pPr>
            <w:r>
              <w:rPr>
                <w:kern w:val="0"/>
                <w:sz w:val="18"/>
                <w:szCs w:val="18"/>
                <w:lang w:val="zh-CN"/>
              </w:rPr>
              <w:t>北京基康、</w:t>
            </w:r>
          </w:p>
          <w:p>
            <w:pPr>
              <w:autoSpaceDE w:val="0"/>
              <w:autoSpaceDN w:val="0"/>
              <w:adjustRightInd w:val="0"/>
              <w:snapToGrid w:val="0"/>
              <w:jc w:val="center"/>
              <w:textAlignment w:val="baseline"/>
              <w:rPr>
                <w:sz w:val="18"/>
                <w:szCs w:val="18"/>
              </w:rPr>
            </w:pPr>
            <w:r>
              <w:rPr>
                <w:kern w:val="0"/>
                <w:sz w:val="18"/>
                <w:szCs w:val="18"/>
                <w:lang w:val="zh-CN"/>
              </w:rPr>
              <w:t>苏州南智传感</w:t>
            </w:r>
            <w:r>
              <w:rPr>
                <w:rFonts w:hint="eastAsia"/>
                <w:kern w:val="0"/>
                <w:sz w:val="18"/>
                <w:szCs w:val="18"/>
                <w:lang w:val="zh-CN"/>
              </w:rPr>
              <w:t>、</w:t>
            </w:r>
            <w:r>
              <w:rPr>
                <w:sz w:val="18"/>
                <w:szCs w:val="18"/>
                <w:highlight w:val="none"/>
                <w:lang w:val="zh-CN"/>
              </w:rPr>
              <w:t>南京南瑞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autoSpaceDE w:val="0"/>
              <w:autoSpaceDN w:val="0"/>
              <w:adjustRightInd w:val="0"/>
              <w:snapToGrid w:val="0"/>
              <w:jc w:val="center"/>
              <w:textAlignment w:val="baseline"/>
              <w:rPr>
                <w:kern w:val="0"/>
                <w:sz w:val="18"/>
                <w:szCs w:val="18"/>
              </w:rPr>
            </w:pPr>
            <w:r>
              <w:rPr>
                <w:rFonts w:hint="eastAsia"/>
                <w:kern w:val="0"/>
                <w:sz w:val="18"/>
                <w:szCs w:val="18"/>
              </w:rPr>
              <w:t>10</w:t>
            </w:r>
          </w:p>
        </w:tc>
        <w:tc>
          <w:tcPr>
            <w:tcW w:w="713" w:type="pct"/>
            <w:shd w:val="clear" w:color="000000" w:fill="FFFFFF"/>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bidi="ar"/>
              </w:rPr>
              <w:t>钢卷尺</w:t>
            </w:r>
          </w:p>
        </w:tc>
        <w:tc>
          <w:tcPr>
            <w:tcW w:w="423" w:type="pct"/>
            <w:shd w:val="clear" w:color="000000" w:fill="FFFFFF"/>
            <w:vAlign w:val="center"/>
          </w:tcPr>
          <w:p>
            <w:pPr>
              <w:rPr>
                <w:sz w:val="18"/>
                <w:szCs w:val="18"/>
              </w:rPr>
            </w:pPr>
          </w:p>
        </w:tc>
        <w:tc>
          <w:tcPr>
            <w:tcW w:w="2484" w:type="pct"/>
            <w:shd w:val="clear" w:color="000000" w:fill="FFFFFF"/>
          </w:tcPr>
          <w:p>
            <w:pPr>
              <w:rPr>
                <w:sz w:val="18"/>
                <w:szCs w:val="18"/>
              </w:rPr>
            </w:pPr>
            <w:r>
              <w:rPr>
                <w:sz w:val="18"/>
                <w:szCs w:val="18"/>
                <w:lang w:val="zh-CN"/>
              </w:rPr>
              <w:t>量程：5m，最小读数：1mm。</w:t>
            </w:r>
          </w:p>
        </w:tc>
        <w:tc>
          <w:tcPr>
            <w:tcW w:w="350" w:type="pct"/>
            <w:shd w:val="clear" w:color="000000" w:fill="FFFFFF"/>
          </w:tcPr>
          <w:p>
            <w:pPr>
              <w:rPr>
                <w:sz w:val="18"/>
                <w:szCs w:val="18"/>
              </w:rPr>
            </w:pPr>
          </w:p>
        </w:tc>
        <w:tc>
          <w:tcPr>
            <w:tcW w:w="689" w:type="pct"/>
            <w:shd w:val="clear" w:color="000000" w:fill="FFFFFF"/>
          </w:tcPr>
          <w:p>
            <w:pPr>
              <w:autoSpaceDE w:val="0"/>
              <w:autoSpaceDN w:val="0"/>
              <w:adjustRightInd w:val="0"/>
              <w:snapToGrid w:val="0"/>
              <w:jc w:val="center"/>
              <w:textAlignment w:val="baseline"/>
              <w:rPr>
                <w:kern w:val="0"/>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autoSpaceDE w:val="0"/>
              <w:autoSpaceDN w:val="0"/>
              <w:adjustRightInd w:val="0"/>
              <w:snapToGrid w:val="0"/>
              <w:jc w:val="center"/>
              <w:textAlignment w:val="baseline"/>
              <w:rPr>
                <w:kern w:val="0"/>
                <w:sz w:val="18"/>
                <w:szCs w:val="18"/>
              </w:rPr>
            </w:pPr>
            <w:r>
              <w:rPr>
                <w:rFonts w:hint="eastAsia"/>
                <w:kern w:val="0"/>
                <w:sz w:val="18"/>
                <w:szCs w:val="18"/>
              </w:rPr>
              <w:t>11</w:t>
            </w:r>
          </w:p>
        </w:tc>
        <w:tc>
          <w:tcPr>
            <w:tcW w:w="713" w:type="pct"/>
            <w:shd w:val="clear" w:color="000000" w:fill="FFFFFF"/>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bidi="ar"/>
              </w:rPr>
              <w:t>楔形尺</w:t>
            </w:r>
          </w:p>
        </w:tc>
        <w:tc>
          <w:tcPr>
            <w:tcW w:w="423" w:type="pct"/>
            <w:shd w:val="clear" w:color="000000" w:fill="FFFFFF"/>
            <w:vAlign w:val="center"/>
          </w:tcPr>
          <w:p>
            <w:pPr>
              <w:rPr>
                <w:sz w:val="18"/>
                <w:szCs w:val="18"/>
              </w:rPr>
            </w:pPr>
          </w:p>
        </w:tc>
        <w:tc>
          <w:tcPr>
            <w:tcW w:w="2484" w:type="pct"/>
            <w:shd w:val="clear" w:color="000000" w:fill="FFFFFF"/>
          </w:tcPr>
          <w:p>
            <w:pPr>
              <w:rPr>
                <w:sz w:val="18"/>
                <w:szCs w:val="18"/>
              </w:rPr>
            </w:pPr>
            <w:r>
              <w:rPr>
                <w:sz w:val="18"/>
                <w:szCs w:val="18"/>
                <w:lang w:val="zh-CN"/>
              </w:rPr>
              <w:t>量程：1~15mm。</w:t>
            </w:r>
          </w:p>
        </w:tc>
        <w:tc>
          <w:tcPr>
            <w:tcW w:w="350" w:type="pct"/>
            <w:shd w:val="clear" w:color="000000" w:fill="FFFFFF"/>
          </w:tcPr>
          <w:p>
            <w:pPr>
              <w:rPr>
                <w:sz w:val="18"/>
                <w:szCs w:val="18"/>
              </w:rPr>
            </w:pPr>
          </w:p>
        </w:tc>
        <w:tc>
          <w:tcPr>
            <w:tcW w:w="689" w:type="pct"/>
            <w:shd w:val="clear" w:color="000000" w:fill="FFFFFF"/>
          </w:tcPr>
          <w:p>
            <w:pPr>
              <w:autoSpaceDE w:val="0"/>
              <w:autoSpaceDN w:val="0"/>
              <w:adjustRightInd w:val="0"/>
              <w:snapToGrid w:val="0"/>
              <w:jc w:val="center"/>
              <w:textAlignment w:val="baseline"/>
              <w:rPr>
                <w:kern w:val="0"/>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autoSpaceDE w:val="0"/>
              <w:autoSpaceDN w:val="0"/>
              <w:adjustRightInd w:val="0"/>
              <w:snapToGrid w:val="0"/>
              <w:jc w:val="center"/>
              <w:textAlignment w:val="baseline"/>
              <w:rPr>
                <w:kern w:val="0"/>
                <w:sz w:val="18"/>
                <w:szCs w:val="18"/>
              </w:rPr>
            </w:pPr>
            <w:r>
              <w:rPr>
                <w:rFonts w:hint="eastAsia"/>
                <w:kern w:val="0"/>
                <w:sz w:val="18"/>
                <w:szCs w:val="18"/>
              </w:rPr>
              <w:t>12</w:t>
            </w:r>
          </w:p>
        </w:tc>
        <w:tc>
          <w:tcPr>
            <w:tcW w:w="713" w:type="pct"/>
            <w:shd w:val="clear" w:color="000000" w:fill="FFFFFF"/>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bidi="ar"/>
              </w:rPr>
              <w:t>望远镜</w:t>
            </w:r>
          </w:p>
        </w:tc>
        <w:tc>
          <w:tcPr>
            <w:tcW w:w="423" w:type="pct"/>
            <w:shd w:val="clear" w:color="000000" w:fill="FFFFFF"/>
            <w:vAlign w:val="center"/>
          </w:tcPr>
          <w:p>
            <w:pPr>
              <w:rPr>
                <w:sz w:val="18"/>
                <w:szCs w:val="18"/>
              </w:rPr>
            </w:pPr>
          </w:p>
        </w:tc>
        <w:tc>
          <w:tcPr>
            <w:tcW w:w="2484" w:type="pct"/>
            <w:shd w:val="clear" w:color="000000" w:fill="FFFFFF"/>
          </w:tcPr>
          <w:p>
            <w:pPr>
              <w:rPr>
                <w:sz w:val="18"/>
                <w:szCs w:val="18"/>
              </w:rPr>
            </w:pPr>
            <w:r>
              <w:rPr>
                <w:rFonts w:hint="eastAsia"/>
                <w:sz w:val="18"/>
                <w:szCs w:val="18"/>
              </w:rPr>
              <w:t>手持式，双筒，倍率10倍。</w:t>
            </w:r>
          </w:p>
        </w:tc>
        <w:tc>
          <w:tcPr>
            <w:tcW w:w="350" w:type="pct"/>
            <w:shd w:val="clear" w:color="000000" w:fill="FFFFFF"/>
          </w:tcPr>
          <w:p>
            <w:pPr>
              <w:rPr>
                <w:sz w:val="18"/>
                <w:szCs w:val="18"/>
              </w:rPr>
            </w:pPr>
          </w:p>
        </w:tc>
        <w:tc>
          <w:tcPr>
            <w:tcW w:w="689" w:type="pct"/>
            <w:shd w:val="clear" w:color="000000" w:fill="FFFFFF"/>
          </w:tcPr>
          <w:p>
            <w:pPr>
              <w:autoSpaceDE w:val="0"/>
              <w:autoSpaceDN w:val="0"/>
              <w:adjustRightInd w:val="0"/>
              <w:snapToGrid w:val="0"/>
              <w:jc w:val="center"/>
              <w:textAlignment w:val="baseline"/>
              <w:rPr>
                <w:kern w:val="0"/>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autoSpaceDE w:val="0"/>
              <w:autoSpaceDN w:val="0"/>
              <w:adjustRightInd w:val="0"/>
              <w:snapToGrid w:val="0"/>
              <w:jc w:val="center"/>
              <w:textAlignment w:val="baseline"/>
              <w:rPr>
                <w:kern w:val="0"/>
                <w:sz w:val="18"/>
                <w:szCs w:val="18"/>
              </w:rPr>
            </w:pPr>
            <w:r>
              <w:rPr>
                <w:rFonts w:hint="eastAsia"/>
                <w:kern w:val="0"/>
                <w:sz w:val="18"/>
                <w:szCs w:val="18"/>
              </w:rPr>
              <w:t>13</w:t>
            </w:r>
          </w:p>
        </w:tc>
        <w:tc>
          <w:tcPr>
            <w:tcW w:w="713" w:type="pct"/>
            <w:shd w:val="clear" w:color="000000" w:fill="FFFFFF"/>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bidi="ar"/>
              </w:rPr>
              <w:t>放大镜</w:t>
            </w:r>
          </w:p>
        </w:tc>
        <w:tc>
          <w:tcPr>
            <w:tcW w:w="423" w:type="pct"/>
            <w:shd w:val="clear" w:color="000000" w:fill="FFFFFF"/>
            <w:vAlign w:val="center"/>
          </w:tcPr>
          <w:p>
            <w:pPr>
              <w:rPr>
                <w:sz w:val="18"/>
                <w:szCs w:val="18"/>
              </w:rPr>
            </w:pPr>
          </w:p>
        </w:tc>
        <w:tc>
          <w:tcPr>
            <w:tcW w:w="2484" w:type="pct"/>
            <w:shd w:val="clear" w:color="000000" w:fill="FFFFFF"/>
          </w:tcPr>
          <w:p>
            <w:pPr>
              <w:rPr>
                <w:sz w:val="18"/>
                <w:szCs w:val="18"/>
              </w:rPr>
            </w:pPr>
            <w:r>
              <w:rPr>
                <w:sz w:val="18"/>
                <w:szCs w:val="18"/>
                <w:lang w:val="zh-CN"/>
              </w:rPr>
              <w:t>放大倍数8倍。</w:t>
            </w:r>
          </w:p>
        </w:tc>
        <w:tc>
          <w:tcPr>
            <w:tcW w:w="350" w:type="pct"/>
            <w:shd w:val="clear" w:color="000000" w:fill="FFFFFF"/>
          </w:tcPr>
          <w:p>
            <w:pPr>
              <w:rPr>
                <w:sz w:val="18"/>
                <w:szCs w:val="18"/>
              </w:rPr>
            </w:pPr>
          </w:p>
        </w:tc>
        <w:tc>
          <w:tcPr>
            <w:tcW w:w="689" w:type="pct"/>
            <w:shd w:val="clear" w:color="000000" w:fill="FFFFFF"/>
          </w:tcPr>
          <w:p>
            <w:pPr>
              <w:autoSpaceDE w:val="0"/>
              <w:autoSpaceDN w:val="0"/>
              <w:adjustRightInd w:val="0"/>
              <w:snapToGrid w:val="0"/>
              <w:jc w:val="center"/>
              <w:textAlignment w:val="baseline"/>
              <w:rPr>
                <w:kern w:val="0"/>
                <w:sz w:val="18"/>
                <w:szCs w:val="18"/>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autoSpaceDE w:val="0"/>
              <w:autoSpaceDN w:val="0"/>
              <w:adjustRightInd w:val="0"/>
              <w:snapToGrid w:val="0"/>
              <w:jc w:val="center"/>
              <w:textAlignment w:val="baseline"/>
              <w:rPr>
                <w:kern w:val="0"/>
                <w:sz w:val="18"/>
                <w:szCs w:val="18"/>
              </w:rPr>
            </w:pPr>
            <w:r>
              <w:rPr>
                <w:rFonts w:hint="eastAsia"/>
                <w:kern w:val="0"/>
                <w:sz w:val="18"/>
                <w:szCs w:val="18"/>
              </w:rPr>
              <w:t>14</w:t>
            </w:r>
          </w:p>
        </w:tc>
        <w:tc>
          <w:tcPr>
            <w:tcW w:w="713" w:type="pct"/>
            <w:shd w:val="clear" w:color="000000" w:fill="FFFFFF"/>
            <w:vAlign w:val="center"/>
          </w:tcPr>
          <w:p>
            <w:pPr>
              <w:widowControl/>
              <w:jc w:val="center"/>
              <w:textAlignment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kern w:val="0"/>
                <w:sz w:val="18"/>
                <w:szCs w:val="18"/>
                <w:lang w:bidi="ar"/>
              </w:rPr>
              <w:t>裂缝仪</w:t>
            </w:r>
          </w:p>
        </w:tc>
        <w:tc>
          <w:tcPr>
            <w:tcW w:w="423" w:type="pct"/>
            <w:shd w:val="clear" w:color="000000" w:fill="FFFFFF"/>
            <w:vAlign w:val="center"/>
          </w:tcPr>
          <w:p>
            <w:pPr>
              <w:rPr>
                <w:sz w:val="18"/>
                <w:szCs w:val="18"/>
              </w:rPr>
            </w:pPr>
          </w:p>
        </w:tc>
        <w:tc>
          <w:tcPr>
            <w:tcW w:w="2484" w:type="pct"/>
            <w:shd w:val="clear" w:color="000000" w:fill="FFFFFF"/>
          </w:tcPr>
          <w:p>
            <w:pPr>
              <w:rPr>
                <w:sz w:val="18"/>
                <w:szCs w:val="18"/>
              </w:rPr>
            </w:pPr>
            <w:r>
              <w:rPr>
                <w:rFonts w:hint="eastAsia"/>
                <w:kern w:val="0"/>
                <w:sz w:val="18"/>
                <w:szCs w:val="18"/>
              </w:rPr>
              <w:t>量程：10mm；测量精度0.01mm；</w:t>
            </w:r>
            <w:r>
              <w:rPr>
                <w:kern w:val="0"/>
                <w:sz w:val="18"/>
                <w:szCs w:val="18"/>
              </w:rPr>
              <w:t>放大倍数</w:t>
            </w:r>
            <w:r>
              <w:rPr>
                <w:rFonts w:hint="eastAsia"/>
                <w:kern w:val="0"/>
                <w:sz w:val="18"/>
                <w:szCs w:val="18"/>
              </w:rPr>
              <w:t>：</w:t>
            </w:r>
            <w:r>
              <w:rPr>
                <w:kern w:val="0"/>
                <w:sz w:val="18"/>
                <w:szCs w:val="18"/>
              </w:rPr>
              <w:t>数码</w:t>
            </w:r>
            <w:r>
              <w:rPr>
                <w:rFonts w:hint="eastAsia"/>
                <w:kern w:val="0"/>
                <w:sz w:val="18"/>
                <w:szCs w:val="18"/>
              </w:rPr>
              <w:t>60倍；存储量：可存储10万个裂缝测点的图像和宽度数据；可连续工作8小时以上；主机屏幕为触摸式真彩色屏；防水防尘；支持手持式测读和固定安装测读。</w:t>
            </w:r>
          </w:p>
        </w:tc>
        <w:tc>
          <w:tcPr>
            <w:tcW w:w="350" w:type="pct"/>
            <w:shd w:val="clear" w:color="000000" w:fill="FFFFFF"/>
          </w:tcPr>
          <w:p>
            <w:pPr>
              <w:rPr>
                <w:sz w:val="18"/>
                <w:szCs w:val="18"/>
              </w:rPr>
            </w:pPr>
          </w:p>
        </w:tc>
        <w:tc>
          <w:tcPr>
            <w:tcW w:w="689" w:type="pct"/>
            <w:shd w:val="clear" w:color="000000" w:fill="FFFFFF"/>
          </w:tcPr>
          <w:p>
            <w:pPr>
              <w:autoSpaceDE w:val="0"/>
              <w:autoSpaceDN w:val="0"/>
              <w:adjustRightInd w:val="0"/>
              <w:snapToGrid w:val="0"/>
              <w:jc w:val="center"/>
              <w:textAlignment w:val="baseline"/>
              <w:rPr>
                <w:kern w:val="0"/>
                <w:sz w:val="18"/>
                <w:szCs w:val="18"/>
                <w:lang w:val="zh-CN"/>
              </w:rPr>
            </w:pPr>
          </w:p>
        </w:tc>
      </w:tr>
    </w:tbl>
    <w:p>
      <w:pPr>
        <w:autoSpaceDE w:val="0"/>
        <w:autoSpaceDN w:val="0"/>
        <w:adjustRightInd w:val="0"/>
        <w:snapToGrid w:val="0"/>
        <w:ind w:left="630" w:leftChars="200" w:hanging="210" w:hangingChars="100"/>
        <w:jc w:val="left"/>
        <w:textAlignment w:val="baseline"/>
        <w:rPr>
          <w:kern w:val="0"/>
          <w:szCs w:val="21"/>
          <w:lang w:val="zh-CN"/>
        </w:rPr>
      </w:pPr>
      <w:r>
        <w:rPr>
          <w:rFonts w:hint="eastAsia"/>
          <w:kern w:val="0"/>
          <w:szCs w:val="21"/>
          <w:lang w:val="zh-CN"/>
        </w:rPr>
        <w:t>注</w:t>
      </w:r>
      <w:r>
        <w:rPr>
          <w:rFonts w:hint="eastAsia"/>
          <w:kern w:val="0"/>
          <w:szCs w:val="21"/>
        </w:rPr>
        <w:t>：①</w:t>
      </w:r>
      <w:r>
        <w:rPr>
          <w:rFonts w:hint="eastAsia"/>
          <w:kern w:val="0"/>
          <w:szCs w:val="21"/>
          <w:lang w:val="zh-CN"/>
        </w:rPr>
        <w:t>本表推荐品牌仅为参考</w:t>
      </w:r>
      <w:r>
        <w:rPr>
          <w:rFonts w:hint="eastAsia"/>
          <w:kern w:val="0"/>
          <w:szCs w:val="21"/>
        </w:rPr>
        <w:t>，</w:t>
      </w:r>
      <w:r>
        <w:rPr>
          <w:rFonts w:hint="eastAsia"/>
          <w:kern w:val="0"/>
          <w:szCs w:val="21"/>
          <w:lang w:val="zh-CN"/>
        </w:rPr>
        <w:t>投标单位可选用不低于推荐品牌质量的其他品牌。在施工阶段</w:t>
      </w:r>
      <w:r>
        <w:rPr>
          <w:rFonts w:hint="eastAsia"/>
          <w:kern w:val="0"/>
          <w:szCs w:val="21"/>
        </w:rPr>
        <w:t>，</w:t>
      </w:r>
      <w:r>
        <w:rPr>
          <w:rFonts w:hint="eastAsia"/>
          <w:kern w:val="0"/>
          <w:szCs w:val="21"/>
          <w:lang w:val="zh-CN"/>
        </w:rPr>
        <w:t>甲方会同设计、监理从乙方报价品牌和本表推荐品牌中选定任一品牌</w:t>
      </w:r>
      <w:r>
        <w:rPr>
          <w:rFonts w:hint="eastAsia"/>
          <w:kern w:val="0"/>
          <w:szCs w:val="21"/>
        </w:rPr>
        <w:t>，</w:t>
      </w:r>
      <w:r>
        <w:rPr>
          <w:rFonts w:hint="eastAsia"/>
          <w:kern w:val="0"/>
          <w:szCs w:val="21"/>
          <w:lang w:val="zh-CN"/>
        </w:rPr>
        <w:t>乙方不得因此要求变更报价。</w:t>
      </w:r>
    </w:p>
    <w:p>
      <w:pPr>
        <w:autoSpaceDE w:val="0"/>
        <w:autoSpaceDN w:val="0"/>
        <w:adjustRightInd w:val="0"/>
        <w:snapToGrid w:val="0"/>
        <w:ind w:left="630" w:leftChars="200" w:hanging="210" w:hangingChars="100"/>
        <w:jc w:val="left"/>
        <w:textAlignment w:val="baseline"/>
        <w:rPr>
          <w:kern w:val="0"/>
          <w:szCs w:val="21"/>
          <w:highlight w:val="none"/>
          <w:lang w:val="zh-CN"/>
        </w:rPr>
      </w:pPr>
      <w:r>
        <w:rPr>
          <w:rFonts w:hint="eastAsia"/>
          <w:kern w:val="0"/>
          <w:szCs w:val="21"/>
          <w:lang w:val="zh-CN"/>
        </w:rPr>
        <w:t>②“苏州</w:t>
      </w:r>
      <w:r>
        <w:rPr>
          <w:kern w:val="0"/>
          <w:szCs w:val="21"/>
          <w:lang w:val="zh-CN"/>
        </w:rPr>
        <w:t>南智</w:t>
      </w:r>
      <w:r>
        <w:rPr>
          <w:rFonts w:hint="eastAsia"/>
          <w:kern w:val="0"/>
          <w:szCs w:val="21"/>
          <w:lang w:val="zh-CN"/>
        </w:rPr>
        <w:t>传感”全称是苏州南智传感科技有限公司；“</w:t>
      </w:r>
      <w:r>
        <w:rPr>
          <w:kern w:val="0"/>
          <w:szCs w:val="21"/>
          <w:lang w:val="zh-CN"/>
        </w:rPr>
        <w:t>北京基</w:t>
      </w:r>
      <w:r>
        <w:rPr>
          <w:rFonts w:hint="eastAsia"/>
          <w:kern w:val="0"/>
          <w:szCs w:val="21"/>
          <w:lang w:val="zh-CN"/>
        </w:rPr>
        <w:t>康”全称基康仪器股份有限公司；“南京</w:t>
      </w:r>
      <w:r>
        <w:rPr>
          <w:kern w:val="0"/>
          <w:szCs w:val="21"/>
          <w:lang w:val="zh-CN"/>
        </w:rPr>
        <w:t>南瑞</w:t>
      </w:r>
      <w:r>
        <w:rPr>
          <w:rFonts w:hint="eastAsia"/>
          <w:kern w:val="0"/>
          <w:szCs w:val="21"/>
          <w:lang w:val="zh-CN"/>
        </w:rPr>
        <w:t>”全称南瑞集团公司；“南京水文所”全称水利部南京水利水文自动化研究所；“南京</w:t>
      </w:r>
      <w:r>
        <w:rPr>
          <w:kern w:val="0"/>
          <w:szCs w:val="21"/>
          <w:lang w:val="zh-CN"/>
        </w:rPr>
        <w:t>葛南</w:t>
      </w:r>
      <w:r>
        <w:rPr>
          <w:rFonts w:hint="eastAsia"/>
          <w:kern w:val="0"/>
          <w:szCs w:val="21"/>
          <w:lang w:val="zh-CN"/>
        </w:rPr>
        <w:t>”全称</w:t>
      </w:r>
      <w:r>
        <w:rPr>
          <w:kern w:val="0"/>
          <w:szCs w:val="21"/>
          <w:lang w:val="zh-CN"/>
        </w:rPr>
        <w:t>南京葛南实业有限公司；</w:t>
      </w:r>
      <w:r>
        <w:rPr>
          <w:rFonts w:hint="eastAsia"/>
          <w:kern w:val="0"/>
          <w:szCs w:val="21"/>
          <w:highlight w:val="none"/>
          <w:lang w:val="zh-CN"/>
        </w:rPr>
        <w:t>“长江科创”全称</w:t>
      </w:r>
      <w:r>
        <w:rPr>
          <w:kern w:val="0"/>
          <w:szCs w:val="21"/>
          <w:highlight w:val="none"/>
          <w:lang w:val="zh-CN"/>
        </w:rPr>
        <w:fldChar w:fldCharType="begin"/>
      </w:r>
      <w:r>
        <w:rPr>
          <w:kern w:val="0"/>
          <w:szCs w:val="21"/>
          <w:highlight w:val="none"/>
          <w:lang w:val="zh-CN"/>
        </w:rPr>
        <w:instrText xml:space="preserve"> HYPERLINK "https://www.baidu.com/link?url=2balVnD4i3BOpLKfPaVpJWsCDMvXX8Mrt334HcBlvry1CvYq62dNCjIMZzePZVlMXiZi4t6OyNqtXKXIp7-zHeHW3i_3wrhtQrK0KCc8hzyG_0Iw6keICHNMEG5_BFE4RNMHvKbys0jJCym8hnMlXiu4Lg2KpK33qTRG7_Djo5Ohc48REy4NSGCylB65axdKwm9XpCiHHlNackoc_qfVY7Js82YWKKU3SBtf9Uga1hG&amp;wd=&amp;eqid=979e0dc00009fa86000000065cbe6dd7" \t "_blank" </w:instrText>
      </w:r>
      <w:r>
        <w:rPr>
          <w:kern w:val="0"/>
          <w:szCs w:val="21"/>
          <w:highlight w:val="none"/>
          <w:lang w:val="zh-CN"/>
        </w:rPr>
        <w:fldChar w:fldCharType="separate"/>
      </w:r>
      <w:r>
        <w:rPr>
          <w:kern w:val="0"/>
          <w:szCs w:val="21"/>
          <w:highlight w:val="none"/>
          <w:lang w:val="zh-CN"/>
        </w:rPr>
        <w:t>武汉长江科创科技发展有限公司</w:t>
      </w:r>
      <w:r>
        <w:rPr>
          <w:kern w:val="0"/>
          <w:szCs w:val="21"/>
          <w:highlight w:val="none"/>
          <w:lang w:val="zh-CN"/>
        </w:rPr>
        <w:fldChar w:fldCharType="end"/>
      </w:r>
      <w:r>
        <w:rPr>
          <w:rFonts w:hint="eastAsia"/>
          <w:kern w:val="0"/>
          <w:szCs w:val="21"/>
          <w:highlight w:val="none"/>
          <w:lang w:val="zh-CN"/>
        </w:rPr>
        <w:t>；“南京水文所”全称水利部南京水利水文自动化研究所。</w:t>
      </w:r>
    </w:p>
    <w:p>
      <w:pPr>
        <w:autoSpaceDE w:val="0"/>
        <w:autoSpaceDN w:val="0"/>
        <w:adjustRightInd w:val="0"/>
        <w:snapToGrid w:val="0"/>
        <w:ind w:left="630" w:leftChars="200" w:hanging="210" w:hangingChars="100"/>
        <w:jc w:val="left"/>
        <w:textAlignment w:val="baseline"/>
        <w:rPr>
          <w:kern w:val="0"/>
          <w:szCs w:val="21"/>
          <w:lang w:val="zh-CN"/>
        </w:rPr>
      </w:pPr>
      <w:r>
        <w:rPr>
          <w:rFonts w:hint="eastAsia"/>
          <w:kern w:val="0"/>
          <w:szCs w:val="21"/>
          <w:lang w:val="zh-CN"/>
        </w:rPr>
        <w:t>③仪器</w:t>
      </w:r>
      <w:r>
        <w:rPr>
          <w:kern w:val="0"/>
          <w:szCs w:val="21"/>
          <w:lang w:val="zh-CN"/>
        </w:rPr>
        <w:t>的</w:t>
      </w:r>
      <w:r>
        <w:rPr>
          <w:rFonts w:hint="eastAsia"/>
          <w:kern w:val="0"/>
          <w:szCs w:val="21"/>
          <w:lang w:val="zh-CN"/>
        </w:rPr>
        <w:t>标准</w:t>
      </w:r>
      <w:r>
        <w:rPr>
          <w:kern w:val="0"/>
          <w:szCs w:val="21"/>
          <w:lang w:val="zh-CN"/>
        </w:rPr>
        <w:t>量程范围根据施工图调整。</w:t>
      </w:r>
    </w:p>
    <w:p>
      <w:pPr>
        <w:adjustRightInd w:val="0"/>
        <w:textAlignment w:val="baseline"/>
        <w:rPr>
          <w:rFonts w:eastAsia="黑体"/>
          <w:bCs/>
          <w:kern w:val="0"/>
          <w:sz w:val="24"/>
          <w:lang w:val="en-GB"/>
        </w:rPr>
      </w:pPr>
    </w:p>
    <w:p>
      <w:pPr>
        <w:adjustRightInd w:val="0"/>
        <w:jc w:val="center"/>
        <w:textAlignment w:val="baseline"/>
        <w:rPr>
          <w:rFonts w:eastAsia="黑体"/>
          <w:bCs/>
          <w:kern w:val="0"/>
          <w:sz w:val="24"/>
          <w:lang w:val="en-GB"/>
        </w:rPr>
      </w:pPr>
      <w:r>
        <w:rPr>
          <w:rFonts w:eastAsia="黑体"/>
          <w:bCs/>
          <w:kern w:val="0"/>
          <w:sz w:val="24"/>
          <w:lang w:val="en-GB"/>
        </w:rPr>
        <w:t>表2-2   隧洞</w:t>
      </w:r>
      <w:r>
        <w:rPr>
          <w:rFonts w:hint="eastAsia" w:eastAsia="黑体"/>
          <w:bCs/>
          <w:kern w:val="0"/>
          <w:sz w:val="24"/>
        </w:rPr>
        <w:t>及边坡</w:t>
      </w:r>
      <w:r>
        <w:rPr>
          <w:rFonts w:eastAsia="黑体"/>
          <w:bCs/>
          <w:kern w:val="0"/>
          <w:sz w:val="24"/>
          <w:lang w:val="en-GB"/>
        </w:rPr>
        <w:t>监测仪器设备技术指标表</w:t>
      </w:r>
    </w:p>
    <w:tbl>
      <w:tblPr>
        <w:tblStyle w:val="8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4" w:type="dxa"/>
          <w:bottom w:w="0" w:type="dxa"/>
          <w:right w:w="24" w:type="dxa"/>
        </w:tblCellMar>
      </w:tblPr>
      <w:tblGrid>
        <w:gridCol w:w="576"/>
        <w:gridCol w:w="1067"/>
        <w:gridCol w:w="824"/>
        <w:gridCol w:w="4159"/>
        <w:gridCol w:w="733"/>
        <w:gridCol w:w="1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 w:hRule="atLeast"/>
          <w:tblHeader/>
          <w:jc w:val="center"/>
        </w:trPr>
        <w:tc>
          <w:tcPr>
            <w:tcW w:w="344" w:type="pct"/>
            <w:shd w:val="clear" w:color="000000" w:fill="FFFFFF"/>
            <w:vAlign w:val="center"/>
          </w:tcPr>
          <w:p>
            <w:pPr>
              <w:jc w:val="center"/>
              <w:rPr>
                <w:sz w:val="18"/>
                <w:szCs w:val="18"/>
              </w:rPr>
            </w:pPr>
            <w:r>
              <w:rPr>
                <w:rFonts w:hint="eastAsia"/>
                <w:sz w:val="18"/>
                <w:szCs w:val="18"/>
              </w:rPr>
              <w:t>序号</w:t>
            </w:r>
          </w:p>
        </w:tc>
        <w:tc>
          <w:tcPr>
            <w:tcW w:w="637" w:type="pct"/>
            <w:shd w:val="clear" w:color="000000" w:fill="FFFFFF"/>
            <w:vAlign w:val="center"/>
          </w:tcPr>
          <w:p>
            <w:pPr>
              <w:jc w:val="center"/>
              <w:rPr>
                <w:sz w:val="18"/>
                <w:szCs w:val="18"/>
              </w:rPr>
            </w:pPr>
            <w:r>
              <w:rPr>
                <w:sz w:val="18"/>
                <w:szCs w:val="18"/>
              </w:rPr>
              <w:t>名称</w:t>
            </w:r>
          </w:p>
        </w:tc>
        <w:tc>
          <w:tcPr>
            <w:tcW w:w="492" w:type="pct"/>
            <w:shd w:val="clear" w:color="000000" w:fill="FFFFFF"/>
            <w:vAlign w:val="center"/>
          </w:tcPr>
          <w:p>
            <w:pPr>
              <w:jc w:val="center"/>
              <w:rPr>
                <w:sz w:val="18"/>
                <w:szCs w:val="18"/>
              </w:rPr>
            </w:pPr>
            <w:r>
              <w:rPr>
                <w:sz w:val="18"/>
                <w:szCs w:val="18"/>
              </w:rPr>
              <w:t>建议</w:t>
            </w:r>
          </w:p>
          <w:p>
            <w:pPr>
              <w:jc w:val="center"/>
              <w:rPr>
                <w:sz w:val="18"/>
                <w:szCs w:val="18"/>
              </w:rPr>
            </w:pPr>
            <w:r>
              <w:rPr>
                <w:sz w:val="18"/>
                <w:szCs w:val="18"/>
              </w:rPr>
              <w:t>类型</w:t>
            </w:r>
          </w:p>
        </w:tc>
        <w:tc>
          <w:tcPr>
            <w:tcW w:w="2482" w:type="pct"/>
            <w:shd w:val="clear" w:color="000000" w:fill="FFFFFF"/>
            <w:vAlign w:val="center"/>
          </w:tcPr>
          <w:p>
            <w:pPr>
              <w:jc w:val="center"/>
              <w:rPr>
                <w:sz w:val="18"/>
                <w:szCs w:val="18"/>
              </w:rPr>
            </w:pPr>
            <w:r>
              <w:rPr>
                <w:sz w:val="18"/>
                <w:szCs w:val="18"/>
              </w:rPr>
              <w:t>主要技术指标</w:t>
            </w:r>
          </w:p>
        </w:tc>
        <w:tc>
          <w:tcPr>
            <w:tcW w:w="437" w:type="pct"/>
            <w:shd w:val="clear" w:color="000000" w:fill="FFFFFF"/>
            <w:vAlign w:val="center"/>
          </w:tcPr>
          <w:p>
            <w:pPr>
              <w:jc w:val="center"/>
              <w:rPr>
                <w:sz w:val="18"/>
                <w:szCs w:val="18"/>
              </w:rPr>
            </w:pPr>
            <w:r>
              <w:rPr>
                <w:sz w:val="18"/>
                <w:szCs w:val="18"/>
              </w:rPr>
              <w:t>备注</w:t>
            </w:r>
          </w:p>
        </w:tc>
        <w:tc>
          <w:tcPr>
            <w:tcW w:w="608" w:type="pct"/>
            <w:shd w:val="clear" w:color="000000" w:fill="FFFFFF"/>
            <w:vAlign w:val="center"/>
          </w:tcPr>
          <w:p>
            <w:pPr>
              <w:jc w:val="center"/>
              <w:rPr>
                <w:sz w:val="18"/>
                <w:szCs w:val="18"/>
              </w:rPr>
            </w:pPr>
            <w:r>
              <w:rPr>
                <w:kern w:val="0"/>
                <w:sz w:val="18"/>
                <w:szCs w:val="18"/>
                <w:lang w:val="zh-CN"/>
              </w:rPr>
              <w:t>推荐或相当于以下品牌产品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8" w:hRule="atLeast"/>
          <w:jc w:val="center"/>
        </w:trPr>
        <w:tc>
          <w:tcPr>
            <w:tcW w:w="344" w:type="pct"/>
            <w:shd w:val="clear" w:color="000000" w:fill="FFFFFF"/>
            <w:vAlign w:val="center"/>
          </w:tcPr>
          <w:p>
            <w:pPr>
              <w:jc w:val="center"/>
              <w:rPr>
                <w:color w:val="auto"/>
                <w:sz w:val="18"/>
                <w:szCs w:val="18"/>
                <w:highlight w:val="none"/>
              </w:rPr>
            </w:pPr>
            <w:r>
              <w:rPr>
                <w:rFonts w:hint="eastAsia"/>
                <w:color w:val="auto"/>
                <w:sz w:val="18"/>
                <w:szCs w:val="18"/>
                <w:highlight w:val="none"/>
              </w:rPr>
              <w:t>1</w:t>
            </w:r>
          </w:p>
        </w:tc>
        <w:tc>
          <w:tcPr>
            <w:tcW w:w="637" w:type="pct"/>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水准标点</w:t>
            </w:r>
          </w:p>
        </w:tc>
        <w:tc>
          <w:tcPr>
            <w:tcW w:w="492" w:type="pct"/>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p>
        </w:tc>
        <w:tc>
          <w:tcPr>
            <w:tcW w:w="2482" w:type="pct"/>
            <w:shd w:val="clear" w:color="000000" w:fill="FFFFFF"/>
            <w:vAlign w:val="center"/>
          </w:tcPr>
          <w:p>
            <w:pPr>
              <w:pStyle w:val="740"/>
              <w:autoSpaceDE/>
              <w:autoSpaceDN/>
              <w:adjustRightInd/>
              <w:snapToGrid/>
              <w:spacing w:line="240" w:lineRule="auto"/>
              <w:ind w:firstLine="0" w:firstLineChars="0"/>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不锈钢</w:t>
            </w:r>
            <w:r>
              <w:rPr>
                <w:color w:val="auto"/>
                <w:sz w:val="18"/>
                <w:szCs w:val="18"/>
                <w:highlight w:val="none"/>
              </w:rPr>
              <w:t>，外设保护盖。</w:t>
            </w:r>
          </w:p>
        </w:tc>
        <w:tc>
          <w:tcPr>
            <w:tcW w:w="437" w:type="pct"/>
            <w:shd w:val="clear" w:color="000000" w:fill="FFFFFF"/>
            <w:vAlign w:val="center"/>
          </w:tcPr>
          <w:p>
            <w:pPr>
              <w:spacing w:before="48" w:beforeLines="20" w:after="48" w:afterLines="20" w:line="0" w:lineRule="atLeast"/>
              <w:jc w:val="center"/>
              <w:rPr>
                <w:color w:val="auto"/>
                <w:sz w:val="18"/>
                <w:szCs w:val="18"/>
                <w:highlight w:val="none"/>
              </w:rPr>
            </w:pPr>
            <w:r>
              <w:rPr>
                <w:rFonts w:hint="eastAsia"/>
                <w:color w:val="auto"/>
                <w:sz w:val="18"/>
                <w:szCs w:val="18"/>
                <w:highlight w:val="none"/>
              </w:rPr>
              <w:t>定制</w:t>
            </w:r>
          </w:p>
        </w:tc>
        <w:tc>
          <w:tcPr>
            <w:tcW w:w="608" w:type="pct"/>
            <w:shd w:val="clear" w:color="000000" w:fill="FFFFFF"/>
            <w:vAlign w:val="center"/>
          </w:tcPr>
          <w:p>
            <w:pPr>
              <w:spacing w:before="48" w:beforeLines="20" w:after="48" w:afterLines="20" w:line="0" w:lineRule="atLeast"/>
              <w:jc w:val="center"/>
              <w:rPr>
                <w:color w:val="auto"/>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44" w:type="pct"/>
            <w:shd w:val="clear" w:color="000000" w:fill="FFFFFF"/>
            <w:vAlign w:val="center"/>
          </w:tcPr>
          <w:p>
            <w:pPr>
              <w:jc w:val="center"/>
              <w:rPr>
                <w:color w:val="auto"/>
                <w:sz w:val="18"/>
                <w:szCs w:val="18"/>
                <w:highlight w:val="none"/>
              </w:rPr>
            </w:pPr>
            <w:r>
              <w:rPr>
                <w:rFonts w:hint="eastAsia"/>
                <w:color w:val="auto"/>
                <w:sz w:val="18"/>
                <w:szCs w:val="18"/>
                <w:highlight w:val="none"/>
              </w:rPr>
              <w:t>2</w:t>
            </w:r>
          </w:p>
        </w:tc>
        <w:tc>
          <w:tcPr>
            <w:tcW w:w="637" w:type="pct"/>
            <w:shd w:val="clear" w:color="000000" w:fill="FFFFFF"/>
            <w:vAlign w:val="center"/>
          </w:tcPr>
          <w:p>
            <w:pPr>
              <w:autoSpaceDE w:val="0"/>
              <w:autoSpaceDN w:val="0"/>
              <w:adjustRightInd w:val="0"/>
              <w:snapToGrid w:val="0"/>
              <w:spacing w:before="48" w:beforeLines="20" w:after="48" w:afterLines="20" w:line="0" w:lineRule="atLeast"/>
              <w:jc w:val="center"/>
              <w:textAlignment w:val="baseline"/>
              <w:rPr>
                <w:color w:val="auto"/>
                <w:sz w:val="18"/>
                <w:szCs w:val="18"/>
                <w:highlight w:val="none"/>
              </w:rPr>
            </w:pPr>
            <w:r>
              <w:rPr>
                <w:color w:val="auto"/>
                <w:kern w:val="0"/>
                <w:sz w:val="18"/>
                <w:szCs w:val="18"/>
                <w:highlight w:val="none"/>
                <w:lang w:val="zh-CN"/>
              </w:rPr>
              <w:t>收敛测点</w:t>
            </w:r>
          </w:p>
        </w:tc>
        <w:tc>
          <w:tcPr>
            <w:tcW w:w="492" w:type="pct"/>
            <w:shd w:val="clear" w:color="000000" w:fill="FFFFFF"/>
            <w:vAlign w:val="center"/>
          </w:tcPr>
          <w:p>
            <w:pPr>
              <w:autoSpaceDE w:val="0"/>
              <w:autoSpaceDN w:val="0"/>
              <w:adjustRightInd w:val="0"/>
              <w:snapToGrid w:val="0"/>
              <w:spacing w:before="48" w:beforeLines="20" w:after="48" w:afterLines="20" w:line="0" w:lineRule="atLeast"/>
              <w:jc w:val="center"/>
              <w:textAlignment w:val="baseline"/>
              <w:rPr>
                <w:color w:val="auto"/>
                <w:sz w:val="18"/>
                <w:szCs w:val="18"/>
                <w:highlight w:val="none"/>
              </w:rPr>
            </w:pPr>
          </w:p>
        </w:tc>
        <w:tc>
          <w:tcPr>
            <w:tcW w:w="2482" w:type="pct"/>
            <w:shd w:val="clear" w:color="000000" w:fill="FFFFFF"/>
            <w:vAlign w:val="center"/>
          </w:tcPr>
          <w:p>
            <w:pPr>
              <w:autoSpaceDE w:val="0"/>
              <w:autoSpaceDN w:val="0"/>
              <w:adjustRightInd w:val="0"/>
              <w:snapToGrid w:val="0"/>
              <w:spacing w:before="48" w:beforeLines="20" w:after="48" w:afterLines="20" w:line="0" w:lineRule="atLeast"/>
              <w:textAlignment w:val="baseline"/>
              <w:rPr>
                <w:color w:val="auto"/>
                <w:sz w:val="18"/>
                <w:szCs w:val="18"/>
                <w:highlight w:val="none"/>
              </w:rPr>
            </w:pPr>
            <w:r>
              <w:rPr>
                <w:color w:val="auto"/>
                <w:sz w:val="18"/>
                <w:szCs w:val="18"/>
                <w:highlight w:val="none"/>
                <w:lang w:val="zh-CN"/>
              </w:rPr>
              <w:t>自制，挂钩与收敛计相适应。</w:t>
            </w:r>
          </w:p>
        </w:tc>
        <w:tc>
          <w:tcPr>
            <w:tcW w:w="437" w:type="pct"/>
            <w:shd w:val="clear" w:color="000000" w:fill="FFFFFF"/>
            <w:vAlign w:val="center"/>
          </w:tcPr>
          <w:p>
            <w:pPr>
              <w:spacing w:before="48" w:beforeLines="20" w:after="48" w:afterLines="20" w:line="0" w:lineRule="atLeast"/>
              <w:jc w:val="center"/>
              <w:rPr>
                <w:color w:val="auto"/>
                <w:sz w:val="18"/>
                <w:szCs w:val="18"/>
                <w:highlight w:val="none"/>
              </w:rPr>
            </w:pPr>
          </w:p>
        </w:tc>
        <w:tc>
          <w:tcPr>
            <w:tcW w:w="608" w:type="pct"/>
            <w:shd w:val="clear" w:color="000000" w:fill="FFFFFF"/>
            <w:vAlign w:val="center"/>
          </w:tcPr>
          <w:p>
            <w:pPr>
              <w:spacing w:before="48" w:beforeLines="20" w:after="48" w:afterLines="20" w:line="0" w:lineRule="atLeast"/>
              <w:jc w:val="center"/>
              <w:rPr>
                <w:color w:val="auto"/>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44" w:type="pct"/>
            <w:shd w:val="clear" w:color="000000" w:fill="FFFFFF"/>
            <w:vAlign w:val="center"/>
          </w:tcPr>
          <w:p>
            <w:pPr>
              <w:jc w:val="center"/>
              <w:rPr>
                <w:color w:val="auto"/>
                <w:sz w:val="18"/>
                <w:szCs w:val="18"/>
                <w:highlight w:val="none"/>
              </w:rPr>
            </w:pPr>
            <w:r>
              <w:rPr>
                <w:rFonts w:hint="eastAsia"/>
                <w:color w:val="auto"/>
                <w:sz w:val="18"/>
                <w:szCs w:val="18"/>
                <w:highlight w:val="none"/>
              </w:rPr>
              <w:t>3</w:t>
            </w:r>
          </w:p>
        </w:tc>
        <w:tc>
          <w:tcPr>
            <w:tcW w:w="637" w:type="pct"/>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测缝计</w:t>
            </w:r>
          </w:p>
        </w:tc>
        <w:tc>
          <w:tcPr>
            <w:tcW w:w="492" w:type="pct"/>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振弦式</w:t>
            </w:r>
          </w:p>
        </w:tc>
        <w:tc>
          <w:tcPr>
            <w:tcW w:w="2482" w:type="pct"/>
            <w:shd w:val="clear" w:color="000000" w:fill="FFFFFF"/>
            <w:vAlign w:val="center"/>
          </w:tcPr>
          <w:p>
            <w:pPr>
              <w:pStyle w:val="740"/>
              <w:autoSpaceDE/>
              <w:autoSpaceDN/>
              <w:adjustRightInd/>
              <w:snapToGri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标准量程：25mm；非线性度：≤2%F.S.；不重复度：≤0.5% F.S.；分辨力≤0.1% F.S.；综合误差：≤2.5% F.S.；温度范围：-20℃～+60℃；耐水压：≥1.0MPa</w:t>
            </w:r>
            <w:r>
              <w:rPr>
                <w:rFonts w:ascii="Times New Roman" w:hAnsi="Times New Roman" w:eastAsia="宋体"/>
                <w:snapToGrid/>
                <w:color w:val="auto"/>
                <w:kern w:val="2"/>
                <w:sz w:val="18"/>
                <w:szCs w:val="18"/>
                <w:highlight w:val="none"/>
              </w:rPr>
              <w:t>。</w:t>
            </w:r>
          </w:p>
        </w:tc>
        <w:tc>
          <w:tcPr>
            <w:tcW w:w="437" w:type="pct"/>
            <w:shd w:val="clear" w:color="000000" w:fill="FFFFFF"/>
            <w:vAlign w:val="center"/>
          </w:tcPr>
          <w:p>
            <w:pPr>
              <w:spacing w:before="48" w:beforeLines="20" w:after="48" w:afterLines="20" w:line="0" w:lineRule="atLeast"/>
              <w:rPr>
                <w:color w:val="auto"/>
                <w:sz w:val="18"/>
                <w:szCs w:val="18"/>
                <w:highlight w:val="none"/>
              </w:rPr>
            </w:pPr>
          </w:p>
        </w:tc>
        <w:tc>
          <w:tcPr>
            <w:tcW w:w="608"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44" w:type="pct"/>
            <w:shd w:val="clear" w:color="000000" w:fill="FFFFFF"/>
            <w:vAlign w:val="center"/>
          </w:tcPr>
          <w:p>
            <w:pPr>
              <w:jc w:val="center"/>
              <w:rPr>
                <w:color w:val="auto"/>
                <w:sz w:val="18"/>
                <w:szCs w:val="18"/>
                <w:highlight w:val="none"/>
              </w:rPr>
            </w:pPr>
            <w:r>
              <w:rPr>
                <w:rFonts w:hint="eastAsia"/>
                <w:color w:val="auto"/>
                <w:sz w:val="18"/>
                <w:szCs w:val="18"/>
                <w:highlight w:val="none"/>
              </w:rPr>
              <w:t>4</w:t>
            </w:r>
          </w:p>
        </w:tc>
        <w:tc>
          <w:tcPr>
            <w:tcW w:w="637" w:type="pct"/>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测缝计</w:t>
            </w:r>
          </w:p>
        </w:tc>
        <w:tc>
          <w:tcPr>
            <w:tcW w:w="492" w:type="pct"/>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FBG</w:t>
            </w:r>
          </w:p>
        </w:tc>
        <w:tc>
          <w:tcPr>
            <w:tcW w:w="2482" w:type="pct"/>
            <w:shd w:val="clear" w:color="000000" w:fill="FFFFFF"/>
            <w:vAlign w:val="center"/>
          </w:tcPr>
          <w:p>
            <w:pPr>
              <w:pStyle w:val="740"/>
              <w:autoSpaceDE/>
              <w:autoSpaceDN/>
              <w:adjustRightInd/>
              <w:snapToGri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标准量程：25mm；分辨力：0.1% F.S.；精度：≤1.0% F.S.；温度范围：-20℃～+60℃；耐水压：≥1.0MPa</w:t>
            </w:r>
            <w:r>
              <w:rPr>
                <w:rFonts w:ascii="Times New Roman" w:hAnsi="Times New Roman" w:eastAsia="宋体"/>
                <w:snapToGrid/>
                <w:color w:val="auto"/>
                <w:kern w:val="2"/>
                <w:sz w:val="18"/>
                <w:szCs w:val="18"/>
                <w:highlight w:val="none"/>
              </w:rPr>
              <w:t>。</w:t>
            </w:r>
          </w:p>
        </w:tc>
        <w:tc>
          <w:tcPr>
            <w:tcW w:w="437" w:type="pct"/>
            <w:shd w:val="clear" w:color="000000" w:fill="FFFFFF"/>
            <w:vAlign w:val="center"/>
          </w:tcPr>
          <w:p>
            <w:pPr>
              <w:spacing w:before="48" w:beforeLines="20" w:after="48" w:afterLines="20" w:line="0" w:lineRule="atLeast"/>
              <w:rPr>
                <w:color w:val="auto"/>
                <w:sz w:val="18"/>
                <w:szCs w:val="18"/>
                <w:highlight w:val="none"/>
              </w:rPr>
            </w:pPr>
          </w:p>
        </w:tc>
        <w:tc>
          <w:tcPr>
            <w:tcW w:w="608" w:type="pct"/>
            <w:shd w:val="clear" w:color="000000" w:fill="FFFFFF"/>
            <w:vAlign w:val="center"/>
          </w:tcPr>
          <w:p>
            <w:pPr>
              <w:autoSpaceDE w:val="0"/>
              <w:autoSpaceDN w:val="0"/>
              <w:adjustRightInd w:val="0"/>
              <w:snapToGrid w:val="0"/>
              <w:jc w:val="center"/>
              <w:textAlignment w:val="baseline"/>
              <w:rPr>
                <w:color w:val="auto"/>
                <w:sz w:val="18"/>
                <w:szCs w:val="18"/>
                <w:highlight w:val="none"/>
                <w:lang w:val="zh-CN"/>
              </w:rPr>
            </w:pPr>
            <w:r>
              <w:rPr>
                <w:color w:val="auto"/>
                <w:sz w:val="18"/>
                <w:szCs w:val="18"/>
                <w:highlight w:val="none"/>
                <w:lang w:val="zh-CN"/>
              </w:rPr>
              <w:t>北京基康、</w:t>
            </w:r>
          </w:p>
          <w:p>
            <w:pPr>
              <w:spacing w:before="48" w:beforeLines="20" w:after="48" w:afterLines="20" w:line="0" w:lineRule="atLeast"/>
              <w:rPr>
                <w:color w:val="auto"/>
                <w:sz w:val="18"/>
                <w:szCs w:val="18"/>
                <w:highlight w:val="none"/>
              </w:rPr>
            </w:pPr>
            <w:r>
              <w:rPr>
                <w:color w:val="auto"/>
                <w:sz w:val="18"/>
                <w:szCs w:val="18"/>
                <w:highlight w:val="none"/>
                <w:lang w:val="zh-CN"/>
              </w:rPr>
              <w:t>苏州南智传感、南京南瑞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44" w:type="pct"/>
            <w:shd w:val="clear" w:color="000000" w:fill="FFFFFF"/>
            <w:vAlign w:val="center"/>
          </w:tcPr>
          <w:p>
            <w:pPr>
              <w:jc w:val="center"/>
              <w:rPr>
                <w:color w:val="auto"/>
                <w:sz w:val="18"/>
                <w:szCs w:val="18"/>
                <w:highlight w:val="none"/>
              </w:rPr>
            </w:pPr>
            <w:r>
              <w:rPr>
                <w:rFonts w:hint="eastAsia"/>
                <w:color w:val="auto"/>
                <w:sz w:val="18"/>
                <w:szCs w:val="18"/>
                <w:highlight w:val="none"/>
              </w:rPr>
              <w:t>5</w:t>
            </w:r>
          </w:p>
        </w:tc>
        <w:tc>
          <w:tcPr>
            <w:tcW w:w="637" w:type="pct"/>
            <w:shd w:val="clear" w:color="000000" w:fill="FFFFFF"/>
            <w:vAlign w:val="center"/>
          </w:tcPr>
          <w:p>
            <w:pPr>
              <w:pStyle w:val="740"/>
              <w:autoSpaceDE/>
              <w:autoSpaceDN/>
              <w:adjustRightInd/>
              <w:snapToGrid/>
              <w:spacing w:line="240" w:lineRule="auto"/>
              <w:ind w:firstLine="0" w:firstLineChars="0"/>
              <w:jc w:val="both"/>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单点位移计</w:t>
            </w:r>
          </w:p>
        </w:tc>
        <w:tc>
          <w:tcPr>
            <w:tcW w:w="492" w:type="pct"/>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振弦式</w:t>
            </w:r>
          </w:p>
        </w:tc>
        <w:tc>
          <w:tcPr>
            <w:tcW w:w="2482" w:type="pct"/>
            <w:shd w:val="clear" w:color="000000" w:fill="FFFFFF"/>
            <w:vAlign w:val="center"/>
          </w:tcPr>
          <w:p>
            <w:pPr>
              <w:pStyle w:val="740"/>
              <w:autoSpaceDE/>
              <w:autoSpaceDN/>
              <w:adjustRightInd/>
              <w:snapToGri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量程：100mm；分辨力：0.025％F.S.；非线性度：直线：≤0.5% F.S.，多项式≤0.1% F.S.；温度范围：-20℃～+80℃；耐水压：≥0.5MPa。</w:t>
            </w:r>
          </w:p>
        </w:tc>
        <w:tc>
          <w:tcPr>
            <w:tcW w:w="437" w:type="pct"/>
            <w:shd w:val="clear" w:color="000000" w:fill="FFFFFF"/>
            <w:vAlign w:val="center"/>
          </w:tcPr>
          <w:p>
            <w:pPr>
              <w:spacing w:before="48" w:beforeLines="20" w:after="48" w:afterLines="20" w:line="0" w:lineRule="atLeast"/>
              <w:rPr>
                <w:color w:val="auto"/>
                <w:sz w:val="18"/>
                <w:szCs w:val="18"/>
                <w:highlight w:val="none"/>
              </w:rPr>
            </w:pPr>
          </w:p>
        </w:tc>
        <w:tc>
          <w:tcPr>
            <w:tcW w:w="608"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spacing w:before="48" w:beforeLines="20" w:after="48" w:afterLines="20" w:line="0" w:lineRule="atLeast"/>
              <w:rPr>
                <w:color w:val="auto"/>
                <w:sz w:val="18"/>
                <w:szCs w:val="18"/>
                <w:highlight w:val="none"/>
              </w:rPr>
            </w:pPr>
            <w:r>
              <w:rPr>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44" w:type="pct"/>
            <w:shd w:val="clear" w:color="000000" w:fill="FFFFFF"/>
            <w:vAlign w:val="center"/>
          </w:tcPr>
          <w:p>
            <w:pPr>
              <w:jc w:val="center"/>
              <w:rPr>
                <w:color w:val="auto"/>
                <w:sz w:val="18"/>
                <w:szCs w:val="18"/>
                <w:highlight w:val="none"/>
              </w:rPr>
            </w:pPr>
            <w:r>
              <w:rPr>
                <w:rFonts w:hint="eastAsia"/>
                <w:color w:val="auto"/>
                <w:sz w:val="18"/>
                <w:szCs w:val="18"/>
                <w:highlight w:val="none"/>
              </w:rPr>
              <w:t>6</w:t>
            </w:r>
          </w:p>
        </w:tc>
        <w:tc>
          <w:tcPr>
            <w:tcW w:w="637" w:type="pct"/>
            <w:shd w:val="clear" w:color="000000" w:fill="FFFFFF"/>
            <w:vAlign w:val="center"/>
          </w:tcPr>
          <w:p>
            <w:pPr>
              <w:pStyle w:val="740"/>
              <w:autoSpaceDE/>
              <w:autoSpaceDN/>
              <w:adjustRightInd/>
              <w:snapToGri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三点位移计</w:t>
            </w:r>
          </w:p>
        </w:tc>
        <w:tc>
          <w:tcPr>
            <w:tcW w:w="492" w:type="pct"/>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振弦式</w:t>
            </w:r>
          </w:p>
        </w:tc>
        <w:tc>
          <w:tcPr>
            <w:tcW w:w="2482" w:type="pct"/>
            <w:shd w:val="clear" w:color="000000" w:fill="FFFFFF"/>
            <w:vAlign w:val="center"/>
          </w:tcPr>
          <w:p>
            <w:pPr>
              <w:pStyle w:val="740"/>
              <w:autoSpaceDE/>
              <w:autoSpaceDN/>
              <w:adjustRightInd/>
              <w:snapToGri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量程：100mm；分辨力：0.025％F.S.；非线性度：直线：≤0.5% F.S.，多项式≤0.1% F.S.；温度范围：-20℃～+80℃；耐水压：≥1.0MPa</w:t>
            </w:r>
            <w:r>
              <w:rPr>
                <w:rFonts w:ascii="Times New Roman" w:hAnsi="Times New Roman" w:eastAsia="宋体"/>
                <w:snapToGrid/>
                <w:color w:val="auto"/>
                <w:kern w:val="2"/>
                <w:sz w:val="18"/>
                <w:szCs w:val="18"/>
                <w:highlight w:val="none"/>
              </w:rPr>
              <w:t>。</w:t>
            </w:r>
          </w:p>
        </w:tc>
        <w:tc>
          <w:tcPr>
            <w:tcW w:w="437" w:type="pct"/>
            <w:shd w:val="clear" w:color="000000" w:fill="FFFFFF"/>
            <w:vAlign w:val="center"/>
          </w:tcPr>
          <w:p>
            <w:pPr>
              <w:spacing w:before="48" w:beforeLines="20" w:after="48" w:afterLines="20" w:line="0" w:lineRule="atLeast"/>
              <w:rPr>
                <w:color w:val="auto"/>
                <w:sz w:val="18"/>
                <w:szCs w:val="18"/>
                <w:highlight w:val="none"/>
              </w:rPr>
            </w:pPr>
          </w:p>
        </w:tc>
        <w:tc>
          <w:tcPr>
            <w:tcW w:w="608"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spacing w:before="48" w:beforeLines="20" w:after="48" w:afterLines="20" w:line="0" w:lineRule="atLeast"/>
              <w:rPr>
                <w:color w:val="auto"/>
                <w:sz w:val="18"/>
                <w:szCs w:val="18"/>
                <w:highlight w:val="none"/>
              </w:rPr>
            </w:pPr>
            <w:r>
              <w:rPr>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44" w:type="pct"/>
            <w:shd w:val="clear" w:color="000000" w:fill="FFFFFF"/>
            <w:vAlign w:val="center"/>
          </w:tcPr>
          <w:p>
            <w:pPr>
              <w:jc w:val="center"/>
              <w:rPr>
                <w:color w:val="auto"/>
                <w:sz w:val="18"/>
                <w:szCs w:val="18"/>
                <w:highlight w:val="none"/>
              </w:rPr>
            </w:pPr>
            <w:r>
              <w:rPr>
                <w:rFonts w:hint="eastAsia"/>
                <w:color w:val="auto"/>
                <w:sz w:val="18"/>
                <w:szCs w:val="18"/>
                <w:highlight w:val="none"/>
              </w:rPr>
              <w:t>7</w:t>
            </w:r>
          </w:p>
        </w:tc>
        <w:tc>
          <w:tcPr>
            <w:tcW w:w="637" w:type="pct"/>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渗压计</w:t>
            </w:r>
          </w:p>
        </w:tc>
        <w:tc>
          <w:tcPr>
            <w:tcW w:w="492" w:type="pct"/>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振弦式</w:t>
            </w:r>
          </w:p>
        </w:tc>
        <w:tc>
          <w:tcPr>
            <w:tcW w:w="2482" w:type="pct"/>
            <w:shd w:val="clear" w:color="000000" w:fill="FFFFFF"/>
            <w:vAlign w:val="center"/>
          </w:tcPr>
          <w:p>
            <w:pPr>
              <w:pStyle w:val="740"/>
              <w:autoSpaceDE/>
              <w:autoSpaceDN/>
              <w:adjustRightInd/>
              <w:snapToGri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标准量程：</w:t>
            </w:r>
            <w:r>
              <w:rPr>
                <w:rFonts w:ascii="Times New Roman" w:hAnsi="Times New Roman" w:eastAsia="宋体"/>
                <w:snapToGrid/>
                <w:color w:val="auto"/>
                <w:kern w:val="2"/>
                <w:sz w:val="18"/>
                <w:szCs w:val="18"/>
                <w:highlight w:val="none"/>
              </w:rPr>
              <w:t>0.35/0.7</w:t>
            </w:r>
            <w:r>
              <w:rPr>
                <w:rFonts w:hint="eastAsia" w:ascii="Times New Roman" w:hAnsi="Times New Roman" w:eastAsia="宋体"/>
                <w:snapToGrid/>
                <w:color w:val="auto"/>
                <w:kern w:val="2"/>
                <w:sz w:val="18"/>
                <w:szCs w:val="18"/>
                <w:highlight w:val="none"/>
              </w:rPr>
              <w:t>/1.0MPa；非线性度：≤2%F.S.；不重复度：≤0.5% F.S.；分辨力≤0.1% F.S.；综合误差：≤2.5% F.S.。工作温度：</w:t>
            </w:r>
            <w:r>
              <w:rPr>
                <w:rFonts w:ascii="Times New Roman" w:hAnsi="Times New Roman" w:eastAsia="宋体"/>
                <w:snapToGrid/>
                <w:color w:val="auto"/>
                <w:kern w:val="2"/>
                <w:sz w:val="18"/>
                <w:szCs w:val="18"/>
                <w:highlight w:val="none"/>
              </w:rPr>
              <w:t>-20</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+60</w:t>
            </w:r>
            <w:r>
              <w:rPr>
                <w:rFonts w:hint="eastAsia" w:ascii="Times New Roman" w:hAnsi="Times New Roman" w:eastAsia="宋体"/>
                <w:snapToGrid/>
                <w:color w:val="auto"/>
                <w:kern w:val="2"/>
                <w:sz w:val="18"/>
                <w:szCs w:val="18"/>
                <w:highlight w:val="none"/>
              </w:rPr>
              <w:t>℃。含安装外套筒及安装材料</w:t>
            </w:r>
            <w:r>
              <w:rPr>
                <w:rFonts w:ascii="Times New Roman" w:hAnsi="Times New Roman" w:eastAsia="宋体"/>
                <w:snapToGrid/>
                <w:color w:val="auto"/>
                <w:kern w:val="2"/>
                <w:sz w:val="18"/>
                <w:szCs w:val="18"/>
                <w:highlight w:val="none"/>
              </w:rPr>
              <w:t>。</w:t>
            </w:r>
          </w:p>
        </w:tc>
        <w:tc>
          <w:tcPr>
            <w:tcW w:w="437" w:type="pct"/>
            <w:shd w:val="clear" w:color="000000" w:fill="FFFFFF"/>
            <w:vAlign w:val="center"/>
          </w:tcPr>
          <w:p>
            <w:pPr>
              <w:spacing w:before="48" w:beforeLines="20" w:after="48" w:afterLines="20" w:line="0" w:lineRule="atLeast"/>
              <w:jc w:val="center"/>
              <w:rPr>
                <w:color w:val="auto"/>
                <w:sz w:val="18"/>
                <w:szCs w:val="18"/>
                <w:highlight w:val="none"/>
              </w:rPr>
            </w:pPr>
          </w:p>
        </w:tc>
        <w:tc>
          <w:tcPr>
            <w:tcW w:w="608"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44" w:type="pct"/>
            <w:shd w:val="clear" w:color="000000" w:fill="FFFFFF"/>
            <w:vAlign w:val="center"/>
          </w:tcPr>
          <w:p>
            <w:pPr>
              <w:jc w:val="center"/>
              <w:rPr>
                <w:color w:val="auto"/>
                <w:sz w:val="18"/>
                <w:szCs w:val="18"/>
                <w:highlight w:val="none"/>
              </w:rPr>
            </w:pPr>
            <w:r>
              <w:rPr>
                <w:rFonts w:hint="eastAsia"/>
                <w:color w:val="auto"/>
                <w:sz w:val="18"/>
                <w:szCs w:val="18"/>
                <w:highlight w:val="none"/>
              </w:rPr>
              <w:t>8</w:t>
            </w:r>
          </w:p>
        </w:tc>
        <w:tc>
          <w:tcPr>
            <w:tcW w:w="637" w:type="pct"/>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渗压计</w:t>
            </w:r>
          </w:p>
        </w:tc>
        <w:tc>
          <w:tcPr>
            <w:tcW w:w="492" w:type="pct"/>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FBG</w:t>
            </w:r>
          </w:p>
        </w:tc>
        <w:tc>
          <w:tcPr>
            <w:tcW w:w="2482" w:type="pct"/>
            <w:shd w:val="clear" w:color="000000" w:fill="FFFFFF"/>
            <w:vAlign w:val="center"/>
          </w:tcPr>
          <w:p>
            <w:pPr>
              <w:pStyle w:val="740"/>
              <w:autoSpaceDE/>
              <w:autoSpaceDN/>
              <w:adjustRightInd/>
              <w:snapToGri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量程：</w:t>
            </w:r>
            <w:r>
              <w:rPr>
                <w:rFonts w:ascii="Times New Roman" w:hAnsi="Times New Roman" w:eastAsia="宋体"/>
                <w:snapToGrid/>
                <w:color w:val="auto"/>
                <w:kern w:val="2"/>
                <w:sz w:val="18"/>
                <w:szCs w:val="18"/>
                <w:highlight w:val="none"/>
              </w:rPr>
              <w:t>0.35/0.7</w:t>
            </w:r>
            <w:r>
              <w:rPr>
                <w:rFonts w:hint="eastAsia" w:ascii="Times New Roman" w:hAnsi="Times New Roman" w:eastAsia="宋体"/>
                <w:snapToGrid/>
                <w:color w:val="auto"/>
                <w:kern w:val="2"/>
                <w:sz w:val="18"/>
                <w:szCs w:val="18"/>
                <w:highlight w:val="none"/>
              </w:rPr>
              <w:t>/1.0MPa；非线性度：≤1.0%F.S.；分辨力：0.1%F.S.；工作温度：</w:t>
            </w:r>
            <w:r>
              <w:rPr>
                <w:rFonts w:ascii="Times New Roman" w:hAnsi="Times New Roman" w:eastAsia="宋体"/>
                <w:snapToGrid/>
                <w:color w:val="auto"/>
                <w:kern w:val="2"/>
                <w:sz w:val="18"/>
                <w:szCs w:val="18"/>
                <w:highlight w:val="none"/>
              </w:rPr>
              <w:t>-20</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+60</w:t>
            </w:r>
            <w:r>
              <w:rPr>
                <w:rFonts w:hint="eastAsia" w:ascii="Times New Roman" w:hAnsi="Times New Roman" w:eastAsia="宋体"/>
                <w:snapToGrid/>
                <w:color w:val="auto"/>
                <w:kern w:val="2"/>
                <w:sz w:val="18"/>
                <w:szCs w:val="18"/>
                <w:highlight w:val="none"/>
              </w:rPr>
              <w:t>℃。含定制安装外套筒及安装材料</w:t>
            </w:r>
            <w:r>
              <w:rPr>
                <w:rFonts w:ascii="Times New Roman" w:hAnsi="Times New Roman" w:eastAsia="宋体"/>
                <w:snapToGrid/>
                <w:color w:val="auto"/>
                <w:kern w:val="2"/>
                <w:sz w:val="18"/>
                <w:szCs w:val="18"/>
                <w:highlight w:val="none"/>
              </w:rPr>
              <w:t>。</w:t>
            </w:r>
          </w:p>
        </w:tc>
        <w:tc>
          <w:tcPr>
            <w:tcW w:w="437" w:type="pct"/>
            <w:shd w:val="clear" w:color="000000" w:fill="FFFFFF"/>
            <w:vAlign w:val="center"/>
          </w:tcPr>
          <w:p>
            <w:pPr>
              <w:spacing w:before="48" w:beforeLines="20" w:after="48" w:afterLines="20" w:line="0" w:lineRule="atLeast"/>
              <w:rPr>
                <w:color w:val="auto"/>
                <w:sz w:val="18"/>
                <w:szCs w:val="18"/>
                <w:highlight w:val="none"/>
              </w:rPr>
            </w:pPr>
          </w:p>
        </w:tc>
        <w:tc>
          <w:tcPr>
            <w:tcW w:w="608" w:type="pct"/>
            <w:shd w:val="clear" w:color="000000" w:fill="FFFFFF"/>
            <w:vAlign w:val="center"/>
          </w:tcPr>
          <w:p>
            <w:pPr>
              <w:autoSpaceDE w:val="0"/>
              <w:autoSpaceDN w:val="0"/>
              <w:adjustRightInd w:val="0"/>
              <w:snapToGrid w:val="0"/>
              <w:jc w:val="center"/>
              <w:textAlignment w:val="baseline"/>
              <w:rPr>
                <w:color w:val="auto"/>
                <w:sz w:val="18"/>
                <w:szCs w:val="18"/>
                <w:highlight w:val="none"/>
                <w:lang w:val="zh-CN"/>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苏州南智传感、南京南瑞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44" w:type="pct"/>
            <w:shd w:val="clear" w:color="000000" w:fill="FFFFFF"/>
            <w:vAlign w:val="center"/>
          </w:tcPr>
          <w:p>
            <w:pPr>
              <w:autoSpaceDE w:val="0"/>
              <w:autoSpaceDN w:val="0"/>
              <w:adjustRightInd w:val="0"/>
              <w:snapToGrid w:val="0"/>
              <w:jc w:val="center"/>
              <w:textAlignment w:val="baseline"/>
              <w:rPr>
                <w:color w:val="auto"/>
                <w:kern w:val="0"/>
                <w:sz w:val="18"/>
                <w:szCs w:val="18"/>
                <w:highlight w:val="none"/>
              </w:rPr>
            </w:pPr>
            <w:r>
              <w:rPr>
                <w:rFonts w:hint="eastAsia"/>
                <w:color w:val="auto"/>
                <w:kern w:val="0"/>
                <w:sz w:val="18"/>
                <w:szCs w:val="18"/>
                <w:highlight w:val="none"/>
              </w:rPr>
              <w:t>11</w:t>
            </w:r>
          </w:p>
        </w:tc>
        <w:tc>
          <w:tcPr>
            <w:tcW w:w="637" w:type="pct"/>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钢筋计</w:t>
            </w:r>
          </w:p>
        </w:tc>
        <w:tc>
          <w:tcPr>
            <w:tcW w:w="492" w:type="pct"/>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振弦式</w:t>
            </w:r>
          </w:p>
        </w:tc>
        <w:tc>
          <w:tcPr>
            <w:tcW w:w="2482" w:type="pct"/>
            <w:shd w:val="clear" w:color="000000" w:fill="FFFFFF"/>
            <w:vAlign w:val="center"/>
          </w:tcPr>
          <w:p>
            <w:pPr>
              <w:pStyle w:val="740"/>
              <w:autoSpaceDE/>
              <w:autoSpaceDN/>
              <w:adjustRightInd/>
              <w:snapToGri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标准量程：压缩0～100MPa，拉伸0～400MPa；非线性度：≤2% F.S.；不重复度：≤0.5% F.S.；分辨力≤0.2% F.S.；综合误差：≤2.5% F.S.；温度范围：</w:t>
            </w:r>
            <w:r>
              <w:rPr>
                <w:rFonts w:ascii="Times New Roman" w:hAnsi="Times New Roman" w:eastAsia="宋体"/>
                <w:snapToGrid/>
                <w:color w:val="auto"/>
                <w:kern w:val="2"/>
                <w:sz w:val="18"/>
                <w:szCs w:val="18"/>
                <w:highlight w:val="none"/>
              </w:rPr>
              <w:t>-20</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+60</w:t>
            </w:r>
            <w:r>
              <w:rPr>
                <w:rFonts w:hint="eastAsia" w:ascii="Times New Roman" w:hAnsi="Times New Roman" w:eastAsia="宋体"/>
                <w:snapToGrid/>
                <w:color w:val="auto"/>
                <w:kern w:val="2"/>
                <w:sz w:val="18"/>
                <w:szCs w:val="18"/>
                <w:highlight w:val="none"/>
              </w:rPr>
              <w:t>℃；耐 水 压：≥1.0MPa</w:t>
            </w:r>
            <w:r>
              <w:rPr>
                <w:rFonts w:ascii="Times New Roman" w:hAnsi="Times New Roman" w:eastAsia="宋体"/>
                <w:snapToGrid/>
                <w:color w:val="auto"/>
                <w:kern w:val="2"/>
                <w:sz w:val="18"/>
                <w:szCs w:val="18"/>
                <w:highlight w:val="none"/>
              </w:rPr>
              <w:t>。</w:t>
            </w:r>
            <w:r>
              <w:rPr>
                <w:rFonts w:hint="eastAsia" w:ascii="Times New Roman" w:hAnsi="Times New Roman" w:eastAsia="宋体"/>
                <w:snapToGrid/>
                <w:color w:val="auto"/>
                <w:kern w:val="2"/>
                <w:sz w:val="18"/>
                <w:szCs w:val="18"/>
                <w:highlight w:val="none"/>
              </w:rPr>
              <w:t>连接杆应与被测钢筋材质和规格相同</w:t>
            </w:r>
            <w:r>
              <w:rPr>
                <w:rFonts w:ascii="Times New Roman" w:hAnsi="Times New Roman" w:eastAsia="宋体"/>
                <w:snapToGrid/>
                <w:color w:val="auto"/>
                <w:kern w:val="2"/>
                <w:sz w:val="18"/>
                <w:szCs w:val="18"/>
                <w:highlight w:val="none"/>
              </w:rPr>
              <w:t>。</w:t>
            </w:r>
          </w:p>
        </w:tc>
        <w:tc>
          <w:tcPr>
            <w:tcW w:w="437" w:type="pct"/>
            <w:shd w:val="clear" w:color="000000" w:fill="FFFFFF"/>
            <w:vAlign w:val="center"/>
          </w:tcPr>
          <w:p>
            <w:pPr>
              <w:spacing w:before="48" w:beforeLines="20" w:after="48" w:afterLines="20" w:line="0" w:lineRule="atLeast"/>
              <w:rPr>
                <w:color w:val="auto"/>
                <w:sz w:val="18"/>
                <w:szCs w:val="18"/>
                <w:highlight w:val="none"/>
              </w:rPr>
            </w:pPr>
          </w:p>
        </w:tc>
        <w:tc>
          <w:tcPr>
            <w:tcW w:w="608"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44" w:type="pct"/>
            <w:shd w:val="clear" w:color="000000" w:fill="FFFFFF"/>
            <w:vAlign w:val="center"/>
          </w:tcPr>
          <w:p>
            <w:pPr>
              <w:autoSpaceDE w:val="0"/>
              <w:autoSpaceDN w:val="0"/>
              <w:adjustRightInd w:val="0"/>
              <w:snapToGrid w:val="0"/>
              <w:jc w:val="center"/>
              <w:textAlignment w:val="baseline"/>
              <w:rPr>
                <w:color w:val="auto"/>
                <w:kern w:val="0"/>
                <w:sz w:val="18"/>
                <w:szCs w:val="18"/>
                <w:highlight w:val="none"/>
              </w:rPr>
            </w:pPr>
            <w:r>
              <w:rPr>
                <w:rFonts w:hint="eastAsia"/>
                <w:color w:val="auto"/>
                <w:kern w:val="0"/>
                <w:sz w:val="18"/>
                <w:szCs w:val="18"/>
                <w:highlight w:val="none"/>
              </w:rPr>
              <w:t>12</w:t>
            </w:r>
          </w:p>
        </w:tc>
        <w:tc>
          <w:tcPr>
            <w:tcW w:w="637" w:type="pct"/>
            <w:shd w:val="clear" w:color="000000" w:fill="FFFFFF"/>
            <w:vAlign w:val="center"/>
          </w:tcPr>
          <w:p>
            <w:pPr>
              <w:spacing w:before="48" w:beforeLines="20" w:after="48" w:afterLines="20" w:line="0" w:lineRule="atLeast"/>
              <w:jc w:val="center"/>
              <w:rPr>
                <w:color w:val="auto"/>
                <w:sz w:val="18"/>
                <w:szCs w:val="18"/>
                <w:highlight w:val="none"/>
              </w:rPr>
            </w:pPr>
            <w:r>
              <w:rPr>
                <w:color w:val="auto"/>
                <w:sz w:val="18"/>
                <w:szCs w:val="18"/>
                <w:highlight w:val="none"/>
              </w:rPr>
              <w:t>钢筋计</w:t>
            </w:r>
          </w:p>
        </w:tc>
        <w:tc>
          <w:tcPr>
            <w:tcW w:w="492" w:type="pct"/>
            <w:shd w:val="clear" w:color="000000" w:fill="FFFFFF"/>
            <w:vAlign w:val="center"/>
          </w:tcPr>
          <w:p>
            <w:pPr>
              <w:spacing w:before="48" w:beforeLines="20" w:after="48" w:afterLines="20" w:line="0" w:lineRule="atLeast"/>
              <w:jc w:val="center"/>
              <w:rPr>
                <w:color w:val="auto"/>
                <w:sz w:val="18"/>
                <w:szCs w:val="18"/>
                <w:highlight w:val="none"/>
              </w:rPr>
            </w:pPr>
            <w:r>
              <w:rPr>
                <w:color w:val="auto"/>
                <w:sz w:val="18"/>
                <w:szCs w:val="18"/>
                <w:highlight w:val="none"/>
              </w:rPr>
              <w:t>FBG</w:t>
            </w:r>
          </w:p>
        </w:tc>
        <w:tc>
          <w:tcPr>
            <w:tcW w:w="2482" w:type="pct"/>
            <w:shd w:val="clear" w:color="000000" w:fill="FFFFFF"/>
            <w:vAlign w:val="center"/>
          </w:tcPr>
          <w:p>
            <w:pPr>
              <w:pStyle w:val="740"/>
              <w:autoSpaceDE/>
              <w:autoSpaceDN/>
              <w:adjustRightInd/>
              <w:snapToGri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标准量程：压缩0～100MPa，拉伸0～400MPa；非线性度：≤1.0%F.S.；分辨力：0.1%F.S.；温度范围：</w:t>
            </w:r>
            <w:r>
              <w:rPr>
                <w:rFonts w:ascii="Times New Roman" w:hAnsi="Times New Roman" w:eastAsia="宋体"/>
                <w:snapToGrid/>
                <w:color w:val="auto"/>
                <w:kern w:val="2"/>
                <w:sz w:val="18"/>
                <w:szCs w:val="18"/>
                <w:highlight w:val="none"/>
              </w:rPr>
              <w:t>-20</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+60</w:t>
            </w:r>
            <w:r>
              <w:rPr>
                <w:rFonts w:hint="eastAsia" w:ascii="Times New Roman" w:hAnsi="Times New Roman" w:eastAsia="宋体"/>
                <w:snapToGrid/>
                <w:color w:val="auto"/>
                <w:kern w:val="2"/>
                <w:sz w:val="18"/>
                <w:szCs w:val="18"/>
                <w:highlight w:val="none"/>
              </w:rPr>
              <w:t>℃；耐水压：≥1.0MPa</w:t>
            </w:r>
            <w:r>
              <w:rPr>
                <w:rFonts w:ascii="Times New Roman" w:hAnsi="Times New Roman" w:eastAsia="宋体"/>
                <w:snapToGrid/>
                <w:color w:val="auto"/>
                <w:kern w:val="2"/>
                <w:sz w:val="18"/>
                <w:szCs w:val="18"/>
                <w:highlight w:val="none"/>
              </w:rPr>
              <w:t>。</w:t>
            </w:r>
            <w:r>
              <w:rPr>
                <w:rFonts w:hint="eastAsia" w:ascii="Times New Roman" w:hAnsi="Times New Roman" w:eastAsia="宋体"/>
                <w:snapToGrid/>
                <w:color w:val="auto"/>
                <w:kern w:val="2"/>
                <w:sz w:val="18"/>
                <w:szCs w:val="18"/>
                <w:highlight w:val="none"/>
              </w:rPr>
              <w:t>连接杆应与被测钢筋材质和规格相同</w:t>
            </w:r>
            <w:r>
              <w:rPr>
                <w:rFonts w:ascii="Times New Roman" w:hAnsi="Times New Roman" w:eastAsia="宋体"/>
                <w:snapToGrid/>
                <w:color w:val="auto"/>
                <w:kern w:val="2"/>
                <w:sz w:val="18"/>
                <w:szCs w:val="18"/>
                <w:highlight w:val="none"/>
              </w:rPr>
              <w:t>。</w:t>
            </w:r>
          </w:p>
        </w:tc>
        <w:tc>
          <w:tcPr>
            <w:tcW w:w="437" w:type="pct"/>
            <w:shd w:val="clear" w:color="000000" w:fill="FFFFFF"/>
            <w:vAlign w:val="center"/>
          </w:tcPr>
          <w:p>
            <w:pPr>
              <w:spacing w:before="48" w:beforeLines="20" w:after="48" w:afterLines="20" w:line="0" w:lineRule="atLeast"/>
              <w:rPr>
                <w:color w:val="auto"/>
                <w:sz w:val="18"/>
                <w:szCs w:val="18"/>
                <w:highlight w:val="none"/>
              </w:rPr>
            </w:pPr>
          </w:p>
        </w:tc>
        <w:tc>
          <w:tcPr>
            <w:tcW w:w="608" w:type="pct"/>
            <w:shd w:val="clear" w:color="000000" w:fill="FFFFFF"/>
            <w:vAlign w:val="center"/>
          </w:tcPr>
          <w:p>
            <w:pPr>
              <w:autoSpaceDE w:val="0"/>
              <w:autoSpaceDN w:val="0"/>
              <w:adjustRightInd w:val="0"/>
              <w:snapToGrid w:val="0"/>
              <w:jc w:val="center"/>
              <w:textAlignment w:val="baseline"/>
              <w:rPr>
                <w:color w:val="auto"/>
                <w:sz w:val="18"/>
                <w:szCs w:val="18"/>
                <w:highlight w:val="none"/>
                <w:lang w:val="zh-CN"/>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苏州南智传感、南京南瑞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894" w:hRule="atLeast"/>
          <w:jc w:val="center"/>
        </w:trPr>
        <w:tc>
          <w:tcPr>
            <w:tcW w:w="344" w:type="pct"/>
            <w:shd w:val="clear" w:color="000000" w:fill="FFFFFF"/>
            <w:vAlign w:val="center"/>
          </w:tcPr>
          <w:p>
            <w:pPr>
              <w:autoSpaceDE w:val="0"/>
              <w:autoSpaceDN w:val="0"/>
              <w:adjustRightInd w:val="0"/>
              <w:snapToGrid w:val="0"/>
              <w:jc w:val="center"/>
              <w:textAlignment w:val="baseline"/>
              <w:rPr>
                <w:color w:val="auto"/>
                <w:kern w:val="0"/>
                <w:sz w:val="18"/>
                <w:szCs w:val="18"/>
                <w:highlight w:val="none"/>
              </w:rPr>
            </w:pPr>
            <w:r>
              <w:rPr>
                <w:rFonts w:hint="eastAsia"/>
                <w:color w:val="auto"/>
                <w:kern w:val="0"/>
                <w:sz w:val="18"/>
                <w:szCs w:val="18"/>
                <w:highlight w:val="none"/>
              </w:rPr>
              <w:t>13</w:t>
            </w:r>
          </w:p>
        </w:tc>
        <w:tc>
          <w:tcPr>
            <w:tcW w:w="637" w:type="pct"/>
            <w:shd w:val="clear" w:color="000000" w:fill="FFFFFF"/>
            <w:vAlign w:val="center"/>
          </w:tcPr>
          <w:p>
            <w:pPr>
              <w:spacing w:before="48" w:beforeLines="20" w:after="48" w:afterLines="20" w:line="0" w:lineRule="atLeast"/>
              <w:jc w:val="center"/>
              <w:rPr>
                <w:color w:val="auto"/>
                <w:sz w:val="18"/>
                <w:szCs w:val="18"/>
                <w:highlight w:val="none"/>
              </w:rPr>
            </w:pPr>
            <w:r>
              <w:rPr>
                <w:color w:val="auto"/>
                <w:sz w:val="18"/>
                <w:szCs w:val="18"/>
                <w:highlight w:val="none"/>
              </w:rPr>
              <w:t>钢板计</w:t>
            </w:r>
          </w:p>
        </w:tc>
        <w:tc>
          <w:tcPr>
            <w:tcW w:w="492" w:type="pct"/>
            <w:shd w:val="clear" w:color="000000" w:fill="FFFFFF"/>
            <w:vAlign w:val="center"/>
          </w:tcPr>
          <w:p>
            <w:pPr>
              <w:spacing w:before="48" w:beforeLines="20" w:after="48" w:afterLines="20" w:line="0" w:lineRule="atLeast"/>
              <w:jc w:val="center"/>
              <w:rPr>
                <w:color w:val="auto"/>
                <w:sz w:val="18"/>
                <w:szCs w:val="18"/>
                <w:highlight w:val="none"/>
              </w:rPr>
            </w:pPr>
            <w:r>
              <w:rPr>
                <w:color w:val="auto"/>
                <w:sz w:val="18"/>
                <w:szCs w:val="18"/>
                <w:highlight w:val="none"/>
              </w:rPr>
              <w:t>振弦式</w:t>
            </w:r>
          </w:p>
        </w:tc>
        <w:tc>
          <w:tcPr>
            <w:tcW w:w="2482" w:type="pct"/>
            <w:shd w:val="clear" w:color="000000" w:fill="FFFFFF"/>
            <w:vAlign w:val="center"/>
          </w:tcPr>
          <w:p>
            <w:pPr>
              <w:spacing w:before="48" w:beforeLines="20" w:after="48" w:afterLines="20" w:line="0" w:lineRule="atLeast"/>
              <w:rPr>
                <w:color w:val="auto"/>
                <w:sz w:val="18"/>
                <w:szCs w:val="18"/>
                <w:highlight w:val="none"/>
              </w:rPr>
            </w:pPr>
            <w:r>
              <w:rPr>
                <w:rFonts w:hint="eastAsia"/>
                <w:color w:val="auto"/>
                <w:sz w:val="18"/>
                <w:szCs w:val="18"/>
                <w:highlight w:val="none"/>
              </w:rPr>
              <w:t>量程：3000με；非线性度：≤2% F.S.；不重复度：≤0.5% F.S.；分辨力≤0.2% F.S.；综合误差：≤2.5% F.S.；温度范围：-20℃～+60℃；耐水压： ≥1.0MPa</w:t>
            </w:r>
            <w:r>
              <w:rPr>
                <w:color w:val="auto"/>
                <w:sz w:val="18"/>
                <w:szCs w:val="18"/>
                <w:highlight w:val="none"/>
              </w:rPr>
              <w:t>。</w:t>
            </w:r>
            <w:r>
              <w:rPr>
                <w:rFonts w:hint="eastAsia"/>
                <w:color w:val="auto"/>
                <w:sz w:val="18"/>
                <w:szCs w:val="18"/>
                <w:highlight w:val="none"/>
              </w:rPr>
              <w:t>；含保护盖</w:t>
            </w:r>
            <w:r>
              <w:rPr>
                <w:color w:val="auto"/>
                <w:sz w:val="18"/>
                <w:szCs w:val="18"/>
                <w:highlight w:val="none"/>
              </w:rPr>
              <w:t>。</w:t>
            </w:r>
          </w:p>
        </w:tc>
        <w:tc>
          <w:tcPr>
            <w:tcW w:w="437" w:type="pct"/>
            <w:shd w:val="clear" w:color="000000" w:fill="FFFFFF"/>
            <w:vAlign w:val="center"/>
          </w:tcPr>
          <w:p>
            <w:pPr>
              <w:spacing w:before="48" w:beforeLines="20" w:after="48" w:afterLines="20" w:line="0" w:lineRule="atLeast"/>
              <w:rPr>
                <w:color w:val="auto"/>
                <w:sz w:val="18"/>
                <w:szCs w:val="18"/>
                <w:highlight w:val="none"/>
              </w:rPr>
            </w:pPr>
          </w:p>
        </w:tc>
        <w:tc>
          <w:tcPr>
            <w:tcW w:w="608"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44" w:type="pct"/>
            <w:shd w:val="clear" w:color="000000" w:fill="FFFFFF"/>
            <w:vAlign w:val="center"/>
          </w:tcPr>
          <w:p>
            <w:pPr>
              <w:autoSpaceDE w:val="0"/>
              <w:autoSpaceDN w:val="0"/>
              <w:adjustRightInd w:val="0"/>
              <w:snapToGrid w:val="0"/>
              <w:jc w:val="center"/>
              <w:textAlignment w:val="baseline"/>
              <w:rPr>
                <w:color w:val="auto"/>
                <w:kern w:val="0"/>
                <w:sz w:val="18"/>
                <w:szCs w:val="18"/>
                <w:highlight w:val="none"/>
              </w:rPr>
            </w:pPr>
            <w:r>
              <w:rPr>
                <w:rFonts w:hint="eastAsia"/>
                <w:color w:val="auto"/>
                <w:kern w:val="0"/>
                <w:sz w:val="18"/>
                <w:szCs w:val="18"/>
                <w:highlight w:val="none"/>
              </w:rPr>
              <w:t>18</w:t>
            </w:r>
          </w:p>
        </w:tc>
        <w:tc>
          <w:tcPr>
            <w:tcW w:w="637" w:type="pct"/>
            <w:shd w:val="clear" w:color="000000" w:fill="FFFFFF"/>
            <w:vAlign w:val="center"/>
          </w:tcPr>
          <w:p>
            <w:pPr>
              <w:jc w:val="center"/>
              <w:rPr>
                <w:color w:val="auto"/>
                <w:sz w:val="18"/>
                <w:szCs w:val="18"/>
                <w:highlight w:val="none"/>
              </w:rPr>
            </w:pPr>
            <w:r>
              <w:rPr>
                <w:rFonts w:hint="eastAsia"/>
                <w:color w:val="auto"/>
                <w:sz w:val="18"/>
                <w:szCs w:val="18"/>
                <w:highlight w:val="none"/>
              </w:rPr>
              <w:t>螺栓应力计</w:t>
            </w:r>
          </w:p>
        </w:tc>
        <w:tc>
          <w:tcPr>
            <w:tcW w:w="492" w:type="pct"/>
            <w:shd w:val="clear" w:color="000000" w:fill="FFFFFF"/>
            <w:vAlign w:val="center"/>
          </w:tcPr>
          <w:p>
            <w:pPr>
              <w:autoSpaceDE w:val="0"/>
              <w:autoSpaceDN w:val="0"/>
              <w:adjustRightInd w:val="0"/>
              <w:spacing w:before="48" w:beforeLines="20" w:after="48" w:afterLines="20" w:line="0" w:lineRule="atLeast"/>
              <w:jc w:val="center"/>
              <w:textAlignment w:val="baseline"/>
              <w:rPr>
                <w:color w:val="auto"/>
                <w:sz w:val="18"/>
                <w:szCs w:val="18"/>
                <w:highlight w:val="none"/>
              </w:rPr>
            </w:pPr>
            <w:r>
              <w:rPr>
                <w:color w:val="auto"/>
                <w:sz w:val="18"/>
                <w:szCs w:val="18"/>
                <w:highlight w:val="none"/>
              </w:rPr>
              <w:t>振弦式</w:t>
            </w:r>
          </w:p>
        </w:tc>
        <w:tc>
          <w:tcPr>
            <w:tcW w:w="2482" w:type="pct"/>
            <w:shd w:val="clear" w:color="000000" w:fill="FFFFFF"/>
            <w:vAlign w:val="center"/>
          </w:tcPr>
          <w:p>
            <w:pPr>
              <w:spacing w:before="48" w:beforeLines="20" w:after="48" w:afterLines="20" w:line="0" w:lineRule="atLeast"/>
              <w:rPr>
                <w:color w:val="auto"/>
                <w:sz w:val="18"/>
                <w:szCs w:val="18"/>
                <w:highlight w:val="none"/>
              </w:rPr>
            </w:pPr>
            <w:r>
              <w:rPr>
                <w:rFonts w:hint="eastAsia"/>
                <w:color w:val="auto"/>
                <w:sz w:val="18"/>
                <w:szCs w:val="18"/>
                <w:highlight w:val="none"/>
              </w:rPr>
              <w:t>量程：300kN~900kN，非线性度：直线：≤2% F.S.；多项式：≤1% F.S.；分辨力：0.03%FS；温度测量范围：-40℃~+65℃；耐水压：≥1.0MPa</w:t>
            </w:r>
            <w:r>
              <w:rPr>
                <w:color w:val="auto"/>
                <w:sz w:val="18"/>
                <w:szCs w:val="18"/>
                <w:highlight w:val="none"/>
              </w:rPr>
              <w:t>。。</w:t>
            </w:r>
          </w:p>
        </w:tc>
        <w:tc>
          <w:tcPr>
            <w:tcW w:w="437" w:type="pct"/>
            <w:shd w:val="clear" w:color="000000" w:fill="FFFFFF"/>
            <w:vAlign w:val="center"/>
          </w:tcPr>
          <w:p>
            <w:pPr>
              <w:spacing w:before="48" w:beforeLines="20" w:after="48" w:afterLines="20" w:line="0" w:lineRule="atLeast"/>
              <w:rPr>
                <w:color w:val="auto"/>
                <w:sz w:val="18"/>
                <w:szCs w:val="18"/>
                <w:highlight w:val="none"/>
              </w:rPr>
            </w:pPr>
            <w:r>
              <w:rPr>
                <w:rFonts w:hint="eastAsia"/>
                <w:color w:val="auto"/>
                <w:sz w:val="18"/>
                <w:szCs w:val="18"/>
                <w:highlight w:val="none"/>
              </w:rPr>
              <w:t>安装在螺栓端头</w:t>
            </w:r>
          </w:p>
        </w:tc>
        <w:tc>
          <w:tcPr>
            <w:tcW w:w="608"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spacing w:before="48" w:beforeLines="20" w:after="48" w:afterLines="20" w:line="0" w:lineRule="atLeast"/>
              <w:rPr>
                <w:color w:val="auto"/>
                <w:sz w:val="18"/>
                <w:szCs w:val="18"/>
                <w:highlight w:val="none"/>
              </w:rPr>
            </w:pPr>
            <w:r>
              <w:rPr>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44" w:type="pct"/>
            <w:shd w:val="clear" w:color="000000" w:fill="FFFFFF"/>
            <w:vAlign w:val="center"/>
          </w:tcPr>
          <w:p>
            <w:pPr>
              <w:autoSpaceDE w:val="0"/>
              <w:autoSpaceDN w:val="0"/>
              <w:adjustRightInd w:val="0"/>
              <w:snapToGrid w:val="0"/>
              <w:jc w:val="center"/>
              <w:textAlignment w:val="baseline"/>
              <w:rPr>
                <w:color w:val="auto"/>
                <w:kern w:val="0"/>
                <w:sz w:val="18"/>
                <w:szCs w:val="18"/>
                <w:highlight w:val="none"/>
              </w:rPr>
            </w:pPr>
            <w:r>
              <w:rPr>
                <w:rFonts w:hint="eastAsia"/>
                <w:color w:val="auto"/>
                <w:kern w:val="0"/>
                <w:sz w:val="18"/>
                <w:szCs w:val="18"/>
                <w:highlight w:val="none"/>
              </w:rPr>
              <w:t>19</w:t>
            </w:r>
          </w:p>
        </w:tc>
        <w:tc>
          <w:tcPr>
            <w:tcW w:w="637" w:type="pct"/>
            <w:shd w:val="clear" w:color="000000" w:fill="FFFFFF"/>
            <w:vAlign w:val="center"/>
          </w:tcPr>
          <w:p>
            <w:pPr>
              <w:jc w:val="center"/>
              <w:rPr>
                <w:color w:val="auto"/>
                <w:sz w:val="18"/>
                <w:szCs w:val="18"/>
                <w:highlight w:val="none"/>
              </w:rPr>
            </w:pPr>
            <w:r>
              <w:rPr>
                <w:rFonts w:hint="eastAsia"/>
                <w:color w:val="auto"/>
                <w:sz w:val="18"/>
                <w:szCs w:val="18"/>
                <w:highlight w:val="none"/>
              </w:rPr>
              <w:t>螺栓应力计</w:t>
            </w:r>
          </w:p>
        </w:tc>
        <w:tc>
          <w:tcPr>
            <w:tcW w:w="492" w:type="pct"/>
            <w:shd w:val="clear" w:color="000000" w:fill="FFFFFF"/>
            <w:vAlign w:val="center"/>
          </w:tcPr>
          <w:p>
            <w:pPr>
              <w:autoSpaceDE w:val="0"/>
              <w:autoSpaceDN w:val="0"/>
              <w:adjustRightInd w:val="0"/>
              <w:spacing w:before="48" w:beforeLines="20" w:after="48" w:afterLines="20" w:line="0" w:lineRule="atLeast"/>
              <w:jc w:val="center"/>
              <w:textAlignment w:val="baseline"/>
              <w:rPr>
                <w:color w:val="auto"/>
                <w:sz w:val="18"/>
                <w:szCs w:val="18"/>
                <w:highlight w:val="none"/>
              </w:rPr>
            </w:pPr>
            <w:r>
              <w:rPr>
                <w:color w:val="auto"/>
                <w:kern w:val="0"/>
                <w:sz w:val="18"/>
                <w:szCs w:val="18"/>
                <w:highlight w:val="none"/>
                <w:lang w:val="zh-CN"/>
              </w:rPr>
              <w:t>FBG</w:t>
            </w:r>
          </w:p>
        </w:tc>
        <w:tc>
          <w:tcPr>
            <w:tcW w:w="2482" w:type="pct"/>
            <w:shd w:val="clear" w:color="000000" w:fill="FFFFFF"/>
            <w:vAlign w:val="center"/>
          </w:tcPr>
          <w:p>
            <w:pPr>
              <w:spacing w:before="48" w:beforeLines="20" w:after="48" w:afterLines="20" w:line="0" w:lineRule="atLeast"/>
              <w:rPr>
                <w:color w:val="auto"/>
                <w:sz w:val="18"/>
                <w:szCs w:val="18"/>
                <w:highlight w:val="none"/>
              </w:rPr>
            </w:pPr>
            <w:r>
              <w:rPr>
                <w:rFonts w:hint="eastAsia"/>
                <w:color w:val="auto"/>
                <w:sz w:val="18"/>
                <w:szCs w:val="18"/>
                <w:highlight w:val="none"/>
              </w:rPr>
              <w:t>量程：300kN~900kN，波长范围：1525～1565；分辨力：0.1%FS；非线性度：≤1%FS；耐水压：≥1.0MPa</w:t>
            </w:r>
            <w:r>
              <w:rPr>
                <w:color w:val="auto"/>
                <w:sz w:val="18"/>
                <w:szCs w:val="18"/>
                <w:highlight w:val="none"/>
              </w:rPr>
              <w:t>。</w:t>
            </w:r>
          </w:p>
        </w:tc>
        <w:tc>
          <w:tcPr>
            <w:tcW w:w="437" w:type="pct"/>
            <w:shd w:val="clear" w:color="000000" w:fill="FFFFFF"/>
            <w:vAlign w:val="center"/>
          </w:tcPr>
          <w:p>
            <w:pPr>
              <w:spacing w:before="48" w:beforeLines="20" w:after="48" w:afterLines="20" w:line="0" w:lineRule="atLeast"/>
              <w:rPr>
                <w:color w:val="auto"/>
                <w:sz w:val="18"/>
                <w:szCs w:val="18"/>
                <w:highlight w:val="none"/>
              </w:rPr>
            </w:pPr>
            <w:r>
              <w:rPr>
                <w:rFonts w:hint="eastAsia"/>
                <w:color w:val="auto"/>
                <w:sz w:val="18"/>
                <w:szCs w:val="18"/>
                <w:highlight w:val="none"/>
              </w:rPr>
              <w:t>安装在螺栓端头</w:t>
            </w:r>
          </w:p>
        </w:tc>
        <w:tc>
          <w:tcPr>
            <w:tcW w:w="608" w:type="pct"/>
            <w:shd w:val="clear" w:color="000000" w:fill="FFFFFF"/>
            <w:vAlign w:val="center"/>
          </w:tcPr>
          <w:p>
            <w:pPr>
              <w:autoSpaceDE w:val="0"/>
              <w:autoSpaceDN w:val="0"/>
              <w:adjustRightInd w:val="0"/>
              <w:snapToGrid w:val="0"/>
              <w:jc w:val="center"/>
              <w:textAlignment w:val="baseline"/>
              <w:rPr>
                <w:color w:val="auto"/>
                <w:sz w:val="18"/>
                <w:szCs w:val="18"/>
                <w:highlight w:val="none"/>
                <w:lang w:val="zh-CN"/>
              </w:rPr>
            </w:pPr>
            <w:r>
              <w:rPr>
                <w:color w:val="auto"/>
                <w:sz w:val="18"/>
                <w:szCs w:val="18"/>
                <w:highlight w:val="none"/>
                <w:lang w:val="zh-CN"/>
              </w:rPr>
              <w:t>北京基康、</w:t>
            </w:r>
          </w:p>
          <w:p>
            <w:pPr>
              <w:spacing w:before="48" w:beforeLines="20" w:after="48" w:afterLines="20" w:line="0" w:lineRule="atLeast"/>
              <w:rPr>
                <w:color w:val="auto"/>
                <w:sz w:val="18"/>
                <w:szCs w:val="18"/>
                <w:highlight w:val="none"/>
              </w:rPr>
            </w:pPr>
            <w:r>
              <w:rPr>
                <w:color w:val="auto"/>
                <w:sz w:val="18"/>
                <w:szCs w:val="18"/>
                <w:highlight w:val="none"/>
                <w:lang w:val="zh-CN"/>
              </w:rPr>
              <w:t>苏州南智传感、南京南瑞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44" w:type="pct"/>
            <w:shd w:val="clear" w:color="000000" w:fill="FFFFFF"/>
            <w:vAlign w:val="center"/>
          </w:tcPr>
          <w:p>
            <w:pPr>
              <w:autoSpaceDE w:val="0"/>
              <w:autoSpaceDN w:val="0"/>
              <w:adjustRightInd w:val="0"/>
              <w:snapToGrid w:val="0"/>
              <w:jc w:val="center"/>
              <w:textAlignment w:val="baseline"/>
              <w:rPr>
                <w:color w:val="auto"/>
                <w:kern w:val="0"/>
                <w:sz w:val="18"/>
                <w:szCs w:val="18"/>
                <w:highlight w:val="none"/>
              </w:rPr>
            </w:pPr>
            <w:r>
              <w:rPr>
                <w:rFonts w:hint="eastAsia"/>
                <w:color w:val="auto"/>
                <w:kern w:val="0"/>
                <w:sz w:val="18"/>
                <w:szCs w:val="18"/>
                <w:highlight w:val="none"/>
              </w:rPr>
              <w:t>20</w:t>
            </w:r>
          </w:p>
        </w:tc>
        <w:tc>
          <w:tcPr>
            <w:tcW w:w="637" w:type="pct"/>
            <w:shd w:val="clear" w:color="000000" w:fill="FFFFFF"/>
            <w:vAlign w:val="center"/>
          </w:tcPr>
          <w:p>
            <w:pPr>
              <w:rPr>
                <w:color w:val="auto"/>
                <w:sz w:val="18"/>
                <w:szCs w:val="18"/>
                <w:highlight w:val="none"/>
              </w:rPr>
            </w:pPr>
            <w:r>
              <w:rPr>
                <w:rFonts w:hint="eastAsia"/>
                <w:color w:val="auto"/>
                <w:sz w:val="18"/>
                <w:szCs w:val="18"/>
                <w:highlight w:val="none"/>
              </w:rPr>
              <w:t>锚杆应力计</w:t>
            </w:r>
          </w:p>
        </w:tc>
        <w:tc>
          <w:tcPr>
            <w:tcW w:w="492" w:type="pct"/>
            <w:shd w:val="clear" w:color="000000" w:fill="FFFFFF"/>
            <w:vAlign w:val="center"/>
          </w:tcPr>
          <w:p>
            <w:pPr>
              <w:autoSpaceDE w:val="0"/>
              <w:autoSpaceDN w:val="0"/>
              <w:adjustRightInd w:val="0"/>
              <w:spacing w:before="48" w:beforeLines="20" w:after="48" w:afterLines="20" w:line="0" w:lineRule="atLeast"/>
              <w:jc w:val="center"/>
              <w:textAlignment w:val="baseline"/>
              <w:rPr>
                <w:color w:val="auto"/>
                <w:kern w:val="0"/>
                <w:sz w:val="18"/>
                <w:szCs w:val="18"/>
                <w:highlight w:val="none"/>
                <w:lang w:val="zh-CN"/>
              </w:rPr>
            </w:pPr>
            <w:r>
              <w:rPr>
                <w:color w:val="auto"/>
                <w:sz w:val="18"/>
                <w:szCs w:val="18"/>
                <w:highlight w:val="none"/>
              </w:rPr>
              <w:t>振弦式</w:t>
            </w:r>
          </w:p>
        </w:tc>
        <w:tc>
          <w:tcPr>
            <w:tcW w:w="2482" w:type="pct"/>
            <w:shd w:val="clear" w:color="000000" w:fill="FFFFFF"/>
            <w:vAlign w:val="center"/>
          </w:tcPr>
          <w:p>
            <w:pPr>
              <w:pStyle w:val="740"/>
              <w:autoSpaceDE/>
              <w:autoSpaceDN/>
              <w:adjustRightInd/>
              <w:snapToGrid/>
              <w:spacing w:line="240" w:lineRule="auto"/>
              <w:ind w:firstLine="0" w:firstLineChars="0"/>
              <w:rPr>
                <w:color w:val="auto"/>
                <w:sz w:val="18"/>
                <w:szCs w:val="18"/>
                <w:highlight w:val="none"/>
              </w:rPr>
            </w:pPr>
            <w:r>
              <w:rPr>
                <w:rFonts w:hint="eastAsia" w:ascii="Times New Roman" w:hAnsi="Times New Roman" w:eastAsia="宋体"/>
                <w:snapToGrid/>
                <w:color w:val="auto"/>
                <w:kern w:val="2"/>
                <w:sz w:val="18"/>
                <w:szCs w:val="18"/>
                <w:highlight w:val="none"/>
              </w:rPr>
              <w:t>标准量程：压缩0～100MPa，拉伸0～400MPa；非线性度：≤2% F.S.；不重复度：≤0.5% F.S.；分辨力≤0.2% F.S.；综合误差：≤2.5% F.S.；温度范围：-20℃～+</w:t>
            </w:r>
            <w:r>
              <w:rPr>
                <w:rFonts w:ascii="Times New Roman" w:hAnsi="Times New Roman" w:eastAsia="宋体"/>
                <w:snapToGrid/>
                <w:color w:val="auto"/>
                <w:kern w:val="2"/>
                <w:sz w:val="18"/>
                <w:szCs w:val="18"/>
                <w:highlight w:val="none"/>
              </w:rPr>
              <w:t>6</w:t>
            </w:r>
            <w:r>
              <w:rPr>
                <w:rFonts w:hint="eastAsia" w:ascii="Times New Roman" w:hAnsi="Times New Roman" w:eastAsia="宋体"/>
                <w:snapToGrid/>
                <w:color w:val="auto"/>
                <w:kern w:val="2"/>
                <w:sz w:val="18"/>
                <w:szCs w:val="18"/>
                <w:highlight w:val="none"/>
              </w:rPr>
              <w:t>0℃；耐 水 压：≥1.0MPa。连接杆应与被测钢筋材质和规格相同</w:t>
            </w:r>
            <w:r>
              <w:rPr>
                <w:rFonts w:ascii="Times New Roman" w:hAnsi="Times New Roman" w:eastAsia="宋体"/>
                <w:snapToGrid/>
                <w:color w:val="auto"/>
                <w:kern w:val="2"/>
                <w:sz w:val="18"/>
                <w:szCs w:val="18"/>
                <w:highlight w:val="none"/>
              </w:rPr>
              <w:t>。</w:t>
            </w:r>
          </w:p>
        </w:tc>
        <w:tc>
          <w:tcPr>
            <w:tcW w:w="437" w:type="pct"/>
            <w:shd w:val="clear" w:color="000000" w:fill="FFFFFF"/>
            <w:vAlign w:val="center"/>
          </w:tcPr>
          <w:p>
            <w:pPr>
              <w:spacing w:before="48" w:beforeLines="20" w:after="48" w:afterLines="20" w:line="0" w:lineRule="atLeast"/>
              <w:rPr>
                <w:color w:val="auto"/>
                <w:sz w:val="18"/>
                <w:szCs w:val="18"/>
                <w:highlight w:val="none"/>
              </w:rPr>
            </w:pPr>
          </w:p>
        </w:tc>
        <w:tc>
          <w:tcPr>
            <w:tcW w:w="608"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44" w:type="pct"/>
            <w:shd w:val="clear" w:color="000000" w:fill="FFFFFF"/>
            <w:vAlign w:val="center"/>
          </w:tcPr>
          <w:p>
            <w:pPr>
              <w:autoSpaceDE w:val="0"/>
              <w:autoSpaceDN w:val="0"/>
              <w:adjustRightInd w:val="0"/>
              <w:snapToGrid w:val="0"/>
              <w:jc w:val="center"/>
              <w:textAlignment w:val="baseline"/>
              <w:rPr>
                <w:color w:val="auto"/>
                <w:kern w:val="0"/>
                <w:sz w:val="18"/>
                <w:szCs w:val="18"/>
                <w:highlight w:val="none"/>
              </w:rPr>
            </w:pPr>
            <w:r>
              <w:rPr>
                <w:rFonts w:hint="eastAsia"/>
                <w:color w:val="auto"/>
                <w:kern w:val="0"/>
                <w:sz w:val="18"/>
                <w:szCs w:val="18"/>
                <w:highlight w:val="none"/>
              </w:rPr>
              <w:t>21</w:t>
            </w:r>
          </w:p>
        </w:tc>
        <w:tc>
          <w:tcPr>
            <w:tcW w:w="637" w:type="pct"/>
            <w:shd w:val="clear" w:color="000000" w:fill="FFFFFF"/>
            <w:vAlign w:val="center"/>
          </w:tcPr>
          <w:p>
            <w:pPr>
              <w:rPr>
                <w:color w:val="auto"/>
                <w:sz w:val="18"/>
                <w:szCs w:val="18"/>
                <w:highlight w:val="none"/>
              </w:rPr>
            </w:pPr>
            <w:r>
              <w:rPr>
                <w:rFonts w:hint="eastAsia"/>
                <w:color w:val="auto"/>
                <w:sz w:val="18"/>
                <w:szCs w:val="18"/>
                <w:highlight w:val="none"/>
              </w:rPr>
              <w:t>GNSS接收机</w:t>
            </w:r>
          </w:p>
        </w:tc>
        <w:tc>
          <w:tcPr>
            <w:tcW w:w="492" w:type="pct"/>
            <w:shd w:val="clear" w:color="000000" w:fill="FFFFFF"/>
            <w:vAlign w:val="center"/>
          </w:tcPr>
          <w:p>
            <w:pPr>
              <w:autoSpaceDE w:val="0"/>
              <w:autoSpaceDN w:val="0"/>
              <w:adjustRightInd w:val="0"/>
              <w:spacing w:before="48" w:beforeLines="20" w:after="48" w:afterLines="20" w:line="0" w:lineRule="atLeast"/>
              <w:jc w:val="center"/>
              <w:textAlignment w:val="baseline"/>
              <w:rPr>
                <w:color w:val="auto"/>
                <w:sz w:val="18"/>
                <w:szCs w:val="18"/>
                <w:highlight w:val="none"/>
              </w:rPr>
            </w:pPr>
          </w:p>
        </w:tc>
        <w:tc>
          <w:tcPr>
            <w:tcW w:w="2482" w:type="pct"/>
            <w:shd w:val="clear" w:color="000000" w:fill="FFFFFF"/>
            <w:vAlign w:val="center"/>
          </w:tcPr>
          <w:p>
            <w:pPr>
              <w:pStyle w:val="740"/>
              <w:autoSpaceDE/>
              <w:autoSpaceDN/>
              <w:adjustRightInd/>
              <w:snapToGri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精度：平面精度≤2.5mm+0.5ppm，高程精度≤5mm+0.5ppm</w:t>
            </w:r>
            <w:r>
              <w:rPr>
                <w:rFonts w:ascii="Times New Roman" w:hAnsi="Times New Roman" w:eastAsiaTheme="minorEastAsia"/>
                <w:snapToGrid/>
                <w:color w:val="auto"/>
                <w:kern w:val="2"/>
                <w:sz w:val="18"/>
                <w:szCs w:val="18"/>
                <w:highlight w:val="none"/>
              </w:rPr>
              <w:t>；</w:t>
            </w:r>
            <w:r>
              <w:rPr>
                <w:rFonts w:ascii="Times New Roman" w:hAnsi="Times New Roman" w:eastAsiaTheme="minorEastAsia"/>
                <w:color w:val="auto"/>
                <w:sz w:val="18"/>
                <w:szCs w:val="18"/>
                <w:highlight w:val="none"/>
              </w:rPr>
              <w:t>机身存储：</w:t>
            </w:r>
            <w:r>
              <w:rPr>
                <w:rFonts w:ascii="Times New Roman" w:hAnsi="Times New Roman" w:eastAsiaTheme="minorEastAsia"/>
                <w:color w:val="auto"/>
                <w:sz w:val="18"/>
                <w:szCs w:val="18"/>
                <w:highlight w:val="none"/>
                <w:lang w:val="zh-CN"/>
              </w:rPr>
              <w:t>≥32GB</w:t>
            </w:r>
            <w:r>
              <w:rPr>
                <w:rFonts w:ascii="Times New Roman" w:hAnsi="Times New Roman" w:eastAsiaTheme="minorEastAsia"/>
                <w:snapToGrid/>
                <w:color w:val="auto"/>
                <w:kern w:val="2"/>
                <w:sz w:val="18"/>
                <w:szCs w:val="18"/>
                <w:highlight w:val="none"/>
              </w:rPr>
              <w:t>；</w:t>
            </w:r>
            <w:r>
              <w:rPr>
                <w:rFonts w:hint="eastAsia" w:ascii="Times New Roman" w:hAnsi="Times New Roman" w:eastAsia="宋体"/>
                <w:snapToGrid/>
                <w:color w:val="auto"/>
                <w:kern w:val="2"/>
                <w:sz w:val="18"/>
                <w:szCs w:val="18"/>
                <w:highlight w:val="none"/>
              </w:rPr>
              <w:t>工作环境：-20℃～65℃，环境湿度100%不凝结，IP68防水防尘，内置锂电池。</w:t>
            </w:r>
          </w:p>
        </w:tc>
        <w:tc>
          <w:tcPr>
            <w:tcW w:w="437" w:type="pct"/>
            <w:shd w:val="clear" w:color="000000" w:fill="FFFFFF"/>
            <w:vAlign w:val="center"/>
          </w:tcPr>
          <w:p>
            <w:pPr>
              <w:spacing w:before="48" w:beforeLines="20" w:after="48" w:afterLines="20" w:line="0" w:lineRule="atLeast"/>
              <w:rPr>
                <w:color w:val="auto"/>
                <w:sz w:val="18"/>
                <w:szCs w:val="18"/>
                <w:highlight w:val="none"/>
              </w:rPr>
            </w:pPr>
          </w:p>
        </w:tc>
        <w:tc>
          <w:tcPr>
            <w:tcW w:w="608"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rFonts w:hint="eastAsia"/>
                <w:color w:val="auto"/>
                <w:sz w:val="18"/>
                <w:szCs w:val="18"/>
                <w:highlight w:val="none"/>
              </w:rPr>
              <w:t>合众思壮、南方测绘、华思测控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44" w:type="pct"/>
            <w:shd w:val="clear" w:color="000000" w:fill="FFFFFF"/>
            <w:vAlign w:val="center"/>
          </w:tcPr>
          <w:p>
            <w:pPr>
              <w:autoSpaceDE w:val="0"/>
              <w:autoSpaceDN w:val="0"/>
              <w:adjustRightInd w:val="0"/>
              <w:snapToGrid w:val="0"/>
              <w:jc w:val="center"/>
              <w:textAlignment w:val="baseline"/>
              <w:rPr>
                <w:color w:val="auto"/>
                <w:kern w:val="0"/>
                <w:sz w:val="18"/>
                <w:szCs w:val="18"/>
                <w:highlight w:val="none"/>
              </w:rPr>
            </w:pPr>
            <w:r>
              <w:rPr>
                <w:rFonts w:hint="eastAsia"/>
                <w:color w:val="auto"/>
                <w:kern w:val="0"/>
                <w:sz w:val="18"/>
                <w:szCs w:val="18"/>
                <w:highlight w:val="none"/>
              </w:rPr>
              <w:t>22</w:t>
            </w:r>
          </w:p>
        </w:tc>
        <w:tc>
          <w:tcPr>
            <w:tcW w:w="637" w:type="pct"/>
            <w:shd w:val="clear" w:color="000000" w:fill="FFFFFF"/>
            <w:vAlign w:val="center"/>
          </w:tcPr>
          <w:p>
            <w:pPr>
              <w:spacing w:before="48" w:beforeLines="20" w:after="48" w:afterLines="20" w:line="0" w:lineRule="atLeast"/>
              <w:jc w:val="center"/>
              <w:rPr>
                <w:color w:val="auto"/>
                <w:sz w:val="18"/>
                <w:szCs w:val="18"/>
                <w:highlight w:val="none"/>
              </w:rPr>
            </w:pPr>
            <w:r>
              <w:rPr>
                <w:rFonts w:hint="eastAsia"/>
                <w:color w:val="auto"/>
                <w:sz w:val="18"/>
                <w:szCs w:val="18"/>
                <w:highlight w:val="none"/>
              </w:rPr>
              <w:t>压力传感器</w:t>
            </w:r>
          </w:p>
        </w:tc>
        <w:tc>
          <w:tcPr>
            <w:tcW w:w="492" w:type="pct"/>
            <w:shd w:val="clear" w:color="000000" w:fill="FFFFFF"/>
            <w:vAlign w:val="center"/>
          </w:tcPr>
          <w:p>
            <w:pPr>
              <w:spacing w:before="48" w:beforeLines="20" w:after="48" w:afterLines="20" w:line="0" w:lineRule="atLeast"/>
              <w:jc w:val="center"/>
              <w:rPr>
                <w:color w:val="auto"/>
                <w:sz w:val="18"/>
                <w:szCs w:val="18"/>
                <w:highlight w:val="none"/>
              </w:rPr>
            </w:pPr>
          </w:p>
        </w:tc>
        <w:tc>
          <w:tcPr>
            <w:tcW w:w="2482" w:type="pct"/>
            <w:shd w:val="clear" w:color="000000" w:fill="FFFFFF"/>
            <w:vAlign w:val="center"/>
          </w:tcPr>
          <w:p>
            <w:pPr>
              <w:spacing w:before="48" w:beforeLines="20" w:after="48" w:afterLines="20" w:line="0" w:lineRule="atLeast"/>
              <w:rPr>
                <w:color w:val="auto"/>
                <w:sz w:val="18"/>
                <w:szCs w:val="18"/>
                <w:highlight w:val="none"/>
              </w:rPr>
            </w:pPr>
            <w:r>
              <w:rPr>
                <w:rFonts w:hint="eastAsia"/>
                <w:color w:val="auto"/>
                <w:sz w:val="18"/>
                <w:szCs w:val="18"/>
                <w:highlight w:val="none"/>
              </w:rPr>
              <w:t>测量范围</w:t>
            </w:r>
            <w:r>
              <w:rPr>
                <w:color w:val="auto"/>
                <w:sz w:val="18"/>
                <w:szCs w:val="18"/>
                <w:highlight w:val="none"/>
              </w:rPr>
              <w:t>：0.16</w:t>
            </w:r>
            <w:r>
              <w:rPr>
                <w:rFonts w:hint="eastAsia"/>
                <w:color w:val="auto"/>
                <w:sz w:val="18"/>
                <w:szCs w:val="18"/>
                <w:highlight w:val="none"/>
              </w:rPr>
              <w:t>到16</w:t>
            </w:r>
            <w:r>
              <w:rPr>
                <w:color w:val="auto"/>
                <w:sz w:val="18"/>
                <w:szCs w:val="18"/>
                <w:highlight w:val="none"/>
              </w:rPr>
              <w:t xml:space="preserve">bar </w:t>
            </w:r>
            <w:r>
              <w:rPr>
                <w:rFonts w:hint="eastAsia"/>
                <w:color w:val="auto"/>
                <w:sz w:val="18"/>
                <w:szCs w:val="18"/>
                <w:highlight w:val="none"/>
              </w:rPr>
              <w:t>g</w:t>
            </w:r>
            <w:r>
              <w:rPr>
                <w:color w:val="auto"/>
                <w:sz w:val="18"/>
                <w:szCs w:val="18"/>
                <w:highlight w:val="none"/>
              </w:rPr>
              <w:t>；精度：0.075％F.S.；过载能力：50%</w:t>
            </w:r>
            <w:r>
              <w:rPr>
                <w:rFonts w:hint="eastAsia"/>
                <w:color w:val="auto"/>
                <w:sz w:val="18"/>
                <w:szCs w:val="18"/>
                <w:highlight w:val="none"/>
              </w:rPr>
              <w:t>；</w:t>
            </w:r>
            <w:r>
              <w:rPr>
                <w:color w:val="auto"/>
                <w:sz w:val="18"/>
                <w:szCs w:val="18"/>
                <w:highlight w:val="none"/>
              </w:rPr>
              <w:t>长期漂移：</w:t>
            </w:r>
            <w:r>
              <w:rPr>
                <w:rFonts w:hint="eastAsia"/>
                <w:color w:val="auto"/>
                <w:sz w:val="18"/>
                <w:szCs w:val="18"/>
                <w:highlight w:val="none"/>
              </w:rPr>
              <w:t>0.25</w:t>
            </w:r>
            <w:r>
              <w:rPr>
                <w:color w:val="auto"/>
                <w:sz w:val="18"/>
                <w:szCs w:val="18"/>
                <w:highlight w:val="none"/>
              </w:rPr>
              <w:t>％</w:t>
            </w:r>
            <w:r>
              <w:rPr>
                <w:rFonts w:hint="eastAsia"/>
                <w:color w:val="auto"/>
                <w:sz w:val="18"/>
                <w:szCs w:val="18"/>
                <w:highlight w:val="none"/>
              </w:rPr>
              <w:t>/5年</w:t>
            </w:r>
            <w:r>
              <w:rPr>
                <w:color w:val="auto"/>
                <w:sz w:val="18"/>
                <w:szCs w:val="18"/>
                <w:highlight w:val="none"/>
              </w:rPr>
              <w:t>。</w:t>
            </w:r>
            <w:r>
              <w:rPr>
                <w:rFonts w:hint="eastAsia"/>
                <w:color w:val="auto"/>
                <w:sz w:val="18"/>
                <w:szCs w:val="18"/>
                <w:highlight w:val="none"/>
              </w:rPr>
              <w:t>含</w:t>
            </w:r>
            <w:r>
              <w:rPr>
                <w:color w:val="auto"/>
                <w:sz w:val="18"/>
                <w:szCs w:val="18"/>
                <w:highlight w:val="none"/>
              </w:rPr>
              <w:t>数字显示表头。</w:t>
            </w:r>
          </w:p>
        </w:tc>
        <w:tc>
          <w:tcPr>
            <w:tcW w:w="437" w:type="pct"/>
            <w:shd w:val="clear" w:color="000000" w:fill="FFFFFF"/>
            <w:vAlign w:val="center"/>
          </w:tcPr>
          <w:p>
            <w:pPr>
              <w:spacing w:before="48" w:beforeLines="20" w:after="48" w:afterLines="20" w:line="0" w:lineRule="atLeast"/>
              <w:jc w:val="center"/>
              <w:rPr>
                <w:color w:val="auto"/>
                <w:sz w:val="18"/>
                <w:szCs w:val="18"/>
                <w:highlight w:val="none"/>
              </w:rPr>
            </w:pPr>
          </w:p>
        </w:tc>
        <w:tc>
          <w:tcPr>
            <w:tcW w:w="608"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rPr>
              <w:t>SIEMENS、</w:t>
            </w:r>
          </w:p>
          <w:p>
            <w:pPr>
              <w:autoSpaceDE w:val="0"/>
              <w:autoSpaceDN w:val="0"/>
              <w:adjustRightInd w:val="0"/>
              <w:snapToGrid w:val="0"/>
              <w:jc w:val="center"/>
              <w:textAlignment w:val="baseline"/>
              <w:rPr>
                <w:color w:val="auto"/>
                <w:sz w:val="18"/>
                <w:szCs w:val="18"/>
                <w:highlight w:val="none"/>
                <w:lang w:val="zh-CN"/>
              </w:rPr>
            </w:pPr>
            <w:r>
              <w:rPr>
                <w:color w:val="auto"/>
                <w:sz w:val="18"/>
                <w:szCs w:val="18"/>
                <w:highlight w:val="none"/>
                <w:lang w:val="zh-CN"/>
              </w:rPr>
              <w:t>麦克传感器、</w:t>
            </w:r>
          </w:p>
          <w:p>
            <w:pPr>
              <w:spacing w:before="48" w:beforeLines="20" w:after="48" w:afterLines="20" w:line="0" w:lineRule="atLeast"/>
              <w:jc w:val="center"/>
              <w:rPr>
                <w:color w:val="auto"/>
                <w:sz w:val="18"/>
                <w:szCs w:val="18"/>
                <w:highlight w:val="none"/>
              </w:rPr>
            </w:pPr>
            <w:r>
              <w:rPr>
                <w:color w:val="auto"/>
                <w:sz w:val="18"/>
                <w:szCs w:val="18"/>
                <w:highlight w:val="none"/>
                <w:lang w:val="zh-CN"/>
              </w:rPr>
              <w:t>罗斯蒙特</w:t>
            </w:r>
          </w:p>
        </w:tc>
      </w:tr>
    </w:tbl>
    <w:p>
      <w:pPr>
        <w:autoSpaceDE w:val="0"/>
        <w:autoSpaceDN w:val="0"/>
        <w:adjustRightInd w:val="0"/>
        <w:snapToGrid w:val="0"/>
        <w:ind w:left="630" w:hanging="630" w:hangingChars="300"/>
        <w:jc w:val="left"/>
        <w:textAlignment w:val="baseline"/>
        <w:rPr>
          <w:color w:val="auto"/>
          <w:kern w:val="0"/>
          <w:szCs w:val="21"/>
          <w:highlight w:val="none"/>
          <w:lang w:val="zh-CN"/>
        </w:rPr>
      </w:pPr>
      <w:r>
        <w:rPr>
          <w:rFonts w:hint="eastAsia"/>
          <w:color w:val="auto"/>
          <w:kern w:val="0"/>
          <w:szCs w:val="21"/>
          <w:highlight w:val="none"/>
          <w:lang w:val="zh-CN"/>
        </w:rPr>
        <w:t>注：①本表推荐品牌仅为参考，投标单位可选用不低于推荐品牌质量的其他品牌。在施工阶段，甲方会同设计、监理从乙方报价品牌和本表推荐品牌中选定任一品牌，乙方不得因此要求变更报价。</w:t>
      </w:r>
    </w:p>
    <w:p>
      <w:pPr>
        <w:autoSpaceDE w:val="0"/>
        <w:autoSpaceDN w:val="0"/>
        <w:adjustRightInd w:val="0"/>
        <w:snapToGrid w:val="0"/>
        <w:ind w:left="630" w:leftChars="200" w:hanging="210" w:hangingChars="100"/>
        <w:jc w:val="left"/>
        <w:textAlignment w:val="baseline"/>
        <w:rPr>
          <w:color w:val="auto"/>
          <w:kern w:val="0"/>
          <w:szCs w:val="21"/>
          <w:highlight w:val="none"/>
          <w:lang w:val="zh-CN"/>
        </w:rPr>
      </w:pPr>
      <w:r>
        <w:rPr>
          <w:rFonts w:hint="eastAsia"/>
          <w:color w:val="auto"/>
          <w:kern w:val="0"/>
          <w:szCs w:val="21"/>
          <w:highlight w:val="none"/>
          <w:lang w:val="zh-CN"/>
        </w:rPr>
        <w:t>②“苏州</w:t>
      </w:r>
      <w:r>
        <w:rPr>
          <w:color w:val="auto"/>
          <w:kern w:val="0"/>
          <w:szCs w:val="21"/>
          <w:highlight w:val="none"/>
          <w:lang w:val="zh-CN"/>
        </w:rPr>
        <w:t>南智</w:t>
      </w:r>
      <w:r>
        <w:rPr>
          <w:rFonts w:hint="eastAsia"/>
          <w:color w:val="auto"/>
          <w:kern w:val="0"/>
          <w:szCs w:val="21"/>
          <w:highlight w:val="none"/>
          <w:lang w:val="zh-CN"/>
        </w:rPr>
        <w:t>传感”全称是苏州南智传感科技有限公司；“</w:t>
      </w:r>
      <w:r>
        <w:rPr>
          <w:color w:val="auto"/>
          <w:kern w:val="0"/>
          <w:szCs w:val="21"/>
          <w:highlight w:val="none"/>
          <w:lang w:val="zh-CN"/>
        </w:rPr>
        <w:t>北京基</w:t>
      </w:r>
      <w:r>
        <w:rPr>
          <w:rFonts w:hint="eastAsia"/>
          <w:color w:val="auto"/>
          <w:kern w:val="0"/>
          <w:szCs w:val="21"/>
          <w:highlight w:val="none"/>
          <w:lang w:val="zh-CN"/>
        </w:rPr>
        <w:t>康”全称基康仪器股份有限公司；“南京</w:t>
      </w:r>
      <w:r>
        <w:rPr>
          <w:color w:val="auto"/>
          <w:kern w:val="0"/>
          <w:szCs w:val="21"/>
          <w:highlight w:val="none"/>
          <w:lang w:val="zh-CN"/>
        </w:rPr>
        <w:t>南瑞</w:t>
      </w:r>
      <w:r>
        <w:rPr>
          <w:rFonts w:hint="eastAsia"/>
          <w:color w:val="auto"/>
          <w:kern w:val="0"/>
          <w:szCs w:val="21"/>
          <w:highlight w:val="none"/>
          <w:lang w:val="zh-CN"/>
        </w:rPr>
        <w:t>”全称南瑞集团公司；“</w:t>
      </w:r>
      <w:r>
        <w:rPr>
          <w:rFonts w:hint="eastAsia" w:ascii="宋体" w:hAnsi="宋体" w:cs="宋体"/>
          <w:color w:val="auto"/>
          <w:szCs w:val="21"/>
          <w:highlight w:val="none"/>
        </w:rPr>
        <w:t>南京水文所</w:t>
      </w:r>
      <w:r>
        <w:rPr>
          <w:rFonts w:hint="eastAsia"/>
          <w:color w:val="auto"/>
          <w:kern w:val="0"/>
          <w:szCs w:val="21"/>
          <w:highlight w:val="none"/>
          <w:lang w:val="zh-CN"/>
        </w:rPr>
        <w:t>”全称水利部南京水利水文自动化研究所；“麦克</w:t>
      </w:r>
      <w:r>
        <w:rPr>
          <w:color w:val="auto"/>
          <w:kern w:val="0"/>
          <w:szCs w:val="21"/>
          <w:highlight w:val="none"/>
          <w:lang w:val="zh-CN"/>
        </w:rPr>
        <w:t>传感器</w:t>
      </w:r>
      <w:r>
        <w:rPr>
          <w:rFonts w:hint="eastAsia"/>
          <w:color w:val="auto"/>
          <w:kern w:val="0"/>
          <w:szCs w:val="21"/>
          <w:highlight w:val="none"/>
          <w:lang w:val="zh-CN"/>
        </w:rPr>
        <w:t>”全称麦克</w:t>
      </w:r>
      <w:r>
        <w:rPr>
          <w:color w:val="auto"/>
          <w:kern w:val="0"/>
          <w:szCs w:val="21"/>
          <w:highlight w:val="none"/>
          <w:lang w:val="zh-CN"/>
        </w:rPr>
        <w:t>传感器</w:t>
      </w:r>
      <w:r>
        <w:rPr>
          <w:rFonts w:hint="eastAsia"/>
          <w:color w:val="auto"/>
          <w:kern w:val="0"/>
          <w:szCs w:val="21"/>
          <w:highlight w:val="none"/>
          <w:lang w:val="zh-CN"/>
        </w:rPr>
        <w:t>股份</w:t>
      </w:r>
      <w:r>
        <w:rPr>
          <w:color w:val="auto"/>
          <w:kern w:val="0"/>
          <w:szCs w:val="21"/>
          <w:highlight w:val="none"/>
          <w:lang w:val="zh-CN"/>
        </w:rPr>
        <w:t>有限公司</w:t>
      </w:r>
      <w:r>
        <w:rPr>
          <w:rFonts w:hint="eastAsia"/>
          <w:color w:val="auto"/>
          <w:kern w:val="0"/>
          <w:szCs w:val="21"/>
          <w:highlight w:val="none"/>
          <w:lang w:val="zh-CN"/>
        </w:rPr>
        <w:t>。</w:t>
      </w:r>
    </w:p>
    <w:p>
      <w:pPr>
        <w:autoSpaceDE w:val="0"/>
        <w:autoSpaceDN w:val="0"/>
        <w:adjustRightInd w:val="0"/>
        <w:snapToGrid w:val="0"/>
        <w:ind w:left="630" w:leftChars="200" w:hanging="210" w:hangingChars="100"/>
        <w:jc w:val="left"/>
        <w:textAlignment w:val="baseline"/>
        <w:rPr>
          <w:color w:val="auto"/>
          <w:kern w:val="0"/>
          <w:szCs w:val="21"/>
          <w:highlight w:val="none"/>
          <w:lang w:val="zh-CN"/>
        </w:rPr>
      </w:pPr>
      <w:r>
        <w:rPr>
          <w:rFonts w:hint="eastAsia"/>
          <w:color w:val="auto"/>
          <w:kern w:val="0"/>
          <w:szCs w:val="21"/>
          <w:highlight w:val="none"/>
          <w:lang w:val="zh-CN"/>
        </w:rPr>
        <w:t>③仪器</w:t>
      </w:r>
      <w:r>
        <w:rPr>
          <w:color w:val="auto"/>
          <w:kern w:val="0"/>
          <w:szCs w:val="21"/>
          <w:highlight w:val="none"/>
          <w:lang w:val="zh-CN"/>
        </w:rPr>
        <w:t>的</w:t>
      </w:r>
      <w:r>
        <w:rPr>
          <w:rFonts w:hint="eastAsia"/>
          <w:color w:val="auto"/>
          <w:kern w:val="0"/>
          <w:szCs w:val="21"/>
          <w:highlight w:val="none"/>
          <w:lang w:val="zh-CN"/>
        </w:rPr>
        <w:t>标准</w:t>
      </w:r>
      <w:r>
        <w:rPr>
          <w:color w:val="auto"/>
          <w:kern w:val="0"/>
          <w:szCs w:val="21"/>
          <w:highlight w:val="none"/>
          <w:lang w:val="zh-CN"/>
        </w:rPr>
        <w:t>量程范围根据施工图调整。</w:t>
      </w:r>
    </w:p>
    <w:p>
      <w:pPr>
        <w:autoSpaceDE w:val="0"/>
        <w:autoSpaceDN w:val="0"/>
        <w:adjustRightInd w:val="0"/>
        <w:snapToGrid w:val="0"/>
        <w:ind w:left="630" w:leftChars="200" w:hanging="210" w:hangingChars="100"/>
        <w:jc w:val="left"/>
        <w:textAlignment w:val="baseline"/>
        <w:rPr>
          <w:color w:val="auto"/>
          <w:kern w:val="0"/>
          <w:szCs w:val="21"/>
          <w:highlight w:val="none"/>
          <w:lang w:val="zh-CN"/>
        </w:rPr>
      </w:pPr>
    </w:p>
    <w:p>
      <w:pPr>
        <w:adjustRightInd w:val="0"/>
        <w:textAlignment w:val="baseline"/>
        <w:rPr>
          <w:rFonts w:eastAsia="黑体"/>
          <w:bCs/>
          <w:color w:val="auto"/>
          <w:kern w:val="0"/>
          <w:sz w:val="24"/>
          <w:highlight w:val="none"/>
          <w:lang w:val="en-GB"/>
        </w:rPr>
      </w:pPr>
    </w:p>
    <w:p>
      <w:pPr>
        <w:adjustRightInd w:val="0"/>
        <w:jc w:val="center"/>
        <w:textAlignment w:val="baseline"/>
        <w:rPr>
          <w:rFonts w:eastAsia="黑体"/>
          <w:bCs/>
          <w:color w:val="auto"/>
          <w:kern w:val="0"/>
          <w:sz w:val="24"/>
          <w:highlight w:val="none"/>
          <w:lang w:val="en-GB"/>
        </w:rPr>
      </w:pPr>
      <w:r>
        <w:rPr>
          <w:rFonts w:eastAsia="黑体"/>
          <w:bCs/>
          <w:color w:val="auto"/>
          <w:kern w:val="0"/>
          <w:sz w:val="24"/>
          <w:highlight w:val="none"/>
          <w:lang w:val="en-GB"/>
        </w:rPr>
        <w:t>表2-3   水闸监测仪器设备技术指标表</w:t>
      </w:r>
    </w:p>
    <w:tbl>
      <w:tblPr>
        <w:tblStyle w:val="8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4" w:type="dxa"/>
          <w:bottom w:w="0" w:type="dxa"/>
          <w:right w:w="24" w:type="dxa"/>
        </w:tblCellMar>
      </w:tblPr>
      <w:tblGrid>
        <w:gridCol w:w="543"/>
        <w:gridCol w:w="1167"/>
        <w:gridCol w:w="833"/>
        <w:gridCol w:w="3838"/>
        <w:gridCol w:w="774"/>
        <w:gridCol w:w="1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tblHeader/>
          <w:jc w:val="center"/>
        </w:trPr>
        <w:tc>
          <w:tcPr>
            <w:tcW w:w="324" w:type="pct"/>
            <w:shd w:val="clear" w:color="000000" w:fill="FFFFFF"/>
            <w:vAlign w:val="center"/>
          </w:tcPr>
          <w:p>
            <w:pPr>
              <w:jc w:val="center"/>
              <w:rPr>
                <w:rFonts w:eastAsiaTheme="minorEastAsia"/>
                <w:color w:val="auto"/>
                <w:sz w:val="18"/>
                <w:szCs w:val="18"/>
                <w:highlight w:val="none"/>
              </w:rPr>
            </w:pPr>
            <w:r>
              <w:rPr>
                <w:rFonts w:eastAsiaTheme="minorEastAsia"/>
                <w:color w:val="auto"/>
                <w:sz w:val="18"/>
                <w:szCs w:val="18"/>
                <w:highlight w:val="none"/>
              </w:rPr>
              <w:t>序号</w:t>
            </w:r>
          </w:p>
        </w:tc>
        <w:tc>
          <w:tcPr>
            <w:tcW w:w="696" w:type="pct"/>
            <w:shd w:val="clear" w:color="000000" w:fill="FFFFFF"/>
            <w:vAlign w:val="center"/>
          </w:tcPr>
          <w:p>
            <w:pPr>
              <w:jc w:val="center"/>
              <w:rPr>
                <w:rFonts w:eastAsiaTheme="minorEastAsia"/>
                <w:color w:val="auto"/>
                <w:sz w:val="18"/>
                <w:szCs w:val="18"/>
                <w:highlight w:val="none"/>
              </w:rPr>
            </w:pPr>
            <w:r>
              <w:rPr>
                <w:rFonts w:eastAsiaTheme="minorEastAsia"/>
                <w:color w:val="auto"/>
                <w:sz w:val="18"/>
                <w:szCs w:val="18"/>
                <w:highlight w:val="none"/>
              </w:rPr>
              <w:t>名称</w:t>
            </w:r>
          </w:p>
        </w:tc>
        <w:tc>
          <w:tcPr>
            <w:tcW w:w="497" w:type="pct"/>
            <w:shd w:val="clear" w:color="000000" w:fill="FFFFFF"/>
            <w:vAlign w:val="center"/>
          </w:tcPr>
          <w:p>
            <w:pPr>
              <w:jc w:val="center"/>
              <w:rPr>
                <w:rFonts w:eastAsiaTheme="minorEastAsia"/>
                <w:color w:val="auto"/>
                <w:sz w:val="18"/>
                <w:szCs w:val="18"/>
                <w:highlight w:val="none"/>
              </w:rPr>
            </w:pPr>
            <w:r>
              <w:rPr>
                <w:rFonts w:eastAsiaTheme="minorEastAsia"/>
                <w:color w:val="auto"/>
                <w:sz w:val="18"/>
                <w:szCs w:val="18"/>
                <w:highlight w:val="none"/>
              </w:rPr>
              <w:t>建议</w:t>
            </w:r>
          </w:p>
          <w:p>
            <w:pPr>
              <w:jc w:val="center"/>
              <w:rPr>
                <w:rFonts w:eastAsiaTheme="minorEastAsia"/>
                <w:color w:val="auto"/>
                <w:sz w:val="18"/>
                <w:szCs w:val="18"/>
                <w:highlight w:val="none"/>
              </w:rPr>
            </w:pPr>
            <w:r>
              <w:rPr>
                <w:rFonts w:eastAsiaTheme="minorEastAsia"/>
                <w:color w:val="auto"/>
                <w:sz w:val="18"/>
                <w:szCs w:val="18"/>
                <w:highlight w:val="none"/>
              </w:rPr>
              <w:t>类型</w:t>
            </w:r>
          </w:p>
        </w:tc>
        <w:tc>
          <w:tcPr>
            <w:tcW w:w="2290" w:type="pct"/>
            <w:shd w:val="clear" w:color="000000" w:fill="FFFFFF"/>
            <w:vAlign w:val="center"/>
          </w:tcPr>
          <w:p>
            <w:pPr>
              <w:jc w:val="center"/>
              <w:rPr>
                <w:rFonts w:eastAsiaTheme="minorEastAsia"/>
                <w:color w:val="auto"/>
                <w:sz w:val="18"/>
                <w:szCs w:val="18"/>
                <w:highlight w:val="none"/>
              </w:rPr>
            </w:pPr>
            <w:r>
              <w:rPr>
                <w:rFonts w:eastAsiaTheme="minorEastAsia"/>
                <w:color w:val="auto"/>
                <w:sz w:val="18"/>
                <w:szCs w:val="18"/>
                <w:highlight w:val="none"/>
              </w:rPr>
              <w:t>主要技术指标</w:t>
            </w:r>
          </w:p>
        </w:tc>
        <w:tc>
          <w:tcPr>
            <w:tcW w:w="462" w:type="pct"/>
            <w:shd w:val="clear" w:color="000000" w:fill="FFFFFF"/>
            <w:vAlign w:val="center"/>
          </w:tcPr>
          <w:p>
            <w:pPr>
              <w:jc w:val="center"/>
              <w:rPr>
                <w:rFonts w:eastAsiaTheme="minorEastAsia"/>
                <w:color w:val="auto"/>
                <w:sz w:val="18"/>
                <w:szCs w:val="18"/>
                <w:highlight w:val="none"/>
              </w:rPr>
            </w:pPr>
            <w:r>
              <w:rPr>
                <w:rFonts w:eastAsiaTheme="minorEastAsia"/>
                <w:color w:val="auto"/>
                <w:sz w:val="18"/>
                <w:szCs w:val="18"/>
                <w:highlight w:val="none"/>
              </w:rPr>
              <w:t>备注</w:t>
            </w:r>
          </w:p>
        </w:tc>
        <w:tc>
          <w:tcPr>
            <w:tcW w:w="730" w:type="pct"/>
            <w:shd w:val="clear" w:color="000000" w:fill="FFFFFF"/>
            <w:vAlign w:val="center"/>
          </w:tcPr>
          <w:p>
            <w:pPr>
              <w:jc w:val="center"/>
              <w:rPr>
                <w:rFonts w:eastAsiaTheme="minorEastAsia"/>
                <w:color w:val="auto"/>
                <w:sz w:val="18"/>
                <w:szCs w:val="18"/>
                <w:highlight w:val="none"/>
              </w:rPr>
            </w:pPr>
            <w:r>
              <w:rPr>
                <w:rFonts w:eastAsiaTheme="minorEastAsia"/>
                <w:color w:val="auto"/>
                <w:kern w:val="0"/>
                <w:sz w:val="18"/>
                <w:szCs w:val="18"/>
                <w:highlight w:val="none"/>
                <w:lang w:val="zh-CN"/>
              </w:rPr>
              <w:t>推荐或相当于以下品牌产品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418" w:hRule="atLeast"/>
          <w:jc w:val="center"/>
        </w:trPr>
        <w:tc>
          <w:tcPr>
            <w:tcW w:w="324" w:type="pct"/>
            <w:shd w:val="clear" w:color="000000" w:fill="FFFFFF"/>
            <w:vAlign w:val="center"/>
          </w:tcPr>
          <w:p>
            <w:pPr>
              <w:jc w:val="center"/>
              <w:rPr>
                <w:rFonts w:eastAsiaTheme="minorEastAsia"/>
                <w:color w:val="auto"/>
                <w:sz w:val="18"/>
                <w:szCs w:val="18"/>
                <w:highlight w:val="none"/>
              </w:rPr>
            </w:pPr>
            <w:r>
              <w:rPr>
                <w:rFonts w:eastAsiaTheme="minorEastAsia"/>
                <w:color w:val="auto"/>
                <w:sz w:val="18"/>
                <w:szCs w:val="18"/>
                <w:highlight w:val="none"/>
              </w:rPr>
              <w:t>1</w:t>
            </w:r>
          </w:p>
        </w:tc>
        <w:tc>
          <w:tcPr>
            <w:tcW w:w="696"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r>
              <w:rPr>
                <w:rFonts w:eastAsiaTheme="minorEastAsia"/>
                <w:color w:val="auto"/>
                <w:sz w:val="18"/>
                <w:szCs w:val="18"/>
                <w:highlight w:val="none"/>
              </w:rPr>
              <w:t>强制对中</w:t>
            </w:r>
            <w:r>
              <w:rPr>
                <w:rFonts w:hint="eastAsia" w:eastAsiaTheme="minorEastAsia"/>
                <w:color w:val="auto"/>
                <w:sz w:val="18"/>
                <w:szCs w:val="18"/>
                <w:highlight w:val="none"/>
              </w:rPr>
              <w:t>基</w:t>
            </w:r>
            <w:r>
              <w:rPr>
                <w:rFonts w:eastAsiaTheme="minorEastAsia"/>
                <w:color w:val="auto"/>
                <w:sz w:val="18"/>
                <w:szCs w:val="18"/>
                <w:highlight w:val="none"/>
              </w:rPr>
              <w:t>盘</w:t>
            </w:r>
          </w:p>
        </w:tc>
        <w:tc>
          <w:tcPr>
            <w:tcW w:w="497"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p>
        </w:tc>
        <w:tc>
          <w:tcPr>
            <w:tcW w:w="2290" w:type="pct"/>
            <w:shd w:val="clear" w:color="000000" w:fill="FFFFFF"/>
            <w:vAlign w:val="center"/>
          </w:tcPr>
          <w:p>
            <w:pPr>
              <w:spacing w:before="48" w:beforeLines="20" w:after="48" w:afterLines="20" w:line="0" w:lineRule="atLeast"/>
              <w:rPr>
                <w:rFonts w:eastAsiaTheme="minorEastAsia"/>
                <w:color w:val="auto"/>
                <w:sz w:val="18"/>
                <w:szCs w:val="18"/>
                <w:highlight w:val="none"/>
              </w:rPr>
            </w:pPr>
            <w:r>
              <w:rPr>
                <w:rFonts w:eastAsiaTheme="minorEastAsia"/>
                <w:color w:val="auto"/>
                <w:sz w:val="18"/>
                <w:szCs w:val="18"/>
                <w:highlight w:val="none"/>
              </w:rPr>
              <w:t>对中精度大于0.1mm，外设保护盖。</w:t>
            </w:r>
          </w:p>
        </w:tc>
        <w:tc>
          <w:tcPr>
            <w:tcW w:w="462" w:type="pct"/>
            <w:shd w:val="clear" w:color="000000" w:fill="FFFFFF"/>
            <w:vAlign w:val="center"/>
          </w:tcPr>
          <w:p>
            <w:pPr>
              <w:pStyle w:val="740"/>
              <w:spacing w:line="240" w:lineRule="auto"/>
              <w:ind w:firstLine="0" w:firstLineChars="0"/>
              <w:jc w:val="center"/>
              <w:rPr>
                <w:rFonts w:ascii="Times New Roman" w:hAnsi="Times New Roman" w:eastAsiaTheme="minorEastAsia"/>
                <w:color w:val="auto"/>
                <w:sz w:val="18"/>
                <w:szCs w:val="18"/>
                <w:highlight w:val="none"/>
              </w:rPr>
            </w:pPr>
            <w:r>
              <w:rPr>
                <w:rFonts w:ascii="Times New Roman" w:hAnsi="Times New Roman" w:eastAsiaTheme="minorEastAsia"/>
                <w:color w:val="auto"/>
                <w:sz w:val="18"/>
                <w:szCs w:val="18"/>
                <w:highlight w:val="none"/>
              </w:rPr>
              <w:t>定制</w:t>
            </w:r>
          </w:p>
        </w:tc>
        <w:tc>
          <w:tcPr>
            <w:tcW w:w="730" w:type="pct"/>
            <w:shd w:val="clear" w:color="000000" w:fill="FFFFFF"/>
            <w:vAlign w:val="center"/>
          </w:tcPr>
          <w:p>
            <w:pPr>
              <w:pStyle w:val="740"/>
              <w:spacing w:line="240" w:lineRule="auto"/>
              <w:ind w:firstLine="0" w:firstLineChars="0"/>
              <w:jc w:val="center"/>
              <w:rPr>
                <w:rFonts w:ascii="Times New Roman" w:hAnsi="Times New Roman" w:eastAsiaTheme="minorEastAsia"/>
                <w:color w:val="auto"/>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24" w:type="pct"/>
            <w:shd w:val="clear" w:color="000000" w:fill="FFFFFF"/>
            <w:vAlign w:val="center"/>
          </w:tcPr>
          <w:p>
            <w:pPr>
              <w:jc w:val="center"/>
              <w:rPr>
                <w:rFonts w:eastAsiaTheme="minorEastAsia"/>
                <w:color w:val="auto"/>
                <w:sz w:val="18"/>
                <w:szCs w:val="18"/>
                <w:highlight w:val="none"/>
              </w:rPr>
            </w:pPr>
            <w:r>
              <w:rPr>
                <w:rFonts w:eastAsiaTheme="minorEastAsia"/>
                <w:color w:val="auto"/>
                <w:sz w:val="18"/>
                <w:szCs w:val="18"/>
                <w:highlight w:val="none"/>
              </w:rPr>
              <w:t>2</w:t>
            </w:r>
          </w:p>
        </w:tc>
        <w:tc>
          <w:tcPr>
            <w:tcW w:w="696"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r>
              <w:rPr>
                <w:rFonts w:eastAsiaTheme="minorEastAsia"/>
                <w:color w:val="auto"/>
                <w:sz w:val="18"/>
                <w:szCs w:val="18"/>
                <w:highlight w:val="none"/>
              </w:rPr>
              <w:t>水准标点</w:t>
            </w:r>
          </w:p>
        </w:tc>
        <w:tc>
          <w:tcPr>
            <w:tcW w:w="497"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p>
        </w:tc>
        <w:tc>
          <w:tcPr>
            <w:tcW w:w="2290" w:type="pct"/>
            <w:shd w:val="clear" w:color="000000" w:fill="FFFFFF"/>
            <w:vAlign w:val="center"/>
          </w:tcPr>
          <w:p>
            <w:pPr>
              <w:spacing w:before="48" w:beforeLines="20" w:after="48" w:afterLines="20" w:line="0" w:lineRule="atLeast"/>
              <w:rPr>
                <w:rFonts w:eastAsiaTheme="minorEastAsia"/>
                <w:color w:val="auto"/>
                <w:sz w:val="18"/>
                <w:szCs w:val="18"/>
                <w:highlight w:val="none"/>
              </w:rPr>
            </w:pPr>
            <w:r>
              <w:rPr>
                <w:rFonts w:eastAsiaTheme="minorEastAsia"/>
                <w:color w:val="auto"/>
                <w:sz w:val="18"/>
                <w:szCs w:val="18"/>
                <w:highlight w:val="none"/>
              </w:rPr>
              <w:t>不锈钢，外设保护盖。</w:t>
            </w:r>
          </w:p>
        </w:tc>
        <w:tc>
          <w:tcPr>
            <w:tcW w:w="462" w:type="pct"/>
            <w:shd w:val="clear" w:color="000000" w:fill="FFFFFF"/>
            <w:vAlign w:val="center"/>
          </w:tcPr>
          <w:p>
            <w:pPr>
              <w:pStyle w:val="740"/>
              <w:spacing w:line="240" w:lineRule="auto"/>
              <w:ind w:firstLine="0" w:firstLineChars="0"/>
              <w:jc w:val="center"/>
              <w:rPr>
                <w:rFonts w:ascii="Times New Roman" w:hAnsi="Times New Roman" w:eastAsiaTheme="minorEastAsia"/>
                <w:color w:val="auto"/>
                <w:sz w:val="18"/>
                <w:szCs w:val="18"/>
                <w:highlight w:val="none"/>
              </w:rPr>
            </w:pPr>
            <w:r>
              <w:rPr>
                <w:rFonts w:ascii="Times New Roman" w:hAnsi="Times New Roman" w:eastAsiaTheme="minorEastAsia"/>
                <w:color w:val="auto"/>
                <w:sz w:val="18"/>
                <w:szCs w:val="18"/>
                <w:highlight w:val="none"/>
              </w:rPr>
              <w:t>定制</w:t>
            </w:r>
          </w:p>
        </w:tc>
        <w:tc>
          <w:tcPr>
            <w:tcW w:w="730" w:type="pct"/>
            <w:shd w:val="clear" w:color="000000" w:fill="FFFFFF"/>
            <w:vAlign w:val="center"/>
          </w:tcPr>
          <w:p>
            <w:pPr>
              <w:pStyle w:val="740"/>
              <w:spacing w:line="240" w:lineRule="auto"/>
              <w:ind w:firstLine="0" w:firstLineChars="0"/>
              <w:jc w:val="center"/>
              <w:rPr>
                <w:rFonts w:ascii="Times New Roman" w:hAnsi="Times New Roman" w:eastAsiaTheme="minorEastAsia"/>
                <w:color w:val="auto"/>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24" w:type="pct"/>
            <w:shd w:val="clear" w:color="000000" w:fill="FFFFFF"/>
            <w:vAlign w:val="center"/>
          </w:tcPr>
          <w:p>
            <w:pPr>
              <w:jc w:val="center"/>
              <w:rPr>
                <w:rFonts w:eastAsiaTheme="minorEastAsia"/>
                <w:color w:val="auto"/>
                <w:sz w:val="18"/>
                <w:szCs w:val="18"/>
                <w:highlight w:val="none"/>
              </w:rPr>
            </w:pPr>
            <w:r>
              <w:rPr>
                <w:rFonts w:eastAsiaTheme="minorEastAsia"/>
                <w:color w:val="auto"/>
                <w:sz w:val="18"/>
                <w:szCs w:val="18"/>
                <w:highlight w:val="none"/>
              </w:rPr>
              <w:t>3</w:t>
            </w:r>
          </w:p>
        </w:tc>
        <w:tc>
          <w:tcPr>
            <w:tcW w:w="696"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r>
              <w:rPr>
                <w:rFonts w:eastAsiaTheme="minorEastAsia"/>
                <w:color w:val="auto"/>
                <w:sz w:val="18"/>
                <w:szCs w:val="18"/>
                <w:highlight w:val="none"/>
              </w:rPr>
              <w:t>沉降标</w:t>
            </w:r>
          </w:p>
        </w:tc>
        <w:tc>
          <w:tcPr>
            <w:tcW w:w="497"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p>
        </w:tc>
        <w:tc>
          <w:tcPr>
            <w:tcW w:w="2290" w:type="pct"/>
            <w:shd w:val="clear" w:color="000000" w:fill="FFFFFF"/>
            <w:vAlign w:val="center"/>
          </w:tcPr>
          <w:p>
            <w:pPr>
              <w:spacing w:before="48" w:beforeLines="20" w:after="48" w:afterLines="20" w:line="0" w:lineRule="atLeast"/>
              <w:rPr>
                <w:rFonts w:eastAsiaTheme="minorEastAsia"/>
                <w:color w:val="auto"/>
                <w:sz w:val="18"/>
                <w:szCs w:val="18"/>
                <w:highlight w:val="none"/>
              </w:rPr>
            </w:pPr>
            <w:r>
              <w:rPr>
                <w:rFonts w:eastAsiaTheme="minorEastAsia"/>
                <w:color w:val="auto"/>
                <w:sz w:val="18"/>
                <w:szCs w:val="18"/>
                <w:highlight w:val="none"/>
              </w:rPr>
              <w:t>底板尺寸为500mm×500mm，厚度为5mm，标杆为钢管，采用丝扣连接，外设保护盖。</w:t>
            </w:r>
          </w:p>
        </w:tc>
        <w:tc>
          <w:tcPr>
            <w:tcW w:w="462" w:type="pct"/>
            <w:shd w:val="clear" w:color="000000" w:fill="FFFFFF"/>
            <w:vAlign w:val="center"/>
          </w:tcPr>
          <w:p>
            <w:pPr>
              <w:pStyle w:val="740"/>
              <w:spacing w:line="240" w:lineRule="auto"/>
              <w:ind w:firstLine="0" w:firstLineChars="0"/>
              <w:jc w:val="center"/>
              <w:rPr>
                <w:rFonts w:ascii="Times New Roman" w:hAnsi="Times New Roman" w:eastAsiaTheme="minorEastAsia"/>
                <w:color w:val="auto"/>
                <w:sz w:val="18"/>
                <w:szCs w:val="18"/>
                <w:highlight w:val="none"/>
              </w:rPr>
            </w:pPr>
            <w:r>
              <w:rPr>
                <w:rFonts w:ascii="Times New Roman" w:hAnsi="Times New Roman" w:eastAsiaTheme="minorEastAsia"/>
                <w:color w:val="auto"/>
                <w:sz w:val="18"/>
                <w:szCs w:val="18"/>
                <w:highlight w:val="none"/>
              </w:rPr>
              <w:t>定制</w:t>
            </w:r>
          </w:p>
        </w:tc>
        <w:tc>
          <w:tcPr>
            <w:tcW w:w="730" w:type="pct"/>
            <w:shd w:val="clear" w:color="000000" w:fill="FFFFFF"/>
            <w:vAlign w:val="center"/>
          </w:tcPr>
          <w:p>
            <w:pPr>
              <w:pStyle w:val="740"/>
              <w:spacing w:line="240" w:lineRule="auto"/>
              <w:ind w:firstLine="0" w:firstLineChars="0"/>
              <w:jc w:val="center"/>
              <w:rPr>
                <w:rFonts w:ascii="Times New Roman" w:hAnsi="Times New Roman" w:eastAsiaTheme="minorEastAsia"/>
                <w:color w:val="auto"/>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24" w:type="pct"/>
            <w:shd w:val="clear" w:color="000000" w:fill="FFFFFF"/>
            <w:vAlign w:val="center"/>
          </w:tcPr>
          <w:p>
            <w:pPr>
              <w:autoSpaceDE w:val="0"/>
              <w:autoSpaceDN w:val="0"/>
              <w:adjustRightInd w:val="0"/>
              <w:snapToGrid w:val="0"/>
              <w:jc w:val="center"/>
              <w:textAlignment w:val="baseline"/>
              <w:rPr>
                <w:rFonts w:eastAsiaTheme="minorEastAsia"/>
                <w:color w:val="auto"/>
                <w:kern w:val="0"/>
                <w:sz w:val="18"/>
                <w:szCs w:val="18"/>
                <w:highlight w:val="none"/>
                <w:lang w:val="zh-CN"/>
              </w:rPr>
            </w:pPr>
            <w:r>
              <w:rPr>
                <w:rFonts w:eastAsiaTheme="minorEastAsia"/>
                <w:color w:val="auto"/>
                <w:kern w:val="0"/>
                <w:sz w:val="18"/>
                <w:szCs w:val="18"/>
                <w:highlight w:val="none"/>
              </w:rPr>
              <w:t>4</w:t>
            </w:r>
          </w:p>
        </w:tc>
        <w:tc>
          <w:tcPr>
            <w:tcW w:w="696"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r>
              <w:rPr>
                <w:rFonts w:eastAsiaTheme="minorEastAsia"/>
                <w:color w:val="auto"/>
                <w:sz w:val="18"/>
                <w:szCs w:val="18"/>
                <w:highlight w:val="none"/>
              </w:rPr>
              <w:t>测斜管</w:t>
            </w:r>
          </w:p>
        </w:tc>
        <w:tc>
          <w:tcPr>
            <w:tcW w:w="497"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p>
        </w:tc>
        <w:tc>
          <w:tcPr>
            <w:tcW w:w="2290" w:type="pct"/>
            <w:shd w:val="clear" w:color="000000" w:fill="FFFFFF"/>
            <w:vAlign w:val="center"/>
          </w:tcPr>
          <w:p>
            <w:pPr>
              <w:spacing w:before="48" w:beforeLines="20" w:after="48" w:afterLines="20" w:line="0" w:lineRule="atLeast"/>
              <w:rPr>
                <w:rFonts w:eastAsiaTheme="minorEastAsia"/>
                <w:color w:val="auto"/>
                <w:sz w:val="18"/>
                <w:szCs w:val="18"/>
                <w:highlight w:val="none"/>
              </w:rPr>
            </w:pPr>
            <w:r>
              <w:rPr>
                <w:rFonts w:eastAsiaTheme="minorEastAsia"/>
                <w:color w:val="auto"/>
                <w:sz w:val="18"/>
                <w:szCs w:val="18"/>
                <w:highlight w:val="none"/>
              </w:rPr>
              <w:t>φ70 ABS管，壁厚不小于5mm，导槽扭转角≤0.5°/m。</w:t>
            </w:r>
          </w:p>
        </w:tc>
        <w:tc>
          <w:tcPr>
            <w:tcW w:w="462" w:type="pct"/>
            <w:shd w:val="clear" w:color="000000" w:fill="FFFFFF"/>
            <w:vAlign w:val="center"/>
          </w:tcPr>
          <w:p>
            <w:pPr>
              <w:autoSpaceDE w:val="0"/>
              <w:autoSpaceDN w:val="0"/>
              <w:adjustRightInd w:val="0"/>
              <w:spacing w:before="48" w:beforeLines="20" w:after="48" w:afterLines="20" w:line="0" w:lineRule="atLeast"/>
              <w:jc w:val="center"/>
              <w:textAlignment w:val="baseline"/>
              <w:rPr>
                <w:rFonts w:eastAsiaTheme="minorEastAsia"/>
                <w:color w:val="auto"/>
                <w:kern w:val="0"/>
                <w:sz w:val="18"/>
                <w:szCs w:val="18"/>
                <w:highlight w:val="none"/>
                <w:lang w:val="zh-CN"/>
              </w:rPr>
            </w:pPr>
          </w:p>
        </w:tc>
        <w:tc>
          <w:tcPr>
            <w:tcW w:w="730" w:type="pct"/>
            <w:shd w:val="clear" w:color="000000" w:fill="FFFFFF"/>
            <w:vAlign w:val="center"/>
          </w:tcPr>
          <w:p>
            <w:pPr>
              <w:autoSpaceDE w:val="0"/>
              <w:autoSpaceDN w:val="0"/>
              <w:adjustRightInd w:val="0"/>
              <w:spacing w:before="48" w:beforeLines="20" w:after="48" w:afterLines="20" w:line="0" w:lineRule="atLeast"/>
              <w:jc w:val="center"/>
              <w:textAlignment w:val="baseline"/>
              <w:rPr>
                <w:rFonts w:eastAsiaTheme="minorEastAsia"/>
                <w:color w:val="auto"/>
                <w:kern w:val="0"/>
                <w:sz w:val="18"/>
                <w:szCs w:val="18"/>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24" w:type="pct"/>
            <w:shd w:val="clear" w:color="000000" w:fill="FFFFFF"/>
            <w:vAlign w:val="center"/>
          </w:tcPr>
          <w:p>
            <w:pPr>
              <w:autoSpaceDE w:val="0"/>
              <w:autoSpaceDN w:val="0"/>
              <w:adjustRightInd w:val="0"/>
              <w:snapToGrid w:val="0"/>
              <w:jc w:val="center"/>
              <w:textAlignment w:val="baseline"/>
              <w:rPr>
                <w:rFonts w:eastAsiaTheme="minorEastAsia"/>
                <w:color w:val="auto"/>
                <w:kern w:val="0"/>
                <w:sz w:val="18"/>
                <w:szCs w:val="18"/>
                <w:highlight w:val="none"/>
              </w:rPr>
            </w:pPr>
            <w:r>
              <w:rPr>
                <w:rFonts w:hint="eastAsia" w:eastAsiaTheme="minorEastAsia"/>
                <w:color w:val="auto"/>
                <w:kern w:val="0"/>
                <w:sz w:val="18"/>
                <w:szCs w:val="18"/>
                <w:highlight w:val="none"/>
              </w:rPr>
              <w:t>5</w:t>
            </w:r>
          </w:p>
        </w:tc>
        <w:tc>
          <w:tcPr>
            <w:tcW w:w="696"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Theme="minorEastAsia"/>
                <w:color w:val="auto"/>
                <w:sz w:val="18"/>
                <w:szCs w:val="18"/>
                <w:highlight w:val="none"/>
              </w:rPr>
            </w:pPr>
            <w:r>
              <w:rPr>
                <w:rFonts w:hint="eastAsia" w:ascii="Times New Roman" w:hAnsi="Times New Roman" w:eastAsia="宋体"/>
                <w:snapToGrid/>
                <w:color w:val="auto"/>
                <w:kern w:val="2"/>
                <w:sz w:val="18"/>
                <w:szCs w:val="18"/>
                <w:highlight w:val="none"/>
              </w:rPr>
              <w:t>倾角计及NB传输模块</w:t>
            </w:r>
          </w:p>
        </w:tc>
        <w:tc>
          <w:tcPr>
            <w:tcW w:w="497"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Theme="minorEastAsia"/>
                <w:color w:val="auto"/>
                <w:sz w:val="18"/>
                <w:szCs w:val="18"/>
                <w:highlight w:val="none"/>
              </w:rPr>
            </w:pPr>
          </w:p>
        </w:tc>
        <w:tc>
          <w:tcPr>
            <w:tcW w:w="2290"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量程：±10°；分辨率：≤10″；</w:t>
            </w:r>
          </w:p>
          <w:p>
            <w:pPr>
              <w:pStyle w:val="740"/>
              <w:autoSpaceDE/>
              <w:autoSpaceDN/>
              <w:adjustRightInd/>
              <w:spacing w:line="240" w:lineRule="auto"/>
              <w:ind w:firstLine="0" w:firstLineChars="0"/>
              <w:rPr>
                <w:rFonts w:ascii="Times New Roman" w:hAnsi="Times New Roman" w:eastAsiaTheme="minorEastAsia"/>
                <w:color w:val="auto"/>
                <w:sz w:val="18"/>
                <w:szCs w:val="18"/>
                <w:highlight w:val="none"/>
              </w:rPr>
            </w:pPr>
            <w:r>
              <w:rPr>
                <w:rFonts w:hint="eastAsia" w:ascii="Times New Roman" w:hAnsi="Times New Roman" w:eastAsia="宋体"/>
                <w:snapToGrid/>
                <w:color w:val="auto"/>
                <w:kern w:val="2"/>
                <w:sz w:val="18"/>
                <w:szCs w:val="18"/>
                <w:highlight w:val="none"/>
              </w:rPr>
              <w:t>精度：0.1%</w:t>
            </w:r>
            <w:r>
              <w:rPr>
                <w:color w:val="auto"/>
                <w:sz w:val="18"/>
                <w:szCs w:val="18"/>
                <w:highlight w:val="none"/>
              </w:rPr>
              <w:t>F.S</w:t>
            </w:r>
            <w:r>
              <w:rPr>
                <w:rFonts w:hint="eastAsia"/>
                <w:color w:val="auto"/>
                <w:sz w:val="18"/>
                <w:szCs w:val="18"/>
                <w:highlight w:val="none"/>
              </w:rPr>
              <w:t>.</w:t>
            </w:r>
            <w:r>
              <w:rPr>
                <w:rFonts w:hint="eastAsia" w:ascii="Times New Roman" w:hAnsi="Times New Roman" w:eastAsia="宋体"/>
                <w:snapToGrid/>
                <w:color w:val="auto"/>
                <w:kern w:val="2"/>
                <w:sz w:val="18"/>
                <w:szCs w:val="18"/>
                <w:highlight w:val="none"/>
              </w:rPr>
              <w:t>；测量轴：单轴；野外适应性：具有防水、耐高低温及高抗振性能。含数据采集和无线传输模块，通信方式：NB-IOT；存储容量:2000条记录（循环覆盖）；内置电池（可工作2-3年，2次/日）。倾角计及NB传输模块可以</w:t>
            </w:r>
            <w:r>
              <w:rPr>
                <w:rFonts w:ascii="Times New Roman" w:hAnsi="Times New Roman" w:eastAsia="宋体"/>
                <w:snapToGrid/>
                <w:color w:val="auto"/>
                <w:kern w:val="2"/>
                <w:sz w:val="18"/>
                <w:szCs w:val="18"/>
                <w:highlight w:val="none"/>
              </w:rPr>
              <w:t>是</w:t>
            </w:r>
            <w:r>
              <w:rPr>
                <w:rFonts w:hint="eastAsia" w:ascii="Times New Roman" w:hAnsi="Times New Roman" w:eastAsia="宋体"/>
                <w:snapToGrid/>
                <w:color w:val="auto"/>
                <w:kern w:val="2"/>
                <w:sz w:val="18"/>
                <w:szCs w:val="18"/>
                <w:highlight w:val="none"/>
              </w:rPr>
              <w:t>分立式</w:t>
            </w:r>
            <w:r>
              <w:rPr>
                <w:rFonts w:ascii="Times New Roman" w:hAnsi="Times New Roman" w:eastAsia="宋体"/>
                <w:snapToGrid/>
                <w:color w:val="auto"/>
                <w:kern w:val="2"/>
                <w:sz w:val="18"/>
                <w:szCs w:val="18"/>
                <w:highlight w:val="none"/>
              </w:rPr>
              <w:t>。</w:t>
            </w:r>
          </w:p>
        </w:tc>
        <w:tc>
          <w:tcPr>
            <w:tcW w:w="462" w:type="pct"/>
            <w:shd w:val="clear" w:color="000000" w:fill="FFFFFF"/>
          </w:tcPr>
          <w:p>
            <w:pPr>
              <w:autoSpaceDE w:val="0"/>
              <w:autoSpaceDN w:val="0"/>
              <w:adjustRightInd w:val="0"/>
              <w:snapToGrid w:val="0"/>
              <w:jc w:val="center"/>
              <w:textAlignment w:val="baseline"/>
              <w:rPr>
                <w:rFonts w:eastAsiaTheme="minorEastAsia"/>
                <w:color w:val="auto"/>
                <w:kern w:val="0"/>
                <w:sz w:val="18"/>
                <w:szCs w:val="18"/>
                <w:highlight w:val="none"/>
                <w:lang w:val="zh-CN"/>
              </w:rPr>
            </w:pPr>
          </w:p>
        </w:tc>
        <w:tc>
          <w:tcPr>
            <w:tcW w:w="730" w:type="pct"/>
            <w:shd w:val="clear" w:color="000000" w:fill="FFFFFF"/>
          </w:tcPr>
          <w:p>
            <w:pPr>
              <w:autoSpaceDE w:val="0"/>
              <w:autoSpaceDN w:val="0"/>
              <w:adjustRightInd w:val="0"/>
              <w:snapToGrid w:val="0"/>
              <w:jc w:val="center"/>
              <w:textAlignment w:val="baseline"/>
              <w:rPr>
                <w:color w:val="auto"/>
                <w:kern w:val="0"/>
                <w:sz w:val="18"/>
                <w:szCs w:val="18"/>
                <w:highlight w:val="none"/>
              </w:rPr>
            </w:pPr>
            <w:r>
              <w:rPr>
                <w:color w:val="auto"/>
                <w:kern w:val="0"/>
                <w:sz w:val="18"/>
                <w:szCs w:val="18"/>
                <w:highlight w:val="none"/>
                <w:lang w:val="zh-CN"/>
              </w:rPr>
              <w:t>北京基康</w:t>
            </w:r>
            <w:r>
              <w:rPr>
                <w:rFonts w:hint="eastAsia"/>
                <w:color w:val="auto"/>
                <w:kern w:val="0"/>
                <w:sz w:val="18"/>
                <w:szCs w:val="18"/>
                <w:highlight w:val="none"/>
                <w:lang w:val="zh-CN"/>
              </w:rPr>
              <w:t>、</w:t>
            </w:r>
          </w:p>
          <w:p>
            <w:pPr>
              <w:autoSpaceDE w:val="0"/>
              <w:autoSpaceDN w:val="0"/>
              <w:adjustRightInd w:val="0"/>
              <w:snapToGrid w:val="0"/>
              <w:jc w:val="center"/>
              <w:textAlignment w:val="baseline"/>
              <w:rPr>
                <w:color w:val="auto"/>
                <w:kern w:val="0"/>
                <w:sz w:val="18"/>
                <w:szCs w:val="18"/>
                <w:highlight w:val="none"/>
                <w:lang w:val="zh-CN"/>
              </w:rPr>
            </w:pPr>
            <w:r>
              <w:rPr>
                <w:rFonts w:hint="eastAsia"/>
                <w:color w:val="auto"/>
                <w:kern w:val="0"/>
                <w:sz w:val="18"/>
                <w:szCs w:val="18"/>
                <w:highlight w:val="none"/>
                <w:lang w:val="zh-CN"/>
              </w:rPr>
              <w:t>南京</w:t>
            </w:r>
            <w:r>
              <w:rPr>
                <w:color w:val="auto"/>
                <w:kern w:val="0"/>
                <w:sz w:val="18"/>
                <w:szCs w:val="18"/>
                <w:highlight w:val="none"/>
                <w:lang w:val="zh-CN"/>
              </w:rPr>
              <w:t>南</w:t>
            </w:r>
            <w:r>
              <w:rPr>
                <w:rFonts w:hint="eastAsia"/>
                <w:color w:val="auto"/>
                <w:kern w:val="0"/>
                <w:sz w:val="18"/>
                <w:szCs w:val="18"/>
                <w:highlight w:val="none"/>
                <w:lang w:val="zh-CN"/>
              </w:rPr>
              <w:t>瑞、</w:t>
            </w:r>
          </w:p>
          <w:p>
            <w:pPr>
              <w:autoSpaceDE w:val="0"/>
              <w:autoSpaceDN w:val="0"/>
              <w:adjustRightInd w:val="0"/>
              <w:snapToGrid w:val="0"/>
              <w:jc w:val="center"/>
              <w:textAlignment w:val="baseline"/>
              <w:rPr>
                <w:rFonts w:eastAsiaTheme="minorEastAsia"/>
                <w:color w:val="auto"/>
                <w:kern w:val="0"/>
                <w:sz w:val="18"/>
                <w:szCs w:val="18"/>
                <w:highlight w:val="none"/>
                <w:lang w:val="zh-CN"/>
              </w:rPr>
            </w:pPr>
            <w:r>
              <w:rPr>
                <w:rFonts w:hint="eastAsia" w:ascii="宋体" w:hAnsi="宋体" w:cs="宋体"/>
                <w:color w:val="auto"/>
                <w:sz w:val="18"/>
                <w:szCs w:val="18"/>
                <w:highlight w:val="none"/>
              </w:rPr>
              <w:t>长江科创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24" w:type="pct"/>
            <w:shd w:val="clear" w:color="000000" w:fill="FFFFFF"/>
            <w:vAlign w:val="center"/>
          </w:tcPr>
          <w:p>
            <w:pPr>
              <w:autoSpaceDE w:val="0"/>
              <w:autoSpaceDN w:val="0"/>
              <w:adjustRightInd w:val="0"/>
              <w:snapToGrid w:val="0"/>
              <w:jc w:val="center"/>
              <w:textAlignment w:val="baseline"/>
              <w:rPr>
                <w:rFonts w:eastAsiaTheme="minorEastAsia"/>
                <w:color w:val="auto"/>
                <w:kern w:val="0"/>
                <w:sz w:val="18"/>
                <w:szCs w:val="18"/>
                <w:highlight w:val="none"/>
              </w:rPr>
            </w:pPr>
            <w:r>
              <w:rPr>
                <w:rFonts w:hint="eastAsia" w:eastAsiaTheme="minorEastAsia"/>
                <w:color w:val="auto"/>
                <w:kern w:val="0"/>
                <w:sz w:val="18"/>
                <w:szCs w:val="18"/>
                <w:highlight w:val="none"/>
              </w:rPr>
              <w:t>6</w:t>
            </w:r>
          </w:p>
        </w:tc>
        <w:tc>
          <w:tcPr>
            <w:tcW w:w="696"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r>
              <w:rPr>
                <w:rFonts w:eastAsiaTheme="minorEastAsia"/>
                <w:color w:val="auto"/>
                <w:sz w:val="18"/>
                <w:szCs w:val="18"/>
                <w:highlight w:val="none"/>
              </w:rPr>
              <w:t>测压管</w:t>
            </w:r>
          </w:p>
        </w:tc>
        <w:tc>
          <w:tcPr>
            <w:tcW w:w="497"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p>
        </w:tc>
        <w:tc>
          <w:tcPr>
            <w:tcW w:w="2290" w:type="pct"/>
            <w:shd w:val="clear" w:color="000000" w:fill="FFFFFF"/>
            <w:vAlign w:val="center"/>
          </w:tcPr>
          <w:p>
            <w:pPr>
              <w:spacing w:before="48" w:beforeLines="20" w:after="48" w:afterLines="20" w:line="0" w:lineRule="atLeast"/>
              <w:rPr>
                <w:rFonts w:eastAsiaTheme="minorEastAsia"/>
                <w:color w:val="auto"/>
                <w:sz w:val="18"/>
                <w:szCs w:val="18"/>
                <w:highlight w:val="none"/>
              </w:rPr>
            </w:pPr>
            <w:r>
              <w:rPr>
                <w:rFonts w:hint="eastAsia"/>
                <w:color w:val="auto"/>
                <w:sz w:val="18"/>
                <w:szCs w:val="18"/>
                <w:highlight w:val="none"/>
              </w:rPr>
              <w:t>φ</w:t>
            </w:r>
            <w:r>
              <w:rPr>
                <w:color w:val="auto"/>
                <w:sz w:val="18"/>
                <w:szCs w:val="18"/>
                <w:highlight w:val="none"/>
              </w:rPr>
              <w:t>50PVC</w:t>
            </w:r>
            <w:r>
              <w:rPr>
                <w:color w:val="auto"/>
                <w:sz w:val="18"/>
                <w:szCs w:val="18"/>
                <w:highlight w:val="none"/>
                <w:lang w:val="zh-CN"/>
              </w:rPr>
              <w:t>管</w:t>
            </w:r>
            <w:r>
              <w:rPr>
                <w:color w:val="auto"/>
                <w:sz w:val="18"/>
                <w:szCs w:val="18"/>
                <w:highlight w:val="none"/>
              </w:rPr>
              <w:t>，</w:t>
            </w:r>
            <w:r>
              <w:rPr>
                <w:color w:val="auto"/>
                <w:sz w:val="18"/>
                <w:szCs w:val="18"/>
                <w:highlight w:val="none"/>
                <w:lang w:val="zh-CN"/>
              </w:rPr>
              <w:t>壁厚</w:t>
            </w:r>
            <w:r>
              <w:rPr>
                <w:color w:val="auto"/>
                <w:sz w:val="18"/>
                <w:szCs w:val="18"/>
                <w:highlight w:val="none"/>
              </w:rPr>
              <w:t>≥3.</w:t>
            </w:r>
            <w:r>
              <w:rPr>
                <w:rFonts w:hint="eastAsia"/>
                <w:color w:val="auto"/>
                <w:sz w:val="18"/>
                <w:szCs w:val="18"/>
                <w:highlight w:val="none"/>
              </w:rPr>
              <w:t>5</w:t>
            </w:r>
            <w:r>
              <w:rPr>
                <w:color w:val="auto"/>
                <w:sz w:val="18"/>
                <w:szCs w:val="18"/>
                <w:highlight w:val="none"/>
              </w:rPr>
              <w:t>mm</w:t>
            </w:r>
            <w:r>
              <w:rPr>
                <w:color w:val="auto"/>
                <w:sz w:val="18"/>
                <w:szCs w:val="18"/>
                <w:highlight w:val="none"/>
                <w:lang w:val="zh-CN"/>
              </w:rPr>
              <w:t>。</w:t>
            </w:r>
          </w:p>
        </w:tc>
        <w:tc>
          <w:tcPr>
            <w:tcW w:w="462" w:type="pct"/>
            <w:shd w:val="clear" w:color="000000" w:fill="FFFFFF"/>
            <w:vAlign w:val="center"/>
          </w:tcPr>
          <w:p>
            <w:pPr>
              <w:autoSpaceDE w:val="0"/>
              <w:autoSpaceDN w:val="0"/>
              <w:adjustRightInd w:val="0"/>
              <w:spacing w:before="48" w:beforeLines="20" w:after="48" w:afterLines="20" w:line="0" w:lineRule="atLeast"/>
              <w:jc w:val="center"/>
              <w:textAlignment w:val="baseline"/>
              <w:rPr>
                <w:rFonts w:eastAsiaTheme="minorEastAsia"/>
                <w:color w:val="auto"/>
                <w:kern w:val="0"/>
                <w:sz w:val="18"/>
                <w:szCs w:val="18"/>
                <w:highlight w:val="none"/>
              </w:rPr>
            </w:pPr>
          </w:p>
        </w:tc>
        <w:tc>
          <w:tcPr>
            <w:tcW w:w="730" w:type="pct"/>
            <w:shd w:val="clear" w:color="000000" w:fill="FFFFFF"/>
            <w:vAlign w:val="center"/>
          </w:tcPr>
          <w:p>
            <w:pPr>
              <w:autoSpaceDE w:val="0"/>
              <w:autoSpaceDN w:val="0"/>
              <w:adjustRightInd w:val="0"/>
              <w:spacing w:before="48" w:beforeLines="20" w:after="48" w:afterLines="20" w:line="0" w:lineRule="atLeast"/>
              <w:jc w:val="center"/>
              <w:textAlignment w:val="baseline"/>
              <w:rPr>
                <w:rFonts w:eastAsiaTheme="minorEastAsia"/>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24" w:type="pct"/>
            <w:shd w:val="clear" w:color="000000" w:fill="FFFFFF"/>
            <w:vAlign w:val="center"/>
          </w:tcPr>
          <w:p>
            <w:pPr>
              <w:autoSpaceDE w:val="0"/>
              <w:autoSpaceDN w:val="0"/>
              <w:adjustRightInd w:val="0"/>
              <w:snapToGrid w:val="0"/>
              <w:jc w:val="center"/>
              <w:textAlignment w:val="baseline"/>
              <w:rPr>
                <w:rFonts w:eastAsiaTheme="minorEastAsia"/>
                <w:color w:val="auto"/>
                <w:kern w:val="0"/>
                <w:sz w:val="18"/>
                <w:szCs w:val="18"/>
                <w:highlight w:val="none"/>
                <w:lang w:val="zh-CN"/>
              </w:rPr>
            </w:pPr>
            <w:r>
              <w:rPr>
                <w:rFonts w:hint="eastAsia" w:eastAsiaTheme="minorEastAsia"/>
                <w:color w:val="auto"/>
                <w:kern w:val="0"/>
                <w:sz w:val="18"/>
                <w:szCs w:val="18"/>
                <w:highlight w:val="none"/>
              </w:rPr>
              <w:t>7</w:t>
            </w:r>
          </w:p>
        </w:tc>
        <w:tc>
          <w:tcPr>
            <w:tcW w:w="696"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r>
              <w:rPr>
                <w:rFonts w:eastAsiaTheme="minorEastAsia"/>
                <w:color w:val="auto"/>
                <w:sz w:val="18"/>
                <w:szCs w:val="18"/>
                <w:highlight w:val="none"/>
              </w:rPr>
              <w:t>渗压计</w:t>
            </w:r>
          </w:p>
        </w:tc>
        <w:tc>
          <w:tcPr>
            <w:tcW w:w="497"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r>
              <w:rPr>
                <w:rFonts w:eastAsiaTheme="minorEastAsia"/>
                <w:color w:val="auto"/>
                <w:sz w:val="18"/>
                <w:szCs w:val="18"/>
                <w:highlight w:val="none"/>
              </w:rPr>
              <w:t>振弦式</w:t>
            </w:r>
          </w:p>
        </w:tc>
        <w:tc>
          <w:tcPr>
            <w:tcW w:w="2290" w:type="pct"/>
            <w:shd w:val="clear" w:color="000000" w:fill="FFFFFF"/>
            <w:vAlign w:val="center"/>
          </w:tcPr>
          <w:p>
            <w:pPr>
              <w:spacing w:before="48" w:beforeLines="20" w:after="48" w:afterLines="20" w:line="0" w:lineRule="atLeast"/>
              <w:rPr>
                <w:rFonts w:eastAsiaTheme="minorEastAsia"/>
                <w:color w:val="auto"/>
                <w:sz w:val="18"/>
                <w:szCs w:val="18"/>
                <w:highlight w:val="none"/>
              </w:rPr>
            </w:pPr>
            <w:r>
              <w:rPr>
                <w:rFonts w:eastAsiaTheme="minorEastAsia"/>
                <w:color w:val="auto"/>
                <w:sz w:val="18"/>
                <w:szCs w:val="18"/>
                <w:highlight w:val="none"/>
              </w:rPr>
              <w:t>标准量程：0.35MPa；非线性度：≤2%F.S.；不重复度：≤0.5% F.S.；分辨力≤0.1% F.S.；综合误差：≤2.5% F.S.。</w:t>
            </w:r>
            <w:r>
              <w:rPr>
                <w:rFonts w:hint="eastAsia"/>
                <w:color w:val="auto"/>
                <w:sz w:val="18"/>
                <w:szCs w:val="18"/>
                <w:highlight w:val="none"/>
              </w:rPr>
              <w:t>工作温度：-20℃～+60℃。</w:t>
            </w:r>
          </w:p>
        </w:tc>
        <w:tc>
          <w:tcPr>
            <w:tcW w:w="462"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p>
        </w:tc>
        <w:tc>
          <w:tcPr>
            <w:tcW w:w="730"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spacing w:before="48" w:beforeLines="20" w:after="48" w:afterLines="20" w:line="0" w:lineRule="atLeast"/>
              <w:jc w:val="center"/>
              <w:rPr>
                <w:rFonts w:eastAsiaTheme="minorEastAsia"/>
                <w:color w:val="auto"/>
                <w:sz w:val="18"/>
                <w:szCs w:val="18"/>
                <w:highlight w:val="none"/>
              </w:rPr>
            </w:pPr>
            <w:r>
              <w:rPr>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24" w:type="pct"/>
            <w:shd w:val="clear" w:color="000000" w:fill="FFFFFF"/>
            <w:vAlign w:val="center"/>
          </w:tcPr>
          <w:p>
            <w:pPr>
              <w:autoSpaceDE w:val="0"/>
              <w:autoSpaceDN w:val="0"/>
              <w:adjustRightInd w:val="0"/>
              <w:snapToGrid w:val="0"/>
              <w:jc w:val="center"/>
              <w:textAlignment w:val="baseline"/>
              <w:rPr>
                <w:rFonts w:eastAsiaTheme="minorEastAsia"/>
                <w:color w:val="auto"/>
                <w:kern w:val="0"/>
                <w:sz w:val="18"/>
                <w:szCs w:val="18"/>
                <w:highlight w:val="none"/>
                <w:lang w:val="zh-CN"/>
              </w:rPr>
            </w:pPr>
            <w:r>
              <w:rPr>
                <w:rFonts w:hint="eastAsia" w:eastAsiaTheme="minorEastAsia"/>
                <w:color w:val="auto"/>
                <w:kern w:val="0"/>
                <w:sz w:val="18"/>
                <w:szCs w:val="18"/>
                <w:highlight w:val="none"/>
              </w:rPr>
              <w:t>8</w:t>
            </w:r>
          </w:p>
        </w:tc>
        <w:tc>
          <w:tcPr>
            <w:tcW w:w="696"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r>
              <w:rPr>
                <w:rFonts w:eastAsiaTheme="minorEastAsia"/>
                <w:color w:val="auto"/>
                <w:sz w:val="18"/>
                <w:szCs w:val="18"/>
                <w:highlight w:val="none"/>
              </w:rPr>
              <w:t>水位标尺</w:t>
            </w:r>
          </w:p>
        </w:tc>
        <w:tc>
          <w:tcPr>
            <w:tcW w:w="497"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p>
        </w:tc>
        <w:tc>
          <w:tcPr>
            <w:tcW w:w="2290" w:type="pct"/>
            <w:shd w:val="clear" w:color="000000" w:fill="FFFFFF"/>
            <w:vAlign w:val="center"/>
          </w:tcPr>
          <w:p>
            <w:pPr>
              <w:spacing w:before="48" w:beforeLines="20" w:after="48" w:afterLines="20" w:line="0" w:lineRule="atLeast"/>
              <w:rPr>
                <w:rFonts w:eastAsiaTheme="minorEastAsia"/>
                <w:color w:val="auto"/>
                <w:sz w:val="18"/>
                <w:szCs w:val="18"/>
                <w:highlight w:val="none"/>
              </w:rPr>
            </w:pPr>
            <w:r>
              <w:rPr>
                <w:rFonts w:hint="eastAsia" w:eastAsiaTheme="minorEastAsia"/>
                <w:color w:val="auto"/>
                <w:sz w:val="18"/>
                <w:szCs w:val="18"/>
                <w:highlight w:val="none"/>
              </w:rPr>
              <w:t>不锈钢</w:t>
            </w:r>
            <w:r>
              <w:rPr>
                <w:rFonts w:eastAsiaTheme="minorEastAsia"/>
                <w:color w:val="auto"/>
                <w:sz w:val="18"/>
                <w:szCs w:val="18"/>
                <w:highlight w:val="none"/>
              </w:rPr>
              <w:t>材质，宽20cm，最小读数：1cm。</w:t>
            </w:r>
          </w:p>
        </w:tc>
        <w:tc>
          <w:tcPr>
            <w:tcW w:w="462" w:type="pct"/>
            <w:shd w:val="clear" w:color="000000" w:fill="FFFFFF"/>
            <w:vAlign w:val="center"/>
          </w:tcPr>
          <w:p>
            <w:pPr>
              <w:autoSpaceDE w:val="0"/>
              <w:autoSpaceDN w:val="0"/>
              <w:adjustRightInd w:val="0"/>
              <w:spacing w:before="48" w:beforeLines="20" w:after="48" w:afterLines="20" w:line="0" w:lineRule="atLeast"/>
              <w:jc w:val="center"/>
              <w:textAlignment w:val="baseline"/>
              <w:rPr>
                <w:rFonts w:eastAsiaTheme="minorEastAsia"/>
                <w:color w:val="auto"/>
                <w:kern w:val="0"/>
                <w:sz w:val="18"/>
                <w:szCs w:val="18"/>
                <w:highlight w:val="none"/>
                <w:lang w:val="zh-CN"/>
              </w:rPr>
            </w:pPr>
            <w:r>
              <w:rPr>
                <w:rFonts w:eastAsiaTheme="minorEastAsia"/>
                <w:color w:val="auto"/>
                <w:kern w:val="0"/>
                <w:sz w:val="18"/>
                <w:szCs w:val="18"/>
                <w:highlight w:val="none"/>
                <w:lang w:val="zh-CN"/>
              </w:rPr>
              <w:t>定制</w:t>
            </w:r>
          </w:p>
        </w:tc>
        <w:tc>
          <w:tcPr>
            <w:tcW w:w="730" w:type="pct"/>
            <w:shd w:val="clear" w:color="000000" w:fill="FFFFFF"/>
            <w:vAlign w:val="center"/>
          </w:tcPr>
          <w:p>
            <w:pPr>
              <w:autoSpaceDE w:val="0"/>
              <w:autoSpaceDN w:val="0"/>
              <w:adjustRightInd w:val="0"/>
              <w:spacing w:before="48" w:beforeLines="20" w:after="48" w:afterLines="20" w:line="0" w:lineRule="atLeast"/>
              <w:jc w:val="center"/>
              <w:textAlignment w:val="baseline"/>
              <w:rPr>
                <w:rFonts w:eastAsiaTheme="minorEastAsia"/>
                <w:color w:val="auto"/>
                <w:kern w:val="0"/>
                <w:sz w:val="18"/>
                <w:szCs w:val="18"/>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24" w:type="pct"/>
            <w:shd w:val="clear" w:color="000000" w:fill="FFFFFF"/>
            <w:vAlign w:val="center"/>
          </w:tcPr>
          <w:p>
            <w:pPr>
              <w:autoSpaceDE w:val="0"/>
              <w:autoSpaceDN w:val="0"/>
              <w:adjustRightInd w:val="0"/>
              <w:snapToGrid w:val="0"/>
              <w:jc w:val="center"/>
              <w:textAlignment w:val="baseline"/>
              <w:rPr>
                <w:rFonts w:eastAsiaTheme="minorEastAsia"/>
                <w:color w:val="auto"/>
                <w:kern w:val="0"/>
                <w:sz w:val="18"/>
                <w:szCs w:val="18"/>
                <w:highlight w:val="none"/>
                <w:lang w:val="zh-CN"/>
              </w:rPr>
            </w:pPr>
            <w:r>
              <w:rPr>
                <w:rFonts w:hint="eastAsia" w:eastAsiaTheme="minorEastAsia"/>
                <w:color w:val="auto"/>
                <w:kern w:val="0"/>
                <w:sz w:val="18"/>
                <w:szCs w:val="18"/>
                <w:highlight w:val="none"/>
              </w:rPr>
              <w:t>9</w:t>
            </w:r>
          </w:p>
        </w:tc>
        <w:tc>
          <w:tcPr>
            <w:tcW w:w="696"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r>
              <w:rPr>
                <w:rFonts w:eastAsiaTheme="minorEastAsia"/>
                <w:color w:val="auto"/>
                <w:sz w:val="18"/>
                <w:szCs w:val="18"/>
                <w:highlight w:val="none"/>
              </w:rPr>
              <w:t>水位计</w:t>
            </w:r>
          </w:p>
        </w:tc>
        <w:tc>
          <w:tcPr>
            <w:tcW w:w="497"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r>
              <w:rPr>
                <w:rFonts w:eastAsiaTheme="minorEastAsia"/>
                <w:color w:val="auto"/>
                <w:sz w:val="18"/>
                <w:szCs w:val="18"/>
                <w:highlight w:val="none"/>
              </w:rPr>
              <w:t>振弦式</w:t>
            </w:r>
          </w:p>
        </w:tc>
        <w:tc>
          <w:tcPr>
            <w:tcW w:w="2290" w:type="pct"/>
            <w:shd w:val="clear" w:color="000000" w:fill="FFFFFF"/>
            <w:vAlign w:val="center"/>
          </w:tcPr>
          <w:p>
            <w:pPr>
              <w:pStyle w:val="740"/>
              <w:autoSpaceDE/>
              <w:autoSpaceDN/>
              <w:adjustRightInd/>
              <w:spacing w:line="240" w:lineRule="auto"/>
              <w:ind w:firstLine="0" w:firstLineChars="0"/>
              <w:rPr>
                <w:rFonts w:ascii="Times New Roman" w:hAnsi="Times New Roman" w:eastAsiaTheme="minorEastAsia"/>
                <w:snapToGrid/>
                <w:color w:val="auto"/>
                <w:kern w:val="2"/>
                <w:sz w:val="18"/>
                <w:szCs w:val="18"/>
                <w:highlight w:val="none"/>
              </w:rPr>
            </w:pPr>
            <w:r>
              <w:rPr>
                <w:rFonts w:ascii="Times New Roman" w:hAnsi="Times New Roman" w:eastAsiaTheme="minorEastAsia"/>
                <w:snapToGrid/>
                <w:color w:val="auto"/>
                <w:kern w:val="2"/>
                <w:sz w:val="18"/>
                <w:szCs w:val="18"/>
                <w:highlight w:val="none"/>
              </w:rPr>
              <w:t>标准量程：0.35/0.7MPa ；非线性度：≤2%F.S.；不重复度：≤0.5% F.S.；分辨力≤0.1% F.S.；综合误差：≤2.5% F.S.。</w:t>
            </w:r>
            <w:r>
              <w:rPr>
                <w:rFonts w:hint="eastAsia" w:ascii="Times New Roman" w:hAnsi="Times New Roman" w:eastAsia="宋体"/>
                <w:snapToGrid/>
                <w:color w:val="auto"/>
                <w:kern w:val="2"/>
                <w:sz w:val="18"/>
                <w:szCs w:val="18"/>
                <w:highlight w:val="none"/>
              </w:rPr>
              <w:t>工作温度：</w:t>
            </w:r>
            <w:r>
              <w:rPr>
                <w:rFonts w:ascii="Times New Roman" w:hAnsi="Times New Roman" w:eastAsia="宋体"/>
                <w:snapToGrid/>
                <w:color w:val="auto"/>
                <w:kern w:val="2"/>
                <w:sz w:val="18"/>
                <w:szCs w:val="18"/>
                <w:highlight w:val="none"/>
              </w:rPr>
              <w:t>-20</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+60</w:t>
            </w:r>
            <w:r>
              <w:rPr>
                <w:rFonts w:hint="eastAsia" w:ascii="Times New Roman" w:hAnsi="Times New Roman" w:eastAsia="宋体"/>
                <w:snapToGrid/>
                <w:color w:val="auto"/>
                <w:kern w:val="2"/>
                <w:sz w:val="18"/>
                <w:szCs w:val="18"/>
                <w:highlight w:val="none"/>
              </w:rPr>
              <w:t>℃。</w:t>
            </w:r>
            <w:r>
              <w:rPr>
                <w:rFonts w:ascii="Times New Roman" w:hAnsi="Times New Roman" w:eastAsiaTheme="minorEastAsia"/>
                <w:snapToGrid/>
                <w:color w:val="auto"/>
                <w:kern w:val="2"/>
                <w:sz w:val="18"/>
                <w:szCs w:val="18"/>
                <w:highlight w:val="none"/>
              </w:rPr>
              <w:t xml:space="preserve">        </w:t>
            </w:r>
          </w:p>
        </w:tc>
        <w:tc>
          <w:tcPr>
            <w:tcW w:w="462" w:type="pct"/>
            <w:shd w:val="clear" w:color="000000" w:fill="FFFFFF"/>
            <w:vAlign w:val="center"/>
          </w:tcPr>
          <w:p>
            <w:pPr>
              <w:spacing w:before="48" w:beforeLines="20" w:after="48" w:afterLines="20" w:line="0" w:lineRule="atLeast"/>
              <w:jc w:val="center"/>
              <w:rPr>
                <w:rFonts w:eastAsiaTheme="minorEastAsia"/>
                <w:color w:val="auto"/>
                <w:sz w:val="18"/>
                <w:szCs w:val="18"/>
                <w:highlight w:val="none"/>
              </w:rPr>
            </w:pPr>
          </w:p>
        </w:tc>
        <w:tc>
          <w:tcPr>
            <w:tcW w:w="730"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spacing w:before="48" w:beforeLines="20" w:after="48" w:afterLines="20" w:line="0" w:lineRule="atLeast"/>
              <w:jc w:val="center"/>
              <w:rPr>
                <w:rFonts w:eastAsiaTheme="minorEastAsia"/>
                <w:color w:val="auto"/>
                <w:sz w:val="18"/>
                <w:szCs w:val="18"/>
                <w:highlight w:val="none"/>
              </w:rPr>
            </w:pPr>
            <w:r>
              <w:rPr>
                <w:color w:val="auto"/>
                <w:sz w:val="18"/>
                <w:szCs w:val="18"/>
                <w:highlight w:val="none"/>
              </w:rPr>
              <w:t>南京水文所</w:t>
            </w:r>
          </w:p>
        </w:tc>
      </w:tr>
    </w:tbl>
    <w:p>
      <w:pPr>
        <w:autoSpaceDE w:val="0"/>
        <w:autoSpaceDN w:val="0"/>
        <w:adjustRightInd w:val="0"/>
        <w:snapToGrid w:val="0"/>
        <w:ind w:left="630" w:hanging="630" w:hangingChars="300"/>
        <w:jc w:val="left"/>
        <w:textAlignment w:val="baseline"/>
        <w:rPr>
          <w:color w:val="auto"/>
          <w:kern w:val="0"/>
          <w:szCs w:val="21"/>
          <w:highlight w:val="none"/>
          <w:lang w:val="zh-CN"/>
        </w:rPr>
      </w:pPr>
      <w:r>
        <w:rPr>
          <w:rFonts w:hint="eastAsia"/>
          <w:color w:val="auto"/>
          <w:kern w:val="0"/>
          <w:szCs w:val="21"/>
          <w:highlight w:val="none"/>
          <w:lang w:val="zh-CN"/>
        </w:rPr>
        <w:t>注：①本表推荐品牌仅为参考，投标单位可选用不低于推荐品牌质量的其他品牌。在施工阶段，甲方会同设计、监理从乙方报价品牌和本表推荐品牌中选定任一品牌，乙方不得因此要求变更报价。</w:t>
      </w:r>
    </w:p>
    <w:p>
      <w:pPr>
        <w:autoSpaceDE w:val="0"/>
        <w:autoSpaceDN w:val="0"/>
        <w:adjustRightInd w:val="0"/>
        <w:snapToGrid w:val="0"/>
        <w:ind w:left="630" w:leftChars="200" w:hanging="210" w:hangingChars="100"/>
        <w:jc w:val="left"/>
        <w:textAlignment w:val="baseline"/>
        <w:rPr>
          <w:color w:val="auto"/>
          <w:kern w:val="0"/>
          <w:szCs w:val="21"/>
          <w:highlight w:val="none"/>
          <w:lang w:val="zh-CN"/>
        </w:rPr>
      </w:pPr>
      <w:r>
        <w:rPr>
          <w:rFonts w:hint="eastAsia"/>
          <w:color w:val="auto"/>
          <w:kern w:val="0"/>
          <w:szCs w:val="21"/>
          <w:highlight w:val="none"/>
          <w:lang w:val="zh-CN"/>
        </w:rPr>
        <w:t>② “</w:t>
      </w:r>
      <w:r>
        <w:rPr>
          <w:color w:val="auto"/>
          <w:kern w:val="0"/>
          <w:szCs w:val="21"/>
          <w:highlight w:val="none"/>
          <w:lang w:val="zh-CN"/>
        </w:rPr>
        <w:t>北京基</w:t>
      </w:r>
      <w:r>
        <w:rPr>
          <w:rFonts w:hint="eastAsia"/>
          <w:color w:val="auto"/>
          <w:kern w:val="0"/>
          <w:szCs w:val="21"/>
          <w:highlight w:val="none"/>
          <w:lang w:val="zh-CN"/>
        </w:rPr>
        <w:t>康”全称基康仪器股份有限公司；“南京</w:t>
      </w:r>
      <w:r>
        <w:rPr>
          <w:color w:val="auto"/>
          <w:kern w:val="0"/>
          <w:szCs w:val="21"/>
          <w:highlight w:val="none"/>
          <w:lang w:val="zh-CN"/>
        </w:rPr>
        <w:t>南瑞</w:t>
      </w:r>
      <w:r>
        <w:rPr>
          <w:rFonts w:hint="eastAsia"/>
          <w:color w:val="auto"/>
          <w:kern w:val="0"/>
          <w:szCs w:val="21"/>
          <w:highlight w:val="none"/>
          <w:lang w:val="zh-CN"/>
        </w:rPr>
        <w:t>”全称南瑞集团公司；“</w:t>
      </w:r>
      <w:r>
        <w:rPr>
          <w:rFonts w:hint="eastAsia" w:ascii="宋体" w:hAnsi="宋体" w:cs="宋体"/>
          <w:color w:val="auto"/>
          <w:szCs w:val="21"/>
          <w:highlight w:val="none"/>
        </w:rPr>
        <w:t>南京水文所</w:t>
      </w:r>
      <w:r>
        <w:rPr>
          <w:rFonts w:hint="eastAsia"/>
          <w:color w:val="auto"/>
          <w:kern w:val="0"/>
          <w:szCs w:val="21"/>
          <w:highlight w:val="none"/>
          <w:lang w:val="zh-CN"/>
        </w:rPr>
        <w:t>”全称水利部南京水利水文自动化研究所；</w:t>
      </w:r>
    </w:p>
    <w:p>
      <w:pPr>
        <w:autoSpaceDE w:val="0"/>
        <w:autoSpaceDN w:val="0"/>
        <w:adjustRightInd w:val="0"/>
        <w:snapToGrid w:val="0"/>
        <w:ind w:left="630" w:leftChars="200" w:hanging="210" w:hangingChars="100"/>
        <w:jc w:val="left"/>
        <w:textAlignment w:val="baseline"/>
        <w:rPr>
          <w:color w:val="auto"/>
          <w:kern w:val="0"/>
          <w:szCs w:val="21"/>
          <w:highlight w:val="none"/>
          <w:lang w:val="zh-CN"/>
        </w:rPr>
      </w:pPr>
      <w:r>
        <w:rPr>
          <w:rFonts w:hint="eastAsia"/>
          <w:color w:val="auto"/>
          <w:kern w:val="0"/>
          <w:szCs w:val="21"/>
          <w:highlight w:val="none"/>
          <w:lang w:val="zh-CN"/>
        </w:rPr>
        <w:t>③仪器</w:t>
      </w:r>
      <w:r>
        <w:rPr>
          <w:color w:val="auto"/>
          <w:kern w:val="0"/>
          <w:szCs w:val="21"/>
          <w:highlight w:val="none"/>
          <w:lang w:val="zh-CN"/>
        </w:rPr>
        <w:t>的</w:t>
      </w:r>
      <w:r>
        <w:rPr>
          <w:rFonts w:hint="eastAsia"/>
          <w:color w:val="auto"/>
          <w:kern w:val="0"/>
          <w:szCs w:val="21"/>
          <w:highlight w:val="none"/>
          <w:lang w:val="zh-CN"/>
        </w:rPr>
        <w:t>标准</w:t>
      </w:r>
      <w:r>
        <w:rPr>
          <w:color w:val="auto"/>
          <w:kern w:val="0"/>
          <w:szCs w:val="21"/>
          <w:highlight w:val="none"/>
          <w:lang w:val="zh-CN"/>
        </w:rPr>
        <w:t>量程范围根据施工图调整。</w:t>
      </w:r>
    </w:p>
    <w:p>
      <w:pPr>
        <w:autoSpaceDE w:val="0"/>
        <w:autoSpaceDN w:val="0"/>
        <w:adjustRightInd w:val="0"/>
        <w:snapToGrid w:val="0"/>
        <w:ind w:left="630" w:leftChars="200" w:hanging="210" w:hangingChars="100"/>
        <w:jc w:val="left"/>
        <w:textAlignment w:val="baseline"/>
        <w:rPr>
          <w:color w:val="auto"/>
          <w:kern w:val="0"/>
          <w:szCs w:val="21"/>
          <w:highlight w:val="none"/>
          <w:lang w:val="zh-CN"/>
        </w:rPr>
      </w:pPr>
    </w:p>
    <w:p>
      <w:pPr>
        <w:adjustRightInd w:val="0"/>
        <w:jc w:val="center"/>
        <w:textAlignment w:val="baseline"/>
        <w:rPr>
          <w:rFonts w:eastAsia="黑体"/>
          <w:bCs/>
          <w:color w:val="auto"/>
          <w:kern w:val="0"/>
          <w:sz w:val="24"/>
          <w:highlight w:val="none"/>
          <w:lang w:val="en-GB"/>
        </w:rPr>
      </w:pPr>
      <w:r>
        <w:rPr>
          <w:rFonts w:eastAsia="黑体"/>
          <w:bCs/>
          <w:color w:val="auto"/>
          <w:kern w:val="0"/>
          <w:sz w:val="24"/>
          <w:highlight w:val="none"/>
          <w:lang w:val="en-GB"/>
        </w:rPr>
        <w:t xml:space="preserve">表2-4   </w:t>
      </w:r>
      <w:r>
        <w:rPr>
          <w:rFonts w:hint="eastAsia" w:eastAsia="黑体"/>
          <w:bCs/>
          <w:color w:val="auto"/>
          <w:kern w:val="0"/>
          <w:sz w:val="24"/>
          <w:highlight w:val="none"/>
          <w:lang w:val="en-GB"/>
        </w:rPr>
        <w:t>高位水池</w:t>
      </w:r>
      <w:r>
        <w:rPr>
          <w:rFonts w:eastAsia="黑体"/>
          <w:bCs/>
          <w:color w:val="auto"/>
          <w:kern w:val="0"/>
          <w:sz w:val="24"/>
          <w:highlight w:val="none"/>
          <w:lang w:val="en-GB"/>
        </w:rPr>
        <w:t>监测仪器设备技术指标表</w:t>
      </w:r>
    </w:p>
    <w:tbl>
      <w:tblPr>
        <w:tblStyle w:val="8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4" w:type="dxa"/>
          <w:bottom w:w="0" w:type="dxa"/>
          <w:right w:w="24" w:type="dxa"/>
        </w:tblCellMar>
      </w:tblPr>
      <w:tblGrid>
        <w:gridCol w:w="548"/>
        <w:gridCol w:w="1167"/>
        <w:gridCol w:w="830"/>
        <w:gridCol w:w="3667"/>
        <w:gridCol w:w="694"/>
        <w:gridCol w:w="14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tblHeader/>
          <w:jc w:val="center"/>
        </w:trPr>
        <w:tc>
          <w:tcPr>
            <w:tcW w:w="327" w:type="pct"/>
            <w:shd w:val="clear" w:color="000000" w:fill="FFFFFF"/>
            <w:vAlign w:val="center"/>
          </w:tcPr>
          <w:p>
            <w:pPr>
              <w:jc w:val="center"/>
              <w:rPr>
                <w:color w:val="auto"/>
                <w:sz w:val="18"/>
                <w:szCs w:val="18"/>
                <w:highlight w:val="none"/>
              </w:rPr>
            </w:pPr>
            <w:r>
              <w:rPr>
                <w:rFonts w:hint="eastAsia"/>
                <w:color w:val="auto"/>
                <w:sz w:val="18"/>
                <w:szCs w:val="18"/>
                <w:highlight w:val="none"/>
              </w:rPr>
              <w:t>序号</w:t>
            </w:r>
          </w:p>
        </w:tc>
        <w:tc>
          <w:tcPr>
            <w:tcW w:w="696" w:type="pct"/>
            <w:shd w:val="clear" w:color="000000" w:fill="FFFFFF"/>
            <w:vAlign w:val="center"/>
          </w:tcPr>
          <w:p>
            <w:pPr>
              <w:jc w:val="center"/>
              <w:rPr>
                <w:color w:val="auto"/>
                <w:sz w:val="18"/>
                <w:szCs w:val="18"/>
                <w:highlight w:val="none"/>
              </w:rPr>
            </w:pPr>
            <w:r>
              <w:rPr>
                <w:color w:val="auto"/>
                <w:sz w:val="18"/>
                <w:szCs w:val="18"/>
                <w:highlight w:val="none"/>
              </w:rPr>
              <w:t>名称</w:t>
            </w:r>
          </w:p>
        </w:tc>
        <w:tc>
          <w:tcPr>
            <w:tcW w:w="495" w:type="pct"/>
            <w:shd w:val="clear" w:color="000000" w:fill="FFFFFF"/>
            <w:vAlign w:val="center"/>
          </w:tcPr>
          <w:p>
            <w:pPr>
              <w:jc w:val="center"/>
              <w:rPr>
                <w:color w:val="auto"/>
                <w:sz w:val="18"/>
                <w:szCs w:val="18"/>
                <w:highlight w:val="none"/>
              </w:rPr>
            </w:pPr>
            <w:r>
              <w:rPr>
                <w:color w:val="auto"/>
                <w:sz w:val="18"/>
                <w:szCs w:val="18"/>
                <w:highlight w:val="none"/>
              </w:rPr>
              <w:t>建议</w:t>
            </w:r>
          </w:p>
          <w:p>
            <w:pPr>
              <w:jc w:val="center"/>
              <w:rPr>
                <w:color w:val="auto"/>
                <w:sz w:val="18"/>
                <w:szCs w:val="18"/>
                <w:highlight w:val="none"/>
              </w:rPr>
            </w:pPr>
            <w:r>
              <w:rPr>
                <w:color w:val="auto"/>
                <w:sz w:val="18"/>
                <w:szCs w:val="18"/>
                <w:highlight w:val="none"/>
              </w:rPr>
              <w:t>类型</w:t>
            </w:r>
          </w:p>
        </w:tc>
        <w:tc>
          <w:tcPr>
            <w:tcW w:w="2187" w:type="pct"/>
            <w:shd w:val="clear" w:color="000000" w:fill="FFFFFF"/>
            <w:vAlign w:val="center"/>
          </w:tcPr>
          <w:p>
            <w:pPr>
              <w:jc w:val="center"/>
              <w:rPr>
                <w:color w:val="auto"/>
                <w:sz w:val="18"/>
                <w:szCs w:val="18"/>
                <w:highlight w:val="none"/>
              </w:rPr>
            </w:pPr>
            <w:r>
              <w:rPr>
                <w:color w:val="auto"/>
                <w:sz w:val="18"/>
                <w:szCs w:val="18"/>
                <w:highlight w:val="none"/>
              </w:rPr>
              <w:t>主要技术指标</w:t>
            </w:r>
          </w:p>
        </w:tc>
        <w:tc>
          <w:tcPr>
            <w:tcW w:w="414" w:type="pct"/>
            <w:shd w:val="clear" w:color="000000" w:fill="FFFFFF"/>
            <w:vAlign w:val="center"/>
          </w:tcPr>
          <w:p>
            <w:pPr>
              <w:jc w:val="center"/>
              <w:rPr>
                <w:color w:val="auto"/>
                <w:sz w:val="18"/>
                <w:szCs w:val="18"/>
                <w:highlight w:val="none"/>
              </w:rPr>
            </w:pPr>
            <w:r>
              <w:rPr>
                <w:color w:val="auto"/>
                <w:sz w:val="18"/>
                <w:szCs w:val="18"/>
                <w:highlight w:val="none"/>
              </w:rPr>
              <w:t>备注</w:t>
            </w:r>
          </w:p>
        </w:tc>
        <w:tc>
          <w:tcPr>
            <w:tcW w:w="878" w:type="pct"/>
            <w:shd w:val="clear" w:color="000000" w:fill="FFFFFF"/>
            <w:vAlign w:val="center"/>
          </w:tcPr>
          <w:p>
            <w:pPr>
              <w:jc w:val="center"/>
              <w:rPr>
                <w:rFonts w:eastAsiaTheme="minorEastAsia"/>
                <w:color w:val="auto"/>
                <w:sz w:val="18"/>
                <w:szCs w:val="18"/>
                <w:highlight w:val="none"/>
              </w:rPr>
            </w:pPr>
            <w:r>
              <w:rPr>
                <w:rFonts w:eastAsiaTheme="minorEastAsia"/>
                <w:color w:val="auto"/>
                <w:kern w:val="0"/>
                <w:sz w:val="18"/>
                <w:szCs w:val="18"/>
                <w:highlight w:val="none"/>
                <w:lang w:val="zh-CN"/>
              </w:rPr>
              <w:t>推荐或相当于以下品牌产品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27" w:type="pct"/>
            <w:shd w:val="clear" w:color="000000" w:fill="FFFFFF"/>
            <w:vAlign w:val="center"/>
          </w:tcPr>
          <w:p>
            <w:pPr>
              <w:jc w:val="center"/>
              <w:rPr>
                <w:color w:val="auto"/>
                <w:sz w:val="18"/>
                <w:szCs w:val="18"/>
                <w:highlight w:val="none"/>
              </w:rPr>
            </w:pPr>
            <w:r>
              <w:rPr>
                <w:rFonts w:hint="eastAsia"/>
                <w:color w:val="auto"/>
                <w:sz w:val="18"/>
                <w:szCs w:val="18"/>
                <w:highlight w:val="none"/>
              </w:rPr>
              <w:t>1</w:t>
            </w:r>
          </w:p>
        </w:tc>
        <w:tc>
          <w:tcPr>
            <w:tcW w:w="696" w:type="pct"/>
            <w:shd w:val="clear" w:color="000000" w:fill="FFFFFF"/>
            <w:vAlign w:val="center"/>
          </w:tcPr>
          <w:p>
            <w:pPr>
              <w:spacing w:before="48" w:beforeLines="20" w:after="48" w:afterLines="20" w:line="0" w:lineRule="atLeast"/>
              <w:jc w:val="center"/>
              <w:rPr>
                <w:color w:val="auto"/>
                <w:sz w:val="18"/>
                <w:szCs w:val="18"/>
                <w:highlight w:val="none"/>
              </w:rPr>
            </w:pPr>
            <w:r>
              <w:rPr>
                <w:color w:val="auto"/>
                <w:sz w:val="18"/>
                <w:szCs w:val="18"/>
                <w:highlight w:val="none"/>
              </w:rPr>
              <w:t>水准标点</w:t>
            </w:r>
          </w:p>
        </w:tc>
        <w:tc>
          <w:tcPr>
            <w:tcW w:w="495" w:type="pct"/>
            <w:shd w:val="clear" w:color="000000" w:fill="FFFFFF"/>
            <w:vAlign w:val="center"/>
          </w:tcPr>
          <w:p>
            <w:pPr>
              <w:spacing w:before="48" w:beforeLines="20" w:after="48" w:afterLines="20" w:line="0" w:lineRule="atLeast"/>
              <w:jc w:val="center"/>
              <w:rPr>
                <w:color w:val="auto"/>
                <w:sz w:val="18"/>
                <w:szCs w:val="18"/>
                <w:highlight w:val="none"/>
              </w:rPr>
            </w:pPr>
          </w:p>
        </w:tc>
        <w:tc>
          <w:tcPr>
            <w:tcW w:w="2187" w:type="pct"/>
            <w:shd w:val="clear" w:color="000000" w:fill="FFFFFF"/>
            <w:vAlign w:val="center"/>
          </w:tcPr>
          <w:p>
            <w:pPr>
              <w:spacing w:before="48" w:beforeLines="20" w:after="48" w:afterLines="20" w:line="0" w:lineRule="atLeast"/>
              <w:rPr>
                <w:color w:val="auto"/>
                <w:sz w:val="18"/>
                <w:szCs w:val="18"/>
                <w:highlight w:val="none"/>
              </w:rPr>
            </w:pPr>
            <w:r>
              <w:rPr>
                <w:color w:val="auto"/>
                <w:sz w:val="18"/>
                <w:szCs w:val="18"/>
                <w:highlight w:val="none"/>
              </w:rPr>
              <w:t>不锈钢，外设保护盖。</w:t>
            </w:r>
          </w:p>
        </w:tc>
        <w:tc>
          <w:tcPr>
            <w:tcW w:w="414" w:type="pct"/>
            <w:shd w:val="clear" w:color="000000" w:fill="FFFFFF"/>
            <w:vAlign w:val="center"/>
          </w:tcPr>
          <w:p>
            <w:pPr>
              <w:spacing w:before="48" w:beforeLines="20" w:after="48" w:afterLines="20" w:line="0" w:lineRule="atLeast"/>
              <w:jc w:val="center"/>
              <w:rPr>
                <w:color w:val="auto"/>
                <w:sz w:val="18"/>
                <w:szCs w:val="18"/>
                <w:highlight w:val="none"/>
              </w:rPr>
            </w:pPr>
            <w:r>
              <w:rPr>
                <w:rFonts w:hint="eastAsia" w:ascii="宋体" w:hAnsi="宋体" w:cs="宋体"/>
                <w:color w:val="auto"/>
                <w:sz w:val="18"/>
                <w:szCs w:val="18"/>
                <w:highlight w:val="none"/>
              </w:rPr>
              <w:t>定制</w:t>
            </w:r>
          </w:p>
        </w:tc>
        <w:tc>
          <w:tcPr>
            <w:tcW w:w="878" w:type="pct"/>
            <w:shd w:val="clear" w:color="000000" w:fill="FFFFFF"/>
            <w:vAlign w:val="center"/>
          </w:tcPr>
          <w:p>
            <w:pPr>
              <w:spacing w:before="48" w:beforeLines="20" w:after="48" w:afterLines="20" w:line="0" w:lineRule="atLeast"/>
              <w:jc w:val="center"/>
              <w:rPr>
                <w:rFonts w:ascii="宋体" w:hAnsi="宋体" w:cs="宋体"/>
                <w:color w:val="auto"/>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27" w:type="pct"/>
            <w:shd w:val="clear" w:color="000000" w:fill="FFFFFF"/>
            <w:vAlign w:val="center"/>
          </w:tcPr>
          <w:p>
            <w:pPr>
              <w:jc w:val="center"/>
              <w:rPr>
                <w:color w:val="auto"/>
                <w:sz w:val="18"/>
                <w:szCs w:val="18"/>
                <w:highlight w:val="none"/>
              </w:rPr>
            </w:pPr>
            <w:r>
              <w:rPr>
                <w:rFonts w:hint="eastAsia"/>
                <w:color w:val="auto"/>
                <w:sz w:val="18"/>
                <w:szCs w:val="18"/>
                <w:highlight w:val="none"/>
              </w:rPr>
              <w:t>2</w:t>
            </w:r>
          </w:p>
        </w:tc>
        <w:tc>
          <w:tcPr>
            <w:tcW w:w="696" w:type="pct"/>
            <w:shd w:val="clear" w:color="000000" w:fill="FFFFFF"/>
            <w:vAlign w:val="center"/>
          </w:tcPr>
          <w:p>
            <w:pPr>
              <w:spacing w:before="48" w:beforeLines="20" w:after="48" w:afterLines="20" w:line="0" w:lineRule="atLeast"/>
              <w:jc w:val="center"/>
              <w:rPr>
                <w:color w:val="auto"/>
                <w:sz w:val="18"/>
                <w:szCs w:val="18"/>
                <w:highlight w:val="none"/>
              </w:rPr>
            </w:pPr>
            <w:r>
              <w:rPr>
                <w:color w:val="auto"/>
                <w:sz w:val="18"/>
                <w:szCs w:val="18"/>
                <w:highlight w:val="none"/>
              </w:rPr>
              <w:t>测压管</w:t>
            </w:r>
          </w:p>
        </w:tc>
        <w:tc>
          <w:tcPr>
            <w:tcW w:w="495" w:type="pct"/>
            <w:shd w:val="clear" w:color="000000" w:fill="FFFFFF"/>
            <w:vAlign w:val="center"/>
          </w:tcPr>
          <w:p>
            <w:pPr>
              <w:spacing w:before="48" w:beforeLines="20" w:after="48" w:afterLines="20" w:line="0" w:lineRule="atLeast"/>
              <w:jc w:val="center"/>
              <w:rPr>
                <w:color w:val="auto"/>
                <w:sz w:val="18"/>
                <w:szCs w:val="18"/>
                <w:highlight w:val="none"/>
              </w:rPr>
            </w:pPr>
          </w:p>
        </w:tc>
        <w:tc>
          <w:tcPr>
            <w:tcW w:w="2187" w:type="pct"/>
            <w:shd w:val="clear" w:color="000000" w:fill="FFFFFF"/>
            <w:vAlign w:val="center"/>
          </w:tcPr>
          <w:p>
            <w:pPr>
              <w:spacing w:before="48" w:beforeLines="20" w:after="48" w:afterLines="20" w:line="0" w:lineRule="atLeast"/>
              <w:jc w:val="left"/>
              <w:rPr>
                <w:color w:val="auto"/>
                <w:sz w:val="18"/>
                <w:szCs w:val="18"/>
                <w:highlight w:val="none"/>
              </w:rPr>
            </w:pPr>
            <w:r>
              <w:rPr>
                <w:rFonts w:ascii="Cambria Math" w:hAnsi="Cambria Math" w:cs="Cambria Math"/>
                <w:color w:val="auto"/>
                <w:sz w:val="18"/>
                <w:szCs w:val="18"/>
                <w:highlight w:val="none"/>
              </w:rPr>
              <w:t>∅</w:t>
            </w:r>
            <w:r>
              <w:rPr>
                <w:color w:val="auto"/>
                <w:sz w:val="18"/>
                <w:szCs w:val="18"/>
                <w:highlight w:val="none"/>
              </w:rPr>
              <w:t xml:space="preserve"> 50PVC，壁厚≥3.5mm。</w:t>
            </w:r>
          </w:p>
        </w:tc>
        <w:tc>
          <w:tcPr>
            <w:tcW w:w="414" w:type="pct"/>
            <w:shd w:val="clear" w:color="000000" w:fill="FFFFFF"/>
            <w:vAlign w:val="center"/>
          </w:tcPr>
          <w:p>
            <w:pPr>
              <w:pStyle w:val="740"/>
              <w:spacing w:line="240" w:lineRule="auto"/>
              <w:ind w:firstLine="0" w:firstLineChars="0"/>
              <w:rPr>
                <w:rFonts w:ascii="Times New Roman" w:hAnsi="Times New Roman" w:eastAsia="宋体"/>
                <w:color w:val="auto"/>
                <w:sz w:val="18"/>
                <w:szCs w:val="18"/>
                <w:highlight w:val="none"/>
              </w:rPr>
            </w:pPr>
          </w:p>
        </w:tc>
        <w:tc>
          <w:tcPr>
            <w:tcW w:w="878" w:type="pct"/>
            <w:shd w:val="clear" w:color="000000" w:fill="FFFFFF"/>
            <w:vAlign w:val="center"/>
          </w:tcPr>
          <w:p>
            <w:pPr>
              <w:pStyle w:val="740"/>
              <w:spacing w:line="240" w:lineRule="auto"/>
              <w:ind w:firstLine="0" w:firstLineChars="0"/>
              <w:rPr>
                <w:rFonts w:ascii="Times New Roman" w:hAnsi="Times New Roman" w:eastAsia="宋体"/>
                <w:color w:val="auto"/>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27" w:type="pct"/>
            <w:shd w:val="clear" w:color="000000" w:fill="FFFFFF"/>
            <w:vAlign w:val="center"/>
          </w:tcPr>
          <w:p>
            <w:pPr>
              <w:jc w:val="center"/>
              <w:rPr>
                <w:color w:val="auto"/>
                <w:sz w:val="18"/>
                <w:szCs w:val="18"/>
                <w:highlight w:val="none"/>
              </w:rPr>
            </w:pPr>
            <w:r>
              <w:rPr>
                <w:rFonts w:hint="eastAsia"/>
                <w:color w:val="auto"/>
                <w:sz w:val="18"/>
                <w:szCs w:val="18"/>
                <w:highlight w:val="none"/>
              </w:rPr>
              <w:t>3</w:t>
            </w:r>
          </w:p>
        </w:tc>
        <w:tc>
          <w:tcPr>
            <w:tcW w:w="696" w:type="pct"/>
            <w:shd w:val="clear" w:color="000000" w:fill="FFFFFF"/>
            <w:vAlign w:val="center"/>
          </w:tcPr>
          <w:p>
            <w:pPr>
              <w:spacing w:before="48" w:beforeLines="20" w:after="48" w:afterLines="20" w:line="0" w:lineRule="atLeast"/>
              <w:jc w:val="center"/>
              <w:rPr>
                <w:color w:val="auto"/>
                <w:sz w:val="18"/>
                <w:szCs w:val="18"/>
                <w:highlight w:val="none"/>
              </w:rPr>
            </w:pPr>
            <w:r>
              <w:rPr>
                <w:color w:val="auto"/>
                <w:sz w:val="18"/>
                <w:szCs w:val="18"/>
                <w:highlight w:val="none"/>
              </w:rPr>
              <w:t>渗压计</w:t>
            </w:r>
          </w:p>
        </w:tc>
        <w:tc>
          <w:tcPr>
            <w:tcW w:w="495" w:type="pct"/>
            <w:shd w:val="clear" w:color="000000" w:fill="FFFFFF"/>
            <w:vAlign w:val="center"/>
          </w:tcPr>
          <w:p>
            <w:pPr>
              <w:spacing w:before="48" w:beforeLines="20" w:after="48" w:afterLines="20" w:line="0" w:lineRule="atLeast"/>
              <w:jc w:val="center"/>
              <w:rPr>
                <w:color w:val="auto"/>
                <w:sz w:val="18"/>
                <w:szCs w:val="18"/>
                <w:highlight w:val="none"/>
              </w:rPr>
            </w:pPr>
            <w:r>
              <w:rPr>
                <w:color w:val="auto"/>
                <w:sz w:val="18"/>
                <w:szCs w:val="18"/>
                <w:highlight w:val="none"/>
              </w:rPr>
              <w:t>振弦式</w:t>
            </w:r>
          </w:p>
        </w:tc>
        <w:tc>
          <w:tcPr>
            <w:tcW w:w="2187" w:type="pct"/>
            <w:shd w:val="clear" w:color="000000" w:fill="FFFFFF"/>
            <w:vAlign w:val="center"/>
          </w:tcPr>
          <w:p>
            <w:pPr>
              <w:spacing w:before="48" w:beforeLines="20" w:after="48" w:afterLines="20" w:line="0" w:lineRule="atLeast"/>
              <w:rPr>
                <w:color w:val="auto"/>
                <w:sz w:val="18"/>
                <w:szCs w:val="18"/>
                <w:highlight w:val="none"/>
              </w:rPr>
            </w:pPr>
            <w:r>
              <w:rPr>
                <w:rFonts w:eastAsiaTheme="minorEastAsia"/>
                <w:color w:val="auto"/>
                <w:sz w:val="18"/>
                <w:szCs w:val="18"/>
                <w:highlight w:val="none"/>
              </w:rPr>
              <w:t>标准量程：</w:t>
            </w:r>
            <w:r>
              <w:rPr>
                <w:color w:val="auto"/>
                <w:sz w:val="18"/>
                <w:szCs w:val="18"/>
                <w:highlight w:val="none"/>
              </w:rPr>
              <w:t>0.35/0.7</w:t>
            </w:r>
            <w:r>
              <w:rPr>
                <w:rFonts w:hint="eastAsia"/>
                <w:color w:val="auto"/>
                <w:sz w:val="18"/>
                <w:szCs w:val="18"/>
                <w:highlight w:val="none"/>
              </w:rPr>
              <w:t>MPa</w:t>
            </w:r>
            <w:r>
              <w:rPr>
                <w:rFonts w:eastAsiaTheme="minorEastAsia"/>
                <w:color w:val="auto"/>
                <w:sz w:val="18"/>
                <w:szCs w:val="18"/>
                <w:highlight w:val="none"/>
              </w:rPr>
              <w:t>；非线性度：≤2%F.S.；不重复度：≤0.5% F.S.；分辨力≤0.1% F.S.；综合误差：≤2.5% F.S.。</w:t>
            </w:r>
            <w:r>
              <w:rPr>
                <w:rFonts w:hint="eastAsia"/>
                <w:color w:val="auto"/>
                <w:sz w:val="18"/>
                <w:szCs w:val="18"/>
                <w:highlight w:val="none"/>
              </w:rPr>
              <w:t>工作温度：-20℃～+60℃。</w:t>
            </w:r>
          </w:p>
        </w:tc>
        <w:tc>
          <w:tcPr>
            <w:tcW w:w="414" w:type="pct"/>
            <w:shd w:val="clear" w:color="000000" w:fill="FFFFFF"/>
            <w:vAlign w:val="center"/>
          </w:tcPr>
          <w:p>
            <w:pPr>
              <w:spacing w:before="48" w:beforeLines="20" w:after="48" w:afterLines="20" w:line="0" w:lineRule="atLeast"/>
              <w:jc w:val="center"/>
              <w:rPr>
                <w:color w:val="auto"/>
                <w:sz w:val="18"/>
                <w:szCs w:val="18"/>
                <w:highlight w:val="none"/>
              </w:rPr>
            </w:pPr>
          </w:p>
        </w:tc>
        <w:tc>
          <w:tcPr>
            <w:tcW w:w="878"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spacing w:before="48" w:beforeLines="20" w:after="48" w:afterLines="20" w:line="0" w:lineRule="atLeast"/>
              <w:jc w:val="center"/>
              <w:rPr>
                <w:rFonts w:ascii="宋体" w:hAnsi="宋体" w:cs="宋体"/>
                <w:color w:val="auto"/>
                <w:sz w:val="18"/>
                <w:szCs w:val="18"/>
                <w:highlight w:val="none"/>
              </w:rPr>
            </w:pPr>
            <w:r>
              <w:rPr>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27" w:type="pct"/>
            <w:shd w:val="clear" w:color="000000" w:fill="FFFFFF"/>
            <w:vAlign w:val="center"/>
          </w:tcPr>
          <w:p>
            <w:pPr>
              <w:jc w:val="center"/>
              <w:rPr>
                <w:color w:val="auto"/>
                <w:sz w:val="18"/>
                <w:szCs w:val="18"/>
                <w:highlight w:val="none"/>
              </w:rPr>
            </w:pPr>
            <w:r>
              <w:rPr>
                <w:rFonts w:hint="eastAsia"/>
                <w:color w:val="auto"/>
                <w:sz w:val="18"/>
                <w:szCs w:val="18"/>
                <w:highlight w:val="none"/>
              </w:rPr>
              <w:t>4</w:t>
            </w:r>
          </w:p>
        </w:tc>
        <w:tc>
          <w:tcPr>
            <w:tcW w:w="1167" w:type="dxa"/>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渗压计</w:t>
            </w:r>
          </w:p>
        </w:tc>
        <w:tc>
          <w:tcPr>
            <w:tcW w:w="830" w:type="dxa"/>
            <w:shd w:val="clear" w:color="000000" w:fill="FFFFFF"/>
            <w:vAlign w:val="center"/>
          </w:tcPr>
          <w:p>
            <w:pPr>
              <w:pStyle w:val="740"/>
              <w:autoSpaceDE/>
              <w:autoSpaceDN/>
              <w:adjustRightInd/>
              <w:snapToGri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FBG</w:t>
            </w:r>
          </w:p>
        </w:tc>
        <w:tc>
          <w:tcPr>
            <w:tcW w:w="3667" w:type="dxa"/>
            <w:shd w:val="clear" w:color="000000" w:fill="FFFFFF"/>
            <w:vAlign w:val="center"/>
          </w:tcPr>
          <w:p>
            <w:pPr>
              <w:pStyle w:val="740"/>
              <w:autoSpaceDE/>
              <w:autoSpaceDN/>
              <w:adjustRightInd/>
              <w:snapToGri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量程：</w:t>
            </w:r>
            <w:r>
              <w:rPr>
                <w:rFonts w:ascii="Times New Roman" w:hAnsi="Times New Roman" w:eastAsia="宋体"/>
                <w:snapToGrid/>
                <w:color w:val="auto"/>
                <w:kern w:val="2"/>
                <w:sz w:val="18"/>
                <w:szCs w:val="18"/>
                <w:highlight w:val="none"/>
              </w:rPr>
              <w:t>0.35/0.7</w:t>
            </w:r>
            <w:r>
              <w:rPr>
                <w:rFonts w:hint="eastAsia" w:ascii="Times New Roman" w:hAnsi="Times New Roman" w:eastAsia="宋体"/>
                <w:snapToGrid/>
                <w:color w:val="auto"/>
                <w:kern w:val="2"/>
                <w:sz w:val="18"/>
                <w:szCs w:val="18"/>
                <w:highlight w:val="none"/>
              </w:rPr>
              <w:t>MPa；非线性度：≤1.0%F.S.；分辨力：0.1%F.S.；工作温度：-20℃～+60℃。</w:t>
            </w:r>
          </w:p>
        </w:tc>
        <w:tc>
          <w:tcPr>
            <w:tcW w:w="694" w:type="dxa"/>
            <w:shd w:val="clear" w:color="000000" w:fill="FFFFFF"/>
            <w:vAlign w:val="center"/>
          </w:tcPr>
          <w:p>
            <w:pPr>
              <w:spacing w:before="48" w:beforeLines="20" w:after="48" w:afterLines="20" w:line="0" w:lineRule="atLeast"/>
              <w:rPr>
                <w:color w:val="auto"/>
                <w:sz w:val="18"/>
                <w:szCs w:val="18"/>
                <w:highlight w:val="none"/>
              </w:rPr>
            </w:pPr>
          </w:p>
        </w:tc>
        <w:tc>
          <w:tcPr>
            <w:tcW w:w="1473" w:type="dxa"/>
            <w:shd w:val="clear" w:color="000000" w:fill="FFFFFF"/>
            <w:vAlign w:val="center"/>
          </w:tcPr>
          <w:p>
            <w:pPr>
              <w:autoSpaceDE w:val="0"/>
              <w:autoSpaceDN w:val="0"/>
              <w:adjustRightInd w:val="0"/>
              <w:snapToGrid w:val="0"/>
              <w:jc w:val="center"/>
              <w:textAlignment w:val="baseline"/>
              <w:rPr>
                <w:color w:val="auto"/>
                <w:sz w:val="18"/>
                <w:szCs w:val="18"/>
                <w:highlight w:val="none"/>
                <w:lang w:val="zh-CN"/>
              </w:rPr>
            </w:pPr>
            <w:r>
              <w:rPr>
                <w:color w:val="auto"/>
                <w:sz w:val="18"/>
                <w:szCs w:val="18"/>
                <w:highlight w:val="none"/>
                <w:lang w:val="zh-CN"/>
              </w:rPr>
              <w:t>北京基康、</w:t>
            </w:r>
          </w:p>
          <w:p>
            <w:pPr>
              <w:autoSpaceDE w:val="0"/>
              <w:autoSpaceDN w:val="0"/>
              <w:adjustRightInd w:val="0"/>
              <w:snapToGrid w:val="0"/>
              <w:jc w:val="center"/>
              <w:textAlignment w:val="baseline"/>
              <w:rPr>
                <w:rFonts w:ascii="宋体" w:hAnsi="宋体" w:cs="宋体"/>
                <w:color w:val="auto"/>
                <w:sz w:val="18"/>
                <w:szCs w:val="18"/>
                <w:highlight w:val="none"/>
              </w:rPr>
            </w:pPr>
            <w:r>
              <w:rPr>
                <w:color w:val="auto"/>
                <w:sz w:val="18"/>
                <w:szCs w:val="18"/>
                <w:highlight w:val="none"/>
                <w:lang w:val="zh-CN"/>
              </w:rPr>
              <w:t>苏州南智传感、南京南瑞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27" w:type="pct"/>
            <w:shd w:val="clear" w:color="000000" w:fill="FFFFFF"/>
            <w:vAlign w:val="center"/>
          </w:tcPr>
          <w:p>
            <w:pPr>
              <w:jc w:val="center"/>
              <w:rPr>
                <w:color w:val="auto"/>
                <w:sz w:val="18"/>
                <w:szCs w:val="18"/>
                <w:highlight w:val="none"/>
              </w:rPr>
            </w:pPr>
            <w:r>
              <w:rPr>
                <w:rFonts w:hint="eastAsia"/>
                <w:color w:val="auto"/>
                <w:sz w:val="18"/>
                <w:szCs w:val="18"/>
                <w:highlight w:val="none"/>
              </w:rPr>
              <w:t>5</w:t>
            </w:r>
          </w:p>
        </w:tc>
        <w:tc>
          <w:tcPr>
            <w:tcW w:w="1167" w:type="dxa"/>
            <w:shd w:val="clear" w:color="000000" w:fill="FFFFFF"/>
            <w:vAlign w:val="center"/>
          </w:tcPr>
          <w:p>
            <w:pPr>
              <w:pStyle w:val="740"/>
              <w:autoSpaceDE/>
              <w:autoSpaceDN/>
              <w:adjustRightInd/>
              <w:snapToGrid/>
              <w:spacing w:line="240" w:lineRule="auto"/>
              <w:ind w:firstLine="0" w:firstLineChars="0"/>
              <w:jc w:val="center"/>
              <w:rPr>
                <w:color w:val="auto"/>
                <w:sz w:val="18"/>
                <w:szCs w:val="18"/>
                <w:highlight w:val="none"/>
              </w:rPr>
            </w:pPr>
            <w:r>
              <w:rPr>
                <w:rFonts w:ascii="Times New Roman" w:hAnsi="Times New Roman" w:eastAsia="宋体"/>
                <w:snapToGrid/>
                <w:color w:val="auto"/>
                <w:kern w:val="2"/>
                <w:sz w:val="18"/>
                <w:szCs w:val="18"/>
                <w:highlight w:val="none"/>
              </w:rPr>
              <w:t>钢筋计</w:t>
            </w:r>
          </w:p>
        </w:tc>
        <w:tc>
          <w:tcPr>
            <w:tcW w:w="830" w:type="dxa"/>
            <w:shd w:val="clear" w:color="000000" w:fill="FFFFFF"/>
            <w:vAlign w:val="center"/>
          </w:tcPr>
          <w:p>
            <w:pPr>
              <w:pStyle w:val="740"/>
              <w:autoSpaceDE/>
              <w:autoSpaceDN/>
              <w:adjustRightInd/>
              <w:snapToGrid/>
              <w:spacing w:line="240" w:lineRule="auto"/>
              <w:ind w:firstLine="0" w:firstLineChars="0"/>
              <w:jc w:val="center"/>
              <w:rPr>
                <w:color w:val="auto"/>
                <w:sz w:val="18"/>
                <w:szCs w:val="18"/>
                <w:highlight w:val="none"/>
              </w:rPr>
            </w:pPr>
            <w:r>
              <w:rPr>
                <w:rFonts w:ascii="Times New Roman" w:hAnsi="Times New Roman" w:eastAsia="宋体"/>
                <w:snapToGrid/>
                <w:color w:val="auto"/>
                <w:kern w:val="2"/>
                <w:sz w:val="18"/>
                <w:szCs w:val="18"/>
                <w:highlight w:val="none"/>
              </w:rPr>
              <w:t>振弦式</w:t>
            </w:r>
          </w:p>
        </w:tc>
        <w:tc>
          <w:tcPr>
            <w:tcW w:w="3667" w:type="dxa"/>
            <w:shd w:val="clear" w:color="000000" w:fill="FFFFFF"/>
            <w:vAlign w:val="center"/>
          </w:tcPr>
          <w:p>
            <w:pPr>
              <w:pStyle w:val="740"/>
              <w:autoSpaceDE/>
              <w:autoSpaceDN/>
              <w:adjustRightInd/>
              <w:snapToGrid/>
              <w:spacing w:line="240" w:lineRule="auto"/>
              <w:ind w:firstLine="0" w:firstLineChars="0"/>
              <w:rPr>
                <w:color w:val="auto"/>
                <w:sz w:val="18"/>
                <w:szCs w:val="18"/>
                <w:highlight w:val="none"/>
              </w:rPr>
            </w:pPr>
            <w:r>
              <w:rPr>
                <w:rFonts w:hint="eastAsia" w:ascii="Times New Roman" w:hAnsi="Times New Roman" w:eastAsia="宋体"/>
                <w:snapToGrid/>
                <w:color w:val="auto"/>
                <w:kern w:val="2"/>
                <w:sz w:val="18"/>
                <w:szCs w:val="18"/>
                <w:highlight w:val="none"/>
              </w:rPr>
              <w:t>标准量程：压缩0～100MPa，拉伸0～400MPa；非线性度：≤2% F.S.；不重复度：≤0.5% F.S.；分辨力≤0.2% F.S.；综合误差：≤2.5% F.S.；温度范围：-20℃～+</w:t>
            </w:r>
            <w:r>
              <w:rPr>
                <w:rFonts w:ascii="Times New Roman" w:hAnsi="Times New Roman" w:eastAsia="宋体"/>
                <w:snapToGrid/>
                <w:color w:val="auto"/>
                <w:kern w:val="2"/>
                <w:sz w:val="18"/>
                <w:szCs w:val="18"/>
                <w:highlight w:val="none"/>
              </w:rPr>
              <w:t>6</w:t>
            </w:r>
            <w:r>
              <w:rPr>
                <w:rFonts w:hint="eastAsia" w:ascii="Times New Roman" w:hAnsi="Times New Roman" w:eastAsia="宋体"/>
                <w:snapToGrid/>
                <w:color w:val="auto"/>
                <w:kern w:val="2"/>
                <w:sz w:val="18"/>
                <w:szCs w:val="18"/>
                <w:highlight w:val="none"/>
              </w:rPr>
              <w:t>0℃；耐 水 压： ≥0.5MPa。连接杆应与被测钢筋材质和规格相同</w:t>
            </w:r>
            <w:r>
              <w:rPr>
                <w:rFonts w:ascii="Times New Roman" w:hAnsi="Times New Roman" w:eastAsia="宋体"/>
                <w:snapToGrid/>
                <w:color w:val="auto"/>
                <w:kern w:val="2"/>
                <w:sz w:val="18"/>
                <w:szCs w:val="18"/>
                <w:highlight w:val="none"/>
              </w:rPr>
              <w:t>。</w:t>
            </w:r>
          </w:p>
        </w:tc>
        <w:tc>
          <w:tcPr>
            <w:tcW w:w="694" w:type="dxa"/>
            <w:shd w:val="clear" w:color="000000" w:fill="FFFFFF"/>
            <w:vAlign w:val="center"/>
          </w:tcPr>
          <w:p>
            <w:pPr>
              <w:spacing w:before="48" w:beforeLines="20" w:after="48" w:afterLines="20" w:line="0" w:lineRule="atLeast"/>
              <w:rPr>
                <w:color w:val="auto"/>
                <w:sz w:val="18"/>
                <w:szCs w:val="18"/>
                <w:highlight w:val="none"/>
              </w:rPr>
            </w:pPr>
          </w:p>
        </w:tc>
        <w:tc>
          <w:tcPr>
            <w:tcW w:w="1473" w:type="dxa"/>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27" w:type="pct"/>
            <w:shd w:val="clear" w:color="000000" w:fill="FFFFFF"/>
            <w:vAlign w:val="center"/>
          </w:tcPr>
          <w:p>
            <w:pPr>
              <w:jc w:val="center"/>
              <w:rPr>
                <w:color w:val="auto"/>
                <w:sz w:val="18"/>
                <w:szCs w:val="18"/>
                <w:highlight w:val="none"/>
              </w:rPr>
            </w:pPr>
            <w:r>
              <w:rPr>
                <w:rFonts w:hint="eastAsia"/>
                <w:color w:val="auto"/>
                <w:sz w:val="18"/>
                <w:szCs w:val="18"/>
                <w:highlight w:val="none"/>
              </w:rPr>
              <w:t>6</w:t>
            </w:r>
          </w:p>
        </w:tc>
        <w:tc>
          <w:tcPr>
            <w:tcW w:w="696" w:type="pct"/>
            <w:shd w:val="clear" w:color="000000" w:fill="FFFFFF"/>
            <w:vAlign w:val="center"/>
          </w:tcPr>
          <w:p>
            <w:pPr>
              <w:spacing w:before="48" w:beforeLines="20" w:after="48" w:afterLines="20" w:line="0" w:lineRule="atLeast"/>
              <w:jc w:val="center"/>
              <w:rPr>
                <w:color w:val="auto"/>
                <w:sz w:val="18"/>
                <w:szCs w:val="18"/>
                <w:highlight w:val="none"/>
              </w:rPr>
            </w:pPr>
            <w:r>
              <w:rPr>
                <w:color w:val="auto"/>
                <w:sz w:val="18"/>
                <w:szCs w:val="18"/>
                <w:highlight w:val="none"/>
              </w:rPr>
              <w:t>水位标尺</w:t>
            </w:r>
          </w:p>
        </w:tc>
        <w:tc>
          <w:tcPr>
            <w:tcW w:w="495" w:type="pct"/>
            <w:shd w:val="clear" w:color="000000" w:fill="FFFFFF"/>
            <w:vAlign w:val="center"/>
          </w:tcPr>
          <w:p>
            <w:pPr>
              <w:spacing w:before="48" w:beforeLines="20" w:after="48" w:afterLines="20" w:line="0" w:lineRule="atLeast"/>
              <w:jc w:val="center"/>
              <w:rPr>
                <w:color w:val="auto"/>
                <w:sz w:val="18"/>
                <w:szCs w:val="18"/>
                <w:highlight w:val="none"/>
              </w:rPr>
            </w:pPr>
          </w:p>
        </w:tc>
        <w:tc>
          <w:tcPr>
            <w:tcW w:w="2187" w:type="pct"/>
            <w:shd w:val="clear" w:color="000000" w:fill="FFFFFF"/>
            <w:vAlign w:val="center"/>
          </w:tcPr>
          <w:p>
            <w:pPr>
              <w:spacing w:before="48" w:beforeLines="20" w:after="48" w:afterLines="20" w:line="0" w:lineRule="atLeast"/>
              <w:rPr>
                <w:color w:val="auto"/>
                <w:sz w:val="18"/>
                <w:szCs w:val="18"/>
                <w:highlight w:val="none"/>
              </w:rPr>
            </w:pPr>
            <w:r>
              <w:rPr>
                <w:rFonts w:hint="eastAsia" w:eastAsiaTheme="minorEastAsia"/>
                <w:color w:val="auto"/>
                <w:sz w:val="18"/>
                <w:szCs w:val="18"/>
                <w:highlight w:val="none"/>
              </w:rPr>
              <w:t>不锈钢</w:t>
            </w:r>
            <w:r>
              <w:rPr>
                <w:rFonts w:eastAsiaTheme="minorEastAsia"/>
                <w:color w:val="auto"/>
                <w:sz w:val="18"/>
                <w:szCs w:val="18"/>
                <w:highlight w:val="none"/>
              </w:rPr>
              <w:t>材质，宽20cm，最小读数：1cm。</w:t>
            </w:r>
          </w:p>
        </w:tc>
        <w:tc>
          <w:tcPr>
            <w:tcW w:w="414" w:type="pct"/>
            <w:shd w:val="clear" w:color="000000" w:fill="FFFFFF"/>
            <w:vAlign w:val="center"/>
          </w:tcPr>
          <w:p>
            <w:pPr>
              <w:autoSpaceDE w:val="0"/>
              <w:autoSpaceDN w:val="0"/>
              <w:adjustRightInd w:val="0"/>
              <w:spacing w:before="48" w:beforeLines="20" w:after="48" w:afterLines="20" w:line="0" w:lineRule="atLeast"/>
              <w:jc w:val="center"/>
              <w:textAlignment w:val="baseline"/>
              <w:rPr>
                <w:color w:val="auto"/>
                <w:kern w:val="0"/>
                <w:sz w:val="18"/>
                <w:szCs w:val="18"/>
                <w:highlight w:val="none"/>
                <w:lang w:val="zh-CN"/>
              </w:rPr>
            </w:pPr>
            <w:r>
              <w:rPr>
                <w:rFonts w:hint="eastAsia" w:ascii="宋体" w:hAnsi="宋体" w:cs="宋体"/>
                <w:color w:val="auto"/>
                <w:sz w:val="18"/>
                <w:szCs w:val="18"/>
                <w:highlight w:val="none"/>
              </w:rPr>
              <w:t>定制</w:t>
            </w:r>
          </w:p>
        </w:tc>
        <w:tc>
          <w:tcPr>
            <w:tcW w:w="878" w:type="pct"/>
            <w:shd w:val="clear" w:color="000000" w:fill="FFFFFF"/>
            <w:vAlign w:val="center"/>
          </w:tcPr>
          <w:p>
            <w:pPr>
              <w:autoSpaceDE w:val="0"/>
              <w:autoSpaceDN w:val="0"/>
              <w:adjustRightInd w:val="0"/>
              <w:spacing w:before="48" w:beforeLines="20" w:after="48" w:afterLines="20" w:line="0" w:lineRule="atLeast"/>
              <w:jc w:val="center"/>
              <w:textAlignment w:val="baseline"/>
              <w:rPr>
                <w:rFonts w:ascii="宋体" w:hAnsi="宋体" w:cs="宋体"/>
                <w:color w:val="auto"/>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27" w:type="pct"/>
            <w:shd w:val="clear" w:color="000000" w:fill="FFFFFF"/>
            <w:vAlign w:val="center"/>
          </w:tcPr>
          <w:p>
            <w:pPr>
              <w:jc w:val="center"/>
              <w:rPr>
                <w:color w:val="auto"/>
                <w:sz w:val="18"/>
                <w:szCs w:val="18"/>
                <w:highlight w:val="none"/>
              </w:rPr>
            </w:pPr>
            <w:r>
              <w:rPr>
                <w:rFonts w:hint="eastAsia"/>
                <w:color w:val="auto"/>
                <w:sz w:val="18"/>
                <w:szCs w:val="18"/>
                <w:highlight w:val="none"/>
              </w:rPr>
              <w:t>7</w:t>
            </w:r>
          </w:p>
        </w:tc>
        <w:tc>
          <w:tcPr>
            <w:tcW w:w="696" w:type="pct"/>
            <w:shd w:val="clear" w:color="000000" w:fill="FFFFFF"/>
            <w:vAlign w:val="center"/>
          </w:tcPr>
          <w:p>
            <w:pPr>
              <w:spacing w:before="48" w:beforeLines="20" w:after="48" w:afterLines="20" w:line="0" w:lineRule="atLeast"/>
              <w:jc w:val="center"/>
              <w:rPr>
                <w:color w:val="auto"/>
                <w:sz w:val="18"/>
                <w:szCs w:val="18"/>
                <w:highlight w:val="none"/>
              </w:rPr>
            </w:pPr>
            <w:r>
              <w:rPr>
                <w:color w:val="auto"/>
                <w:sz w:val="18"/>
                <w:szCs w:val="18"/>
                <w:highlight w:val="none"/>
              </w:rPr>
              <w:t>水位计</w:t>
            </w:r>
          </w:p>
        </w:tc>
        <w:tc>
          <w:tcPr>
            <w:tcW w:w="495" w:type="pct"/>
            <w:shd w:val="clear" w:color="000000" w:fill="FFFFFF"/>
            <w:vAlign w:val="center"/>
          </w:tcPr>
          <w:p>
            <w:pPr>
              <w:spacing w:before="48" w:beforeLines="20" w:after="48" w:afterLines="20" w:line="0" w:lineRule="atLeast"/>
              <w:jc w:val="center"/>
              <w:rPr>
                <w:color w:val="auto"/>
                <w:sz w:val="18"/>
                <w:szCs w:val="18"/>
                <w:highlight w:val="none"/>
              </w:rPr>
            </w:pPr>
            <w:r>
              <w:rPr>
                <w:color w:val="auto"/>
                <w:sz w:val="18"/>
                <w:szCs w:val="18"/>
                <w:highlight w:val="none"/>
              </w:rPr>
              <w:t>振弦式</w:t>
            </w:r>
          </w:p>
        </w:tc>
        <w:tc>
          <w:tcPr>
            <w:tcW w:w="3667" w:type="dxa"/>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ascii="Times New Roman" w:hAnsi="Times New Roman" w:eastAsiaTheme="minorEastAsia"/>
                <w:snapToGrid/>
                <w:color w:val="auto"/>
                <w:kern w:val="2"/>
                <w:sz w:val="18"/>
                <w:szCs w:val="18"/>
                <w:highlight w:val="none"/>
              </w:rPr>
              <w:t>标准量程：0.35/0.7MPa ；非线性度：≤2%F.S.；不重复度：≤0.5% F.S.；分辨力≤0.1% F.S.；综合误差：≤2.5% F.S.。</w:t>
            </w:r>
            <w:r>
              <w:rPr>
                <w:rFonts w:hint="eastAsia" w:ascii="Times New Roman" w:hAnsi="Times New Roman" w:eastAsia="宋体"/>
                <w:snapToGrid/>
                <w:color w:val="auto"/>
                <w:kern w:val="2"/>
                <w:sz w:val="18"/>
                <w:szCs w:val="18"/>
                <w:highlight w:val="none"/>
              </w:rPr>
              <w:t>工作温度：-20℃～+60℃。</w:t>
            </w:r>
            <w:r>
              <w:rPr>
                <w:rFonts w:ascii="Times New Roman" w:hAnsi="Times New Roman" w:eastAsiaTheme="minorEastAsia"/>
                <w:snapToGrid/>
                <w:color w:val="auto"/>
                <w:kern w:val="2"/>
                <w:sz w:val="18"/>
                <w:szCs w:val="18"/>
                <w:highlight w:val="none"/>
              </w:rPr>
              <w:t xml:space="preserve">            </w:t>
            </w:r>
          </w:p>
        </w:tc>
        <w:tc>
          <w:tcPr>
            <w:tcW w:w="694" w:type="dxa"/>
            <w:shd w:val="clear" w:color="000000" w:fill="FFFFFF"/>
            <w:vAlign w:val="center"/>
          </w:tcPr>
          <w:p>
            <w:pPr>
              <w:spacing w:before="48" w:beforeLines="20" w:after="48" w:afterLines="20" w:line="0" w:lineRule="atLeast"/>
              <w:jc w:val="center"/>
              <w:rPr>
                <w:color w:val="auto"/>
                <w:sz w:val="18"/>
                <w:szCs w:val="18"/>
                <w:highlight w:val="none"/>
              </w:rPr>
            </w:pPr>
          </w:p>
        </w:tc>
        <w:tc>
          <w:tcPr>
            <w:tcW w:w="1473" w:type="dxa"/>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spacing w:before="48" w:beforeLines="20" w:after="48" w:afterLines="20" w:line="0" w:lineRule="atLeast"/>
              <w:jc w:val="center"/>
              <w:rPr>
                <w:rFonts w:ascii="宋体" w:hAnsi="宋体" w:cs="宋体"/>
                <w:color w:val="auto"/>
                <w:sz w:val="18"/>
                <w:szCs w:val="18"/>
                <w:highlight w:val="none"/>
              </w:rPr>
            </w:pPr>
            <w:r>
              <w:rPr>
                <w:color w:val="auto"/>
                <w:sz w:val="18"/>
                <w:szCs w:val="18"/>
                <w:highlight w:val="none"/>
              </w:rPr>
              <w:t>南京水文所</w:t>
            </w:r>
          </w:p>
        </w:tc>
      </w:tr>
    </w:tbl>
    <w:p>
      <w:pPr>
        <w:autoSpaceDE w:val="0"/>
        <w:autoSpaceDN w:val="0"/>
        <w:adjustRightInd w:val="0"/>
        <w:snapToGrid w:val="0"/>
        <w:ind w:left="630" w:hanging="630" w:hangingChars="300"/>
        <w:jc w:val="left"/>
        <w:textAlignment w:val="baseline"/>
        <w:rPr>
          <w:color w:val="auto"/>
          <w:kern w:val="0"/>
          <w:szCs w:val="21"/>
          <w:highlight w:val="none"/>
          <w:lang w:val="zh-CN"/>
        </w:rPr>
      </w:pPr>
      <w:r>
        <w:rPr>
          <w:rFonts w:hint="eastAsia"/>
          <w:color w:val="auto"/>
          <w:kern w:val="0"/>
          <w:szCs w:val="21"/>
          <w:highlight w:val="none"/>
          <w:lang w:val="zh-CN"/>
        </w:rPr>
        <w:t>注：①本表推荐品牌仅为参考，投标单位可选用不低于推荐品牌质量的其他品牌。在施工阶段，甲方会同设计、监理从乙方报价品牌和本表推荐品牌中选定任一品牌，乙方不得因此要求变更报价。</w:t>
      </w:r>
    </w:p>
    <w:p>
      <w:pPr>
        <w:autoSpaceDE w:val="0"/>
        <w:autoSpaceDN w:val="0"/>
        <w:adjustRightInd w:val="0"/>
        <w:snapToGrid w:val="0"/>
        <w:ind w:left="630" w:leftChars="200" w:hanging="210" w:hangingChars="100"/>
        <w:jc w:val="left"/>
        <w:textAlignment w:val="baseline"/>
        <w:rPr>
          <w:color w:val="auto"/>
          <w:kern w:val="0"/>
          <w:szCs w:val="21"/>
          <w:highlight w:val="none"/>
          <w:lang w:val="zh-CN"/>
        </w:rPr>
      </w:pPr>
      <w:r>
        <w:rPr>
          <w:rFonts w:hint="eastAsia"/>
          <w:color w:val="auto"/>
          <w:kern w:val="0"/>
          <w:szCs w:val="21"/>
          <w:highlight w:val="none"/>
          <w:lang w:val="zh-CN"/>
        </w:rPr>
        <w:t>② “</w:t>
      </w:r>
      <w:r>
        <w:rPr>
          <w:color w:val="auto"/>
          <w:kern w:val="0"/>
          <w:szCs w:val="21"/>
          <w:highlight w:val="none"/>
          <w:lang w:val="zh-CN"/>
        </w:rPr>
        <w:t>北京基</w:t>
      </w:r>
      <w:r>
        <w:rPr>
          <w:rFonts w:hint="eastAsia"/>
          <w:color w:val="auto"/>
          <w:kern w:val="0"/>
          <w:szCs w:val="21"/>
          <w:highlight w:val="none"/>
          <w:lang w:val="zh-CN"/>
        </w:rPr>
        <w:t>康”全称基康仪器股份有限公司；“南京</w:t>
      </w:r>
      <w:r>
        <w:rPr>
          <w:color w:val="auto"/>
          <w:kern w:val="0"/>
          <w:szCs w:val="21"/>
          <w:highlight w:val="none"/>
          <w:lang w:val="zh-CN"/>
        </w:rPr>
        <w:t>南瑞</w:t>
      </w:r>
      <w:r>
        <w:rPr>
          <w:rFonts w:hint="eastAsia"/>
          <w:color w:val="auto"/>
          <w:kern w:val="0"/>
          <w:szCs w:val="21"/>
          <w:highlight w:val="none"/>
          <w:lang w:val="zh-CN"/>
        </w:rPr>
        <w:t>”全称南瑞集团公司；“</w:t>
      </w:r>
      <w:r>
        <w:rPr>
          <w:rFonts w:hint="eastAsia" w:ascii="宋体" w:hAnsi="宋体" w:cs="宋体"/>
          <w:color w:val="auto"/>
          <w:szCs w:val="21"/>
          <w:highlight w:val="none"/>
        </w:rPr>
        <w:t>南京水文所</w:t>
      </w:r>
      <w:r>
        <w:rPr>
          <w:rFonts w:hint="eastAsia"/>
          <w:color w:val="auto"/>
          <w:kern w:val="0"/>
          <w:szCs w:val="21"/>
          <w:highlight w:val="none"/>
          <w:lang w:val="zh-CN"/>
        </w:rPr>
        <w:t>”全称水利部南京水利水文自动化研究所；</w:t>
      </w:r>
    </w:p>
    <w:p>
      <w:pPr>
        <w:autoSpaceDE w:val="0"/>
        <w:autoSpaceDN w:val="0"/>
        <w:adjustRightInd w:val="0"/>
        <w:snapToGrid w:val="0"/>
        <w:ind w:left="630" w:leftChars="200" w:hanging="210" w:hangingChars="100"/>
        <w:jc w:val="left"/>
        <w:textAlignment w:val="baseline"/>
        <w:rPr>
          <w:color w:val="auto"/>
          <w:kern w:val="0"/>
          <w:szCs w:val="21"/>
          <w:highlight w:val="none"/>
          <w:lang w:val="zh-CN"/>
        </w:rPr>
      </w:pPr>
      <w:r>
        <w:rPr>
          <w:rFonts w:hint="eastAsia"/>
          <w:color w:val="auto"/>
          <w:kern w:val="0"/>
          <w:szCs w:val="21"/>
          <w:highlight w:val="none"/>
          <w:lang w:val="zh-CN"/>
        </w:rPr>
        <w:t>③仪器</w:t>
      </w:r>
      <w:r>
        <w:rPr>
          <w:color w:val="auto"/>
          <w:kern w:val="0"/>
          <w:szCs w:val="21"/>
          <w:highlight w:val="none"/>
          <w:lang w:val="zh-CN"/>
        </w:rPr>
        <w:t>的</w:t>
      </w:r>
      <w:r>
        <w:rPr>
          <w:rFonts w:hint="eastAsia"/>
          <w:color w:val="auto"/>
          <w:kern w:val="0"/>
          <w:szCs w:val="21"/>
          <w:highlight w:val="none"/>
          <w:lang w:val="zh-CN"/>
        </w:rPr>
        <w:t>标准</w:t>
      </w:r>
      <w:r>
        <w:rPr>
          <w:color w:val="auto"/>
          <w:kern w:val="0"/>
          <w:szCs w:val="21"/>
          <w:highlight w:val="none"/>
          <w:lang w:val="zh-CN"/>
        </w:rPr>
        <w:t>量程范围根据施工图调整。</w:t>
      </w:r>
    </w:p>
    <w:p>
      <w:pPr>
        <w:autoSpaceDE w:val="0"/>
        <w:autoSpaceDN w:val="0"/>
        <w:adjustRightInd w:val="0"/>
        <w:snapToGrid w:val="0"/>
        <w:ind w:left="630" w:leftChars="200" w:hanging="210" w:hangingChars="100"/>
        <w:jc w:val="left"/>
        <w:textAlignment w:val="baseline"/>
        <w:rPr>
          <w:color w:val="auto"/>
          <w:kern w:val="0"/>
          <w:szCs w:val="21"/>
          <w:highlight w:val="none"/>
          <w:lang w:val="zh-CN"/>
        </w:rPr>
      </w:pPr>
    </w:p>
    <w:p>
      <w:pPr>
        <w:adjustRightInd w:val="0"/>
        <w:jc w:val="center"/>
        <w:textAlignment w:val="baseline"/>
        <w:rPr>
          <w:rFonts w:eastAsia="黑体"/>
          <w:bCs/>
          <w:color w:val="auto"/>
          <w:kern w:val="0"/>
          <w:sz w:val="24"/>
          <w:highlight w:val="none"/>
          <w:lang w:val="en-GB"/>
        </w:rPr>
      </w:pPr>
    </w:p>
    <w:p>
      <w:pPr>
        <w:adjustRightInd w:val="0"/>
        <w:jc w:val="center"/>
        <w:textAlignment w:val="baseline"/>
        <w:rPr>
          <w:rFonts w:eastAsia="黑体"/>
          <w:bCs/>
          <w:color w:val="auto"/>
          <w:kern w:val="0"/>
          <w:sz w:val="24"/>
          <w:highlight w:val="none"/>
          <w:lang w:val="en-GB"/>
        </w:rPr>
      </w:pPr>
      <w:r>
        <w:rPr>
          <w:rFonts w:eastAsia="黑体"/>
          <w:bCs/>
          <w:color w:val="auto"/>
          <w:kern w:val="0"/>
          <w:sz w:val="24"/>
          <w:highlight w:val="none"/>
          <w:lang w:val="en-GB"/>
        </w:rPr>
        <w:t>表2-5   基坑</w:t>
      </w:r>
      <w:r>
        <w:rPr>
          <w:rFonts w:hint="eastAsia" w:eastAsia="黑体"/>
          <w:bCs/>
          <w:color w:val="auto"/>
          <w:kern w:val="0"/>
          <w:sz w:val="24"/>
          <w:highlight w:val="none"/>
          <w:lang w:val="en-GB"/>
        </w:rPr>
        <w:t>及</w:t>
      </w:r>
      <w:r>
        <w:rPr>
          <w:rFonts w:eastAsia="黑体"/>
          <w:bCs/>
          <w:color w:val="auto"/>
          <w:kern w:val="0"/>
          <w:sz w:val="24"/>
          <w:highlight w:val="none"/>
          <w:lang w:val="en-GB"/>
        </w:rPr>
        <w:t>地表</w:t>
      </w:r>
      <w:r>
        <w:rPr>
          <w:rFonts w:hint="eastAsia" w:eastAsia="黑体"/>
          <w:bCs/>
          <w:color w:val="auto"/>
          <w:kern w:val="0"/>
          <w:sz w:val="24"/>
          <w:highlight w:val="none"/>
          <w:lang w:val="en-GB"/>
        </w:rPr>
        <w:t>建（</w:t>
      </w:r>
      <w:r>
        <w:rPr>
          <w:rFonts w:eastAsia="黑体"/>
          <w:bCs/>
          <w:color w:val="auto"/>
          <w:kern w:val="0"/>
          <w:sz w:val="24"/>
          <w:highlight w:val="none"/>
          <w:lang w:val="en-GB"/>
        </w:rPr>
        <w:t>构</w:t>
      </w:r>
      <w:r>
        <w:rPr>
          <w:rFonts w:hint="eastAsia" w:eastAsia="黑体"/>
          <w:bCs/>
          <w:color w:val="auto"/>
          <w:kern w:val="0"/>
          <w:sz w:val="24"/>
          <w:highlight w:val="none"/>
          <w:lang w:val="en-GB"/>
        </w:rPr>
        <w:t>）筑</w:t>
      </w:r>
      <w:r>
        <w:rPr>
          <w:rFonts w:eastAsia="黑体"/>
          <w:bCs/>
          <w:color w:val="auto"/>
          <w:kern w:val="0"/>
          <w:sz w:val="24"/>
          <w:highlight w:val="none"/>
          <w:lang w:val="en-GB"/>
        </w:rPr>
        <w:t>物仪器设备技术指标表</w:t>
      </w:r>
    </w:p>
    <w:tbl>
      <w:tblPr>
        <w:tblStyle w:val="8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4" w:type="dxa"/>
          <w:bottom w:w="0" w:type="dxa"/>
          <w:right w:w="24" w:type="dxa"/>
        </w:tblCellMar>
      </w:tblPr>
      <w:tblGrid>
        <w:gridCol w:w="566"/>
        <w:gridCol w:w="1171"/>
        <w:gridCol w:w="843"/>
        <w:gridCol w:w="3947"/>
        <w:gridCol w:w="628"/>
        <w:gridCol w:w="12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tblHeader/>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序号</w:t>
            </w:r>
          </w:p>
        </w:tc>
        <w:tc>
          <w:tcPr>
            <w:tcW w:w="699" w:type="pct"/>
            <w:shd w:val="clear" w:color="000000" w:fill="FFFFFF"/>
            <w:vAlign w:val="center"/>
          </w:tcPr>
          <w:p>
            <w:pPr>
              <w:jc w:val="center"/>
              <w:rPr>
                <w:color w:val="auto"/>
                <w:sz w:val="18"/>
                <w:szCs w:val="18"/>
                <w:highlight w:val="none"/>
              </w:rPr>
            </w:pPr>
            <w:r>
              <w:rPr>
                <w:color w:val="auto"/>
                <w:sz w:val="18"/>
                <w:szCs w:val="18"/>
                <w:highlight w:val="none"/>
              </w:rPr>
              <w:t>名称</w:t>
            </w:r>
          </w:p>
        </w:tc>
        <w:tc>
          <w:tcPr>
            <w:tcW w:w="503" w:type="pct"/>
            <w:shd w:val="clear" w:color="000000" w:fill="FFFFFF"/>
            <w:vAlign w:val="center"/>
          </w:tcPr>
          <w:p>
            <w:pPr>
              <w:jc w:val="center"/>
              <w:rPr>
                <w:color w:val="auto"/>
                <w:sz w:val="18"/>
                <w:szCs w:val="18"/>
                <w:highlight w:val="none"/>
              </w:rPr>
            </w:pPr>
            <w:r>
              <w:rPr>
                <w:color w:val="auto"/>
                <w:sz w:val="18"/>
                <w:szCs w:val="18"/>
                <w:highlight w:val="none"/>
              </w:rPr>
              <w:t>建议</w:t>
            </w:r>
          </w:p>
          <w:p>
            <w:pPr>
              <w:jc w:val="center"/>
              <w:rPr>
                <w:color w:val="auto"/>
                <w:sz w:val="18"/>
                <w:szCs w:val="18"/>
                <w:highlight w:val="none"/>
              </w:rPr>
            </w:pPr>
            <w:r>
              <w:rPr>
                <w:color w:val="auto"/>
                <w:sz w:val="18"/>
                <w:szCs w:val="18"/>
                <w:highlight w:val="none"/>
              </w:rPr>
              <w:t>类型</w:t>
            </w:r>
          </w:p>
        </w:tc>
        <w:tc>
          <w:tcPr>
            <w:tcW w:w="2355" w:type="pct"/>
            <w:shd w:val="clear" w:color="000000" w:fill="FFFFFF"/>
            <w:vAlign w:val="center"/>
          </w:tcPr>
          <w:p>
            <w:pPr>
              <w:jc w:val="center"/>
              <w:rPr>
                <w:color w:val="auto"/>
                <w:sz w:val="18"/>
                <w:szCs w:val="18"/>
                <w:highlight w:val="none"/>
              </w:rPr>
            </w:pPr>
            <w:r>
              <w:rPr>
                <w:color w:val="auto"/>
                <w:sz w:val="18"/>
                <w:szCs w:val="18"/>
                <w:highlight w:val="none"/>
              </w:rPr>
              <w:t>主要技术指标</w:t>
            </w:r>
          </w:p>
        </w:tc>
        <w:tc>
          <w:tcPr>
            <w:tcW w:w="375" w:type="pct"/>
            <w:shd w:val="clear" w:color="000000" w:fill="FFFFFF"/>
            <w:vAlign w:val="center"/>
          </w:tcPr>
          <w:p>
            <w:pPr>
              <w:jc w:val="center"/>
              <w:rPr>
                <w:color w:val="auto"/>
                <w:kern w:val="0"/>
                <w:sz w:val="18"/>
                <w:szCs w:val="18"/>
                <w:highlight w:val="none"/>
                <w:lang w:val="zh-CN"/>
              </w:rPr>
            </w:pPr>
            <w:r>
              <w:rPr>
                <w:rFonts w:hint="eastAsia"/>
                <w:color w:val="auto"/>
                <w:kern w:val="0"/>
                <w:sz w:val="18"/>
                <w:szCs w:val="18"/>
                <w:highlight w:val="none"/>
                <w:lang w:val="zh-CN"/>
              </w:rPr>
              <w:t>备注</w:t>
            </w:r>
          </w:p>
        </w:tc>
        <w:tc>
          <w:tcPr>
            <w:tcW w:w="730" w:type="pct"/>
            <w:shd w:val="clear" w:color="000000" w:fill="FFFFFF"/>
            <w:vAlign w:val="center"/>
          </w:tcPr>
          <w:p>
            <w:pPr>
              <w:jc w:val="center"/>
              <w:rPr>
                <w:color w:val="auto"/>
                <w:kern w:val="0"/>
                <w:sz w:val="18"/>
                <w:szCs w:val="18"/>
                <w:highlight w:val="none"/>
                <w:lang w:val="zh-CN"/>
              </w:rPr>
            </w:pPr>
            <w:r>
              <w:rPr>
                <w:rFonts w:eastAsiaTheme="minorEastAsia"/>
                <w:color w:val="auto"/>
                <w:kern w:val="0"/>
                <w:sz w:val="18"/>
                <w:szCs w:val="18"/>
                <w:highlight w:val="none"/>
                <w:lang w:val="zh-CN"/>
              </w:rPr>
              <w:t>推荐或相当于以下品牌产品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418"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1</w:t>
            </w:r>
          </w:p>
        </w:tc>
        <w:tc>
          <w:tcPr>
            <w:tcW w:w="699"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水准标点</w:t>
            </w:r>
          </w:p>
        </w:tc>
        <w:tc>
          <w:tcPr>
            <w:tcW w:w="503"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p>
        </w:tc>
        <w:tc>
          <w:tcPr>
            <w:tcW w:w="2355"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不锈钢，外设保护盖。</w:t>
            </w:r>
          </w:p>
        </w:tc>
        <w:tc>
          <w:tcPr>
            <w:tcW w:w="375" w:type="pct"/>
            <w:shd w:val="clear" w:color="000000" w:fill="FFFFFF"/>
          </w:tcPr>
          <w:p>
            <w:pPr>
              <w:autoSpaceDE w:val="0"/>
              <w:autoSpaceDN w:val="0"/>
              <w:adjustRightInd w:val="0"/>
              <w:snapToGrid w:val="0"/>
              <w:jc w:val="center"/>
              <w:textAlignment w:val="baseline"/>
              <w:rPr>
                <w:color w:val="auto"/>
                <w:kern w:val="0"/>
                <w:sz w:val="18"/>
                <w:szCs w:val="18"/>
                <w:highlight w:val="none"/>
                <w:lang w:val="zh-CN"/>
              </w:rPr>
            </w:pPr>
            <w:r>
              <w:rPr>
                <w:rFonts w:hint="eastAsia"/>
                <w:color w:val="auto"/>
                <w:kern w:val="0"/>
                <w:sz w:val="18"/>
                <w:szCs w:val="18"/>
                <w:highlight w:val="none"/>
                <w:lang w:val="zh-CN"/>
              </w:rPr>
              <w:t>定制</w:t>
            </w:r>
          </w:p>
        </w:tc>
        <w:tc>
          <w:tcPr>
            <w:tcW w:w="730" w:type="pct"/>
            <w:shd w:val="clear" w:color="000000" w:fill="FFFFFF"/>
          </w:tcPr>
          <w:p>
            <w:pPr>
              <w:autoSpaceDE w:val="0"/>
              <w:autoSpaceDN w:val="0"/>
              <w:adjustRightInd w:val="0"/>
              <w:snapToGrid w:val="0"/>
              <w:jc w:val="center"/>
              <w:textAlignment w:val="baseline"/>
              <w:rPr>
                <w:color w:val="auto"/>
                <w:kern w:val="0"/>
                <w:sz w:val="18"/>
                <w:szCs w:val="18"/>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2</w:t>
            </w:r>
          </w:p>
        </w:tc>
        <w:tc>
          <w:tcPr>
            <w:tcW w:w="699"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强制对中</w:t>
            </w:r>
            <w:r>
              <w:rPr>
                <w:rFonts w:hint="eastAsia" w:ascii="Times New Roman" w:hAnsi="Times New Roman" w:eastAsia="宋体"/>
                <w:snapToGrid/>
                <w:color w:val="auto"/>
                <w:kern w:val="2"/>
                <w:sz w:val="18"/>
                <w:szCs w:val="18"/>
                <w:highlight w:val="none"/>
              </w:rPr>
              <w:t>基</w:t>
            </w:r>
            <w:r>
              <w:rPr>
                <w:rFonts w:ascii="Times New Roman" w:hAnsi="Times New Roman" w:eastAsia="宋体"/>
                <w:snapToGrid/>
                <w:color w:val="auto"/>
                <w:kern w:val="2"/>
                <w:sz w:val="18"/>
                <w:szCs w:val="18"/>
                <w:highlight w:val="none"/>
              </w:rPr>
              <w:t>盘</w:t>
            </w:r>
          </w:p>
        </w:tc>
        <w:tc>
          <w:tcPr>
            <w:tcW w:w="503"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p>
        </w:tc>
        <w:tc>
          <w:tcPr>
            <w:tcW w:w="2355"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对中精度</w:t>
            </w:r>
            <w:r>
              <w:rPr>
                <w:rFonts w:hint="eastAsia" w:ascii="Times New Roman" w:hAnsi="Times New Roman" w:eastAsia="宋体"/>
                <w:snapToGrid/>
                <w:color w:val="auto"/>
                <w:kern w:val="2"/>
                <w:sz w:val="18"/>
                <w:szCs w:val="18"/>
                <w:highlight w:val="none"/>
              </w:rPr>
              <w:t>大</w:t>
            </w:r>
            <w:r>
              <w:rPr>
                <w:rFonts w:ascii="Times New Roman" w:hAnsi="Times New Roman" w:eastAsia="宋体"/>
                <w:snapToGrid/>
                <w:color w:val="auto"/>
                <w:kern w:val="2"/>
                <w:sz w:val="18"/>
                <w:szCs w:val="18"/>
                <w:highlight w:val="none"/>
              </w:rPr>
              <w:t>于0.1mm</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外设保护盖。</w:t>
            </w:r>
          </w:p>
        </w:tc>
        <w:tc>
          <w:tcPr>
            <w:tcW w:w="375" w:type="pct"/>
            <w:shd w:val="clear" w:color="000000" w:fill="FFFFFF"/>
          </w:tcPr>
          <w:p>
            <w:pPr>
              <w:autoSpaceDE w:val="0"/>
              <w:autoSpaceDN w:val="0"/>
              <w:adjustRightInd w:val="0"/>
              <w:snapToGrid w:val="0"/>
              <w:jc w:val="center"/>
              <w:textAlignment w:val="baseline"/>
              <w:rPr>
                <w:color w:val="auto"/>
                <w:kern w:val="0"/>
                <w:sz w:val="18"/>
                <w:szCs w:val="18"/>
                <w:highlight w:val="none"/>
                <w:lang w:val="zh-CN"/>
              </w:rPr>
            </w:pPr>
            <w:r>
              <w:rPr>
                <w:rFonts w:hint="eastAsia"/>
                <w:color w:val="auto"/>
                <w:kern w:val="0"/>
                <w:sz w:val="18"/>
                <w:szCs w:val="18"/>
                <w:highlight w:val="none"/>
                <w:lang w:val="zh-CN"/>
              </w:rPr>
              <w:t>定制</w:t>
            </w:r>
          </w:p>
        </w:tc>
        <w:tc>
          <w:tcPr>
            <w:tcW w:w="730" w:type="pct"/>
            <w:shd w:val="clear" w:color="000000" w:fill="FFFFFF"/>
          </w:tcPr>
          <w:p>
            <w:pPr>
              <w:autoSpaceDE w:val="0"/>
              <w:autoSpaceDN w:val="0"/>
              <w:adjustRightInd w:val="0"/>
              <w:snapToGrid w:val="0"/>
              <w:jc w:val="center"/>
              <w:textAlignment w:val="baseline"/>
              <w:rPr>
                <w:color w:val="auto"/>
                <w:kern w:val="0"/>
                <w:sz w:val="18"/>
                <w:szCs w:val="18"/>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3</w:t>
            </w:r>
          </w:p>
        </w:tc>
        <w:tc>
          <w:tcPr>
            <w:tcW w:w="699"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测斜管</w:t>
            </w:r>
          </w:p>
        </w:tc>
        <w:tc>
          <w:tcPr>
            <w:tcW w:w="50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c>
          <w:tcPr>
            <w:tcW w:w="2355"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φ70</w:t>
            </w:r>
            <w:r>
              <w:rPr>
                <w:rFonts w:ascii="Times New Roman" w:hAnsi="Times New Roman" w:eastAsia="宋体"/>
                <w:snapToGrid/>
                <w:color w:val="auto"/>
                <w:kern w:val="2"/>
                <w:sz w:val="18"/>
                <w:szCs w:val="18"/>
                <w:highlight w:val="none"/>
              </w:rPr>
              <w:t xml:space="preserve"> ABS管</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壁厚不小于5mm，导槽扭转角≤0.5°/m</w:t>
            </w:r>
            <w:r>
              <w:rPr>
                <w:rFonts w:hint="eastAsia" w:ascii="Times New Roman" w:hAnsi="Times New Roman" w:eastAsia="宋体"/>
                <w:snapToGrid/>
                <w:color w:val="auto"/>
                <w:kern w:val="2"/>
                <w:sz w:val="18"/>
                <w:szCs w:val="18"/>
                <w:highlight w:val="none"/>
              </w:rPr>
              <w:t>。</w:t>
            </w:r>
          </w:p>
        </w:tc>
        <w:tc>
          <w:tcPr>
            <w:tcW w:w="375" w:type="pct"/>
            <w:shd w:val="clear" w:color="000000" w:fill="FFFFFF"/>
          </w:tcPr>
          <w:p>
            <w:pPr>
              <w:autoSpaceDE w:val="0"/>
              <w:autoSpaceDN w:val="0"/>
              <w:adjustRightInd w:val="0"/>
              <w:snapToGrid w:val="0"/>
              <w:jc w:val="center"/>
              <w:textAlignment w:val="baseline"/>
              <w:rPr>
                <w:color w:val="auto"/>
                <w:kern w:val="0"/>
                <w:sz w:val="18"/>
                <w:szCs w:val="18"/>
                <w:highlight w:val="none"/>
                <w:lang w:val="zh-CN"/>
              </w:rPr>
            </w:pPr>
          </w:p>
        </w:tc>
        <w:tc>
          <w:tcPr>
            <w:tcW w:w="730" w:type="pct"/>
            <w:shd w:val="clear" w:color="000000" w:fill="FFFFFF"/>
          </w:tcPr>
          <w:p>
            <w:pPr>
              <w:autoSpaceDE w:val="0"/>
              <w:autoSpaceDN w:val="0"/>
              <w:adjustRightInd w:val="0"/>
              <w:snapToGrid w:val="0"/>
              <w:jc w:val="center"/>
              <w:textAlignment w:val="baseline"/>
              <w:rPr>
                <w:color w:val="auto"/>
                <w:kern w:val="0"/>
                <w:sz w:val="18"/>
                <w:szCs w:val="18"/>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4</w:t>
            </w:r>
          </w:p>
        </w:tc>
        <w:tc>
          <w:tcPr>
            <w:tcW w:w="699"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测压管</w:t>
            </w:r>
          </w:p>
        </w:tc>
        <w:tc>
          <w:tcPr>
            <w:tcW w:w="503"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p>
        </w:tc>
        <w:tc>
          <w:tcPr>
            <w:tcW w:w="2355"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ascii="Cambria Math" w:hAnsi="Cambria Math" w:eastAsia="宋体" w:cs="Cambria Math"/>
                <w:snapToGrid/>
                <w:color w:val="auto"/>
                <w:kern w:val="2"/>
                <w:sz w:val="18"/>
                <w:szCs w:val="18"/>
                <w:highlight w:val="none"/>
              </w:rPr>
              <w:t>∅</w:t>
            </w:r>
            <w:r>
              <w:rPr>
                <w:rFonts w:ascii="Times New Roman" w:hAnsi="Times New Roman" w:eastAsia="宋体"/>
                <w:snapToGrid/>
                <w:color w:val="auto"/>
                <w:kern w:val="2"/>
                <w:sz w:val="18"/>
                <w:szCs w:val="18"/>
                <w:highlight w:val="none"/>
              </w:rPr>
              <w:t xml:space="preserve"> 50PVC</w:t>
            </w:r>
            <w:r>
              <w:rPr>
                <w:rFonts w:hint="eastAsia" w:ascii="Times New Roman" w:hAnsi="Times New Roman" w:eastAsia="宋体"/>
                <w:snapToGrid/>
                <w:color w:val="auto"/>
                <w:kern w:val="2"/>
                <w:sz w:val="18"/>
                <w:szCs w:val="18"/>
                <w:highlight w:val="none"/>
              </w:rPr>
              <w:t>管</w:t>
            </w:r>
            <w:r>
              <w:rPr>
                <w:rFonts w:ascii="Times New Roman" w:hAnsi="Times New Roman" w:eastAsia="宋体"/>
                <w:snapToGrid/>
                <w:color w:val="auto"/>
                <w:kern w:val="2"/>
                <w:sz w:val="18"/>
                <w:szCs w:val="18"/>
                <w:highlight w:val="none"/>
              </w:rPr>
              <w:t>，壁厚≥3.5mm。</w:t>
            </w:r>
          </w:p>
        </w:tc>
        <w:tc>
          <w:tcPr>
            <w:tcW w:w="375" w:type="pct"/>
            <w:shd w:val="clear" w:color="000000" w:fill="FFFFFF"/>
          </w:tcPr>
          <w:p>
            <w:pPr>
              <w:autoSpaceDE w:val="0"/>
              <w:autoSpaceDN w:val="0"/>
              <w:adjustRightInd w:val="0"/>
              <w:snapToGrid w:val="0"/>
              <w:jc w:val="center"/>
              <w:textAlignment w:val="baseline"/>
              <w:rPr>
                <w:color w:val="auto"/>
                <w:kern w:val="0"/>
                <w:sz w:val="18"/>
                <w:szCs w:val="18"/>
                <w:highlight w:val="none"/>
              </w:rPr>
            </w:pPr>
          </w:p>
        </w:tc>
        <w:tc>
          <w:tcPr>
            <w:tcW w:w="730" w:type="pct"/>
            <w:shd w:val="clear" w:color="000000" w:fill="FFFFFF"/>
          </w:tcPr>
          <w:p>
            <w:pPr>
              <w:autoSpaceDE w:val="0"/>
              <w:autoSpaceDN w:val="0"/>
              <w:adjustRightInd w:val="0"/>
              <w:snapToGrid w:val="0"/>
              <w:jc w:val="center"/>
              <w:textAlignment w:val="baseline"/>
              <w:rPr>
                <w:color w:val="auto"/>
                <w:kern w:val="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5</w:t>
            </w:r>
          </w:p>
        </w:tc>
        <w:tc>
          <w:tcPr>
            <w:tcW w:w="699"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倾角计及NB传输模块</w:t>
            </w:r>
          </w:p>
        </w:tc>
        <w:tc>
          <w:tcPr>
            <w:tcW w:w="503"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p>
        </w:tc>
        <w:tc>
          <w:tcPr>
            <w:tcW w:w="2355"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量程：±10°；分辨率：≤10″；</w:t>
            </w:r>
          </w:p>
          <w:p>
            <w:pPr>
              <w:pStyle w:val="740"/>
              <w:autoSpaceDE/>
              <w:autoSpaceDN/>
              <w:adjustRightInd/>
              <w:spacing w:line="240" w:lineRule="auto"/>
              <w:ind w:firstLine="0" w:firstLineChars="0"/>
              <w:rPr>
                <w:rFonts w:ascii="Cambria Math" w:hAnsi="Cambria Math" w:eastAsia="宋体" w:cs="Cambria Math"/>
                <w:snapToGrid/>
                <w:color w:val="auto"/>
                <w:kern w:val="2"/>
                <w:sz w:val="18"/>
                <w:szCs w:val="18"/>
                <w:highlight w:val="none"/>
              </w:rPr>
            </w:pPr>
            <w:r>
              <w:rPr>
                <w:rFonts w:hint="eastAsia" w:ascii="Times New Roman" w:hAnsi="Times New Roman" w:eastAsia="宋体"/>
                <w:snapToGrid/>
                <w:color w:val="auto"/>
                <w:kern w:val="2"/>
                <w:sz w:val="18"/>
                <w:szCs w:val="18"/>
                <w:highlight w:val="none"/>
              </w:rPr>
              <w:t>精度：0.1%</w:t>
            </w:r>
            <w:r>
              <w:rPr>
                <w:color w:val="auto"/>
                <w:sz w:val="18"/>
                <w:szCs w:val="18"/>
                <w:highlight w:val="none"/>
              </w:rPr>
              <w:t>F.S</w:t>
            </w:r>
            <w:r>
              <w:rPr>
                <w:rFonts w:hint="eastAsia"/>
                <w:color w:val="auto"/>
                <w:sz w:val="18"/>
                <w:szCs w:val="18"/>
                <w:highlight w:val="none"/>
              </w:rPr>
              <w:t>.</w:t>
            </w:r>
            <w:r>
              <w:rPr>
                <w:rFonts w:hint="eastAsia" w:ascii="Times New Roman" w:hAnsi="Times New Roman" w:eastAsia="宋体"/>
                <w:snapToGrid/>
                <w:color w:val="auto"/>
                <w:kern w:val="2"/>
                <w:sz w:val="18"/>
                <w:szCs w:val="18"/>
                <w:highlight w:val="none"/>
              </w:rPr>
              <w:t>；测量轴：单轴；野外适应性：具有防水、耐高低温及高抗振性能。含数据采集和无线传输模块，通信方式：NB-IOT；存储容量:2000条记录（循环覆盖）；内置电池（可工作2-3年，2次/日）。倾角计及NB传输模块可以</w:t>
            </w:r>
            <w:r>
              <w:rPr>
                <w:rFonts w:ascii="Times New Roman" w:hAnsi="Times New Roman" w:eastAsia="宋体"/>
                <w:snapToGrid/>
                <w:color w:val="auto"/>
                <w:kern w:val="2"/>
                <w:sz w:val="18"/>
                <w:szCs w:val="18"/>
                <w:highlight w:val="none"/>
              </w:rPr>
              <w:t>是</w:t>
            </w:r>
            <w:r>
              <w:rPr>
                <w:rFonts w:hint="eastAsia" w:ascii="Times New Roman" w:hAnsi="Times New Roman" w:eastAsia="宋体"/>
                <w:snapToGrid/>
                <w:color w:val="auto"/>
                <w:kern w:val="2"/>
                <w:sz w:val="18"/>
                <w:szCs w:val="18"/>
                <w:highlight w:val="none"/>
              </w:rPr>
              <w:t>分立式</w:t>
            </w:r>
            <w:r>
              <w:rPr>
                <w:rFonts w:ascii="Times New Roman" w:hAnsi="Times New Roman" w:eastAsia="宋体"/>
                <w:snapToGrid/>
                <w:color w:val="auto"/>
                <w:kern w:val="2"/>
                <w:sz w:val="18"/>
                <w:szCs w:val="18"/>
                <w:highlight w:val="none"/>
              </w:rPr>
              <w:t>。</w:t>
            </w:r>
          </w:p>
        </w:tc>
        <w:tc>
          <w:tcPr>
            <w:tcW w:w="375" w:type="pct"/>
            <w:shd w:val="clear" w:color="000000" w:fill="FFFFFF"/>
          </w:tcPr>
          <w:p>
            <w:pPr>
              <w:autoSpaceDE w:val="0"/>
              <w:autoSpaceDN w:val="0"/>
              <w:adjustRightInd w:val="0"/>
              <w:snapToGrid w:val="0"/>
              <w:jc w:val="center"/>
              <w:textAlignment w:val="baseline"/>
              <w:rPr>
                <w:color w:val="auto"/>
                <w:kern w:val="0"/>
                <w:sz w:val="18"/>
                <w:szCs w:val="18"/>
                <w:highlight w:val="none"/>
              </w:rPr>
            </w:pPr>
          </w:p>
        </w:tc>
        <w:tc>
          <w:tcPr>
            <w:tcW w:w="730" w:type="pct"/>
            <w:shd w:val="clear" w:color="000000" w:fill="FFFFFF"/>
          </w:tcPr>
          <w:p>
            <w:pPr>
              <w:autoSpaceDE w:val="0"/>
              <w:autoSpaceDN w:val="0"/>
              <w:adjustRightInd w:val="0"/>
              <w:snapToGrid w:val="0"/>
              <w:jc w:val="center"/>
              <w:textAlignment w:val="baseline"/>
              <w:rPr>
                <w:color w:val="auto"/>
                <w:kern w:val="0"/>
                <w:sz w:val="18"/>
                <w:szCs w:val="18"/>
                <w:highlight w:val="none"/>
              </w:rPr>
            </w:pPr>
            <w:r>
              <w:rPr>
                <w:color w:val="auto"/>
                <w:kern w:val="0"/>
                <w:sz w:val="18"/>
                <w:szCs w:val="18"/>
                <w:highlight w:val="none"/>
                <w:lang w:val="zh-CN"/>
              </w:rPr>
              <w:t>北京基康</w:t>
            </w:r>
            <w:r>
              <w:rPr>
                <w:rFonts w:hint="eastAsia"/>
                <w:color w:val="auto"/>
                <w:kern w:val="0"/>
                <w:sz w:val="18"/>
                <w:szCs w:val="18"/>
                <w:highlight w:val="none"/>
                <w:lang w:val="zh-CN"/>
              </w:rPr>
              <w:t>、</w:t>
            </w:r>
          </w:p>
          <w:p>
            <w:pPr>
              <w:autoSpaceDE w:val="0"/>
              <w:autoSpaceDN w:val="0"/>
              <w:adjustRightInd w:val="0"/>
              <w:snapToGrid w:val="0"/>
              <w:jc w:val="center"/>
              <w:textAlignment w:val="baseline"/>
              <w:rPr>
                <w:color w:val="auto"/>
                <w:kern w:val="0"/>
                <w:sz w:val="18"/>
                <w:szCs w:val="18"/>
                <w:highlight w:val="none"/>
                <w:lang w:val="zh-CN"/>
              </w:rPr>
            </w:pPr>
            <w:r>
              <w:rPr>
                <w:rFonts w:hint="eastAsia"/>
                <w:color w:val="auto"/>
                <w:kern w:val="0"/>
                <w:sz w:val="18"/>
                <w:szCs w:val="18"/>
                <w:highlight w:val="none"/>
                <w:lang w:val="zh-CN"/>
              </w:rPr>
              <w:t>南京</w:t>
            </w:r>
            <w:r>
              <w:rPr>
                <w:color w:val="auto"/>
                <w:kern w:val="0"/>
                <w:sz w:val="18"/>
                <w:szCs w:val="18"/>
                <w:highlight w:val="none"/>
                <w:lang w:val="zh-CN"/>
              </w:rPr>
              <w:t>南</w:t>
            </w:r>
            <w:r>
              <w:rPr>
                <w:rFonts w:hint="eastAsia"/>
                <w:color w:val="auto"/>
                <w:kern w:val="0"/>
                <w:sz w:val="18"/>
                <w:szCs w:val="18"/>
                <w:highlight w:val="none"/>
                <w:lang w:val="zh-CN"/>
              </w:rPr>
              <w:t>瑞、</w:t>
            </w:r>
          </w:p>
          <w:p>
            <w:pPr>
              <w:autoSpaceDE w:val="0"/>
              <w:autoSpaceDN w:val="0"/>
              <w:adjustRightInd w:val="0"/>
              <w:snapToGrid w:val="0"/>
              <w:jc w:val="center"/>
              <w:textAlignment w:val="baseline"/>
              <w:rPr>
                <w:color w:val="auto"/>
                <w:kern w:val="0"/>
                <w:sz w:val="18"/>
                <w:szCs w:val="18"/>
                <w:highlight w:val="none"/>
              </w:rPr>
            </w:pPr>
            <w:r>
              <w:rPr>
                <w:rFonts w:hint="eastAsia" w:ascii="宋体" w:hAnsi="宋体" w:cs="宋体"/>
                <w:color w:val="auto"/>
                <w:sz w:val="18"/>
                <w:szCs w:val="18"/>
                <w:highlight w:val="none"/>
              </w:rPr>
              <w:t>长江科创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jc w:val="center"/>
              <w:rPr>
                <w:color w:val="auto"/>
                <w:sz w:val="18"/>
                <w:szCs w:val="18"/>
                <w:highlight w:val="none"/>
              </w:rPr>
            </w:pPr>
            <w:r>
              <w:rPr>
                <w:color w:val="auto"/>
                <w:sz w:val="18"/>
                <w:szCs w:val="18"/>
                <w:highlight w:val="none"/>
              </w:rPr>
              <w:t>6</w:t>
            </w:r>
          </w:p>
        </w:tc>
        <w:tc>
          <w:tcPr>
            <w:tcW w:w="699" w:type="pct"/>
            <w:shd w:val="clear" w:color="000000" w:fill="FFFFFF"/>
            <w:vAlign w:val="center"/>
          </w:tcPr>
          <w:p>
            <w:pPr>
              <w:pStyle w:val="740"/>
              <w:autoSpaceDE/>
              <w:autoSpaceDN/>
              <w:adjustRightInd/>
              <w:snapToGrid/>
              <w:spacing w:before="48" w:beforeLines="20" w:after="48" w:afterLines="20" w:line="0" w:lineRule="atLeast"/>
              <w:ind w:firstLine="0" w:firstLineChars="0"/>
              <w:jc w:val="center"/>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表面</w:t>
            </w:r>
            <w:r>
              <w:rPr>
                <w:rFonts w:ascii="Times New Roman" w:hAnsi="Times New Roman" w:eastAsia="宋体"/>
                <w:snapToGrid/>
                <w:color w:val="auto"/>
                <w:kern w:val="2"/>
                <w:sz w:val="18"/>
                <w:szCs w:val="18"/>
                <w:highlight w:val="none"/>
              </w:rPr>
              <w:t>应变计</w:t>
            </w:r>
          </w:p>
        </w:tc>
        <w:tc>
          <w:tcPr>
            <w:tcW w:w="503" w:type="pct"/>
            <w:shd w:val="clear" w:color="000000" w:fill="FFFFFF"/>
            <w:vAlign w:val="center"/>
          </w:tcPr>
          <w:p>
            <w:pPr>
              <w:pStyle w:val="740"/>
              <w:autoSpaceDE/>
              <w:autoSpaceDN/>
              <w:adjustRightInd/>
              <w:snapToGrid/>
              <w:spacing w:before="48" w:beforeLines="20" w:after="48" w:afterLines="20" w:line="0" w:lineRule="atLeast"/>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振弦式</w:t>
            </w:r>
          </w:p>
        </w:tc>
        <w:tc>
          <w:tcPr>
            <w:tcW w:w="2355" w:type="pct"/>
            <w:shd w:val="clear" w:color="000000" w:fill="FFFFFF"/>
            <w:vAlign w:val="center"/>
          </w:tcPr>
          <w:p>
            <w:pPr>
              <w:pStyle w:val="740"/>
              <w:autoSpaceDE/>
              <w:autoSpaceDN/>
              <w:adjustRightInd/>
              <w:snapToGrid/>
              <w:spacing w:before="48" w:beforeLines="20" w:after="48" w:afterLines="20" w:line="0" w:lineRule="atLeast"/>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量程：3000με；非线性度：≤2% F.S.；不重复度：≤0.5% F.S.；分辨力≤0.2% F.S.；综合误差：≤2.5% F.S.；温度范围：-20℃～+</w:t>
            </w:r>
            <w:r>
              <w:rPr>
                <w:rFonts w:ascii="Times New Roman" w:hAnsi="Times New Roman" w:eastAsia="宋体"/>
                <w:snapToGrid/>
                <w:color w:val="auto"/>
                <w:kern w:val="2"/>
                <w:sz w:val="18"/>
                <w:szCs w:val="18"/>
                <w:highlight w:val="none"/>
              </w:rPr>
              <w:t>6</w:t>
            </w:r>
            <w:r>
              <w:rPr>
                <w:rFonts w:hint="eastAsia" w:ascii="Times New Roman" w:hAnsi="Times New Roman" w:eastAsia="宋体"/>
                <w:snapToGrid/>
                <w:color w:val="auto"/>
                <w:kern w:val="2"/>
                <w:sz w:val="18"/>
                <w:szCs w:val="18"/>
                <w:highlight w:val="none"/>
              </w:rPr>
              <w:t>0℃；耐 水 压： ≥0.5MPa；含保护盖。</w:t>
            </w:r>
          </w:p>
        </w:tc>
        <w:tc>
          <w:tcPr>
            <w:tcW w:w="375" w:type="pct"/>
            <w:shd w:val="clear" w:color="000000" w:fill="FFFFFF"/>
            <w:vAlign w:val="center"/>
          </w:tcPr>
          <w:p>
            <w:pPr>
              <w:spacing w:before="48" w:beforeLines="20" w:after="48" w:afterLines="20" w:line="0" w:lineRule="atLeast"/>
              <w:rPr>
                <w:color w:val="auto"/>
                <w:sz w:val="18"/>
                <w:szCs w:val="18"/>
                <w:highlight w:val="none"/>
              </w:rPr>
            </w:pPr>
          </w:p>
        </w:tc>
        <w:tc>
          <w:tcPr>
            <w:tcW w:w="730"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jc w:val="center"/>
              <w:rPr>
                <w:color w:val="auto"/>
                <w:sz w:val="18"/>
                <w:szCs w:val="18"/>
                <w:highlight w:val="none"/>
              </w:rPr>
            </w:pPr>
            <w:r>
              <w:rPr>
                <w:color w:val="auto"/>
                <w:sz w:val="18"/>
                <w:szCs w:val="18"/>
                <w:highlight w:val="none"/>
              </w:rPr>
              <w:t>7</w:t>
            </w:r>
          </w:p>
        </w:tc>
        <w:tc>
          <w:tcPr>
            <w:tcW w:w="699"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钢筋计</w:t>
            </w:r>
          </w:p>
        </w:tc>
        <w:tc>
          <w:tcPr>
            <w:tcW w:w="503"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振弦式</w:t>
            </w:r>
          </w:p>
        </w:tc>
        <w:tc>
          <w:tcPr>
            <w:tcW w:w="2355"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标准量程：压缩0～100MPa，拉伸0～400MPa；非线性度：≤2% F.S.；不重复度：≤0.5% F.S.；分辨力≤0.2% F.S.；综合误差：≤2.5% F.S.；温度范围：-20℃～+</w:t>
            </w:r>
            <w:r>
              <w:rPr>
                <w:rFonts w:ascii="Times New Roman" w:hAnsi="Times New Roman" w:eastAsia="宋体"/>
                <w:snapToGrid/>
                <w:color w:val="auto"/>
                <w:kern w:val="2"/>
                <w:sz w:val="18"/>
                <w:szCs w:val="18"/>
                <w:highlight w:val="none"/>
              </w:rPr>
              <w:t>6</w:t>
            </w:r>
            <w:r>
              <w:rPr>
                <w:rFonts w:hint="eastAsia" w:ascii="Times New Roman" w:hAnsi="Times New Roman" w:eastAsia="宋体"/>
                <w:snapToGrid/>
                <w:color w:val="auto"/>
                <w:kern w:val="2"/>
                <w:sz w:val="18"/>
                <w:szCs w:val="18"/>
                <w:highlight w:val="none"/>
              </w:rPr>
              <w:t>0℃；耐 水 压： ≥0.5MPa。连接杆应与被测钢筋材质和规格相同</w:t>
            </w:r>
            <w:r>
              <w:rPr>
                <w:rFonts w:ascii="Times New Roman" w:hAnsi="Times New Roman" w:eastAsia="宋体"/>
                <w:snapToGrid/>
                <w:color w:val="auto"/>
                <w:kern w:val="2"/>
                <w:sz w:val="18"/>
                <w:szCs w:val="18"/>
                <w:highlight w:val="none"/>
              </w:rPr>
              <w:t>。</w:t>
            </w:r>
          </w:p>
        </w:tc>
        <w:tc>
          <w:tcPr>
            <w:tcW w:w="375" w:type="pct"/>
            <w:shd w:val="clear" w:color="000000" w:fill="FFFFFF"/>
          </w:tcPr>
          <w:p>
            <w:pPr>
              <w:autoSpaceDE w:val="0"/>
              <w:autoSpaceDN w:val="0"/>
              <w:adjustRightInd w:val="0"/>
              <w:snapToGrid w:val="0"/>
              <w:jc w:val="center"/>
              <w:textAlignment w:val="baseline"/>
              <w:rPr>
                <w:color w:val="auto"/>
                <w:kern w:val="0"/>
                <w:sz w:val="18"/>
                <w:szCs w:val="18"/>
                <w:highlight w:val="none"/>
                <w:lang w:val="zh-CN"/>
              </w:rPr>
            </w:pPr>
          </w:p>
        </w:tc>
        <w:tc>
          <w:tcPr>
            <w:tcW w:w="730"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autoSpaceDE w:val="0"/>
              <w:autoSpaceDN w:val="0"/>
              <w:adjustRightInd w:val="0"/>
              <w:snapToGrid w:val="0"/>
              <w:jc w:val="center"/>
              <w:textAlignment w:val="baseline"/>
              <w:rPr>
                <w:color w:val="auto"/>
                <w:sz w:val="18"/>
                <w:szCs w:val="18"/>
                <w:highlight w:val="none"/>
                <w:lang w:val="zh-CN"/>
              </w:rPr>
            </w:pPr>
            <w:r>
              <w:rPr>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jc w:val="center"/>
              <w:rPr>
                <w:color w:val="auto"/>
                <w:sz w:val="18"/>
                <w:szCs w:val="18"/>
                <w:highlight w:val="none"/>
              </w:rPr>
            </w:pPr>
            <w:r>
              <w:rPr>
                <w:color w:val="auto"/>
                <w:sz w:val="18"/>
                <w:szCs w:val="18"/>
                <w:highlight w:val="none"/>
              </w:rPr>
              <w:t>8</w:t>
            </w:r>
          </w:p>
        </w:tc>
        <w:tc>
          <w:tcPr>
            <w:tcW w:w="699" w:type="pct"/>
            <w:shd w:val="clear" w:color="000000" w:fill="FFFFFF"/>
            <w:vAlign w:val="center"/>
          </w:tcPr>
          <w:p>
            <w:pPr>
              <w:jc w:val="center"/>
              <w:rPr>
                <w:color w:val="auto"/>
                <w:sz w:val="18"/>
                <w:szCs w:val="18"/>
                <w:highlight w:val="none"/>
              </w:rPr>
            </w:pPr>
            <w:r>
              <w:rPr>
                <w:rFonts w:hint="eastAsia"/>
                <w:color w:val="auto"/>
                <w:sz w:val="18"/>
                <w:szCs w:val="18"/>
                <w:highlight w:val="none"/>
              </w:rPr>
              <w:t>锚杆应力计</w:t>
            </w:r>
          </w:p>
        </w:tc>
        <w:tc>
          <w:tcPr>
            <w:tcW w:w="503" w:type="pct"/>
            <w:shd w:val="clear" w:color="000000" w:fill="FFFFFF"/>
            <w:vAlign w:val="center"/>
          </w:tcPr>
          <w:p>
            <w:pPr>
              <w:autoSpaceDE w:val="0"/>
              <w:autoSpaceDN w:val="0"/>
              <w:adjustRightInd w:val="0"/>
              <w:spacing w:before="48" w:beforeLines="20" w:after="48" w:afterLines="20" w:line="0" w:lineRule="atLeast"/>
              <w:jc w:val="center"/>
              <w:textAlignment w:val="baseline"/>
              <w:rPr>
                <w:color w:val="auto"/>
                <w:sz w:val="18"/>
                <w:szCs w:val="18"/>
                <w:highlight w:val="none"/>
              </w:rPr>
            </w:pPr>
            <w:r>
              <w:rPr>
                <w:rFonts w:hint="eastAsia"/>
                <w:color w:val="auto"/>
                <w:kern w:val="0"/>
                <w:sz w:val="18"/>
                <w:szCs w:val="18"/>
                <w:highlight w:val="none"/>
              </w:rPr>
              <w:t>振弦式</w:t>
            </w:r>
          </w:p>
        </w:tc>
        <w:tc>
          <w:tcPr>
            <w:tcW w:w="2355" w:type="pct"/>
            <w:shd w:val="clear" w:color="000000" w:fill="FFFFFF"/>
            <w:vAlign w:val="center"/>
          </w:tcPr>
          <w:p>
            <w:pPr>
              <w:spacing w:before="48" w:beforeLines="20" w:after="48" w:afterLines="20" w:line="0" w:lineRule="atLeast"/>
              <w:rPr>
                <w:color w:val="auto"/>
                <w:sz w:val="18"/>
                <w:szCs w:val="18"/>
                <w:highlight w:val="none"/>
              </w:rPr>
            </w:pPr>
            <w:r>
              <w:rPr>
                <w:rFonts w:hint="eastAsia"/>
                <w:color w:val="auto"/>
                <w:sz w:val="18"/>
                <w:szCs w:val="18"/>
                <w:highlight w:val="none"/>
              </w:rPr>
              <w:t>标准量程：压缩0～100MPa，拉伸0～400MPa；非线性度：≤2% F.S.；不重复度：≤0.5% F.S.；分辨力≤0.2% F.S.；综合误差：≤2.5% F.S.；温度范围：-20℃～+</w:t>
            </w:r>
            <w:r>
              <w:rPr>
                <w:color w:val="auto"/>
                <w:sz w:val="18"/>
                <w:szCs w:val="18"/>
                <w:highlight w:val="none"/>
              </w:rPr>
              <w:t>6</w:t>
            </w:r>
            <w:r>
              <w:rPr>
                <w:rFonts w:hint="eastAsia"/>
                <w:color w:val="auto"/>
                <w:sz w:val="18"/>
                <w:szCs w:val="18"/>
                <w:highlight w:val="none"/>
              </w:rPr>
              <w:t>0℃；耐 水 压： ≥0.5MPa。连接杆应与被测钢筋材质和规格相同。</w:t>
            </w:r>
          </w:p>
        </w:tc>
        <w:tc>
          <w:tcPr>
            <w:tcW w:w="375" w:type="pct"/>
            <w:shd w:val="clear" w:color="000000" w:fill="FFFFFF"/>
            <w:vAlign w:val="center"/>
          </w:tcPr>
          <w:p>
            <w:pPr>
              <w:spacing w:before="48" w:beforeLines="20" w:after="48" w:afterLines="20" w:line="0" w:lineRule="atLeast"/>
              <w:rPr>
                <w:color w:val="auto"/>
                <w:sz w:val="18"/>
                <w:szCs w:val="18"/>
                <w:highlight w:val="none"/>
              </w:rPr>
            </w:pPr>
          </w:p>
        </w:tc>
        <w:tc>
          <w:tcPr>
            <w:tcW w:w="730"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7" w:hRule="atLeast"/>
          <w:jc w:val="center"/>
        </w:trPr>
        <w:tc>
          <w:tcPr>
            <w:tcW w:w="338" w:type="pct"/>
            <w:shd w:val="clear" w:color="000000" w:fill="FFFFFF"/>
            <w:vAlign w:val="center"/>
          </w:tcPr>
          <w:p>
            <w:pPr>
              <w:jc w:val="center"/>
              <w:rPr>
                <w:color w:val="auto"/>
                <w:sz w:val="18"/>
                <w:szCs w:val="18"/>
                <w:highlight w:val="none"/>
              </w:rPr>
            </w:pPr>
            <w:r>
              <w:rPr>
                <w:color w:val="auto"/>
                <w:sz w:val="18"/>
                <w:szCs w:val="18"/>
                <w:highlight w:val="none"/>
              </w:rPr>
              <w:t>9</w:t>
            </w:r>
          </w:p>
        </w:tc>
        <w:tc>
          <w:tcPr>
            <w:tcW w:w="699" w:type="pct"/>
            <w:shd w:val="clear" w:color="000000" w:fill="FFFFFF"/>
            <w:vAlign w:val="center"/>
          </w:tcPr>
          <w:p>
            <w:pPr>
              <w:jc w:val="center"/>
              <w:rPr>
                <w:color w:val="auto"/>
                <w:sz w:val="18"/>
                <w:szCs w:val="18"/>
                <w:highlight w:val="none"/>
              </w:rPr>
            </w:pPr>
            <w:r>
              <w:rPr>
                <w:rFonts w:hint="eastAsia"/>
                <w:color w:val="auto"/>
                <w:sz w:val="18"/>
                <w:szCs w:val="18"/>
                <w:highlight w:val="none"/>
              </w:rPr>
              <w:t>锚索测力计</w:t>
            </w:r>
          </w:p>
        </w:tc>
        <w:tc>
          <w:tcPr>
            <w:tcW w:w="503" w:type="pct"/>
            <w:shd w:val="clear" w:color="000000" w:fill="FFFFFF"/>
            <w:vAlign w:val="center"/>
          </w:tcPr>
          <w:p>
            <w:pPr>
              <w:autoSpaceDE w:val="0"/>
              <w:autoSpaceDN w:val="0"/>
              <w:adjustRightInd w:val="0"/>
              <w:spacing w:before="48" w:beforeLines="20" w:after="48" w:afterLines="20" w:line="0" w:lineRule="atLeast"/>
              <w:jc w:val="center"/>
              <w:textAlignment w:val="baseline"/>
              <w:rPr>
                <w:color w:val="auto"/>
                <w:kern w:val="0"/>
                <w:sz w:val="18"/>
                <w:szCs w:val="18"/>
                <w:highlight w:val="none"/>
              </w:rPr>
            </w:pPr>
            <w:r>
              <w:rPr>
                <w:rFonts w:hint="eastAsia"/>
                <w:color w:val="auto"/>
                <w:kern w:val="0"/>
                <w:sz w:val="18"/>
                <w:szCs w:val="18"/>
                <w:highlight w:val="none"/>
              </w:rPr>
              <w:t>振弦式</w:t>
            </w:r>
          </w:p>
        </w:tc>
        <w:tc>
          <w:tcPr>
            <w:tcW w:w="2355" w:type="pct"/>
            <w:shd w:val="clear" w:color="000000" w:fill="FFFFFF"/>
            <w:vAlign w:val="center"/>
          </w:tcPr>
          <w:p>
            <w:pPr>
              <w:spacing w:before="48" w:beforeLines="20" w:after="48" w:afterLines="20" w:line="0" w:lineRule="atLeast"/>
              <w:rPr>
                <w:color w:val="auto"/>
                <w:sz w:val="18"/>
                <w:szCs w:val="18"/>
                <w:highlight w:val="none"/>
              </w:rPr>
            </w:pPr>
            <w:r>
              <w:rPr>
                <w:rFonts w:hint="eastAsia"/>
                <w:color w:val="auto"/>
                <w:sz w:val="18"/>
                <w:szCs w:val="18"/>
                <w:highlight w:val="none"/>
              </w:rPr>
              <w:t>标准量程：999KN；非线性度：直线：≤1%F.S.；多项式：≤0.5%F.S.；灵 敏 度：0.07%F.S.；温度范围：-20℃～+60℃；耐 水 压： ≥0.5MPa。锚索测力计的尺寸和形状根据钢绞线锚头的尺寸进行定制。</w:t>
            </w:r>
          </w:p>
        </w:tc>
        <w:tc>
          <w:tcPr>
            <w:tcW w:w="375" w:type="pct"/>
            <w:shd w:val="clear" w:color="000000" w:fill="FFFFFF"/>
            <w:vAlign w:val="center"/>
          </w:tcPr>
          <w:p>
            <w:pPr>
              <w:spacing w:before="48" w:beforeLines="20" w:after="48" w:afterLines="20" w:line="0" w:lineRule="atLeast"/>
              <w:rPr>
                <w:color w:val="auto"/>
                <w:sz w:val="18"/>
                <w:szCs w:val="18"/>
                <w:highlight w:val="none"/>
              </w:rPr>
            </w:pPr>
          </w:p>
        </w:tc>
        <w:tc>
          <w:tcPr>
            <w:tcW w:w="730" w:type="pct"/>
            <w:shd w:val="clear" w:color="000000" w:fill="FFFFFF"/>
            <w:vAlign w:val="center"/>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北京基康、</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lang w:val="zh-CN"/>
              </w:rPr>
              <w:t>南京南瑞、</w:t>
            </w:r>
          </w:p>
          <w:p>
            <w:pPr>
              <w:autoSpaceDE w:val="0"/>
              <w:autoSpaceDN w:val="0"/>
              <w:adjustRightInd w:val="0"/>
              <w:snapToGrid w:val="0"/>
              <w:jc w:val="center"/>
              <w:textAlignment w:val="baseline"/>
              <w:rPr>
                <w:color w:val="auto"/>
                <w:sz w:val="18"/>
                <w:szCs w:val="18"/>
                <w:highlight w:val="none"/>
              </w:rPr>
            </w:pPr>
            <w:r>
              <w:rPr>
                <w:color w:val="auto"/>
                <w:sz w:val="18"/>
                <w:szCs w:val="18"/>
                <w:highlight w:val="none"/>
              </w:rPr>
              <w:t>南京水文所</w:t>
            </w:r>
          </w:p>
        </w:tc>
      </w:tr>
    </w:tbl>
    <w:p>
      <w:pPr>
        <w:autoSpaceDE w:val="0"/>
        <w:autoSpaceDN w:val="0"/>
        <w:adjustRightInd w:val="0"/>
        <w:snapToGrid w:val="0"/>
        <w:ind w:left="630" w:hanging="630" w:hangingChars="300"/>
        <w:jc w:val="left"/>
        <w:textAlignment w:val="baseline"/>
        <w:rPr>
          <w:color w:val="auto"/>
          <w:kern w:val="0"/>
          <w:szCs w:val="21"/>
          <w:highlight w:val="none"/>
          <w:lang w:val="zh-CN"/>
        </w:rPr>
      </w:pPr>
      <w:r>
        <w:rPr>
          <w:rFonts w:hint="eastAsia"/>
          <w:color w:val="auto"/>
          <w:kern w:val="0"/>
          <w:szCs w:val="21"/>
          <w:highlight w:val="none"/>
          <w:lang w:val="zh-CN"/>
        </w:rPr>
        <w:t>注：①本表推荐品牌仅为参考，投标单位可选用不低于推荐品牌质量的其他品牌。在施工阶段，甲方会同设计、监理从乙方报价品牌和本表推荐品牌中选定任一品牌，乙方不得因此要求变更报价。</w:t>
      </w:r>
    </w:p>
    <w:p>
      <w:pPr>
        <w:autoSpaceDE w:val="0"/>
        <w:autoSpaceDN w:val="0"/>
        <w:adjustRightInd w:val="0"/>
        <w:snapToGrid w:val="0"/>
        <w:ind w:left="630" w:leftChars="200" w:hanging="210" w:hangingChars="100"/>
        <w:jc w:val="left"/>
        <w:textAlignment w:val="baseline"/>
        <w:rPr>
          <w:color w:val="auto"/>
          <w:kern w:val="0"/>
          <w:szCs w:val="21"/>
          <w:highlight w:val="none"/>
          <w:lang w:val="zh-CN"/>
        </w:rPr>
      </w:pPr>
      <w:r>
        <w:rPr>
          <w:rFonts w:hint="eastAsia"/>
          <w:color w:val="auto"/>
          <w:kern w:val="0"/>
          <w:szCs w:val="21"/>
          <w:highlight w:val="none"/>
          <w:lang w:val="zh-CN"/>
        </w:rPr>
        <w:t>② “</w:t>
      </w:r>
      <w:r>
        <w:rPr>
          <w:color w:val="auto"/>
          <w:kern w:val="0"/>
          <w:szCs w:val="21"/>
          <w:highlight w:val="none"/>
          <w:lang w:val="zh-CN"/>
        </w:rPr>
        <w:t>北京基</w:t>
      </w:r>
      <w:r>
        <w:rPr>
          <w:rFonts w:hint="eastAsia"/>
          <w:color w:val="auto"/>
          <w:kern w:val="0"/>
          <w:szCs w:val="21"/>
          <w:highlight w:val="none"/>
          <w:lang w:val="zh-CN"/>
        </w:rPr>
        <w:t>康”全称基康仪器股份有限公司；“南京</w:t>
      </w:r>
      <w:r>
        <w:rPr>
          <w:color w:val="auto"/>
          <w:kern w:val="0"/>
          <w:szCs w:val="21"/>
          <w:highlight w:val="none"/>
          <w:lang w:val="zh-CN"/>
        </w:rPr>
        <w:t>南瑞</w:t>
      </w:r>
      <w:r>
        <w:rPr>
          <w:rFonts w:hint="eastAsia"/>
          <w:color w:val="auto"/>
          <w:kern w:val="0"/>
          <w:szCs w:val="21"/>
          <w:highlight w:val="none"/>
          <w:lang w:val="zh-CN"/>
        </w:rPr>
        <w:t>”全称南瑞集团公司；“</w:t>
      </w:r>
      <w:r>
        <w:rPr>
          <w:rFonts w:hint="eastAsia" w:ascii="宋体" w:hAnsi="宋体" w:cs="宋体"/>
          <w:color w:val="auto"/>
          <w:szCs w:val="21"/>
          <w:highlight w:val="none"/>
        </w:rPr>
        <w:t>南京水文所</w:t>
      </w:r>
      <w:r>
        <w:rPr>
          <w:rFonts w:hint="eastAsia"/>
          <w:color w:val="auto"/>
          <w:kern w:val="0"/>
          <w:szCs w:val="21"/>
          <w:highlight w:val="none"/>
          <w:lang w:val="zh-CN"/>
        </w:rPr>
        <w:t>”全称水利部南京水利水文自动化研究所。</w:t>
      </w:r>
    </w:p>
    <w:p>
      <w:pPr>
        <w:autoSpaceDE w:val="0"/>
        <w:autoSpaceDN w:val="0"/>
        <w:adjustRightInd w:val="0"/>
        <w:snapToGrid w:val="0"/>
        <w:ind w:left="630" w:leftChars="200" w:hanging="210" w:hangingChars="100"/>
        <w:jc w:val="left"/>
        <w:textAlignment w:val="baseline"/>
        <w:rPr>
          <w:color w:val="auto"/>
          <w:kern w:val="0"/>
          <w:szCs w:val="21"/>
          <w:highlight w:val="none"/>
          <w:lang w:val="zh-CN"/>
        </w:rPr>
      </w:pPr>
      <w:r>
        <w:rPr>
          <w:rFonts w:hint="eastAsia"/>
          <w:color w:val="auto"/>
          <w:kern w:val="0"/>
          <w:szCs w:val="21"/>
          <w:highlight w:val="none"/>
          <w:lang w:val="zh-CN"/>
        </w:rPr>
        <w:t>③仪器</w:t>
      </w:r>
      <w:r>
        <w:rPr>
          <w:color w:val="auto"/>
          <w:kern w:val="0"/>
          <w:szCs w:val="21"/>
          <w:highlight w:val="none"/>
          <w:lang w:val="zh-CN"/>
        </w:rPr>
        <w:t>的</w:t>
      </w:r>
      <w:r>
        <w:rPr>
          <w:rFonts w:hint="eastAsia"/>
          <w:color w:val="auto"/>
          <w:kern w:val="0"/>
          <w:szCs w:val="21"/>
          <w:highlight w:val="none"/>
          <w:lang w:val="zh-CN"/>
        </w:rPr>
        <w:t>标准</w:t>
      </w:r>
      <w:r>
        <w:rPr>
          <w:color w:val="auto"/>
          <w:kern w:val="0"/>
          <w:szCs w:val="21"/>
          <w:highlight w:val="none"/>
          <w:lang w:val="zh-CN"/>
        </w:rPr>
        <w:t>量程范围根据施工图调整。</w:t>
      </w:r>
    </w:p>
    <w:p>
      <w:pPr>
        <w:autoSpaceDE w:val="0"/>
        <w:autoSpaceDN w:val="0"/>
        <w:adjustRightInd w:val="0"/>
        <w:snapToGrid w:val="0"/>
        <w:ind w:left="0" w:leftChars="0" w:firstLine="0" w:firstLineChars="0"/>
        <w:jc w:val="left"/>
        <w:textAlignment w:val="baseline"/>
        <w:rPr>
          <w:color w:val="auto"/>
          <w:kern w:val="0"/>
          <w:szCs w:val="21"/>
          <w:highlight w:val="none"/>
          <w:lang w:val="zh-CN"/>
        </w:rPr>
      </w:pPr>
    </w:p>
    <w:p>
      <w:pPr>
        <w:adjustRightInd w:val="0"/>
        <w:jc w:val="center"/>
        <w:textAlignment w:val="baseline"/>
        <w:rPr>
          <w:rFonts w:eastAsia="黑体"/>
          <w:bCs/>
          <w:color w:val="auto"/>
          <w:kern w:val="0"/>
          <w:sz w:val="24"/>
          <w:highlight w:val="none"/>
          <w:lang w:val="en-GB"/>
        </w:rPr>
      </w:pPr>
      <w:r>
        <w:rPr>
          <w:rFonts w:eastAsia="黑体"/>
          <w:bCs/>
          <w:color w:val="auto"/>
          <w:kern w:val="0"/>
          <w:sz w:val="24"/>
          <w:highlight w:val="none"/>
          <w:lang w:val="en-GB"/>
        </w:rPr>
        <w:t>表2-6   电缆、采集单元及自动化系统技术指标表</w:t>
      </w:r>
    </w:p>
    <w:tbl>
      <w:tblPr>
        <w:tblStyle w:val="88"/>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24" w:type="dxa"/>
          <w:bottom w:w="0" w:type="dxa"/>
          <w:right w:w="24" w:type="dxa"/>
        </w:tblCellMar>
      </w:tblPr>
      <w:tblGrid>
        <w:gridCol w:w="566"/>
        <w:gridCol w:w="1198"/>
        <w:gridCol w:w="4512"/>
        <w:gridCol w:w="985"/>
        <w:gridCol w:w="11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5" w:hRule="atLeast"/>
          <w:tblHeader/>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序号</w:t>
            </w:r>
          </w:p>
        </w:tc>
        <w:tc>
          <w:tcPr>
            <w:tcW w:w="715" w:type="pct"/>
            <w:shd w:val="clear" w:color="000000" w:fill="FFFFFF"/>
            <w:vAlign w:val="center"/>
          </w:tcPr>
          <w:p>
            <w:pPr>
              <w:jc w:val="center"/>
              <w:rPr>
                <w:color w:val="auto"/>
                <w:sz w:val="18"/>
                <w:szCs w:val="18"/>
                <w:highlight w:val="none"/>
              </w:rPr>
            </w:pPr>
            <w:r>
              <w:rPr>
                <w:color w:val="auto"/>
                <w:sz w:val="18"/>
                <w:szCs w:val="18"/>
                <w:highlight w:val="none"/>
              </w:rPr>
              <w:t>名称</w:t>
            </w:r>
          </w:p>
        </w:tc>
        <w:tc>
          <w:tcPr>
            <w:tcW w:w="2693" w:type="pct"/>
            <w:shd w:val="clear" w:color="000000" w:fill="FFFFFF"/>
            <w:vAlign w:val="center"/>
          </w:tcPr>
          <w:p>
            <w:pPr>
              <w:jc w:val="center"/>
              <w:rPr>
                <w:color w:val="auto"/>
                <w:sz w:val="18"/>
                <w:szCs w:val="18"/>
                <w:highlight w:val="none"/>
              </w:rPr>
            </w:pPr>
            <w:r>
              <w:rPr>
                <w:color w:val="auto"/>
                <w:sz w:val="18"/>
                <w:szCs w:val="18"/>
                <w:highlight w:val="none"/>
              </w:rPr>
              <w:t>主要技术指标</w:t>
            </w:r>
          </w:p>
        </w:tc>
        <w:tc>
          <w:tcPr>
            <w:tcW w:w="588" w:type="pct"/>
            <w:shd w:val="clear" w:color="000000" w:fill="FFFFFF"/>
            <w:vAlign w:val="center"/>
          </w:tcPr>
          <w:p>
            <w:pPr>
              <w:jc w:val="center"/>
              <w:rPr>
                <w:color w:val="auto"/>
                <w:sz w:val="18"/>
                <w:szCs w:val="18"/>
                <w:highlight w:val="none"/>
              </w:rPr>
            </w:pPr>
            <w:r>
              <w:rPr>
                <w:color w:val="auto"/>
                <w:sz w:val="18"/>
                <w:szCs w:val="18"/>
                <w:highlight w:val="none"/>
              </w:rPr>
              <w:t>备注</w:t>
            </w:r>
          </w:p>
        </w:tc>
        <w:tc>
          <w:tcPr>
            <w:tcW w:w="666" w:type="pct"/>
            <w:shd w:val="clear" w:color="000000" w:fill="FFFFFF"/>
            <w:vAlign w:val="center"/>
          </w:tcPr>
          <w:p>
            <w:pPr>
              <w:jc w:val="center"/>
              <w:rPr>
                <w:color w:val="auto"/>
                <w:kern w:val="0"/>
                <w:sz w:val="18"/>
                <w:szCs w:val="18"/>
                <w:highlight w:val="none"/>
                <w:lang w:val="zh-CN"/>
              </w:rPr>
            </w:pPr>
            <w:r>
              <w:rPr>
                <w:rFonts w:eastAsiaTheme="minorEastAsia"/>
                <w:color w:val="auto"/>
                <w:kern w:val="0"/>
                <w:sz w:val="18"/>
                <w:szCs w:val="18"/>
                <w:highlight w:val="none"/>
                <w:lang w:val="zh-CN"/>
              </w:rPr>
              <w:t>推荐或相当于以下品牌产品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416"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1</w:t>
            </w:r>
          </w:p>
        </w:tc>
        <w:tc>
          <w:tcPr>
            <w:tcW w:w="715"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四芯屏蔽电缆、</w:t>
            </w:r>
          </w:p>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八芯屏蔽电缆</w:t>
            </w:r>
          </w:p>
        </w:tc>
        <w:tc>
          <w:tcPr>
            <w:tcW w:w="269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符合国标要求，与仪器配套的屏蔽电缆（包括4芯、</w:t>
            </w:r>
            <w:r>
              <w:rPr>
                <w:rFonts w:hint="eastAsia" w:ascii="Times New Roman" w:hAnsi="Times New Roman" w:eastAsia="宋体"/>
                <w:snapToGrid/>
                <w:color w:val="auto"/>
                <w:kern w:val="2"/>
                <w:sz w:val="18"/>
                <w:szCs w:val="18"/>
                <w:highlight w:val="none"/>
              </w:rPr>
              <w:t>8</w:t>
            </w:r>
            <w:r>
              <w:rPr>
                <w:rFonts w:ascii="Times New Roman" w:hAnsi="Times New Roman" w:eastAsia="宋体"/>
                <w:snapToGrid/>
                <w:color w:val="auto"/>
                <w:kern w:val="2"/>
                <w:sz w:val="18"/>
                <w:szCs w:val="18"/>
                <w:highlight w:val="none"/>
              </w:rPr>
              <w:t>芯），屏蔽电缆外套采用</w:t>
            </w:r>
            <w:r>
              <w:rPr>
                <w:rFonts w:hint="eastAsia" w:ascii="Times New Roman" w:hAnsi="Times New Roman" w:eastAsia="宋体"/>
                <w:snapToGrid/>
                <w:color w:val="auto"/>
                <w:kern w:val="2"/>
                <w:sz w:val="18"/>
                <w:szCs w:val="18"/>
                <w:highlight w:val="none"/>
              </w:rPr>
              <w:t>PVC</w:t>
            </w:r>
            <w:r>
              <w:rPr>
                <w:rFonts w:ascii="Times New Roman" w:hAnsi="Times New Roman" w:eastAsia="宋体"/>
                <w:snapToGrid/>
                <w:color w:val="auto"/>
                <w:kern w:val="2"/>
                <w:sz w:val="18"/>
                <w:szCs w:val="18"/>
                <w:highlight w:val="none"/>
              </w:rPr>
              <w:t>，</w:t>
            </w:r>
            <w:r>
              <w:rPr>
                <w:rFonts w:hint="eastAsia" w:ascii="Times New Roman" w:hAnsi="Times New Roman" w:eastAsia="宋体"/>
                <w:snapToGrid/>
                <w:color w:val="auto"/>
                <w:kern w:val="2"/>
                <w:sz w:val="18"/>
                <w:szCs w:val="18"/>
                <w:highlight w:val="none"/>
              </w:rPr>
              <w:t>质地</w:t>
            </w:r>
            <w:r>
              <w:rPr>
                <w:rFonts w:ascii="Times New Roman" w:hAnsi="Times New Roman" w:eastAsia="宋体"/>
                <w:snapToGrid/>
                <w:color w:val="auto"/>
                <w:kern w:val="2"/>
                <w:sz w:val="18"/>
                <w:szCs w:val="18"/>
                <w:highlight w:val="none"/>
              </w:rPr>
              <w:t>柔软</w:t>
            </w:r>
            <w:r>
              <w:rPr>
                <w:rFonts w:hint="eastAsia" w:ascii="Times New Roman" w:hAnsi="Times New Roman" w:eastAsia="宋体"/>
                <w:snapToGrid/>
                <w:color w:val="auto"/>
                <w:kern w:val="2"/>
                <w:sz w:val="18"/>
                <w:szCs w:val="18"/>
                <w:highlight w:val="none"/>
              </w:rPr>
              <w:t>能防水、</w:t>
            </w:r>
            <w:r>
              <w:rPr>
                <w:rFonts w:ascii="Times New Roman" w:hAnsi="Times New Roman" w:eastAsia="宋体"/>
                <w:snapToGrid/>
                <w:color w:val="auto"/>
                <w:kern w:val="2"/>
                <w:sz w:val="18"/>
                <w:szCs w:val="18"/>
                <w:highlight w:val="none"/>
              </w:rPr>
              <w:t>耐寒、耐潮、耐磨、耐化学和石油产品的腐蚀</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绝缘电阻在100MΩ以上，符合我国国家标准，满足仪器设备和系统的使用要求。护套厚度：大于1.05mm±1.1%，承受外水压力：≥2MPa，工作温度：-10</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～85</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。含</w:t>
            </w:r>
            <w:r>
              <w:rPr>
                <w:rFonts w:hint="eastAsia" w:ascii="Times New Roman" w:hAnsi="Times New Roman" w:eastAsia="宋体"/>
                <w:snapToGrid/>
                <w:color w:val="auto"/>
                <w:kern w:val="2"/>
                <w:sz w:val="18"/>
                <w:szCs w:val="18"/>
                <w:highlight w:val="none"/>
              </w:rPr>
              <w:t>专业防水</w:t>
            </w:r>
            <w:r>
              <w:rPr>
                <w:rFonts w:ascii="Times New Roman" w:hAnsi="Times New Roman" w:eastAsia="宋体"/>
                <w:snapToGrid/>
                <w:color w:val="auto"/>
                <w:kern w:val="2"/>
                <w:sz w:val="18"/>
                <w:szCs w:val="18"/>
                <w:highlight w:val="none"/>
              </w:rPr>
              <w:t>接头</w:t>
            </w:r>
            <w:r>
              <w:rPr>
                <w:rFonts w:hint="eastAsia" w:ascii="Times New Roman" w:hAnsi="Times New Roman" w:eastAsia="宋体"/>
                <w:snapToGrid/>
                <w:color w:val="auto"/>
                <w:kern w:val="2"/>
                <w:sz w:val="18"/>
                <w:szCs w:val="18"/>
                <w:highlight w:val="none"/>
              </w:rPr>
              <w:t>。</w:t>
            </w:r>
          </w:p>
        </w:tc>
        <w:tc>
          <w:tcPr>
            <w:tcW w:w="588" w:type="pct"/>
            <w:shd w:val="clear" w:color="000000" w:fill="FFFFFF"/>
          </w:tcPr>
          <w:p>
            <w:pPr>
              <w:autoSpaceDE w:val="0"/>
              <w:autoSpaceDN w:val="0"/>
              <w:adjustRightInd w:val="0"/>
              <w:snapToGrid w:val="0"/>
              <w:jc w:val="center"/>
              <w:textAlignment w:val="baseline"/>
              <w:rPr>
                <w:color w:val="auto"/>
                <w:kern w:val="0"/>
                <w:sz w:val="18"/>
                <w:szCs w:val="18"/>
                <w:highlight w:val="none"/>
                <w:lang w:val="zh-CN"/>
              </w:rPr>
            </w:pPr>
          </w:p>
        </w:tc>
        <w:tc>
          <w:tcPr>
            <w:tcW w:w="666" w:type="pct"/>
            <w:shd w:val="clear" w:color="000000" w:fill="FFFFFF"/>
          </w:tcPr>
          <w:p>
            <w:pPr>
              <w:autoSpaceDE w:val="0"/>
              <w:autoSpaceDN w:val="0"/>
              <w:adjustRightInd w:val="0"/>
              <w:snapToGrid w:val="0"/>
              <w:jc w:val="center"/>
              <w:textAlignment w:val="baseline"/>
              <w:rPr>
                <w:color w:val="auto"/>
                <w:kern w:val="0"/>
                <w:sz w:val="18"/>
                <w:szCs w:val="18"/>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5"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2</w:t>
            </w:r>
          </w:p>
        </w:tc>
        <w:tc>
          <w:tcPr>
            <w:tcW w:w="715"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单模双芯光缆、</w:t>
            </w:r>
          </w:p>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16芯通讯</w:t>
            </w:r>
            <w:r>
              <w:rPr>
                <w:rFonts w:ascii="Times New Roman" w:hAnsi="Times New Roman" w:eastAsia="宋体"/>
                <w:snapToGrid/>
                <w:color w:val="auto"/>
                <w:kern w:val="2"/>
                <w:sz w:val="18"/>
                <w:szCs w:val="18"/>
                <w:highlight w:val="none"/>
              </w:rPr>
              <w:t>光缆</w:t>
            </w:r>
          </w:p>
        </w:tc>
        <w:tc>
          <w:tcPr>
            <w:tcW w:w="269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单模光缆</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包括</w:t>
            </w:r>
            <w:r>
              <w:rPr>
                <w:rFonts w:hint="eastAsia" w:ascii="Times New Roman" w:hAnsi="Times New Roman" w:eastAsia="宋体"/>
                <w:snapToGrid/>
                <w:color w:val="auto"/>
                <w:kern w:val="2"/>
                <w:sz w:val="18"/>
                <w:szCs w:val="18"/>
                <w:highlight w:val="none"/>
              </w:rPr>
              <w:t>2</w:t>
            </w:r>
            <w:r>
              <w:rPr>
                <w:rFonts w:ascii="Times New Roman" w:hAnsi="Times New Roman" w:eastAsia="宋体"/>
                <w:snapToGrid/>
                <w:color w:val="auto"/>
                <w:kern w:val="2"/>
                <w:sz w:val="18"/>
                <w:szCs w:val="18"/>
                <w:highlight w:val="none"/>
              </w:rPr>
              <w:t>芯、</w:t>
            </w:r>
            <w:r>
              <w:rPr>
                <w:rFonts w:hint="eastAsia" w:ascii="Times New Roman" w:hAnsi="Times New Roman" w:eastAsia="宋体"/>
                <w:snapToGrid/>
                <w:color w:val="auto"/>
                <w:kern w:val="2"/>
                <w:sz w:val="18"/>
                <w:szCs w:val="18"/>
                <w:highlight w:val="none"/>
              </w:rPr>
              <w:t>16</w:t>
            </w:r>
            <w:r>
              <w:rPr>
                <w:rFonts w:ascii="Times New Roman" w:hAnsi="Times New Roman" w:eastAsia="宋体"/>
                <w:snapToGrid/>
                <w:color w:val="auto"/>
                <w:kern w:val="2"/>
                <w:sz w:val="18"/>
                <w:szCs w:val="18"/>
                <w:highlight w:val="none"/>
              </w:rPr>
              <w:t>芯，抗拉力&gt;2000N，铠装</w:t>
            </w:r>
            <w:r>
              <w:rPr>
                <w:rFonts w:hint="eastAsia" w:ascii="Times New Roman" w:hAnsi="Times New Roman" w:eastAsia="宋体"/>
                <w:snapToGrid/>
                <w:color w:val="auto"/>
                <w:kern w:val="2"/>
                <w:sz w:val="18"/>
                <w:szCs w:val="18"/>
                <w:highlight w:val="none"/>
              </w:rPr>
              <w:t>；含接头</w:t>
            </w:r>
            <w:r>
              <w:rPr>
                <w:rFonts w:ascii="Times New Roman" w:hAnsi="Times New Roman" w:eastAsia="宋体"/>
                <w:snapToGrid/>
                <w:color w:val="auto"/>
                <w:kern w:val="2"/>
                <w:sz w:val="18"/>
                <w:szCs w:val="18"/>
                <w:highlight w:val="none"/>
              </w:rPr>
              <w:t>保护盒</w:t>
            </w:r>
            <w:r>
              <w:rPr>
                <w:rFonts w:hint="eastAsia" w:ascii="Times New Roman" w:hAnsi="Times New Roman" w:eastAsia="宋体"/>
                <w:snapToGrid/>
                <w:color w:val="auto"/>
                <w:kern w:val="2"/>
                <w:sz w:val="18"/>
                <w:szCs w:val="18"/>
                <w:highlight w:val="none"/>
              </w:rPr>
              <w:t>；全</w:t>
            </w:r>
            <w:r>
              <w:rPr>
                <w:rFonts w:ascii="Times New Roman" w:hAnsi="Times New Roman" w:eastAsia="宋体"/>
                <w:snapToGrid/>
                <w:color w:val="auto"/>
                <w:kern w:val="2"/>
                <w:sz w:val="18"/>
                <w:szCs w:val="18"/>
                <w:highlight w:val="none"/>
              </w:rPr>
              <w:t>光缆边缘管束可单独剖</w:t>
            </w:r>
            <w:r>
              <w:rPr>
                <w:rFonts w:hint="eastAsia" w:ascii="Times New Roman" w:hAnsi="Times New Roman" w:eastAsia="宋体"/>
                <w:snapToGrid/>
                <w:color w:val="auto"/>
                <w:kern w:val="2"/>
                <w:sz w:val="18"/>
                <w:szCs w:val="18"/>
                <w:highlight w:val="none"/>
              </w:rPr>
              <w:t>离。耐水压：</w:t>
            </w:r>
            <w:r>
              <w:rPr>
                <w:rFonts w:ascii="Times New Roman" w:hAnsi="Times New Roman" w:eastAsia="宋体"/>
                <w:snapToGrid/>
                <w:color w:val="auto"/>
                <w:kern w:val="2"/>
                <w:sz w:val="18"/>
                <w:szCs w:val="18"/>
                <w:highlight w:val="none"/>
              </w:rPr>
              <w:t>≥2MPa</w:t>
            </w:r>
            <w:r>
              <w:rPr>
                <w:rFonts w:hint="eastAsia" w:ascii="Times New Roman" w:hAnsi="Times New Roman" w:eastAsia="宋体"/>
                <w:snapToGrid/>
                <w:color w:val="auto"/>
                <w:kern w:val="2"/>
                <w:sz w:val="18"/>
                <w:szCs w:val="18"/>
                <w:highlight w:val="none"/>
              </w:rPr>
              <w:t>。</w:t>
            </w:r>
          </w:p>
        </w:tc>
        <w:tc>
          <w:tcPr>
            <w:tcW w:w="588" w:type="pct"/>
            <w:shd w:val="clear" w:color="000000" w:fill="FFFFFF"/>
          </w:tcPr>
          <w:p>
            <w:pPr>
              <w:autoSpaceDE w:val="0"/>
              <w:autoSpaceDN w:val="0"/>
              <w:adjustRightInd w:val="0"/>
              <w:snapToGrid w:val="0"/>
              <w:jc w:val="center"/>
              <w:textAlignment w:val="baseline"/>
              <w:rPr>
                <w:color w:val="auto"/>
                <w:kern w:val="0"/>
                <w:sz w:val="18"/>
                <w:szCs w:val="18"/>
                <w:highlight w:val="none"/>
                <w:lang w:val="zh-CN"/>
              </w:rPr>
            </w:pPr>
          </w:p>
        </w:tc>
        <w:tc>
          <w:tcPr>
            <w:tcW w:w="666" w:type="pct"/>
            <w:shd w:val="clear" w:color="000000" w:fill="FFFFFF"/>
          </w:tcPr>
          <w:p>
            <w:pPr>
              <w:autoSpaceDE w:val="0"/>
              <w:autoSpaceDN w:val="0"/>
              <w:adjustRightInd w:val="0"/>
              <w:snapToGrid w:val="0"/>
              <w:jc w:val="center"/>
              <w:textAlignment w:val="baseline"/>
              <w:rPr>
                <w:color w:val="auto"/>
                <w:kern w:val="0"/>
                <w:sz w:val="18"/>
                <w:szCs w:val="18"/>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311"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3</w:t>
            </w:r>
          </w:p>
        </w:tc>
        <w:tc>
          <w:tcPr>
            <w:tcW w:w="715"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双绞线</w:t>
            </w:r>
          </w:p>
        </w:tc>
        <w:tc>
          <w:tcPr>
            <w:tcW w:w="269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屏蔽电缆。</w:t>
            </w:r>
          </w:p>
        </w:tc>
        <w:tc>
          <w:tcPr>
            <w:tcW w:w="588" w:type="pct"/>
            <w:shd w:val="clear" w:color="000000" w:fill="FFFFFF"/>
          </w:tcPr>
          <w:p>
            <w:pPr>
              <w:autoSpaceDE w:val="0"/>
              <w:autoSpaceDN w:val="0"/>
              <w:adjustRightInd w:val="0"/>
              <w:snapToGrid w:val="0"/>
              <w:jc w:val="center"/>
              <w:textAlignment w:val="baseline"/>
              <w:rPr>
                <w:color w:val="auto"/>
                <w:kern w:val="0"/>
                <w:sz w:val="18"/>
                <w:szCs w:val="18"/>
                <w:highlight w:val="none"/>
                <w:lang w:val="zh-CN"/>
              </w:rPr>
            </w:pPr>
          </w:p>
        </w:tc>
        <w:tc>
          <w:tcPr>
            <w:tcW w:w="666" w:type="pct"/>
            <w:shd w:val="clear" w:color="000000" w:fill="FFFFFF"/>
          </w:tcPr>
          <w:p>
            <w:pPr>
              <w:autoSpaceDE w:val="0"/>
              <w:autoSpaceDN w:val="0"/>
              <w:adjustRightInd w:val="0"/>
              <w:snapToGrid w:val="0"/>
              <w:jc w:val="center"/>
              <w:textAlignment w:val="baseline"/>
              <w:rPr>
                <w:color w:val="auto"/>
                <w:kern w:val="0"/>
                <w:sz w:val="18"/>
                <w:szCs w:val="18"/>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892"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4</w:t>
            </w:r>
          </w:p>
        </w:tc>
        <w:tc>
          <w:tcPr>
            <w:tcW w:w="715"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数据采集模块</w:t>
            </w:r>
            <w:r>
              <w:rPr>
                <w:rFonts w:hint="eastAsia" w:ascii="Times New Roman" w:hAnsi="Times New Roman" w:eastAsia="宋体"/>
                <w:snapToGrid/>
                <w:color w:val="auto"/>
                <w:kern w:val="2"/>
                <w:sz w:val="18"/>
                <w:szCs w:val="18"/>
                <w:highlight w:val="none"/>
              </w:rPr>
              <w:t>（16通道）</w:t>
            </w:r>
          </w:p>
        </w:tc>
        <w:tc>
          <w:tcPr>
            <w:tcW w:w="269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通道数</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16；精度：频率≤0.</w:t>
            </w:r>
            <w:r>
              <w:rPr>
                <w:rFonts w:hint="eastAsia" w:ascii="Times New Roman" w:hAnsi="Times New Roman" w:eastAsia="宋体"/>
                <w:snapToGrid/>
                <w:color w:val="auto"/>
                <w:kern w:val="2"/>
                <w:sz w:val="18"/>
                <w:szCs w:val="18"/>
                <w:highlight w:val="none"/>
              </w:rPr>
              <w:t>2</w:t>
            </w:r>
            <w:r>
              <w:rPr>
                <w:rFonts w:ascii="Times New Roman" w:hAnsi="Times New Roman" w:eastAsia="宋体"/>
                <w:snapToGrid/>
                <w:color w:val="auto"/>
                <w:kern w:val="2"/>
                <w:sz w:val="18"/>
                <w:szCs w:val="18"/>
                <w:highlight w:val="none"/>
              </w:rPr>
              <w:t>Hz</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温度0.5</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；分辨率：频率</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0.1Hz</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温度0.1</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w:t>
            </w:r>
            <w:r>
              <w:rPr>
                <w:rFonts w:hint="eastAsia" w:ascii="Times New Roman" w:hAnsi="Times New Roman" w:eastAsia="宋体"/>
                <w:snapToGrid/>
                <w:color w:val="auto"/>
                <w:kern w:val="2"/>
                <w:sz w:val="18"/>
                <w:szCs w:val="18"/>
                <w:highlight w:val="none"/>
              </w:rPr>
              <w:t>工作</w:t>
            </w:r>
            <w:r>
              <w:rPr>
                <w:rFonts w:ascii="Times New Roman" w:hAnsi="Times New Roman" w:eastAsia="宋体"/>
                <w:snapToGrid/>
                <w:color w:val="auto"/>
                <w:kern w:val="2"/>
                <w:sz w:val="18"/>
                <w:szCs w:val="18"/>
                <w:highlight w:val="none"/>
              </w:rPr>
              <w:t>温度-20</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w:t>
            </w:r>
            <w:r>
              <w:rPr>
                <w:rFonts w:hint="eastAsia" w:ascii="Times New Roman" w:hAnsi="Times New Roman" w:eastAsia="宋体"/>
                <w:snapToGrid/>
                <w:color w:val="auto"/>
                <w:kern w:val="2"/>
                <w:sz w:val="18"/>
                <w:szCs w:val="18"/>
                <w:highlight w:val="none"/>
              </w:rPr>
              <w:t>﹢6</w:t>
            </w:r>
            <w:r>
              <w:rPr>
                <w:rFonts w:ascii="Times New Roman" w:hAnsi="Times New Roman" w:eastAsia="宋体"/>
                <w:snapToGrid/>
                <w:color w:val="auto"/>
                <w:kern w:val="2"/>
                <w:sz w:val="18"/>
                <w:szCs w:val="18"/>
                <w:highlight w:val="none"/>
              </w:rPr>
              <w:t>0</w:t>
            </w:r>
            <w:r>
              <w:rPr>
                <w:rFonts w:hint="eastAsia" w:ascii="Times New Roman" w:hAnsi="Times New Roman" w:eastAsia="宋体"/>
                <w:snapToGrid/>
                <w:color w:val="auto"/>
                <w:kern w:val="2"/>
                <w:sz w:val="18"/>
                <w:szCs w:val="18"/>
                <w:highlight w:val="none"/>
              </w:rPr>
              <w:t>℃；数据</w:t>
            </w:r>
            <w:r>
              <w:rPr>
                <w:rFonts w:ascii="Times New Roman" w:hAnsi="Times New Roman" w:eastAsia="宋体"/>
                <w:snapToGrid/>
                <w:color w:val="auto"/>
                <w:kern w:val="2"/>
                <w:sz w:val="18"/>
                <w:szCs w:val="18"/>
                <w:highlight w:val="none"/>
              </w:rPr>
              <w:t>存储容量：≥2Mb；具备抗电磁干扰能力。</w:t>
            </w:r>
          </w:p>
        </w:tc>
        <w:tc>
          <w:tcPr>
            <w:tcW w:w="588" w:type="pct"/>
            <w:shd w:val="clear" w:color="000000" w:fill="FFFFFF"/>
          </w:tcPr>
          <w:p>
            <w:pPr>
              <w:autoSpaceDE w:val="0"/>
              <w:autoSpaceDN w:val="0"/>
              <w:adjustRightInd w:val="0"/>
              <w:snapToGrid w:val="0"/>
              <w:jc w:val="center"/>
              <w:textAlignment w:val="baseline"/>
              <w:rPr>
                <w:color w:val="auto"/>
                <w:kern w:val="0"/>
                <w:sz w:val="18"/>
                <w:szCs w:val="18"/>
                <w:highlight w:val="none"/>
                <w:lang w:val="zh-CN"/>
              </w:rPr>
            </w:pPr>
          </w:p>
        </w:tc>
        <w:tc>
          <w:tcPr>
            <w:tcW w:w="666" w:type="pct"/>
            <w:shd w:val="clear" w:color="000000" w:fill="FFFFFF"/>
          </w:tcPr>
          <w:p>
            <w:pPr>
              <w:autoSpaceDE w:val="0"/>
              <w:autoSpaceDN w:val="0"/>
              <w:adjustRightInd w:val="0"/>
              <w:snapToGrid w:val="0"/>
              <w:jc w:val="center"/>
              <w:textAlignment w:val="baseline"/>
              <w:rPr>
                <w:color w:val="auto"/>
                <w:kern w:val="0"/>
                <w:sz w:val="18"/>
                <w:szCs w:val="18"/>
                <w:highlight w:val="none"/>
              </w:rPr>
            </w:pPr>
            <w:r>
              <w:rPr>
                <w:color w:val="auto"/>
                <w:kern w:val="0"/>
                <w:sz w:val="18"/>
                <w:szCs w:val="18"/>
                <w:highlight w:val="none"/>
                <w:lang w:val="zh-CN"/>
              </w:rPr>
              <w:t>北京基康</w:t>
            </w:r>
            <w:r>
              <w:rPr>
                <w:rFonts w:hint="eastAsia"/>
                <w:color w:val="auto"/>
                <w:kern w:val="0"/>
                <w:sz w:val="18"/>
                <w:szCs w:val="18"/>
                <w:highlight w:val="none"/>
                <w:lang w:val="zh-CN"/>
              </w:rPr>
              <w:t>、</w:t>
            </w:r>
          </w:p>
          <w:p>
            <w:pPr>
              <w:autoSpaceDE w:val="0"/>
              <w:autoSpaceDN w:val="0"/>
              <w:adjustRightInd w:val="0"/>
              <w:snapToGrid w:val="0"/>
              <w:jc w:val="center"/>
              <w:textAlignment w:val="baseline"/>
              <w:rPr>
                <w:color w:val="auto"/>
                <w:kern w:val="0"/>
                <w:sz w:val="18"/>
                <w:szCs w:val="18"/>
                <w:highlight w:val="none"/>
              </w:rPr>
            </w:pPr>
            <w:r>
              <w:rPr>
                <w:rFonts w:hint="eastAsia"/>
                <w:color w:val="auto"/>
                <w:kern w:val="0"/>
                <w:sz w:val="18"/>
                <w:szCs w:val="18"/>
                <w:highlight w:val="none"/>
                <w:lang w:val="zh-CN"/>
              </w:rPr>
              <w:t>南京</w:t>
            </w:r>
            <w:r>
              <w:rPr>
                <w:color w:val="auto"/>
                <w:kern w:val="0"/>
                <w:sz w:val="18"/>
                <w:szCs w:val="18"/>
                <w:highlight w:val="none"/>
                <w:lang w:val="zh-CN"/>
              </w:rPr>
              <w:t>南</w:t>
            </w:r>
            <w:r>
              <w:rPr>
                <w:rFonts w:hint="eastAsia"/>
                <w:color w:val="auto"/>
                <w:kern w:val="0"/>
                <w:sz w:val="18"/>
                <w:szCs w:val="18"/>
                <w:highlight w:val="none"/>
                <w:lang w:val="zh-CN"/>
              </w:rPr>
              <w:t>瑞、</w:t>
            </w:r>
          </w:p>
          <w:p>
            <w:pPr>
              <w:autoSpaceDE w:val="0"/>
              <w:autoSpaceDN w:val="0"/>
              <w:adjustRightInd w:val="0"/>
              <w:snapToGrid w:val="0"/>
              <w:jc w:val="center"/>
              <w:textAlignment w:val="baseline"/>
              <w:rPr>
                <w:color w:val="auto"/>
                <w:kern w:val="0"/>
                <w:sz w:val="18"/>
                <w:szCs w:val="18"/>
                <w:highlight w:val="none"/>
              </w:rPr>
            </w:pPr>
            <w:r>
              <w:rPr>
                <w:rFonts w:hint="eastAsia" w:ascii="宋体" w:hAnsi="宋体" w:cs="宋体"/>
                <w:color w:val="auto"/>
                <w:sz w:val="18"/>
                <w:szCs w:val="18"/>
                <w:highlight w:val="none"/>
              </w:rPr>
              <w:t>长江科创</w:t>
            </w:r>
            <w:r>
              <w:rPr>
                <w:rFonts w:hint="eastAsia"/>
                <w:color w:val="auto"/>
                <w:kern w:val="0"/>
                <w:sz w:val="18"/>
                <w:szCs w:val="18"/>
                <w:highlight w:val="none"/>
                <w:lang w:val="zh-CN"/>
              </w:rPr>
              <w:t>、</w:t>
            </w:r>
          </w:p>
          <w:p>
            <w:pPr>
              <w:autoSpaceDE w:val="0"/>
              <w:autoSpaceDN w:val="0"/>
              <w:adjustRightInd w:val="0"/>
              <w:snapToGrid w:val="0"/>
              <w:jc w:val="center"/>
              <w:textAlignment w:val="baseline"/>
              <w:rPr>
                <w:color w:val="auto"/>
                <w:kern w:val="0"/>
                <w:sz w:val="18"/>
                <w:szCs w:val="18"/>
                <w:highlight w:val="none"/>
                <w:lang w:val="zh-CN"/>
              </w:rPr>
            </w:pPr>
            <w:r>
              <w:rPr>
                <w:rFonts w:hint="eastAsia" w:ascii="宋体" w:hAnsi="宋体" w:cs="宋体"/>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5"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5</w:t>
            </w:r>
          </w:p>
        </w:tc>
        <w:tc>
          <w:tcPr>
            <w:tcW w:w="715"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MCU机箱及附件</w:t>
            </w:r>
          </w:p>
        </w:tc>
        <w:tc>
          <w:tcPr>
            <w:tcW w:w="269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通信接口：采用</w:t>
            </w:r>
            <w:r>
              <w:rPr>
                <w:rFonts w:hint="eastAsia" w:ascii="Times New Roman" w:hAnsi="Times New Roman" w:eastAsia="宋体"/>
                <w:snapToGrid/>
                <w:color w:val="auto"/>
                <w:kern w:val="2"/>
                <w:sz w:val="18"/>
                <w:szCs w:val="18"/>
                <w:highlight w:val="none"/>
              </w:rPr>
              <w:t>以太网通讯接口</w:t>
            </w:r>
            <w:r>
              <w:rPr>
                <w:rFonts w:ascii="Times New Roman" w:hAnsi="Times New Roman" w:eastAsia="宋体"/>
                <w:snapToGrid/>
                <w:color w:val="auto"/>
                <w:kern w:val="2"/>
                <w:sz w:val="18"/>
                <w:szCs w:val="18"/>
                <w:highlight w:val="none"/>
              </w:rPr>
              <w:t>，提供软件接口(如控件、函数库、动态链接库等)或开放通用通信规约。</w:t>
            </w:r>
            <w:r>
              <w:rPr>
                <w:rFonts w:hint="eastAsia" w:ascii="Times New Roman" w:hAnsi="Times New Roman" w:eastAsia="宋体"/>
                <w:snapToGrid/>
                <w:color w:val="auto"/>
                <w:kern w:val="2"/>
                <w:sz w:val="18"/>
                <w:szCs w:val="18"/>
                <w:highlight w:val="none"/>
              </w:rPr>
              <w:t>支持TCP/IP协议，具备RS485接口，</w:t>
            </w:r>
            <w:r>
              <w:rPr>
                <w:rFonts w:ascii="Times New Roman" w:hAnsi="Times New Roman" w:eastAsia="宋体"/>
                <w:snapToGrid/>
                <w:color w:val="auto"/>
                <w:kern w:val="2"/>
                <w:sz w:val="18"/>
                <w:szCs w:val="18"/>
                <w:highlight w:val="none"/>
              </w:rPr>
              <w:t>具有人工测量接口：以方便人工比测或在采集装置发生故障时人工测读数据。定时间隔可设置。采样时间：≤30s/点。测量方式：定时、间断、单检、巡检、选测或任设测点群；具备抗电磁干扰能力。适应工作环境：温度-20</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～+60</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，湿度≤95%。通道数：≥32个通道。</w:t>
            </w:r>
          </w:p>
        </w:tc>
        <w:tc>
          <w:tcPr>
            <w:tcW w:w="588" w:type="pct"/>
            <w:shd w:val="clear" w:color="000000" w:fill="FFFFFF"/>
          </w:tcPr>
          <w:p>
            <w:pPr>
              <w:autoSpaceDE w:val="0"/>
              <w:autoSpaceDN w:val="0"/>
              <w:adjustRightInd w:val="0"/>
              <w:snapToGrid w:val="0"/>
              <w:jc w:val="center"/>
              <w:textAlignment w:val="baseline"/>
              <w:rPr>
                <w:color w:val="auto"/>
                <w:sz w:val="18"/>
                <w:szCs w:val="18"/>
                <w:highlight w:val="none"/>
              </w:rPr>
            </w:pPr>
            <w:r>
              <w:rPr>
                <w:color w:val="auto"/>
                <w:sz w:val="18"/>
                <w:szCs w:val="18"/>
                <w:highlight w:val="none"/>
              </w:rPr>
              <w:t>测量控制单元采集的传感器：差阻式、振弦式、电阻式、标准量、智能型传感器等。</w:t>
            </w:r>
          </w:p>
        </w:tc>
        <w:tc>
          <w:tcPr>
            <w:tcW w:w="666" w:type="pct"/>
            <w:shd w:val="clear" w:color="000000" w:fill="FFFFFF"/>
          </w:tcPr>
          <w:p>
            <w:pPr>
              <w:autoSpaceDE w:val="0"/>
              <w:autoSpaceDN w:val="0"/>
              <w:adjustRightInd w:val="0"/>
              <w:snapToGrid w:val="0"/>
              <w:jc w:val="center"/>
              <w:textAlignment w:val="baseline"/>
              <w:rPr>
                <w:color w:val="auto"/>
                <w:kern w:val="0"/>
                <w:sz w:val="18"/>
                <w:szCs w:val="18"/>
                <w:highlight w:val="none"/>
              </w:rPr>
            </w:pPr>
            <w:r>
              <w:rPr>
                <w:color w:val="auto"/>
                <w:kern w:val="0"/>
                <w:sz w:val="18"/>
                <w:szCs w:val="18"/>
                <w:highlight w:val="none"/>
                <w:lang w:val="zh-CN"/>
              </w:rPr>
              <w:t>北京基康</w:t>
            </w:r>
            <w:r>
              <w:rPr>
                <w:rFonts w:hint="eastAsia"/>
                <w:color w:val="auto"/>
                <w:kern w:val="0"/>
                <w:sz w:val="18"/>
                <w:szCs w:val="18"/>
                <w:highlight w:val="none"/>
                <w:lang w:val="zh-CN"/>
              </w:rPr>
              <w:t>、</w:t>
            </w:r>
          </w:p>
          <w:p>
            <w:pPr>
              <w:autoSpaceDE w:val="0"/>
              <w:autoSpaceDN w:val="0"/>
              <w:adjustRightInd w:val="0"/>
              <w:snapToGrid w:val="0"/>
              <w:jc w:val="center"/>
              <w:textAlignment w:val="baseline"/>
              <w:rPr>
                <w:color w:val="auto"/>
                <w:kern w:val="0"/>
                <w:sz w:val="18"/>
                <w:szCs w:val="18"/>
                <w:highlight w:val="none"/>
              </w:rPr>
            </w:pPr>
            <w:r>
              <w:rPr>
                <w:rFonts w:hint="eastAsia"/>
                <w:color w:val="auto"/>
                <w:kern w:val="0"/>
                <w:sz w:val="18"/>
                <w:szCs w:val="18"/>
                <w:highlight w:val="none"/>
                <w:lang w:val="zh-CN"/>
              </w:rPr>
              <w:t>南京</w:t>
            </w:r>
            <w:r>
              <w:rPr>
                <w:color w:val="auto"/>
                <w:kern w:val="0"/>
                <w:sz w:val="18"/>
                <w:szCs w:val="18"/>
                <w:highlight w:val="none"/>
                <w:lang w:val="zh-CN"/>
              </w:rPr>
              <w:t>南</w:t>
            </w:r>
            <w:r>
              <w:rPr>
                <w:rFonts w:hint="eastAsia"/>
                <w:color w:val="auto"/>
                <w:kern w:val="0"/>
                <w:sz w:val="18"/>
                <w:szCs w:val="18"/>
                <w:highlight w:val="none"/>
                <w:lang w:val="zh-CN"/>
              </w:rPr>
              <w:t>瑞、</w:t>
            </w:r>
          </w:p>
          <w:p>
            <w:pPr>
              <w:autoSpaceDE w:val="0"/>
              <w:autoSpaceDN w:val="0"/>
              <w:adjustRightInd w:val="0"/>
              <w:snapToGrid w:val="0"/>
              <w:jc w:val="center"/>
              <w:textAlignment w:val="baseline"/>
              <w:rPr>
                <w:color w:val="auto"/>
                <w:kern w:val="0"/>
                <w:sz w:val="18"/>
                <w:szCs w:val="18"/>
                <w:highlight w:val="none"/>
              </w:rPr>
            </w:pPr>
            <w:r>
              <w:rPr>
                <w:rFonts w:hint="eastAsia" w:ascii="宋体" w:hAnsi="宋体" w:cs="宋体"/>
                <w:color w:val="auto"/>
                <w:sz w:val="18"/>
                <w:szCs w:val="18"/>
                <w:highlight w:val="none"/>
              </w:rPr>
              <w:t>长江科创</w:t>
            </w:r>
            <w:r>
              <w:rPr>
                <w:rFonts w:hint="eastAsia"/>
                <w:color w:val="auto"/>
                <w:kern w:val="0"/>
                <w:sz w:val="18"/>
                <w:szCs w:val="18"/>
                <w:highlight w:val="none"/>
                <w:lang w:val="zh-CN"/>
              </w:rPr>
              <w:t>、</w:t>
            </w:r>
          </w:p>
          <w:p>
            <w:pPr>
              <w:autoSpaceDE w:val="0"/>
              <w:autoSpaceDN w:val="0"/>
              <w:adjustRightInd w:val="0"/>
              <w:snapToGrid w:val="0"/>
              <w:jc w:val="center"/>
              <w:textAlignment w:val="baseline"/>
              <w:rPr>
                <w:color w:val="auto"/>
                <w:kern w:val="0"/>
                <w:sz w:val="18"/>
                <w:szCs w:val="18"/>
                <w:highlight w:val="none"/>
                <w:lang w:val="zh-CN"/>
              </w:rPr>
            </w:pPr>
            <w:r>
              <w:rPr>
                <w:rFonts w:hint="eastAsia" w:ascii="宋体" w:hAnsi="宋体" w:cs="宋体"/>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5" w:hRule="atLeast"/>
          <w:jc w:val="center"/>
        </w:trPr>
        <w:tc>
          <w:tcPr>
            <w:tcW w:w="338" w:type="pct"/>
            <w:shd w:val="clear" w:color="000000" w:fill="FFFFFF"/>
            <w:vAlign w:val="center"/>
          </w:tcPr>
          <w:p>
            <w:pPr>
              <w:jc w:val="center"/>
              <w:rPr>
                <w:sz w:val="18"/>
                <w:szCs w:val="18"/>
              </w:rPr>
            </w:pPr>
            <w:r>
              <w:rPr>
                <w:rFonts w:hint="eastAsia"/>
                <w:sz w:val="18"/>
                <w:szCs w:val="18"/>
              </w:rPr>
              <w:t>6</w:t>
            </w:r>
          </w:p>
        </w:tc>
        <w:tc>
          <w:tcPr>
            <w:tcW w:w="715"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kern w:val="2"/>
                <w:sz w:val="18"/>
                <w:szCs w:val="18"/>
              </w:rPr>
            </w:pPr>
            <w:r>
              <w:rPr>
                <w:rFonts w:ascii="Times New Roman" w:hAnsi="Times New Roman" w:eastAsia="宋体"/>
                <w:snapToGrid/>
                <w:kern w:val="2"/>
                <w:sz w:val="18"/>
                <w:szCs w:val="18"/>
              </w:rPr>
              <w:t>光纤光栅解调仪</w:t>
            </w:r>
            <w:r>
              <w:rPr>
                <w:rFonts w:hint="eastAsia" w:ascii="Times New Roman" w:hAnsi="Times New Roman" w:eastAsia="宋体"/>
                <w:snapToGrid/>
                <w:kern w:val="2"/>
                <w:sz w:val="18"/>
                <w:szCs w:val="18"/>
              </w:rPr>
              <w:t>（16通道）</w:t>
            </w:r>
          </w:p>
        </w:tc>
        <w:tc>
          <w:tcPr>
            <w:tcW w:w="269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kern w:val="2"/>
                <w:sz w:val="18"/>
                <w:szCs w:val="18"/>
              </w:rPr>
            </w:pPr>
            <w:r>
              <w:rPr>
                <w:rFonts w:ascii="Times New Roman" w:hAnsi="Times New Roman" w:eastAsia="宋体"/>
                <w:snapToGrid/>
                <w:kern w:val="2"/>
                <w:sz w:val="18"/>
                <w:szCs w:val="18"/>
              </w:rPr>
              <w:t>通道数</w:t>
            </w:r>
            <w:r>
              <w:rPr>
                <w:rFonts w:hint="eastAsia" w:ascii="Times New Roman" w:hAnsi="Times New Roman" w:eastAsia="宋体"/>
                <w:snapToGrid/>
                <w:kern w:val="2"/>
                <w:sz w:val="18"/>
                <w:szCs w:val="18"/>
              </w:rPr>
              <w:t>：</w:t>
            </w:r>
            <w:r>
              <w:rPr>
                <w:rFonts w:ascii="Times New Roman" w:hAnsi="Times New Roman" w:eastAsia="宋体"/>
                <w:snapToGrid/>
                <w:kern w:val="2"/>
                <w:sz w:val="18"/>
                <w:szCs w:val="18"/>
              </w:rPr>
              <w:t>16</w:t>
            </w:r>
            <w:r>
              <w:rPr>
                <w:rFonts w:hint="eastAsia" w:ascii="Times New Roman" w:hAnsi="Times New Roman" w:eastAsia="宋体"/>
                <w:snapToGrid/>
                <w:kern w:val="2"/>
                <w:sz w:val="18"/>
                <w:szCs w:val="18"/>
              </w:rPr>
              <w:t>，</w:t>
            </w:r>
            <w:r>
              <w:rPr>
                <w:rFonts w:ascii="Times New Roman" w:hAnsi="Times New Roman" w:eastAsia="宋体"/>
                <w:snapToGrid/>
                <w:kern w:val="2"/>
                <w:sz w:val="18"/>
                <w:szCs w:val="18"/>
              </w:rPr>
              <w:t>波长范围152</w:t>
            </w:r>
            <w:r>
              <w:rPr>
                <w:rFonts w:hint="eastAsia" w:ascii="Times New Roman" w:hAnsi="Times New Roman" w:eastAsia="宋体"/>
                <w:snapToGrid/>
                <w:kern w:val="2"/>
                <w:sz w:val="18"/>
                <w:szCs w:val="18"/>
              </w:rPr>
              <w:t>5</w:t>
            </w:r>
            <w:r>
              <w:rPr>
                <w:rFonts w:ascii="Times New Roman" w:hAnsi="Times New Roman" w:eastAsia="宋体"/>
                <w:snapToGrid/>
                <w:kern w:val="2"/>
                <w:sz w:val="18"/>
                <w:szCs w:val="18"/>
              </w:rPr>
              <w:t>mm～15</w:t>
            </w:r>
            <w:r>
              <w:rPr>
                <w:rFonts w:hint="eastAsia" w:ascii="Times New Roman" w:hAnsi="Times New Roman" w:eastAsia="宋体"/>
                <w:snapToGrid/>
                <w:kern w:val="2"/>
                <w:sz w:val="18"/>
                <w:szCs w:val="18"/>
              </w:rPr>
              <w:t>65</w:t>
            </w:r>
            <w:r>
              <w:rPr>
                <w:rFonts w:ascii="Times New Roman" w:hAnsi="Times New Roman" w:eastAsia="宋体"/>
                <w:snapToGrid/>
                <w:kern w:val="2"/>
                <w:sz w:val="18"/>
                <w:szCs w:val="18"/>
              </w:rPr>
              <w:t>mm；</w:t>
            </w:r>
            <w:r>
              <w:rPr>
                <w:rFonts w:hint="eastAsia" w:ascii="Times New Roman" w:hAnsi="Times New Roman" w:eastAsia="宋体"/>
                <w:snapToGrid/>
                <w:kern w:val="2"/>
                <w:sz w:val="18"/>
                <w:szCs w:val="18"/>
              </w:rPr>
              <w:t>波长分辨率</w:t>
            </w:r>
            <w:r>
              <w:rPr>
                <w:rFonts w:ascii="Times New Roman" w:hAnsi="Times New Roman" w:eastAsia="宋体"/>
                <w:snapToGrid/>
                <w:kern w:val="2"/>
                <w:sz w:val="18"/>
                <w:szCs w:val="18"/>
              </w:rPr>
              <w:t>：</w:t>
            </w:r>
            <w:r>
              <w:rPr>
                <w:rFonts w:hint="eastAsia" w:ascii="Times New Roman" w:hAnsi="Times New Roman" w:eastAsia="宋体"/>
                <w:snapToGrid/>
                <w:kern w:val="2"/>
                <w:sz w:val="18"/>
                <w:szCs w:val="18"/>
              </w:rPr>
              <w:t>1</w:t>
            </w:r>
            <w:r>
              <w:rPr>
                <w:rFonts w:ascii="Times New Roman" w:hAnsi="Times New Roman" w:eastAsia="宋体"/>
                <w:snapToGrid/>
                <w:kern w:val="2"/>
                <w:sz w:val="18"/>
                <w:szCs w:val="18"/>
              </w:rPr>
              <w:t>pm；</w:t>
            </w:r>
            <w:r>
              <w:rPr>
                <w:rFonts w:hint="eastAsia" w:ascii="Times New Roman" w:hAnsi="Times New Roman" w:eastAsia="宋体"/>
                <w:snapToGrid/>
                <w:kern w:val="2"/>
                <w:sz w:val="18"/>
                <w:szCs w:val="18"/>
              </w:rPr>
              <w:t>解调速率</w:t>
            </w:r>
            <w:r>
              <w:rPr>
                <w:rFonts w:ascii="Times New Roman" w:hAnsi="Times New Roman" w:eastAsia="宋体"/>
                <w:snapToGrid/>
                <w:kern w:val="2"/>
                <w:sz w:val="18"/>
                <w:szCs w:val="18"/>
              </w:rPr>
              <w:t>：</w:t>
            </w:r>
            <w:r>
              <w:rPr>
                <w:rFonts w:hint="eastAsia" w:ascii="Times New Roman" w:hAnsi="Times New Roman" w:eastAsia="宋体"/>
                <w:snapToGrid/>
                <w:kern w:val="2"/>
                <w:sz w:val="18"/>
                <w:szCs w:val="18"/>
              </w:rPr>
              <w:t>2</w:t>
            </w:r>
            <w:r>
              <w:rPr>
                <w:rFonts w:ascii="Times New Roman" w:hAnsi="Times New Roman" w:eastAsia="宋体"/>
                <w:snapToGrid/>
                <w:kern w:val="2"/>
                <w:sz w:val="18"/>
                <w:szCs w:val="18"/>
              </w:rPr>
              <w:t>hz</w:t>
            </w:r>
            <w:r>
              <w:rPr>
                <w:rFonts w:hint="eastAsia" w:ascii="Times New Roman" w:hAnsi="Times New Roman" w:eastAsia="宋体"/>
                <w:snapToGrid/>
                <w:kern w:val="2"/>
                <w:sz w:val="18"/>
                <w:szCs w:val="18"/>
              </w:rPr>
              <w:t>；</w:t>
            </w:r>
            <w:r>
              <w:rPr>
                <w:rFonts w:ascii="Times New Roman" w:hAnsi="Times New Roman" w:eastAsia="宋体"/>
                <w:snapToGrid/>
                <w:kern w:val="2"/>
                <w:sz w:val="18"/>
                <w:szCs w:val="18"/>
              </w:rPr>
              <w:t>动态范围：</w:t>
            </w:r>
            <w:r>
              <w:rPr>
                <w:rFonts w:hint="eastAsia" w:ascii="Times New Roman" w:hAnsi="Times New Roman" w:eastAsia="宋体"/>
                <w:snapToGrid/>
                <w:kern w:val="2"/>
                <w:sz w:val="18"/>
                <w:szCs w:val="18"/>
              </w:rPr>
              <w:t>≤</w:t>
            </w:r>
            <w:r>
              <w:rPr>
                <w:rFonts w:ascii="Times New Roman" w:hAnsi="Times New Roman" w:eastAsia="宋体"/>
                <w:snapToGrid/>
                <w:kern w:val="2"/>
                <w:sz w:val="18"/>
                <w:szCs w:val="18"/>
              </w:rPr>
              <w:t>50dB；</w:t>
            </w:r>
            <w:r>
              <w:rPr>
                <w:rFonts w:hint="eastAsia" w:ascii="Times New Roman" w:hAnsi="Times New Roman" w:eastAsia="宋体"/>
                <w:snapToGrid/>
                <w:kern w:val="2"/>
                <w:sz w:val="18"/>
                <w:szCs w:val="18"/>
              </w:rPr>
              <w:t>本地存储≥</w:t>
            </w:r>
            <w:r>
              <w:rPr>
                <w:rFonts w:ascii="Times New Roman" w:hAnsi="Times New Roman" w:eastAsia="宋体"/>
                <w:snapToGrid/>
                <w:kern w:val="2"/>
                <w:sz w:val="18"/>
                <w:szCs w:val="18"/>
              </w:rPr>
              <w:t>2G</w:t>
            </w:r>
            <w:r>
              <w:rPr>
                <w:rFonts w:hint="eastAsia" w:ascii="Times New Roman" w:hAnsi="Times New Roman" w:eastAsia="宋体"/>
                <w:snapToGrid/>
                <w:kern w:val="2"/>
                <w:sz w:val="18"/>
                <w:szCs w:val="18"/>
              </w:rPr>
              <w:t>；工作温度：</w:t>
            </w:r>
            <w:r>
              <w:rPr>
                <w:rFonts w:ascii="Times New Roman" w:hAnsi="Times New Roman" w:eastAsia="宋体"/>
                <w:snapToGrid/>
                <w:kern w:val="2"/>
                <w:sz w:val="18"/>
                <w:szCs w:val="18"/>
              </w:rPr>
              <w:t>0</w:t>
            </w:r>
            <w:r>
              <w:rPr>
                <w:rFonts w:hint="eastAsia" w:ascii="Times New Roman" w:hAnsi="Times New Roman" w:eastAsia="宋体"/>
                <w:snapToGrid/>
                <w:kern w:val="2"/>
                <w:sz w:val="18"/>
                <w:szCs w:val="18"/>
              </w:rPr>
              <w:t>℃</w:t>
            </w:r>
            <w:r>
              <w:rPr>
                <w:rFonts w:ascii="Times New Roman" w:hAnsi="Times New Roman" w:eastAsia="宋体"/>
                <w:snapToGrid/>
                <w:kern w:val="2"/>
                <w:sz w:val="18"/>
                <w:szCs w:val="18"/>
              </w:rPr>
              <w:t>~50</w:t>
            </w:r>
            <w:r>
              <w:rPr>
                <w:rFonts w:hint="eastAsia" w:ascii="Times New Roman" w:hAnsi="Times New Roman" w:eastAsia="宋体"/>
                <w:snapToGrid/>
                <w:kern w:val="2"/>
                <w:sz w:val="18"/>
                <w:szCs w:val="18"/>
              </w:rPr>
              <w:t>℃，</w:t>
            </w:r>
            <w:r>
              <w:rPr>
                <w:rFonts w:ascii="Times New Roman" w:hAnsi="Times New Roman" w:eastAsia="宋体"/>
                <w:snapToGrid/>
                <w:kern w:val="2"/>
                <w:sz w:val="18"/>
                <w:szCs w:val="18"/>
              </w:rPr>
              <w:t>湿度：</w:t>
            </w:r>
            <w:r>
              <w:rPr>
                <w:rFonts w:hint="eastAsia" w:ascii="Times New Roman" w:hAnsi="Times New Roman" w:eastAsia="宋体"/>
                <w:snapToGrid/>
                <w:kern w:val="2"/>
                <w:sz w:val="18"/>
                <w:szCs w:val="18"/>
              </w:rPr>
              <w:t>0</w:t>
            </w:r>
            <w:r>
              <w:rPr>
                <w:rFonts w:ascii="Times New Roman" w:hAnsi="Times New Roman" w:eastAsia="宋体"/>
                <w:snapToGrid/>
                <w:kern w:val="2"/>
                <w:sz w:val="18"/>
                <w:szCs w:val="18"/>
              </w:rPr>
              <w:t>~</w:t>
            </w:r>
            <w:r>
              <w:rPr>
                <w:rFonts w:hint="eastAsia" w:ascii="Times New Roman" w:hAnsi="Times New Roman" w:eastAsia="宋体"/>
                <w:snapToGrid/>
                <w:kern w:val="2"/>
                <w:sz w:val="18"/>
                <w:szCs w:val="18"/>
              </w:rPr>
              <w:t>80</w:t>
            </w:r>
            <w:r>
              <w:rPr>
                <w:rFonts w:ascii="Times New Roman" w:hAnsi="Times New Roman" w:eastAsia="宋体"/>
                <w:snapToGrid/>
                <w:kern w:val="2"/>
                <w:sz w:val="18"/>
                <w:szCs w:val="18"/>
              </w:rPr>
              <w:t>%</w:t>
            </w:r>
            <w:r>
              <w:rPr>
                <w:rFonts w:hint="eastAsia" w:ascii="Times New Roman" w:hAnsi="Times New Roman" w:eastAsia="宋体"/>
                <w:snapToGrid/>
                <w:kern w:val="2"/>
                <w:sz w:val="18"/>
                <w:szCs w:val="18"/>
              </w:rPr>
              <w:t>；数据传输接口：以太网；软件</w:t>
            </w:r>
            <w:r>
              <w:rPr>
                <w:rFonts w:ascii="Times New Roman" w:hAnsi="Times New Roman" w:eastAsia="宋体"/>
                <w:snapToGrid/>
                <w:kern w:val="2"/>
                <w:sz w:val="18"/>
                <w:szCs w:val="18"/>
              </w:rPr>
              <w:t>功能：光谱分析，峰值探测，数据存储，峰值追踪及仪器控制；光学接口类型：FC/APC</w:t>
            </w:r>
            <w:r>
              <w:rPr>
                <w:rFonts w:hint="eastAsia" w:ascii="Times New Roman" w:hAnsi="Times New Roman" w:eastAsia="宋体"/>
                <w:snapToGrid/>
                <w:kern w:val="2"/>
                <w:sz w:val="18"/>
                <w:szCs w:val="18"/>
              </w:rPr>
              <w:t>；</w:t>
            </w:r>
            <w:r>
              <w:rPr>
                <w:rFonts w:ascii="Times New Roman" w:hAnsi="Times New Roman" w:eastAsia="宋体"/>
                <w:snapToGrid/>
                <w:kern w:val="2"/>
                <w:sz w:val="18"/>
                <w:szCs w:val="18"/>
              </w:rPr>
              <w:t>功能参数</w:t>
            </w:r>
            <w:r>
              <w:rPr>
                <w:rFonts w:hint="eastAsia" w:ascii="Times New Roman" w:hAnsi="Times New Roman" w:eastAsia="宋体"/>
                <w:snapToGrid/>
                <w:kern w:val="2"/>
                <w:sz w:val="18"/>
                <w:szCs w:val="18"/>
              </w:rPr>
              <w:t>：</w:t>
            </w:r>
            <w:r>
              <w:rPr>
                <w:rFonts w:ascii="Times New Roman" w:hAnsi="Times New Roman" w:eastAsia="宋体"/>
                <w:snapToGrid/>
                <w:kern w:val="2"/>
                <w:sz w:val="18"/>
                <w:szCs w:val="18"/>
              </w:rPr>
              <w:t>支持远程获取本机储存数据</w:t>
            </w:r>
            <w:r>
              <w:rPr>
                <w:rFonts w:hint="eastAsia" w:ascii="Times New Roman" w:hAnsi="Times New Roman" w:eastAsia="宋体"/>
                <w:snapToGrid/>
                <w:kern w:val="2"/>
                <w:sz w:val="18"/>
                <w:szCs w:val="18"/>
              </w:rPr>
              <w:t>，</w:t>
            </w:r>
            <w:r>
              <w:rPr>
                <w:rFonts w:ascii="Times New Roman" w:hAnsi="Times New Roman" w:eastAsia="宋体"/>
                <w:snapToGrid/>
                <w:kern w:val="2"/>
                <w:sz w:val="18"/>
                <w:szCs w:val="18"/>
              </w:rPr>
              <w:t>具有设备电池巡检功能，远程监测设备电源电压</w:t>
            </w:r>
            <w:r>
              <w:rPr>
                <w:rFonts w:hint="eastAsia" w:ascii="Times New Roman" w:hAnsi="Times New Roman" w:eastAsia="宋体"/>
                <w:snapToGrid/>
                <w:kern w:val="2"/>
                <w:sz w:val="18"/>
                <w:szCs w:val="18"/>
              </w:rPr>
              <w:t>、</w:t>
            </w:r>
            <w:r>
              <w:rPr>
                <w:rFonts w:ascii="Times New Roman" w:hAnsi="Times New Roman" w:eastAsia="宋体"/>
                <w:snapToGrid/>
                <w:kern w:val="2"/>
                <w:sz w:val="18"/>
                <w:szCs w:val="18"/>
              </w:rPr>
              <w:t>温湿度</w:t>
            </w:r>
            <w:r>
              <w:rPr>
                <w:rFonts w:hint="eastAsia" w:ascii="Times New Roman" w:hAnsi="Times New Roman" w:eastAsia="宋体"/>
                <w:snapToGrid/>
                <w:kern w:val="2"/>
                <w:sz w:val="18"/>
                <w:szCs w:val="18"/>
              </w:rPr>
              <w:t>，</w:t>
            </w:r>
            <w:r>
              <w:rPr>
                <w:rFonts w:ascii="Times New Roman" w:hAnsi="Times New Roman" w:eastAsia="宋体"/>
                <w:snapToGrid/>
                <w:kern w:val="2"/>
                <w:sz w:val="18"/>
                <w:szCs w:val="18"/>
              </w:rPr>
              <w:t>具有设备自检和重启功能</w:t>
            </w:r>
            <w:r>
              <w:rPr>
                <w:rFonts w:hint="eastAsia" w:ascii="Times New Roman" w:hAnsi="Times New Roman" w:eastAsia="宋体"/>
                <w:snapToGrid/>
                <w:kern w:val="2"/>
                <w:sz w:val="18"/>
                <w:szCs w:val="18"/>
              </w:rPr>
              <w:t>，</w:t>
            </w:r>
            <w:r>
              <w:rPr>
                <w:rFonts w:ascii="Times New Roman" w:hAnsi="Times New Roman" w:eastAsia="宋体"/>
                <w:snapToGrid/>
                <w:kern w:val="2"/>
                <w:sz w:val="18"/>
                <w:szCs w:val="18"/>
              </w:rPr>
              <w:t>具有远程设备调试功能</w:t>
            </w:r>
            <w:r>
              <w:rPr>
                <w:rFonts w:hint="eastAsia" w:ascii="Times New Roman" w:hAnsi="Times New Roman" w:eastAsia="宋体"/>
                <w:snapToGrid/>
                <w:kern w:val="2"/>
                <w:sz w:val="18"/>
                <w:szCs w:val="18"/>
              </w:rPr>
              <w:t>等</w:t>
            </w:r>
            <w:r>
              <w:rPr>
                <w:rFonts w:ascii="Times New Roman" w:hAnsi="Times New Roman" w:eastAsia="宋体"/>
                <w:snapToGrid/>
                <w:kern w:val="2"/>
                <w:sz w:val="18"/>
                <w:szCs w:val="18"/>
              </w:rPr>
              <w:t>。</w:t>
            </w:r>
          </w:p>
        </w:tc>
        <w:tc>
          <w:tcPr>
            <w:tcW w:w="588" w:type="pct"/>
            <w:shd w:val="clear" w:color="000000" w:fill="FFFFFF"/>
          </w:tcPr>
          <w:p>
            <w:pPr>
              <w:autoSpaceDE w:val="0"/>
              <w:autoSpaceDN w:val="0"/>
              <w:adjustRightInd w:val="0"/>
              <w:snapToGrid w:val="0"/>
              <w:jc w:val="center"/>
              <w:textAlignment w:val="baseline"/>
              <w:rPr>
                <w:sz w:val="18"/>
                <w:szCs w:val="18"/>
                <w:lang w:val="zh-CN"/>
              </w:rPr>
            </w:pPr>
          </w:p>
        </w:tc>
        <w:tc>
          <w:tcPr>
            <w:tcW w:w="666" w:type="pct"/>
            <w:shd w:val="clear" w:color="000000" w:fill="FFFFFF"/>
          </w:tcPr>
          <w:p>
            <w:pPr>
              <w:autoSpaceDE w:val="0"/>
              <w:autoSpaceDN w:val="0"/>
              <w:adjustRightInd w:val="0"/>
              <w:snapToGrid w:val="0"/>
              <w:jc w:val="center"/>
              <w:textAlignment w:val="baseline"/>
              <w:rPr>
                <w:rFonts w:ascii="宋体" w:hAnsi="宋体" w:cs="宋体"/>
                <w:sz w:val="18"/>
                <w:szCs w:val="18"/>
              </w:rPr>
            </w:pPr>
          </w:p>
          <w:p>
            <w:pPr>
              <w:autoSpaceDE w:val="0"/>
              <w:autoSpaceDN w:val="0"/>
              <w:adjustRightInd w:val="0"/>
              <w:snapToGrid w:val="0"/>
              <w:jc w:val="center"/>
              <w:textAlignment w:val="baseline"/>
              <w:rPr>
                <w:rFonts w:ascii="宋体" w:hAnsi="宋体" w:cs="宋体"/>
                <w:sz w:val="18"/>
                <w:szCs w:val="18"/>
              </w:rPr>
            </w:pPr>
            <w:r>
              <w:rPr>
                <w:rFonts w:hint="eastAsia" w:ascii="宋体" w:hAnsi="宋体" w:cs="宋体"/>
                <w:sz w:val="18"/>
                <w:szCs w:val="18"/>
              </w:rPr>
              <w:t>北京基康、</w:t>
            </w:r>
          </w:p>
          <w:p>
            <w:pPr>
              <w:autoSpaceDE w:val="0"/>
              <w:autoSpaceDN w:val="0"/>
              <w:adjustRightInd w:val="0"/>
              <w:snapToGrid w:val="0"/>
              <w:jc w:val="center"/>
              <w:textAlignment w:val="baseline"/>
              <w:rPr>
                <w:sz w:val="18"/>
                <w:szCs w:val="18"/>
                <w:lang w:val="zh-CN"/>
              </w:rPr>
            </w:pPr>
            <w:r>
              <w:rPr>
                <w:rFonts w:hint="eastAsia" w:ascii="宋体" w:hAnsi="宋体" w:cs="宋体"/>
                <w:sz w:val="18"/>
                <w:szCs w:val="18"/>
              </w:rPr>
              <w:t>苏州南智传感、</w:t>
            </w:r>
            <w:r>
              <w:rPr>
                <w:sz w:val="18"/>
                <w:szCs w:val="18"/>
                <w:highlight w:val="none"/>
                <w:lang w:val="zh-CN"/>
              </w:rPr>
              <w:t>南京南瑞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5"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7</w:t>
            </w:r>
          </w:p>
        </w:tc>
        <w:tc>
          <w:tcPr>
            <w:tcW w:w="715"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光纤光栅解调仪</w:t>
            </w:r>
            <w:r>
              <w:rPr>
                <w:rFonts w:hint="eastAsia" w:ascii="Times New Roman" w:hAnsi="Times New Roman" w:eastAsia="宋体"/>
                <w:snapToGrid/>
                <w:color w:val="auto"/>
                <w:kern w:val="2"/>
                <w:sz w:val="18"/>
                <w:szCs w:val="18"/>
                <w:highlight w:val="none"/>
              </w:rPr>
              <w:t>（8通道）</w:t>
            </w:r>
          </w:p>
        </w:tc>
        <w:tc>
          <w:tcPr>
            <w:tcW w:w="269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8通道，波长范围1525nm～1565nm；波长分辨率：1pm；解调速率：20hz；动态范围：≤</w:t>
            </w:r>
            <w:r>
              <w:rPr>
                <w:rFonts w:ascii="Times New Roman" w:hAnsi="Times New Roman" w:eastAsia="宋体"/>
                <w:snapToGrid/>
                <w:color w:val="auto"/>
                <w:kern w:val="2"/>
                <w:sz w:val="18"/>
                <w:szCs w:val="18"/>
                <w:highlight w:val="none"/>
              </w:rPr>
              <w:t>50dB</w:t>
            </w:r>
            <w:r>
              <w:rPr>
                <w:rFonts w:hint="eastAsia" w:ascii="Times New Roman" w:hAnsi="Times New Roman" w:eastAsia="宋体"/>
                <w:snapToGrid/>
                <w:color w:val="auto"/>
                <w:kern w:val="2"/>
                <w:sz w:val="18"/>
                <w:szCs w:val="18"/>
                <w:highlight w:val="none"/>
              </w:rPr>
              <w:t>；本地存储≥2G；工作温度：0℃～50℃；湿度：0～80%；数据传输接口：以太网；软件功能：光谱分析，峰值探测，数据存储，峰值追踪及仪器控制；光学接口类型：FC/APC；功能参数：支持远程获取本机储存数据，具有设备电池巡检功能，远程监测设备电源电压、温湿度，具有设备自检和重启功能，具有远程设备调试功能等。</w:t>
            </w:r>
          </w:p>
        </w:tc>
        <w:tc>
          <w:tcPr>
            <w:tcW w:w="588" w:type="pct"/>
            <w:shd w:val="clear" w:color="000000" w:fill="FFFFFF"/>
          </w:tcPr>
          <w:p>
            <w:pPr>
              <w:autoSpaceDE w:val="0"/>
              <w:autoSpaceDN w:val="0"/>
              <w:adjustRightInd w:val="0"/>
              <w:snapToGrid w:val="0"/>
              <w:jc w:val="center"/>
              <w:textAlignment w:val="baseline"/>
              <w:rPr>
                <w:color w:val="auto"/>
                <w:sz w:val="18"/>
                <w:szCs w:val="18"/>
                <w:highlight w:val="none"/>
                <w:lang w:val="zh-CN"/>
              </w:rPr>
            </w:pPr>
          </w:p>
        </w:tc>
        <w:tc>
          <w:tcPr>
            <w:tcW w:w="666" w:type="pct"/>
            <w:shd w:val="clear" w:color="000000" w:fill="FFFFFF"/>
          </w:tcPr>
          <w:p>
            <w:pPr>
              <w:autoSpaceDE w:val="0"/>
              <w:autoSpaceDN w:val="0"/>
              <w:adjustRightInd w:val="0"/>
              <w:snapToGrid w:val="0"/>
              <w:jc w:val="center"/>
              <w:textAlignment w:val="baseline"/>
              <w:rPr>
                <w:rFonts w:ascii="宋体" w:hAnsi="宋体" w:cs="宋体"/>
                <w:color w:val="auto"/>
                <w:sz w:val="18"/>
                <w:szCs w:val="18"/>
                <w:highlight w:val="none"/>
              </w:rPr>
            </w:pPr>
            <w:r>
              <w:rPr>
                <w:rFonts w:hint="eastAsia" w:ascii="宋体" w:hAnsi="宋体" w:cs="宋体"/>
                <w:color w:val="auto"/>
                <w:sz w:val="18"/>
                <w:szCs w:val="18"/>
                <w:highlight w:val="none"/>
              </w:rPr>
              <w:t>北京基康、</w:t>
            </w:r>
          </w:p>
          <w:p>
            <w:pPr>
              <w:autoSpaceDE w:val="0"/>
              <w:autoSpaceDN w:val="0"/>
              <w:adjustRightInd w:val="0"/>
              <w:snapToGrid w:val="0"/>
              <w:jc w:val="center"/>
              <w:textAlignment w:val="baseline"/>
              <w:rPr>
                <w:rFonts w:ascii="宋体" w:hAnsi="宋体" w:cs="宋体"/>
                <w:color w:val="auto"/>
                <w:sz w:val="18"/>
                <w:szCs w:val="18"/>
                <w:highlight w:val="none"/>
              </w:rPr>
            </w:pPr>
            <w:r>
              <w:rPr>
                <w:rFonts w:hint="eastAsia" w:ascii="宋体" w:hAnsi="宋体" w:cs="宋体"/>
                <w:color w:val="auto"/>
                <w:sz w:val="18"/>
                <w:szCs w:val="18"/>
                <w:highlight w:val="none"/>
              </w:rPr>
              <w:t>苏州南智传感、</w:t>
            </w:r>
            <w:r>
              <w:rPr>
                <w:color w:val="auto"/>
                <w:sz w:val="18"/>
                <w:szCs w:val="18"/>
                <w:highlight w:val="none"/>
                <w:lang w:val="zh-CN"/>
              </w:rPr>
              <w:t>南京南瑞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5"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8</w:t>
            </w:r>
          </w:p>
        </w:tc>
        <w:tc>
          <w:tcPr>
            <w:tcW w:w="715"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无线数据采集装置（</w:t>
            </w:r>
            <w:r>
              <w:rPr>
                <w:rFonts w:ascii="Times New Roman" w:hAnsi="Times New Roman" w:eastAsia="宋体"/>
                <w:snapToGrid/>
                <w:color w:val="auto"/>
                <w:kern w:val="2"/>
                <w:sz w:val="18"/>
                <w:szCs w:val="18"/>
                <w:highlight w:val="none"/>
              </w:rPr>
              <w:t>8</w:t>
            </w:r>
            <w:r>
              <w:rPr>
                <w:rFonts w:hint="eastAsia" w:ascii="Times New Roman" w:hAnsi="Times New Roman" w:eastAsia="宋体"/>
                <w:snapToGrid/>
                <w:color w:val="auto"/>
                <w:kern w:val="2"/>
                <w:sz w:val="18"/>
                <w:szCs w:val="18"/>
                <w:highlight w:val="none"/>
              </w:rPr>
              <w:t>通道）</w:t>
            </w:r>
          </w:p>
        </w:tc>
        <w:tc>
          <w:tcPr>
            <w:tcW w:w="269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通道数：</w:t>
            </w:r>
            <w:r>
              <w:rPr>
                <w:rFonts w:ascii="Times New Roman" w:hAnsi="Times New Roman" w:eastAsia="宋体"/>
                <w:snapToGrid/>
                <w:color w:val="auto"/>
                <w:kern w:val="2"/>
                <w:sz w:val="18"/>
                <w:szCs w:val="18"/>
                <w:highlight w:val="none"/>
              </w:rPr>
              <w:t>8</w:t>
            </w:r>
            <w:r>
              <w:rPr>
                <w:rFonts w:hint="eastAsia" w:ascii="Times New Roman" w:hAnsi="Times New Roman" w:eastAsia="宋体"/>
                <w:snapToGrid/>
                <w:color w:val="auto"/>
                <w:kern w:val="2"/>
                <w:sz w:val="18"/>
                <w:szCs w:val="18"/>
                <w:highlight w:val="none"/>
              </w:rPr>
              <w:t>；精度：频率≤0.1Hz，电压≤0</w:t>
            </w:r>
            <w:r>
              <w:rPr>
                <w:rFonts w:ascii="Times New Roman" w:hAnsi="Times New Roman" w:eastAsia="宋体"/>
                <w:snapToGrid/>
                <w:color w:val="auto"/>
                <w:kern w:val="2"/>
                <w:sz w:val="18"/>
                <w:szCs w:val="18"/>
                <w:highlight w:val="none"/>
              </w:rPr>
              <w:t>.02%</w:t>
            </w:r>
            <w:r>
              <w:rPr>
                <w:rFonts w:hint="eastAsia" w:ascii="Times New Roman" w:hAnsi="Times New Roman" w:eastAsia="宋体"/>
                <w:snapToGrid/>
                <w:color w:val="auto"/>
                <w:kern w:val="2"/>
                <w:sz w:val="18"/>
                <w:szCs w:val="18"/>
                <w:highlight w:val="none"/>
              </w:rPr>
              <w:t>FS；分辨力：频率≤0</w:t>
            </w:r>
            <w:r>
              <w:rPr>
                <w:rFonts w:ascii="Times New Roman" w:hAnsi="Times New Roman" w:eastAsia="宋体"/>
                <w:snapToGrid/>
                <w:color w:val="auto"/>
                <w:kern w:val="2"/>
                <w:sz w:val="18"/>
                <w:szCs w:val="18"/>
                <w:highlight w:val="none"/>
              </w:rPr>
              <w:t>.01</w:t>
            </w:r>
            <w:r>
              <w:rPr>
                <w:rFonts w:hint="eastAsia" w:ascii="Times New Roman" w:hAnsi="Times New Roman" w:eastAsia="宋体"/>
                <w:snapToGrid/>
                <w:color w:val="auto"/>
                <w:kern w:val="2"/>
                <w:sz w:val="18"/>
                <w:szCs w:val="18"/>
                <w:highlight w:val="none"/>
              </w:rPr>
              <w:t>H</w:t>
            </w:r>
            <w:r>
              <w:rPr>
                <w:rFonts w:ascii="Times New Roman" w:hAnsi="Times New Roman" w:eastAsia="宋体"/>
                <w:snapToGrid/>
                <w:color w:val="auto"/>
                <w:kern w:val="2"/>
                <w:sz w:val="18"/>
                <w:szCs w:val="18"/>
                <w:highlight w:val="none"/>
              </w:rPr>
              <w:t>z</w:t>
            </w:r>
            <w:r>
              <w:rPr>
                <w:rFonts w:hint="eastAsia" w:ascii="Times New Roman" w:hAnsi="Times New Roman" w:eastAsia="宋体"/>
                <w:snapToGrid/>
                <w:color w:val="auto"/>
                <w:kern w:val="2"/>
                <w:sz w:val="18"/>
                <w:szCs w:val="18"/>
                <w:highlight w:val="none"/>
              </w:rPr>
              <w:t>，电压＜0</w:t>
            </w:r>
            <w:r>
              <w:rPr>
                <w:rFonts w:ascii="Times New Roman" w:hAnsi="Times New Roman" w:eastAsia="宋体"/>
                <w:snapToGrid/>
                <w:color w:val="auto"/>
                <w:kern w:val="2"/>
                <w:sz w:val="18"/>
                <w:szCs w:val="18"/>
                <w:highlight w:val="none"/>
              </w:rPr>
              <w:t>.1mV</w:t>
            </w:r>
            <w:r>
              <w:rPr>
                <w:rFonts w:hint="eastAsia" w:ascii="Times New Roman" w:hAnsi="Times New Roman" w:eastAsia="宋体"/>
                <w:snapToGrid/>
                <w:color w:val="auto"/>
                <w:kern w:val="2"/>
                <w:sz w:val="18"/>
                <w:szCs w:val="18"/>
                <w:highlight w:val="none"/>
              </w:rPr>
              <w:t>；工作温度:-20℃～+60℃；通讯方式：GPRS 、RS485、蓝牙等；数据存储容量：</w:t>
            </w:r>
            <w:r>
              <w:rPr>
                <w:rFonts w:ascii="Times New Roman" w:hAnsi="Times New Roman" w:eastAsia="宋体"/>
                <w:snapToGrid/>
                <w:color w:val="auto"/>
                <w:kern w:val="2"/>
                <w:sz w:val="18"/>
                <w:szCs w:val="18"/>
                <w:highlight w:val="none"/>
              </w:rPr>
              <w:t>2</w:t>
            </w:r>
            <w:r>
              <w:rPr>
                <w:rFonts w:hint="eastAsia" w:ascii="Times New Roman" w:hAnsi="Times New Roman" w:eastAsia="宋体"/>
                <w:snapToGrid/>
                <w:color w:val="auto"/>
                <w:kern w:val="2"/>
                <w:sz w:val="18"/>
                <w:szCs w:val="18"/>
                <w:highlight w:val="none"/>
              </w:rPr>
              <w:t>Mb；具备振弦式、</w:t>
            </w:r>
            <w:r>
              <w:rPr>
                <w:rFonts w:ascii="Times New Roman" w:hAnsi="Times New Roman"/>
                <w:color w:val="auto"/>
                <w:kern w:val="2"/>
                <w:sz w:val="18"/>
                <w:szCs w:val="18"/>
                <w:highlight w:val="none"/>
              </w:rPr>
              <w:t>标准量</w:t>
            </w:r>
            <w:r>
              <w:rPr>
                <w:rFonts w:hint="eastAsia" w:ascii="Times New Roman" w:hAnsi="Times New Roman" w:eastAsia="宋体"/>
                <w:snapToGrid/>
                <w:color w:val="auto"/>
                <w:kern w:val="2"/>
                <w:sz w:val="18"/>
                <w:szCs w:val="18"/>
                <w:highlight w:val="none"/>
              </w:rPr>
              <w:t>仪器的接入、存储、传输、防雷等功能；配备12V/15Ah蓄电池；具备抗电磁干扰能力。不锈钢立杆高2m，含外涂防腐涂料、避雷针等。</w:t>
            </w:r>
          </w:p>
        </w:tc>
        <w:tc>
          <w:tcPr>
            <w:tcW w:w="588" w:type="pct"/>
            <w:shd w:val="clear" w:color="000000" w:fill="FFFFFF"/>
          </w:tcPr>
          <w:p>
            <w:pPr>
              <w:autoSpaceDE w:val="0"/>
              <w:autoSpaceDN w:val="0"/>
              <w:adjustRightInd w:val="0"/>
              <w:snapToGrid w:val="0"/>
              <w:jc w:val="center"/>
              <w:textAlignment w:val="baseline"/>
              <w:rPr>
                <w:color w:val="auto"/>
                <w:sz w:val="18"/>
                <w:szCs w:val="18"/>
                <w:highlight w:val="none"/>
                <w:lang w:val="zh-CN"/>
              </w:rPr>
            </w:pPr>
          </w:p>
        </w:tc>
        <w:tc>
          <w:tcPr>
            <w:tcW w:w="666" w:type="pct"/>
            <w:shd w:val="clear" w:color="000000" w:fill="FFFFFF"/>
          </w:tcPr>
          <w:p>
            <w:pPr>
              <w:autoSpaceDE w:val="0"/>
              <w:autoSpaceDN w:val="0"/>
              <w:adjustRightInd w:val="0"/>
              <w:snapToGrid w:val="0"/>
              <w:jc w:val="center"/>
              <w:textAlignment w:val="baseline"/>
              <w:rPr>
                <w:color w:val="auto"/>
                <w:kern w:val="0"/>
                <w:sz w:val="18"/>
                <w:szCs w:val="18"/>
                <w:highlight w:val="none"/>
              </w:rPr>
            </w:pPr>
            <w:r>
              <w:rPr>
                <w:color w:val="auto"/>
                <w:kern w:val="0"/>
                <w:sz w:val="18"/>
                <w:szCs w:val="18"/>
                <w:highlight w:val="none"/>
                <w:lang w:val="zh-CN"/>
              </w:rPr>
              <w:t>北京基康</w:t>
            </w:r>
            <w:r>
              <w:rPr>
                <w:rFonts w:hint="eastAsia"/>
                <w:color w:val="auto"/>
                <w:kern w:val="0"/>
                <w:sz w:val="18"/>
                <w:szCs w:val="18"/>
                <w:highlight w:val="none"/>
                <w:lang w:val="zh-CN"/>
              </w:rPr>
              <w:t>、</w:t>
            </w:r>
          </w:p>
          <w:p>
            <w:pPr>
              <w:autoSpaceDE w:val="0"/>
              <w:autoSpaceDN w:val="0"/>
              <w:adjustRightInd w:val="0"/>
              <w:snapToGrid w:val="0"/>
              <w:jc w:val="center"/>
              <w:textAlignment w:val="baseline"/>
              <w:rPr>
                <w:color w:val="auto"/>
                <w:kern w:val="0"/>
                <w:sz w:val="18"/>
                <w:szCs w:val="18"/>
                <w:highlight w:val="none"/>
              </w:rPr>
            </w:pPr>
            <w:r>
              <w:rPr>
                <w:rFonts w:hint="eastAsia"/>
                <w:color w:val="auto"/>
                <w:kern w:val="0"/>
                <w:sz w:val="18"/>
                <w:szCs w:val="18"/>
                <w:highlight w:val="none"/>
                <w:lang w:val="zh-CN"/>
              </w:rPr>
              <w:t>南京</w:t>
            </w:r>
            <w:r>
              <w:rPr>
                <w:color w:val="auto"/>
                <w:kern w:val="0"/>
                <w:sz w:val="18"/>
                <w:szCs w:val="18"/>
                <w:highlight w:val="none"/>
                <w:lang w:val="zh-CN"/>
              </w:rPr>
              <w:t>南</w:t>
            </w:r>
            <w:r>
              <w:rPr>
                <w:rFonts w:hint="eastAsia"/>
                <w:color w:val="auto"/>
                <w:kern w:val="0"/>
                <w:sz w:val="18"/>
                <w:szCs w:val="18"/>
                <w:highlight w:val="none"/>
                <w:lang w:val="zh-CN"/>
              </w:rPr>
              <w:t>瑞、</w:t>
            </w:r>
          </w:p>
          <w:p>
            <w:pPr>
              <w:autoSpaceDE w:val="0"/>
              <w:autoSpaceDN w:val="0"/>
              <w:adjustRightInd w:val="0"/>
              <w:snapToGrid w:val="0"/>
              <w:jc w:val="center"/>
              <w:textAlignment w:val="baseline"/>
              <w:rPr>
                <w:color w:val="auto"/>
                <w:kern w:val="0"/>
                <w:sz w:val="18"/>
                <w:szCs w:val="18"/>
                <w:highlight w:val="none"/>
              </w:rPr>
            </w:pPr>
            <w:r>
              <w:rPr>
                <w:rFonts w:hint="eastAsia" w:ascii="宋体" w:hAnsi="宋体" w:cs="宋体"/>
                <w:color w:val="auto"/>
                <w:sz w:val="18"/>
                <w:szCs w:val="18"/>
                <w:highlight w:val="none"/>
              </w:rPr>
              <w:t>长江科创</w:t>
            </w:r>
            <w:r>
              <w:rPr>
                <w:rFonts w:hint="eastAsia"/>
                <w:color w:val="auto"/>
                <w:kern w:val="0"/>
                <w:sz w:val="18"/>
                <w:szCs w:val="18"/>
                <w:highlight w:val="none"/>
                <w:lang w:val="zh-CN"/>
              </w:rPr>
              <w:t>、</w:t>
            </w:r>
          </w:p>
          <w:p>
            <w:pPr>
              <w:autoSpaceDE w:val="0"/>
              <w:autoSpaceDN w:val="0"/>
              <w:adjustRightInd w:val="0"/>
              <w:snapToGrid w:val="0"/>
              <w:jc w:val="center"/>
              <w:textAlignment w:val="baseline"/>
              <w:rPr>
                <w:color w:val="auto"/>
                <w:sz w:val="18"/>
                <w:szCs w:val="18"/>
                <w:highlight w:val="none"/>
                <w:lang w:val="zh-CN"/>
              </w:rPr>
            </w:pPr>
            <w:r>
              <w:rPr>
                <w:rFonts w:hint="eastAsia" w:ascii="宋体" w:hAnsi="宋体" w:cs="宋体"/>
                <w:color w:val="auto"/>
                <w:sz w:val="18"/>
                <w:szCs w:val="18"/>
                <w:highlight w:val="none"/>
              </w:rPr>
              <w:t>南京水文所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5"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9</w:t>
            </w:r>
          </w:p>
        </w:tc>
        <w:tc>
          <w:tcPr>
            <w:tcW w:w="715"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分路器</w:t>
            </w:r>
          </w:p>
        </w:tc>
        <w:tc>
          <w:tcPr>
            <w:tcW w:w="269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端口</w:t>
            </w:r>
            <w:r>
              <w:rPr>
                <w:rFonts w:ascii="Times New Roman" w:hAnsi="Times New Roman" w:eastAsia="宋体"/>
                <w:snapToGrid/>
                <w:color w:val="auto"/>
                <w:kern w:val="2"/>
                <w:sz w:val="18"/>
                <w:szCs w:val="18"/>
                <w:highlight w:val="none"/>
              </w:rPr>
              <w:t>：1分6或1分4</w:t>
            </w:r>
            <w:r>
              <w:rPr>
                <w:rFonts w:hint="eastAsia" w:ascii="Times New Roman" w:hAnsi="Times New Roman" w:eastAsia="宋体"/>
                <w:snapToGrid/>
                <w:color w:val="auto"/>
                <w:kern w:val="2"/>
                <w:sz w:val="18"/>
                <w:szCs w:val="18"/>
                <w:highlight w:val="none"/>
              </w:rPr>
              <w:t>（根据不同部位确定）</w:t>
            </w:r>
            <w:r>
              <w:rPr>
                <w:rFonts w:ascii="Times New Roman" w:hAnsi="Times New Roman" w:eastAsia="宋体"/>
                <w:snapToGrid/>
                <w:color w:val="auto"/>
                <w:kern w:val="2"/>
                <w:sz w:val="18"/>
                <w:szCs w:val="18"/>
                <w:highlight w:val="none"/>
              </w:rPr>
              <w:t>。</w:t>
            </w:r>
          </w:p>
        </w:tc>
        <w:tc>
          <w:tcPr>
            <w:tcW w:w="588"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c>
          <w:tcPr>
            <w:tcW w:w="666"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5"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10</w:t>
            </w:r>
          </w:p>
        </w:tc>
        <w:tc>
          <w:tcPr>
            <w:tcW w:w="715"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太阳能供电装置</w:t>
            </w:r>
          </w:p>
        </w:tc>
        <w:tc>
          <w:tcPr>
            <w:tcW w:w="269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含100W、12V太阳能电池板、100AH蓄电池、变压器、避雷器等配套设备。</w:t>
            </w:r>
          </w:p>
        </w:tc>
        <w:tc>
          <w:tcPr>
            <w:tcW w:w="588" w:type="pct"/>
            <w:shd w:val="clear" w:color="000000" w:fill="FFFFFF"/>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p>
        </w:tc>
        <w:tc>
          <w:tcPr>
            <w:tcW w:w="666" w:type="pct"/>
            <w:shd w:val="clear" w:color="000000" w:fill="FFFFFF"/>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5"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11</w:t>
            </w:r>
          </w:p>
        </w:tc>
        <w:tc>
          <w:tcPr>
            <w:tcW w:w="715"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交换机</w:t>
            </w:r>
          </w:p>
        </w:tc>
        <w:tc>
          <w:tcPr>
            <w:tcW w:w="269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ascii="Times New Roman" w:hAnsi="Times New Roman" w:eastAsia="宋体"/>
                <w:snapToGrid/>
                <w:color w:val="auto"/>
                <w:kern w:val="2"/>
                <w:sz w:val="18"/>
                <w:szCs w:val="18"/>
                <w:highlight w:val="none"/>
              </w:rPr>
              <w:t>物理接口；</w:t>
            </w:r>
            <w:r>
              <w:rPr>
                <w:rFonts w:hint="eastAsia" w:ascii="Times New Roman" w:hAnsi="Times New Roman" w:eastAsia="宋体"/>
                <w:snapToGrid/>
                <w:color w:val="auto"/>
                <w:kern w:val="2"/>
                <w:sz w:val="18"/>
                <w:szCs w:val="18"/>
                <w:highlight w:val="none"/>
              </w:rPr>
              <w:t>16光口，</w:t>
            </w:r>
            <w:r>
              <w:rPr>
                <w:rFonts w:ascii="Times New Roman" w:hAnsi="Times New Roman" w:eastAsia="宋体"/>
                <w:snapToGrid/>
                <w:color w:val="auto"/>
                <w:kern w:val="2"/>
                <w:sz w:val="18"/>
                <w:szCs w:val="18"/>
                <w:highlight w:val="none"/>
              </w:rPr>
              <w:t>工业插拔端子；可靠性：平均无故障时间10万小时以上；工作温度：-20</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～+60</w:t>
            </w:r>
            <w:r>
              <w:rPr>
                <w:rFonts w:hint="eastAsia" w:ascii="Times New Roman" w:hAnsi="Times New Roman" w:eastAsia="宋体"/>
                <w:snapToGrid/>
                <w:color w:val="auto"/>
                <w:kern w:val="2"/>
                <w:sz w:val="18"/>
                <w:szCs w:val="18"/>
                <w:highlight w:val="none"/>
              </w:rPr>
              <w:t>℃</w:t>
            </w:r>
            <w:r>
              <w:rPr>
                <w:rFonts w:ascii="Times New Roman" w:hAnsi="Times New Roman" w:eastAsia="宋体"/>
                <w:snapToGrid/>
                <w:color w:val="auto"/>
                <w:kern w:val="2"/>
                <w:sz w:val="18"/>
                <w:szCs w:val="18"/>
                <w:highlight w:val="none"/>
              </w:rPr>
              <w:t>；带视频、电源、音频、数据、以太网信号、光路状态指示。</w:t>
            </w:r>
          </w:p>
        </w:tc>
        <w:tc>
          <w:tcPr>
            <w:tcW w:w="588"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c>
          <w:tcPr>
            <w:tcW w:w="666"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5"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12</w:t>
            </w:r>
          </w:p>
        </w:tc>
        <w:tc>
          <w:tcPr>
            <w:tcW w:w="715"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光纤交换机</w:t>
            </w:r>
          </w:p>
        </w:tc>
        <w:tc>
          <w:tcPr>
            <w:tcW w:w="269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物理接口；24光口，工业插拔端子；可靠性：平均无故障时间10万小时以上；工作温度：-20℃～+60℃；带视频、电源、音频、数据、以太网信号、光路状态指示。</w:t>
            </w:r>
          </w:p>
        </w:tc>
        <w:tc>
          <w:tcPr>
            <w:tcW w:w="588"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c>
          <w:tcPr>
            <w:tcW w:w="666"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5"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13</w:t>
            </w:r>
          </w:p>
        </w:tc>
        <w:tc>
          <w:tcPr>
            <w:tcW w:w="715"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无线数据接收单元</w:t>
            </w:r>
          </w:p>
        </w:tc>
        <w:tc>
          <w:tcPr>
            <w:tcW w:w="269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与无线数据采集单元及4G路由器配套使用。</w:t>
            </w:r>
          </w:p>
        </w:tc>
        <w:tc>
          <w:tcPr>
            <w:tcW w:w="588"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c>
          <w:tcPr>
            <w:tcW w:w="666"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5"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14</w:t>
            </w:r>
          </w:p>
        </w:tc>
        <w:tc>
          <w:tcPr>
            <w:tcW w:w="715"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hint="eastAsia"/>
                <w:color w:val="auto"/>
                <w:sz w:val="18"/>
                <w:szCs w:val="18"/>
                <w:highlight w:val="none"/>
              </w:rPr>
              <w:t>4G</w:t>
            </w:r>
            <w:r>
              <w:rPr>
                <w:rFonts w:hint="eastAsia" w:ascii="宋体" w:hAnsi="宋体" w:eastAsia="宋体" w:cs="宋体"/>
                <w:color w:val="auto"/>
                <w:sz w:val="18"/>
                <w:szCs w:val="18"/>
                <w:highlight w:val="none"/>
              </w:rPr>
              <w:t>路由器及保护箱</w:t>
            </w:r>
          </w:p>
        </w:tc>
        <w:tc>
          <w:tcPr>
            <w:tcW w:w="269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采用高性能工业级无线模块；高性能工业级</w:t>
            </w:r>
            <w:r>
              <w:rPr>
                <w:rFonts w:ascii="Times New Roman" w:hAnsi="Times New Roman" w:eastAsia="宋体"/>
                <w:snapToGrid/>
                <w:color w:val="auto"/>
                <w:kern w:val="2"/>
                <w:sz w:val="18"/>
                <w:szCs w:val="18"/>
                <w:highlight w:val="none"/>
              </w:rPr>
              <w:t>32</w:t>
            </w:r>
            <w:r>
              <w:rPr>
                <w:rFonts w:hint="eastAsia" w:ascii="Times New Roman" w:hAnsi="Times New Roman" w:eastAsia="宋体"/>
                <w:snapToGrid/>
                <w:color w:val="auto"/>
                <w:kern w:val="2"/>
                <w:sz w:val="18"/>
                <w:szCs w:val="18"/>
                <w:highlight w:val="none"/>
              </w:rPr>
              <w:t>位通信处理器；金属外壳，保护等级</w:t>
            </w:r>
            <w:r>
              <w:rPr>
                <w:rFonts w:ascii="Times New Roman" w:hAnsi="Times New Roman" w:eastAsia="宋体"/>
                <w:snapToGrid/>
                <w:color w:val="auto"/>
                <w:kern w:val="2"/>
                <w:sz w:val="18"/>
                <w:szCs w:val="18"/>
                <w:highlight w:val="none"/>
              </w:rPr>
              <w:t>IP30</w:t>
            </w:r>
            <w:r>
              <w:rPr>
                <w:rFonts w:hint="eastAsia" w:ascii="Times New Roman" w:hAnsi="Times New Roman" w:eastAsia="宋体"/>
                <w:snapToGrid/>
                <w:color w:val="auto"/>
                <w:kern w:val="2"/>
                <w:sz w:val="18"/>
                <w:szCs w:val="18"/>
                <w:highlight w:val="none"/>
              </w:rPr>
              <w:t>；以太网接口内置</w:t>
            </w:r>
            <w:r>
              <w:rPr>
                <w:rFonts w:ascii="Times New Roman" w:hAnsi="Times New Roman" w:eastAsia="宋体"/>
                <w:snapToGrid/>
                <w:color w:val="auto"/>
                <w:kern w:val="2"/>
                <w:sz w:val="18"/>
                <w:szCs w:val="18"/>
                <w:highlight w:val="none"/>
              </w:rPr>
              <w:t>1.5KV</w:t>
            </w:r>
            <w:r>
              <w:rPr>
                <w:rFonts w:hint="eastAsia" w:ascii="Times New Roman" w:hAnsi="Times New Roman" w:eastAsia="宋体"/>
                <w:snapToGrid/>
                <w:color w:val="auto"/>
                <w:kern w:val="2"/>
                <w:sz w:val="18"/>
                <w:szCs w:val="18"/>
                <w:highlight w:val="none"/>
              </w:rPr>
              <w:t>电磁隔离保护；</w:t>
            </w:r>
            <w:r>
              <w:rPr>
                <w:rFonts w:ascii="Times New Roman" w:hAnsi="Times New Roman" w:eastAsia="宋体"/>
                <w:snapToGrid/>
                <w:color w:val="auto"/>
                <w:kern w:val="2"/>
                <w:sz w:val="18"/>
                <w:szCs w:val="18"/>
                <w:highlight w:val="none"/>
              </w:rPr>
              <w:t>电池寿命≥4年</w:t>
            </w:r>
            <w:r>
              <w:rPr>
                <w:rFonts w:hint="eastAsia" w:ascii="Times New Roman" w:hAnsi="Times New Roman" w:eastAsia="宋体"/>
                <w:snapToGrid/>
                <w:color w:val="auto"/>
                <w:kern w:val="2"/>
                <w:sz w:val="18"/>
                <w:szCs w:val="18"/>
                <w:highlight w:val="none"/>
              </w:rPr>
              <w:t>；天线接口防雷保护。含</w:t>
            </w:r>
            <w:r>
              <w:rPr>
                <w:rFonts w:ascii="Times New Roman" w:hAnsi="Times New Roman" w:eastAsia="宋体"/>
                <w:snapToGrid/>
                <w:color w:val="auto"/>
                <w:kern w:val="2"/>
                <w:sz w:val="18"/>
                <w:szCs w:val="18"/>
                <w:highlight w:val="none"/>
              </w:rPr>
              <w:t>保护箱。</w:t>
            </w:r>
          </w:p>
        </w:tc>
        <w:tc>
          <w:tcPr>
            <w:tcW w:w="588"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c>
          <w:tcPr>
            <w:tcW w:w="666"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5"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15</w:t>
            </w:r>
          </w:p>
        </w:tc>
        <w:tc>
          <w:tcPr>
            <w:tcW w:w="715" w:type="pct"/>
            <w:shd w:val="clear" w:color="000000" w:fill="FFFFFF"/>
            <w:vAlign w:val="center"/>
          </w:tcPr>
          <w:p>
            <w:pPr>
              <w:autoSpaceDE w:val="0"/>
              <w:autoSpaceDN w:val="0"/>
              <w:adjustRightInd w:val="0"/>
              <w:snapToGrid w:val="0"/>
              <w:spacing w:before="48" w:beforeLines="20" w:after="48" w:afterLines="20" w:line="0" w:lineRule="atLeast"/>
              <w:jc w:val="center"/>
              <w:textAlignment w:val="baseline"/>
              <w:rPr>
                <w:color w:val="auto"/>
                <w:sz w:val="18"/>
                <w:szCs w:val="18"/>
                <w:highlight w:val="none"/>
              </w:rPr>
            </w:pPr>
            <w:r>
              <w:rPr>
                <w:color w:val="auto"/>
                <w:kern w:val="0"/>
                <w:sz w:val="18"/>
                <w:szCs w:val="18"/>
                <w:highlight w:val="none"/>
                <w:lang w:val="zh-CN"/>
              </w:rPr>
              <w:t>数据采集软件</w:t>
            </w:r>
          </w:p>
        </w:tc>
        <w:tc>
          <w:tcPr>
            <w:tcW w:w="2693" w:type="pct"/>
            <w:shd w:val="clear" w:color="000000" w:fill="FFFFFF"/>
            <w:vAlign w:val="center"/>
          </w:tcPr>
          <w:p>
            <w:pPr>
              <w:autoSpaceDE w:val="0"/>
              <w:autoSpaceDN w:val="0"/>
              <w:spacing w:before="48" w:beforeLines="20" w:after="48" w:afterLines="20" w:line="0" w:lineRule="atLeast"/>
              <w:rPr>
                <w:color w:val="auto"/>
                <w:sz w:val="18"/>
                <w:szCs w:val="18"/>
                <w:highlight w:val="none"/>
              </w:rPr>
            </w:pPr>
            <w:r>
              <w:rPr>
                <w:color w:val="auto"/>
                <w:sz w:val="18"/>
                <w:szCs w:val="18"/>
                <w:highlight w:val="none"/>
                <w:lang w:val="zh-CN"/>
              </w:rPr>
              <w:t>与自动化数据采集单元配套，具有数据在线监测及数据初步管理，具有用户管理、单元配置、采集设定、数据采集、数据浏览、动态报警、数据录入、图形曲线、报表打印、数据输出等功能。</w:t>
            </w:r>
          </w:p>
        </w:tc>
        <w:tc>
          <w:tcPr>
            <w:tcW w:w="588"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c>
          <w:tcPr>
            <w:tcW w:w="666"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5"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16</w:t>
            </w:r>
          </w:p>
        </w:tc>
        <w:tc>
          <w:tcPr>
            <w:tcW w:w="715" w:type="pct"/>
            <w:shd w:val="clear" w:color="000000" w:fill="FFFFFF"/>
            <w:vAlign w:val="center"/>
          </w:tcPr>
          <w:p>
            <w:pPr>
              <w:autoSpaceDE w:val="0"/>
              <w:autoSpaceDN w:val="0"/>
              <w:adjustRightInd w:val="0"/>
              <w:snapToGrid w:val="0"/>
              <w:spacing w:before="48" w:beforeLines="20" w:after="48" w:afterLines="20" w:line="0" w:lineRule="atLeast"/>
              <w:jc w:val="center"/>
              <w:textAlignment w:val="baseline"/>
              <w:rPr>
                <w:color w:val="auto"/>
                <w:sz w:val="18"/>
                <w:szCs w:val="18"/>
                <w:highlight w:val="none"/>
              </w:rPr>
            </w:pPr>
            <w:r>
              <w:rPr>
                <w:color w:val="auto"/>
                <w:kern w:val="0"/>
                <w:sz w:val="18"/>
                <w:szCs w:val="18"/>
                <w:highlight w:val="none"/>
                <w:lang w:val="zh-CN"/>
              </w:rPr>
              <w:t>数据</w:t>
            </w:r>
            <w:r>
              <w:rPr>
                <w:rFonts w:hint="eastAsia"/>
                <w:color w:val="auto"/>
                <w:kern w:val="0"/>
                <w:sz w:val="18"/>
                <w:szCs w:val="18"/>
                <w:highlight w:val="none"/>
              </w:rPr>
              <w:t>整编及</w:t>
            </w:r>
            <w:r>
              <w:rPr>
                <w:color w:val="auto"/>
                <w:kern w:val="0"/>
                <w:sz w:val="18"/>
                <w:szCs w:val="18"/>
                <w:highlight w:val="none"/>
                <w:lang w:val="zh-CN"/>
              </w:rPr>
              <w:t>分析软件</w:t>
            </w:r>
          </w:p>
        </w:tc>
        <w:tc>
          <w:tcPr>
            <w:tcW w:w="2693" w:type="pct"/>
            <w:shd w:val="clear" w:color="000000" w:fill="FFFFFF"/>
            <w:vAlign w:val="center"/>
          </w:tcPr>
          <w:p>
            <w:pPr>
              <w:autoSpaceDE w:val="0"/>
              <w:autoSpaceDN w:val="0"/>
              <w:spacing w:before="48" w:beforeLines="20" w:after="48" w:afterLines="20" w:line="0" w:lineRule="atLeast"/>
              <w:rPr>
                <w:color w:val="auto"/>
                <w:sz w:val="18"/>
                <w:szCs w:val="18"/>
                <w:highlight w:val="none"/>
              </w:rPr>
            </w:pPr>
            <w:r>
              <w:rPr>
                <w:color w:val="auto"/>
                <w:sz w:val="18"/>
                <w:szCs w:val="18"/>
                <w:highlight w:val="none"/>
                <w:lang w:val="zh-CN"/>
              </w:rPr>
              <w:t>具有对各类采集数据资料进行处理与计算分析、图形报表输出、离线分析、数据管理、安全评判、文档管理、系统管理等功能。</w:t>
            </w:r>
          </w:p>
        </w:tc>
        <w:tc>
          <w:tcPr>
            <w:tcW w:w="588"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c>
          <w:tcPr>
            <w:tcW w:w="666"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4" w:type="dxa"/>
            <w:bottom w:w="0" w:type="dxa"/>
            <w:right w:w="24" w:type="dxa"/>
          </w:tblCellMar>
        </w:tblPrEx>
        <w:trPr>
          <w:trHeight w:val="25" w:hRule="atLeast"/>
          <w:jc w:val="center"/>
        </w:trPr>
        <w:tc>
          <w:tcPr>
            <w:tcW w:w="338" w:type="pct"/>
            <w:shd w:val="clear" w:color="000000" w:fill="FFFFFF"/>
            <w:vAlign w:val="center"/>
          </w:tcPr>
          <w:p>
            <w:pPr>
              <w:jc w:val="center"/>
              <w:rPr>
                <w:color w:val="auto"/>
                <w:sz w:val="18"/>
                <w:szCs w:val="18"/>
                <w:highlight w:val="none"/>
              </w:rPr>
            </w:pPr>
            <w:r>
              <w:rPr>
                <w:rFonts w:hint="eastAsia"/>
                <w:color w:val="auto"/>
                <w:sz w:val="18"/>
                <w:szCs w:val="18"/>
                <w:highlight w:val="none"/>
              </w:rPr>
              <w:t>17</w:t>
            </w:r>
          </w:p>
        </w:tc>
        <w:tc>
          <w:tcPr>
            <w:tcW w:w="715" w:type="pct"/>
            <w:shd w:val="clear" w:color="000000" w:fill="FFFFFF"/>
            <w:vAlign w:val="center"/>
          </w:tcPr>
          <w:p>
            <w:pPr>
              <w:pStyle w:val="740"/>
              <w:autoSpaceDE/>
              <w:autoSpaceDN/>
              <w:adjustRightInd/>
              <w:spacing w:line="240" w:lineRule="auto"/>
              <w:ind w:firstLine="0" w:firstLineChars="0"/>
              <w:jc w:val="center"/>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采集与解算软件</w:t>
            </w:r>
          </w:p>
        </w:tc>
        <w:tc>
          <w:tcPr>
            <w:tcW w:w="2693" w:type="pct"/>
            <w:shd w:val="clear" w:color="000000" w:fill="FFFFFF"/>
            <w:vAlign w:val="center"/>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r>
              <w:rPr>
                <w:rFonts w:hint="eastAsia" w:ascii="Times New Roman" w:hAnsi="Times New Roman" w:eastAsia="宋体"/>
                <w:snapToGrid/>
                <w:color w:val="auto"/>
                <w:kern w:val="2"/>
                <w:sz w:val="18"/>
                <w:szCs w:val="18"/>
                <w:highlight w:val="none"/>
              </w:rPr>
              <w:t>可以远程配置各站点接收机的设置；实时查看各站点数据接收状况，包括接收百分比、周跳（及统计信息）、采样率、卫星跟踪情况等，并实时查看各站点解算成果的质量；可以同时解算GNSS的动态数据和静态后处理数据，同时解算多时段GNSS静态后处理数据，并具备单历元实时解算功能。能进行数据库的备份与恢复；解算后位移中误差限制：±2.0mm</w:t>
            </w:r>
          </w:p>
        </w:tc>
        <w:tc>
          <w:tcPr>
            <w:tcW w:w="588"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c>
          <w:tcPr>
            <w:tcW w:w="666" w:type="pct"/>
            <w:shd w:val="clear" w:color="000000" w:fill="FFFFFF"/>
          </w:tcPr>
          <w:p>
            <w:pPr>
              <w:pStyle w:val="740"/>
              <w:autoSpaceDE/>
              <w:autoSpaceDN/>
              <w:adjustRightInd/>
              <w:spacing w:line="240" w:lineRule="auto"/>
              <w:ind w:firstLine="0" w:firstLineChars="0"/>
              <w:rPr>
                <w:rFonts w:ascii="Times New Roman" w:hAnsi="Times New Roman" w:eastAsia="宋体"/>
                <w:snapToGrid/>
                <w:color w:val="auto"/>
                <w:kern w:val="2"/>
                <w:sz w:val="18"/>
                <w:szCs w:val="18"/>
                <w:highlight w:val="none"/>
              </w:rPr>
            </w:pPr>
          </w:p>
        </w:tc>
      </w:tr>
    </w:tbl>
    <w:p>
      <w:pPr>
        <w:autoSpaceDE w:val="0"/>
        <w:autoSpaceDN w:val="0"/>
        <w:adjustRightInd w:val="0"/>
        <w:snapToGrid w:val="0"/>
        <w:ind w:left="630" w:hanging="630" w:hangingChars="300"/>
        <w:jc w:val="left"/>
        <w:textAlignment w:val="baseline"/>
        <w:rPr>
          <w:color w:val="auto"/>
          <w:kern w:val="0"/>
          <w:szCs w:val="21"/>
          <w:highlight w:val="none"/>
          <w:lang w:val="zh-CN"/>
        </w:rPr>
      </w:pPr>
      <w:r>
        <w:rPr>
          <w:rFonts w:hint="eastAsia"/>
          <w:color w:val="auto"/>
          <w:kern w:val="0"/>
          <w:szCs w:val="21"/>
          <w:highlight w:val="none"/>
          <w:lang w:val="zh-CN"/>
        </w:rPr>
        <w:t>注：①本表推荐品牌仅为参考，投标单位可选用不低于推荐品牌质量的其他品牌。在施工阶段，甲方会同设计、监理从乙方报价品牌和本表推荐品牌中选定任一品牌，乙方不得因此要求变更报价。</w:t>
      </w:r>
    </w:p>
    <w:p>
      <w:pPr>
        <w:autoSpaceDE w:val="0"/>
        <w:autoSpaceDN w:val="0"/>
        <w:adjustRightInd w:val="0"/>
        <w:snapToGrid w:val="0"/>
        <w:ind w:left="630" w:leftChars="200" w:hanging="210" w:hangingChars="100"/>
        <w:jc w:val="left"/>
        <w:textAlignment w:val="baseline"/>
        <w:rPr>
          <w:color w:val="auto"/>
          <w:kern w:val="0"/>
          <w:szCs w:val="21"/>
          <w:highlight w:val="none"/>
          <w:lang w:val="zh-CN"/>
        </w:rPr>
      </w:pPr>
      <w:r>
        <w:rPr>
          <w:rFonts w:hint="eastAsia"/>
          <w:color w:val="auto"/>
          <w:kern w:val="0"/>
          <w:szCs w:val="21"/>
          <w:highlight w:val="none"/>
          <w:lang w:val="zh-CN"/>
        </w:rPr>
        <w:t>② “</w:t>
      </w:r>
      <w:r>
        <w:rPr>
          <w:color w:val="auto"/>
          <w:kern w:val="0"/>
          <w:szCs w:val="21"/>
          <w:highlight w:val="none"/>
          <w:lang w:val="zh-CN"/>
        </w:rPr>
        <w:t>北京基</w:t>
      </w:r>
      <w:r>
        <w:rPr>
          <w:rFonts w:hint="eastAsia"/>
          <w:color w:val="auto"/>
          <w:kern w:val="0"/>
          <w:szCs w:val="21"/>
          <w:highlight w:val="none"/>
          <w:lang w:val="zh-CN"/>
        </w:rPr>
        <w:t>康”全称基康仪器股份有限公司、“南京</w:t>
      </w:r>
      <w:r>
        <w:rPr>
          <w:color w:val="auto"/>
          <w:kern w:val="0"/>
          <w:szCs w:val="21"/>
          <w:highlight w:val="none"/>
          <w:lang w:val="zh-CN"/>
        </w:rPr>
        <w:t>南瑞</w:t>
      </w:r>
      <w:r>
        <w:rPr>
          <w:rFonts w:hint="eastAsia"/>
          <w:color w:val="auto"/>
          <w:kern w:val="0"/>
          <w:szCs w:val="21"/>
          <w:highlight w:val="none"/>
          <w:lang w:val="zh-CN"/>
        </w:rPr>
        <w:t>”全称南瑞集团公司；“长江科创”全称</w:t>
      </w:r>
      <w:r>
        <w:rPr>
          <w:color w:val="auto"/>
          <w:highlight w:val="none"/>
        </w:rPr>
        <w:fldChar w:fldCharType="begin"/>
      </w:r>
      <w:r>
        <w:rPr>
          <w:color w:val="auto"/>
          <w:highlight w:val="none"/>
        </w:rPr>
        <w:instrText xml:space="preserve"> HYPERLINK "https://www.baidu.com/link?url=2balVnD4i3BOpLKfPaVpJWsCDMvXX8Mrt334HcBlvry1CvYq62dNCjIMZzePZVlMXiZi4t6OyNqtXKXIp7-zHeHW3i_3wrhtQrK0KCc8hzyG_0Iw6keICHNMEG5_BFE4RNMHvKbys0jJCym8hnMlXiu4Lg2KpK33qTRG7_Djo5Ohc48REy4NSGCylB65axdKwm9XpCiHHlNackoc_qfVY7Js82YWKKU3SBtf9Uga1hG&amp;wd=&amp;eqid=979e0dc00009fa86000000065cbe6dd7" \t "_blank" </w:instrText>
      </w:r>
      <w:r>
        <w:rPr>
          <w:color w:val="auto"/>
          <w:highlight w:val="none"/>
        </w:rPr>
        <w:fldChar w:fldCharType="separate"/>
      </w:r>
      <w:r>
        <w:rPr>
          <w:color w:val="auto"/>
          <w:kern w:val="0"/>
          <w:szCs w:val="21"/>
          <w:highlight w:val="none"/>
          <w:lang w:val="zh-CN"/>
        </w:rPr>
        <w:t>武汉长江科创科技发展有限公司</w:t>
      </w:r>
      <w:r>
        <w:rPr>
          <w:color w:val="auto"/>
          <w:kern w:val="0"/>
          <w:szCs w:val="21"/>
          <w:highlight w:val="none"/>
          <w:lang w:val="zh-CN"/>
        </w:rPr>
        <w:fldChar w:fldCharType="end"/>
      </w:r>
      <w:r>
        <w:rPr>
          <w:rFonts w:hint="eastAsia"/>
          <w:color w:val="auto"/>
          <w:kern w:val="0"/>
          <w:szCs w:val="21"/>
          <w:highlight w:val="none"/>
          <w:lang w:val="zh-CN"/>
        </w:rPr>
        <w:t>；“</w:t>
      </w:r>
      <w:r>
        <w:rPr>
          <w:rFonts w:hint="eastAsia" w:ascii="宋体" w:hAnsi="宋体" w:cs="宋体"/>
          <w:color w:val="auto"/>
          <w:szCs w:val="21"/>
          <w:highlight w:val="none"/>
        </w:rPr>
        <w:t>南京水文所</w:t>
      </w:r>
      <w:r>
        <w:rPr>
          <w:rFonts w:hint="eastAsia"/>
          <w:color w:val="auto"/>
          <w:kern w:val="0"/>
          <w:szCs w:val="21"/>
          <w:highlight w:val="none"/>
          <w:lang w:val="zh-CN"/>
        </w:rPr>
        <w:t>”全称水利部南京水利水文自动化研究所。</w:t>
      </w:r>
    </w:p>
    <w:p>
      <w:pPr>
        <w:autoSpaceDE w:val="0"/>
        <w:autoSpaceDN w:val="0"/>
        <w:adjustRightInd w:val="0"/>
        <w:snapToGrid w:val="0"/>
        <w:ind w:left="630" w:leftChars="200" w:hanging="210" w:hangingChars="100"/>
        <w:jc w:val="left"/>
        <w:textAlignment w:val="baseline"/>
        <w:rPr>
          <w:color w:val="auto"/>
          <w:kern w:val="0"/>
          <w:szCs w:val="21"/>
          <w:highlight w:val="none"/>
          <w:lang w:val="zh-CN"/>
        </w:rPr>
      </w:pPr>
      <w:r>
        <w:rPr>
          <w:rFonts w:hint="eastAsia"/>
          <w:color w:val="auto"/>
          <w:kern w:val="0"/>
          <w:szCs w:val="21"/>
          <w:highlight w:val="none"/>
          <w:lang w:val="zh-CN"/>
        </w:rPr>
        <w:t>③仪器</w:t>
      </w:r>
      <w:r>
        <w:rPr>
          <w:color w:val="auto"/>
          <w:kern w:val="0"/>
          <w:szCs w:val="21"/>
          <w:highlight w:val="none"/>
          <w:lang w:val="zh-CN"/>
        </w:rPr>
        <w:t>的</w:t>
      </w:r>
      <w:r>
        <w:rPr>
          <w:rFonts w:hint="eastAsia"/>
          <w:color w:val="auto"/>
          <w:kern w:val="0"/>
          <w:szCs w:val="21"/>
          <w:highlight w:val="none"/>
          <w:lang w:val="zh-CN"/>
        </w:rPr>
        <w:t>标准</w:t>
      </w:r>
      <w:r>
        <w:rPr>
          <w:color w:val="auto"/>
          <w:kern w:val="0"/>
          <w:szCs w:val="21"/>
          <w:highlight w:val="none"/>
          <w:lang w:val="zh-CN"/>
        </w:rPr>
        <w:t>量程范围根据施工图调整。</w:t>
      </w:r>
    </w:p>
    <w:p>
      <w:pPr>
        <w:pStyle w:val="45"/>
        <w:spacing w:line="360" w:lineRule="auto"/>
        <w:rPr>
          <w:color w:val="auto"/>
          <w:szCs w:val="30"/>
          <w:highlight w:val="none"/>
        </w:rPr>
        <w:sectPr>
          <w:pgSz w:w="11906" w:h="16838"/>
          <w:pgMar w:top="1418" w:right="1361" w:bottom="1418" w:left="2211" w:header="851" w:footer="992" w:gutter="0"/>
          <w:cols w:space="720" w:num="1"/>
          <w:titlePg/>
          <w:docGrid w:linePitch="312" w:charSpace="0"/>
        </w:sectPr>
      </w:pPr>
    </w:p>
    <w:p>
      <w:pPr>
        <w:pStyle w:val="3"/>
        <w:jc w:val="center"/>
        <w:rPr>
          <w:rFonts w:ascii="黑体" w:hAnsi="黑体" w:eastAsia="黑体"/>
          <w:b w:val="0"/>
          <w:sz w:val="30"/>
        </w:rPr>
      </w:pPr>
      <w:bookmarkStart w:id="430" w:name="_Toc2278"/>
      <w:bookmarkStart w:id="431" w:name="_Toc118821492"/>
      <w:r>
        <w:rPr>
          <w:rFonts w:ascii="黑体" w:hAnsi="黑体" w:eastAsia="黑体"/>
          <w:b w:val="0"/>
          <w:sz w:val="30"/>
        </w:rPr>
        <w:t>第三章  监测仪器设备的安装和埋设</w:t>
      </w:r>
      <w:bookmarkEnd w:id="423"/>
      <w:bookmarkEnd w:id="424"/>
      <w:bookmarkEnd w:id="425"/>
      <w:bookmarkEnd w:id="426"/>
      <w:bookmarkEnd w:id="427"/>
      <w:bookmarkEnd w:id="428"/>
      <w:bookmarkEnd w:id="429"/>
      <w:bookmarkEnd w:id="430"/>
      <w:bookmarkEnd w:id="431"/>
    </w:p>
    <w:p>
      <w:pPr>
        <w:pStyle w:val="4"/>
        <w:spacing w:before="0" w:after="0" w:line="500" w:lineRule="atLeast"/>
        <w:rPr>
          <w:rFonts w:ascii="黑体" w:hAnsi="黑体" w:eastAsia="黑体"/>
          <w:b w:val="0"/>
          <w:sz w:val="24"/>
          <w:szCs w:val="24"/>
        </w:rPr>
      </w:pPr>
      <w:bookmarkStart w:id="432" w:name="_Toc414615069"/>
      <w:bookmarkStart w:id="433" w:name="_Toc24986"/>
      <w:bookmarkStart w:id="434" w:name="_Toc232162572"/>
      <w:bookmarkStart w:id="435" w:name="_Toc118821493"/>
      <w:bookmarkStart w:id="436" w:name="_Toc414615221"/>
      <w:bookmarkStart w:id="437" w:name="_Toc249322065"/>
      <w:r>
        <w:rPr>
          <w:rFonts w:ascii="Times New Roman" w:hAnsi="Times New Roman"/>
          <w:sz w:val="24"/>
          <w:szCs w:val="24"/>
        </w:rPr>
        <w:t xml:space="preserve">3.1 </w:t>
      </w:r>
      <w:r>
        <w:rPr>
          <w:rFonts w:hint="eastAsia" w:ascii="Times New Roman" w:hAnsi="Times New Roman"/>
          <w:sz w:val="24"/>
          <w:szCs w:val="24"/>
        </w:rPr>
        <w:t xml:space="preserve">  </w:t>
      </w:r>
      <w:r>
        <w:rPr>
          <w:rFonts w:ascii="黑体" w:hAnsi="黑体" w:eastAsia="黑体"/>
          <w:b w:val="0"/>
          <w:sz w:val="24"/>
          <w:szCs w:val="24"/>
        </w:rPr>
        <w:t>一般规定</w:t>
      </w:r>
      <w:bookmarkEnd w:id="432"/>
      <w:bookmarkEnd w:id="433"/>
      <w:bookmarkEnd w:id="434"/>
      <w:bookmarkEnd w:id="435"/>
      <w:bookmarkEnd w:id="436"/>
      <w:bookmarkEnd w:id="437"/>
    </w:p>
    <w:p>
      <w:pPr>
        <w:pStyle w:val="140"/>
        <w:numPr>
          <w:ilvl w:val="1"/>
          <w:numId w:val="13"/>
        </w:numPr>
        <w:tabs>
          <w:tab w:val="left" w:pos="1134"/>
        </w:tabs>
        <w:adjustRightInd w:val="0"/>
        <w:snapToGrid w:val="0"/>
        <w:spacing w:line="360" w:lineRule="auto"/>
        <w:ind w:left="0" w:firstLine="426" w:firstLineChars="0"/>
        <w:rPr>
          <w:sz w:val="24"/>
        </w:rPr>
      </w:pPr>
      <w:r>
        <w:rPr>
          <w:sz w:val="24"/>
        </w:rPr>
        <w:t>监测仪器的安装埋设及观测是一项专业性非常强的技术工作，为保证安装埋设及观测质量，依据相关规范要求，检验测试、安装埋设及观测应由具有水利工程量测类质量检测范围和监测仪器的安装埋设及观测实际经验经历的单位组织实施，并严格按施工详图、相关设计文件、水利工程相关规程规范和政策法规、本技术要求的规定以及仪器使用说明书(有效版本)等执行。</w:t>
      </w:r>
    </w:p>
    <w:p>
      <w:pPr>
        <w:pStyle w:val="140"/>
        <w:numPr>
          <w:ilvl w:val="1"/>
          <w:numId w:val="13"/>
        </w:numPr>
        <w:tabs>
          <w:tab w:val="left" w:pos="1134"/>
        </w:tabs>
        <w:adjustRightInd w:val="0"/>
        <w:snapToGrid w:val="0"/>
        <w:spacing w:line="360" w:lineRule="auto"/>
        <w:ind w:left="0" w:firstLine="426" w:firstLineChars="0"/>
        <w:rPr>
          <w:sz w:val="24"/>
        </w:rPr>
      </w:pPr>
      <w:r>
        <w:rPr>
          <w:sz w:val="24"/>
        </w:rPr>
        <w:t>监测仪器设备的安装埋设随土建施工进行，必须严格按本技术要求的规定，做好仪器设备的钻孔、安装、埋设、调试和保护工作，保证监测仪器设备埋设时机和实施质量，监测单位的人员应为水利工程类相关专业的专职技术人员并有一定的水利工程安全监测的经验和经历。</w:t>
      </w:r>
    </w:p>
    <w:p>
      <w:pPr>
        <w:pStyle w:val="140"/>
        <w:numPr>
          <w:ilvl w:val="1"/>
          <w:numId w:val="13"/>
        </w:numPr>
        <w:tabs>
          <w:tab w:val="left" w:pos="1134"/>
        </w:tabs>
        <w:adjustRightInd w:val="0"/>
        <w:snapToGrid w:val="0"/>
        <w:spacing w:line="360" w:lineRule="auto"/>
        <w:ind w:left="0" w:firstLine="426" w:firstLineChars="0"/>
        <w:rPr>
          <w:sz w:val="24"/>
        </w:rPr>
      </w:pPr>
      <w:r>
        <w:rPr>
          <w:sz w:val="24"/>
        </w:rPr>
        <w:t>承包人若发现施工图纸存在错误或表达不清楚时，应在收到图纸后的14天内，以书面方式通知监理人，监理人亦应在收到承包人书面通知后7天内答复承包人。</w:t>
      </w:r>
    </w:p>
    <w:p>
      <w:pPr>
        <w:pStyle w:val="140"/>
        <w:numPr>
          <w:ilvl w:val="1"/>
          <w:numId w:val="13"/>
        </w:numPr>
        <w:tabs>
          <w:tab w:val="left" w:pos="1134"/>
        </w:tabs>
        <w:adjustRightInd w:val="0"/>
        <w:snapToGrid w:val="0"/>
        <w:spacing w:line="360" w:lineRule="auto"/>
        <w:ind w:left="0" w:firstLine="426" w:firstLineChars="0"/>
        <w:rPr>
          <w:sz w:val="24"/>
        </w:rPr>
      </w:pPr>
      <w:r>
        <w:rPr>
          <w:rFonts w:hint="eastAsia"/>
          <w:sz w:val="24"/>
        </w:rPr>
        <w:t>承包人在土建施工前根据本技术要求及设计图纸技术要求制定监测仪器安装计划，并编制详细的监测仪器安装埋设技术要求，内容应包含（但不限于）盾构管片预留安装渗压计孔洞、浇筑管片时预安装钢筋计和预留凹槽、</w:t>
      </w:r>
      <w:r>
        <w:rPr>
          <w:sz w:val="24"/>
        </w:rPr>
        <w:t>螺栓</w:t>
      </w:r>
      <w:r>
        <w:rPr>
          <w:rFonts w:hint="eastAsia"/>
          <w:sz w:val="24"/>
        </w:rPr>
        <w:t>上</w:t>
      </w:r>
      <w:r>
        <w:rPr>
          <w:sz w:val="24"/>
        </w:rPr>
        <w:t>监测</w:t>
      </w:r>
      <w:r>
        <w:rPr>
          <w:rFonts w:hint="eastAsia"/>
          <w:sz w:val="24"/>
        </w:rPr>
        <w:t>仪器</w:t>
      </w:r>
      <w:r>
        <w:rPr>
          <w:sz w:val="24"/>
        </w:rPr>
        <w:t>安装</w:t>
      </w:r>
      <w:r>
        <w:rPr>
          <w:rFonts w:hint="eastAsia"/>
          <w:sz w:val="24"/>
        </w:rPr>
        <w:t>等技术要求，以及其他监测仪器安装埋设、线缆走线、监测仪器保护等技术要求。</w:t>
      </w:r>
    </w:p>
    <w:p>
      <w:pPr>
        <w:pStyle w:val="140"/>
        <w:numPr>
          <w:ilvl w:val="1"/>
          <w:numId w:val="13"/>
        </w:numPr>
        <w:tabs>
          <w:tab w:val="left" w:pos="1134"/>
        </w:tabs>
        <w:adjustRightInd w:val="0"/>
        <w:snapToGrid w:val="0"/>
        <w:spacing w:line="360" w:lineRule="auto"/>
        <w:ind w:left="0" w:firstLine="426" w:firstLineChars="0"/>
        <w:rPr>
          <w:sz w:val="24"/>
        </w:rPr>
      </w:pPr>
      <w:r>
        <w:rPr>
          <w:rFonts w:hint="eastAsia"/>
          <w:sz w:val="24"/>
        </w:rPr>
        <w:t>承包人应将监测仪器设备的埋设计划列入建筑物的施工进度计划中，以便及时提供安装埋设工作面，协调好与建筑物施工的相互干扰。</w:t>
      </w:r>
    </w:p>
    <w:p>
      <w:pPr>
        <w:pStyle w:val="140"/>
        <w:numPr>
          <w:ilvl w:val="1"/>
          <w:numId w:val="13"/>
        </w:numPr>
        <w:tabs>
          <w:tab w:val="left" w:pos="1134"/>
        </w:tabs>
        <w:adjustRightInd w:val="0"/>
        <w:snapToGrid w:val="0"/>
        <w:spacing w:line="360" w:lineRule="auto"/>
        <w:ind w:left="0" w:firstLine="426" w:firstLineChars="0"/>
        <w:rPr>
          <w:sz w:val="24"/>
        </w:rPr>
      </w:pPr>
      <w:r>
        <w:rPr>
          <w:rFonts w:hint="eastAsia"/>
          <w:sz w:val="24"/>
        </w:rPr>
        <w:t>仪器设备安装和埋设中应使用经批准的编码系统，对各种仪器设备、电缆、监测断面、控制坐标等进行统一编号。每支仪器均须建立档案卡和基本资料表，并将仪器资料按发包人指定的格式录入计算机仪器档案库中。</w:t>
      </w:r>
    </w:p>
    <w:p>
      <w:pPr>
        <w:pStyle w:val="140"/>
        <w:numPr>
          <w:ilvl w:val="1"/>
          <w:numId w:val="13"/>
        </w:numPr>
        <w:tabs>
          <w:tab w:val="left" w:pos="1134"/>
        </w:tabs>
        <w:adjustRightInd w:val="0"/>
        <w:snapToGrid w:val="0"/>
        <w:spacing w:line="360" w:lineRule="auto"/>
        <w:ind w:left="0" w:firstLine="426" w:firstLineChars="0"/>
        <w:rPr>
          <w:sz w:val="24"/>
        </w:rPr>
      </w:pPr>
      <w:r>
        <w:rPr>
          <w:rFonts w:hint="eastAsia"/>
          <w:sz w:val="24"/>
        </w:rPr>
        <w:t>承包人应严格按批准的监测仪器设备布置与生产厂家的使用说明书进行安装和埋设。若监理人检查发现埋设的仪器设备失效，有权指示承包人应立即置换。</w:t>
      </w:r>
    </w:p>
    <w:p>
      <w:pPr>
        <w:pStyle w:val="140"/>
        <w:numPr>
          <w:ilvl w:val="1"/>
          <w:numId w:val="13"/>
        </w:numPr>
        <w:tabs>
          <w:tab w:val="left" w:pos="1134"/>
        </w:tabs>
        <w:adjustRightInd w:val="0"/>
        <w:snapToGrid w:val="0"/>
        <w:spacing w:line="360" w:lineRule="auto"/>
        <w:ind w:left="0" w:firstLine="426" w:firstLineChars="0"/>
        <w:rPr>
          <w:sz w:val="24"/>
        </w:rPr>
      </w:pPr>
      <w:r>
        <w:rPr>
          <w:rFonts w:hint="eastAsia"/>
          <w:sz w:val="24"/>
        </w:rPr>
        <w:t>仪器电缆和光纤的敷设应按施工图纸和生产厂家说明书进行，尽可能减少接头，拼接和连接接头。承包人应在所有仪器的线缆上加设至少3个耐久、防水、间距为20m 的标签，以保证识别不同仪器所使用的线缆。</w:t>
      </w:r>
    </w:p>
    <w:p>
      <w:pPr>
        <w:pStyle w:val="140"/>
        <w:numPr>
          <w:ilvl w:val="1"/>
          <w:numId w:val="13"/>
        </w:numPr>
        <w:tabs>
          <w:tab w:val="left" w:pos="1134"/>
        </w:tabs>
        <w:adjustRightInd w:val="0"/>
        <w:snapToGrid w:val="0"/>
        <w:spacing w:line="360" w:lineRule="auto"/>
        <w:ind w:left="0" w:firstLine="426" w:firstLineChars="0"/>
        <w:rPr>
          <w:sz w:val="24"/>
        </w:rPr>
      </w:pPr>
      <w:r>
        <w:rPr>
          <w:rFonts w:hint="eastAsia"/>
          <w:sz w:val="24"/>
        </w:rPr>
        <w:t>仪器设备及电缆、光纤安装埋设后，承包人应会同监理人在规定的时间内进行检查，并提交检查报告。经监理人验收合格后，由承包人测读初始值提交监理人。</w:t>
      </w:r>
    </w:p>
    <w:p>
      <w:pPr>
        <w:pStyle w:val="140"/>
        <w:numPr>
          <w:ilvl w:val="1"/>
          <w:numId w:val="13"/>
        </w:numPr>
        <w:tabs>
          <w:tab w:val="left" w:pos="1134"/>
        </w:tabs>
        <w:adjustRightInd w:val="0"/>
        <w:snapToGrid w:val="0"/>
        <w:spacing w:line="360" w:lineRule="auto"/>
        <w:ind w:left="0" w:firstLine="426" w:firstLineChars="0"/>
        <w:rPr>
          <w:sz w:val="24"/>
        </w:rPr>
      </w:pPr>
      <w:r>
        <w:rPr>
          <w:rFonts w:hint="eastAsia"/>
          <w:sz w:val="24"/>
        </w:rPr>
        <w:t>每支仪器安装和埋设后，承包人应将仪器的安装埋设考证表提交监理人。</w:t>
      </w:r>
    </w:p>
    <w:p>
      <w:pPr>
        <w:pStyle w:val="140"/>
        <w:numPr>
          <w:ilvl w:val="1"/>
          <w:numId w:val="13"/>
        </w:numPr>
        <w:tabs>
          <w:tab w:val="left" w:pos="1134"/>
        </w:tabs>
        <w:adjustRightInd w:val="0"/>
        <w:snapToGrid w:val="0"/>
        <w:spacing w:line="360" w:lineRule="auto"/>
        <w:ind w:left="0" w:firstLine="426" w:firstLineChars="0"/>
        <w:rPr>
          <w:sz w:val="24"/>
        </w:rPr>
      </w:pPr>
      <w:r>
        <w:rPr>
          <w:sz w:val="24"/>
        </w:rPr>
        <w:t>仪器电缆</w:t>
      </w:r>
      <w:r>
        <w:rPr>
          <w:rFonts w:hint="eastAsia"/>
          <w:sz w:val="24"/>
        </w:rPr>
        <w:t>和光纤</w:t>
      </w:r>
      <w:r>
        <w:rPr>
          <w:sz w:val="24"/>
        </w:rPr>
        <w:t>安装应根据现场情况按没有接头的实际最大长度采用，拼接和连接应按厂家要求进行。仪器安装后，未经监理人批准，电缆</w:t>
      </w:r>
      <w:r>
        <w:rPr>
          <w:rFonts w:hint="eastAsia"/>
          <w:sz w:val="24"/>
        </w:rPr>
        <w:t>及光纤</w:t>
      </w:r>
      <w:r>
        <w:rPr>
          <w:sz w:val="24"/>
        </w:rPr>
        <w:t>不允许截短和拼接加长。</w:t>
      </w:r>
    </w:p>
    <w:p>
      <w:pPr>
        <w:pStyle w:val="140"/>
        <w:numPr>
          <w:ilvl w:val="1"/>
          <w:numId w:val="13"/>
        </w:numPr>
        <w:tabs>
          <w:tab w:val="left" w:pos="1134"/>
        </w:tabs>
        <w:adjustRightInd w:val="0"/>
        <w:snapToGrid w:val="0"/>
        <w:spacing w:line="360" w:lineRule="auto"/>
        <w:ind w:left="0" w:firstLine="426" w:firstLineChars="0"/>
        <w:rPr>
          <w:sz w:val="24"/>
        </w:rPr>
      </w:pPr>
      <w:r>
        <w:rPr>
          <w:sz w:val="24"/>
        </w:rPr>
        <w:t>从仪器安装地到工程管理中心之间的电缆埋设的走向和槽、立管的布置应根据施工图和监理人的指示进行，允许承包人根据其工作计划和施工现场情况改变这些布置，只要这种变更不对结构及防渗产生不利影响，且不使电缆长度显著增加。承包人应至少在其工作计划开始日期之前28天，将这些变更申请提交监理人审批。</w:t>
      </w:r>
    </w:p>
    <w:p>
      <w:pPr>
        <w:pStyle w:val="140"/>
        <w:numPr>
          <w:ilvl w:val="1"/>
          <w:numId w:val="13"/>
        </w:numPr>
        <w:tabs>
          <w:tab w:val="left" w:pos="1134"/>
        </w:tabs>
        <w:adjustRightInd w:val="0"/>
        <w:snapToGrid w:val="0"/>
        <w:spacing w:line="360" w:lineRule="auto"/>
        <w:ind w:left="0" w:firstLine="426" w:firstLineChars="0"/>
        <w:rPr>
          <w:sz w:val="24"/>
        </w:rPr>
      </w:pPr>
      <w:r>
        <w:rPr>
          <w:sz w:val="24"/>
        </w:rPr>
        <w:t>仪器设备及电缆</w:t>
      </w:r>
      <w:r>
        <w:rPr>
          <w:rFonts w:hint="eastAsia"/>
          <w:sz w:val="24"/>
        </w:rPr>
        <w:t>、光纤</w:t>
      </w:r>
      <w:r>
        <w:rPr>
          <w:sz w:val="24"/>
        </w:rPr>
        <w:t>在安装埋设之后应进行检查和校正，并提交现场校准报告。经监理人检查验收后应立即测读起始值，只有获取初始数据后，承包人才能将其</w:t>
      </w:r>
      <w:r>
        <w:rPr>
          <w:rFonts w:hint="eastAsia"/>
          <w:sz w:val="24"/>
        </w:rPr>
        <w:t>固定</w:t>
      </w:r>
      <w:r>
        <w:rPr>
          <w:sz w:val="24"/>
        </w:rPr>
        <w:t>保护。</w:t>
      </w:r>
    </w:p>
    <w:p>
      <w:pPr>
        <w:pStyle w:val="140"/>
        <w:numPr>
          <w:ilvl w:val="1"/>
          <w:numId w:val="13"/>
        </w:numPr>
        <w:tabs>
          <w:tab w:val="left" w:pos="1134"/>
        </w:tabs>
        <w:adjustRightInd w:val="0"/>
        <w:snapToGrid w:val="0"/>
        <w:spacing w:line="360" w:lineRule="auto"/>
        <w:ind w:left="0" w:firstLine="426" w:firstLineChars="0"/>
        <w:rPr>
          <w:sz w:val="24"/>
        </w:rPr>
      </w:pPr>
      <w:r>
        <w:rPr>
          <w:rFonts w:hint="eastAsia"/>
          <w:sz w:val="24"/>
        </w:rPr>
        <w:t>承包人在钢管内衬结构</w:t>
      </w:r>
      <w:r>
        <w:rPr>
          <w:sz w:val="24"/>
        </w:rPr>
        <w:t>的</w:t>
      </w:r>
      <w:r>
        <w:rPr>
          <w:rFonts w:hint="eastAsia"/>
          <w:sz w:val="24"/>
        </w:rPr>
        <w:t>盾构隧洞段保证监测</w:t>
      </w:r>
      <w:r>
        <w:rPr>
          <w:sz w:val="24"/>
        </w:rPr>
        <w:t>仪器设备</w:t>
      </w:r>
      <w:r>
        <w:rPr>
          <w:rFonts w:hint="eastAsia"/>
          <w:sz w:val="24"/>
        </w:rPr>
        <w:t>不</w:t>
      </w:r>
      <w:r>
        <w:rPr>
          <w:sz w:val="24"/>
        </w:rPr>
        <w:t>超出</w:t>
      </w:r>
      <w:r>
        <w:rPr>
          <w:rFonts w:hint="eastAsia"/>
          <w:sz w:val="24"/>
        </w:rPr>
        <w:t>盾构管片内弧面</w:t>
      </w:r>
      <w:r>
        <w:rPr>
          <w:sz w:val="24"/>
        </w:rPr>
        <w:t>5cm</w:t>
      </w:r>
      <w:r>
        <w:rPr>
          <w:rFonts w:hint="eastAsia"/>
          <w:sz w:val="24"/>
        </w:rPr>
        <w:t>。</w:t>
      </w:r>
    </w:p>
    <w:p>
      <w:pPr>
        <w:pStyle w:val="140"/>
        <w:numPr>
          <w:ilvl w:val="1"/>
          <w:numId w:val="13"/>
        </w:numPr>
        <w:tabs>
          <w:tab w:val="left" w:pos="1134"/>
        </w:tabs>
        <w:adjustRightInd w:val="0"/>
        <w:snapToGrid w:val="0"/>
        <w:spacing w:line="360" w:lineRule="auto"/>
        <w:ind w:left="0" w:firstLine="426" w:firstLineChars="0"/>
        <w:rPr>
          <w:sz w:val="24"/>
        </w:rPr>
      </w:pPr>
      <w:r>
        <w:rPr>
          <w:sz w:val="24"/>
        </w:rPr>
        <w:t>每支仪器埋设和安装后不超过14天，承包人应将仪器及其安装的下列详细资料提交监理人。这些资料包括（但不限于）：</w:t>
      </w:r>
    </w:p>
    <w:p>
      <w:pPr>
        <w:spacing w:line="360" w:lineRule="auto"/>
        <w:ind w:firstLine="480" w:firstLineChars="200"/>
        <w:rPr>
          <w:sz w:val="24"/>
        </w:rPr>
      </w:pPr>
      <w:r>
        <w:rPr>
          <w:sz w:val="24"/>
        </w:rPr>
        <w:t>1)  仪器的种类、型号、编号和说明；</w:t>
      </w:r>
    </w:p>
    <w:p>
      <w:pPr>
        <w:spacing w:line="360" w:lineRule="auto"/>
        <w:ind w:firstLine="480" w:firstLineChars="200"/>
        <w:rPr>
          <w:sz w:val="24"/>
        </w:rPr>
      </w:pPr>
      <w:r>
        <w:rPr>
          <w:sz w:val="24"/>
        </w:rPr>
        <w:t>2)  按比例图示仪器所在部位的位置、仪器的坐标和高程、电缆敷设的准确位置和路线、电缆</w:t>
      </w:r>
      <w:r>
        <w:rPr>
          <w:rFonts w:hint="eastAsia"/>
          <w:sz w:val="24"/>
        </w:rPr>
        <w:t>、光纤</w:t>
      </w:r>
      <w:r>
        <w:rPr>
          <w:sz w:val="24"/>
        </w:rPr>
        <w:t>所有接头的位置和仪器安装所用的材料；</w:t>
      </w:r>
    </w:p>
    <w:p>
      <w:pPr>
        <w:spacing w:line="360" w:lineRule="auto"/>
        <w:ind w:firstLine="480" w:firstLineChars="200"/>
        <w:rPr>
          <w:sz w:val="24"/>
        </w:rPr>
      </w:pPr>
      <w:r>
        <w:rPr>
          <w:sz w:val="24"/>
        </w:rPr>
        <w:t>3)  仪器埋设的日期、时间以及气候气温情况；</w:t>
      </w:r>
    </w:p>
    <w:p>
      <w:pPr>
        <w:spacing w:line="360" w:lineRule="auto"/>
        <w:ind w:firstLine="480" w:firstLineChars="200"/>
        <w:rPr>
          <w:sz w:val="24"/>
        </w:rPr>
      </w:pPr>
      <w:r>
        <w:rPr>
          <w:sz w:val="24"/>
        </w:rPr>
        <w:t>4)  仪器埋设时附近施工区作业情况；</w:t>
      </w:r>
      <w:r>
        <w:rPr>
          <w:rFonts w:hint="eastAsia"/>
          <w:sz w:val="24"/>
        </w:rPr>
        <w:t xml:space="preserve">  </w:t>
      </w:r>
    </w:p>
    <w:p>
      <w:pPr>
        <w:spacing w:line="360" w:lineRule="auto"/>
        <w:ind w:firstLine="480" w:firstLineChars="200"/>
        <w:rPr>
          <w:sz w:val="24"/>
        </w:rPr>
      </w:pPr>
      <w:r>
        <w:rPr>
          <w:sz w:val="24"/>
        </w:rPr>
        <w:t>5)  安装埋设时的照片；</w:t>
      </w:r>
    </w:p>
    <w:p>
      <w:pPr>
        <w:spacing w:line="360" w:lineRule="auto"/>
        <w:ind w:firstLine="480" w:firstLineChars="200"/>
        <w:rPr>
          <w:sz w:val="24"/>
        </w:rPr>
      </w:pPr>
      <w:r>
        <w:rPr>
          <w:sz w:val="24"/>
        </w:rPr>
        <w:t>6)  所取得的初始数据；</w:t>
      </w:r>
    </w:p>
    <w:p>
      <w:pPr>
        <w:spacing w:line="360" w:lineRule="auto"/>
        <w:ind w:firstLine="480" w:firstLineChars="200"/>
        <w:rPr>
          <w:sz w:val="24"/>
        </w:rPr>
      </w:pPr>
      <w:r>
        <w:rPr>
          <w:sz w:val="24"/>
        </w:rPr>
        <w:t>7)  由承包人和监理人双方签字的所有安装埋设记录。</w:t>
      </w:r>
    </w:p>
    <w:p>
      <w:pPr>
        <w:pStyle w:val="140"/>
        <w:numPr>
          <w:ilvl w:val="1"/>
          <w:numId w:val="13"/>
        </w:numPr>
        <w:tabs>
          <w:tab w:val="left" w:pos="1134"/>
        </w:tabs>
        <w:adjustRightInd w:val="0"/>
        <w:snapToGrid w:val="0"/>
        <w:spacing w:line="360" w:lineRule="auto"/>
        <w:ind w:left="0" w:firstLine="426" w:firstLineChars="0"/>
        <w:rPr>
          <w:sz w:val="24"/>
        </w:rPr>
      </w:pPr>
      <w:r>
        <w:rPr>
          <w:sz w:val="24"/>
        </w:rPr>
        <w:t>在整个施工期即本合同履行期限内，承包人应负责保护仪器编号数字的清晰。在工作进展中，所有仪器或接头应予保护，并根据监理人的要求提供保护罩、标志和路障。所有未完成的管道和套管的开口端应加盖，管和套管里面应保持没有外部物质进入。</w:t>
      </w:r>
    </w:p>
    <w:p>
      <w:pPr>
        <w:pStyle w:val="140"/>
        <w:numPr>
          <w:ilvl w:val="1"/>
          <w:numId w:val="13"/>
        </w:numPr>
        <w:tabs>
          <w:tab w:val="left" w:pos="1134"/>
        </w:tabs>
        <w:adjustRightInd w:val="0"/>
        <w:snapToGrid w:val="0"/>
        <w:spacing w:line="360" w:lineRule="auto"/>
        <w:ind w:left="0" w:firstLine="426" w:firstLineChars="0"/>
        <w:rPr>
          <w:sz w:val="24"/>
        </w:rPr>
      </w:pPr>
      <w:r>
        <w:rPr>
          <w:sz w:val="24"/>
        </w:rPr>
        <w:t>对于在混凝土中埋设的仪器和电缆，在有灌浆钻孔的部位应在混凝土表面所对应的位置作出明显标记。根据施工图或监理人要求，安装期间未安装完毕的电气式仪器应采取两种保护措施，一是过压避雷器，一是金属罩安全包裹以防闪电或人为破坏。所有对仪器、电缆及接头、孔口等部位所采取的保护和警示措施均不应对土建施工造成不利影响。</w:t>
      </w:r>
    </w:p>
    <w:p>
      <w:pPr>
        <w:pStyle w:val="140"/>
        <w:numPr>
          <w:ilvl w:val="1"/>
          <w:numId w:val="13"/>
        </w:numPr>
        <w:tabs>
          <w:tab w:val="left" w:pos="1134"/>
        </w:tabs>
        <w:adjustRightInd w:val="0"/>
        <w:snapToGrid w:val="0"/>
        <w:spacing w:line="360" w:lineRule="auto"/>
        <w:ind w:left="0" w:firstLine="426" w:firstLineChars="0"/>
        <w:rPr>
          <w:sz w:val="24"/>
        </w:rPr>
      </w:pPr>
      <w:r>
        <w:rPr>
          <w:sz w:val="24"/>
        </w:rPr>
        <w:t>在仪器安装、埋设、混凝土回填作业中，如发现有异常变化或损坏现象，应及时采取补救措施。在仪器和电缆埋设完毕后，应及时检测，确认符合要求后，应编写施工日志，绘制竣工图。</w:t>
      </w:r>
    </w:p>
    <w:p>
      <w:pPr>
        <w:pStyle w:val="740"/>
        <w:ind w:firstLine="480"/>
        <w:rPr>
          <w:rFonts w:ascii="Times New Roman" w:hAnsi="Times New Roman" w:eastAsia="宋体"/>
          <w:szCs w:val="24"/>
        </w:rPr>
      </w:pPr>
      <w:r>
        <w:rPr>
          <w:rFonts w:ascii="Times New Roman" w:hAnsi="Times New Roman" w:eastAsia="宋体"/>
          <w:szCs w:val="24"/>
        </w:rPr>
        <w:t>（19）承包人应执行所批准的试验监测和维护计划措施，及时将已经埋设的仪器设备和电缆引线以适当的形式报告监理人，并在现场做出明确的标识，以免土建施工在钻孔、灌浆时损坏已埋设的仪器或电缆。由于承包人保护措施不得力造成的监测仪器和电缆线的损坏由承包人免费负责恢复。</w:t>
      </w:r>
    </w:p>
    <w:p>
      <w:pPr>
        <w:pStyle w:val="740"/>
        <w:ind w:firstLine="480"/>
        <w:rPr>
          <w:rFonts w:ascii="宋体" w:hAnsi="宋体" w:eastAsia="宋体"/>
          <w:szCs w:val="24"/>
        </w:rPr>
      </w:pPr>
      <w:r>
        <w:rPr>
          <w:rFonts w:ascii="Times New Roman" w:hAnsi="Times New Roman" w:eastAsia="宋体"/>
          <w:szCs w:val="24"/>
        </w:rPr>
        <w:t>（20）在</w:t>
      </w:r>
      <w:r>
        <w:rPr>
          <w:rFonts w:hint="eastAsia" w:ascii="宋体" w:hAnsi="宋体" w:eastAsia="宋体"/>
          <w:szCs w:val="24"/>
        </w:rPr>
        <w:t>施工过程中，承包人应采取切实有效的措施，防止一切监测仪器设备、电缆受到机械和人为的损坏。如有损坏，承包人应及时报告监理人，并负责及时采取补救措施，同时作出详细记录备查。所引起的费用增加，由承包人承担。</w:t>
      </w:r>
    </w:p>
    <w:p>
      <w:pPr>
        <w:pStyle w:val="140"/>
        <w:tabs>
          <w:tab w:val="left" w:pos="1134"/>
        </w:tabs>
        <w:adjustRightInd w:val="0"/>
        <w:snapToGrid w:val="0"/>
        <w:spacing w:line="500" w:lineRule="atLeast"/>
        <w:ind w:firstLine="480"/>
        <w:rPr>
          <w:sz w:val="24"/>
        </w:rPr>
      </w:pPr>
    </w:p>
    <w:p>
      <w:pPr>
        <w:pStyle w:val="4"/>
        <w:spacing w:before="0" w:after="0" w:line="500" w:lineRule="atLeast"/>
        <w:rPr>
          <w:rFonts w:ascii="黑体" w:hAnsi="黑体" w:eastAsia="黑体"/>
          <w:b w:val="0"/>
          <w:sz w:val="24"/>
          <w:szCs w:val="24"/>
        </w:rPr>
      </w:pPr>
      <w:bookmarkStart w:id="438" w:name="_Toc249322067"/>
      <w:bookmarkStart w:id="439" w:name="_Toc414615223"/>
      <w:bookmarkStart w:id="440" w:name="_Toc414615071"/>
      <w:bookmarkStart w:id="441" w:name="_Toc232162574"/>
      <w:bookmarkStart w:id="442" w:name="_Toc32264"/>
      <w:bookmarkStart w:id="443" w:name="_Toc118821494"/>
      <w:r>
        <w:rPr>
          <w:rFonts w:ascii="Times New Roman" w:hAnsi="Times New Roman"/>
          <w:sz w:val="24"/>
          <w:szCs w:val="24"/>
        </w:rPr>
        <w:t xml:space="preserve">3.2  </w:t>
      </w:r>
      <w:bookmarkEnd w:id="438"/>
      <w:bookmarkEnd w:id="439"/>
      <w:bookmarkEnd w:id="440"/>
      <w:bookmarkEnd w:id="441"/>
      <w:r>
        <w:rPr>
          <w:rFonts w:hint="eastAsia" w:ascii="黑体" w:hAnsi="黑体" w:eastAsia="黑体"/>
          <w:b w:val="0"/>
          <w:sz w:val="24"/>
          <w:szCs w:val="24"/>
        </w:rPr>
        <w:t>监测仪器安装埋设技术要求</w:t>
      </w:r>
      <w:bookmarkEnd w:id="442"/>
      <w:bookmarkEnd w:id="443"/>
    </w:p>
    <w:p>
      <w:pPr>
        <w:pStyle w:val="5"/>
        <w:snapToGrid w:val="0"/>
        <w:spacing w:before="0" w:after="0" w:line="500" w:lineRule="atLeast"/>
        <w:jc w:val="both"/>
        <w:rPr>
          <w:szCs w:val="24"/>
        </w:rPr>
      </w:pPr>
      <w:bookmarkStart w:id="444" w:name="_Toc521577800"/>
      <w:bookmarkStart w:id="445" w:name="_Toc31886"/>
      <w:bookmarkStart w:id="446" w:name="_Toc7556"/>
      <w:bookmarkStart w:id="447" w:name="_Toc118821495"/>
      <w:r>
        <w:rPr>
          <w:szCs w:val="24"/>
        </w:rPr>
        <w:t xml:space="preserve">3.2.1  </w:t>
      </w:r>
      <w:bookmarkEnd w:id="444"/>
      <w:r>
        <w:rPr>
          <w:szCs w:val="24"/>
        </w:rPr>
        <w:t>变形监测仪器设备的安装埋设技术要求</w:t>
      </w:r>
      <w:bookmarkEnd w:id="445"/>
      <w:bookmarkEnd w:id="446"/>
      <w:bookmarkEnd w:id="447"/>
    </w:p>
    <w:p>
      <w:pPr>
        <w:adjustRightInd w:val="0"/>
        <w:snapToGrid w:val="0"/>
        <w:spacing w:before="120" w:beforeLines="50" w:line="360" w:lineRule="auto"/>
        <w:ind w:firstLine="425"/>
        <w:rPr>
          <w:rFonts w:ascii="宋体" w:hAnsi="宋体"/>
          <w:b/>
          <w:kern w:val="0"/>
          <w:sz w:val="24"/>
          <w:lang w:val="zh-CN"/>
        </w:rPr>
      </w:pPr>
      <w:bookmarkStart w:id="448" w:name="_Toc232162580"/>
      <w:bookmarkStart w:id="449" w:name="_Toc414615224"/>
      <w:bookmarkStart w:id="450" w:name="_Toc249322068"/>
      <w:bookmarkStart w:id="451" w:name="_Toc414615072"/>
      <w:r>
        <w:rPr>
          <w:rFonts w:ascii="宋体" w:hAnsi="宋体"/>
          <w:b/>
          <w:kern w:val="0"/>
          <w:sz w:val="24"/>
          <w:lang w:val="zh-CN"/>
        </w:rPr>
        <w:t>（1）观测墩埋设</w:t>
      </w:r>
    </w:p>
    <w:p>
      <w:pPr>
        <w:pStyle w:val="740"/>
        <w:ind w:firstLine="600" w:firstLineChars="250"/>
        <w:rPr>
          <w:rFonts w:ascii="宋体" w:hAnsi="宋体" w:eastAsia="宋体"/>
          <w:szCs w:val="24"/>
        </w:rPr>
      </w:pPr>
      <w:r>
        <w:rPr>
          <w:rFonts w:ascii="宋体" w:hAnsi="宋体" w:eastAsia="宋体"/>
          <w:szCs w:val="24"/>
        </w:rPr>
        <w:t>1) 水平位移测点观测墩的建造，应与建筑物牢固结合，并浇筑钢筋砼底座和柱身，标墩顶部设置强制对中基座，基座对中精度应小于0.</w:t>
      </w:r>
      <w:r>
        <w:rPr>
          <w:rFonts w:hint="eastAsia" w:ascii="宋体" w:hAnsi="宋体" w:eastAsia="宋体"/>
          <w:szCs w:val="24"/>
        </w:rPr>
        <w:t>2</w:t>
      </w:r>
      <w:r>
        <w:rPr>
          <w:rFonts w:ascii="宋体" w:hAnsi="宋体" w:eastAsia="宋体"/>
          <w:szCs w:val="24"/>
        </w:rPr>
        <w:t>mm；埋设时，强制对中基座应调整水平，其倾斜度不得大于4′。</w:t>
      </w:r>
    </w:p>
    <w:p>
      <w:pPr>
        <w:pStyle w:val="740"/>
        <w:ind w:firstLine="600" w:firstLineChars="250"/>
        <w:rPr>
          <w:rFonts w:ascii="宋体" w:hAnsi="宋体" w:eastAsia="宋体"/>
          <w:szCs w:val="24"/>
        </w:rPr>
      </w:pPr>
      <w:r>
        <w:rPr>
          <w:rFonts w:ascii="宋体" w:hAnsi="宋体" w:eastAsia="宋体"/>
          <w:szCs w:val="24"/>
        </w:rPr>
        <w:t>2) 水平位移工作基点的建造，应根据地质情况按设计技术要求、施工图详图及有关技术规范要求选取相对固定的位置浇筑钢筋砼底座和柱身，用锚筋和基岩连接成整体。</w:t>
      </w:r>
    </w:p>
    <w:p>
      <w:pPr>
        <w:pStyle w:val="740"/>
        <w:ind w:firstLine="600" w:firstLineChars="250"/>
        <w:rPr>
          <w:rFonts w:ascii="宋体" w:hAnsi="宋体" w:eastAsia="宋体"/>
          <w:szCs w:val="24"/>
        </w:rPr>
      </w:pPr>
      <w:r>
        <w:rPr>
          <w:rFonts w:ascii="宋体" w:hAnsi="宋体" w:eastAsia="宋体"/>
          <w:szCs w:val="24"/>
        </w:rPr>
        <w:t>3) 水准基准点、</w:t>
      </w:r>
      <w:r>
        <w:rPr>
          <w:rFonts w:hint="eastAsia" w:ascii="宋体" w:hAnsi="宋体" w:eastAsia="宋体"/>
          <w:szCs w:val="24"/>
        </w:rPr>
        <w:t>垂直位移工作</w:t>
      </w:r>
      <w:r>
        <w:rPr>
          <w:rFonts w:ascii="宋体" w:hAnsi="宋体" w:eastAsia="宋体"/>
          <w:szCs w:val="24"/>
        </w:rPr>
        <w:t>基点观测墩的建造实地选取在建筑物以外相对稳定点，浇筑钢筋混凝土底座及埋设水准标心。</w:t>
      </w:r>
    </w:p>
    <w:p>
      <w:pPr>
        <w:pStyle w:val="740"/>
        <w:ind w:firstLine="600" w:firstLineChars="250"/>
        <w:rPr>
          <w:rFonts w:ascii="宋体" w:hAnsi="宋体" w:eastAsia="宋体"/>
          <w:szCs w:val="24"/>
        </w:rPr>
      </w:pPr>
      <w:r>
        <w:rPr>
          <w:rFonts w:ascii="宋体" w:hAnsi="宋体" w:eastAsia="宋体"/>
          <w:szCs w:val="24"/>
        </w:rPr>
        <w:t>4) 观测点、工作基点和基准点应设保护装置。</w:t>
      </w:r>
    </w:p>
    <w:p>
      <w:pPr>
        <w:pStyle w:val="740"/>
        <w:ind w:firstLine="600" w:firstLineChars="250"/>
        <w:rPr>
          <w:rFonts w:ascii="宋体" w:hAnsi="宋体" w:eastAsia="宋体"/>
          <w:szCs w:val="24"/>
        </w:rPr>
      </w:pPr>
      <w:r>
        <w:rPr>
          <w:rFonts w:ascii="宋体" w:hAnsi="宋体" w:eastAsia="宋体"/>
          <w:szCs w:val="24"/>
        </w:rPr>
        <w:t>5) 混凝土标墩所用混凝土标号不低于C20，标体严格捣密，表面刷白色防水墙漆道，用红油漆喷印编号。</w:t>
      </w:r>
    </w:p>
    <w:p>
      <w:pPr>
        <w:adjustRightInd w:val="0"/>
        <w:snapToGrid w:val="0"/>
        <w:spacing w:line="360" w:lineRule="auto"/>
        <w:ind w:firstLine="241" w:firstLineChars="100"/>
        <w:rPr>
          <w:b/>
          <w:kern w:val="0"/>
          <w:sz w:val="24"/>
          <w:lang w:val="zh-CN"/>
        </w:rPr>
      </w:pPr>
      <w:r>
        <w:rPr>
          <w:rFonts w:hint="eastAsia"/>
          <w:b/>
          <w:kern w:val="0"/>
          <w:sz w:val="24"/>
          <w:lang w:val="zh-CN"/>
        </w:rPr>
        <w:t>(2)  收敛测点</w:t>
      </w:r>
    </w:p>
    <w:p>
      <w:pPr>
        <w:spacing w:line="500" w:lineRule="atLeast"/>
        <w:ind w:firstLine="480" w:firstLineChars="200"/>
        <w:rPr>
          <w:sz w:val="24"/>
        </w:rPr>
      </w:pPr>
      <w:r>
        <w:rPr>
          <w:sz w:val="24"/>
        </w:rPr>
        <w:t>1</w:t>
      </w:r>
      <w:r>
        <w:rPr>
          <w:rFonts w:hint="eastAsia"/>
          <w:sz w:val="24"/>
        </w:rPr>
        <w:t>)</w:t>
      </w:r>
      <w:r>
        <w:rPr>
          <w:sz w:val="24"/>
        </w:rPr>
        <w:t xml:space="preserve">  不锈钢材质，挂钩与收敛计相适应。</w:t>
      </w:r>
    </w:p>
    <w:p>
      <w:pPr>
        <w:spacing w:line="480" w:lineRule="atLeast"/>
        <w:ind w:firstLine="480" w:firstLineChars="200"/>
        <w:rPr>
          <w:sz w:val="24"/>
        </w:rPr>
      </w:pPr>
      <w:r>
        <w:rPr>
          <w:rFonts w:hint="eastAsia"/>
          <w:sz w:val="24"/>
        </w:rPr>
        <w:t>2)</w:t>
      </w:r>
      <w:r>
        <w:rPr>
          <w:sz w:val="24"/>
        </w:rPr>
        <w:t>  按监测设计断面和位置要求尽可能靠近开挖掌子面进行收敛测桩的安装埋设，同时考虑开挖爆破的影响，具体要求在开挖掌子面超过监测断面 1.0m 以内，即应停止开挖进行测点埋设，并使收敛测桩在垂直于洞室轴线的同一断面上。</w:t>
      </w:r>
    </w:p>
    <w:p>
      <w:pPr>
        <w:spacing w:line="480" w:lineRule="atLeast"/>
        <w:ind w:firstLine="480" w:firstLineChars="200"/>
        <w:rPr>
          <w:sz w:val="24"/>
        </w:rPr>
      </w:pPr>
      <w:r>
        <w:rPr>
          <w:rFonts w:hint="eastAsia"/>
          <w:sz w:val="24"/>
        </w:rPr>
        <w:t>3)</w:t>
      </w:r>
      <w:r>
        <w:rPr>
          <w:sz w:val="24"/>
        </w:rPr>
        <w:t xml:space="preserve">  清除测点埋设处的松动岩石，然后垂直洞壁(设计轮廓线)钻孔，其孔径据锚栓直径确定。为使测点能代表围岩表面变形，测点应牢固地埋设在围岩表面，其锚栓钻孔深度不</w:t>
      </w:r>
      <w:r>
        <w:rPr>
          <w:rFonts w:hint="eastAsia"/>
          <w:sz w:val="24"/>
        </w:rPr>
        <w:t>大</w:t>
      </w:r>
      <w:r>
        <w:rPr>
          <w:sz w:val="24"/>
        </w:rPr>
        <w:t>于20cm。</w:t>
      </w:r>
    </w:p>
    <w:p>
      <w:pPr>
        <w:pStyle w:val="740"/>
        <w:ind w:firstLine="425" w:firstLineChars="0"/>
        <w:rPr>
          <w:rFonts w:ascii="Times New Roman" w:hAnsi="Times New Roman"/>
          <w:szCs w:val="24"/>
        </w:rPr>
      </w:pPr>
    </w:p>
    <w:p>
      <w:pPr>
        <w:adjustRightInd w:val="0"/>
        <w:snapToGrid w:val="0"/>
        <w:spacing w:line="360" w:lineRule="auto"/>
        <w:ind w:firstLine="241" w:firstLineChars="100"/>
        <w:rPr>
          <w:b/>
          <w:kern w:val="0"/>
          <w:sz w:val="24"/>
        </w:rPr>
      </w:pPr>
      <w:r>
        <w:rPr>
          <w:rFonts w:hint="eastAsia"/>
          <w:b/>
          <w:kern w:val="0"/>
          <w:sz w:val="24"/>
        </w:rPr>
        <w:t>（3）</w:t>
      </w:r>
      <w:r>
        <w:rPr>
          <w:b/>
          <w:kern w:val="0"/>
          <w:sz w:val="24"/>
        </w:rPr>
        <w:t xml:space="preserve"> </w:t>
      </w:r>
      <w:r>
        <w:rPr>
          <w:rFonts w:hint="eastAsia"/>
          <w:b/>
          <w:kern w:val="0"/>
          <w:sz w:val="24"/>
        </w:rPr>
        <w:t>测斜管</w:t>
      </w:r>
    </w:p>
    <w:p>
      <w:pPr>
        <w:adjustRightInd w:val="0"/>
        <w:snapToGrid w:val="0"/>
        <w:spacing w:line="360" w:lineRule="auto"/>
        <w:ind w:firstLine="425"/>
        <w:rPr>
          <w:kern w:val="0"/>
          <w:sz w:val="24"/>
        </w:rPr>
      </w:pPr>
      <w:r>
        <w:rPr>
          <w:kern w:val="0"/>
          <w:sz w:val="24"/>
        </w:rPr>
        <w:t>1</w:t>
      </w:r>
      <w:r>
        <w:rPr>
          <w:rFonts w:hint="eastAsia"/>
          <w:kern w:val="0"/>
          <w:sz w:val="24"/>
        </w:rPr>
        <w:t>)</w:t>
      </w:r>
      <w:r>
        <w:rPr>
          <w:kern w:val="0"/>
          <w:sz w:val="24"/>
        </w:rPr>
        <w:t xml:space="preserve"> 连续墙内预埋的测斜管</w:t>
      </w:r>
    </w:p>
    <w:p>
      <w:pPr>
        <w:adjustRightInd w:val="0"/>
        <w:snapToGrid w:val="0"/>
        <w:spacing w:line="360" w:lineRule="auto"/>
        <w:ind w:firstLine="425"/>
        <w:rPr>
          <w:kern w:val="0"/>
          <w:sz w:val="24"/>
        </w:rPr>
      </w:pPr>
      <w:r>
        <w:rPr>
          <w:kern w:val="0"/>
          <w:sz w:val="24"/>
        </w:rPr>
        <w:t>测斜管管底高程控制在连续墙墙底高程以上0.5m。在连续墙钢筋笼安装前，把数节测斜管在平地上拼装连接，在每个管接头处须作严格的密封处理，将组装好的测斜管小心插到加工好的钢筋笼中，调整好槽口方向后用铁丝绑扎，每1m扎一道，逐节连接好，再次检查接头密封是否有损。绑扎牢固后装好底盖和孔口盖，底盖也须用粘胶带密封。吊装钢筋笼时要小心轻放。钢筋笼在就位前，要调整其位置将测斜管端口“十”字导槽方位</w:t>
      </w:r>
      <w:r>
        <w:rPr>
          <w:rFonts w:hint="eastAsia"/>
          <w:kern w:val="0"/>
          <w:sz w:val="24"/>
        </w:rPr>
        <w:t>正对</w:t>
      </w:r>
      <w:r>
        <w:rPr>
          <w:kern w:val="0"/>
          <w:sz w:val="24"/>
        </w:rPr>
        <w:t>隧洞轴线的方向。在混凝土浇筑前将测斜管内注满清水后盖上顶盖，浇筑混凝土时要有专人在现场看守。混凝土初凝后打开孔口盖，用软质水管插入孔底，用压力水冲洗测斜管内，直到翻出清水为止，并对测斜管管口作好保护。测斜管倾斜度允许偏差±0.5°；测斜管上端口导槽正对隧洞中心线允许偏差为±1°；测斜管导槽扭角允许偏差±0.2°/m，累计的允许偏差限值为±15°。测斜仪的系统精度不低于0.25mm/m，分辨率不低于0.02mm/500mm。</w:t>
      </w:r>
    </w:p>
    <w:p>
      <w:pPr>
        <w:adjustRightInd w:val="0"/>
        <w:snapToGrid w:val="0"/>
        <w:spacing w:line="360" w:lineRule="auto"/>
        <w:ind w:firstLine="425"/>
        <w:rPr>
          <w:kern w:val="0"/>
          <w:sz w:val="24"/>
        </w:rPr>
      </w:pPr>
      <w:r>
        <w:rPr>
          <w:kern w:val="0"/>
          <w:sz w:val="24"/>
        </w:rPr>
        <w:t>2) 其他部位测斜管</w:t>
      </w:r>
    </w:p>
    <w:p>
      <w:pPr>
        <w:adjustRightInd w:val="0"/>
        <w:snapToGrid w:val="0"/>
        <w:spacing w:line="360" w:lineRule="auto"/>
        <w:ind w:firstLine="425"/>
        <w:rPr>
          <w:kern w:val="0"/>
          <w:sz w:val="24"/>
        </w:rPr>
      </w:pPr>
      <w:r>
        <w:rPr>
          <w:kern w:val="0"/>
          <w:sz w:val="24"/>
        </w:rPr>
        <w:t>测斜管的埋设一般应采用岩芯钻钻孔埋设，条件许可时也可以利用原有的地质勘探孔埋设。采用钻孔方法埋设时，要求钻孔孔径110mm，钻孔铅直度偏差不应大于±1°，作简要的地质素描和记录。钻孔要求通畅，孔壁光滑。若钻孔孔口附近岩石较破碎，应考虑加钻孔护套管施工。测斜管连接接头段用土工膜包扎缠紧，以防止砂浆渗入管内。测斜管内的其中一对导槽方向应对准所测位移的方向，允许偏差为±1°</w:t>
      </w:r>
      <w:r>
        <w:rPr>
          <w:rFonts w:hint="eastAsia"/>
          <w:kern w:val="0"/>
          <w:sz w:val="24"/>
        </w:rPr>
        <w:t>。</w:t>
      </w:r>
      <w:r>
        <w:rPr>
          <w:kern w:val="0"/>
          <w:sz w:val="24"/>
        </w:rPr>
        <w:t>根据规范或设计要求进行灌浆或者回填</w:t>
      </w:r>
      <w:r>
        <w:rPr>
          <w:rFonts w:hint="eastAsia"/>
          <w:kern w:val="0"/>
          <w:sz w:val="24"/>
        </w:rPr>
        <w:t>，在</w:t>
      </w:r>
      <w:r>
        <w:rPr>
          <w:kern w:val="0"/>
          <w:sz w:val="24"/>
        </w:rPr>
        <w:t>岩石钻孔采用水泥砂浆</w:t>
      </w:r>
      <w:r>
        <w:rPr>
          <w:rFonts w:hint="eastAsia"/>
          <w:kern w:val="0"/>
          <w:sz w:val="24"/>
        </w:rPr>
        <w:t>回填</w:t>
      </w:r>
      <w:r>
        <w:rPr>
          <w:kern w:val="0"/>
          <w:sz w:val="24"/>
        </w:rPr>
        <w:t>，</w:t>
      </w:r>
      <w:r>
        <w:rPr>
          <w:rFonts w:hint="eastAsia"/>
          <w:kern w:val="0"/>
          <w:sz w:val="24"/>
        </w:rPr>
        <w:t>在</w:t>
      </w:r>
      <w:r>
        <w:rPr>
          <w:kern w:val="0"/>
          <w:sz w:val="24"/>
        </w:rPr>
        <w:t>土中钻孔采用粗砂</w:t>
      </w:r>
      <w:r>
        <w:rPr>
          <w:rFonts w:hint="eastAsia"/>
          <w:kern w:val="0"/>
          <w:sz w:val="24"/>
        </w:rPr>
        <w:t>、</w:t>
      </w:r>
      <w:r>
        <w:rPr>
          <w:kern w:val="0"/>
          <w:sz w:val="24"/>
        </w:rPr>
        <w:t>原状土或膨胀</w:t>
      </w:r>
      <w:r>
        <w:rPr>
          <w:rFonts w:hint="eastAsia"/>
          <w:kern w:val="0"/>
          <w:sz w:val="24"/>
        </w:rPr>
        <w:t>泥球回填</w:t>
      </w:r>
      <w:r>
        <w:rPr>
          <w:kern w:val="0"/>
          <w:sz w:val="24"/>
        </w:rPr>
        <w:t>。待</w:t>
      </w:r>
      <w:r>
        <w:rPr>
          <w:rFonts w:hint="eastAsia"/>
          <w:kern w:val="0"/>
          <w:sz w:val="24"/>
        </w:rPr>
        <w:t>回填材料</w:t>
      </w:r>
      <w:r>
        <w:rPr>
          <w:kern w:val="0"/>
          <w:sz w:val="24"/>
        </w:rPr>
        <w:t>回填至管顶后，采用活动测斜仪进行初始值测量，确定测斜管的初始位置；采用测扭仪进行导槽扭转角的测量，为测斜仪观测值提供必要的修正参数。测斜管倾斜度允许偏差±0.5°；测斜管导槽扭角允许偏差±0.2°/m，累计的允许偏差限值为±15°。测斜仪的系统精度不低于0.25mm/m，分辨率不低于0.02mm/500mm。</w:t>
      </w:r>
    </w:p>
    <w:p>
      <w:pPr>
        <w:adjustRightInd w:val="0"/>
        <w:snapToGrid w:val="0"/>
        <w:spacing w:line="360" w:lineRule="auto"/>
        <w:ind w:firstLine="425"/>
        <w:rPr>
          <w:kern w:val="0"/>
          <w:sz w:val="24"/>
        </w:rPr>
      </w:pPr>
      <w:r>
        <w:rPr>
          <w:rFonts w:hint="eastAsia"/>
          <w:kern w:val="0"/>
          <w:sz w:val="24"/>
        </w:rPr>
        <w:t>施工过程中测斜管管口应设临时保护措施，埋设完成后应设永久保护装置，观测时应测记管口高程。</w:t>
      </w:r>
    </w:p>
    <w:p>
      <w:pPr>
        <w:spacing w:line="480" w:lineRule="atLeast"/>
        <w:ind w:firstLine="482" w:firstLineChars="200"/>
        <w:rPr>
          <w:b/>
          <w:bCs/>
          <w:sz w:val="24"/>
        </w:rPr>
      </w:pPr>
      <w:r>
        <w:rPr>
          <w:rFonts w:hint="eastAsia"/>
          <w:b/>
          <w:bCs/>
          <w:sz w:val="24"/>
        </w:rPr>
        <w:t>（4）</w:t>
      </w:r>
      <w:r>
        <w:rPr>
          <w:b/>
          <w:bCs/>
          <w:sz w:val="24"/>
        </w:rPr>
        <w:t xml:space="preserve"> </w:t>
      </w:r>
      <w:r>
        <w:rPr>
          <w:rFonts w:hint="eastAsia"/>
          <w:b/>
          <w:bCs/>
          <w:sz w:val="24"/>
        </w:rPr>
        <w:t>测缝计</w:t>
      </w:r>
    </w:p>
    <w:p>
      <w:pPr>
        <w:spacing w:line="480" w:lineRule="atLeast"/>
        <w:ind w:firstLine="480" w:firstLineChars="200"/>
        <w:rPr>
          <w:sz w:val="24"/>
        </w:rPr>
      </w:pPr>
      <w:r>
        <w:rPr>
          <w:sz w:val="24"/>
        </w:rPr>
        <w:t>1</w:t>
      </w:r>
      <w:r>
        <w:rPr>
          <w:rFonts w:hint="eastAsia"/>
          <w:sz w:val="24"/>
        </w:rPr>
        <w:t xml:space="preserve">) </w:t>
      </w:r>
      <w:r>
        <w:rPr>
          <w:sz w:val="24"/>
        </w:rPr>
        <w:t xml:space="preserve"> 衬砌管片外弧面的单向测缝计</w:t>
      </w:r>
    </w:p>
    <w:p>
      <w:pPr>
        <w:spacing w:line="480" w:lineRule="atLeast"/>
        <w:ind w:firstLine="480" w:firstLineChars="200"/>
        <w:rPr>
          <w:sz w:val="24"/>
        </w:rPr>
      </w:pPr>
      <w:r>
        <w:rPr>
          <w:sz w:val="24"/>
        </w:rPr>
        <w:t>在预制衬砌管片时，根据测缝计安装位置在两块相邻管片预留沟槽，具体尺寸根据预安装仪器的大小、安装要求确定，并安装完成后仪器不外凸。</w:t>
      </w:r>
    </w:p>
    <w:p>
      <w:pPr>
        <w:spacing w:line="480" w:lineRule="atLeast"/>
        <w:ind w:firstLine="480" w:firstLineChars="200"/>
        <w:rPr>
          <w:sz w:val="24"/>
        </w:rPr>
      </w:pPr>
      <w:r>
        <w:rPr>
          <w:sz w:val="24"/>
        </w:rPr>
        <w:t>在管片拼装完成后安装测缝计，并采用保护盒保护好测缝计。在沟槽保护盒外表面回填混凝土，所有沟槽与回填砼结合部位在砼浇筑前应按照砼施工缝的要求进行处理，回填的混凝土应仔细振捣密实。</w:t>
      </w:r>
    </w:p>
    <w:p>
      <w:pPr>
        <w:spacing w:line="480" w:lineRule="atLeast"/>
        <w:ind w:firstLine="480" w:firstLineChars="200"/>
        <w:rPr>
          <w:sz w:val="24"/>
        </w:rPr>
      </w:pPr>
      <w:r>
        <w:rPr>
          <w:sz w:val="24"/>
        </w:rPr>
        <w:t>2</w:t>
      </w:r>
      <w:r>
        <w:rPr>
          <w:rFonts w:hint="eastAsia"/>
          <w:sz w:val="24"/>
        </w:rPr>
        <w:t xml:space="preserve">) </w:t>
      </w:r>
      <w:r>
        <w:rPr>
          <w:sz w:val="24"/>
        </w:rPr>
        <w:t xml:space="preserve"> 基岩与混凝土交界面上的测缝计</w:t>
      </w:r>
    </w:p>
    <w:p>
      <w:pPr>
        <w:spacing w:line="480" w:lineRule="atLeast"/>
        <w:ind w:firstLine="480" w:firstLineChars="200"/>
        <w:rPr>
          <w:sz w:val="24"/>
        </w:rPr>
      </w:pPr>
      <w:r>
        <w:rPr>
          <w:sz w:val="24"/>
        </w:rPr>
        <w:t>测缝计埋设在混凝土与基岩接触面时，可在基岩面上打孔埋设套筒，孔径应大于90mm，深度为50cm；当岩体有节理存在时，孔深应视节理发育程度而定，一般应大于1.0m；在孔内填入一大半膨胀水泥砂浆，将套筒或带有加长杆的套筒挤入孔中，使筒口与孔口平齐。在套筒中填上泡沫或棉纱，螺纹口涂上机油或是黄油，并旋上筒盖保护，防止水泥浆进入；在混凝土浇筑时打开套筒盖，取出堵塞物，旋上测缝计，并在坑内回填混凝土，回填的混凝土振捣密实。混凝土浇筑时仪器周围振捣应有专人负责，可采用小型振捣器或人工捣实，严禁接触仪器和钢筋振捣，以免造成仪器位移和损坏。</w:t>
      </w:r>
    </w:p>
    <w:p>
      <w:pPr>
        <w:pStyle w:val="45"/>
        <w:spacing w:line="500" w:lineRule="atLeast"/>
        <w:ind w:firstLine="482" w:firstLineChars="200"/>
        <w:rPr>
          <w:rFonts w:ascii="Times New Roman" w:hAnsi="Times New Roman"/>
          <w:sz w:val="24"/>
          <w:szCs w:val="24"/>
        </w:rPr>
      </w:pPr>
      <w:r>
        <w:rPr>
          <w:rFonts w:ascii="Times New Roman" w:hAnsi="Times New Roman"/>
          <w:b/>
          <w:bCs/>
          <w:sz w:val="24"/>
          <w:szCs w:val="24"/>
        </w:rPr>
        <w:t>（5）多点位移计</w:t>
      </w:r>
    </w:p>
    <w:p>
      <w:pPr>
        <w:pStyle w:val="45"/>
        <w:spacing w:line="500" w:lineRule="atLeast"/>
        <w:ind w:firstLine="480" w:firstLineChars="200"/>
        <w:rPr>
          <w:rFonts w:ascii="Times New Roman" w:hAnsi="Times New Roman"/>
          <w:sz w:val="24"/>
          <w:szCs w:val="24"/>
        </w:rPr>
      </w:pPr>
      <w:r>
        <w:rPr>
          <w:rFonts w:hAnsi="宋体" w:cs="宋体"/>
          <w:kern w:val="0"/>
          <w:sz w:val="24"/>
          <w:lang w:val="zh-CN"/>
        </w:rPr>
        <w:t xml:space="preserve"> 采用岩芯钻钻孔，孔径110mm，钻孔轴线应保持为直线，一般偏差不应大于±1.0°，作好地质素描，绘制钻孔柱状图。要求钻孔通畅，孔壁光滑。若孔口附近岩石较破碎，应考虑加钻孔护套管。钻孔完毕，仪器安装前，应使用压力水将钻孔冲洗干净，并保证空口岩体牢固平整。安装完毕后，将变位计电缆从保护罩的电缆孔中引出，安装保护罩。多点位移计可提前预埋，以获得施工期更完整的围岩资料。</w:t>
      </w:r>
    </w:p>
    <w:p>
      <w:pPr>
        <w:pStyle w:val="45"/>
        <w:spacing w:line="500" w:lineRule="atLeast"/>
        <w:ind w:firstLine="480" w:firstLineChars="200"/>
        <w:rPr>
          <w:rFonts w:ascii="Times New Roman" w:hAnsi="Times New Roman"/>
          <w:sz w:val="24"/>
          <w:szCs w:val="24"/>
        </w:rPr>
      </w:pPr>
    </w:p>
    <w:bookmarkEnd w:id="448"/>
    <w:bookmarkEnd w:id="449"/>
    <w:bookmarkEnd w:id="450"/>
    <w:bookmarkEnd w:id="451"/>
    <w:p>
      <w:pPr>
        <w:pStyle w:val="5"/>
        <w:snapToGrid w:val="0"/>
        <w:spacing w:before="0" w:after="120" w:afterLines="50" w:line="500" w:lineRule="atLeast"/>
        <w:jc w:val="both"/>
        <w:rPr>
          <w:szCs w:val="24"/>
        </w:rPr>
      </w:pPr>
      <w:bookmarkStart w:id="452" w:name="_Toc521577804"/>
      <w:bookmarkStart w:id="453" w:name="_Toc495906345"/>
      <w:bookmarkStart w:id="454" w:name="_Toc32074"/>
      <w:bookmarkStart w:id="455" w:name="_Toc28479"/>
      <w:bookmarkStart w:id="456" w:name="_Toc118821496"/>
      <w:r>
        <w:rPr>
          <w:szCs w:val="24"/>
        </w:rPr>
        <w:t>3.</w:t>
      </w:r>
      <w:r>
        <w:rPr>
          <w:rFonts w:hint="eastAsia"/>
          <w:szCs w:val="24"/>
        </w:rPr>
        <w:t>2</w:t>
      </w:r>
      <w:r>
        <w:rPr>
          <w:szCs w:val="24"/>
        </w:rPr>
        <w:t xml:space="preserve">.2  </w:t>
      </w:r>
      <w:bookmarkEnd w:id="452"/>
      <w:bookmarkEnd w:id="453"/>
      <w:r>
        <w:rPr>
          <w:rFonts w:hint="eastAsia"/>
          <w:szCs w:val="24"/>
        </w:rPr>
        <w:t>渗流监测仪器设备的安装埋设技术要求</w:t>
      </w:r>
      <w:bookmarkEnd w:id="454"/>
      <w:bookmarkEnd w:id="455"/>
      <w:bookmarkEnd w:id="456"/>
    </w:p>
    <w:p>
      <w:pPr>
        <w:pStyle w:val="45"/>
        <w:spacing w:line="360" w:lineRule="auto"/>
        <w:ind w:firstLine="482"/>
        <w:rPr>
          <w:rFonts w:ascii="Times New Roman" w:hAnsi="Times New Roman"/>
          <w:b/>
          <w:bCs/>
          <w:sz w:val="24"/>
          <w:szCs w:val="24"/>
        </w:rPr>
      </w:pPr>
      <w:bookmarkStart w:id="457" w:name="_Toc414615225"/>
      <w:bookmarkStart w:id="458" w:name="_Toc414615073"/>
      <w:r>
        <w:rPr>
          <w:rFonts w:ascii="Times New Roman" w:hAnsi="Times New Roman"/>
          <w:b/>
          <w:bCs/>
          <w:sz w:val="24"/>
          <w:szCs w:val="24"/>
        </w:rPr>
        <w:t>(1)  地下水位孔、测压孔</w:t>
      </w:r>
    </w:p>
    <w:p>
      <w:pPr>
        <w:adjustRightInd w:val="0"/>
        <w:snapToGrid w:val="0"/>
        <w:spacing w:line="360" w:lineRule="auto"/>
        <w:ind w:firstLine="480" w:firstLineChars="200"/>
        <w:rPr>
          <w:kern w:val="0"/>
          <w:sz w:val="24"/>
        </w:rPr>
      </w:pPr>
      <w:r>
        <w:rPr>
          <w:kern w:val="0"/>
          <w:sz w:val="24"/>
        </w:rPr>
        <w:t>1)  钻孔要求</w:t>
      </w:r>
    </w:p>
    <w:p>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 xml:space="preserve"> 地下水位观测孔应在帷幕灌浆施工完毕，并经检查合格后才能施工。</w:t>
      </w:r>
    </w:p>
    <w:p>
      <w:pPr>
        <w:adjustRightInd w:val="0"/>
        <w:snapToGrid w:val="0"/>
        <w:spacing w:line="360" w:lineRule="auto"/>
        <w:ind w:firstLine="480" w:firstLineChars="200"/>
        <w:rPr>
          <w:kern w:val="0"/>
          <w:sz w:val="24"/>
        </w:rPr>
      </w:pPr>
      <w:r>
        <w:rPr>
          <w:rFonts w:hint="eastAsia" w:ascii="宋体" w:hAnsi="宋体" w:cs="宋体"/>
          <w:kern w:val="0"/>
          <w:sz w:val="24"/>
        </w:rPr>
        <w:t>②</w:t>
      </w:r>
      <w:r>
        <w:rPr>
          <w:kern w:val="0"/>
          <w:sz w:val="24"/>
        </w:rPr>
        <w:t xml:space="preserve"> 地下水位观测孔钻孔孔位、孔深、方位角和倾角应符合设计要求，孔位偏差不得超过50mm，孔深应达到设计深度，超、欠深一般不大于100mm，孔斜偏差不大于0.02m/m。</w:t>
      </w:r>
    </w:p>
    <w:p>
      <w:pPr>
        <w:adjustRightInd w:val="0"/>
        <w:snapToGrid w:val="0"/>
        <w:spacing w:line="360" w:lineRule="auto"/>
        <w:ind w:firstLine="480" w:firstLineChars="200"/>
        <w:rPr>
          <w:kern w:val="0"/>
          <w:sz w:val="24"/>
        </w:rPr>
      </w:pPr>
      <w:r>
        <w:rPr>
          <w:rFonts w:hint="eastAsia" w:ascii="宋体" w:hAnsi="宋体" w:cs="宋体"/>
          <w:kern w:val="0"/>
          <w:sz w:val="24"/>
        </w:rPr>
        <w:t>③</w:t>
      </w:r>
      <w:r>
        <w:rPr>
          <w:kern w:val="0"/>
          <w:sz w:val="24"/>
        </w:rPr>
        <w:t xml:space="preserve"> 所有水位观测孔钻孔岩芯的获得率应达80%以上，岩芯需经素描后方可丢弃。</w:t>
      </w:r>
    </w:p>
    <w:p>
      <w:pPr>
        <w:adjustRightInd w:val="0"/>
        <w:snapToGrid w:val="0"/>
        <w:spacing w:line="360" w:lineRule="auto"/>
        <w:ind w:firstLine="480" w:firstLineChars="200"/>
        <w:rPr>
          <w:kern w:val="0"/>
          <w:sz w:val="24"/>
        </w:rPr>
      </w:pPr>
      <w:r>
        <w:rPr>
          <w:rFonts w:hint="eastAsia" w:ascii="宋体" w:hAnsi="宋体" w:cs="宋体"/>
          <w:kern w:val="0"/>
          <w:sz w:val="24"/>
        </w:rPr>
        <w:t>④</w:t>
      </w:r>
      <w:r>
        <w:rPr>
          <w:kern w:val="0"/>
          <w:sz w:val="24"/>
        </w:rPr>
        <w:t xml:space="preserve"> 水位观测孔钻孔达到设计深度后，应进行灵敏度检查。灵敏度检查的水压力为0.1MPa～0.2MPa。当漏水量极微或基本不漏水时，应及时通知监理人，以确定是否需加深或重新布置钻孔；当钻孔有涌水时，可不进行压水检查，但应测定涌水流量和涌水压力。</w:t>
      </w:r>
    </w:p>
    <w:p>
      <w:pPr>
        <w:adjustRightInd w:val="0"/>
        <w:snapToGrid w:val="0"/>
        <w:spacing w:line="360" w:lineRule="auto"/>
        <w:ind w:firstLine="480" w:firstLineChars="200"/>
        <w:rPr>
          <w:kern w:val="0"/>
          <w:sz w:val="24"/>
        </w:rPr>
      </w:pPr>
      <w:r>
        <w:rPr>
          <w:rFonts w:hint="eastAsia" w:ascii="宋体" w:hAnsi="宋体" w:cs="宋体"/>
          <w:kern w:val="0"/>
          <w:sz w:val="24"/>
        </w:rPr>
        <w:t>⑤</w:t>
      </w:r>
      <w:r>
        <w:rPr>
          <w:kern w:val="0"/>
          <w:sz w:val="24"/>
        </w:rPr>
        <w:t xml:space="preserve"> 钻孔过程中，如发现集中漏水(无回水)、掉钻、掉块、塌孔等情况时，应详细记录。当上述情况比较严重时，应通知监理人采取处理措施。</w:t>
      </w:r>
    </w:p>
    <w:p>
      <w:pPr>
        <w:adjustRightInd w:val="0"/>
        <w:snapToGrid w:val="0"/>
        <w:spacing w:line="360" w:lineRule="auto"/>
        <w:ind w:firstLine="480" w:firstLineChars="200"/>
        <w:rPr>
          <w:kern w:val="0"/>
          <w:sz w:val="24"/>
        </w:rPr>
      </w:pPr>
      <w:r>
        <w:rPr>
          <w:kern w:val="0"/>
          <w:sz w:val="24"/>
        </w:rPr>
        <w:t>2)  观测管安装及埋设要求</w:t>
      </w:r>
    </w:p>
    <w:p>
      <w:pPr>
        <w:adjustRightInd w:val="0"/>
        <w:snapToGrid w:val="0"/>
        <w:spacing w:line="360" w:lineRule="auto"/>
        <w:ind w:firstLine="480" w:firstLineChars="200"/>
        <w:rPr>
          <w:kern w:val="0"/>
          <w:sz w:val="24"/>
        </w:rPr>
      </w:pPr>
      <w:r>
        <w:rPr>
          <w:rFonts w:hint="eastAsia" w:ascii="宋体" w:hAnsi="宋体" w:cs="宋体"/>
          <w:kern w:val="0"/>
          <w:sz w:val="24"/>
        </w:rPr>
        <w:t>①</w:t>
      </w:r>
      <w:r>
        <w:rPr>
          <w:kern w:val="0"/>
          <w:sz w:val="24"/>
        </w:rPr>
        <w:t xml:space="preserve"> 在钻孔底部</w:t>
      </w:r>
      <w:r>
        <w:rPr>
          <w:rFonts w:hint="eastAsia"/>
          <w:kern w:val="0"/>
          <w:sz w:val="24"/>
        </w:rPr>
        <w:t>填入20</w:t>
      </w:r>
      <w:r>
        <w:rPr>
          <w:kern w:val="0"/>
          <w:sz w:val="24"/>
        </w:rPr>
        <w:t>cm厚的</w:t>
      </w:r>
      <w:r>
        <w:rPr>
          <w:rFonts w:hint="eastAsia"/>
          <w:kern w:val="0"/>
          <w:sz w:val="24"/>
        </w:rPr>
        <w:t>反滤料</w:t>
      </w:r>
      <w:r>
        <w:rPr>
          <w:kern w:val="0"/>
          <w:sz w:val="24"/>
        </w:rPr>
        <w:t>。</w:t>
      </w:r>
    </w:p>
    <w:p>
      <w:pPr>
        <w:adjustRightInd w:val="0"/>
        <w:snapToGrid w:val="0"/>
        <w:spacing w:line="360" w:lineRule="auto"/>
        <w:ind w:firstLine="480" w:firstLineChars="200"/>
        <w:rPr>
          <w:kern w:val="0"/>
          <w:sz w:val="24"/>
        </w:rPr>
      </w:pPr>
      <w:r>
        <w:rPr>
          <w:rFonts w:hint="eastAsia" w:ascii="宋体" w:hAnsi="宋体" w:cs="宋体"/>
          <w:kern w:val="0"/>
          <w:sz w:val="24"/>
        </w:rPr>
        <w:t>②</w:t>
      </w:r>
      <w:r>
        <w:rPr>
          <w:kern w:val="0"/>
          <w:sz w:val="24"/>
        </w:rPr>
        <w:t xml:space="preserve"> 观测管透水段可用导管材料加工，面积开孔率为10%～20%，孔眼排列均匀，内壁无毛刺，透水段外须包扎不少于2层的土工织布，管底封闭不留沉淀管段，透水段为孔深的1/2～2/3。</w:t>
      </w:r>
    </w:p>
    <w:p>
      <w:pPr>
        <w:adjustRightInd w:val="0"/>
        <w:snapToGrid w:val="0"/>
        <w:spacing w:line="360" w:lineRule="auto"/>
        <w:ind w:firstLine="480" w:firstLineChars="200"/>
        <w:rPr>
          <w:kern w:val="0"/>
          <w:sz w:val="24"/>
        </w:rPr>
      </w:pPr>
      <w:r>
        <w:rPr>
          <w:rFonts w:hint="eastAsia" w:ascii="宋体" w:hAnsi="宋体" w:cs="宋体"/>
          <w:kern w:val="0"/>
          <w:sz w:val="24"/>
        </w:rPr>
        <w:t>③</w:t>
      </w:r>
      <w:r>
        <w:rPr>
          <w:kern w:val="0"/>
          <w:sz w:val="24"/>
        </w:rPr>
        <w:t xml:space="preserve"> 因观测管太长不能整根下放时，可将其分段并采用活接头丝扣联接，丝扣处须填入生胶带止水。</w:t>
      </w:r>
    </w:p>
    <w:p>
      <w:pPr>
        <w:adjustRightInd w:val="0"/>
        <w:snapToGrid w:val="0"/>
        <w:spacing w:line="360" w:lineRule="auto"/>
        <w:ind w:firstLine="480" w:firstLineChars="200"/>
        <w:rPr>
          <w:kern w:val="0"/>
          <w:sz w:val="24"/>
        </w:rPr>
      </w:pPr>
      <w:r>
        <w:rPr>
          <w:rFonts w:hint="eastAsia" w:ascii="宋体" w:hAnsi="宋体" w:cs="宋体"/>
          <w:kern w:val="0"/>
          <w:sz w:val="24"/>
        </w:rPr>
        <w:t>④</w:t>
      </w:r>
      <w:r>
        <w:rPr>
          <w:kern w:val="0"/>
          <w:sz w:val="24"/>
        </w:rPr>
        <w:t xml:space="preserve"> 透水段先填入10mm～25mm沙砾石，再填入20cm厚的细纱。</w:t>
      </w:r>
    </w:p>
    <w:p>
      <w:pPr>
        <w:adjustRightInd w:val="0"/>
        <w:snapToGrid w:val="0"/>
        <w:spacing w:line="360" w:lineRule="auto"/>
        <w:ind w:firstLine="480" w:firstLineChars="200"/>
        <w:rPr>
          <w:kern w:val="0"/>
          <w:sz w:val="24"/>
        </w:rPr>
      </w:pPr>
      <w:r>
        <w:rPr>
          <w:rFonts w:hint="eastAsia" w:ascii="宋体" w:hAnsi="宋体" w:cs="宋体"/>
          <w:kern w:val="0"/>
          <w:sz w:val="24"/>
        </w:rPr>
        <w:t>⑤</w:t>
      </w:r>
      <w:r>
        <w:rPr>
          <w:kern w:val="0"/>
          <w:sz w:val="24"/>
        </w:rPr>
        <w:t xml:space="preserve"> 上部全灌注水泥砂浆或水泥膨胀润土浆。</w:t>
      </w:r>
    </w:p>
    <w:p>
      <w:pPr>
        <w:adjustRightInd w:val="0"/>
        <w:snapToGrid w:val="0"/>
        <w:spacing w:line="360" w:lineRule="auto"/>
        <w:ind w:firstLine="480" w:firstLineChars="200"/>
        <w:rPr>
          <w:kern w:val="0"/>
          <w:sz w:val="24"/>
        </w:rPr>
      </w:pPr>
      <w:r>
        <w:rPr>
          <w:rFonts w:hint="eastAsia" w:ascii="宋体" w:hAnsi="宋体" w:cs="宋体"/>
          <w:kern w:val="0"/>
          <w:sz w:val="24"/>
        </w:rPr>
        <w:t>⑥</w:t>
      </w:r>
      <w:r>
        <w:rPr>
          <w:kern w:val="0"/>
          <w:sz w:val="24"/>
        </w:rPr>
        <w:t xml:space="preserve"> 孔口保护装置要求结构简单、牢靠，各接头不得漏水，能防止外水内渗和人工及机械破坏，能锁闭开启自如。</w:t>
      </w:r>
    </w:p>
    <w:p>
      <w:pPr>
        <w:pStyle w:val="45"/>
        <w:spacing w:line="360" w:lineRule="auto"/>
        <w:ind w:firstLine="482" w:firstLineChars="200"/>
        <w:rPr>
          <w:rFonts w:ascii="Times New Roman" w:hAnsi="Times New Roman"/>
          <w:b/>
          <w:bCs/>
          <w:sz w:val="24"/>
          <w:szCs w:val="24"/>
        </w:rPr>
      </w:pPr>
      <w:r>
        <w:rPr>
          <w:rFonts w:ascii="Times New Roman" w:hAnsi="Times New Roman"/>
          <w:b/>
          <w:bCs/>
          <w:sz w:val="24"/>
          <w:szCs w:val="24"/>
        </w:rPr>
        <w:t>(2) 渗压计</w:t>
      </w:r>
    </w:p>
    <w:p>
      <w:pPr>
        <w:pStyle w:val="740"/>
        <w:ind w:firstLine="480"/>
        <w:rPr>
          <w:rFonts w:ascii="Times New Roman" w:hAnsi="Times New Roman" w:eastAsia="宋体"/>
          <w:szCs w:val="24"/>
        </w:rPr>
      </w:pPr>
      <w:r>
        <w:rPr>
          <w:rFonts w:ascii="Times New Roman" w:hAnsi="Times New Roman" w:eastAsia="宋体"/>
          <w:szCs w:val="24"/>
        </w:rPr>
        <w:t>1）衬砌管片外弧面的渗压计</w:t>
      </w:r>
    </w:p>
    <w:p>
      <w:pPr>
        <w:pStyle w:val="740"/>
        <w:ind w:firstLine="480"/>
        <w:rPr>
          <w:rFonts w:ascii="Times New Roman" w:hAnsi="Times New Roman" w:eastAsia="宋体"/>
          <w:szCs w:val="24"/>
        </w:rPr>
      </w:pPr>
      <w:r>
        <w:rPr>
          <w:rFonts w:hint="eastAsia"/>
        </w:rPr>
        <w:t>根据设计监测断面位置，确定拟安装管片并编号</w:t>
      </w:r>
      <w:r>
        <w:rPr>
          <w:rFonts w:hint="eastAsia" w:eastAsia="宋体"/>
        </w:rPr>
        <w:t>。</w:t>
      </w:r>
      <w:r>
        <w:rPr>
          <w:rFonts w:ascii="Times New Roman" w:hAnsi="Times New Roman" w:eastAsia="宋体"/>
          <w:szCs w:val="24"/>
        </w:rPr>
        <w:t>在预制管片时，在预制衬砌管片的时候预埋钢套筒，用于衬砌管片拼接完成后安装渗压计。</w:t>
      </w:r>
    </w:p>
    <w:p>
      <w:pPr>
        <w:pStyle w:val="740"/>
        <w:ind w:firstLine="480"/>
        <w:rPr>
          <w:rFonts w:ascii="Times New Roman" w:hAnsi="Times New Roman" w:eastAsia="宋体"/>
          <w:szCs w:val="24"/>
        </w:rPr>
      </w:pPr>
      <w:r>
        <w:rPr>
          <w:rFonts w:ascii="Times New Roman" w:hAnsi="Times New Roman" w:eastAsia="宋体"/>
          <w:szCs w:val="24"/>
        </w:rPr>
        <w:t>在管片预制前根据渗压计尺寸制作好渗压计安装部件，部件包括内牙套、外牙套及蜂窝透水顶管。内牙套用于套装渗压计；外牙套两端应设有两道止水板，增大管片外侧渗水渗径；蜂窝透水顶管预留小孔达到透水功能。渗压计和安装部件在满足设计要求的的情况下应尽量选取小尺寸的仪器设备。</w:t>
      </w:r>
    </w:p>
    <w:p>
      <w:pPr>
        <w:pStyle w:val="740"/>
        <w:ind w:firstLine="480"/>
        <w:rPr>
          <w:rFonts w:ascii="Times New Roman" w:hAnsi="Times New Roman" w:eastAsia="宋体"/>
          <w:szCs w:val="24"/>
        </w:rPr>
      </w:pPr>
      <w:r>
        <w:rPr>
          <w:rFonts w:ascii="Times New Roman" w:hAnsi="Times New Roman" w:eastAsia="宋体"/>
          <w:szCs w:val="24"/>
        </w:rPr>
        <w:t>在管片预制时将带有止水板的外牙套安装在管片混凝土中，其长度与管片厚度相同，使管片形成内外通道，管片外弧面出口处用薄塑料片临时封盖。</w:t>
      </w:r>
    </w:p>
    <w:p>
      <w:pPr>
        <w:pStyle w:val="740"/>
        <w:ind w:firstLine="480"/>
        <w:rPr>
          <w:rFonts w:ascii="Times New Roman" w:hAnsi="Times New Roman" w:eastAsia="宋体"/>
          <w:szCs w:val="24"/>
        </w:rPr>
      </w:pPr>
      <w:r>
        <w:rPr>
          <w:rFonts w:ascii="Times New Roman" w:hAnsi="Times New Roman" w:eastAsia="宋体"/>
          <w:szCs w:val="24"/>
        </w:rPr>
        <w:t xml:space="preserve">将仪器测头放在清水中浸泡2小时以上，使其充分饱和，排除透水石中的气泡。  </w:t>
      </w:r>
    </w:p>
    <w:p>
      <w:pPr>
        <w:pStyle w:val="740"/>
        <w:ind w:firstLine="480"/>
        <w:rPr>
          <w:rFonts w:ascii="Times New Roman" w:hAnsi="Times New Roman" w:eastAsia="宋体"/>
          <w:szCs w:val="24"/>
        </w:rPr>
      </w:pPr>
      <w:r>
        <w:rPr>
          <w:rFonts w:ascii="Times New Roman" w:hAnsi="Times New Roman" w:eastAsia="宋体"/>
          <w:szCs w:val="24"/>
        </w:rPr>
        <w:t>在管片拼接就位而未进入墩尾油脂腔内时， 将已接好传感器及透水顶管的内牙套旋入预埋好的外牙套中，使透水顶管的顶部略低于管片外弧面。当管片脱离出最后一道盾尾刷后，旋转内牙套，使透水顶管刺破临时封盖的薄塑料片。继续旋转内牙套，使渗压计进入到距管片环外表面20 cm的外部地层中，确保传感器安全且能正常工作。</w:t>
      </w:r>
    </w:p>
    <w:p>
      <w:pPr>
        <w:pStyle w:val="740"/>
        <w:ind w:firstLine="480"/>
        <w:rPr>
          <w:rFonts w:ascii="Times New Roman" w:hAnsi="Times New Roman" w:eastAsia="宋体"/>
          <w:szCs w:val="24"/>
        </w:rPr>
      </w:pPr>
      <w:r>
        <w:rPr>
          <w:rFonts w:ascii="Times New Roman" w:hAnsi="Times New Roman" w:eastAsia="宋体"/>
          <w:szCs w:val="24"/>
        </w:rPr>
        <w:t>渗压计安装完成后对外牙套采用预制管片同匹配的混凝土进行回填，应仔细振捣密实并做好止水措施，防止管片外侧水进入盾构管片内。</w:t>
      </w:r>
    </w:p>
    <w:p>
      <w:pPr>
        <w:adjustRightInd w:val="0"/>
        <w:snapToGrid w:val="0"/>
        <w:spacing w:line="360" w:lineRule="auto"/>
        <w:ind w:firstLine="480" w:firstLineChars="200"/>
        <w:rPr>
          <w:kern w:val="0"/>
          <w:sz w:val="24"/>
        </w:rPr>
      </w:pPr>
      <w:r>
        <w:rPr>
          <w:kern w:val="0"/>
          <w:sz w:val="24"/>
        </w:rPr>
        <w:t>2）其他部位的渗压计</w:t>
      </w:r>
    </w:p>
    <w:p>
      <w:pPr>
        <w:adjustRightInd w:val="0"/>
        <w:snapToGrid w:val="0"/>
        <w:spacing w:line="360" w:lineRule="auto"/>
        <w:ind w:firstLine="480" w:firstLineChars="200"/>
        <w:rPr>
          <w:kern w:val="0"/>
          <w:sz w:val="24"/>
        </w:rPr>
      </w:pPr>
      <w:r>
        <w:rPr>
          <w:kern w:val="0"/>
          <w:sz w:val="24"/>
        </w:rPr>
        <w:t>取下仪器端部的透水面，在钢膜片上涂一层黄油或凡士林以防生锈；安装前需将仪器在水中浸泡2小时以上，使其达到饱和状态，在测头上包上装有干净的饱和细沙的沙袋，使仪器进水口通畅，并防止水泥浆进入渗压计内部；根据现场情况连接好电缆；将包有沙袋的仪器埋入预先完成的</w:t>
      </w:r>
      <w:r>
        <w:rPr>
          <w:rFonts w:hint="eastAsia"/>
          <w:kern w:val="0"/>
          <w:sz w:val="24"/>
        </w:rPr>
        <w:t>测压管</w:t>
      </w:r>
      <w:r>
        <w:rPr>
          <w:kern w:val="0"/>
          <w:sz w:val="24"/>
        </w:rPr>
        <w:t>内(或界面上)，并按照规范或设计要求回填钻孔。</w:t>
      </w:r>
    </w:p>
    <w:p>
      <w:pPr>
        <w:adjustRightInd w:val="0"/>
        <w:snapToGrid w:val="0"/>
        <w:spacing w:line="500" w:lineRule="atLeast"/>
        <w:ind w:firstLine="480" w:firstLineChars="200"/>
        <w:rPr>
          <w:sz w:val="24"/>
        </w:rPr>
      </w:pPr>
    </w:p>
    <w:bookmarkEnd w:id="457"/>
    <w:bookmarkEnd w:id="458"/>
    <w:p>
      <w:pPr>
        <w:pStyle w:val="5"/>
        <w:spacing w:before="0" w:after="0" w:line="500" w:lineRule="atLeast"/>
        <w:jc w:val="both"/>
        <w:rPr>
          <w:szCs w:val="24"/>
        </w:rPr>
      </w:pPr>
      <w:bookmarkStart w:id="459" w:name="_Toc521577806"/>
      <w:bookmarkStart w:id="460" w:name="_Toc20305"/>
      <w:bookmarkStart w:id="461" w:name="_Toc16667"/>
      <w:bookmarkStart w:id="462" w:name="_Toc118821497"/>
      <w:r>
        <w:rPr>
          <w:szCs w:val="24"/>
        </w:rPr>
        <w:t>3.</w:t>
      </w:r>
      <w:r>
        <w:rPr>
          <w:rFonts w:hint="eastAsia"/>
          <w:szCs w:val="24"/>
        </w:rPr>
        <w:t>2</w:t>
      </w:r>
      <w:r>
        <w:rPr>
          <w:szCs w:val="24"/>
        </w:rPr>
        <w:t xml:space="preserve">.3  </w:t>
      </w:r>
      <w:bookmarkEnd w:id="459"/>
      <w:r>
        <w:rPr>
          <w:rFonts w:hint="eastAsia"/>
          <w:szCs w:val="24"/>
        </w:rPr>
        <w:t>应力监测仪器设备的安装埋设技术要求</w:t>
      </w:r>
      <w:bookmarkEnd w:id="460"/>
      <w:bookmarkEnd w:id="461"/>
      <w:bookmarkEnd w:id="462"/>
    </w:p>
    <w:p>
      <w:pPr>
        <w:adjustRightInd w:val="0"/>
        <w:snapToGrid w:val="0"/>
        <w:spacing w:line="360" w:lineRule="auto"/>
        <w:ind w:firstLine="482" w:firstLineChars="200"/>
        <w:rPr>
          <w:b/>
          <w:kern w:val="0"/>
          <w:sz w:val="24"/>
        </w:rPr>
      </w:pPr>
      <w:r>
        <w:rPr>
          <w:b/>
          <w:kern w:val="0"/>
          <w:sz w:val="24"/>
        </w:rPr>
        <w:t>（1）钢筋计</w:t>
      </w:r>
    </w:p>
    <w:p>
      <w:pPr>
        <w:adjustRightInd w:val="0"/>
        <w:snapToGrid w:val="0"/>
        <w:spacing w:line="360" w:lineRule="auto"/>
        <w:ind w:firstLine="480" w:firstLineChars="200"/>
        <w:rPr>
          <w:kern w:val="0"/>
          <w:sz w:val="24"/>
        </w:rPr>
      </w:pPr>
      <w:r>
        <w:rPr>
          <w:rFonts w:hint="eastAsia"/>
          <w:kern w:val="0"/>
          <w:sz w:val="24"/>
        </w:rPr>
        <w:t>1）盾构衬砌管片内钢筋计</w:t>
      </w:r>
    </w:p>
    <w:p>
      <w:pPr>
        <w:adjustRightInd w:val="0"/>
        <w:snapToGrid w:val="0"/>
        <w:spacing w:line="360" w:lineRule="auto"/>
        <w:ind w:firstLine="480" w:firstLineChars="200"/>
        <w:rPr>
          <w:sz w:val="24"/>
        </w:rPr>
      </w:pPr>
      <w:r>
        <w:rPr>
          <w:rFonts w:hint="eastAsia"/>
          <w:sz w:val="24"/>
        </w:rPr>
        <w:t>根据设计监测断面位置，确定拟安装管片并编号。</w:t>
      </w:r>
      <w:r>
        <w:rPr>
          <w:sz w:val="24"/>
        </w:rPr>
        <w:t>在</w:t>
      </w:r>
      <w:r>
        <w:rPr>
          <w:rFonts w:hint="eastAsia"/>
          <w:sz w:val="24"/>
        </w:rPr>
        <w:t>管片</w:t>
      </w:r>
      <w:r>
        <w:rPr>
          <w:sz w:val="24"/>
        </w:rPr>
        <w:t>混凝土浇筑前，将钢筋计焊接于管片中部设计指定钢筋的环向主筋上</w:t>
      </w:r>
      <w:r>
        <w:rPr>
          <w:rFonts w:hint="eastAsia"/>
          <w:sz w:val="24"/>
        </w:rPr>
        <w:t>，</w:t>
      </w:r>
      <w:r>
        <w:rPr>
          <w:sz w:val="24"/>
        </w:rPr>
        <w:t>钢筋计应与钢筋保持在同一轴线上。</w:t>
      </w:r>
      <w:r>
        <w:rPr>
          <w:rFonts w:hint="eastAsia"/>
          <w:sz w:val="24"/>
        </w:rPr>
        <w:t xml:space="preserve"> </w:t>
      </w:r>
    </w:p>
    <w:p>
      <w:pPr>
        <w:adjustRightInd w:val="0"/>
        <w:snapToGrid w:val="0"/>
        <w:spacing w:line="360" w:lineRule="auto"/>
        <w:ind w:firstLine="480" w:firstLineChars="200"/>
        <w:rPr>
          <w:sz w:val="24"/>
        </w:rPr>
      </w:pPr>
      <w:r>
        <w:rPr>
          <w:sz w:val="24"/>
        </w:rPr>
        <w:t>钢筋计的焊接采用对焊、坡口焊或熔槽焊，焊接时及焊接后，应在仪器部位浇水冷却，使仪器温度不超过60°C，但不得在焊缝处浇水。</w:t>
      </w:r>
    </w:p>
    <w:p>
      <w:pPr>
        <w:adjustRightInd w:val="0"/>
        <w:snapToGrid w:val="0"/>
        <w:spacing w:line="360" w:lineRule="auto"/>
        <w:ind w:firstLine="480" w:firstLineChars="200"/>
        <w:rPr>
          <w:sz w:val="24"/>
        </w:rPr>
      </w:pPr>
      <w:r>
        <w:rPr>
          <w:rFonts w:hint="eastAsia"/>
          <w:sz w:val="24"/>
        </w:rPr>
        <w:t>应在钢筋笼内设置线缆保护措施，确保管片浇筑不会破坏线缆</w:t>
      </w:r>
      <w:r>
        <w:rPr>
          <w:sz w:val="24"/>
        </w:rPr>
        <w:t>。</w:t>
      </w:r>
    </w:p>
    <w:p>
      <w:pPr>
        <w:pStyle w:val="740"/>
        <w:ind w:firstLine="480"/>
        <w:rPr>
          <w:rFonts w:ascii="Times New Roman" w:hAnsi="Times New Roman" w:eastAsia="宋体"/>
          <w:szCs w:val="24"/>
        </w:rPr>
      </w:pPr>
      <w:r>
        <w:rPr>
          <w:rFonts w:ascii="Times New Roman" w:hAnsi="Times New Roman" w:eastAsia="宋体"/>
          <w:szCs w:val="24"/>
        </w:rPr>
        <w:t>2）其他部位</w:t>
      </w:r>
      <w:r>
        <w:rPr>
          <w:rFonts w:hint="eastAsia" w:ascii="Times New Roman" w:hAnsi="Times New Roman" w:eastAsia="宋体"/>
          <w:szCs w:val="24"/>
        </w:rPr>
        <w:t>钢筋</w:t>
      </w:r>
      <w:r>
        <w:rPr>
          <w:rFonts w:ascii="Times New Roman" w:hAnsi="Times New Roman" w:eastAsia="宋体"/>
          <w:szCs w:val="24"/>
        </w:rPr>
        <w:t>计</w:t>
      </w:r>
    </w:p>
    <w:p>
      <w:pPr>
        <w:adjustRightInd w:val="0"/>
        <w:snapToGrid w:val="0"/>
        <w:spacing w:line="360" w:lineRule="auto"/>
        <w:ind w:firstLine="480" w:firstLineChars="200"/>
        <w:rPr>
          <w:kern w:val="0"/>
          <w:sz w:val="24"/>
        </w:rPr>
      </w:pPr>
      <w:r>
        <w:rPr>
          <w:kern w:val="0"/>
          <w:sz w:val="24"/>
        </w:rPr>
        <w:t>钢筋计应尽量焊接在同一直径的受力钢筋并保持在同一轴线上，受力钢筋的绑扎接头应距仪器1.5m以上。</w:t>
      </w:r>
    </w:p>
    <w:p>
      <w:pPr>
        <w:adjustRightInd w:val="0"/>
        <w:snapToGrid w:val="0"/>
        <w:spacing w:line="360" w:lineRule="auto"/>
        <w:ind w:firstLine="480" w:firstLineChars="200"/>
        <w:rPr>
          <w:kern w:val="0"/>
          <w:sz w:val="24"/>
        </w:rPr>
      </w:pPr>
      <w:r>
        <w:rPr>
          <w:kern w:val="0"/>
          <w:sz w:val="24"/>
        </w:rPr>
        <w:t>钢筋计的焊接采用对焊、坡口焊或熔槽焊，焊接时及焊接后，应在仪器部位浇水冷却，使仪器温度不超过60°C，但不得在焊缝处浇水。</w:t>
      </w:r>
    </w:p>
    <w:p>
      <w:pPr>
        <w:adjustRightInd w:val="0"/>
        <w:snapToGrid w:val="0"/>
        <w:spacing w:line="360" w:lineRule="auto"/>
        <w:ind w:firstLine="480" w:firstLineChars="200"/>
        <w:rPr>
          <w:kern w:val="0"/>
          <w:sz w:val="24"/>
        </w:rPr>
      </w:pPr>
      <w:r>
        <w:rPr>
          <w:kern w:val="0"/>
          <w:sz w:val="24"/>
        </w:rPr>
        <w:t>混凝土浇筑前后，应制定切实可行的措施，保护好仪器和电缆。</w:t>
      </w:r>
    </w:p>
    <w:p>
      <w:pPr>
        <w:adjustRightInd w:val="0"/>
        <w:snapToGrid w:val="0"/>
        <w:spacing w:line="360" w:lineRule="auto"/>
        <w:ind w:firstLine="482" w:firstLineChars="200"/>
        <w:rPr>
          <w:b/>
          <w:kern w:val="0"/>
          <w:sz w:val="24"/>
        </w:rPr>
      </w:pPr>
      <w:r>
        <w:rPr>
          <w:b/>
          <w:kern w:val="0"/>
          <w:sz w:val="24"/>
        </w:rPr>
        <w:t>（2）螺栓应力计</w:t>
      </w:r>
    </w:p>
    <w:p>
      <w:pPr>
        <w:pStyle w:val="740"/>
        <w:ind w:firstLine="480"/>
        <w:rPr>
          <w:rFonts w:eastAsia="宋体"/>
        </w:rPr>
      </w:pPr>
      <w:r>
        <w:rPr>
          <w:rFonts w:hint="eastAsia" w:ascii="Times New Roman" w:hAnsi="Times New Roman" w:eastAsia="宋体"/>
          <w:szCs w:val="24"/>
        </w:rPr>
        <w:t>仪器安装前，根据螺栓应力计尺寸将螺栓加工到适宜长度，订制配套的球面垫圈和垫板，将螺栓应力计安装于螺栓螺头一端，每次预紧螺栓</w:t>
      </w:r>
      <w:r>
        <w:rPr>
          <w:rFonts w:hint="eastAsia"/>
        </w:rPr>
        <w:t>时都应对测力计进行读数并计算当前荷载，直至到达预期的预紧力</w:t>
      </w:r>
      <w:r>
        <w:rPr>
          <w:rFonts w:hint="eastAsia" w:eastAsia="宋体"/>
        </w:rPr>
        <w:t>。</w:t>
      </w:r>
    </w:p>
    <w:p>
      <w:pPr>
        <w:ind w:firstLine="482"/>
        <w:rPr>
          <w:b/>
          <w:kern w:val="0"/>
          <w:sz w:val="24"/>
        </w:rPr>
      </w:pPr>
      <w:r>
        <w:rPr>
          <w:b/>
          <w:kern w:val="0"/>
          <w:sz w:val="24"/>
        </w:rPr>
        <w:t>（3）锚杆应力计</w:t>
      </w:r>
    </w:p>
    <w:p>
      <w:pPr>
        <w:spacing w:line="480" w:lineRule="atLeast"/>
        <w:ind w:firstLine="480" w:firstLineChars="200"/>
        <w:rPr>
          <w:sz w:val="24"/>
        </w:rPr>
      </w:pPr>
      <w:r>
        <w:rPr>
          <w:rFonts w:hint="eastAsia"/>
          <w:sz w:val="24"/>
        </w:rPr>
        <w:t>①</w:t>
      </w:r>
      <w:r>
        <w:rPr>
          <w:sz w:val="24"/>
        </w:rPr>
        <w:t xml:space="preserve"> 按照设计要求造孔。钻孔直径应大于锚杆应力计最大直径。钻孔方位应符合设计要求，终孔中心误差应小于钻孔半径。钻孔应冲洗干净，并严防孔壁沾油污。</w:t>
      </w:r>
    </w:p>
    <w:p>
      <w:pPr>
        <w:spacing w:line="480" w:lineRule="atLeast"/>
        <w:ind w:firstLine="480" w:firstLineChars="200"/>
        <w:rPr>
          <w:sz w:val="24"/>
        </w:rPr>
      </w:pPr>
      <w:r>
        <w:rPr>
          <w:rFonts w:hint="eastAsia"/>
          <w:sz w:val="24"/>
        </w:rPr>
        <w:t>②</w:t>
      </w:r>
      <w:r>
        <w:rPr>
          <w:sz w:val="24"/>
        </w:rPr>
        <w:t xml:space="preserve"> 应根据观测断面处支护结构设计所采用的锚杆直径选用相同规格的锚杆应力计。无相同规格的仪器时，也可选用最接近于锚杆直径规格的仪器，但相差过大者不能使用(允许相差一个规格等级)。</w:t>
      </w:r>
    </w:p>
    <w:p>
      <w:pPr>
        <w:spacing w:line="480" w:lineRule="atLeast"/>
        <w:ind w:firstLine="480" w:firstLineChars="200"/>
        <w:rPr>
          <w:sz w:val="24"/>
        </w:rPr>
      </w:pPr>
      <w:r>
        <w:rPr>
          <w:rFonts w:hint="eastAsia"/>
          <w:sz w:val="24"/>
        </w:rPr>
        <w:t>③</w:t>
      </w:r>
      <w:r>
        <w:rPr>
          <w:sz w:val="24"/>
        </w:rPr>
        <w:t xml:space="preserve"> 根据设计图中给定的尺寸将锚杆截断，去掉多余部分后，将所配的锚杆应力计与锚杆焊接。锚杆应力计与锚杆焊接可在钢筋加工厂预先焊好，也可在施工现场焊接，其方法采用对焊、坡口焊或熔槽焊，轴心必须对正重合。锚杆应力计与锚杆焊接前要做好钢筋计和锚杆的除锈清洁工作，以保证和混凝土的结合良好。</w:t>
      </w:r>
      <w:r>
        <w:rPr>
          <w:kern w:val="0"/>
          <w:sz w:val="24"/>
        </w:rPr>
        <w:t>焊接时及焊接后，应在仪器部位浇水冷却，使仪器温度不超过60°C，但不得在焊缝处浇水。</w:t>
      </w:r>
    </w:p>
    <w:p>
      <w:pPr>
        <w:spacing w:line="480" w:lineRule="atLeast"/>
        <w:ind w:firstLine="480" w:firstLineChars="200"/>
        <w:rPr>
          <w:sz w:val="24"/>
        </w:rPr>
      </w:pPr>
      <w:r>
        <w:rPr>
          <w:rFonts w:hint="eastAsia"/>
          <w:sz w:val="24"/>
        </w:rPr>
        <w:t>④</w:t>
      </w:r>
      <w:r>
        <w:rPr>
          <w:sz w:val="24"/>
        </w:rPr>
        <w:t xml:space="preserve"> 将焊接组装好的锚杆，按一般锚杆支护的施工程序进行人工插入和灌浆机注浆。注浆必须饱满，待水泥砂浆固化并达到足够的强度后，测取初始值。</w:t>
      </w:r>
    </w:p>
    <w:p>
      <w:pPr>
        <w:pStyle w:val="740"/>
        <w:ind w:firstLine="480"/>
        <w:rPr>
          <w:rFonts w:eastAsia="宋体"/>
        </w:rPr>
      </w:pPr>
    </w:p>
    <w:p>
      <w:pPr>
        <w:adjustRightInd w:val="0"/>
        <w:snapToGrid w:val="0"/>
        <w:spacing w:line="360" w:lineRule="auto"/>
        <w:ind w:firstLine="482" w:firstLineChars="200"/>
        <w:rPr>
          <w:b/>
          <w:kern w:val="0"/>
          <w:sz w:val="24"/>
        </w:rPr>
      </w:pPr>
      <w:r>
        <w:rPr>
          <w:b/>
          <w:kern w:val="0"/>
          <w:sz w:val="24"/>
        </w:rPr>
        <w:t>（4）钢板应力计</w:t>
      </w:r>
    </w:p>
    <w:p>
      <w:pPr>
        <w:pStyle w:val="740"/>
        <w:ind w:firstLine="480"/>
        <w:rPr>
          <w:rFonts w:ascii="宋体" w:hAnsi="宋体" w:eastAsia="宋体" w:cs="宋体"/>
          <w:highlight w:val="none"/>
        </w:rPr>
      </w:pPr>
      <w:r>
        <w:rPr>
          <w:rFonts w:hint="eastAsia" w:ascii="宋体" w:hAnsi="宋体" w:eastAsia="宋体" w:cs="宋体"/>
          <w:highlight w:val="none"/>
        </w:rPr>
        <w:t>对钢件表面进行打磨、除锈、除油渍、清洁及无腐蚀处理，标出应变计安装的准确位置。钢板计的夹具与钢板焊接时应采用模具定位，夹具焊接后，应冷却至常温后安装钢板计。钢板计表面应设保护盖，线缆沿钢管底部引出，并做好保护措施避免混凝土施工对线缆造成破坏。</w:t>
      </w:r>
    </w:p>
    <w:p>
      <w:pPr>
        <w:spacing w:line="480" w:lineRule="atLeast"/>
        <w:ind w:firstLine="480" w:firstLineChars="200"/>
        <w:rPr>
          <w:sz w:val="24"/>
        </w:rPr>
      </w:pPr>
    </w:p>
    <w:p>
      <w:pPr>
        <w:adjustRightInd w:val="0"/>
        <w:snapToGrid w:val="0"/>
        <w:spacing w:line="360" w:lineRule="auto"/>
        <w:ind w:firstLine="482" w:firstLineChars="200"/>
        <w:rPr>
          <w:b/>
          <w:kern w:val="0"/>
          <w:sz w:val="24"/>
        </w:rPr>
      </w:pPr>
      <w:r>
        <w:rPr>
          <w:rFonts w:hint="eastAsia"/>
          <w:b/>
          <w:kern w:val="0"/>
          <w:sz w:val="24"/>
        </w:rPr>
        <w:t>（</w:t>
      </w:r>
      <w:r>
        <w:rPr>
          <w:b/>
          <w:kern w:val="0"/>
          <w:sz w:val="24"/>
        </w:rPr>
        <w:t>5</w:t>
      </w:r>
      <w:r>
        <w:rPr>
          <w:rFonts w:hint="eastAsia"/>
          <w:b/>
          <w:kern w:val="0"/>
          <w:sz w:val="24"/>
        </w:rPr>
        <w:t>）</w:t>
      </w:r>
      <w:r>
        <w:rPr>
          <w:b/>
          <w:kern w:val="0"/>
          <w:sz w:val="24"/>
        </w:rPr>
        <w:t>锚索测力计</w:t>
      </w:r>
    </w:p>
    <w:p>
      <w:pPr>
        <w:adjustRightInd w:val="0"/>
        <w:snapToGrid w:val="0"/>
        <w:spacing w:line="360" w:lineRule="auto"/>
        <w:ind w:firstLine="480" w:firstLineChars="200"/>
        <w:rPr>
          <w:kern w:val="0"/>
          <w:sz w:val="24"/>
        </w:rPr>
      </w:pPr>
      <w:r>
        <w:rPr>
          <w:kern w:val="0"/>
          <w:sz w:val="24"/>
        </w:rPr>
        <w:t>锚索测力计安装在钢绞线靠近端头的位置，准备好安装锚具和张拉机具，并对测力计的位置进行校验</w:t>
      </w:r>
      <w:r>
        <w:rPr>
          <w:rFonts w:hint="eastAsia"/>
          <w:kern w:val="0"/>
          <w:sz w:val="24"/>
        </w:rPr>
        <w:t>，</w:t>
      </w:r>
      <w:r>
        <w:rPr>
          <w:kern w:val="0"/>
          <w:sz w:val="24"/>
        </w:rPr>
        <w:t>校验合格后进行预紧。测力计安装就位，加荷张拉前，准确测量其初始值和环境温度，连续测三次，当三次读数的最大值与最小值之差小于1%F.S时，取其平均值作为观测的基准值。基准值确定后，按设计技术要求分级加荷张拉，逐级进行张拉观测:  每级荷载测读一次，对最后一级荷载进行稳定监测。每5min测读一次</w:t>
      </w:r>
      <w:r>
        <w:rPr>
          <w:rFonts w:hint="eastAsia"/>
          <w:kern w:val="0"/>
          <w:sz w:val="24"/>
        </w:rPr>
        <w:t>，</w:t>
      </w:r>
      <w:r>
        <w:rPr>
          <w:kern w:val="0"/>
          <w:sz w:val="24"/>
        </w:rPr>
        <w:t>连续测读三次，最大值与最小值之差小于1%F.S时则认为已处于稳定状态。张拉荷载稳定后，及时测读锁定荷载</w:t>
      </w:r>
      <w:r>
        <w:rPr>
          <w:rFonts w:hint="eastAsia"/>
          <w:kern w:val="0"/>
          <w:sz w:val="24"/>
        </w:rPr>
        <w:t>；</w:t>
      </w:r>
      <w:r>
        <w:rPr>
          <w:kern w:val="0"/>
          <w:sz w:val="24"/>
        </w:rPr>
        <w:t>张拉</w:t>
      </w:r>
      <w:r>
        <w:rPr>
          <w:rFonts w:hint="eastAsia"/>
          <w:kern w:val="0"/>
          <w:sz w:val="24"/>
        </w:rPr>
        <w:t>结</w:t>
      </w:r>
      <w:r>
        <w:rPr>
          <w:kern w:val="0"/>
          <w:sz w:val="24"/>
        </w:rPr>
        <w:t>束后根据</w:t>
      </w:r>
      <w:r>
        <w:rPr>
          <w:rFonts w:hint="eastAsia"/>
          <w:kern w:val="0"/>
          <w:sz w:val="24"/>
        </w:rPr>
        <w:t>荷载</w:t>
      </w:r>
      <w:r>
        <w:rPr>
          <w:kern w:val="0"/>
          <w:sz w:val="24"/>
        </w:rPr>
        <w:t>变化速率确定观测时间隔，最后进行锁定后的稳定监测。对锚索调力计及其电缆进行保护。</w:t>
      </w:r>
    </w:p>
    <w:p>
      <w:pPr>
        <w:spacing w:line="360" w:lineRule="auto"/>
        <w:ind w:firstLine="511" w:firstLineChars="213"/>
        <w:rPr>
          <w:rFonts w:ascii="宋体"/>
          <w:sz w:val="24"/>
        </w:rPr>
      </w:pPr>
    </w:p>
    <w:p>
      <w:pPr>
        <w:pStyle w:val="5"/>
        <w:snapToGrid w:val="0"/>
        <w:spacing w:before="0" w:after="0" w:line="460" w:lineRule="atLeast"/>
        <w:jc w:val="both"/>
        <w:rPr>
          <w:szCs w:val="24"/>
        </w:rPr>
      </w:pPr>
      <w:bookmarkStart w:id="463" w:name="_Toc2219"/>
      <w:bookmarkStart w:id="464" w:name="_Toc15839"/>
      <w:bookmarkStart w:id="465" w:name="_Toc118821498"/>
      <w:r>
        <w:rPr>
          <w:rFonts w:hint="eastAsia"/>
          <w:szCs w:val="24"/>
        </w:rPr>
        <w:t xml:space="preserve">3.2.4 </w:t>
      </w:r>
      <w:r>
        <w:rPr>
          <w:szCs w:val="24"/>
        </w:rPr>
        <w:t xml:space="preserve"> </w:t>
      </w:r>
      <w:r>
        <w:rPr>
          <w:rFonts w:hint="eastAsia"/>
          <w:szCs w:val="24"/>
        </w:rPr>
        <w:t>水位监测仪器设备的安装埋设技术要求</w:t>
      </w:r>
      <w:bookmarkEnd w:id="463"/>
      <w:bookmarkEnd w:id="464"/>
      <w:bookmarkEnd w:id="465"/>
    </w:p>
    <w:p>
      <w:pPr>
        <w:spacing w:line="480" w:lineRule="atLeast"/>
        <w:ind w:firstLine="480" w:firstLineChars="200"/>
        <w:rPr>
          <w:sz w:val="24"/>
        </w:rPr>
      </w:pPr>
      <w:r>
        <w:rPr>
          <w:sz w:val="24"/>
        </w:rPr>
        <w:t>(1)  水尺</w:t>
      </w:r>
      <w:r>
        <w:rPr>
          <w:rFonts w:hint="eastAsia"/>
          <w:sz w:val="24"/>
        </w:rPr>
        <w:t>根据布置位置及设计要求选择相应的形式</w:t>
      </w:r>
      <w:r>
        <w:rPr>
          <w:sz w:val="24"/>
        </w:rPr>
        <w:t>，</w:t>
      </w:r>
      <w:r>
        <w:rPr>
          <w:rFonts w:hint="eastAsia"/>
          <w:sz w:val="24"/>
        </w:rPr>
        <w:t>刻度</w:t>
      </w:r>
      <w:r>
        <w:rPr>
          <w:sz w:val="24"/>
        </w:rPr>
        <w:t>用红白相间</w:t>
      </w:r>
      <w:r>
        <w:rPr>
          <w:rFonts w:hint="eastAsia"/>
          <w:sz w:val="24"/>
        </w:rPr>
        <w:t>颜色标示，并利用旁边的高程校测标点绘制相应的高程数字</w:t>
      </w:r>
      <w:r>
        <w:rPr>
          <w:sz w:val="24"/>
        </w:rPr>
        <w:t>。</w:t>
      </w:r>
    </w:p>
    <w:p>
      <w:pPr>
        <w:spacing w:line="480" w:lineRule="atLeast"/>
        <w:ind w:firstLine="480" w:firstLineChars="200"/>
        <w:rPr>
          <w:sz w:val="24"/>
        </w:rPr>
      </w:pPr>
      <w:r>
        <w:rPr>
          <w:sz w:val="24"/>
        </w:rPr>
        <w:t>(2)  安装传感器之前，必须将井</w:t>
      </w:r>
      <w:r>
        <w:rPr>
          <w:rFonts w:hint="eastAsia"/>
          <w:sz w:val="24"/>
        </w:rPr>
        <w:t>(管)</w:t>
      </w:r>
      <w:r>
        <w:rPr>
          <w:sz w:val="24"/>
        </w:rPr>
        <w:t>内杂物清理干净。安装完成后应对传感器的高程进行准确测量。传感器孔口电缆及进入观测站处应设防雷保护装置。</w:t>
      </w:r>
    </w:p>
    <w:p>
      <w:pPr>
        <w:pStyle w:val="22"/>
      </w:pPr>
    </w:p>
    <w:p>
      <w:pPr>
        <w:pStyle w:val="5"/>
        <w:snapToGrid w:val="0"/>
        <w:spacing w:before="0" w:after="0" w:line="460" w:lineRule="atLeast"/>
        <w:jc w:val="both"/>
        <w:rPr>
          <w:szCs w:val="24"/>
        </w:rPr>
      </w:pPr>
      <w:bookmarkStart w:id="466" w:name="_Toc232162596"/>
      <w:bookmarkStart w:id="467" w:name="_Toc414615227"/>
      <w:bookmarkStart w:id="468" w:name="_Toc414615075"/>
      <w:bookmarkStart w:id="469" w:name="_Toc249322070"/>
      <w:bookmarkStart w:id="470" w:name="_Toc118821499"/>
      <w:bookmarkStart w:id="471" w:name="_Toc24664"/>
      <w:bookmarkStart w:id="472" w:name="_Toc932"/>
      <w:r>
        <w:rPr>
          <w:szCs w:val="24"/>
        </w:rPr>
        <w:t>3.</w:t>
      </w:r>
      <w:r>
        <w:rPr>
          <w:rFonts w:hint="eastAsia"/>
          <w:szCs w:val="24"/>
        </w:rPr>
        <w:t>2.5</w:t>
      </w:r>
      <w:r>
        <w:rPr>
          <w:szCs w:val="24"/>
        </w:rPr>
        <w:t xml:space="preserve">  监测仪器线缆</w:t>
      </w:r>
      <w:bookmarkEnd w:id="466"/>
      <w:bookmarkEnd w:id="467"/>
      <w:bookmarkEnd w:id="468"/>
      <w:bookmarkEnd w:id="469"/>
      <w:r>
        <w:rPr>
          <w:rFonts w:hint="eastAsia"/>
          <w:szCs w:val="24"/>
        </w:rPr>
        <w:t>安装埋设技术要求</w:t>
      </w:r>
      <w:bookmarkEnd w:id="470"/>
      <w:bookmarkEnd w:id="471"/>
      <w:bookmarkEnd w:id="472"/>
    </w:p>
    <w:p>
      <w:pPr>
        <w:spacing w:line="480" w:lineRule="atLeast"/>
        <w:ind w:firstLine="480" w:firstLineChars="200"/>
        <w:rPr>
          <w:sz w:val="24"/>
        </w:rPr>
      </w:pPr>
      <w:bookmarkStart w:id="473" w:name="_Toc232162600"/>
      <w:bookmarkStart w:id="474" w:name="_Toc414615076"/>
      <w:bookmarkStart w:id="475" w:name="_Toc7317802"/>
      <w:bookmarkStart w:id="476" w:name="_Toc414615228"/>
      <w:bookmarkStart w:id="477" w:name="_Toc249322071"/>
      <w:r>
        <w:rPr>
          <w:rFonts w:hint="eastAsia"/>
          <w:sz w:val="24"/>
        </w:rPr>
        <w:t>(1)</w:t>
      </w:r>
      <w:r>
        <w:rPr>
          <w:sz w:val="24"/>
        </w:rPr>
        <w:t xml:space="preserve">  </w:t>
      </w:r>
      <w:r>
        <w:rPr>
          <w:rFonts w:hint="eastAsia"/>
          <w:sz w:val="24"/>
        </w:rPr>
        <w:t>一般原则</w:t>
      </w:r>
    </w:p>
    <w:p>
      <w:pPr>
        <w:spacing w:line="480" w:lineRule="atLeast"/>
        <w:ind w:firstLine="480" w:firstLineChars="200"/>
        <w:rPr>
          <w:sz w:val="24"/>
        </w:rPr>
      </w:pPr>
      <w:r>
        <w:rPr>
          <w:rFonts w:hint="eastAsia"/>
          <w:sz w:val="24"/>
        </w:rPr>
        <w:t>1</w:t>
      </w:r>
      <w:r>
        <w:rPr>
          <w:sz w:val="24"/>
        </w:rPr>
        <w:t xml:space="preserve">)  </w:t>
      </w:r>
      <w:r>
        <w:rPr>
          <w:rFonts w:hint="eastAsia"/>
          <w:sz w:val="24"/>
        </w:rPr>
        <w:t>管片内的传感器光(电)缆应沿着钢筋走线，用尼龙扎线每隔</w:t>
      </w:r>
      <w:r>
        <w:rPr>
          <w:sz w:val="24"/>
        </w:rPr>
        <w:t>0.5</w:t>
      </w:r>
      <w:r>
        <w:rPr>
          <w:rFonts w:hint="eastAsia"/>
          <w:sz w:val="24"/>
        </w:rPr>
        <w:t>米绑扎好，必要时重点部位可采用胶粘型式固定，避免用铁丝绑扎线固定光(电)缆。要求仪器尾缆足够长无接头引至管片内弧面的孔洞中保护好，并要求仪器尾纤足够长一次性接入分路器，光缆接续必须在分路器中完成，以保证耐水耐压要求。光缆转弯应不小于最小转弯半径要求。</w:t>
      </w:r>
    </w:p>
    <w:p>
      <w:pPr>
        <w:spacing w:line="480" w:lineRule="atLeast"/>
        <w:ind w:firstLine="480" w:firstLineChars="200"/>
        <w:rPr>
          <w:sz w:val="24"/>
        </w:rPr>
      </w:pPr>
      <w:r>
        <w:rPr>
          <w:rFonts w:hint="eastAsia"/>
          <w:sz w:val="24"/>
        </w:rPr>
        <w:t>2</w:t>
      </w:r>
      <w:r>
        <w:rPr>
          <w:sz w:val="24"/>
        </w:rPr>
        <w:t>)  监测仪器电缆均要求采用专用屏蔽电缆</w:t>
      </w:r>
      <w:r>
        <w:rPr>
          <w:rFonts w:hint="eastAsia"/>
          <w:sz w:val="24"/>
        </w:rPr>
        <w:t>连接长，光纤光栅传感器尾纤采用专用通讯光纤接长</w:t>
      </w:r>
      <w:r>
        <w:rPr>
          <w:sz w:val="24"/>
        </w:rPr>
        <w:t>，</w:t>
      </w:r>
      <w:r>
        <w:rPr>
          <w:rFonts w:hint="eastAsia"/>
          <w:sz w:val="24"/>
        </w:rPr>
        <w:t>光纤光栅传感器采用双回路连接接入各自对应的采集装置(FBG解调仪)，并注意控制接头数量，熔接环境和曲率半径。</w:t>
      </w:r>
      <w:r>
        <w:rPr>
          <w:sz w:val="24"/>
        </w:rPr>
        <w:t>仪器</w:t>
      </w:r>
      <w:r>
        <w:rPr>
          <w:rFonts w:hint="eastAsia"/>
          <w:sz w:val="24"/>
        </w:rPr>
        <w:t>线缆</w:t>
      </w:r>
      <w:r>
        <w:rPr>
          <w:sz w:val="24"/>
        </w:rPr>
        <w:t>连接方法参见供货厂家说明书。</w:t>
      </w:r>
    </w:p>
    <w:p>
      <w:pPr>
        <w:spacing w:line="480" w:lineRule="atLeast"/>
        <w:ind w:firstLine="480" w:firstLineChars="200"/>
        <w:rPr>
          <w:sz w:val="24"/>
        </w:rPr>
      </w:pPr>
      <w:r>
        <w:rPr>
          <w:rFonts w:hint="eastAsia"/>
          <w:sz w:val="24"/>
        </w:rPr>
        <w:t>3</w:t>
      </w:r>
      <w:r>
        <w:rPr>
          <w:sz w:val="24"/>
        </w:rPr>
        <w:t xml:space="preserve">)  </w:t>
      </w:r>
      <w:r>
        <w:rPr>
          <w:rFonts w:hint="eastAsia"/>
          <w:sz w:val="24"/>
        </w:rPr>
        <w:t>光缆连接时，涉及到频繁的熔接作业，接头性能(损耗大小)直接影响测量距离、精度等，因此需由专业人员操作，保证连接处无弯折、扭曲等现象，并加强熔接机的维护保养。</w:t>
      </w:r>
    </w:p>
    <w:p>
      <w:pPr>
        <w:spacing w:line="480" w:lineRule="atLeast"/>
        <w:ind w:firstLine="480" w:firstLineChars="200"/>
        <w:rPr>
          <w:sz w:val="24"/>
        </w:rPr>
      </w:pPr>
      <w:r>
        <w:rPr>
          <w:sz w:val="24"/>
        </w:rPr>
        <w:t xml:space="preserve">4)  </w:t>
      </w:r>
      <w:r>
        <w:rPr>
          <w:rFonts w:hint="eastAsia"/>
          <w:sz w:val="24"/>
        </w:rPr>
        <w:t>在监测仪器尾缆</w:t>
      </w:r>
      <w:r>
        <w:rPr>
          <w:sz w:val="24"/>
        </w:rPr>
        <w:t>敷设</w:t>
      </w:r>
      <w:r>
        <w:rPr>
          <w:rFonts w:hint="eastAsia"/>
          <w:sz w:val="24"/>
        </w:rPr>
        <w:t>过程中，需采用振弦式读数仪或便携式解调仪随时监视尾缆敷设质量，遇强烈弯曲点或缺陷点及时处理。</w:t>
      </w:r>
    </w:p>
    <w:p>
      <w:pPr>
        <w:spacing w:line="500" w:lineRule="atLeast"/>
        <w:ind w:firstLine="480" w:firstLineChars="200"/>
        <w:rPr>
          <w:sz w:val="24"/>
        </w:rPr>
      </w:pPr>
      <w:r>
        <w:rPr>
          <w:sz w:val="24"/>
        </w:rPr>
        <w:t>5)  监测仪器</w:t>
      </w:r>
      <w:r>
        <w:rPr>
          <w:rFonts w:hint="eastAsia"/>
          <w:sz w:val="24"/>
        </w:rPr>
        <w:t>线缆</w:t>
      </w:r>
      <w:r>
        <w:rPr>
          <w:sz w:val="24"/>
        </w:rPr>
        <w:t>敷设，应按施工详图中</w:t>
      </w:r>
      <w:r>
        <w:rPr>
          <w:rFonts w:hint="eastAsia"/>
          <w:sz w:val="24"/>
        </w:rPr>
        <w:t>线缆</w:t>
      </w:r>
      <w:r>
        <w:rPr>
          <w:sz w:val="24"/>
        </w:rPr>
        <w:t>线路进行引线，并根据现场施工的实际需要可对</w:t>
      </w:r>
      <w:r>
        <w:rPr>
          <w:rFonts w:hint="eastAsia"/>
          <w:sz w:val="24"/>
        </w:rPr>
        <w:t>线缆</w:t>
      </w:r>
      <w:r>
        <w:rPr>
          <w:sz w:val="24"/>
        </w:rPr>
        <w:t>线路进行适当的调整</w:t>
      </w:r>
      <w:r>
        <w:rPr>
          <w:rFonts w:hint="eastAsia"/>
          <w:sz w:val="24"/>
        </w:rPr>
        <w:t>，</w:t>
      </w:r>
      <w:r>
        <w:rPr>
          <w:sz w:val="24"/>
        </w:rPr>
        <w:t>结合施工现场具体情况进行临时性敷设，在具备永久</w:t>
      </w:r>
      <w:r>
        <w:rPr>
          <w:rFonts w:hint="eastAsia"/>
          <w:sz w:val="24"/>
        </w:rPr>
        <w:t>线缆</w:t>
      </w:r>
      <w:r>
        <w:rPr>
          <w:sz w:val="24"/>
        </w:rPr>
        <w:t>敷设条件后应尽快按永久</w:t>
      </w:r>
      <w:r>
        <w:rPr>
          <w:rFonts w:hint="eastAsia"/>
          <w:sz w:val="24"/>
        </w:rPr>
        <w:t>线缆</w:t>
      </w:r>
      <w:r>
        <w:rPr>
          <w:sz w:val="24"/>
        </w:rPr>
        <w:t>要求敷设并引至相应测站，接入</w:t>
      </w:r>
      <w:r>
        <w:rPr>
          <w:rFonts w:hint="eastAsia"/>
          <w:sz w:val="24"/>
        </w:rPr>
        <w:t>MCU、光纤光栅解调仪</w:t>
      </w:r>
      <w:r>
        <w:rPr>
          <w:sz w:val="24"/>
        </w:rPr>
        <w:t>进行观测。</w:t>
      </w:r>
    </w:p>
    <w:p>
      <w:pPr>
        <w:spacing w:line="500" w:lineRule="atLeast"/>
        <w:ind w:firstLine="480" w:firstLineChars="200"/>
        <w:rPr>
          <w:sz w:val="24"/>
        </w:rPr>
      </w:pPr>
      <w:r>
        <w:rPr>
          <w:sz w:val="24"/>
        </w:rPr>
        <w:t xml:space="preserve">6)  </w:t>
      </w:r>
      <w:r>
        <w:rPr>
          <w:rFonts w:hint="eastAsia"/>
          <w:sz w:val="24"/>
        </w:rPr>
        <w:t>线缆</w:t>
      </w:r>
      <w:r>
        <w:rPr>
          <w:sz w:val="24"/>
        </w:rPr>
        <w:t>引线应保持一定的松弛度，切忌超强拉伸，以免造成</w:t>
      </w:r>
      <w:r>
        <w:rPr>
          <w:rFonts w:hint="eastAsia"/>
          <w:sz w:val="24"/>
        </w:rPr>
        <w:t>线缆</w:t>
      </w:r>
      <w:r>
        <w:rPr>
          <w:sz w:val="24"/>
        </w:rPr>
        <w:t>芯线损伤或损坏。</w:t>
      </w:r>
    </w:p>
    <w:p>
      <w:pPr>
        <w:spacing w:line="500" w:lineRule="atLeast"/>
        <w:ind w:firstLine="480" w:firstLineChars="200"/>
        <w:rPr>
          <w:sz w:val="24"/>
        </w:rPr>
      </w:pPr>
      <w:r>
        <w:rPr>
          <w:sz w:val="24"/>
        </w:rPr>
        <w:t>7)  监测仪器至测站的</w:t>
      </w:r>
      <w:r>
        <w:rPr>
          <w:rFonts w:hint="eastAsia"/>
          <w:sz w:val="24"/>
        </w:rPr>
        <w:t>线缆</w:t>
      </w:r>
      <w:r>
        <w:rPr>
          <w:sz w:val="24"/>
        </w:rPr>
        <w:t>应尽可能少用接头。只有经监理人批准后，才能对供应的</w:t>
      </w:r>
      <w:r>
        <w:rPr>
          <w:rFonts w:hint="eastAsia"/>
          <w:sz w:val="24"/>
        </w:rPr>
        <w:t>线缆</w:t>
      </w:r>
      <w:r>
        <w:rPr>
          <w:sz w:val="24"/>
        </w:rPr>
        <w:t>进行连接或切断。</w:t>
      </w:r>
      <w:r>
        <w:rPr>
          <w:rFonts w:hint="eastAsia"/>
          <w:sz w:val="24"/>
        </w:rPr>
        <w:t>线缆</w:t>
      </w:r>
      <w:r>
        <w:rPr>
          <w:sz w:val="24"/>
        </w:rPr>
        <w:t>的连接和测试应按规范实施。在监测仪器引线进行必要的连接、套接和安放后，在回填或埋入混凝土中之前，监测仪器引线应立即进行测试。仪器</w:t>
      </w:r>
      <w:r>
        <w:rPr>
          <w:rFonts w:hint="eastAsia"/>
          <w:sz w:val="24"/>
        </w:rPr>
        <w:t>线缆</w:t>
      </w:r>
      <w:r>
        <w:rPr>
          <w:sz w:val="24"/>
        </w:rPr>
        <w:t>也应进行通电测试。</w:t>
      </w:r>
    </w:p>
    <w:p>
      <w:pPr>
        <w:spacing w:line="500" w:lineRule="atLeast"/>
        <w:ind w:firstLine="480" w:firstLineChars="200"/>
        <w:rPr>
          <w:sz w:val="24"/>
        </w:rPr>
      </w:pPr>
      <w:r>
        <w:rPr>
          <w:rFonts w:hint="eastAsia"/>
          <w:sz w:val="24"/>
        </w:rPr>
        <w:t>8</w:t>
      </w:r>
      <w:r>
        <w:rPr>
          <w:sz w:val="24"/>
        </w:rPr>
        <w:t xml:space="preserve">)  </w:t>
      </w:r>
      <w:r>
        <w:rPr>
          <w:rFonts w:hint="eastAsia"/>
          <w:sz w:val="24"/>
        </w:rPr>
        <w:t>仪器安装完成后的仪器尾缆、预安装的线缆仪器设备在施工过程中应制定切实可行的措施保护。</w:t>
      </w:r>
    </w:p>
    <w:p>
      <w:pPr>
        <w:spacing w:line="500" w:lineRule="atLeast"/>
        <w:ind w:firstLine="480" w:firstLineChars="200"/>
        <w:rPr>
          <w:sz w:val="24"/>
        </w:rPr>
      </w:pPr>
      <w:r>
        <w:rPr>
          <w:sz w:val="24"/>
        </w:rPr>
        <w:t>9)  监测仪器</w:t>
      </w:r>
      <w:r>
        <w:rPr>
          <w:rFonts w:hint="eastAsia"/>
          <w:sz w:val="24"/>
        </w:rPr>
        <w:t>线缆的</w:t>
      </w:r>
      <w:r>
        <w:rPr>
          <w:sz w:val="24"/>
        </w:rPr>
        <w:t>保护管</w:t>
      </w:r>
      <w:r>
        <w:rPr>
          <w:rFonts w:hint="eastAsia"/>
          <w:sz w:val="24"/>
        </w:rPr>
        <w:t>，隧洞内沿环</w:t>
      </w:r>
      <w:r>
        <w:rPr>
          <w:sz w:val="24"/>
        </w:rPr>
        <w:t>向一般采用</w:t>
      </w:r>
      <w:r>
        <w:rPr>
          <w:rFonts w:hint="eastAsia"/>
          <w:sz w:val="24"/>
        </w:rPr>
        <w:t>PVC</w:t>
      </w:r>
      <w:r>
        <w:rPr>
          <w:sz w:val="24"/>
        </w:rPr>
        <w:t>管</w:t>
      </w:r>
      <w:r>
        <w:rPr>
          <w:rFonts w:hint="eastAsia"/>
          <w:sz w:val="24"/>
        </w:rPr>
        <w:t>或</w:t>
      </w:r>
      <w:r>
        <w:rPr>
          <w:sz w:val="24"/>
        </w:rPr>
        <w:t>不锈钢</w:t>
      </w:r>
      <w:r>
        <w:rPr>
          <w:rFonts w:hint="eastAsia"/>
          <w:sz w:val="24"/>
        </w:rPr>
        <w:t>U型</w:t>
      </w:r>
      <w:r>
        <w:rPr>
          <w:sz w:val="24"/>
        </w:rPr>
        <w:t>槽</w:t>
      </w:r>
      <w:r>
        <w:rPr>
          <w:rFonts w:hint="eastAsia"/>
          <w:sz w:val="24"/>
        </w:rPr>
        <w:t>，沿隧洞纵向一般</w:t>
      </w:r>
      <w:r>
        <w:rPr>
          <w:sz w:val="24"/>
        </w:rPr>
        <w:t>采用钢管或不锈钢</w:t>
      </w:r>
      <w:r>
        <w:rPr>
          <w:rFonts w:hint="eastAsia"/>
          <w:sz w:val="24"/>
        </w:rPr>
        <w:t>U型</w:t>
      </w:r>
      <w:r>
        <w:rPr>
          <w:sz w:val="24"/>
        </w:rPr>
        <w:t>槽</w:t>
      </w:r>
      <w:r>
        <w:rPr>
          <w:rFonts w:hint="eastAsia"/>
          <w:sz w:val="24"/>
        </w:rPr>
        <w:t>，</w:t>
      </w:r>
      <w:r>
        <w:rPr>
          <w:sz w:val="24"/>
        </w:rPr>
        <w:t>隧洞</w:t>
      </w:r>
      <w:r>
        <w:rPr>
          <w:rFonts w:hint="eastAsia"/>
          <w:sz w:val="24"/>
        </w:rPr>
        <w:t>外地表一般采用钢管</w:t>
      </w:r>
      <w:r>
        <w:rPr>
          <w:sz w:val="24"/>
        </w:rPr>
        <w:t>。保护管管径可具体根据其相应</w:t>
      </w:r>
      <w:r>
        <w:rPr>
          <w:rFonts w:hint="eastAsia"/>
          <w:sz w:val="24"/>
        </w:rPr>
        <w:t>线缆</w:t>
      </w:r>
      <w:r>
        <w:rPr>
          <w:sz w:val="24"/>
        </w:rPr>
        <w:t>线路汇集电缆</w:t>
      </w:r>
      <w:r>
        <w:rPr>
          <w:rFonts w:hint="eastAsia"/>
          <w:sz w:val="24"/>
        </w:rPr>
        <w:t>、光纤</w:t>
      </w:r>
      <w:r>
        <w:rPr>
          <w:sz w:val="24"/>
        </w:rPr>
        <w:t>的根数和直径确定，以穿管引线施工方便为宜。保护管工程量以实际发生计。</w:t>
      </w:r>
    </w:p>
    <w:p>
      <w:pPr>
        <w:spacing w:line="500" w:lineRule="atLeast"/>
        <w:ind w:firstLine="480" w:firstLineChars="200"/>
        <w:rPr>
          <w:sz w:val="24"/>
        </w:rPr>
      </w:pPr>
      <w:r>
        <w:rPr>
          <w:rFonts w:hint="eastAsia"/>
          <w:sz w:val="24"/>
        </w:rPr>
        <w:t>1</w:t>
      </w:r>
      <w:r>
        <w:rPr>
          <w:sz w:val="24"/>
        </w:rPr>
        <w:t>0)  有防雷要求的地方，应妥善做好钢套管的接地装置，接地电阻等均应达到规范要求。</w:t>
      </w:r>
    </w:p>
    <w:p>
      <w:pPr>
        <w:spacing w:line="500" w:lineRule="atLeast"/>
        <w:ind w:firstLine="480" w:firstLineChars="200"/>
        <w:rPr>
          <w:sz w:val="24"/>
        </w:rPr>
      </w:pPr>
      <w:r>
        <w:rPr>
          <w:sz w:val="24"/>
        </w:rPr>
        <w:t xml:space="preserve">11)  </w:t>
      </w:r>
      <w:r>
        <w:rPr>
          <w:rFonts w:hint="eastAsia"/>
          <w:sz w:val="24"/>
        </w:rPr>
        <w:t>线缆</w:t>
      </w:r>
      <w:r>
        <w:rPr>
          <w:sz w:val="24"/>
        </w:rPr>
        <w:t>埋设完成后，应及时提供</w:t>
      </w:r>
      <w:r>
        <w:rPr>
          <w:rFonts w:hint="eastAsia"/>
          <w:sz w:val="24"/>
        </w:rPr>
        <w:t>实际线缆</w:t>
      </w:r>
      <w:r>
        <w:rPr>
          <w:sz w:val="24"/>
        </w:rPr>
        <w:t>走线图。</w:t>
      </w:r>
    </w:p>
    <w:p>
      <w:pPr>
        <w:spacing w:line="500" w:lineRule="atLeast"/>
        <w:ind w:firstLine="480" w:firstLineChars="200"/>
        <w:rPr>
          <w:sz w:val="24"/>
        </w:rPr>
      </w:pPr>
      <w:r>
        <w:rPr>
          <w:rFonts w:hint="eastAsia"/>
          <w:sz w:val="24"/>
        </w:rPr>
        <w:t>(</w:t>
      </w:r>
      <w:r>
        <w:rPr>
          <w:sz w:val="24"/>
        </w:rPr>
        <w:t>2</w:t>
      </w:r>
      <w:r>
        <w:rPr>
          <w:rFonts w:hint="eastAsia"/>
          <w:sz w:val="24"/>
        </w:rPr>
        <w:t>)</w:t>
      </w:r>
      <w:r>
        <w:rPr>
          <w:sz w:val="24"/>
        </w:rPr>
        <w:t xml:space="preserve">  电缆连接和跨缝保护</w:t>
      </w:r>
    </w:p>
    <w:p>
      <w:pPr>
        <w:spacing w:line="500" w:lineRule="atLeast"/>
        <w:ind w:firstLine="480" w:firstLineChars="200"/>
        <w:rPr>
          <w:sz w:val="24"/>
        </w:rPr>
      </w:pPr>
      <w:r>
        <w:rPr>
          <w:sz w:val="24"/>
        </w:rPr>
        <w:t>仪器电缆在仪器埋设点附近应预留一定的富余长度。电缆牵引方向应尽量垂直或平行于混凝土面埋设。监测仪器至监测站的电缆应尽可能少用接头。只有经监理人批准后，才能对供应的电缆进行连接或切断。电缆的连接和测试应按规范实施。在监测仪器引线进行必要的连接、套接和安放后，在回填或埋入混凝土中之前，监测仪器引线应立即进行测试。仪器电缆也应进行通电测试。</w:t>
      </w:r>
    </w:p>
    <w:p>
      <w:pPr>
        <w:spacing w:line="500" w:lineRule="atLeast"/>
        <w:ind w:firstLine="480" w:firstLineChars="200"/>
        <w:rPr>
          <w:sz w:val="24"/>
        </w:rPr>
      </w:pPr>
      <w:r>
        <w:rPr>
          <w:sz w:val="24"/>
        </w:rPr>
        <w:t>1)  电缆连接</w:t>
      </w:r>
    </w:p>
    <w:p>
      <w:pPr>
        <w:spacing w:line="500" w:lineRule="atLeast"/>
        <w:ind w:firstLine="480" w:firstLineChars="200"/>
        <w:rPr>
          <w:sz w:val="24"/>
        </w:rPr>
      </w:pPr>
      <w:r>
        <w:rPr>
          <w:rFonts w:hint="eastAsia"/>
          <w:sz w:val="24"/>
        </w:rPr>
        <w:t>①</w:t>
      </w:r>
      <w:r>
        <w:rPr>
          <w:sz w:val="24"/>
        </w:rPr>
        <w:t xml:space="preserve"> 根据监测设计和现场情况准备仪器的加长电缆；</w:t>
      </w:r>
    </w:p>
    <w:p>
      <w:pPr>
        <w:spacing w:line="500" w:lineRule="atLeast"/>
        <w:ind w:firstLine="480" w:firstLineChars="200"/>
        <w:rPr>
          <w:sz w:val="24"/>
        </w:rPr>
      </w:pPr>
      <w:r>
        <w:rPr>
          <w:rFonts w:hint="eastAsia"/>
          <w:sz w:val="24"/>
        </w:rPr>
        <w:t>②</w:t>
      </w:r>
      <w:r>
        <w:rPr>
          <w:sz w:val="24"/>
        </w:rPr>
        <w:t xml:space="preserve"> 按照规范的要求剥制电缆头，去除芯线铜丝氧化物；</w:t>
      </w:r>
    </w:p>
    <w:p>
      <w:pPr>
        <w:spacing w:line="500" w:lineRule="atLeast"/>
        <w:ind w:firstLine="480" w:firstLineChars="200"/>
        <w:rPr>
          <w:sz w:val="24"/>
        </w:rPr>
      </w:pPr>
      <w:r>
        <w:rPr>
          <w:rFonts w:hint="eastAsia"/>
          <w:sz w:val="24"/>
        </w:rPr>
        <w:t>③</w:t>
      </w:r>
      <w:r>
        <w:rPr>
          <w:sz w:val="24"/>
        </w:rPr>
        <w:t xml:space="preserve"> 连接时应保持各芯线长度一致，并使各芯线接头错开，采用锡和松香焊接，检查芯线的连接质量；</w:t>
      </w:r>
    </w:p>
    <w:p>
      <w:pPr>
        <w:spacing w:line="500" w:lineRule="atLeast"/>
        <w:ind w:firstLine="480" w:firstLineChars="200"/>
        <w:rPr>
          <w:sz w:val="24"/>
        </w:rPr>
      </w:pPr>
      <w:r>
        <w:rPr>
          <w:rFonts w:hint="eastAsia"/>
          <w:sz w:val="24"/>
        </w:rPr>
        <w:t>④</w:t>
      </w:r>
      <w:r>
        <w:rPr>
          <w:sz w:val="24"/>
        </w:rPr>
        <w:t xml:space="preserve"> 芯线搭接部位用黄蜡绸、电工绝缘胶布和橡胶带包裹，电缆外套与橡胶带连接处应锉毛并涂补胎胶水，外层用橡胶带包扎，直径应大于硫化器钢模槽2mm；</w:t>
      </w:r>
    </w:p>
    <w:p>
      <w:pPr>
        <w:spacing w:line="500" w:lineRule="atLeast"/>
        <w:ind w:firstLine="480" w:firstLineChars="200"/>
        <w:rPr>
          <w:sz w:val="24"/>
        </w:rPr>
      </w:pPr>
      <w:r>
        <w:rPr>
          <w:rFonts w:hint="eastAsia"/>
          <w:sz w:val="24"/>
        </w:rPr>
        <w:t>⑤</w:t>
      </w:r>
      <w:r>
        <w:rPr>
          <w:sz w:val="24"/>
        </w:rPr>
        <w:t xml:space="preserve"> 接头硫化时必须严格控制温度，硫化器预热至100</w:t>
      </w:r>
      <w:r>
        <w:rPr>
          <w:rFonts w:hint="eastAsia"/>
          <w:sz w:val="24"/>
        </w:rPr>
        <w:t>℃</w:t>
      </w:r>
      <w:r>
        <w:rPr>
          <w:sz w:val="24"/>
        </w:rPr>
        <w:t>后放入接头，升温到155</w:t>
      </w:r>
      <w:r>
        <w:rPr>
          <w:rFonts w:hint="eastAsia"/>
          <w:sz w:val="24"/>
        </w:rPr>
        <w:t>℃</w:t>
      </w:r>
      <w:r>
        <w:rPr>
          <w:sz w:val="24"/>
        </w:rPr>
        <w:t>～160</w:t>
      </w:r>
      <w:r>
        <w:rPr>
          <w:rFonts w:hint="eastAsia"/>
          <w:sz w:val="24"/>
        </w:rPr>
        <w:t>℃</w:t>
      </w:r>
      <w:r>
        <w:rPr>
          <w:sz w:val="24"/>
        </w:rPr>
        <w:t>，保持15分钟后，关闭电源，自然冷却到80</w:t>
      </w:r>
      <w:r>
        <w:rPr>
          <w:rFonts w:hint="eastAsia"/>
          <w:sz w:val="24"/>
        </w:rPr>
        <w:t>℃</w:t>
      </w:r>
      <w:r>
        <w:rPr>
          <w:sz w:val="24"/>
        </w:rPr>
        <w:t>后脱模；</w:t>
      </w:r>
    </w:p>
    <w:p>
      <w:pPr>
        <w:spacing w:line="500" w:lineRule="atLeast"/>
        <w:ind w:firstLine="480" w:firstLineChars="200"/>
        <w:rPr>
          <w:sz w:val="24"/>
        </w:rPr>
      </w:pPr>
      <w:r>
        <w:rPr>
          <w:rFonts w:hint="eastAsia"/>
          <w:sz w:val="24"/>
        </w:rPr>
        <w:t>⑥</w:t>
      </w:r>
      <w:r>
        <w:rPr>
          <w:sz w:val="24"/>
        </w:rPr>
        <w:t xml:space="preserve"> 硫化接头应在0.1MPa～0.15MPa气压下试验时不漏气，在1.0MPa压力水中的绝缘电阻大于50Ω；</w:t>
      </w:r>
    </w:p>
    <w:p>
      <w:pPr>
        <w:spacing w:line="500" w:lineRule="atLeast"/>
        <w:ind w:firstLine="480" w:firstLineChars="200"/>
        <w:rPr>
          <w:sz w:val="24"/>
        </w:rPr>
      </w:pPr>
      <w:r>
        <w:rPr>
          <w:rFonts w:hint="eastAsia"/>
          <w:sz w:val="24"/>
        </w:rPr>
        <w:t>⑦</w:t>
      </w:r>
      <w:r>
        <w:rPr>
          <w:sz w:val="24"/>
        </w:rPr>
        <w:t xml:space="preserve"> 接头硫化前后应测量、记录电缆芯线电阻、仪器电阻比和电阻；</w:t>
      </w:r>
    </w:p>
    <w:p>
      <w:pPr>
        <w:spacing w:line="500" w:lineRule="atLeast"/>
        <w:ind w:firstLine="480" w:firstLineChars="200"/>
        <w:rPr>
          <w:sz w:val="24"/>
        </w:rPr>
      </w:pPr>
      <w:r>
        <w:rPr>
          <w:rFonts w:hint="eastAsia"/>
          <w:sz w:val="24"/>
        </w:rPr>
        <w:t>⑧</w:t>
      </w:r>
      <w:r>
        <w:rPr>
          <w:sz w:val="24"/>
        </w:rPr>
        <w:t xml:space="preserve"> 电缆测量端芯线应进行搪锡，并用石蜡封；</w:t>
      </w:r>
    </w:p>
    <w:p>
      <w:pPr>
        <w:spacing w:line="500" w:lineRule="atLeast"/>
        <w:ind w:firstLine="480" w:firstLineChars="200"/>
        <w:rPr>
          <w:sz w:val="24"/>
        </w:rPr>
      </w:pPr>
      <w:r>
        <w:rPr>
          <w:rFonts w:hint="eastAsia"/>
          <w:sz w:val="24"/>
        </w:rPr>
        <w:t>⑨ 振</w:t>
      </w:r>
      <w:r>
        <w:rPr>
          <w:sz w:val="24"/>
        </w:rPr>
        <w:t>弦式仪器的电缆应采用屏蔽电缆或胶质电缆，仪器电缆连接方法参见供货厂家说明书。</w:t>
      </w:r>
    </w:p>
    <w:p>
      <w:pPr>
        <w:spacing w:line="500" w:lineRule="atLeast"/>
        <w:ind w:firstLine="480" w:firstLineChars="200"/>
        <w:rPr>
          <w:sz w:val="24"/>
        </w:rPr>
      </w:pPr>
      <w:r>
        <w:rPr>
          <w:sz w:val="24"/>
        </w:rPr>
        <w:t>(3)  光纤线缆敷设</w:t>
      </w:r>
    </w:p>
    <w:p>
      <w:pPr>
        <w:spacing w:line="500" w:lineRule="atLeast"/>
        <w:ind w:firstLine="480" w:firstLineChars="200"/>
        <w:rPr>
          <w:sz w:val="24"/>
        </w:rPr>
      </w:pPr>
      <w:r>
        <w:rPr>
          <w:sz w:val="24"/>
        </w:rPr>
        <w:t>1)  光纤的连接</w:t>
      </w:r>
    </w:p>
    <w:p>
      <w:pPr>
        <w:spacing w:line="500" w:lineRule="atLeast"/>
        <w:ind w:firstLine="480" w:firstLineChars="200"/>
        <w:rPr>
          <w:sz w:val="24"/>
        </w:rPr>
      </w:pPr>
      <w:r>
        <w:rPr>
          <w:sz w:val="24"/>
        </w:rPr>
        <w:t>光纤接续应遵循的原则：</w:t>
      </w:r>
    </w:p>
    <w:p>
      <w:pPr>
        <w:spacing w:line="500" w:lineRule="atLeast"/>
        <w:ind w:firstLine="480" w:firstLineChars="200"/>
        <w:rPr>
          <w:sz w:val="24"/>
        </w:rPr>
      </w:pPr>
      <w:r>
        <w:rPr>
          <w:sz w:val="24"/>
        </w:rPr>
        <w:t>芯数相等时，要同束管内的对应色光纤对接；</w:t>
      </w:r>
    </w:p>
    <w:p>
      <w:pPr>
        <w:spacing w:line="500" w:lineRule="atLeast"/>
        <w:ind w:firstLine="480" w:firstLineChars="200"/>
        <w:rPr>
          <w:sz w:val="24"/>
        </w:rPr>
      </w:pPr>
      <w:r>
        <w:rPr>
          <w:sz w:val="24"/>
        </w:rPr>
        <w:t xml:space="preserve">芯数不同时，按顺序先接芯数大的，再接芯数小的。 </w:t>
      </w:r>
    </w:p>
    <w:p>
      <w:pPr>
        <w:spacing w:line="500" w:lineRule="atLeast"/>
        <w:ind w:firstLine="480" w:firstLineChars="200"/>
        <w:rPr>
          <w:sz w:val="24"/>
        </w:rPr>
      </w:pPr>
      <w:r>
        <w:rPr>
          <w:sz w:val="24"/>
        </w:rPr>
        <w:t>光纤接续(熔接法)的步骤如下：</w:t>
      </w:r>
    </w:p>
    <w:p>
      <w:pPr>
        <w:spacing w:line="500" w:lineRule="atLeast"/>
        <w:ind w:firstLine="480" w:firstLineChars="200"/>
        <w:rPr>
          <w:sz w:val="24"/>
        </w:rPr>
      </w:pPr>
      <w:r>
        <w:rPr>
          <w:rFonts w:hint="eastAsia"/>
          <w:sz w:val="24"/>
        </w:rPr>
        <w:t>①</w:t>
      </w:r>
      <w:r>
        <w:rPr>
          <w:sz w:val="24"/>
        </w:rPr>
        <w:t>开剥光纤。注意不要伤到束管，开剥长度约1m，用卫生纸将油膏擦拭干净，将光纤穿入并固定到接线盒内。固定时一定要压紧，不能有松动，否则有可能造成光纤扭曲、折断纤芯。严禁眼睛正对此端口，以免对眼睛造成伤害。在光纤与主机不连接时，请盖住光纤插座和测温光纤插头，以免灰尘污染或意外损伤；切勿用手或其它物体碰刮光纤插头的端面。</w:t>
      </w:r>
    </w:p>
    <w:p>
      <w:pPr>
        <w:spacing w:line="500" w:lineRule="atLeast"/>
        <w:ind w:firstLine="480" w:firstLineChars="200"/>
        <w:rPr>
          <w:sz w:val="24"/>
        </w:rPr>
      </w:pPr>
      <w:r>
        <w:rPr>
          <w:rFonts w:hint="eastAsia"/>
          <w:sz w:val="24"/>
        </w:rPr>
        <w:t>②</w:t>
      </w:r>
      <w:r>
        <w:rPr>
          <w:sz w:val="24"/>
        </w:rPr>
        <w:t>分纤。将不同束管、不同颜色的光纤分开，穿过热缩管。剥去涂覆层的光纤很脆弱，使用热缩管可以保护光纤熔接头。</w:t>
      </w:r>
    </w:p>
    <w:p>
      <w:pPr>
        <w:spacing w:line="500" w:lineRule="atLeast"/>
        <w:ind w:firstLine="480" w:firstLineChars="200"/>
        <w:rPr>
          <w:sz w:val="24"/>
        </w:rPr>
      </w:pPr>
      <w:r>
        <w:rPr>
          <w:rFonts w:hint="eastAsia"/>
          <w:sz w:val="24"/>
        </w:rPr>
        <w:t>③</w:t>
      </w:r>
      <w:r>
        <w:rPr>
          <w:sz w:val="24"/>
        </w:rPr>
        <w:t>制作光纤端面。光纤端面制作的好坏将直接影响接续质量，所以在熔接前一定要做好合格的端面。先用专用的剥线钳剥去涂覆层；再用沾酒精的无纺布在裸纤上擦拭几次，应适度用力，以防拉断光纤；然后用精密光纤切割刀切割光纤，切割长度应根据光纤和热缩管的种类确定。</w:t>
      </w:r>
    </w:p>
    <w:p>
      <w:pPr>
        <w:spacing w:line="500" w:lineRule="atLeast"/>
        <w:ind w:firstLine="480" w:firstLineChars="200"/>
        <w:rPr>
          <w:sz w:val="24"/>
        </w:rPr>
      </w:pPr>
      <w:r>
        <w:rPr>
          <w:rFonts w:hint="eastAsia"/>
          <w:sz w:val="24"/>
        </w:rPr>
        <w:t>④</w:t>
      </w:r>
      <w:r>
        <w:rPr>
          <w:sz w:val="24"/>
        </w:rPr>
        <w:t>放置光纤。将光纤放在熔接机的 V形槽中，小心压上光纤压板和光纤夹具，要保证光纤顺直，光纤端部应接近电极但不能超过中线，关上防风罩，按熔接机说明书指示，选择合适的程序，完成放电熔接，通常需要5~10s时间。</w:t>
      </w:r>
      <w:r>
        <w:rPr>
          <w:rFonts w:hint="eastAsia"/>
          <w:sz w:val="24"/>
        </w:rPr>
        <w:t>光纤</w:t>
      </w:r>
      <w:r>
        <w:rPr>
          <w:sz w:val="24"/>
        </w:rPr>
        <w:t>接头</w:t>
      </w:r>
      <w:r>
        <w:rPr>
          <w:rFonts w:hint="eastAsia"/>
          <w:sz w:val="24"/>
        </w:rPr>
        <w:t>熔接损耗≤0.2dB，单测线整体损耗≤20dB。</w:t>
      </w:r>
    </w:p>
    <w:p>
      <w:pPr>
        <w:spacing w:line="500" w:lineRule="atLeast"/>
        <w:ind w:firstLine="480" w:firstLineChars="200"/>
        <w:rPr>
          <w:sz w:val="24"/>
        </w:rPr>
      </w:pPr>
      <w:r>
        <w:rPr>
          <w:rFonts w:hint="eastAsia"/>
          <w:sz w:val="24"/>
        </w:rPr>
        <w:t>⑤</w:t>
      </w:r>
      <w:r>
        <w:rPr>
          <w:sz w:val="24"/>
        </w:rPr>
        <w:t>打开防风罩，小心取出光纤，再将热缩管放在裸纤中心，放到加热槽中加热。注意，根据使用的热缩管长度和直径选择适当的加热程序，防止过热导致热缩管变形。</w:t>
      </w:r>
    </w:p>
    <w:p>
      <w:pPr>
        <w:spacing w:line="500" w:lineRule="atLeast"/>
        <w:ind w:firstLine="480" w:firstLineChars="200"/>
        <w:rPr>
          <w:sz w:val="24"/>
        </w:rPr>
      </w:pPr>
      <w:r>
        <w:rPr>
          <w:rFonts w:hint="eastAsia"/>
          <w:sz w:val="24"/>
        </w:rPr>
        <w:t>⑥</w:t>
      </w:r>
      <w:r>
        <w:rPr>
          <w:sz w:val="24"/>
        </w:rPr>
        <w:t xml:space="preserve">盘纤固定。将接续好的光纤盘到光纤收容盘上，在盘纤时，盘圈的半径越大，弧度越大，整个线路的损耗越小，所以一定要保持一定的半径，尽量减少激光在纤芯里传输时的损耗。尤其是对热缩管，应加以固定和保护。 </w:t>
      </w:r>
    </w:p>
    <w:p>
      <w:pPr>
        <w:spacing w:line="500" w:lineRule="atLeast"/>
        <w:ind w:firstLine="480" w:firstLineChars="200"/>
        <w:rPr>
          <w:sz w:val="24"/>
        </w:rPr>
      </w:pPr>
      <w:r>
        <w:rPr>
          <w:rFonts w:hint="eastAsia"/>
          <w:sz w:val="24"/>
        </w:rPr>
        <w:t>⑦</w:t>
      </w:r>
      <w:r>
        <w:rPr>
          <w:sz w:val="24"/>
        </w:rPr>
        <w:t>光缆内光纤长期遭受潮气或水侵蚀时，将引起光纤传输衰耗增大，寿命缩短。光缆内有防潮层、油膏或阻水带，但必须保证光缆外护套在施工、运营期间的完整性，尤其在光缆接头处一定要做到良好密封。</w:t>
      </w:r>
    </w:p>
    <w:p>
      <w:pPr>
        <w:spacing w:line="500" w:lineRule="atLeast"/>
        <w:ind w:firstLine="480" w:firstLineChars="200"/>
        <w:rPr>
          <w:sz w:val="24"/>
        </w:rPr>
      </w:pPr>
      <w:r>
        <w:rPr>
          <w:sz w:val="24"/>
        </w:rPr>
        <w:t>2)  敷设要求</w:t>
      </w:r>
    </w:p>
    <w:p>
      <w:pPr>
        <w:spacing w:line="500" w:lineRule="atLeast"/>
        <w:ind w:firstLine="480" w:firstLineChars="200"/>
        <w:rPr>
          <w:sz w:val="24"/>
        </w:rPr>
      </w:pPr>
      <w:r>
        <w:rPr>
          <w:rFonts w:hint="eastAsia"/>
          <w:sz w:val="24"/>
        </w:rPr>
        <w:t>①</w:t>
      </w:r>
      <w:r>
        <w:rPr>
          <w:sz w:val="24"/>
        </w:rPr>
        <w:t>接长线缆应根据工程实际需要进行线路复测和合理配盘；</w:t>
      </w:r>
    </w:p>
    <w:p>
      <w:pPr>
        <w:spacing w:line="500" w:lineRule="atLeast"/>
        <w:ind w:firstLine="480" w:firstLineChars="200"/>
        <w:rPr>
          <w:sz w:val="24"/>
        </w:rPr>
      </w:pPr>
      <w:r>
        <w:rPr>
          <w:rFonts w:hint="eastAsia"/>
          <w:sz w:val="24"/>
        </w:rPr>
        <w:t>②</w:t>
      </w:r>
      <w:r>
        <w:rPr>
          <w:sz w:val="24"/>
        </w:rPr>
        <w:t>线缆在敷设施工中应当保证光缆外护套的完整性；</w:t>
      </w:r>
    </w:p>
    <w:p>
      <w:pPr>
        <w:spacing w:line="500" w:lineRule="atLeast"/>
        <w:ind w:firstLine="480" w:firstLineChars="200"/>
        <w:rPr>
          <w:sz w:val="24"/>
        </w:rPr>
      </w:pPr>
      <w:r>
        <w:rPr>
          <w:rFonts w:hint="eastAsia"/>
          <w:sz w:val="24"/>
        </w:rPr>
        <w:t>③</w:t>
      </w:r>
      <w:r>
        <w:rPr>
          <w:sz w:val="24"/>
        </w:rPr>
        <w:t>线缆敷设安装的最小曲率半径应符合厂家规定；</w:t>
      </w:r>
    </w:p>
    <w:p>
      <w:pPr>
        <w:spacing w:line="500" w:lineRule="atLeast"/>
        <w:ind w:firstLine="480" w:firstLineChars="200"/>
        <w:rPr>
          <w:sz w:val="24"/>
        </w:rPr>
      </w:pPr>
      <w:r>
        <w:rPr>
          <w:rFonts w:hint="eastAsia"/>
          <w:sz w:val="24"/>
        </w:rPr>
        <w:t>④</w:t>
      </w:r>
      <w:r>
        <w:rPr>
          <w:sz w:val="24"/>
        </w:rPr>
        <w:t>线缆布放完毕，应在所有接头盒内和光纤配线架处针对每根光纤做好永久安装标牌；</w:t>
      </w:r>
    </w:p>
    <w:p>
      <w:pPr>
        <w:spacing w:line="500" w:lineRule="atLeast"/>
        <w:ind w:firstLine="480" w:firstLineChars="200"/>
        <w:rPr>
          <w:sz w:val="24"/>
        </w:rPr>
      </w:pPr>
      <w:r>
        <w:rPr>
          <w:rFonts w:hint="eastAsia"/>
          <w:sz w:val="24"/>
        </w:rPr>
        <w:t>⑤</w:t>
      </w:r>
      <w:r>
        <w:rPr>
          <w:sz w:val="24"/>
        </w:rPr>
        <w:t>在传感光纤或电缆走线的线路上，应设置警告标志。尤其是埋入线，应对准其位置和范围设置明显标志，设专人对线路进行日常巡查。</w:t>
      </w:r>
    </w:p>
    <w:p>
      <w:pPr>
        <w:spacing w:line="500" w:lineRule="atLeast"/>
        <w:ind w:firstLine="480" w:firstLineChars="200"/>
        <w:rPr>
          <w:sz w:val="24"/>
        </w:rPr>
      </w:pPr>
      <w:r>
        <w:rPr>
          <w:sz w:val="24"/>
        </w:rPr>
        <w:t>3)  尾缆保护注意事项</w:t>
      </w:r>
    </w:p>
    <w:p>
      <w:pPr>
        <w:spacing w:line="500" w:lineRule="atLeast"/>
        <w:ind w:firstLine="480" w:firstLineChars="200"/>
        <w:rPr>
          <w:sz w:val="24"/>
        </w:rPr>
      </w:pPr>
      <w:r>
        <w:rPr>
          <w:sz w:val="24"/>
        </w:rPr>
        <w:t>传感器尾缆敷设注意事项如下：</w:t>
      </w:r>
    </w:p>
    <w:p>
      <w:pPr>
        <w:spacing w:line="500" w:lineRule="atLeast"/>
        <w:ind w:firstLine="480" w:firstLineChars="200"/>
        <w:rPr>
          <w:sz w:val="24"/>
        </w:rPr>
      </w:pPr>
      <w:r>
        <w:rPr>
          <w:rFonts w:hint="eastAsia"/>
          <w:sz w:val="24"/>
        </w:rPr>
        <w:t>①</w:t>
      </w:r>
      <w:r>
        <w:rPr>
          <w:sz w:val="24"/>
        </w:rPr>
        <w:t>根据现场情况和传感器安装说明书，确定传感器尾缆安装敷设位置和线路，在尾缆与接头盒、传输光缆的连接处、浇筑混凝土时，应采用人工振捣。</w:t>
      </w:r>
    </w:p>
    <w:p>
      <w:pPr>
        <w:spacing w:line="500" w:lineRule="atLeast"/>
        <w:ind w:firstLine="480" w:firstLineChars="200"/>
        <w:rPr>
          <w:sz w:val="24"/>
        </w:rPr>
      </w:pPr>
      <w:r>
        <w:rPr>
          <w:rFonts w:hint="eastAsia"/>
          <w:sz w:val="24"/>
        </w:rPr>
        <w:t>②</w:t>
      </w:r>
      <w:r>
        <w:rPr>
          <w:sz w:val="24"/>
        </w:rPr>
        <w:t>尾缆敷设在钢筋绑扎完成后、混凝土浇筑前完成。在管片内埋设一个线缆保护盒，用于保护预埋在管片内的传感器线缆接头。</w:t>
      </w:r>
    </w:p>
    <w:p>
      <w:pPr>
        <w:spacing w:line="500" w:lineRule="atLeast"/>
        <w:ind w:firstLine="480" w:firstLineChars="200"/>
        <w:rPr>
          <w:sz w:val="24"/>
        </w:rPr>
      </w:pPr>
      <w:r>
        <w:rPr>
          <w:rFonts w:hint="eastAsia"/>
          <w:sz w:val="24"/>
        </w:rPr>
        <w:t>③</w:t>
      </w:r>
      <w:r>
        <w:rPr>
          <w:sz w:val="24"/>
        </w:rPr>
        <w:t>尾缆应沿敷设方向保持平顺，用绑线与主筋固定，绑扎间隔0.5~1.0m，复杂线路应缩短固定间距。对重点部位、易损坏部位可适当抹刷环氧树脂粘贴。</w:t>
      </w:r>
    </w:p>
    <w:p>
      <w:pPr>
        <w:spacing w:line="500" w:lineRule="atLeast"/>
        <w:ind w:firstLine="480" w:firstLineChars="200"/>
        <w:rPr>
          <w:sz w:val="24"/>
        </w:rPr>
      </w:pPr>
      <w:r>
        <w:rPr>
          <w:rFonts w:hint="eastAsia"/>
          <w:sz w:val="24"/>
        </w:rPr>
        <w:t>④</w:t>
      </w:r>
      <w:r>
        <w:rPr>
          <w:sz w:val="24"/>
        </w:rPr>
        <w:t>在尾缆安装过程中，需采用便携式解调仪，随时监视尾缆敷设质量，遇强烈弯曲点或缺陷点及时处理。</w:t>
      </w:r>
    </w:p>
    <w:p>
      <w:pPr>
        <w:spacing w:line="500" w:lineRule="atLeast"/>
        <w:ind w:firstLine="480" w:firstLineChars="200"/>
        <w:rPr>
          <w:sz w:val="24"/>
        </w:rPr>
      </w:pPr>
      <w:r>
        <w:rPr>
          <w:rFonts w:hint="eastAsia"/>
          <w:sz w:val="24"/>
        </w:rPr>
        <w:t>⑤</w:t>
      </w:r>
      <w:r>
        <w:rPr>
          <w:sz w:val="24"/>
        </w:rPr>
        <w:t>发现断线或强烈光损耗(&gt;1dB)情况，应立即组织排除故障。</w:t>
      </w:r>
    </w:p>
    <w:p>
      <w:pPr>
        <w:spacing w:line="500" w:lineRule="atLeast"/>
        <w:ind w:firstLine="480" w:firstLineChars="200"/>
        <w:rPr>
          <w:sz w:val="24"/>
        </w:rPr>
      </w:pPr>
      <w:r>
        <w:rPr>
          <w:rFonts w:hint="eastAsia"/>
          <w:sz w:val="24"/>
        </w:rPr>
        <w:t>⑥</w:t>
      </w:r>
      <w:r>
        <w:rPr>
          <w:sz w:val="24"/>
        </w:rPr>
        <w:t>每段尾缆敷设完毕后，应立即对其施工质量进行检查和检验，确认光路通畅，其质量合格后，方可进行相关工程项目的继续施工。</w:t>
      </w:r>
    </w:p>
    <w:p>
      <w:pPr>
        <w:spacing w:line="500" w:lineRule="atLeast"/>
        <w:ind w:firstLine="480" w:firstLineChars="200"/>
        <w:rPr>
          <w:sz w:val="24"/>
        </w:rPr>
      </w:pPr>
      <w:r>
        <w:rPr>
          <w:sz w:val="24"/>
        </w:rPr>
        <w:t>4)  传感器尾缆</w:t>
      </w:r>
      <w:r>
        <w:rPr>
          <w:rFonts w:hint="eastAsia"/>
          <w:sz w:val="24"/>
        </w:rPr>
        <w:t>接入通讯</w:t>
      </w:r>
      <w:r>
        <w:rPr>
          <w:sz w:val="24"/>
        </w:rPr>
        <w:t>光缆</w:t>
      </w:r>
      <w:r>
        <w:rPr>
          <w:rFonts w:hint="eastAsia"/>
          <w:sz w:val="24"/>
        </w:rPr>
        <w:t>注意事项</w:t>
      </w:r>
    </w:p>
    <w:p>
      <w:pPr>
        <w:spacing w:line="500" w:lineRule="atLeast"/>
        <w:ind w:firstLine="480" w:firstLineChars="200"/>
        <w:rPr>
          <w:sz w:val="24"/>
        </w:rPr>
      </w:pPr>
      <w:r>
        <w:rPr>
          <w:rFonts w:hint="eastAsia"/>
          <w:sz w:val="24"/>
        </w:rPr>
        <w:t>光纤</w:t>
      </w:r>
      <w:r>
        <w:rPr>
          <w:sz w:val="24"/>
        </w:rPr>
        <w:t>尾</w:t>
      </w:r>
      <w:r>
        <w:rPr>
          <w:rFonts w:hint="eastAsia"/>
          <w:sz w:val="24"/>
        </w:rPr>
        <w:t>缆应足够长</w:t>
      </w:r>
      <w:r>
        <w:rPr>
          <w:sz w:val="24"/>
        </w:rPr>
        <w:t>，</w:t>
      </w:r>
      <w:r>
        <w:rPr>
          <w:rFonts w:hint="eastAsia"/>
          <w:sz w:val="24"/>
        </w:rPr>
        <w:t>尽量避免光纤熔接，降低光路光损，提高系统可靠性。</w:t>
      </w:r>
    </w:p>
    <w:p>
      <w:pPr>
        <w:spacing w:line="500" w:lineRule="atLeast"/>
        <w:ind w:firstLine="480" w:firstLineChars="200"/>
        <w:rPr>
          <w:sz w:val="24"/>
        </w:rPr>
      </w:pPr>
      <w:r>
        <w:rPr>
          <w:rFonts w:hint="eastAsia"/>
          <w:sz w:val="24"/>
        </w:rPr>
        <w:t>光纤</w:t>
      </w:r>
      <w:r>
        <w:rPr>
          <w:sz w:val="24"/>
        </w:rPr>
        <w:t>光栅传感器</w:t>
      </w:r>
      <w:r>
        <w:rPr>
          <w:rFonts w:hint="eastAsia"/>
          <w:sz w:val="24"/>
        </w:rPr>
        <w:t>之间</w:t>
      </w:r>
      <w:r>
        <w:rPr>
          <w:sz w:val="24"/>
        </w:rPr>
        <w:t>的尾</w:t>
      </w:r>
      <w:r>
        <w:rPr>
          <w:rFonts w:hint="eastAsia"/>
          <w:sz w:val="24"/>
        </w:rPr>
        <w:t>缆串联或</w:t>
      </w:r>
      <w:r>
        <w:rPr>
          <w:sz w:val="24"/>
        </w:rPr>
        <w:t>并联</w:t>
      </w:r>
      <w:r>
        <w:rPr>
          <w:rFonts w:hint="eastAsia"/>
          <w:sz w:val="24"/>
        </w:rPr>
        <w:t>的数量</w:t>
      </w:r>
      <w:r>
        <w:rPr>
          <w:sz w:val="24"/>
        </w:rPr>
        <w:t>一般为</w:t>
      </w:r>
      <w:r>
        <w:rPr>
          <w:rFonts w:hint="eastAsia"/>
          <w:sz w:val="24"/>
        </w:rPr>
        <w:t>3个</w:t>
      </w:r>
      <w:r>
        <w:rPr>
          <w:sz w:val="24"/>
        </w:rPr>
        <w:t>，不</w:t>
      </w:r>
      <w:r>
        <w:rPr>
          <w:rFonts w:hint="eastAsia"/>
          <w:sz w:val="24"/>
        </w:rPr>
        <w:t>宜</w:t>
      </w:r>
      <w:r>
        <w:rPr>
          <w:sz w:val="24"/>
        </w:rPr>
        <w:t>多于</w:t>
      </w:r>
      <w:r>
        <w:rPr>
          <w:rFonts w:hint="eastAsia"/>
          <w:sz w:val="24"/>
        </w:rPr>
        <w:t>4个</w:t>
      </w:r>
      <w:r>
        <w:rPr>
          <w:sz w:val="24"/>
        </w:rPr>
        <w:t>，</w:t>
      </w:r>
      <w:r>
        <w:rPr>
          <w:rFonts w:hint="eastAsia"/>
          <w:sz w:val="24"/>
        </w:rPr>
        <w:t>并且串联或</w:t>
      </w:r>
      <w:r>
        <w:rPr>
          <w:sz w:val="24"/>
        </w:rPr>
        <w:t>并联的传感器波长不能重叠</w:t>
      </w:r>
      <w:r>
        <w:rPr>
          <w:rFonts w:hint="eastAsia"/>
          <w:sz w:val="24"/>
        </w:rPr>
        <w:t>，</w:t>
      </w:r>
      <w:r>
        <w:rPr>
          <w:sz w:val="24"/>
        </w:rPr>
        <w:t>传感器尾缆</w:t>
      </w:r>
      <w:r>
        <w:rPr>
          <w:rFonts w:hint="eastAsia"/>
          <w:sz w:val="24"/>
        </w:rPr>
        <w:t>接入通讯</w:t>
      </w:r>
      <w:r>
        <w:rPr>
          <w:sz w:val="24"/>
        </w:rPr>
        <w:t>光缆</w:t>
      </w:r>
      <w:r>
        <w:rPr>
          <w:rFonts w:hint="eastAsia"/>
          <w:sz w:val="24"/>
        </w:rPr>
        <w:t>的</w:t>
      </w:r>
      <w:r>
        <w:rPr>
          <w:sz w:val="24"/>
        </w:rPr>
        <w:t>接头处应采用</w:t>
      </w:r>
      <w:r>
        <w:rPr>
          <w:rFonts w:hint="eastAsia"/>
          <w:sz w:val="24"/>
        </w:rPr>
        <w:t>接头保护盒</w:t>
      </w:r>
      <w:r>
        <w:rPr>
          <w:sz w:val="24"/>
        </w:rPr>
        <w:t>保护。传感尾纤和通信</w:t>
      </w:r>
      <w:r>
        <w:rPr>
          <w:rFonts w:hint="eastAsia"/>
          <w:sz w:val="24"/>
        </w:rPr>
        <w:t>光</w:t>
      </w:r>
      <w:r>
        <w:rPr>
          <w:sz w:val="24"/>
        </w:rPr>
        <w:t>缆应顺着保护管进入接头</w:t>
      </w:r>
      <w:r>
        <w:rPr>
          <w:rFonts w:hint="eastAsia"/>
          <w:sz w:val="24"/>
        </w:rPr>
        <w:t>保护</w:t>
      </w:r>
      <w:r>
        <w:rPr>
          <w:sz w:val="24"/>
        </w:rPr>
        <w:t>盒保护，接头盒出入口应设置橡胶止水环，光缆布置应当井然有序，接头</w:t>
      </w:r>
      <w:r>
        <w:rPr>
          <w:rFonts w:hint="eastAsia"/>
          <w:sz w:val="24"/>
        </w:rPr>
        <w:t>保护</w:t>
      </w:r>
      <w:r>
        <w:rPr>
          <w:sz w:val="24"/>
        </w:rPr>
        <w:t>盒内应放入袋装防潮剂和光纤接续责任卡，混凝土浇筑前接头盒必须进行防水封盖。</w:t>
      </w:r>
    </w:p>
    <w:p>
      <w:pPr>
        <w:spacing w:line="500" w:lineRule="atLeast"/>
        <w:ind w:firstLine="480" w:firstLineChars="200"/>
        <w:rPr>
          <w:sz w:val="24"/>
          <w:highlight w:val="none"/>
        </w:rPr>
      </w:pPr>
      <w:r>
        <w:rPr>
          <w:sz w:val="24"/>
          <w:highlight w:val="none"/>
        </w:rPr>
        <w:t>接头</w:t>
      </w:r>
      <w:r>
        <w:rPr>
          <w:rFonts w:hint="eastAsia"/>
          <w:sz w:val="24"/>
          <w:highlight w:val="none"/>
        </w:rPr>
        <w:t>保护</w:t>
      </w:r>
      <w:r>
        <w:rPr>
          <w:sz w:val="24"/>
          <w:highlight w:val="none"/>
        </w:rPr>
        <w:t>盒可根据工程需要定制生产，耐水压性能技术要求、检验方法和检验规则参照《</w:t>
      </w:r>
      <w:r>
        <w:rPr>
          <w:rFonts w:hint="eastAsia"/>
          <w:sz w:val="24"/>
          <w:highlight w:val="none"/>
        </w:rPr>
        <w:t>光缆接头</w:t>
      </w:r>
      <w:r>
        <w:rPr>
          <w:sz w:val="24"/>
          <w:highlight w:val="none"/>
        </w:rPr>
        <w:t>盒</w:t>
      </w:r>
      <w:r>
        <w:rPr>
          <w:rFonts w:hint="eastAsia"/>
          <w:sz w:val="24"/>
          <w:highlight w:val="none"/>
        </w:rPr>
        <w:t xml:space="preserve"> </w:t>
      </w:r>
      <w:r>
        <w:rPr>
          <w:sz w:val="24"/>
          <w:highlight w:val="none"/>
        </w:rPr>
        <w:t>第</w:t>
      </w:r>
      <w:r>
        <w:rPr>
          <w:rFonts w:hint="eastAsia"/>
          <w:sz w:val="24"/>
          <w:highlight w:val="none"/>
        </w:rPr>
        <w:t>3</w:t>
      </w:r>
      <w:r>
        <w:rPr>
          <w:sz w:val="24"/>
          <w:highlight w:val="none"/>
        </w:rPr>
        <w:t>部分：浅海</w:t>
      </w:r>
      <w:r>
        <w:rPr>
          <w:rFonts w:hint="eastAsia"/>
          <w:sz w:val="24"/>
          <w:highlight w:val="none"/>
        </w:rPr>
        <w:t>光缆接头</w:t>
      </w:r>
      <w:r>
        <w:rPr>
          <w:sz w:val="24"/>
          <w:highlight w:val="none"/>
        </w:rPr>
        <w:t>盒》YD/T814.3-2005，其它性能指标参照《</w:t>
      </w:r>
      <w:r>
        <w:rPr>
          <w:rFonts w:hint="eastAsia"/>
          <w:sz w:val="24"/>
          <w:highlight w:val="none"/>
        </w:rPr>
        <w:t>光缆接头</w:t>
      </w:r>
      <w:r>
        <w:rPr>
          <w:sz w:val="24"/>
          <w:highlight w:val="none"/>
        </w:rPr>
        <w:t>盒</w:t>
      </w:r>
      <w:r>
        <w:rPr>
          <w:rFonts w:hint="eastAsia"/>
          <w:sz w:val="24"/>
          <w:highlight w:val="none"/>
        </w:rPr>
        <w:t xml:space="preserve"> </w:t>
      </w:r>
      <w:r>
        <w:rPr>
          <w:sz w:val="24"/>
          <w:highlight w:val="none"/>
        </w:rPr>
        <w:t>第</w:t>
      </w:r>
      <w:r>
        <w:rPr>
          <w:rFonts w:hint="eastAsia"/>
          <w:sz w:val="24"/>
          <w:highlight w:val="none"/>
        </w:rPr>
        <w:t>1</w:t>
      </w:r>
      <w:r>
        <w:rPr>
          <w:sz w:val="24"/>
          <w:highlight w:val="none"/>
        </w:rPr>
        <w:t>部分：</w:t>
      </w:r>
      <w:r>
        <w:rPr>
          <w:rFonts w:hint="eastAsia"/>
          <w:sz w:val="24"/>
          <w:highlight w:val="none"/>
        </w:rPr>
        <w:t>室外光缆</w:t>
      </w:r>
      <w:r>
        <w:rPr>
          <w:sz w:val="24"/>
          <w:highlight w:val="none"/>
        </w:rPr>
        <w:t>接头盒》YD/T814.1-2013标准执行。</w:t>
      </w:r>
    </w:p>
    <w:p>
      <w:pPr>
        <w:spacing w:line="500" w:lineRule="atLeast"/>
        <w:ind w:firstLine="480" w:firstLineChars="200"/>
        <w:rPr>
          <w:sz w:val="24"/>
        </w:rPr>
      </w:pPr>
      <w:r>
        <w:rPr>
          <w:sz w:val="24"/>
        </w:rPr>
        <w:t>接头</w:t>
      </w:r>
      <w:r>
        <w:rPr>
          <w:rFonts w:hint="eastAsia"/>
          <w:sz w:val="24"/>
        </w:rPr>
        <w:t>保护</w:t>
      </w:r>
      <w:r>
        <w:rPr>
          <w:sz w:val="24"/>
        </w:rPr>
        <w:t>盒的尺寸需满足保护分路器和断面尾缆汇接的空间要求，光缆安放装置有顺序地存放光纤接头和足够长的余留光纤，余留光纤盘放的曲率半径应不小于30.0mm。</w:t>
      </w:r>
    </w:p>
    <w:p>
      <w:pPr>
        <w:spacing w:line="500" w:lineRule="atLeast"/>
        <w:ind w:firstLine="480" w:firstLineChars="200"/>
        <w:rPr>
          <w:sz w:val="24"/>
        </w:rPr>
      </w:pPr>
      <w:r>
        <w:rPr>
          <w:rFonts w:hint="eastAsia"/>
          <w:sz w:val="24"/>
        </w:rPr>
        <w:t>(</w:t>
      </w:r>
      <w:r>
        <w:rPr>
          <w:sz w:val="24"/>
        </w:rPr>
        <w:t>4</w:t>
      </w:r>
      <w:r>
        <w:rPr>
          <w:rFonts w:hint="eastAsia"/>
          <w:sz w:val="24"/>
        </w:rPr>
        <w:t>)</w:t>
      </w:r>
      <w:r>
        <w:rPr>
          <w:sz w:val="24"/>
        </w:rPr>
        <w:t xml:space="preserve">  </w:t>
      </w:r>
      <w:r>
        <w:rPr>
          <w:rFonts w:hint="eastAsia"/>
          <w:sz w:val="24"/>
        </w:rPr>
        <w:t>线</w:t>
      </w:r>
      <w:r>
        <w:rPr>
          <w:sz w:val="24"/>
        </w:rPr>
        <w:t>缆的跨缝保护</w:t>
      </w:r>
    </w:p>
    <w:p>
      <w:pPr>
        <w:spacing w:line="500" w:lineRule="atLeast"/>
        <w:ind w:firstLine="480" w:firstLineChars="200"/>
        <w:rPr>
          <w:sz w:val="24"/>
        </w:rPr>
      </w:pPr>
      <w:r>
        <w:rPr>
          <w:rFonts w:hint="eastAsia"/>
          <w:sz w:val="24"/>
        </w:rPr>
        <w:t>线</w:t>
      </w:r>
      <w:r>
        <w:rPr>
          <w:sz w:val="24"/>
        </w:rPr>
        <w:t>缆跨施工缝或结构缝布置时，应采用穿管过缝的保护措施，防止由于缝面张开或剪切变形而拉断</w:t>
      </w:r>
      <w:r>
        <w:rPr>
          <w:rFonts w:hint="eastAsia"/>
          <w:sz w:val="24"/>
        </w:rPr>
        <w:t>线</w:t>
      </w:r>
      <w:r>
        <w:rPr>
          <w:sz w:val="24"/>
        </w:rPr>
        <w:t>缆，具体要求如下：</w:t>
      </w:r>
    </w:p>
    <w:p>
      <w:pPr>
        <w:spacing w:line="500" w:lineRule="atLeast"/>
        <w:ind w:firstLine="480"/>
        <w:rPr>
          <w:sz w:val="24"/>
        </w:rPr>
      </w:pPr>
      <w:r>
        <w:rPr>
          <w:rFonts w:hint="eastAsia"/>
          <w:sz w:val="24"/>
        </w:rPr>
        <w:t>1)</w:t>
      </w:r>
      <w:r>
        <w:rPr>
          <w:sz w:val="24"/>
        </w:rPr>
        <w:t xml:space="preserve">  线缆跨缝保护管直径应足够大(为</w:t>
      </w:r>
      <w:r>
        <w:rPr>
          <w:rFonts w:hint="eastAsia"/>
          <w:sz w:val="24"/>
        </w:rPr>
        <w:t>线</w:t>
      </w:r>
      <w:r>
        <w:rPr>
          <w:sz w:val="24"/>
        </w:rPr>
        <w:t>缆束直径的1.5～2.0倍)，使得电缆在管内可以松弛放置；</w:t>
      </w:r>
    </w:p>
    <w:p>
      <w:pPr>
        <w:spacing w:line="500" w:lineRule="atLeast"/>
        <w:ind w:firstLine="480" w:firstLineChars="200"/>
        <w:rPr>
          <w:sz w:val="24"/>
        </w:rPr>
      </w:pPr>
      <w:r>
        <w:rPr>
          <w:rFonts w:hint="eastAsia"/>
          <w:sz w:val="24"/>
        </w:rPr>
        <w:t xml:space="preserve">2) </w:t>
      </w:r>
      <w:r>
        <w:rPr>
          <w:sz w:val="24"/>
        </w:rPr>
        <w:t xml:space="preserve"> </w:t>
      </w:r>
      <w:r>
        <w:rPr>
          <w:rFonts w:hint="eastAsia"/>
          <w:sz w:val="24"/>
        </w:rPr>
        <w:t>线</w:t>
      </w:r>
      <w:r>
        <w:rPr>
          <w:sz w:val="24"/>
        </w:rPr>
        <w:t>缆应用布条包扎，其包扎长度应延伸至保护管外，管口用涂有黄油的棉纱或麻丝封口；</w:t>
      </w:r>
    </w:p>
    <w:p>
      <w:pPr>
        <w:spacing w:line="500" w:lineRule="atLeast"/>
        <w:ind w:firstLine="480" w:firstLineChars="200"/>
        <w:rPr>
          <w:sz w:val="24"/>
        </w:rPr>
      </w:pPr>
      <w:r>
        <w:rPr>
          <w:rFonts w:hint="eastAsia"/>
          <w:sz w:val="24"/>
        </w:rPr>
        <w:t xml:space="preserve">3) </w:t>
      </w:r>
      <w:r>
        <w:rPr>
          <w:sz w:val="24"/>
        </w:rPr>
        <w:t xml:space="preserve"> 跨缝管段应有伸缩管，以免因保护管</w:t>
      </w:r>
      <w:r>
        <w:rPr>
          <w:rFonts w:hint="eastAsia"/>
          <w:sz w:val="24"/>
        </w:rPr>
        <w:t>伸</w:t>
      </w:r>
      <w:r>
        <w:rPr>
          <w:sz w:val="24"/>
        </w:rPr>
        <w:t>缩而造成局部混凝土开裂；</w:t>
      </w:r>
    </w:p>
    <w:p>
      <w:pPr>
        <w:spacing w:line="500" w:lineRule="atLeast"/>
        <w:ind w:firstLine="480" w:firstLineChars="200"/>
        <w:rPr>
          <w:sz w:val="24"/>
        </w:rPr>
      </w:pPr>
      <w:r>
        <w:rPr>
          <w:rFonts w:hint="eastAsia"/>
          <w:sz w:val="24"/>
        </w:rPr>
        <w:t xml:space="preserve">4) </w:t>
      </w:r>
      <w:r>
        <w:rPr>
          <w:sz w:val="24"/>
        </w:rPr>
        <w:t xml:space="preserve"> 当</w:t>
      </w:r>
      <w:r>
        <w:rPr>
          <w:rFonts w:hint="eastAsia"/>
          <w:sz w:val="24"/>
        </w:rPr>
        <w:t>线</w:t>
      </w:r>
      <w:r>
        <w:rPr>
          <w:sz w:val="24"/>
        </w:rPr>
        <w:t>缆从先浇块引至后浇块而过缝时应采用预埋</w:t>
      </w:r>
      <w:r>
        <w:rPr>
          <w:rFonts w:hint="eastAsia"/>
          <w:sz w:val="24"/>
        </w:rPr>
        <w:t>线</w:t>
      </w:r>
      <w:r>
        <w:rPr>
          <w:sz w:val="24"/>
        </w:rPr>
        <w:t>缆储存盒的方法过缝，盒内</w:t>
      </w:r>
      <w:r>
        <w:rPr>
          <w:rFonts w:hint="eastAsia"/>
          <w:sz w:val="24"/>
        </w:rPr>
        <w:t>线</w:t>
      </w:r>
      <w:r>
        <w:rPr>
          <w:sz w:val="24"/>
        </w:rPr>
        <w:t>缆段用布条包扎并松弛放置。还应采取措施防止水泥浆流入盒内。</w:t>
      </w:r>
    </w:p>
    <w:p>
      <w:pPr>
        <w:pStyle w:val="22"/>
      </w:pPr>
    </w:p>
    <w:p>
      <w:pPr>
        <w:pStyle w:val="5"/>
        <w:spacing w:before="0" w:after="0" w:line="500" w:lineRule="atLeast"/>
        <w:jc w:val="both"/>
        <w:rPr>
          <w:szCs w:val="24"/>
        </w:rPr>
      </w:pPr>
      <w:bookmarkStart w:id="478" w:name="_Toc15795"/>
      <w:bookmarkStart w:id="479" w:name="_Toc7984"/>
      <w:bookmarkStart w:id="480" w:name="_Toc118821500"/>
      <w:r>
        <w:rPr>
          <w:szCs w:val="24"/>
        </w:rPr>
        <w:t>3.</w:t>
      </w:r>
      <w:r>
        <w:rPr>
          <w:rFonts w:hint="eastAsia"/>
          <w:szCs w:val="24"/>
        </w:rPr>
        <w:t>2.6</w:t>
      </w:r>
      <w:r>
        <w:rPr>
          <w:szCs w:val="24"/>
        </w:rPr>
        <w:t xml:space="preserve"> </w:t>
      </w:r>
      <w:r>
        <w:rPr>
          <w:rFonts w:hint="eastAsia"/>
          <w:szCs w:val="24"/>
        </w:rPr>
        <w:t xml:space="preserve"> </w:t>
      </w:r>
      <w:r>
        <w:rPr>
          <w:szCs w:val="24"/>
        </w:rPr>
        <w:t>其它仪器和设备</w:t>
      </w:r>
      <w:bookmarkEnd w:id="473"/>
      <w:bookmarkEnd w:id="474"/>
      <w:bookmarkEnd w:id="475"/>
      <w:bookmarkEnd w:id="476"/>
      <w:bookmarkEnd w:id="477"/>
      <w:bookmarkEnd w:id="478"/>
      <w:bookmarkEnd w:id="479"/>
      <w:bookmarkEnd w:id="480"/>
    </w:p>
    <w:p>
      <w:pPr>
        <w:adjustRightInd w:val="0"/>
        <w:snapToGrid w:val="0"/>
        <w:spacing w:line="500" w:lineRule="atLeast"/>
        <w:ind w:firstLine="480" w:firstLineChars="200"/>
        <w:rPr>
          <w:sz w:val="24"/>
        </w:rPr>
        <w:sectPr>
          <w:pgSz w:w="11906" w:h="16838"/>
          <w:pgMar w:top="1440" w:right="1588" w:bottom="1440" w:left="1985" w:header="851" w:footer="992" w:gutter="0"/>
          <w:cols w:space="720" w:num="1"/>
          <w:docGrid w:linePitch="312" w:charSpace="0"/>
        </w:sectPr>
      </w:pPr>
      <w:r>
        <w:rPr>
          <w:sz w:val="24"/>
        </w:rPr>
        <w:t>其他仪器和设备的安装埋设应根据《混凝土坝安全监测技术规范》 (SL601-2013)和《土石坝安全监测技术规范》(SL 551-2012)、《</w:t>
      </w:r>
      <w:r>
        <w:rPr>
          <w:rFonts w:hint="eastAsia"/>
          <w:sz w:val="24"/>
        </w:rPr>
        <w:t>大坝安全监测仪器安装标准</w:t>
      </w:r>
      <w:r>
        <w:rPr>
          <w:sz w:val="24"/>
        </w:rPr>
        <w:t>》(SL 531-2012)</w:t>
      </w:r>
      <w:r>
        <w:rPr>
          <w:rFonts w:hint="eastAsia"/>
          <w:sz w:val="24"/>
        </w:rPr>
        <w:t>、</w:t>
      </w:r>
      <w:r>
        <w:rPr>
          <w:sz w:val="24"/>
        </w:rPr>
        <w:t>仪器的使用说明书（有效版本）、施工图纸的要求和监理人的指示进行。</w:t>
      </w:r>
      <w:bookmarkStart w:id="481" w:name="_Toc232162601"/>
      <w:bookmarkStart w:id="482" w:name="_Toc249322072"/>
    </w:p>
    <w:p>
      <w:pPr>
        <w:pStyle w:val="3"/>
        <w:spacing w:before="0" w:after="0" w:line="500" w:lineRule="atLeast"/>
        <w:jc w:val="center"/>
        <w:rPr>
          <w:rFonts w:ascii="黑体" w:hAnsi="黑体" w:eastAsia="黑体"/>
          <w:b w:val="0"/>
          <w:sz w:val="30"/>
        </w:rPr>
      </w:pPr>
      <w:bookmarkStart w:id="483" w:name="_Toc414615077"/>
      <w:bookmarkStart w:id="484" w:name="_Toc24015"/>
      <w:bookmarkStart w:id="485" w:name="_Toc414615229"/>
      <w:bookmarkStart w:id="486" w:name="_Toc414549230"/>
      <w:bookmarkStart w:id="487" w:name="_Toc414615012"/>
      <w:bookmarkStart w:id="488" w:name="_Toc118821501"/>
      <w:bookmarkStart w:id="489" w:name="_Toc414549296"/>
      <w:r>
        <w:rPr>
          <w:rFonts w:ascii="黑体" w:hAnsi="黑体" w:eastAsia="黑体"/>
          <w:b w:val="0"/>
          <w:sz w:val="30"/>
        </w:rPr>
        <w:t>第四章  与仪器安装埋设相关的土建工程</w:t>
      </w:r>
      <w:bookmarkEnd w:id="481"/>
      <w:bookmarkEnd w:id="482"/>
      <w:bookmarkEnd w:id="483"/>
      <w:bookmarkEnd w:id="484"/>
      <w:bookmarkEnd w:id="485"/>
      <w:bookmarkEnd w:id="486"/>
      <w:bookmarkEnd w:id="487"/>
      <w:bookmarkEnd w:id="488"/>
      <w:bookmarkEnd w:id="489"/>
    </w:p>
    <w:p/>
    <w:p>
      <w:pPr>
        <w:pStyle w:val="4"/>
        <w:adjustRightInd w:val="0"/>
        <w:snapToGrid w:val="0"/>
        <w:spacing w:before="0" w:after="0" w:line="500" w:lineRule="atLeast"/>
        <w:rPr>
          <w:rFonts w:ascii="Times New Roman" w:hAnsi="Times New Roman"/>
          <w:sz w:val="24"/>
          <w:szCs w:val="24"/>
        </w:rPr>
      </w:pPr>
      <w:bookmarkStart w:id="490" w:name="_Toc9898"/>
      <w:bookmarkStart w:id="491" w:name="_Toc249322073"/>
      <w:bookmarkStart w:id="492" w:name="_Toc118821502"/>
      <w:bookmarkStart w:id="493" w:name="_Toc414615078"/>
      <w:bookmarkStart w:id="494" w:name="_Toc414615230"/>
      <w:bookmarkStart w:id="495" w:name="_Toc232162602"/>
      <w:r>
        <w:rPr>
          <w:rFonts w:ascii="Times New Roman" w:hAnsi="Times New Roman"/>
          <w:sz w:val="24"/>
          <w:szCs w:val="24"/>
        </w:rPr>
        <w:t xml:space="preserve">4.1  </w:t>
      </w:r>
      <w:r>
        <w:rPr>
          <w:rFonts w:ascii="黑体" w:hAnsi="黑体" w:eastAsia="黑体"/>
          <w:b w:val="0"/>
          <w:sz w:val="24"/>
          <w:szCs w:val="24"/>
        </w:rPr>
        <w:t>材料</w:t>
      </w:r>
      <w:bookmarkEnd w:id="490"/>
      <w:bookmarkEnd w:id="491"/>
      <w:bookmarkEnd w:id="492"/>
      <w:bookmarkEnd w:id="493"/>
      <w:bookmarkEnd w:id="494"/>
      <w:bookmarkEnd w:id="495"/>
      <w:bookmarkStart w:id="496" w:name="_Toc232162603"/>
    </w:p>
    <w:p>
      <w:pPr>
        <w:pStyle w:val="5"/>
        <w:spacing w:before="0" w:after="0" w:line="500" w:lineRule="atLeast"/>
        <w:jc w:val="both"/>
        <w:rPr>
          <w:szCs w:val="24"/>
        </w:rPr>
      </w:pPr>
      <w:bookmarkStart w:id="497" w:name="_Toc7008"/>
      <w:bookmarkStart w:id="498" w:name="_Toc118821503"/>
      <w:r>
        <w:rPr>
          <w:szCs w:val="24"/>
        </w:rPr>
        <w:t>4.1.1  说明</w:t>
      </w:r>
      <w:bookmarkEnd w:id="496"/>
      <w:bookmarkEnd w:id="497"/>
      <w:bookmarkEnd w:id="498"/>
    </w:p>
    <w:p>
      <w:pPr>
        <w:adjustRightInd w:val="0"/>
        <w:snapToGrid w:val="0"/>
        <w:spacing w:line="500" w:lineRule="atLeast"/>
        <w:ind w:firstLine="480" w:firstLineChars="200"/>
        <w:rPr>
          <w:sz w:val="24"/>
        </w:rPr>
      </w:pPr>
      <w:r>
        <w:rPr>
          <w:sz w:val="24"/>
        </w:rPr>
        <w:t>(1)  承包人应负责采购、运输、储存、保管、完成开挖、除规定要求由主标土建承包商完成以外的钻孔、钻孔回填和混凝土浇筑等作业所需的全部材料。每批采购的水泥、外加剂和掺和料等，均应符合有关的材料质量标准，附有生产厂家的质量证明书及出厂检验单，并经监理人批准后方可使用。</w:t>
      </w:r>
    </w:p>
    <w:p>
      <w:pPr>
        <w:adjustRightInd w:val="0"/>
        <w:snapToGrid w:val="0"/>
        <w:spacing w:line="500" w:lineRule="atLeast"/>
        <w:ind w:firstLine="480" w:firstLineChars="200"/>
        <w:rPr>
          <w:sz w:val="24"/>
        </w:rPr>
      </w:pPr>
      <w:r>
        <w:rPr>
          <w:sz w:val="24"/>
        </w:rPr>
        <w:t>(2)  在有主标土建承包商配合的工作面，发包人协调主标土建承包商向承包人提供现场的水源、用电接口，费用由承包人支付。其他工作面由承包人自行解决。</w:t>
      </w:r>
    </w:p>
    <w:p>
      <w:pPr>
        <w:adjustRightInd w:val="0"/>
        <w:snapToGrid w:val="0"/>
        <w:spacing w:line="500" w:lineRule="atLeast"/>
        <w:ind w:firstLine="480" w:firstLineChars="200"/>
        <w:rPr>
          <w:sz w:val="24"/>
        </w:rPr>
      </w:pPr>
    </w:p>
    <w:p>
      <w:pPr>
        <w:pStyle w:val="5"/>
        <w:spacing w:before="0" w:after="0" w:line="500" w:lineRule="atLeast"/>
        <w:jc w:val="both"/>
        <w:rPr>
          <w:szCs w:val="24"/>
        </w:rPr>
      </w:pPr>
      <w:bookmarkStart w:id="499" w:name="_Toc30493"/>
      <w:bookmarkStart w:id="500" w:name="_Toc118821504"/>
      <w:bookmarkStart w:id="501" w:name="_Toc232162604"/>
      <w:r>
        <w:rPr>
          <w:szCs w:val="24"/>
        </w:rPr>
        <w:t>4.1.2  水泥</w:t>
      </w:r>
      <w:bookmarkEnd w:id="499"/>
      <w:bookmarkEnd w:id="500"/>
      <w:bookmarkEnd w:id="501"/>
    </w:p>
    <w:p>
      <w:pPr>
        <w:adjustRightInd w:val="0"/>
        <w:snapToGrid w:val="0"/>
        <w:spacing w:line="500" w:lineRule="atLeast"/>
        <w:ind w:firstLine="480" w:firstLineChars="200"/>
        <w:rPr>
          <w:sz w:val="24"/>
        </w:rPr>
      </w:pPr>
      <w:r>
        <w:rPr>
          <w:sz w:val="24"/>
        </w:rPr>
        <w:t>(1)  承包人应按各建筑物部位施工图纸的要求或监理人指示，选用配置混凝</w:t>
      </w:r>
      <w:r>
        <w:rPr>
          <w:spacing w:val="-6"/>
          <w:sz w:val="24"/>
        </w:rPr>
        <w:t>土和钻孔回填及灌浆用的水泥品种。钻孔回填及灌浆的水泥标号应是不低于</w:t>
      </w:r>
      <w:r>
        <w:rPr>
          <w:rFonts w:hint="eastAsia"/>
          <w:spacing w:val="-6"/>
          <w:sz w:val="24"/>
          <w:highlight w:val="yellow"/>
        </w:rPr>
        <w:t>4</w:t>
      </w:r>
      <w:r>
        <w:rPr>
          <w:spacing w:val="-6"/>
          <w:sz w:val="24"/>
          <w:highlight w:val="yellow"/>
        </w:rPr>
        <w:t>25</w:t>
      </w:r>
      <w:r>
        <w:rPr>
          <w:rFonts w:hint="eastAsia"/>
          <w:spacing w:val="-6"/>
          <w:sz w:val="24"/>
          <w:highlight w:val="yellow"/>
        </w:rPr>
        <w:t>号</w:t>
      </w:r>
      <w:r>
        <w:rPr>
          <w:sz w:val="24"/>
        </w:rPr>
        <w:t>的普通硅酸盐水泥，建筑与装修工程的水泥标号应是不低于425号的普通硅酸盐水泥或硅酸盐水泥。</w:t>
      </w:r>
    </w:p>
    <w:p>
      <w:pPr>
        <w:adjustRightInd w:val="0"/>
        <w:snapToGrid w:val="0"/>
        <w:spacing w:line="500" w:lineRule="atLeast"/>
        <w:ind w:firstLine="480" w:firstLineChars="200"/>
        <w:rPr>
          <w:sz w:val="24"/>
        </w:rPr>
      </w:pPr>
      <w:r>
        <w:rPr>
          <w:sz w:val="24"/>
        </w:rPr>
        <w:t>(2)  各种水泥均应符合国家和行业的现行标准。每批水泥发货时均应附有出厂合格证和复检资料。每批水泥运至工地后，监理人有权对水泥进行查库和抽样检测，当发现库存或到货水泥不符合本技术文件的要求时，监理人有权通知承包人停止使用。</w:t>
      </w:r>
    </w:p>
    <w:p>
      <w:pPr>
        <w:adjustRightInd w:val="0"/>
        <w:snapToGrid w:val="0"/>
        <w:spacing w:line="500" w:lineRule="atLeast"/>
        <w:ind w:firstLine="480" w:firstLineChars="200"/>
        <w:rPr>
          <w:sz w:val="24"/>
        </w:rPr>
      </w:pPr>
      <w:r>
        <w:rPr>
          <w:sz w:val="24"/>
        </w:rPr>
        <w:t>(3)  水泥运输和贮存过程中应注意其品种和标号不得混杂，到货的水泥应按不同品种、标号、出厂批号、袋装或散装等，分别贮放在专用的仓库或储罐中，防止因贮存不当引起水泥变质。</w:t>
      </w:r>
    </w:p>
    <w:p>
      <w:pPr>
        <w:adjustRightInd w:val="0"/>
        <w:snapToGrid w:val="0"/>
        <w:spacing w:line="500" w:lineRule="atLeast"/>
        <w:ind w:firstLine="480" w:firstLineChars="200"/>
        <w:rPr>
          <w:sz w:val="24"/>
        </w:rPr>
      </w:pPr>
      <w:r>
        <w:rPr>
          <w:sz w:val="24"/>
        </w:rPr>
        <w:t>(4)  水泥不应存放过久，袋装水泥的出厂日期不应超过3个月，快硬水泥不应超过1个月，袋装水泥的堆放高度不得超过15袋。承包人应采取有效措施防止水泥受潮，不得使用受潮结块的水泥。</w:t>
      </w:r>
    </w:p>
    <w:p>
      <w:pPr>
        <w:pStyle w:val="5"/>
        <w:spacing w:before="0" w:after="0" w:line="500" w:lineRule="atLeast"/>
        <w:jc w:val="both"/>
        <w:rPr>
          <w:szCs w:val="24"/>
        </w:rPr>
      </w:pPr>
      <w:bookmarkStart w:id="502" w:name="_Toc118821505"/>
      <w:bookmarkStart w:id="503" w:name="_Toc32573"/>
      <w:r>
        <w:rPr>
          <w:rFonts w:hint="eastAsia"/>
          <w:szCs w:val="24"/>
        </w:rPr>
        <w:t>4.1.3  钢筋</w:t>
      </w:r>
      <w:bookmarkEnd w:id="502"/>
      <w:bookmarkEnd w:id="503"/>
    </w:p>
    <w:p>
      <w:pPr>
        <w:adjustRightInd w:val="0"/>
        <w:snapToGrid w:val="0"/>
        <w:spacing w:line="500" w:lineRule="atLeast"/>
        <w:ind w:firstLine="480" w:firstLineChars="200"/>
        <w:rPr>
          <w:sz w:val="24"/>
        </w:rPr>
      </w:pPr>
      <w:r>
        <w:rPr>
          <w:sz w:val="24"/>
        </w:rPr>
        <w:t>(1)  钢筋混凝土结构用的钢筋应符合热轧钢筋主要性能的要求；</w:t>
      </w:r>
    </w:p>
    <w:p>
      <w:pPr>
        <w:adjustRightInd w:val="0"/>
        <w:snapToGrid w:val="0"/>
        <w:spacing w:line="500" w:lineRule="atLeast"/>
        <w:ind w:firstLine="480" w:firstLineChars="200"/>
        <w:rPr>
          <w:sz w:val="24"/>
        </w:rPr>
      </w:pPr>
      <w:r>
        <w:rPr>
          <w:sz w:val="24"/>
        </w:rPr>
        <w:t>(2)  每批钢筋均应附有产品质量证明书及出厂检验单，承包人在使用前应分批进行以下钢筋机械性能试验：</w:t>
      </w:r>
    </w:p>
    <w:p>
      <w:pPr>
        <w:adjustRightInd w:val="0"/>
        <w:snapToGrid w:val="0"/>
        <w:spacing w:line="500" w:lineRule="atLeast"/>
        <w:ind w:firstLine="480" w:firstLineChars="200"/>
        <w:rPr>
          <w:sz w:val="24"/>
        </w:rPr>
      </w:pPr>
      <w:r>
        <w:rPr>
          <w:sz w:val="24"/>
        </w:rPr>
        <w:t>1)  钢筋分批试验，以同一炉(批)号、同一截面尺寸的钢筋为一批，取样的重量不大于60kg；</w:t>
      </w:r>
    </w:p>
    <w:p>
      <w:pPr>
        <w:adjustRightInd w:val="0"/>
        <w:snapToGrid w:val="0"/>
        <w:spacing w:line="500" w:lineRule="atLeast"/>
        <w:ind w:firstLine="480" w:firstLineChars="200"/>
        <w:rPr>
          <w:sz w:val="24"/>
        </w:rPr>
      </w:pPr>
      <w:r>
        <w:rPr>
          <w:sz w:val="24"/>
        </w:rPr>
        <w:t>2)  根据厂家提供的钢筋质量证明书，检查每批钢筋的外表质量，并测量每批钢筋的代表直径；</w:t>
      </w:r>
    </w:p>
    <w:p>
      <w:pPr>
        <w:adjustRightInd w:val="0"/>
        <w:snapToGrid w:val="0"/>
        <w:spacing w:line="500" w:lineRule="atLeast"/>
        <w:ind w:firstLine="480" w:firstLineChars="200"/>
        <w:rPr>
          <w:sz w:val="24"/>
        </w:rPr>
      </w:pPr>
      <w:r>
        <w:rPr>
          <w:sz w:val="24"/>
        </w:rPr>
        <w:t>3)  在每批钢筋中，选取经表面检查和尺寸测量合格的两根钢筋中各取一个拉力试件(含屈服点，抗拉强度和延伸率试验)和一个冷弯试验．如一组试验项目的一个试件不符合监理人规定数值时，则另取两倍数量的试件，对不合格的项目作第二次试验，如有一个试件不合格，则该批钢筋为不合格产品。</w:t>
      </w:r>
    </w:p>
    <w:p>
      <w:pPr>
        <w:adjustRightInd w:val="0"/>
        <w:snapToGrid w:val="0"/>
        <w:spacing w:line="500" w:lineRule="atLeast"/>
        <w:rPr>
          <w:sz w:val="24"/>
        </w:rPr>
      </w:pPr>
    </w:p>
    <w:p>
      <w:pPr>
        <w:pStyle w:val="5"/>
        <w:spacing w:before="0" w:after="0" w:line="500" w:lineRule="atLeast"/>
        <w:jc w:val="both"/>
        <w:rPr>
          <w:szCs w:val="24"/>
        </w:rPr>
      </w:pPr>
      <w:bookmarkStart w:id="504" w:name="_Toc31237"/>
      <w:bookmarkStart w:id="505" w:name="_Toc232162606"/>
      <w:bookmarkStart w:id="506" w:name="_Toc118821506"/>
      <w:r>
        <w:rPr>
          <w:szCs w:val="24"/>
        </w:rPr>
        <w:t>4.1.4  骨料</w:t>
      </w:r>
      <w:bookmarkEnd w:id="504"/>
      <w:bookmarkEnd w:id="505"/>
      <w:bookmarkEnd w:id="506"/>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(1)  对含有活性成分的骨料承包人必须进行专门试验论证，并经监理人批准后，方可使用。</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(2)  不同粒径的骨料应分别堆存，严禁相互混杂和混入泥土；装卸时，粒径大于40mm的粗骨料的净自由落差不应大于3m，应避免造成骨料的严重破碎。</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(3)  细骨料的质量技术要求规定如下：</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1)  细骨料的细度模数，应在2.4～3.0范围内，测试方法按《水工混凝土试验规程》SL352-20</w:t>
      </w:r>
      <w:r>
        <w:rPr>
          <w:rFonts w:hint="eastAsia" w:ascii="Times New Roman" w:hAnsi="Times New Roman"/>
          <w:sz w:val="24"/>
          <w:szCs w:val="24"/>
          <w:lang w:val="en-US" w:eastAsia="zh-CN"/>
        </w:rPr>
        <w:t>20</w:t>
      </w:r>
      <w:r>
        <w:rPr>
          <w:rFonts w:ascii="Times New Roman" w:hAnsi="Times New Roman"/>
          <w:sz w:val="24"/>
          <w:szCs w:val="24"/>
        </w:rPr>
        <w:t>有关的规定进行；</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2)  钻孔回填中水泥砂浆的用砂采用最大粒径小于2.5mm的中细砂；</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3)  砂料应质地坚硬、清洁、级配良好，使用山砂、特细砂应经过试验论证；</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4)  天然砂料按粒径分为两级，人工砂可不分级；</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5)  砂料中有活性骨料时，必须进行专门试验论证；</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6)  其它砂的质量技术要求应符合《水工混凝土施工规范》SL677-2014中的规定。</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(4)  粗骨料的质量要求应符合以下规定：</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1)  粗骨料的最大粒径，不应超过钢筋最小净间距的2/3及构件断面最小边长的1/4，素混凝土板厚的1/2，对少筋或无筋结构，应选用较大的粗骨料粒径。</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2)  施工中应将骨料按粒径分成下列几种级配：</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二级配：分成5～20mm和20～40mm，最大粒径为40mm；</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三级配：分成5～20mm、20～40mm和40～80mm，最大粒径为80mm；</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四级配：分成5～20mm、20～40mm、40～80mm和80～150mm(或120mm)，最大粒径为150mm(或120mm)。</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采用连续级配或间断级配，应由试验确定并经监理人同意，如采用间断级配，应注意混凝土运输中骨料的分离问题；</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3)  含有活性骨料、黄锈等的粗骨料，必须进行专门试验论证后，才能使用；</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4)  其它粗骨料的质量要求应符合《水工混凝土施工规范》SL677-2014中的规定。</w:t>
      </w:r>
    </w:p>
    <w:p>
      <w:pPr>
        <w:pStyle w:val="45"/>
        <w:spacing w:line="500" w:lineRule="atLeast"/>
        <w:ind w:firstLine="480" w:firstLineChars="200"/>
        <w:rPr>
          <w:rFonts w:ascii="Times New Roman" w:hAnsi="Times New Roman"/>
          <w:sz w:val="24"/>
          <w:szCs w:val="24"/>
        </w:rPr>
      </w:pPr>
    </w:p>
    <w:p>
      <w:pPr>
        <w:pStyle w:val="5"/>
        <w:spacing w:before="0" w:after="0" w:line="500" w:lineRule="atLeast"/>
        <w:jc w:val="both"/>
        <w:rPr>
          <w:szCs w:val="24"/>
        </w:rPr>
      </w:pPr>
      <w:bookmarkStart w:id="507" w:name="_Toc118821507"/>
      <w:bookmarkStart w:id="508" w:name="_Toc24738"/>
      <w:bookmarkStart w:id="509" w:name="_Toc232162607"/>
      <w:r>
        <w:rPr>
          <w:szCs w:val="24"/>
        </w:rPr>
        <w:t>4.1.5  水</w:t>
      </w:r>
      <w:bookmarkEnd w:id="507"/>
      <w:bookmarkEnd w:id="508"/>
      <w:bookmarkEnd w:id="509"/>
    </w:p>
    <w:p>
      <w:pPr>
        <w:autoSpaceDE w:val="0"/>
        <w:autoSpaceDN w:val="0"/>
        <w:adjustRightInd w:val="0"/>
        <w:snapToGrid w:val="0"/>
        <w:spacing w:line="500" w:lineRule="atLeast"/>
        <w:ind w:firstLine="480" w:firstLineChars="200"/>
        <w:rPr>
          <w:kern w:val="0"/>
          <w:sz w:val="24"/>
        </w:rPr>
      </w:pPr>
      <w:r>
        <w:rPr>
          <w:kern w:val="0"/>
          <w:sz w:val="24"/>
        </w:rPr>
        <w:t>(1)  凡适宜饮用的水均可使用，未经处理的工业废水不得使用。</w:t>
      </w:r>
    </w:p>
    <w:p>
      <w:pPr>
        <w:autoSpaceDE w:val="0"/>
        <w:autoSpaceDN w:val="0"/>
        <w:adjustRightInd w:val="0"/>
        <w:snapToGrid w:val="0"/>
        <w:spacing w:line="500" w:lineRule="atLeast"/>
        <w:ind w:firstLine="480" w:firstLineChars="200"/>
        <w:rPr>
          <w:kern w:val="0"/>
          <w:sz w:val="24"/>
        </w:rPr>
      </w:pPr>
      <w:r>
        <w:rPr>
          <w:kern w:val="0"/>
          <w:sz w:val="24"/>
        </w:rPr>
        <w:t>(2)  钻孔灌浆用水应符合《办公建筑设计规范》JGJ67-2006中的规范，拌浆水的温度不得高于40</w:t>
      </w:r>
      <w:r>
        <w:rPr>
          <w:rFonts w:hint="eastAsia" w:ascii="宋体" w:hAnsi="宋体" w:cs="宋体"/>
          <w:kern w:val="0"/>
          <w:sz w:val="24"/>
        </w:rPr>
        <w:t>℃</w:t>
      </w:r>
      <w:r>
        <w:rPr>
          <w:kern w:val="0"/>
          <w:sz w:val="24"/>
        </w:rPr>
        <w:t>。</w:t>
      </w:r>
    </w:p>
    <w:p>
      <w:pPr>
        <w:autoSpaceDE w:val="0"/>
        <w:autoSpaceDN w:val="0"/>
        <w:adjustRightInd w:val="0"/>
        <w:snapToGrid w:val="0"/>
        <w:spacing w:line="500" w:lineRule="atLeast"/>
        <w:jc w:val="center"/>
        <w:rPr>
          <w:rFonts w:ascii="黑体" w:hAnsi="黑体" w:eastAsia="黑体"/>
          <w:kern w:val="0"/>
          <w:sz w:val="24"/>
        </w:rPr>
      </w:pPr>
      <w:r>
        <w:rPr>
          <w:rFonts w:ascii="黑体" w:hAnsi="黑体" w:eastAsia="黑体"/>
          <w:kern w:val="0"/>
          <w:sz w:val="24"/>
        </w:rPr>
        <w:t>表</w:t>
      </w:r>
      <w:r>
        <w:rPr>
          <w:b/>
          <w:kern w:val="0"/>
          <w:sz w:val="24"/>
        </w:rPr>
        <w:t>4.1-1</w:t>
      </w:r>
      <w:r>
        <w:rPr>
          <w:kern w:val="0"/>
          <w:sz w:val="24"/>
        </w:rPr>
        <w:t xml:space="preserve"> </w:t>
      </w:r>
      <w:r>
        <w:rPr>
          <w:rFonts w:ascii="黑体" w:hAnsi="黑体" w:eastAsia="黑体"/>
          <w:kern w:val="0"/>
          <w:sz w:val="24"/>
        </w:rPr>
        <w:t xml:space="preserve"> 物质含量极限</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6"/>
        <w:gridCol w:w="1101"/>
        <w:gridCol w:w="2018"/>
        <w:gridCol w:w="1467"/>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460" w:type="pct"/>
            <w:vAlign w:val="center"/>
          </w:tcPr>
          <w:p>
            <w:pPr>
              <w:spacing w:before="120" w:beforeLines="50" w:after="120" w:afterLines="50"/>
              <w:jc w:val="center"/>
              <w:rPr>
                <w:szCs w:val="21"/>
              </w:rPr>
            </w:pPr>
            <w:r>
              <w:rPr>
                <w:kern w:val="0"/>
                <w:szCs w:val="21"/>
              </w:rPr>
              <w:t>项    日</w:t>
            </w:r>
          </w:p>
        </w:tc>
        <w:tc>
          <w:tcPr>
            <w:tcW w:w="644" w:type="pct"/>
            <w:vAlign w:val="center"/>
          </w:tcPr>
          <w:p>
            <w:pPr>
              <w:spacing w:before="120" w:beforeLines="50" w:after="120" w:afterLines="50"/>
              <w:jc w:val="center"/>
              <w:rPr>
                <w:szCs w:val="21"/>
              </w:rPr>
            </w:pPr>
            <w:r>
              <w:rPr>
                <w:kern w:val="0"/>
                <w:szCs w:val="21"/>
              </w:rPr>
              <w:t>单位</w:t>
            </w:r>
          </w:p>
        </w:tc>
        <w:tc>
          <w:tcPr>
            <w:tcW w:w="1180" w:type="pct"/>
            <w:vAlign w:val="center"/>
          </w:tcPr>
          <w:p>
            <w:pPr>
              <w:spacing w:before="120" w:beforeLines="50" w:after="120" w:afterLines="50"/>
              <w:jc w:val="center"/>
              <w:rPr>
                <w:szCs w:val="21"/>
              </w:rPr>
            </w:pPr>
            <w:r>
              <w:rPr>
                <w:kern w:val="0"/>
                <w:szCs w:val="21"/>
              </w:rPr>
              <w:t>预应力混凝土</w:t>
            </w:r>
          </w:p>
        </w:tc>
        <w:tc>
          <w:tcPr>
            <w:tcW w:w="858" w:type="pct"/>
            <w:vAlign w:val="center"/>
          </w:tcPr>
          <w:p>
            <w:pPr>
              <w:spacing w:before="120" w:beforeLines="50" w:after="120" w:afterLines="50"/>
              <w:jc w:val="center"/>
              <w:rPr>
                <w:szCs w:val="21"/>
              </w:rPr>
            </w:pPr>
            <w:r>
              <w:rPr>
                <w:kern w:val="0"/>
                <w:szCs w:val="21"/>
              </w:rPr>
              <w:t>钢筋混凝土</w:t>
            </w:r>
          </w:p>
        </w:tc>
        <w:tc>
          <w:tcPr>
            <w:tcW w:w="858" w:type="pct"/>
            <w:vAlign w:val="center"/>
          </w:tcPr>
          <w:p>
            <w:pPr>
              <w:spacing w:before="120" w:beforeLines="50" w:after="120" w:afterLines="50"/>
              <w:jc w:val="center"/>
              <w:rPr>
                <w:szCs w:val="21"/>
              </w:rPr>
            </w:pPr>
            <w:r>
              <w:rPr>
                <w:kern w:val="0"/>
                <w:szCs w:val="21"/>
              </w:rPr>
              <w:t>素混凝土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vAlign w:val="center"/>
          </w:tcPr>
          <w:p>
            <w:pPr>
              <w:spacing w:before="120" w:beforeLines="50" w:after="120" w:afterLines="50"/>
              <w:jc w:val="center"/>
              <w:rPr>
                <w:szCs w:val="21"/>
              </w:rPr>
            </w:pPr>
            <w:r>
              <w:rPr>
                <w:kern w:val="0"/>
                <w:szCs w:val="21"/>
              </w:rPr>
              <w:t>PH值</w:t>
            </w:r>
          </w:p>
        </w:tc>
        <w:tc>
          <w:tcPr>
            <w:tcW w:w="644" w:type="pct"/>
            <w:vAlign w:val="center"/>
          </w:tcPr>
          <w:p>
            <w:pPr>
              <w:spacing w:before="120" w:beforeLines="50" w:after="120" w:afterLines="50"/>
              <w:jc w:val="center"/>
              <w:rPr>
                <w:szCs w:val="21"/>
              </w:rPr>
            </w:pPr>
          </w:p>
        </w:tc>
        <w:tc>
          <w:tcPr>
            <w:tcW w:w="1180" w:type="pct"/>
            <w:vAlign w:val="center"/>
          </w:tcPr>
          <w:p>
            <w:pPr>
              <w:spacing w:before="120" w:beforeLines="50" w:after="120" w:afterLines="50"/>
              <w:jc w:val="center"/>
              <w:rPr>
                <w:szCs w:val="21"/>
              </w:rPr>
            </w:pPr>
            <w:r>
              <w:rPr>
                <w:kern w:val="0"/>
                <w:szCs w:val="21"/>
              </w:rPr>
              <w:t>&gt;4</w:t>
            </w:r>
          </w:p>
        </w:tc>
        <w:tc>
          <w:tcPr>
            <w:tcW w:w="858" w:type="pct"/>
            <w:vAlign w:val="center"/>
          </w:tcPr>
          <w:p>
            <w:pPr>
              <w:spacing w:before="120" w:beforeLines="50" w:after="120" w:afterLines="50"/>
              <w:jc w:val="center"/>
              <w:rPr>
                <w:szCs w:val="21"/>
              </w:rPr>
            </w:pPr>
            <w:r>
              <w:rPr>
                <w:kern w:val="0"/>
                <w:szCs w:val="21"/>
              </w:rPr>
              <w:t>&gt;4</w:t>
            </w:r>
          </w:p>
        </w:tc>
        <w:tc>
          <w:tcPr>
            <w:tcW w:w="858" w:type="pct"/>
            <w:vAlign w:val="center"/>
          </w:tcPr>
          <w:p>
            <w:pPr>
              <w:spacing w:before="120" w:beforeLines="50" w:after="120" w:afterLines="50"/>
              <w:jc w:val="center"/>
              <w:rPr>
                <w:szCs w:val="21"/>
              </w:rPr>
            </w:pPr>
            <w:r>
              <w:rPr>
                <w:kern w:val="0"/>
                <w:szCs w:val="21"/>
              </w:rPr>
              <w:t>&gt;4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vAlign w:val="center"/>
          </w:tcPr>
          <w:p>
            <w:pPr>
              <w:spacing w:before="120" w:beforeLines="50" w:after="120" w:afterLines="50"/>
              <w:jc w:val="center"/>
              <w:rPr>
                <w:szCs w:val="21"/>
              </w:rPr>
            </w:pPr>
            <w:r>
              <w:rPr>
                <w:kern w:val="0"/>
                <w:szCs w:val="21"/>
              </w:rPr>
              <w:t>不溶物</w:t>
            </w:r>
          </w:p>
        </w:tc>
        <w:tc>
          <w:tcPr>
            <w:tcW w:w="644" w:type="pct"/>
            <w:vAlign w:val="center"/>
          </w:tcPr>
          <w:p>
            <w:pPr>
              <w:spacing w:before="120" w:beforeLines="50" w:after="120" w:afterLines="50"/>
              <w:jc w:val="center"/>
              <w:rPr>
                <w:szCs w:val="21"/>
              </w:rPr>
            </w:pPr>
            <w:r>
              <w:rPr>
                <w:kern w:val="0"/>
                <w:szCs w:val="21"/>
              </w:rPr>
              <w:t>mg／L</w:t>
            </w:r>
          </w:p>
        </w:tc>
        <w:tc>
          <w:tcPr>
            <w:tcW w:w="1180" w:type="pct"/>
            <w:vAlign w:val="center"/>
          </w:tcPr>
          <w:p>
            <w:pPr>
              <w:spacing w:before="120" w:beforeLines="50" w:after="120" w:afterLines="50"/>
              <w:jc w:val="center"/>
              <w:rPr>
                <w:szCs w:val="21"/>
              </w:rPr>
            </w:pPr>
            <w:r>
              <w:rPr>
                <w:kern w:val="0"/>
                <w:szCs w:val="21"/>
              </w:rPr>
              <w:t>&lt;2000</w:t>
            </w:r>
          </w:p>
        </w:tc>
        <w:tc>
          <w:tcPr>
            <w:tcW w:w="858" w:type="pct"/>
            <w:vAlign w:val="center"/>
          </w:tcPr>
          <w:p>
            <w:pPr>
              <w:spacing w:before="120" w:beforeLines="50" w:after="120" w:afterLines="50"/>
              <w:jc w:val="center"/>
              <w:rPr>
                <w:szCs w:val="21"/>
              </w:rPr>
            </w:pPr>
            <w:r>
              <w:rPr>
                <w:kern w:val="0"/>
                <w:szCs w:val="21"/>
              </w:rPr>
              <w:t>&lt;2000</w:t>
            </w:r>
          </w:p>
        </w:tc>
        <w:tc>
          <w:tcPr>
            <w:tcW w:w="858" w:type="pct"/>
            <w:vAlign w:val="center"/>
          </w:tcPr>
          <w:p>
            <w:pPr>
              <w:spacing w:before="120" w:beforeLines="50" w:after="120" w:afterLines="50"/>
              <w:jc w:val="center"/>
              <w:rPr>
                <w:szCs w:val="21"/>
              </w:rPr>
            </w:pPr>
            <w:r>
              <w:rPr>
                <w:kern w:val="0"/>
                <w:szCs w:val="21"/>
              </w:rPr>
              <w:t>&lt;5000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vAlign w:val="center"/>
          </w:tcPr>
          <w:p>
            <w:pPr>
              <w:spacing w:before="120" w:beforeLines="50" w:after="120" w:afterLines="50"/>
              <w:jc w:val="center"/>
              <w:rPr>
                <w:szCs w:val="21"/>
              </w:rPr>
            </w:pPr>
            <w:r>
              <w:rPr>
                <w:kern w:val="0"/>
                <w:szCs w:val="21"/>
              </w:rPr>
              <w:t>可溶物</w:t>
            </w:r>
          </w:p>
        </w:tc>
        <w:tc>
          <w:tcPr>
            <w:tcW w:w="644" w:type="pct"/>
            <w:vAlign w:val="center"/>
          </w:tcPr>
          <w:p>
            <w:pPr>
              <w:spacing w:before="120" w:beforeLines="50" w:after="120" w:afterLines="50"/>
              <w:jc w:val="center"/>
              <w:rPr>
                <w:szCs w:val="21"/>
              </w:rPr>
            </w:pPr>
            <w:r>
              <w:rPr>
                <w:kern w:val="0"/>
                <w:szCs w:val="21"/>
              </w:rPr>
              <w:t>mg／L</w:t>
            </w:r>
          </w:p>
        </w:tc>
        <w:tc>
          <w:tcPr>
            <w:tcW w:w="1180" w:type="pct"/>
            <w:vAlign w:val="center"/>
          </w:tcPr>
          <w:p>
            <w:pPr>
              <w:spacing w:before="120" w:beforeLines="50" w:after="120" w:afterLines="50"/>
              <w:jc w:val="center"/>
              <w:rPr>
                <w:szCs w:val="21"/>
              </w:rPr>
            </w:pPr>
            <w:r>
              <w:rPr>
                <w:kern w:val="0"/>
                <w:szCs w:val="21"/>
              </w:rPr>
              <w:t>&lt;2000</w:t>
            </w:r>
          </w:p>
        </w:tc>
        <w:tc>
          <w:tcPr>
            <w:tcW w:w="858" w:type="pct"/>
            <w:vAlign w:val="center"/>
          </w:tcPr>
          <w:p>
            <w:pPr>
              <w:spacing w:before="120" w:beforeLines="50" w:after="120" w:afterLines="50"/>
              <w:jc w:val="center"/>
              <w:rPr>
                <w:szCs w:val="21"/>
              </w:rPr>
            </w:pPr>
            <w:r>
              <w:rPr>
                <w:kern w:val="0"/>
                <w:szCs w:val="21"/>
              </w:rPr>
              <w:t>&lt;5000</w:t>
            </w:r>
          </w:p>
        </w:tc>
        <w:tc>
          <w:tcPr>
            <w:tcW w:w="858" w:type="pct"/>
            <w:vAlign w:val="center"/>
          </w:tcPr>
          <w:p>
            <w:pPr>
              <w:spacing w:before="120" w:beforeLines="50" w:after="120" w:afterLines="50"/>
              <w:jc w:val="center"/>
              <w:rPr>
                <w:szCs w:val="21"/>
              </w:rPr>
            </w:pPr>
            <w:r>
              <w:rPr>
                <w:kern w:val="0"/>
                <w:szCs w:val="21"/>
              </w:rPr>
              <w:t>&lt;10000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vAlign w:val="center"/>
          </w:tcPr>
          <w:p>
            <w:pPr>
              <w:spacing w:before="120" w:beforeLines="50" w:after="120" w:afterLines="50"/>
              <w:jc w:val="center"/>
              <w:rPr>
                <w:szCs w:val="21"/>
              </w:rPr>
            </w:pPr>
            <w:r>
              <w:rPr>
                <w:kern w:val="0"/>
                <w:szCs w:val="21"/>
              </w:rPr>
              <w:t>氯化物(以cl</w:t>
            </w:r>
            <w:r>
              <w:rPr>
                <w:kern w:val="0"/>
                <w:szCs w:val="21"/>
                <w:vertAlign w:val="superscript"/>
              </w:rPr>
              <w:t>-</w:t>
            </w:r>
            <w:r>
              <w:rPr>
                <w:kern w:val="0"/>
                <w:szCs w:val="21"/>
              </w:rPr>
              <w:t>计)</w:t>
            </w:r>
          </w:p>
        </w:tc>
        <w:tc>
          <w:tcPr>
            <w:tcW w:w="644" w:type="pct"/>
            <w:vAlign w:val="center"/>
          </w:tcPr>
          <w:p>
            <w:pPr>
              <w:spacing w:before="120" w:beforeLines="50" w:after="120" w:afterLines="50"/>
              <w:jc w:val="center"/>
              <w:rPr>
                <w:szCs w:val="21"/>
              </w:rPr>
            </w:pPr>
            <w:r>
              <w:rPr>
                <w:kern w:val="0"/>
                <w:szCs w:val="21"/>
              </w:rPr>
              <w:t>mg／L</w:t>
            </w:r>
          </w:p>
        </w:tc>
        <w:tc>
          <w:tcPr>
            <w:tcW w:w="1180" w:type="pct"/>
            <w:vAlign w:val="center"/>
          </w:tcPr>
          <w:p>
            <w:pPr>
              <w:spacing w:before="120" w:beforeLines="50" w:after="120" w:afterLines="50"/>
              <w:jc w:val="center"/>
              <w:rPr>
                <w:szCs w:val="21"/>
              </w:rPr>
            </w:pPr>
            <w:r>
              <w:rPr>
                <w:kern w:val="0"/>
                <w:szCs w:val="21"/>
              </w:rPr>
              <w:t>&lt;500</w:t>
            </w:r>
            <w:r>
              <w:rPr>
                <w:rFonts w:hint="eastAsia" w:ascii="宋体" w:hAnsi="宋体" w:cs="宋体"/>
                <w:kern w:val="0"/>
                <w:szCs w:val="21"/>
                <w:vertAlign w:val="superscript"/>
              </w:rPr>
              <w:t>①</w:t>
            </w:r>
          </w:p>
        </w:tc>
        <w:tc>
          <w:tcPr>
            <w:tcW w:w="858" w:type="pct"/>
            <w:vAlign w:val="center"/>
          </w:tcPr>
          <w:p>
            <w:pPr>
              <w:spacing w:before="120" w:beforeLines="50" w:after="120" w:afterLines="50"/>
              <w:jc w:val="center"/>
              <w:rPr>
                <w:szCs w:val="21"/>
              </w:rPr>
            </w:pPr>
            <w:r>
              <w:rPr>
                <w:kern w:val="0"/>
                <w:szCs w:val="21"/>
              </w:rPr>
              <w:t>&lt;1200</w:t>
            </w:r>
          </w:p>
        </w:tc>
        <w:tc>
          <w:tcPr>
            <w:tcW w:w="858" w:type="pct"/>
            <w:vAlign w:val="center"/>
          </w:tcPr>
          <w:p>
            <w:pPr>
              <w:spacing w:before="120" w:beforeLines="50" w:after="120" w:afterLines="50"/>
              <w:jc w:val="center"/>
              <w:rPr>
                <w:szCs w:val="21"/>
              </w:rPr>
            </w:pPr>
            <w:r>
              <w:rPr>
                <w:kern w:val="0"/>
                <w:szCs w:val="21"/>
              </w:rPr>
              <w:t>&lt;3500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vAlign w:val="center"/>
          </w:tcPr>
          <w:p>
            <w:pPr>
              <w:spacing w:before="120" w:beforeLines="50" w:after="120" w:afterLines="50"/>
              <w:jc w:val="center"/>
              <w:rPr>
                <w:szCs w:val="21"/>
              </w:rPr>
            </w:pPr>
            <w:r>
              <w:rPr>
                <w:kern w:val="0"/>
                <w:szCs w:val="21"/>
              </w:rPr>
              <w:t>磷酸盐(以S0</w:t>
            </w:r>
            <w:r>
              <w:rPr>
                <w:kern w:val="0"/>
                <w:szCs w:val="21"/>
                <w:vertAlign w:val="subscript"/>
              </w:rPr>
              <w:t>4</w:t>
            </w:r>
            <w:r>
              <w:rPr>
                <w:kern w:val="0"/>
                <w:szCs w:val="21"/>
                <w:vertAlign w:val="superscript"/>
              </w:rPr>
              <w:t>2-</w:t>
            </w:r>
            <w:r>
              <w:rPr>
                <w:kern w:val="0"/>
                <w:szCs w:val="21"/>
              </w:rPr>
              <w:t>计)</w:t>
            </w:r>
          </w:p>
        </w:tc>
        <w:tc>
          <w:tcPr>
            <w:tcW w:w="644" w:type="pct"/>
            <w:vAlign w:val="center"/>
          </w:tcPr>
          <w:p>
            <w:pPr>
              <w:spacing w:before="120" w:beforeLines="50" w:after="120" w:afterLines="50"/>
              <w:jc w:val="center"/>
              <w:rPr>
                <w:szCs w:val="21"/>
              </w:rPr>
            </w:pPr>
            <w:r>
              <w:rPr>
                <w:kern w:val="0"/>
                <w:szCs w:val="21"/>
              </w:rPr>
              <w:t>mg／L</w:t>
            </w:r>
          </w:p>
        </w:tc>
        <w:tc>
          <w:tcPr>
            <w:tcW w:w="1180" w:type="pct"/>
            <w:vAlign w:val="center"/>
          </w:tcPr>
          <w:p>
            <w:pPr>
              <w:spacing w:before="120" w:beforeLines="50" w:after="120" w:afterLines="50"/>
              <w:jc w:val="center"/>
              <w:rPr>
                <w:szCs w:val="21"/>
              </w:rPr>
            </w:pPr>
            <w:r>
              <w:rPr>
                <w:kern w:val="0"/>
                <w:szCs w:val="21"/>
              </w:rPr>
              <w:t>&lt;600</w:t>
            </w:r>
          </w:p>
        </w:tc>
        <w:tc>
          <w:tcPr>
            <w:tcW w:w="858" w:type="pct"/>
            <w:vAlign w:val="center"/>
          </w:tcPr>
          <w:p>
            <w:pPr>
              <w:spacing w:before="120" w:beforeLines="50" w:after="120" w:afterLines="50"/>
              <w:jc w:val="center"/>
              <w:rPr>
                <w:szCs w:val="21"/>
              </w:rPr>
            </w:pPr>
            <w:r>
              <w:rPr>
                <w:kern w:val="0"/>
                <w:szCs w:val="21"/>
              </w:rPr>
              <w:t>&lt;2700</w:t>
            </w:r>
          </w:p>
        </w:tc>
        <w:tc>
          <w:tcPr>
            <w:tcW w:w="858" w:type="pct"/>
            <w:vAlign w:val="center"/>
          </w:tcPr>
          <w:p>
            <w:pPr>
              <w:spacing w:before="120" w:beforeLines="50" w:after="120" w:afterLines="50"/>
              <w:jc w:val="center"/>
              <w:rPr>
                <w:szCs w:val="21"/>
              </w:rPr>
            </w:pPr>
            <w:r>
              <w:rPr>
                <w:kern w:val="0"/>
                <w:szCs w:val="21"/>
              </w:rPr>
              <w:t>&lt;2700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pct"/>
            <w:vAlign w:val="center"/>
          </w:tcPr>
          <w:p>
            <w:pPr>
              <w:spacing w:before="120" w:beforeLines="50" w:after="120" w:afterLines="50"/>
              <w:jc w:val="center"/>
              <w:rPr>
                <w:szCs w:val="21"/>
              </w:rPr>
            </w:pPr>
            <w:r>
              <w:rPr>
                <w:kern w:val="0"/>
                <w:szCs w:val="21"/>
              </w:rPr>
              <w:t>硫化物(以s</w:t>
            </w:r>
            <w:r>
              <w:rPr>
                <w:kern w:val="0"/>
                <w:szCs w:val="21"/>
                <w:vertAlign w:val="superscript"/>
              </w:rPr>
              <w:t>2-</w:t>
            </w:r>
            <w:r>
              <w:rPr>
                <w:kern w:val="0"/>
                <w:szCs w:val="21"/>
              </w:rPr>
              <w:t>计)</w:t>
            </w:r>
          </w:p>
        </w:tc>
        <w:tc>
          <w:tcPr>
            <w:tcW w:w="644" w:type="pct"/>
            <w:vAlign w:val="center"/>
          </w:tcPr>
          <w:p>
            <w:pPr>
              <w:spacing w:before="120" w:beforeLines="50" w:after="120" w:afterLines="50"/>
              <w:jc w:val="center"/>
              <w:rPr>
                <w:szCs w:val="21"/>
              </w:rPr>
            </w:pPr>
            <w:r>
              <w:rPr>
                <w:kern w:val="0"/>
                <w:szCs w:val="21"/>
              </w:rPr>
              <w:t>mg／L</w:t>
            </w:r>
          </w:p>
        </w:tc>
        <w:tc>
          <w:tcPr>
            <w:tcW w:w="1180" w:type="pct"/>
            <w:vAlign w:val="center"/>
          </w:tcPr>
          <w:p>
            <w:pPr>
              <w:spacing w:before="120" w:beforeLines="50" w:after="120" w:afterLines="50"/>
              <w:jc w:val="center"/>
              <w:rPr>
                <w:szCs w:val="21"/>
              </w:rPr>
            </w:pPr>
            <w:r>
              <w:rPr>
                <w:kern w:val="0"/>
                <w:szCs w:val="21"/>
              </w:rPr>
              <w:t>&lt;100</w:t>
            </w:r>
          </w:p>
        </w:tc>
        <w:tc>
          <w:tcPr>
            <w:tcW w:w="858" w:type="pct"/>
            <w:vAlign w:val="center"/>
          </w:tcPr>
          <w:p>
            <w:pPr>
              <w:spacing w:before="120" w:beforeLines="50" w:after="120" w:afterLines="50"/>
              <w:jc w:val="center"/>
              <w:rPr>
                <w:szCs w:val="21"/>
              </w:rPr>
            </w:pPr>
            <w:r>
              <w:rPr>
                <w:szCs w:val="21"/>
              </w:rPr>
              <w:t>—</w:t>
            </w:r>
          </w:p>
        </w:tc>
        <w:tc>
          <w:tcPr>
            <w:tcW w:w="858" w:type="pct"/>
            <w:vAlign w:val="center"/>
          </w:tcPr>
          <w:p>
            <w:pPr>
              <w:spacing w:before="120" w:beforeLines="50" w:after="120" w:afterLines="50"/>
              <w:jc w:val="center"/>
              <w:rPr>
                <w:szCs w:val="21"/>
              </w:rPr>
            </w:pPr>
            <w:r>
              <w:rPr>
                <w:szCs w:val="21"/>
              </w:rPr>
              <w:t>—</w:t>
            </w:r>
          </w:p>
        </w:tc>
      </w:tr>
    </w:tbl>
    <w:p>
      <w:pPr>
        <w:autoSpaceDE w:val="0"/>
        <w:autoSpaceDN w:val="0"/>
        <w:adjustRightInd w:val="0"/>
        <w:snapToGrid w:val="0"/>
        <w:spacing w:line="500" w:lineRule="atLeast"/>
        <w:rPr>
          <w:kern w:val="0"/>
          <w:szCs w:val="21"/>
        </w:rPr>
      </w:pPr>
      <w:r>
        <w:rPr>
          <w:rFonts w:hint="eastAsia"/>
          <w:kern w:val="0"/>
          <w:szCs w:val="21"/>
        </w:rPr>
        <w:t>①</w:t>
      </w:r>
      <w:r>
        <w:rPr>
          <w:kern w:val="0"/>
          <w:szCs w:val="21"/>
        </w:rPr>
        <w:t>使用钢丝或经热处理的钢筋的预应力混凝土氯化物含量不得超过350mg/L。</w:t>
      </w:r>
    </w:p>
    <w:p>
      <w:pPr>
        <w:autoSpaceDE w:val="0"/>
        <w:autoSpaceDN w:val="0"/>
        <w:adjustRightInd w:val="0"/>
        <w:snapToGrid w:val="0"/>
        <w:spacing w:line="500" w:lineRule="atLeast"/>
        <w:ind w:firstLine="480" w:firstLineChars="200"/>
        <w:rPr>
          <w:kern w:val="0"/>
          <w:sz w:val="24"/>
        </w:rPr>
      </w:pPr>
      <w:bookmarkStart w:id="510" w:name="_Toc232162608"/>
      <w:r>
        <w:rPr>
          <w:kern w:val="0"/>
          <w:sz w:val="24"/>
        </w:rPr>
        <w:t>(3)  拌和用水所含物质不应影响混凝土和易性和混凝土强度的增长，以及引起监测仪器和电缆、钢筋和混凝土的腐蚀。</w:t>
      </w:r>
    </w:p>
    <w:p>
      <w:pPr>
        <w:autoSpaceDE w:val="0"/>
        <w:autoSpaceDN w:val="0"/>
        <w:adjustRightInd w:val="0"/>
        <w:snapToGrid w:val="0"/>
        <w:spacing w:line="500" w:lineRule="atLeast"/>
        <w:ind w:firstLine="480" w:firstLineChars="200"/>
        <w:rPr>
          <w:kern w:val="0"/>
          <w:sz w:val="24"/>
        </w:rPr>
      </w:pPr>
      <w:r>
        <w:rPr>
          <w:kern w:val="0"/>
          <w:sz w:val="24"/>
        </w:rPr>
        <w:t>(4)  水的PH值、不溶物、可溶物、磷酸盐、硫化物的含量应符合表4.1-1的规定。</w:t>
      </w:r>
    </w:p>
    <w:p>
      <w:pPr>
        <w:spacing w:line="500" w:lineRule="atLeast"/>
        <w:rPr>
          <w:b/>
          <w:sz w:val="24"/>
        </w:rPr>
      </w:pPr>
    </w:p>
    <w:p>
      <w:pPr>
        <w:pStyle w:val="5"/>
        <w:spacing w:before="0" w:after="0" w:line="500" w:lineRule="atLeast"/>
        <w:jc w:val="both"/>
        <w:rPr>
          <w:szCs w:val="24"/>
        </w:rPr>
      </w:pPr>
      <w:bookmarkStart w:id="511" w:name="_Toc118821508"/>
      <w:bookmarkStart w:id="512" w:name="_Toc13982"/>
      <w:r>
        <w:rPr>
          <w:szCs w:val="24"/>
        </w:rPr>
        <w:t>4.1.</w:t>
      </w:r>
      <w:r>
        <w:rPr>
          <w:rFonts w:hint="eastAsia"/>
          <w:szCs w:val="24"/>
        </w:rPr>
        <w:t>6</w:t>
      </w:r>
      <w:r>
        <w:rPr>
          <w:szCs w:val="24"/>
        </w:rPr>
        <w:t xml:space="preserve">  粉煤灰和其他活性掺和料</w:t>
      </w:r>
      <w:bookmarkEnd w:id="510"/>
      <w:bookmarkEnd w:id="511"/>
      <w:bookmarkEnd w:id="512"/>
    </w:p>
    <w:p>
      <w:pPr>
        <w:autoSpaceDE w:val="0"/>
        <w:autoSpaceDN w:val="0"/>
        <w:adjustRightInd w:val="0"/>
        <w:snapToGrid w:val="0"/>
        <w:spacing w:line="500" w:lineRule="atLeast"/>
        <w:ind w:firstLine="480" w:firstLineChars="200"/>
        <w:rPr>
          <w:kern w:val="0"/>
          <w:sz w:val="24"/>
        </w:rPr>
      </w:pPr>
      <w:r>
        <w:rPr>
          <w:kern w:val="0"/>
          <w:sz w:val="24"/>
        </w:rPr>
        <w:t>经监理人批准，承包人可在水泥浆液中掺入砂、粘性土、粉煤灰和水玻璃等掺合料。各种掺合料质量应符合《水工建筑物水泥灌浆施工技术规范》SL62-2014中的规定，其掺入量应通过试验确定，试验成果应报送监理人。</w:t>
      </w:r>
    </w:p>
    <w:p>
      <w:pPr>
        <w:autoSpaceDE w:val="0"/>
        <w:autoSpaceDN w:val="0"/>
        <w:adjustRightInd w:val="0"/>
        <w:snapToGrid w:val="0"/>
        <w:spacing w:line="500" w:lineRule="atLeast"/>
        <w:ind w:firstLine="480" w:firstLineChars="200"/>
        <w:rPr>
          <w:kern w:val="0"/>
          <w:sz w:val="24"/>
        </w:rPr>
      </w:pPr>
      <w:r>
        <w:rPr>
          <w:kern w:val="0"/>
          <w:sz w:val="24"/>
        </w:rPr>
        <w:t>(1)  承包人应按施工图纸要求和监理人指示采购用于混凝土中的活性掺合料，承包人应将拟采购的活性材料供应厂家、材料样品、质量证明书和产品使用说明书报送监理人。</w:t>
      </w:r>
    </w:p>
    <w:p>
      <w:pPr>
        <w:autoSpaceDE w:val="0"/>
        <w:autoSpaceDN w:val="0"/>
        <w:adjustRightInd w:val="0"/>
        <w:snapToGrid w:val="0"/>
        <w:spacing w:line="500" w:lineRule="atLeast"/>
        <w:ind w:firstLine="480" w:firstLineChars="200"/>
        <w:rPr>
          <w:sz w:val="24"/>
        </w:rPr>
      </w:pPr>
      <w:r>
        <w:rPr>
          <w:kern w:val="0"/>
          <w:sz w:val="24"/>
        </w:rPr>
        <w:t>(2)  活性材料应通过试验验证，其质量指标应符合监理人指定的下列有关标准：</w:t>
      </w:r>
    </w:p>
    <w:p>
      <w:pPr>
        <w:autoSpaceDE w:val="0"/>
        <w:autoSpaceDN w:val="0"/>
        <w:adjustRightInd w:val="0"/>
        <w:snapToGrid w:val="0"/>
        <w:spacing w:line="500" w:lineRule="atLeast"/>
        <w:ind w:firstLine="480" w:firstLineChars="200"/>
        <w:rPr>
          <w:kern w:val="0"/>
          <w:sz w:val="24"/>
        </w:rPr>
      </w:pPr>
      <w:r>
        <w:rPr>
          <w:kern w:val="0"/>
          <w:sz w:val="24"/>
        </w:rPr>
        <w:t xml:space="preserve">1) </w:t>
      </w:r>
      <w:r>
        <w:rPr>
          <w:rFonts w:hint="eastAsia"/>
          <w:kern w:val="0"/>
          <w:sz w:val="24"/>
        </w:rPr>
        <w:t xml:space="preserve"> </w:t>
      </w:r>
      <w:r>
        <w:rPr>
          <w:kern w:val="0"/>
          <w:sz w:val="24"/>
        </w:rPr>
        <w:t>《用于水泥和混凝土中的粉煤灰》(GB/Tl596-2017)；</w:t>
      </w:r>
    </w:p>
    <w:p>
      <w:pPr>
        <w:autoSpaceDE w:val="0"/>
        <w:autoSpaceDN w:val="0"/>
        <w:adjustRightInd w:val="0"/>
        <w:snapToGrid w:val="0"/>
        <w:spacing w:line="500" w:lineRule="atLeast"/>
        <w:ind w:firstLine="480" w:firstLineChars="200"/>
        <w:rPr>
          <w:kern w:val="0"/>
          <w:sz w:val="24"/>
        </w:rPr>
      </w:pPr>
      <w:r>
        <w:rPr>
          <w:kern w:val="0"/>
          <w:sz w:val="24"/>
        </w:rPr>
        <w:t xml:space="preserve">2) </w:t>
      </w:r>
      <w:r>
        <w:rPr>
          <w:rFonts w:hint="eastAsia"/>
          <w:kern w:val="0"/>
          <w:sz w:val="24"/>
        </w:rPr>
        <w:t xml:space="preserve"> </w:t>
      </w:r>
      <w:r>
        <w:rPr>
          <w:kern w:val="0"/>
          <w:sz w:val="24"/>
        </w:rPr>
        <w:t>《粉煤灰混凝土应用技术规范》(GB/T50146-2014)；</w:t>
      </w:r>
    </w:p>
    <w:p>
      <w:pPr>
        <w:autoSpaceDE w:val="0"/>
        <w:autoSpaceDN w:val="0"/>
        <w:adjustRightInd w:val="0"/>
        <w:snapToGrid w:val="0"/>
        <w:spacing w:line="500" w:lineRule="atLeast"/>
        <w:ind w:firstLine="480" w:firstLineChars="200"/>
        <w:rPr>
          <w:kern w:val="0"/>
          <w:sz w:val="24"/>
        </w:rPr>
      </w:pPr>
      <w:r>
        <w:rPr>
          <w:kern w:val="0"/>
          <w:sz w:val="24"/>
        </w:rPr>
        <w:t xml:space="preserve">3) </w:t>
      </w:r>
      <w:r>
        <w:rPr>
          <w:rFonts w:hint="eastAsia"/>
          <w:kern w:val="0"/>
          <w:sz w:val="24"/>
        </w:rPr>
        <w:t xml:space="preserve"> </w:t>
      </w:r>
      <w:r>
        <w:rPr>
          <w:kern w:val="0"/>
          <w:sz w:val="24"/>
        </w:rPr>
        <w:t>《水工混凝土掺用粉煤灰技术规范》(</w:t>
      </w:r>
      <w:r>
        <w:fldChar w:fldCharType="begin"/>
      </w:r>
      <w:r>
        <w:instrText xml:space="preserve"> HYPERLINK "http://www.jxcad.com.cn/read-htm-tid-649269.html" \t "_blank" </w:instrText>
      </w:r>
      <w:r>
        <w:fldChar w:fldCharType="separate"/>
      </w:r>
      <w:r>
        <w:rPr>
          <w:kern w:val="0"/>
          <w:sz w:val="24"/>
        </w:rPr>
        <w:t>DL/T 5055-2007</w:t>
      </w:r>
      <w:r>
        <w:rPr>
          <w:kern w:val="0"/>
          <w:sz w:val="24"/>
        </w:rPr>
        <w:fldChar w:fldCharType="end"/>
      </w:r>
      <w:r>
        <w:rPr>
          <w:kern w:val="0"/>
          <w:sz w:val="24"/>
        </w:rPr>
        <w:t>)；</w:t>
      </w:r>
    </w:p>
    <w:p>
      <w:pPr>
        <w:autoSpaceDE w:val="0"/>
        <w:autoSpaceDN w:val="0"/>
        <w:adjustRightInd w:val="0"/>
        <w:snapToGrid w:val="0"/>
        <w:spacing w:line="500" w:lineRule="atLeast"/>
        <w:ind w:firstLine="480" w:firstLineChars="200"/>
        <w:rPr>
          <w:kern w:val="0"/>
          <w:sz w:val="24"/>
        </w:rPr>
      </w:pPr>
      <w:r>
        <w:rPr>
          <w:kern w:val="0"/>
          <w:sz w:val="24"/>
        </w:rPr>
        <w:t>4)  其它经监理人同意的有关标准。</w:t>
      </w:r>
    </w:p>
    <w:p>
      <w:pPr>
        <w:pStyle w:val="45"/>
        <w:spacing w:line="500" w:lineRule="atLeast"/>
        <w:ind w:firstLine="480" w:firstLineChars="200"/>
        <w:rPr>
          <w:rFonts w:ascii="Times New Roman" w:hAnsi="Times New Roman"/>
          <w:kern w:val="0"/>
          <w:sz w:val="24"/>
          <w:szCs w:val="24"/>
        </w:rPr>
      </w:pPr>
      <w:r>
        <w:rPr>
          <w:rFonts w:ascii="Times New Roman" w:hAnsi="Times New Roman"/>
          <w:kern w:val="0"/>
          <w:sz w:val="24"/>
          <w:szCs w:val="24"/>
        </w:rPr>
        <w:t>(3)  掺和料的运输和储存，应严禁与水泥等其它粉状材料混装，以避免交叉污染。</w:t>
      </w:r>
    </w:p>
    <w:p>
      <w:pPr>
        <w:pStyle w:val="45"/>
        <w:spacing w:line="500" w:lineRule="atLeast"/>
        <w:ind w:firstLine="480" w:firstLineChars="200"/>
        <w:rPr>
          <w:rFonts w:ascii="Times New Roman" w:hAnsi="Times New Roman"/>
          <w:sz w:val="24"/>
          <w:szCs w:val="24"/>
        </w:rPr>
      </w:pPr>
    </w:p>
    <w:p>
      <w:pPr>
        <w:pStyle w:val="5"/>
        <w:spacing w:before="0" w:after="0" w:line="500" w:lineRule="atLeast"/>
        <w:jc w:val="both"/>
        <w:rPr>
          <w:szCs w:val="24"/>
        </w:rPr>
      </w:pPr>
      <w:bookmarkStart w:id="513" w:name="_Toc118821509"/>
      <w:bookmarkStart w:id="514" w:name="_Toc11039"/>
      <w:bookmarkStart w:id="515" w:name="_Toc232162609"/>
      <w:r>
        <w:rPr>
          <w:szCs w:val="24"/>
        </w:rPr>
        <w:t>4.1.</w:t>
      </w:r>
      <w:r>
        <w:rPr>
          <w:rFonts w:hint="eastAsia"/>
          <w:szCs w:val="24"/>
        </w:rPr>
        <w:t>7</w:t>
      </w:r>
      <w:r>
        <w:rPr>
          <w:szCs w:val="24"/>
        </w:rPr>
        <w:t xml:space="preserve">  外加剂</w:t>
      </w:r>
      <w:bookmarkEnd w:id="513"/>
      <w:bookmarkEnd w:id="514"/>
      <w:bookmarkEnd w:id="515"/>
    </w:p>
    <w:p>
      <w:pPr>
        <w:pStyle w:val="45"/>
        <w:spacing w:line="500" w:lineRule="atLeast"/>
        <w:ind w:firstLine="480" w:firstLineChars="200"/>
        <w:rPr>
          <w:rFonts w:ascii="Times New Roman" w:hAnsi="Times New Roman"/>
          <w:kern w:val="0"/>
          <w:sz w:val="24"/>
          <w:szCs w:val="24"/>
        </w:rPr>
      </w:pPr>
      <w:r>
        <w:rPr>
          <w:rFonts w:ascii="Times New Roman" w:hAnsi="Times New Roman"/>
          <w:sz w:val="24"/>
          <w:szCs w:val="24"/>
        </w:rPr>
        <w:t>(1)  经监理人批准，承包人可在水泥浆液和混凝土中掺入速凝剂、减水剂、稳定剂以及监理人指示或批准的其它外加剂。钻孔回填的水泥浆液和水泥砂浆中的各种外加剂的质量应符合</w:t>
      </w:r>
      <w:r>
        <w:rPr>
          <w:rFonts w:ascii="Times New Roman" w:hAnsi="Times New Roman"/>
          <w:kern w:val="0"/>
          <w:sz w:val="24"/>
          <w:szCs w:val="24"/>
        </w:rPr>
        <w:t>《水工建筑物水泥灌浆施工技术规范》SL62-20</w:t>
      </w:r>
      <w:r>
        <w:rPr>
          <w:rFonts w:hint="eastAsia" w:ascii="Times New Roman" w:hAnsi="Times New Roman"/>
          <w:kern w:val="0"/>
          <w:sz w:val="24"/>
          <w:szCs w:val="24"/>
          <w:lang w:val="en-US" w:eastAsia="zh-CN"/>
        </w:rPr>
        <w:t>20</w:t>
      </w:r>
      <w:r>
        <w:rPr>
          <w:rFonts w:ascii="Times New Roman" w:hAnsi="Times New Roman"/>
          <w:kern w:val="0"/>
          <w:sz w:val="24"/>
          <w:szCs w:val="24"/>
        </w:rPr>
        <w:t>中的</w:t>
      </w:r>
      <w:r>
        <w:rPr>
          <w:rFonts w:ascii="Times New Roman" w:hAnsi="Times New Roman"/>
          <w:sz w:val="24"/>
          <w:szCs w:val="24"/>
        </w:rPr>
        <w:t>规定，其品质不得含有对监测仪器、电缆和钢筋产生腐蚀作用的成分；用于混凝土中的外加剂其质量应符合《</w:t>
      </w:r>
      <w:r>
        <w:rPr>
          <w:rFonts w:ascii="Times New Roman" w:hAnsi="Times New Roman"/>
          <w:kern w:val="0"/>
          <w:sz w:val="24"/>
          <w:szCs w:val="24"/>
        </w:rPr>
        <w:t>水工混凝土外加剂技术规程》DL/T5100-2014中的规定。</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(2)  承包人应根据混凝土、水泥浆液和水泥砂浆的性能要求，通过试验确定外加剂的最优掺加量，试验成果应报送监理人。</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(3)  所有能溶于水的外加剂应以水溶液状态加入。</w:t>
      </w:r>
    </w:p>
    <w:p>
      <w:pPr>
        <w:pStyle w:val="45"/>
        <w:spacing w:line="500" w:lineRule="atLeast"/>
        <w:ind w:firstLine="480" w:firstLineChars="200"/>
        <w:rPr>
          <w:rFonts w:ascii="Times New Roman" w:hAnsi="Times New Roman"/>
          <w:sz w:val="24"/>
          <w:szCs w:val="24"/>
        </w:rPr>
      </w:pPr>
      <w:r>
        <w:rPr>
          <w:rFonts w:ascii="Times New Roman" w:hAnsi="Times New Roman"/>
          <w:sz w:val="24"/>
          <w:szCs w:val="24"/>
        </w:rPr>
        <w:t>(4)  不同品种外加剂应分别储存，在运输与储存中不得相互混装，以避免交叉污染。</w:t>
      </w:r>
    </w:p>
    <w:p>
      <w:pPr>
        <w:pStyle w:val="45"/>
        <w:spacing w:line="500" w:lineRule="atLeast"/>
        <w:ind w:firstLine="480" w:firstLineChars="200"/>
        <w:rPr>
          <w:rFonts w:ascii="Times New Roman" w:hAnsi="Times New Roman"/>
          <w:sz w:val="24"/>
          <w:szCs w:val="24"/>
        </w:rPr>
      </w:pPr>
    </w:p>
    <w:p>
      <w:pPr>
        <w:pStyle w:val="5"/>
        <w:spacing w:before="0" w:after="0" w:line="500" w:lineRule="atLeast"/>
        <w:jc w:val="both"/>
      </w:pPr>
      <w:bookmarkStart w:id="516" w:name="_Toc118821510"/>
      <w:bookmarkStart w:id="517" w:name="_Toc28275"/>
      <w:bookmarkStart w:id="518" w:name="_Toc232162610"/>
      <w:r>
        <w:rPr>
          <w:szCs w:val="24"/>
        </w:rPr>
        <w:t>4.1.</w:t>
      </w:r>
      <w:r>
        <w:rPr>
          <w:rFonts w:hint="eastAsia"/>
          <w:szCs w:val="24"/>
        </w:rPr>
        <w:t>8</w:t>
      </w:r>
      <w:r>
        <w:rPr>
          <w:szCs w:val="24"/>
        </w:rPr>
        <w:t xml:space="preserve">  回填砂</w:t>
      </w:r>
      <w:bookmarkEnd w:id="516"/>
      <w:bookmarkEnd w:id="517"/>
      <w:bookmarkEnd w:id="518"/>
    </w:p>
    <w:p>
      <w:pPr>
        <w:autoSpaceDE w:val="0"/>
        <w:autoSpaceDN w:val="0"/>
        <w:adjustRightInd w:val="0"/>
        <w:snapToGrid w:val="0"/>
        <w:spacing w:line="500" w:lineRule="atLeast"/>
        <w:ind w:firstLine="480" w:firstLineChars="200"/>
        <w:rPr>
          <w:sz w:val="24"/>
        </w:rPr>
      </w:pPr>
      <w:r>
        <w:rPr>
          <w:sz w:val="24"/>
        </w:rPr>
        <w:t>回填砂用于渗压计周边，回填砂应是清洁的、级配均匀的，其级配范围在0.85～2mm之间，小于0.08mm的粒径含量低于1%。</w:t>
      </w:r>
    </w:p>
    <w:p>
      <w:pPr>
        <w:autoSpaceDE w:val="0"/>
        <w:autoSpaceDN w:val="0"/>
        <w:adjustRightInd w:val="0"/>
        <w:snapToGrid w:val="0"/>
        <w:spacing w:line="500" w:lineRule="atLeast"/>
        <w:ind w:firstLine="480" w:firstLineChars="200"/>
        <w:rPr>
          <w:kern w:val="0"/>
          <w:sz w:val="24"/>
        </w:rPr>
      </w:pPr>
    </w:p>
    <w:p>
      <w:pPr>
        <w:pStyle w:val="4"/>
        <w:adjustRightInd w:val="0"/>
        <w:snapToGrid w:val="0"/>
        <w:spacing w:before="0" w:after="0" w:line="500" w:lineRule="atLeast"/>
        <w:rPr>
          <w:rFonts w:ascii="黑体" w:hAnsi="黑体" w:eastAsia="黑体"/>
          <w:b w:val="0"/>
          <w:sz w:val="24"/>
          <w:szCs w:val="24"/>
        </w:rPr>
      </w:pPr>
      <w:bookmarkStart w:id="519" w:name="_Toc232162611"/>
      <w:bookmarkStart w:id="520" w:name="_Toc30052"/>
      <w:bookmarkStart w:id="521" w:name="_Toc414615231"/>
      <w:bookmarkStart w:id="522" w:name="_Toc249322074"/>
      <w:bookmarkStart w:id="523" w:name="_Toc414615079"/>
      <w:bookmarkStart w:id="524" w:name="_Toc118821511"/>
      <w:r>
        <w:rPr>
          <w:rFonts w:ascii="Times New Roman" w:hAnsi="Times New Roman"/>
          <w:sz w:val="24"/>
          <w:szCs w:val="24"/>
        </w:rPr>
        <w:t xml:space="preserve">4.2  </w:t>
      </w:r>
      <w:r>
        <w:rPr>
          <w:rFonts w:ascii="黑体" w:hAnsi="黑体" w:eastAsia="黑体"/>
          <w:b w:val="0"/>
          <w:sz w:val="24"/>
          <w:szCs w:val="24"/>
        </w:rPr>
        <w:t>钻孔和回填</w:t>
      </w:r>
      <w:bookmarkEnd w:id="519"/>
      <w:bookmarkEnd w:id="520"/>
      <w:bookmarkEnd w:id="521"/>
      <w:bookmarkEnd w:id="522"/>
      <w:bookmarkEnd w:id="523"/>
      <w:bookmarkEnd w:id="524"/>
    </w:p>
    <w:p>
      <w:pPr>
        <w:adjustRightInd w:val="0"/>
        <w:snapToGrid w:val="0"/>
        <w:spacing w:line="500" w:lineRule="atLeast"/>
        <w:ind w:firstLine="480" w:firstLineChars="200"/>
        <w:rPr>
          <w:sz w:val="24"/>
        </w:rPr>
      </w:pPr>
      <w:r>
        <w:rPr>
          <w:sz w:val="24"/>
        </w:rPr>
        <w:t>测压管钻孔</w:t>
      </w:r>
      <w:r>
        <w:rPr>
          <w:rFonts w:hint="eastAsia"/>
          <w:sz w:val="24"/>
        </w:rPr>
        <w:t>、测斜管钻孔、</w:t>
      </w:r>
      <w:r>
        <w:rPr>
          <w:sz w:val="24"/>
        </w:rPr>
        <w:t>围岩钻孔和回填技术要求遵守《混凝土坝安全监测技术规范》(SL601-2013)和《土石坝安全监测技术规范》(SL551-2012)中规定。</w:t>
      </w:r>
    </w:p>
    <w:p>
      <w:pPr>
        <w:adjustRightInd w:val="0"/>
        <w:snapToGrid w:val="0"/>
        <w:spacing w:line="500" w:lineRule="atLeast"/>
        <w:ind w:firstLine="480" w:firstLineChars="200"/>
        <w:rPr>
          <w:sz w:val="24"/>
        </w:rPr>
      </w:pPr>
    </w:p>
    <w:p>
      <w:pPr>
        <w:pStyle w:val="5"/>
        <w:spacing w:before="0" w:after="0" w:line="500" w:lineRule="atLeast"/>
        <w:jc w:val="both"/>
        <w:rPr>
          <w:szCs w:val="24"/>
        </w:rPr>
      </w:pPr>
      <w:bookmarkStart w:id="525" w:name="_Toc118821512"/>
      <w:bookmarkStart w:id="526" w:name="_Toc232162612"/>
      <w:bookmarkStart w:id="527" w:name="_Toc4983"/>
      <w:r>
        <w:rPr>
          <w:szCs w:val="24"/>
        </w:rPr>
        <w:t>4.2.1  设备</w:t>
      </w:r>
      <w:bookmarkEnd w:id="525"/>
      <w:bookmarkEnd w:id="526"/>
      <w:bookmarkEnd w:id="527"/>
    </w:p>
    <w:p>
      <w:pPr>
        <w:adjustRightInd w:val="0"/>
        <w:snapToGrid w:val="0"/>
        <w:spacing w:line="500" w:lineRule="atLeast"/>
        <w:ind w:firstLine="480" w:firstLineChars="200"/>
        <w:rPr>
          <w:sz w:val="24"/>
        </w:rPr>
      </w:pPr>
      <w:r>
        <w:rPr>
          <w:sz w:val="24"/>
        </w:rPr>
        <w:t>(1)  承包人在地下洞室及其它封闭区域中使用气动钻孔设备时，应带有消音器和除尘装置，不得使用内燃机驱动的钻孔设备。</w:t>
      </w:r>
    </w:p>
    <w:p>
      <w:pPr>
        <w:spacing w:line="500" w:lineRule="atLeast"/>
        <w:ind w:firstLine="360" w:firstLineChars="150"/>
        <w:rPr>
          <w:sz w:val="24"/>
        </w:rPr>
      </w:pPr>
      <w:r>
        <w:rPr>
          <w:sz w:val="24"/>
        </w:rPr>
        <w:t xml:space="preserve"> (2)  使用的钻孔冲洗设备，水泵的工作压力应按施工图纸的要求选定，并应保证在所有压力下都有足够的供水量，保证压力稳定、出水均匀、工作可靠。</w:t>
      </w:r>
    </w:p>
    <w:p>
      <w:pPr>
        <w:spacing w:line="500" w:lineRule="atLeast"/>
        <w:ind w:firstLine="360" w:firstLineChars="150"/>
        <w:rPr>
          <w:sz w:val="24"/>
        </w:rPr>
      </w:pPr>
    </w:p>
    <w:p>
      <w:pPr>
        <w:pStyle w:val="5"/>
        <w:spacing w:before="0" w:after="0" w:line="500" w:lineRule="atLeast"/>
        <w:jc w:val="both"/>
        <w:rPr>
          <w:szCs w:val="24"/>
        </w:rPr>
      </w:pPr>
      <w:bookmarkStart w:id="528" w:name="_Toc118821513"/>
      <w:bookmarkStart w:id="529" w:name="_Toc232162613"/>
      <w:bookmarkStart w:id="530" w:name="_Toc28536"/>
      <w:r>
        <w:rPr>
          <w:szCs w:val="24"/>
        </w:rPr>
        <w:t>4.2.2  钻孔</w:t>
      </w:r>
      <w:bookmarkEnd w:id="528"/>
      <w:bookmarkEnd w:id="529"/>
      <w:bookmarkEnd w:id="530"/>
    </w:p>
    <w:p>
      <w:pPr>
        <w:spacing w:line="500" w:lineRule="atLeast"/>
        <w:ind w:firstLine="480" w:firstLineChars="200"/>
        <w:rPr>
          <w:sz w:val="24"/>
        </w:rPr>
      </w:pPr>
      <w:r>
        <w:rPr>
          <w:sz w:val="24"/>
        </w:rPr>
        <w:t>(1)  钻孔的孔位、深度、孔径、钻孔顺序和孔斜等应按施工图纸要求和监理人指示执行。</w:t>
      </w:r>
    </w:p>
    <w:p>
      <w:pPr>
        <w:spacing w:line="500" w:lineRule="atLeast"/>
        <w:ind w:firstLine="480" w:firstLineChars="200"/>
        <w:rPr>
          <w:sz w:val="24"/>
        </w:rPr>
      </w:pPr>
      <w:r>
        <w:rPr>
          <w:sz w:val="24"/>
        </w:rPr>
        <w:t>(2)  钻机安装应平整稳固，钻孔前应按监理人指示埋设孔口管，钻孔方向应按施工图纸要求确定，钻孔时必须保证孔向准确</w:t>
      </w:r>
      <w:r>
        <w:rPr>
          <w:rFonts w:hint="eastAsia"/>
          <w:sz w:val="24"/>
        </w:rPr>
        <w:t>。</w:t>
      </w:r>
    </w:p>
    <w:p>
      <w:pPr>
        <w:spacing w:line="500" w:lineRule="atLeast"/>
        <w:ind w:firstLine="480" w:firstLineChars="200"/>
        <w:rPr>
          <w:sz w:val="24"/>
        </w:rPr>
      </w:pPr>
      <w:r>
        <w:rPr>
          <w:sz w:val="24"/>
        </w:rPr>
        <w:t>(3)  开孔孔位与设计位置的偏差不得大于50mm。因故变更孔位应征得监理人同意，并记录实际孔位。</w:t>
      </w:r>
    </w:p>
    <w:p>
      <w:pPr>
        <w:spacing w:line="500" w:lineRule="atLeast"/>
        <w:ind w:firstLine="480" w:firstLineChars="200"/>
        <w:rPr>
          <w:sz w:val="24"/>
        </w:rPr>
      </w:pPr>
      <w:r>
        <w:rPr>
          <w:sz w:val="24"/>
        </w:rPr>
        <w:t>(4)  在钻孔过程中，所有钻孔应进行孔斜测量，并采取措施控制孔斜，如发现钻孔偏斜超过规定时，应及时纠偏，或采取经监理人批准的其它补救措施．纠偏无效时，应按监理人的指示报废原孔，重新钻孔。</w:t>
      </w:r>
    </w:p>
    <w:p>
      <w:pPr>
        <w:spacing w:line="500" w:lineRule="atLeast"/>
        <w:ind w:firstLine="480" w:firstLineChars="200"/>
        <w:rPr>
          <w:sz w:val="24"/>
        </w:rPr>
      </w:pPr>
      <w:r>
        <w:rPr>
          <w:rFonts w:hint="eastAsia"/>
          <w:sz w:val="24"/>
        </w:rPr>
        <w:t>(5)  钻孔结束，土建</w:t>
      </w:r>
      <w:r>
        <w:rPr>
          <w:sz w:val="24"/>
        </w:rPr>
        <w:t>承包人应会同监理人进行检查验收，检查合格，并经监理人签认后，方可进行下一步操作。</w:t>
      </w:r>
    </w:p>
    <w:p>
      <w:pPr>
        <w:spacing w:line="500" w:lineRule="atLeast"/>
        <w:rPr>
          <w:sz w:val="24"/>
        </w:rPr>
      </w:pPr>
    </w:p>
    <w:p>
      <w:pPr>
        <w:pStyle w:val="5"/>
        <w:spacing w:before="0" w:after="0" w:line="500" w:lineRule="atLeast"/>
        <w:jc w:val="both"/>
        <w:rPr>
          <w:szCs w:val="24"/>
        </w:rPr>
      </w:pPr>
      <w:bookmarkStart w:id="531" w:name="_Toc118821514"/>
      <w:bookmarkStart w:id="532" w:name="_Toc3060"/>
      <w:r>
        <w:rPr>
          <w:rFonts w:hint="eastAsia"/>
          <w:szCs w:val="24"/>
        </w:rPr>
        <w:t>4.2.3  钻孔取芯</w:t>
      </w:r>
      <w:bookmarkEnd w:id="531"/>
      <w:bookmarkEnd w:id="532"/>
    </w:p>
    <w:p>
      <w:pPr>
        <w:spacing w:line="500" w:lineRule="atLeast"/>
        <w:ind w:firstLine="420"/>
        <w:rPr>
          <w:sz w:val="24"/>
        </w:rPr>
      </w:pPr>
      <w:r>
        <w:rPr>
          <w:sz w:val="24"/>
        </w:rPr>
        <w:t xml:space="preserve">(1) </w:t>
      </w:r>
      <w:r>
        <w:rPr>
          <w:rFonts w:hint="eastAsia"/>
          <w:sz w:val="24"/>
        </w:rPr>
        <w:t>多点位移计、测压管、测斜孔</w:t>
      </w:r>
      <w:r>
        <w:rPr>
          <w:sz w:val="24"/>
        </w:rPr>
        <w:t>以及监理人指示的其它取芯钻孔，应予钻取岩芯，按取芯次序统一编号，填牌装箱，并绘制钻孔柱状图，进行岩芯描述。</w:t>
      </w:r>
    </w:p>
    <w:p>
      <w:pPr>
        <w:spacing w:line="500" w:lineRule="atLeast"/>
        <w:ind w:firstLine="420"/>
        <w:rPr>
          <w:sz w:val="24"/>
        </w:rPr>
      </w:pPr>
      <w:r>
        <w:rPr>
          <w:sz w:val="24"/>
        </w:rPr>
        <w:t>(2)  芯样的最大长度应限制在3m以内，一旦发现芯样卡钻或被磨损，应立即取出。除监理人另有指示，对于lm或大于lm的钻进循环，若芯样获得率小于80%，则下一次应减少循环深度50%，以后依次减少50%，直至50cm为止．如果芯样的回收率很低，应更换钻孔机具或改进钻进方法。</w:t>
      </w:r>
    </w:p>
    <w:p>
      <w:pPr>
        <w:spacing w:line="500" w:lineRule="atLeast"/>
        <w:ind w:firstLine="420"/>
        <w:rPr>
          <w:sz w:val="24"/>
        </w:rPr>
      </w:pPr>
      <w:r>
        <w:rPr>
          <w:sz w:val="24"/>
        </w:rPr>
        <w:t>(3)  在钻孔过程中，应对钻孔冲洗水、钻孔压力、芯样长度及其它能充分反映岩石或混凝土特性的因素进行监测和记录，并提交监理人。</w:t>
      </w:r>
    </w:p>
    <w:p>
      <w:pPr>
        <w:spacing w:line="500" w:lineRule="atLeast"/>
        <w:ind w:firstLine="420"/>
        <w:rPr>
          <w:sz w:val="24"/>
        </w:rPr>
      </w:pPr>
      <w:r>
        <w:rPr>
          <w:sz w:val="24"/>
        </w:rPr>
        <w:t>(4)  如果监理人认为必要，承包人应根据监理人指示，对钻取的岩芯进行试验，并将试验记录和成果提交监理人。</w:t>
      </w:r>
    </w:p>
    <w:p>
      <w:pPr>
        <w:spacing w:line="500" w:lineRule="atLeast"/>
        <w:ind w:firstLine="420"/>
        <w:rPr>
          <w:sz w:val="24"/>
        </w:rPr>
      </w:pPr>
      <w:r>
        <w:rPr>
          <w:sz w:val="24"/>
        </w:rPr>
        <w:t>(5)  承包人应对每盒或每箱芯样拍两张彩色照片，并作好钻孔操作的详细记录，一并提交监理人。</w:t>
      </w:r>
    </w:p>
    <w:p>
      <w:pPr>
        <w:spacing w:line="500" w:lineRule="atLeast"/>
        <w:ind w:firstLine="420"/>
        <w:rPr>
          <w:sz w:val="24"/>
        </w:rPr>
      </w:pPr>
      <w:r>
        <w:rPr>
          <w:sz w:val="24"/>
        </w:rPr>
        <w:t>(6)  监理人指示应予保存的岩芯，承包人应按指定的地点存放，防止散失和混装。</w:t>
      </w:r>
    </w:p>
    <w:p>
      <w:pPr>
        <w:spacing w:line="500" w:lineRule="atLeast"/>
        <w:ind w:firstLine="480" w:firstLineChars="200"/>
        <w:rPr>
          <w:sz w:val="24"/>
        </w:rPr>
      </w:pPr>
    </w:p>
    <w:p>
      <w:pPr>
        <w:pStyle w:val="5"/>
        <w:spacing w:before="0" w:after="0" w:line="500" w:lineRule="atLeast"/>
        <w:jc w:val="both"/>
        <w:rPr>
          <w:szCs w:val="24"/>
        </w:rPr>
      </w:pPr>
      <w:bookmarkStart w:id="533" w:name="_Toc232162615"/>
      <w:bookmarkStart w:id="534" w:name="_Toc118821515"/>
      <w:bookmarkStart w:id="535" w:name="_Toc27508"/>
      <w:r>
        <w:rPr>
          <w:szCs w:val="24"/>
        </w:rPr>
        <w:t>4.2.4  钻孔保护</w:t>
      </w:r>
      <w:bookmarkEnd w:id="533"/>
      <w:bookmarkEnd w:id="534"/>
      <w:bookmarkEnd w:id="535"/>
    </w:p>
    <w:p>
      <w:pPr>
        <w:spacing w:line="500" w:lineRule="atLeast"/>
        <w:ind w:firstLine="480" w:firstLineChars="200"/>
        <w:rPr>
          <w:sz w:val="24"/>
          <w:highlight w:val="none"/>
        </w:rPr>
      </w:pPr>
      <w:r>
        <w:rPr>
          <w:sz w:val="24"/>
          <w:highlight w:val="none"/>
        </w:rPr>
        <w:t>施工图纸所示的所有钻孔，承包人应妥加保护。任何因承包人的过失造成扫孔或重钻的费用由承包人承担。</w:t>
      </w:r>
    </w:p>
    <w:p>
      <w:pPr>
        <w:spacing w:line="500" w:lineRule="atLeast"/>
        <w:ind w:firstLine="480" w:firstLineChars="200"/>
        <w:rPr>
          <w:sz w:val="24"/>
          <w:highlight w:val="none"/>
        </w:rPr>
      </w:pPr>
    </w:p>
    <w:p>
      <w:pPr>
        <w:pStyle w:val="5"/>
        <w:spacing w:before="0" w:after="0" w:line="500" w:lineRule="atLeast"/>
        <w:jc w:val="both"/>
        <w:rPr>
          <w:szCs w:val="24"/>
        </w:rPr>
      </w:pPr>
      <w:bookmarkStart w:id="536" w:name="_Toc118821516"/>
      <w:bookmarkStart w:id="537" w:name="_Toc6859"/>
      <w:bookmarkStart w:id="538" w:name="_Toc232162616"/>
      <w:r>
        <w:rPr>
          <w:szCs w:val="24"/>
        </w:rPr>
        <w:t>4.2.5  钻孔冲洗</w:t>
      </w:r>
      <w:bookmarkEnd w:id="536"/>
      <w:bookmarkEnd w:id="537"/>
      <w:bookmarkEnd w:id="538"/>
    </w:p>
    <w:p>
      <w:pPr>
        <w:spacing w:line="500" w:lineRule="atLeast"/>
        <w:ind w:firstLine="480" w:firstLineChars="200"/>
        <w:rPr>
          <w:sz w:val="24"/>
        </w:rPr>
      </w:pPr>
      <w:r>
        <w:rPr>
          <w:sz w:val="24"/>
        </w:rPr>
        <w:t>(1)  在钻孔工作结束后，监测仪器埋设之前，承包人应用压力风水进行冲洗，将孔道内的钻孔岩屑和泥沙冲洗干净，直到回水变清l0分钟后结束。</w:t>
      </w:r>
    </w:p>
    <w:p>
      <w:pPr>
        <w:spacing w:line="500" w:lineRule="atLeast"/>
        <w:ind w:firstLine="480" w:firstLineChars="200"/>
        <w:rPr>
          <w:sz w:val="24"/>
        </w:rPr>
      </w:pPr>
      <w:r>
        <w:rPr>
          <w:sz w:val="24"/>
        </w:rPr>
        <w:t>(2)  在仪器埋设工作开始前，承包人应向钻孔内送入压缩空气，将钻孔孔道的积水排干。</w:t>
      </w:r>
    </w:p>
    <w:p>
      <w:pPr>
        <w:spacing w:line="500" w:lineRule="atLeast"/>
        <w:ind w:firstLine="480" w:firstLineChars="200"/>
        <w:rPr>
          <w:sz w:val="24"/>
        </w:rPr>
      </w:pPr>
    </w:p>
    <w:p>
      <w:pPr>
        <w:pStyle w:val="5"/>
        <w:spacing w:before="0" w:after="0" w:line="500" w:lineRule="atLeast"/>
        <w:jc w:val="both"/>
        <w:rPr>
          <w:szCs w:val="24"/>
        </w:rPr>
      </w:pPr>
      <w:bookmarkStart w:id="539" w:name="_Toc7477"/>
      <w:bookmarkStart w:id="540" w:name="_Toc232162617"/>
      <w:bookmarkStart w:id="541" w:name="_Toc118821517"/>
      <w:r>
        <w:rPr>
          <w:szCs w:val="24"/>
        </w:rPr>
        <w:t>4.2.6  钻孔回填</w:t>
      </w:r>
      <w:bookmarkEnd w:id="539"/>
      <w:bookmarkEnd w:id="540"/>
      <w:bookmarkEnd w:id="541"/>
    </w:p>
    <w:p>
      <w:pPr>
        <w:spacing w:line="500" w:lineRule="atLeast"/>
        <w:ind w:firstLine="480" w:firstLineChars="200"/>
        <w:rPr>
          <w:sz w:val="24"/>
        </w:rPr>
      </w:pPr>
      <w:r>
        <w:rPr>
          <w:sz w:val="24"/>
        </w:rPr>
        <w:t>(1)  仪器埋设完毕，经监理人验收批准后，承包人应根据施工图纸的要求和监理人的指示及时对各类要求进行回填的钻孔进行回填作业。</w:t>
      </w:r>
    </w:p>
    <w:p>
      <w:pPr>
        <w:spacing w:line="500" w:lineRule="atLeast"/>
        <w:ind w:firstLine="480" w:firstLineChars="200"/>
        <w:rPr>
          <w:sz w:val="24"/>
        </w:rPr>
      </w:pPr>
      <w:r>
        <w:rPr>
          <w:sz w:val="24"/>
        </w:rPr>
        <w:t>(2)  钻孔回填材料应根据施工图纸的要求和监理人的指示分别采用回填水泥浆、水泥砂浆或回填砂或其他材料。</w:t>
      </w:r>
    </w:p>
    <w:p>
      <w:pPr>
        <w:spacing w:line="500" w:lineRule="atLeast"/>
        <w:ind w:firstLine="480" w:firstLineChars="200"/>
        <w:rPr>
          <w:sz w:val="24"/>
        </w:rPr>
      </w:pPr>
      <w:r>
        <w:rPr>
          <w:sz w:val="24"/>
        </w:rPr>
        <w:t>(3)  采用水泥浆回填的钻孔，其水灰比应取0.5～1.0，浆液中不允许掺砂，经监理人批准可以掺入一定数量的速凝剂、膨胀剂或早强剂，其28天的结石强度应不低于1MPa。</w:t>
      </w:r>
    </w:p>
    <w:p>
      <w:pPr>
        <w:spacing w:line="500" w:lineRule="atLeast"/>
        <w:ind w:firstLine="480" w:firstLineChars="200"/>
        <w:rPr>
          <w:sz w:val="24"/>
        </w:rPr>
      </w:pPr>
      <w:r>
        <w:rPr>
          <w:sz w:val="24"/>
        </w:rPr>
        <w:t>(4)  承包人应采取措施保证钻孔回填的密实性，防止回填料架空和阻塞钻孔。承包人应根据监理人的指示，在回填作业开始前进行“注浆密实性试验”决定注浆工艺，并报监理人审批。</w:t>
      </w:r>
    </w:p>
    <w:p>
      <w:pPr>
        <w:spacing w:line="500" w:lineRule="atLeast"/>
        <w:ind w:firstLine="480" w:firstLineChars="200"/>
        <w:rPr>
          <w:sz w:val="24"/>
        </w:rPr>
      </w:pPr>
      <w:r>
        <w:rPr>
          <w:sz w:val="24"/>
        </w:rPr>
        <w:t>(5)  承包人在回填作业前应检查回填设备的工作性能，水泥浆或水泥砂浆应随拌随用，初凝前必须使用完毕。</w:t>
      </w:r>
    </w:p>
    <w:p>
      <w:pPr>
        <w:spacing w:line="500" w:lineRule="atLeast"/>
        <w:ind w:firstLine="480" w:firstLineChars="200"/>
        <w:rPr>
          <w:sz w:val="24"/>
        </w:rPr>
      </w:pPr>
      <w:r>
        <w:rPr>
          <w:sz w:val="24"/>
        </w:rPr>
        <w:t>(6)  钻孔回填后，在水泥浆和水泥砂浆凝固前，不得敲击、碰撞和拉拔电缆等监测仪器的外露部件。</w:t>
      </w:r>
    </w:p>
    <w:p>
      <w:pPr>
        <w:spacing w:line="500" w:lineRule="atLeast"/>
        <w:ind w:firstLine="480" w:firstLineChars="200"/>
        <w:rPr>
          <w:sz w:val="24"/>
        </w:rPr>
      </w:pPr>
    </w:p>
    <w:p>
      <w:pPr>
        <w:pStyle w:val="4"/>
        <w:adjustRightInd w:val="0"/>
        <w:snapToGrid w:val="0"/>
        <w:spacing w:before="0" w:after="0" w:line="500" w:lineRule="atLeast"/>
        <w:rPr>
          <w:rFonts w:ascii="黑体" w:hAnsi="黑体" w:eastAsia="黑体"/>
          <w:b w:val="0"/>
          <w:sz w:val="24"/>
          <w:szCs w:val="24"/>
        </w:rPr>
      </w:pPr>
      <w:bookmarkStart w:id="542" w:name="_Toc273199624"/>
      <w:bookmarkStart w:id="543" w:name="_Toc414615080"/>
      <w:bookmarkStart w:id="544" w:name="_Toc414615232"/>
      <w:bookmarkStart w:id="545" w:name="_Toc14042"/>
      <w:bookmarkStart w:id="546" w:name="_Toc118821518"/>
      <w:r>
        <w:rPr>
          <w:rFonts w:ascii="Times New Roman" w:hAnsi="Times New Roman"/>
          <w:sz w:val="24"/>
          <w:szCs w:val="24"/>
        </w:rPr>
        <w:t xml:space="preserve">4.3  </w:t>
      </w:r>
      <w:r>
        <w:rPr>
          <w:rFonts w:ascii="黑体" w:hAnsi="黑体" w:eastAsia="黑体"/>
          <w:b w:val="0"/>
          <w:sz w:val="24"/>
          <w:szCs w:val="24"/>
        </w:rPr>
        <w:t>混凝土工程</w:t>
      </w:r>
      <w:bookmarkEnd w:id="542"/>
      <w:bookmarkEnd w:id="543"/>
      <w:bookmarkEnd w:id="544"/>
      <w:bookmarkEnd w:id="545"/>
      <w:bookmarkEnd w:id="546"/>
    </w:p>
    <w:p>
      <w:pPr>
        <w:pStyle w:val="5"/>
        <w:spacing w:before="0" w:after="0" w:line="500" w:lineRule="atLeast"/>
        <w:jc w:val="both"/>
        <w:rPr>
          <w:szCs w:val="24"/>
        </w:rPr>
      </w:pPr>
      <w:bookmarkStart w:id="547" w:name="_Toc118821519"/>
      <w:bookmarkStart w:id="548" w:name="_Toc20657"/>
      <w:bookmarkStart w:id="549" w:name="_Toc273199625"/>
      <w:r>
        <w:rPr>
          <w:szCs w:val="24"/>
        </w:rPr>
        <w:t>4.3.1  模板</w:t>
      </w:r>
      <w:bookmarkEnd w:id="547"/>
      <w:bookmarkEnd w:id="548"/>
      <w:bookmarkEnd w:id="549"/>
    </w:p>
    <w:p>
      <w:pPr>
        <w:spacing w:line="500" w:lineRule="atLeast"/>
        <w:ind w:firstLine="480" w:firstLineChars="200"/>
        <w:rPr>
          <w:sz w:val="24"/>
        </w:rPr>
      </w:pPr>
      <w:r>
        <w:rPr>
          <w:sz w:val="24"/>
        </w:rPr>
        <w:t>(1)  承包人应负责模板的材料供应、设计、制作、运输、安装和拆除等全部模板作业。模板的设计、制作和安装应保证模板结构有足够的强度和刚度，能承受混凝土浇筑和振捣的侧向压力和振动力，防止产生移位，确保混凝土结构外形尺寸准确，并应有足够的密封性，以避免漏浆。</w:t>
      </w:r>
    </w:p>
    <w:p>
      <w:pPr>
        <w:spacing w:line="500" w:lineRule="atLeast"/>
        <w:ind w:firstLine="480" w:firstLineChars="200"/>
        <w:rPr>
          <w:sz w:val="24"/>
        </w:rPr>
      </w:pPr>
      <w:r>
        <w:rPr>
          <w:sz w:val="24"/>
        </w:rPr>
        <w:t>(2)  模板和支架材料应优先选用钢材，钢模面板厚应不小于3mm，钢板面应尽可能光滑，不允许有凹坑、皱折或其它表面缺陷。</w:t>
      </w:r>
    </w:p>
    <w:p>
      <w:pPr>
        <w:spacing w:line="500" w:lineRule="atLeast"/>
        <w:ind w:firstLine="480" w:firstLineChars="200"/>
        <w:rPr>
          <w:sz w:val="24"/>
        </w:rPr>
      </w:pPr>
      <w:r>
        <w:rPr>
          <w:sz w:val="24"/>
        </w:rPr>
        <w:t>(3)  木材的质量应达到</w:t>
      </w:r>
      <w:r>
        <w:rPr>
          <w:rFonts w:hint="eastAsia" w:ascii="宋体" w:hAnsi="宋体" w:cs="宋体"/>
          <w:sz w:val="24"/>
        </w:rPr>
        <w:t>Ⅲ</w:t>
      </w:r>
      <w:r>
        <w:rPr>
          <w:sz w:val="24"/>
        </w:rPr>
        <w:t>等以上的材质标准。腐朽、严重扭曲或脆性的木材严禁使用。</w:t>
      </w:r>
    </w:p>
    <w:p>
      <w:pPr>
        <w:spacing w:line="500" w:lineRule="atLeast"/>
        <w:ind w:firstLine="480" w:firstLineChars="200"/>
        <w:rPr>
          <w:sz w:val="24"/>
        </w:rPr>
      </w:pPr>
      <w:r>
        <w:rPr>
          <w:sz w:val="24"/>
        </w:rPr>
        <w:t>(4)  模板的制作应满足施工图纸要求的建筑物结构外形，其制作允许偏差不应超过《水工混凝土施工规范》SL677-2014中的规定。</w:t>
      </w:r>
    </w:p>
    <w:p>
      <w:pPr>
        <w:spacing w:line="500" w:lineRule="atLeast"/>
        <w:ind w:firstLine="480" w:firstLineChars="200"/>
        <w:rPr>
          <w:sz w:val="24"/>
        </w:rPr>
      </w:pPr>
      <w:r>
        <w:rPr>
          <w:sz w:val="24"/>
        </w:rPr>
        <w:t>(5)  应按施工图纸进行模板安装的测量放样。模板安装过程中，应设置足够的临时固定设施，以防变形和倾覆。</w:t>
      </w:r>
    </w:p>
    <w:p>
      <w:pPr>
        <w:spacing w:line="500" w:lineRule="atLeast"/>
        <w:ind w:firstLine="480" w:firstLineChars="200"/>
        <w:rPr>
          <w:sz w:val="24"/>
        </w:rPr>
      </w:pPr>
      <w:r>
        <w:rPr>
          <w:sz w:val="24"/>
        </w:rPr>
        <w:t>(6)  钢模板在每次使用前应清洗干净，为防锈和拆模方便，钢模面板应涂刷矿物油类的防锈保护涂料，不得采用污染混凝土的油剂，不得影响混凝土或钢筋混凝土的质量。若检查发现在已浇的混凝土面沾染污迹，承包人应采取有效措施予以清除。</w:t>
      </w:r>
    </w:p>
    <w:p>
      <w:pPr>
        <w:spacing w:line="500" w:lineRule="atLeast"/>
        <w:ind w:firstLine="480" w:firstLineChars="200"/>
        <w:rPr>
          <w:sz w:val="24"/>
        </w:rPr>
      </w:pPr>
      <w:r>
        <w:rPr>
          <w:sz w:val="24"/>
        </w:rPr>
        <w:t>(7)  木模板面应采用烤涂石蜡或其它保护涂料。</w:t>
      </w:r>
    </w:p>
    <w:p>
      <w:pPr>
        <w:spacing w:line="500" w:lineRule="atLeast"/>
        <w:ind w:firstLine="480" w:firstLineChars="200"/>
        <w:rPr>
          <w:sz w:val="24"/>
        </w:rPr>
      </w:pPr>
    </w:p>
    <w:p>
      <w:pPr>
        <w:pStyle w:val="5"/>
        <w:spacing w:before="0" w:after="0" w:line="500" w:lineRule="atLeast"/>
        <w:jc w:val="both"/>
        <w:rPr>
          <w:szCs w:val="24"/>
        </w:rPr>
      </w:pPr>
      <w:bookmarkStart w:id="550" w:name="_Toc12940"/>
      <w:bookmarkStart w:id="551" w:name="_Toc118821520"/>
      <w:bookmarkStart w:id="552" w:name="_Toc273199626"/>
      <w:r>
        <w:rPr>
          <w:szCs w:val="24"/>
        </w:rPr>
        <w:t>4.3.2  钢筋</w:t>
      </w:r>
      <w:bookmarkEnd w:id="550"/>
      <w:bookmarkEnd w:id="551"/>
      <w:bookmarkEnd w:id="552"/>
    </w:p>
    <w:p>
      <w:pPr>
        <w:spacing w:line="500" w:lineRule="atLeast"/>
        <w:ind w:firstLine="480" w:firstLineChars="200"/>
        <w:rPr>
          <w:sz w:val="24"/>
        </w:rPr>
      </w:pPr>
      <w:r>
        <w:rPr>
          <w:sz w:val="24"/>
        </w:rPr>
        <w:t>(1)  承包人应负责钢筋材料的采购、运输、验收和保管，并经监理人批准后方可用于本工作。</w:t>
      </w:r>
    </w:p>
    <w:p>
      <w:pPr>
        <w:spacing w:line="500" w:lineRule="atLeast"/>
        <w:ind w:firstLine="480" w:firstLineChars="200"/>
        <w:rPr>
          <w:sz w:val="24"/>
        </w:rPr>
      </w:pPr>
      <w:r>
        <w:rPr>
          <w:sz w:val="24"/>
        </w:rPr>
        <w:t>(2)  钢筋作业包括本技术条款规定的钢筋、钢筋网、钢筋骨架等的制作加工、绑焊、安装和预埋工作。</w:t>
      </w:r>
    </w:p>
    <w:p>
      <w:pPr>
        <w:spacing w:line="480" w:lineRule="atLeast"/>
        <w:ind w:firstLine="480" w:firstLineChars="200"/>
        <w:rPr>
          <w:sz w:val="24"/>
        </w:rPr>
      </w:pPr>
      <w:r>
        <w:rPr>
          <w:sz w:val="24"/>
        </w:rPr>
        <w:t>(3)  若承包人要求采用其它种类的钢筋替代施工图纸中规定的钢筋，应将钢筋的替代报告报送监理人审批。</w:t>
      </w:r>
    </w:p>
    <w:p>
      <w:pPr>
        <w:spacing w:line="480" w:lineRule="atLeast"/>
        <w:ind w:firstLine="480" w:firstLineChars="200"/>
        <w:rPr>
          <w:sz w:val="24"/>
        </w:rPr>
      </w:pPr>
      <w:r>
        <w:rPr>
          <w:sz w:val="24"/>
        </w:rPr>
        <w:t>(4)  钢筋的表面应洁净无损伤，油漆污染和铁锈等应在使用前清除干净。带有颗粒状或片状老锈的钢筋不得使用。</w:t>
      </w:r>
    </w:p>
    <w:p>
      <w:pPr>
        <w:spacing w:line="480" w:lineRule="atLeast"/>
        <w:ind w:firstLine="480" w:firstLineChars="200"/>
        <w:rPr>
          <w:sz w:val="24"/>
        </w:rPr>
      </w:pPr>
      <w:r>
        <w:rPr>
          <w:sz w:val="24"/>
        </w:rPr>
        <w:t>(5)  钢筋应平直，无局中弯折，钢筋的弯钩弯折加工应符合相关规范的规定。</w:t>
      </w:r>
    </w:p>
    <w:p>
      <w:pPr>
        <w:spacing w:line="480" w:lineRule="atLeast"/>
        <w:ind w:firstLine="480" w:firstLineChars="200"/>
        <w:rPr>
          <w:sz w:val="24"/>
        </w:rPr>
      </w:pPr>
      <w:r>
        <w:rPr>
          <w:sz w:val="24"/>
        </w:rPr>
        <w:t>(6)  钢筋焊接和钢筋绑扎应按《混凝土结构工程施工质量验收规范》GB50204-2015中的规定，以及施工图纸的要求执行。</w:t>
      </w:r>
    </w:p>
    <w:p>
      <w:pPr>
        <w:spacing w:line="480" w:lineRule="atLeast"/>
        <w:ind w:firstLine="480" w:firstLineChars="200"/>
        <w:rPr>
          <w:sz w:val="24"/>
        </w:rPr>
      </w:pPr>
    </w:p>
    <w:p>
      <w:pPr>
        <w:pStyle w:val="5"/>
        <w:spacing w:before="0" w:after="0" w:line="500" w:lineRule="atLeast"/>
        <w:jc w:val="both"/>
        <w:rPr>
          <w:szCs w:val="24"/>
        </w:rPr>
      </w:pPr>
      <w:bookmarkStart w:id="553" w:name="_Toc5064"/>
      <w:bookmarkStart w:id="554" w:name="_Toc118821521"/>
      <w:bookmarkStart w:id="555" w:name="_Toc273199627"/>
      <w:r>
        <w:rPr>
          <w:szCs w:val="24"/>
        </w:rPr>
        <w:t>4.3.3  混凝土</w:t>
      </w:r>
      <w:bookmarkEnd w:id="553"/>
      <w:bookmarkEnd w:id="554"/>
      <w:bookmarkEnd w:id="555"/>
      <w:r>
        <w:rPr>
          <w:szCs w:val="24"/>
        </w:rPr>
        <w:tab/>
      </w:r>
    </w:p>
    <w:p>
      <w:pPr>
        <w:spacing w:line="480" w:lineRule="atLeast"/>
        <w:ind w:firstLine="480" w:firstLineChars="200"/>
        <w:rPr>
          <w:sz w:val="24"/>
        </w:rPr>
      </w:pPr>
      <w:r>
        <w:rPr>
          <w:sz w:val="24"/>
        </w:rPr>
        <w:t>(1)  混凝土配合比：承包人可根据施工图混凝土强度等级要求采用用于本工程的其它土建承包人的混凝土配合比试验成果，或其它工程的混凝土配合比试验成果，本合同承包人所采用的配合比应报送监理人审批后方可用于本工程。</w:t>
      </w:r>
    </w:p>
    <w:p>
      <w:pPr>
        <w:spacing w:line="480" w:lineRule="atLeast"/>
        <w:ind w:firstLine="480" w:firstLineChars="200"/>
        <w:rPr>
          <w:sz w:val="24"/>
        </w:rPr>
      </w:pPr>
      <w:r>
        <w:rPr>
          <w:sz w:val="24"/>
        </w:rPr>
        <w:t>(2)  在施工过程中，承包人需要改变经监理人批准的混凝土配合比，必须重新得到监理人批准。</w:t>
      </w:r>
    </w:p>
    <w:p>
      <w:pPr>
        <w:spacing w:line="480" w:lineRule="atLeast"/>
        <w:ind w:firstLine="480" w:firstLineChars="200"/>
        <w:rPr>
          <w:sz w:val="24"/>
        </w:rPr>
      </w:pPr>
      <w:r>
        <w:rPr>
          <w:sz w:val="24"/>
        </w:rPr>
        <w:t>(3)  承包人拌制现场浇筑混凝土时，必须严格遵守承包人现场试验室提供并经监理人批准的混凝土配料单进行配料，严禁擅自更改配料单。</w:t>
      </w:r>
    </w:p>
    <w:p>
      <w:pPr>
        <w:spacing w:line="480" w:lineRule="atLeast"/>
        <w:ind w:firstLine="480" w:firstLineChars="200"/>
        <w:rPr>
          <w:sz w:val="24"/>
        </w:rPr>
      </w:pPr>
      <w:r>
        <w:rPr>
          <w:sz w:val="24"/>
        </w:rPr>
        <w:t>(4)  混凝土拌和应符合《水工混凝土施工规范》DL/T 5144-2015中的规定。</w:t>
      </w:r>
    </w:p>
    <w:p>
      <w:pPr>
        <w:spacing w:line="480" w:lineRule="atLeast"/>
        <w:ind w:firstLine="480" w:firstLineChars="200"/>
        <w:rPr>
          <w:sz w:val="24"/>
        </w:rPr>
      </w:pPr>
      <w:r>
        <w:rPr>
          <w:sz w:val="24"/>
        </w:rPr>
        <w:t>(5)  因混凝土拌和及配料不当，或因拌和时间过长而报废的不合格的混凝土严禁入仓，已入仓的不合格混凝土必须予以清除，并弃置在指定地点。</w:t>
      </w:r>
    </w:p>
    <w:p>
      <w:pPr>
        <w:spacing w:line="480" w:lineRule="atLeast"/>
        <w:ind w:firstLine="480" w:firstLineChars="200"/>
        <w:rPr>
          <w:sz w:val="24"/>
        </w:rPr>
      </w:pPr>
      <w:r>
        <w:rPr>
          <w:sz w:val="24"/>
        </w:rPr>
        <w:t>(6)  任何部位混凝土开始浇筑前8h(隐蔽工程为12h)，承包人必须通知监理人对浇筑部位的准备工作进行检查。检查内容包括：地基处理、已浇筑混凝土面的清理以及模板、钢筋、插筋、预埋件和监测仪器等设施的埋设和安装等，经监理人检验合格后，方可进行混凝土浇筑。</w:t>
      </w:r>
    </w:p>
    <w:p>
      <w:pPr>
        <w:spacing w:line="480" w:lineRule="atLeast"/>
        <w:ind w:firstLine="480" w:firstLineChars="200"/>
        <w:rPr>
          <w:sz w:val="24"/>
        </w:rPr>
      </w:pPr>
      <w:r>
        <w:rPr>
          <w:sz w:val="24"/>
        </w:rPr>
        <w:t>(7)  任何部位混凝土开始浇筑前，承包人应将该部位的混凝土浇筑的配料单提交监理人审核，经监理人同意后，方可进行混凝土浇筑。</w:t>
      </w:r>
    </w:p>
    <w:p>
      <w:pPr>
        <w:spacing w:line="480" w:lineRule="atLeast"/>
        <w:ind w:firstLine="480" w:firstLineChars="200"/>
        <w:rPr>
          <w:sz w:val="24"/>
        </w:rPr>
      </w:pPr>
      <w:r>
        <w:rPr>
          <w:sz w:val="24"/>
        </w:rPr>
        <w:t>(8)  混凝土表面蜂窝凹陷或其它损坏的混凝土缺陷应按监理人指示进行修补，直到监理人满意为止，并作好详细记录。</w:t>
      </w:r>
    </w:p>
    <w:p>
      <w:pPr>
        <w:spacing w:line="500" w:lineRule="atLeast"/>
        <w:ind w:firstLine="480" w:firstLineChars="200"/>
        <w:rPr>
          <w:sz w:val="24"/>
        </w:rPr>
      </w:pPr>
      <w:r>
        <w:rPr>
          <w:sz w:val="24"/>
        </w:rPr>
        <w:t>(9)  承包人应针对本工程建筑物的不同情况，按监理人指示选用洒水或薄膜进行养护。</w:t>
      </w:r>
    </w:p>
    <w:p>
      <w:pPr>
        <w:spacing w:line="500" w:lineRule="atLeast"/>
        <w:ind w:firstLine="480" w:firstLineChars="200"/>
        <w:rPr>
          <w:sz w:val="24"/>
        </w:rPr>
      </w:pPr>
      <w:r>
        <w:rPr>
          <w:sz w:val="24"/>
        </w:rPr>
        <w:t>(10)  应按施工图纸所示或监理人的指示预埋各种埋设件，其内容包括：</w:t>
      </w:r>
    </w:p>
    <w:p>
      <w:pPr>
        <w:spacing w:line="500" w:lineRule="atLeast"/>
        <w:ind w:firstLine="480" w:firstLineChars="200"/>
        <w:rPr>
          <w:sz w:val="24"/>
        </w:rPr>
      </w:pPr>
      <w:r>
        <w:rPr>
          <w:sz w:val="24"/>
        </w:rPr>
        <w:t>1)  排水管；</w:t>
      </w:r>
    </w:p>
    <w:p>
      <w:pPr>
        <w:spacing w:line="500" w:lineRule="atLeast"/>
        <w:ind w:firstLine="480" w:firstLineChars="200"/>
        <w:rPr>
          <w:sz w:val="24"/>
        </w:rPr>
      </w:pPr>
      <w:r>
        <w:rPr>
          <w:sz w:val="24"/>
        </w:rPr>
        <w:t>2)  灌浆管；</w:t>
      </w:r>
    </w:p>
    <w:p>
      <w:pPr>
        <w:spacing w:line="500" w:lineRule="atLeast"/>
        <w:ind w:firstLine="480" w:firstLineChars="200"/>
        <w:rPr>
          <w:sz w:val="24"/>
        </w:rPr>
      </w:pPr>
      <w:r>
        <w:rPr>
          <w:sz w:val="24"/>
        </w:rPr>
        <w:t>3)  电气和金属结构及仪器设备安装固定件；</w:t>
      </w:r>
    </w:p>
    <w:p>
      <w:pPr>
        <w:spacing w:line="500" w:lineRule="atLeast"/>
        <w:ind w:firstLine="480" w:firstLineChars="200"/>
        <w:rPr>
          <w:sz w:val="24"/>
        </w:rPr>
        <w:sectPr>
          <w:pgSz w:w="11906" w:h="16838"/>
          <w:pgMar w:top="1440" w:right="1588" w:bottom="1440" w:left="1985" w:header="851" w:footer="992" w:gutter="0"/>
          <w:cols w:space="720" w:num="1"/>
          <w:docGrid w:linePitch="312" w:charSpace="0"/>
        </w:sectPr>
      </w:pPr>
      <w:r>
        <w:rPr>
          <w:sz w:val="24"/>
        </w:rPr>
        <w:t>4)  监理人指示埋设的其它埋设件。</w:t>
      </w:r>
    </w:p>
    <w:p>
      <w:pPr>
        <w:pStyle w:val="3"/>
        <w:spacing w:before="0" w:after="0" w:line="500" w:lineRule="atLeast"/>
        <w:jc w:val="center"/>
        <w:rPr>
          <w:rFonts w:ascii="黑体" w:hAnsi="黑体" w:eastAsia="黑体"/>
          <w:b w:val="0"/>
          <w:sz w:val="30"/>
        </w:rPr>
      </w:pPr>
      <w:bookmarkStart w:id="556" w:name="_Toc249322075"/>
      <w:bookmarkStart w:id="557" w:name="_Toc414549231"/>
      <w:bookmarkStart w:id="558" w:name="_Toc414549297"/>
      <w:bookmarkStart w:id="559" w:name="_Toc247353882"/>
      <w:bookmarkStart w:id="560" w:name="_Toc414615081"/>
      <w:bookmarkStart w:id="561" w:name="_Toc414615013"/>
      <w:bookmarkStart w:id="562" w:name="_Toc414615233"/>
      <w:bookmarkStart w:id="563" w:name="_Toc23768"/>
      <w:bookmarkStart w:id="564" w:name="_Toc118821522"/>
      <w:r>
        <w:rPr>
          <w:rFonts w:ascii="黑体" w:hAnsi="黑体" w:eastAsia="黑体"/>
          <w:b w:val="0"/>
          <w:sz w:val="30"/>
        </w:rPr>
        <w:t>第五章  监测及监测资料的整编</w:t>
      </w:r>
      <w:bookmarkEnd w:id="556"/>
      <w:bookmarkEnd w:id="557"/>
      <w:bookmarkEnd w:id="558"/>
      <w:bookmarkEnd w:id="559"/>
      <w:bookmarkEnd w:id="560"/>
      <w:bookmarkEnd w:id="561"/>
      <w:bookmarkEnd w:id="562"/>
      <w:r>
        <w:rPr>
          <w:rFonts w:hint="eastAsia" w:ascii="黑体" w:hAnsi="黑体" w:eastAsia="黑体"/>
          <w:b w:val="0"/>
          <w:sz w:val="30"/>
        </w:rPr>
        <w:t>要求</w:t>
      </w:r>
      <w:bookmarkEnd w:id="563"/>
      <w:bookmarkEnd w:id="564"/>
    </w:p>
    <w:p>
      <w:pPr>
        <w:adjustRightInd w:val="0"/>
        <w:snapToGrid w:val="0"/>
        <w:spacing w:line="500" w:lineRule="atLeast"/>
        <w:ind w:firstLine="480" w:firstLineChars="200"/>
        <w:rPr>
          <w:sz w:val="24"/>
        </w:rPr>
      </w:pPr>
      <w:bookmarkStart w:id="565" w:name="_Toc414615082"/>
      <w:bookmarkStart w:id="566" w:name="_Toc249322076"/>
      <w:bookmarkStart w:id="567" w:name="_Toc247353883"/>
      <w:bookmarkStart w:id="568" w:name="_Toc414615234"/>
    </w:p>
    <w:p>
      <w:pPr>
        <w:pStyle w:val="4"/>
        <w:adjustRightInd w:val="0"/>
        <w:snapToGrid w:val="0"/>
        <w:spacing w:before="0" w:after="0" w:line="500" w:lineRule="atLeast"/>
        <w:rPr>
          <w:rFonts w:ascii="黑体" w:hAnsi="黑体" w:eastAsia="黑体"/>
          <w:b w:val="0"/>
          <w:sz w:val="24"/>
          <w:szCs w:val="24"/>
        </w:rPr>
      </w:pPr>
      <w:bookmarkStart w:id="569" w:name="_Toc118821523"/>
      <w:bookmarkStart w:id="570" w:name="_Toc30668"/>
      <w:r>
        <w:rPr>
          <w:rFonts w:ascii="Times New Roman" w:hAnsi="Times New Roman"/>
          <w:sz w:val="24"/>
          <w:szCs w:val="24"/>
        </w:rPr>
        <w:t xml:space="preserve">5.1  </w:t>
      </w:r>
      <w:r>
        <w:rPr>
          <w:rFonts w:hint="eastAsia" w:ascii="黑体" w:hAnsi="黑体" w:eastAsia="黑体"/>
          <w:b w:val="0"/>
          <w:sz w:val="24"/>
          <w:szCs w:val="24"/>
        </w:rPr>
        <w:t>施工期监测的一般要求</w:t>
      </w:r>
      <w:bookmarkEnd w:id="565"/>
      <w:bookmarkEnd w:id="566"/>
      <w:bookmarkEnd w:id="567"/>
      <w:bookmarkEnd w:id="568"/>
      <w:bookmarkEnd w:id="569"/>
      <w:bookmarkEnd w:id="570"/>
    </w:p>
    <w:p>
      <w:pPr>
        <w:pStyle w:val="5"/>
        <w:snapToGrid w:val="0"/>
        <w:spacing w:before="0" w:after="0" w:line="500" w:lineRule="atLeast"/>
        <w:jc w:val="both"/>
        <w:rPr>
          <w:szCs w:val="24"/>
        </w:rPr>
      </w:pPr>
      <w:bookmarkStart w:id="571" w:name="_Toc521577818"/>
      <w:bookmarkStart w:id="572" w:name="_Toc324239610"/>
      <w:bookmarkStart w:id="573" w:name="_Toc20278"/>
      <w:bookmarkStart w:id="574" w:name="_Toc118821524"/>
      <w:bookmarkStart w:id="575" w:name="_Toc246214186"/>
      <w:r>
        <w:rPr>
          <w:szCs w:val="24"/>
        </w:rPr>
        <w:t>5.1.1  一般规定</w:t>
      </w:r>
      <w:bookmarkEnd w:id="571"/>
      <w:bookmarkEnd w:id="572"/>
      <w:bookmarkEnd w:id="573"/>
      <w:bookmarkEnd w:id="574"/>
      <w:bookmarkEnd w:id="575"/>
    </w:p>
    <w:p>
      <w:pPr>
        <w:adjustRightInd w:val="0"/>
        <w:snapToGrid w:val="0"/>
        <w:spacing w:line="500" w:lineRule="atLeast"/>
        <w:ind w:firstLine="480" w:firstLineChars="200"/>
        <w:rPr>
          <w:sz w:val="24"/>
        </w:rPr>
      </w:pPr>
      <w:r>
        <w:rPr>
          <w:rFonts w:hint="eastAsia"/>
          <w:sz w:val="24"/>
        </w:rPr>
        <w:t>（</w:t>
      </w:r>
      <w:r>
        <w:rPr>
          <w:sz w:val="24"/>
        </w:rPr>
        <w:t>1</w:t>
      </w:r>
      <w:r>
        <w:rPr>
          <w:rFonts w:hint="eastAsia"/>
          <w:sz w:val="24"/>
        </w:rPr>
        <w:t>）</w:t>
      </w:r>
      <w:r>
        <w:rPr>
          <w:sz w:val="24"/>
        </w:rPr>
        <w:t>监测仪器设备安装埋设完毕后，承包人应及时记录初始读数，并按监理人批准的监测规程负责施工期的安全监测工作，直至向发包人移交全部监测设施为止。</w:t>
      </w:r>
    </w:p>
    <w:p>
      <w:pPr>
        <w:adjustRightInd w:val="0"/>
        <w:snapToGrid w:val="0"/>
        <w:spacing w:line="500" w:lineRule="atLeast"/>
        <w:ind w:firstLine="480" w:firstLineChars="200"/>
        <w:rPr>
          <w:sz w:val="24"/>
        </w:rPr>
      </w:pPr>
      <w:r>
        <w:rPr>
          <w:sz w:val="24"/>
        </w:rPr>
        <w:t>（</w:t>
      </w:r>
      <w:r>
        <w:rPr>
          <w:rFonts w:hint="eastAsia"/>
          <w:sz w:val="24"/>
        </w:rPr>
        <w:t>2</w:t>
      </w:r>
      <w:r>
        <w:rPr>
          <w:sz w:val="24"/>
        </w:rPr>
        <w:t>）各监测部位不同类型的监测仪器的量测，必须按同步监测的原则进行，以便于监测资料的整理和分析。</w:t>
      </w:r>
    </w:p>
    <w:p>
      <w:pPr>
        <w:adjustRightInd w:val="0"/>
        <w:snapToGrid w:val="0"/>
        <w:spacing w:line="500" w:lineRule="atLeast"/>
        <w:ind w:firstLine="480" w:firstLineChars="200"/>
        <w:rPr>
          <w:sz w:val="24"/>
        </w:rPr>
      </w:pPr>
      <w:r>
        <w:rPr>
          <w:sz w:val="24"/>
        </w:rPr>
        <w:t>（</w:t>
      </w:r>
      <w:r>
        <w:rPr>
          <w:rFonts w:hint="eastAsia"/>
          <w:sz w:val="24"/>
        </w:rPr>
        <w:t>3</w:t>
      </w:r>
      <w:r>
        <w:rPr>
          <w:sz w:val="24"/>
        </w:rPr>
        <w:t>）如发生暴雨、大洪水、有感地震以及建筑物出现其它异常等情况时，应进行特别巡检，并按监理人指示增加测次。特别巡检结束后，应及时将特别巡检报告提交监理人。</w:t>
      </w:r>
    </w:p>
    <w:p>
      <w:pPr>
        <w:adjustRightInd w:val="0"/>
        <w:snapToGrid w:val="0"/>
        <w:spacing w:line="500" w:lineRule="atLeast"/>
        <w:ind w:firstLine="480" w:firstLineChars="200"/>
        <w:rPr>
          <w:sz w:val="24"/>
        </w:rPr>
      </w:pPr>
      <w:r>
        <w:rPr>
          <w:sz w:val="24"/>
        </w:rPr>
        <w:t>（</w:t>
      </w:r>
      <w:r>
        <w:rPr>
          <w:rFonts w:hint="eastAsia"/>
          <w:sz w:val="24"/>
        </w:rPr>
        <w:t>4</w:t>
      </w:r>
      <w:r>
        <w:rPr>
          <w:sz w:val="24"/>
        </w:rPr>
        <w:t>）年度巡检应在每年汛期进行，发现安全隐患应立即报告监理人。巡检结束后应按监理人指定的格式提交巡检报告。</w:t>
      </w:r>
    </w:p>
    <w:p>
      <w:pPr>
        <w:adjustRightInd w:val="0"/>
        <w:snapToGrid w:val="0"/>
        <w:spacing w:line="500" w:lineRule="atLeast"/>
        <w:ind w:firstLine="480" w:firstLineChars="200"/>
        <w:rPr>
          <w:sz w:val="24"/>
        </w:rPr>
      </w:pPr>
      <w:r>
        <w:rPr>
          <w:sz w:val="24"/>
        </w:rPr>
        <w:t>（</w:t>
      </w:r>
      <w:r>
        <w:rPr>
          <w:rFonts w:hint="eastAsia"/>
          <w:sz w:val="24"/>
        </w:rPr>
        <w:t>5</w:t>
      </w:r>
      <w:r>
        <w:rPr>
          <w:sz w:val="24"/>
        </w:rPr>
        <w:t>）当监测结果出现异常情况时，或者监理工程师要求增加测次的情况下， 应增加测次。</w:t>
      </w:r>
    </w:p>
    <w:p>
      <w:pPr>
        <w:adjustRightInd w:val="0"/>
        <w:snapToGrid w:val="0"/>
        <w:spacing w:line="500" w:lineRule="atLeast"/>
        <w:ind w:firstLine="480" w:firstLineChars="200"/>
        <w:rPr>
          <w:sz w:val="24"/>
        </w:rPr>
      </w:pPr>
      <w:r>
        <w:rPr>
          <w:sz w:val="24"/>
        </w:rPr>
        <w:t>（</w:t>
      </w:r>
      <w:r>
        <w:rPr>
          <w:rFonts w:hint="eastAsia"/>
          <w:sz w:val="24"/>
        </w:rPr>
        <w:t>6</w:t>
      </w:r>
      <w:r>
        <w:rPr>
          <w:sz w:val="24"/>
        </w:rPr>
        <w:t>）在现场条件许可情况下，应及早安装自动化采集装置并形成系统，以便在特殊情况下进行监测数据的连续采集。将具备条件的仪器逐步按计划接入观测站实行数据集中采集。</w:t>
      </w:r>
    </w:p>
    <w:p>
      <w:pPr>
        <w:adjustRightInd w:val="0"/>
        <w:snapToGrid w:val="0"/>
        <w:spacing w:line="500" w:lineRule="atLeast"/>
        <w:ind w:firstLine="480" w:firstLineChars="200"/>
        <w:rPr>
          <w:sz w:val="24"/>
        </w:rPr>
      </w:pPr>
      <w:r>
        <w:rPr>
          <w:rFonts w:hint="eastAsia"/>
          <w:sz w:val="24"/>
        </w:rPr>
        <w:t>（7）</w:t>
      </w:r>
      <w:r>
        <w:rPr>
          <w:sz w:val="24"/>
        </w:rPr>
        <w:t xml:space="preserve"> 除按监理人指示进行各种仪器设备的监测外，还应对合同监测范围内的工程建筑物进行现场检查。</w:t>
      </w:r>
    </w:p>
    <w:p>
      <w:pPr>
        <w:adjustRightInd w:val="0"/>
        <w:snapToGrid w:val="0"/>
        <w:spacing w:line="500" w:lineRule="atLeast"/>
        <w:ind w:firstLine="480" w:firstLineChars="200"/>
        <w:rPr>
          <w:sz w:val="24"/>
        </w:rPr>
      </w:pPr>
    </w:p>
    <w:p>
      <w:pPr>
        <w:pStyle w:val="5"/>
        <w:snapToGrid w:val="0"/>
        <w:spacing w:before="0" w:after="0" w:line="500" w:lineRule="atLeast"/>
        <w:jc w:val="both"/>
        <w:rPr>
          <w:szCs w:val="24"/>
        </w:rPr>
      </w:pPr>
      <w:bookmarkStart w:id="576" w:name="_Toc28692"/>
      <w:bookmarkStart w:id="577" w:name="_Toc118821525"/>
      <w:bookmarkStart w:id="578" w:name="_Toc521577819"/>
      <w:r>
        <w:rPr>
          <w:szCs w:val="24"/>
        </w:rPr>
        <w:t>5.1.2</w:t>
      </w:r>
      <w:r>
        <w:rPr>
          <w:rFonts w:hint="eastAsia"/>
          <w:szCs w:val="24"/>
        </w:rPr>
        <w:t xml:space="preserve">  </w:t>
      </w:r>
      <w:r>
        <w:rPr>
          <w:szCs w:val="24"/>
        </w:rPr>
        <w:t>工程永久安全监测</w:t>
      </w:r>
      <w:bookmarkEnd w:id="576"/>
      <w:bookmarkEnd w:id="577"/>
      <w:bookmarkEnd w:id="578"/>
    </w:p>
    <w:p>
      <w:pPr>
        <w:adjustRightInd w:val="0"/>
        <w:snapToGrid w:val="0"/>
        <w:spacing w:line="500" w:lineRule="atLeast"/>
        <w:ind w:firstLine="480" w:firstLineChars="200"/>
        <w:rPr>
          <w:sz w:val="24"/>
        </w:rPr>
      </w:pPr>
      <w:r>
        <w:rPr>
          <w:sz w:val="24"/>
        </w:rPr>
        <w:t>(1)</w:t>
      </w:r>
      <w:r>
        <w:rPr>
          <w:rFonts w:hint="eastAsia"/>
          <w:sz w:val="24"/>
        </w:rPr>
        <w:t xml:space="preserve"> </w:t>
      </w:r>
      <w:r>
        <w:rPr>
          <w:sz w:val="24"/>
        </w:rPr>
        <w:t xml:space="preserve"> 监测数据的采集工作必须按照《水利水电工程安全监测设计规范》(SL725-2016)</w:t>
      </w:r>
      <w:r>
        <w:rPr>
          <w:rFonts w:hint="eastAsia"/>
          <w:sz w:val="24"/>
        </w:rPr>
        <w:t>、</w:t>
      </w:r>
      <w:r>
        <w:rPr>
          <w:sz w:val="24"/>
        </w:rPr>
        <w:t>《水闸安全监测设计规范》(SL768-2018)和《土石坝安全监测技术规范》（SL551-2012）规范规定的监测项目和频次见表5.1-1~表5.1-4。表中测次，均系正常情况下人工测读的最低要求。如遇特殊情况（如高水位、特大暴雨、强地震等）和工程出现不安全征兆时应增加测次。必要时，还应根据实际情况和监理人指示，适当调整监测频次。</w:t>
      </w:r>
    </w:p>
    <w:p>
      <w:pPr>
        <w:adjustRightInd w:val="0"/>
        <w:snapToGrid w:val="0"/>
        <w:spacing w:line="500" w:lineRule="atLeast"/>
        <w:ind w:firstLine="480" w:firstLineChars="200"/>
        <w:rPr>
          <w:sz w:val="24"/>
          <w:highlight w:val="none"/>
        </w:rPr>
      </w:pPr>
    </w:p>
    <w:p>
      <w:pPr>
        <w:adjustRightInd w:val="0"/>
        <w:snapToGrid w:val="0"/>
        <w:jc w:val="center"/>
        <w:rPr>
          <w:sz w:val="24"/>
          <w:highlight w:val="none"/>
        </w:rPr>
      </w:pPr>
      <w:bookmarkStart w:id="579" w:name="_Toc502160171"/>
      <w:bookmarkStart w:id="580" w:name="_Toc521577820"/>
      <w:r>
        <w:rPr>
          <w:sz w:val="24"/>
          <w:highlight w:val="none"/>
        </w:rPr>
        <w:t>表5.1-</w:t>
      </w:r>
      <w:r>
        <w:rPr>
          <w:rFonts w:hint="eastAsia"/>
          <w:sz w:val="24"/>
          <w:highlight w:val="none"/>
        </w:rPr>
        <w:t>1</w:t>
      </w:r>
      <w:r>
        <w:rPr>
          <w:sz w:val="24"/>
          <w:highlight w:val="none"/>
        </w:rPr>
        <w:t xml:space="preserve">  隧洞工程永久安全监测频次表</w:t>
      </w:r>
    </w:p>
    <w:tbl>
      <w:tblPr>
        <w:tblStyle w:val="88"/>
        <w:tblW w:w="9072"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8"/>
        <w:gridCol w:w="1871"/>
        <w:gridCol w:w="1925"/>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vAlign w:val="center"/>
          </w:tcPr>
          <w:p>
            <w:pPr>
              <w:spacing w:line="360" w:lineRule="auto"/>
              <w:jc w:val="center"/>
              <w:rPr>
                <w:sz w:val="22"/>
                <w:szCs w:val="22"/>
                <w:highlight w:val="none"/>
              </w:rPr>
            </w:pPr>
            <w:r>
              <w:rPr>
                <w:sz w:val="22"/>
                <w:szCs w:val="22"/>
                <w:highlight w:val="none"/>
              </w:rPr>
              <w:t>监测项目</w:t>
            </w:r>
          </w:p>
        </w:tc>
        <w:tc>
          <w:tcPr>
            <w:tcW w:w="2268" w:type="dxa"/>
            <w:vAlign w:val="center"/>
          </w:tcPr>
          <w:p>
            <w:pPr>
              <w:spacing w:line="360" w:lineRule="auto"/>
              <w:jc w:val="center"/>
              <w:rPr>
                <w:sz w:val="22"/>
                <w:szCs w:val="22"/>
                <w:highlight w:val="none"/>
              </w:rPr>
            </w:pPr>
            <w:r>
              <w:rPr>
                <w:sz w:val="22"/>
                <w:szCs w:val="22"/>
                <w:highlight w:val="none"/>
              </w:rPr>
              <w:t>监测内容</w:t>
            </w:r>
          </w:p>
        </w:tc>
        <w:tc>
          <w:tcPr>
            <w:tcW w:w="1871" w:type="dxa"/>
            <w:vAlign w:val="center"/>
          </w:tcPr>
          <w:p>
            <w:pPr>
              <w:spacing w:line="360" w:lineRule="auto"/>
              <w:jc w:val="center"/>
              <w:rPr>
                <w:sz w:val="22"/>
                <w:szCs w:val="22"/>
                <w:highlight w:val="none"/>
              </w:rPr>
            </w:pPr>
            <w:r>
              <w:rPr>
                <w:sz w:val="22"/>
                <w:szCs w:val="22"/>
                <w:highlight w:val="none"/>
              </w:rPr>
              <w:t>施工期</w:t>
            </w:r>
          </w:p>
        </w:tc>
        <w:tc>
          <w:tcPr>
            <w:tcW w:w="1925" w:type="dxa"/>
            <w:vAlign w:val="center"/>
          </w:tcPr>
          <w:p>
            <w:pPr>
              <w:spacing w:line="360" w:lineRule="auto"/>
              <w:jc w:val="center"/>
              <w:rPr>
                <w:sz w:val="22"/>
                <w:szCs w:val="22"/>
                <w:highlight w:val="none"/>
              </w:rPr>
            </w:pPr>
            <w:r>
              <w:rPr>
                <w:sz w:val="22"/>
                <w:szCs w:val="22"/>
                <w:highlight w:val="none"/>
              </w:rPr>
              <w:t>充水试验期</w:t>
            </w:r>
          </w:p>
        </w:tc>
        <w:tc>
          <w:tcPr>
            <w:tcW w:w="1874" w:type="dxa"/>
            <w:vAlign w:val="center"/>
          </w:tcPr>
          <w:p>
            <w:pPr>
              <w:spacing w:line="360" w:lineRule="auto"/>
              <w:jc w:val="center"/>
              <w:rPr>
                <w:sz w:val="22"/>
                <w:szCs w:val="22"/>
                <w:highlight w:val="none"/>
              </w:rPr>
            </w:pPr>
            <w:r>
              <w:rPr>
                <w:sz w:val="22"/>
                <w:szCs w:val="22"/>
                <w:highlight w:val="none"/>
              </w:rPr>
              <w:t>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vAlign w:val="center"/>
          </w:tcPr>
          <w:p>
            <w:pPr>
              <w:spacing w:line="360" w:lineRule="auto"/>
              <w:jc w:val="center"/>
              <w:rPr>
                <w:sz w:val="22"/>
                <w:szCs w:val="22"/>
                <w:highlight w:val="none"/>
              </w:rPr>
            </w:pPr>
            <w:r>
              <w:rPr>
                <w:sz w:val="22"/>
                <w:szCs w:val="22"/>
                <w:highlight w:val="none"/>
              </w:rPr>
              <w:t>巡视检查</w:t>
            </w:r>
          </w:p>
        </w:tc>
        <w:tc>
          <w:tcPr>
            <w:tcW w:w="2268" w:type="dxa"/>
            <w:vAlign w:val="center"/>
          </w:tcPr>
          <w:p>
            <w:pPr>
              <w:spacing w:line="360" w:lineRule="auto"/>
              <w:jc w:val="center"/>
              <w:rPr>
                <w:sz w:val="22"/>
                <w:szCs w:val="22"/>
                <w:highlight w:val="none"/>
              </w:rPr>
            </w:pPr>
            <w:r>
              <w:rPr>
                <w:sz w:val="22"/>
                <w:szCs w:val="22"/>
                <w:highlight w:val="none"/>
              </w:rPr>
              <w:t>日常检查</w:t>
            </w:r>
          </w:p>
        </w:tc>
        <w:tc>
          <w:tcPr>
            <w:tcW w:w="1871" w:type="dxa"/>
            <w:vAlign w:val="center"/>
          </w:tcPr>
          <w:p>
            <w:pPr>
              <w:spacing w:line="360" w:lineRule="auto"/>
              <w:jc w:val="center"/>
              <w:rPr>
                <w:sz w:val="22"/>
                <w:szCs w:val="22"/>
                <w:highlight w:val="none"/>
              </w:rPr>
            </w:pPr>
            <w:r>
              <w:rPr>
                <w:sz w:val="22"/>
                <w:szCs w:val="22"/>
                <w:highlight w:val="none"/>
              </w:rPr>
              <w:t>1次/周～3次/周</w:t>
            </w:r>
          </w:p>
        </w:tc>
        <w:tc>
          <w:tcPr>
            <w:tcW w:w="1925" w:type="dxa"/>
            <w:vAlign w:val="center"/>
          </w:tcPr>
          <w:p>
            <w:pPr>
              <w:spacing w:line="360" w:lineRule="auto"/>
              <w:jc w:val="center"/>
              <w:rPr>
                <w:sz w:val="22"/>
                <w:szCs w:val="22"/>
                <w:highlight w:val="none"/>
              </w:rPr>
            </w:pPr>
            <w:r>
              <w:rPr>
                <w:sz w:val="22"/>
                <w:szCs w:val="22"/>
                <w:highlight w:val="none"/>
              </w:rPr>
              <w:t>2次/天～1次/天</w:t>
            </w:r>
          </w:p>
        </w:tc>
        <w:tc>
          <w:tcPr>
            <w:tcW w:w="1874" w:type="dxa"/>
            <w:vAlign w:val="center"/>
          </w:tcPr>
          <w:p>
            <w:pPr>
              <w:spacing w:line="360" w:lineRule="auto"/>
              <w:jc w:val="center"/>
              <w:rPr>
                <w:sz w:val="22"/>
                <w:szCs w:val="22"/>
                <w:highlight w:val="none"/>
              </w:rPr>
            </w:pPr>
            <w:r>
              <w:rPr>
                <w:sz w:val="22"/>
                <w:szCs w:val="22"/>
                <w:highlight w:val="none"/>
              </w:rPr>
              <w:t>2次/月～1次/月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vMerge w:val="restart"/>
            <w:vAlign w:val="center"/>
          </w:tcPr>
          <w:p>
            <w:pPr>
              <w:spacing w:line="360" w:lineRule="auto"/>
              <w:jc w:val="center"/>
              <w:rPr>
                <w:sz w:val="22"/>
                <w:szCs w:val="22"/>
                <w:highlight w:val="none"/>
              </w:rPr>
            </w:pPr>
            <w:r>
              <w:rPr>
                <w:sz w:val="22"/>
                <w:szCs w:val="22"/>
                <w:highlight w:val="none"/>
              </w:rPr>
              <w:t>变形</w:t>
            </w:r>
          </w:p>
        </w:tc>
        <w:tc>
          <w:tcPr>
            <w:tcW w:w="2268" w:type="dxa"/>
            <w:vAlign w:val="center"/>
          </w:tcPr>
          <w:p>
            <w:pPr>
              <w:spacing w:line="360" w:lineRule="auto"/>
              <w:jc w:val="center"/>
              <w:rPr>
                <w:sz w:val="22"/>
                <w:szCs w:val="22"/>
                <w:highlight w:val="none"/>
              </w:rPr>
            </w:pPr>
            <w:r>
              <w:rPr>
                <w:sz w:val="22"/>
                <w:szCs w:val="22"/>
                <w:highlight w:val="none"/>
              </w:rPr>
              <w:t>围岩内部变形</w:t>
            </w:r>
          </w:p>
        </w:tc>
        <w:tc>
          <w:tcPr>
            <w:tcW w:w="1871" w:type="dxa"/>
            <w:vAlign w:val="center"/>
          </w:tcPr>
          <w:p>
            <w:pPr>
              <w:spacing w:line="360" w:lineRule="auto"/>
              <w:jc w:val="center"/>
              <w:rPr>
                <w:sz w:val="22"/>
                <w:szCs w:val="22"/>
                <w:highlight w:val="none"/>
              </w:rPr>
            </w:pPr>
            <w:r>
              <w:rPr>
                <w:sz w:val="22"/>
                <w:szCs w:val="22"/>
                <w:highlight w:val="none"/>
              </w:rPr>
              <w:t>1次/周～1次/月</w:t>
            </w:r>
          </w:p>
        </w:tc>
        <w:tc>
          <w:tcPr>
            <w:tcW w:w="1925" w:type="dxa"/>
            <w:vAlign w:val="center"/>
          </w:tcPr>
          <w:p>
            <w:pPr>
              <w:spacing w:line="360" w:lineRule="auto"/>
              <w:jc w:val="center"/>
              <w:rPr>
                <w:sz w:val="22"/>
                <w:szCs w:val="22"/>
                <w:highlight w:val="none"/>
              </w:rPr>
            </w:pPr>
            <w:r>
              <w:rPr>
                <w:sz w:val="22"/>
                <w:szCs w:val="22"/>
                <w:highlight w:val="none"/>
              </w:rPr>
              <w:t>3次/天～1次/天</w:t>
            </w:r>
          </w:p>
        </w:tc>
        <w:tc>
          <w:tcPr>
            <w:tcW w:w="1874" w:type="dxa"/>
            <w:vAlign w:val="center"/>
          </w:tcPr>
          <w:p>
            <w:pPr>
              <w:spacing w:line="360" w:lineRule="auto"/>
              <w:jc w:val="center"/>
              <w:rPr>
                <w:sz w:val="22"/>
                <w:szCs w:val="22"/>
                <w:highlight w:val="none"/>
              </w:rPr>
            </w:pPr>
            <w:r>
              <w:rPr>
                <w:sz w:val="22"/>
                <w:szCs w:val="22"/>
                <w:highlight w:val="none"/>
              </w:rPr>
              <w:t>2次/月～1次/季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vMerge w:val="continue"/>
            <w:vAlign w:val="center"/>
          </w:tcPr>
          <w:p>
            <w:pPr>
              <w:spacing w:line="360" w:lineRule="auto"/>
              <w:jc w:val="center"/>
              <w:rPr>
                <w:sz w:val="22"/>
                <w:szCs w:val="22"/>
                <w:highlight w:val="none"/>
              </w:rPr>
            </w:pPr>
          </w:p>
        </w:tc>
        <w:tc>
          <w:tcPr>
            <w:tcW w:w="2268" w:type="dxa"/>
            <w:vAlign w:val="center"/>
          </w:tcPr>
          <w:p>
            <w:pPr>
              <w:spacing w:line="360" w:lineRule="auto"/>
              <w:jc w:val="center"/>
              <w:rPr>
                <w:sz w:val="22"/>
                <w:szCs w:val="22"/>
                <w:highlight w:val="none"/>
              </w:rPr>
            </w:pPr>
            <w:r>
              <w:rPr>
                <w:sz w:val="22"/>
                <w:szCs w:val="22"/>
                <w:highlight w:val="none"/>
              </w:rPr>
              <w:t>衬砌结构变形</w:t>
            </w:r>
          </w:p>
        </w:tc>
        <w:tc>
          <w:tcPr>
            <w:tcW w:w="1871" w:type="dxa"/>
            <w:vAlign w:val="center"/>
          </w:tcPr>
          <w:p>
            <w:pPr>
              <w:spacing w:line="360" w:lineRule="auto"/>
              <w:jc w:val="center"/>
              <w:rPr>
                <w:sz w:val="22"/>
                <w:szCs w:val="22"/>
                <w:highlight w:val="none"/>
              </w:rPr>
            </w:pPr>
            <w:r>
              <w:rPr>
                <w:sz w:val="22"/>
                <w:szCs w:val="22"/>
                <w:highlight w:val="none"/>
              </w:rPr>
              <w:t>1次/周～1次/月</w:t>
            </w:r>
          </w:p>
        </w:tc>
        <w:tc>
          <w:tcPr>
            <w:tcW w:w="1925" w:type="dxa"/>
            <w:vAlign w:val="center"/>
          </w:tcPr>
          <w:p>
            <w:pPr>
              <w:spacing w:line="360" w:lineRule="auto"/>
              <w:jc w:val="center"/>
              <w:rPr>
                <w:sz w:val="22"/>
                <w:szCs w:val="22"/>
                <w:highlight w:val="none"/>
              </w:rPr>
            </w:pPr>
            <w:r>
              <w:rPr>
                <w:sz w:val="22"/>
                <w:szCs w:val="22"/>
                <w:highlight w:val="none"/>
              </w:rPr>
              <w:t>3次/天～1次/天</w:t>
            </w:r>
          </w:p>
        </w:tc>
        <w:tc>
          <w:tcPr>
            <w:tcW w:w="1874" w:type="dxa"/>
            <w:vAlign w:val="center"/>
          </w:tcPr>
          <w:p>
            <w:pPr>
              <w:spacing w:line="360" w:lineRule="auto"/>
              <w:jc w:val="center"/>
              <w:rPr>
                <w:sz w:val="22"/>
                <w:szCs w:val="22"/>
                <w:highlight w:val="none"/>
              </w:rPr>
            </w:pPr>
            <w:r>
              <w:rPr>
                <w:sz w:val="22"/>
                <w:szCs w:val="22"/>
                <w:highlight w:val="none"/>
              </w:rPr>
              <w:t>2次/月～1次/季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vMerge w:val="continue"/>
            <w:vAlign w:val="center"/>
          </w:tcPr>
          <w:p>
            <w:pPr>
              <w:spacing w:line="360" w:lineRule="auto"/>
              <w:jc w:val="center"/>
              <w:rPr>
                <w:sz w:val="22"/>
                <w:szCs w:val="22"/>
                <w:highlight w:val="none"/>
              </w:rPr>
            </w:pPr>
          </w:p>
        </w:tc>
        <w:tc>
          <w:tcPr>
            <w:tcW w:w="2268" w:type="dxa"/>
            <w:vAlign w:val="center"/>
          </w:tcPr>
          <w:p>
            <w:pPr>
              <w:spacing w:line="360" w:lineRule="auto"/>
              <w:jc w:val="center"/>
              <w:rPr>
                <w:sz w:val="22"/>
                <w:szCs w:val="22"/>
                <w:highlight w:val="none"/>
              </w:rPr>
            </w:pPr>
            <w:r>
              <w:rPr>
                <w:sz w:val="22"/>
                <w:szCs w:val="22"/>
                <w:highlight w:val="none"/>
              </w:rPr>
              <w:t>接缝、裂缝开合度</w:t>
            </w:r>
          </w:p>
        </w:tc>
        <w:tc>
          <w:tcPr>
            <w:tcW w:w="1871" w:type="dxa"/>
            <w:vAlign w:val="center"/>
          </w:tcPr>
          <w:p>
            <w:pPr>
              <w:spacing w:line="360" w:lineRule="auto"/>
              <w:jc w:val="center"/>
              <w:rPr>
                <w:sz w:val="22"/>
                <w:szCs w:val="22"/>
                <w:highlight w:val="none"/>
              </w:rPr>
            </w:pPr>
            <w:r>
              <w:rPr>
                <w:sz w:val="22"/>
                <w:szCs w:val="22"/>
                <w:highlight w:val="none"/>
              </w:rPr>
              <w:t>1次/周～1次/月</w:t>
            </w:r>
          </w:p>
        </w:tc>
        <w:tc>
          <w:tcPr>
            <w:tcW w:w="1925" w:type="dxa"/>
            <w:vAlign w:val="center"/>
          </w:tcPr>
          <w:p>
            <w:pPr>
              <w:spacing w:line="360" w:lineRule="auto"/>
              <w:jc w:val="center"/>
              <w:rPr>
                <w:sz w:val="22"/>
                <w:szCs w:val="22"/>
                <w:highlight w:val="none"/>
              </w:rPr>
            </w:pPr>
            <w:r>
              <w:rPr>
                <w:sz w:val="22"/>
                <w:szCs w:val="22"/>
                <w:highlight w:val="none"/>
              </w:rPr>
              <w:t>3次/天～1次/天</w:t>
            </w:r>
          </w:p>
        </w:tc>
        <w:tc>
          <w:tcPr>
            <w:tcW w:w="1874" w:type="dxa"/>
            <w:vAlign w:val="center"/>
          </w:tcPr>
          <w:p>
            <w:pPr>
              <w:spacing w:line="360" w:lineRule="auto"/>
              <w:jc w:val="center"/>
              <w:rPr>
                <w:sz w:val="22"/>
                <w:szCs w:val="22"/>
                <w:highlight w:val="none"/>
              </w:rPr>
            </w:pPr>
            <w:r>
              <w:rPr>
                <w:sz w:val="22"/>
                <w:szCs w:val="22"/>
                <w:highlight w:val="none"/>
              </w:rPr>
              <w:t>2次/月～1次/季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vAlign w:val="center"/>
          </w:tcPr>
          <w:p>
            <w:pPr>
              <w:spacing w:line="360" w:lineRule="auto"/>
              <w:jc w:val="center"/>
              <w:rPr>
                <w:sz w:val="22"/>
                <w:szCs w:val="22"/>
                <w:highlight w:val="none"/>
              </w:rPr>
            </w:pPr>
            <w:r>
              <w:rPr>
                <w:sz w:val="22"/>
                <w:szCs w:val="22"/>
                <w:highlight w:val="none"/>
              </w:rPr>
              <w:t>渗流</w:t>
            </w:r>
          </w:p>
        </w:tc>
        <w:tc>
          <w:tcPr>
            <w:tcW w:w="2268" w:type="dxa"/>
            <w:vAlign w:val="center"/>
          </w:tcPr>
          <w:p>
            <w:pPr>
              <w:spacing w:line="360" w:lineRule="auto"/>
              <w:jc w:val="center"/>
              <w:rPr>
                <w:sz w:val="22"/>
                <w:szCs w:val="22"/>
                <w:highlight w:val="none"/>
              </w:rPr>
            </w:pPr>
            <w:r>
              <w:rPr>
                <w:sz w:val="22"/>
                <w:szCs w:val="22"/>
                <w:highlight w:val="none"/>
              </w:rPr>
              <w:t>外水压力（渗透压力）</w:t>
            </w:r>
          </w:p>
        </w:tc>
        <w:tc>
          <w:tcPr>
            <w:tcW w:w="1871" w:type="dxa"/>
            <w:vAlign w:val="center"/>
          </w:tcPr>
          <w:p>
            <w:pPr>
              <w:spacing w:line="360" w:lineRule="auto"/>
              <w:jc w:val="center"/>
              <w:rPr>
                <w:sz w:val="22"/>
                <w:szCs w:val="22"/>
                <w:highlight w:val="none"/>
              </w:rPr>
            </w:pPr>
            <w:r>
              <w:rPr>
                <w:sz w:val="22"/>
                <w:szCs w:val="22"/>
                <w:highlight w:val="none"/>
              </w:rPr>
              <w:t>1次/周～1次/月</w:t>
            </w:r>
          </w:p>
        </w:tc>
        <w:tc>
          <w:tcPr>
            <w:tcW w:w="1925" w:type="dxa"/>
            <w:vAlign w:val="center"/>
          </w:tcPr>
          <w:p>
            <w:pPr>
              <w:spacing w:line="360" w:lineRule="auto"/>
              <w:jc w:val="center"/>
              <w:rPr>
                <w:sz w:val="22"/>
                <w:szCs w:val="22"/>
                <w:highlight w:val="none"/>
              </w:rPr>
            </w:pPr>
            <w:r>
              <w:rPr>
                <w:sz w:val="22"/>
                <w:szCs w:val="22"/>
                <w:highlight w:val="none"/>
              </w:rPr>
              <w:t>3次/天～1次/天</w:t>
            </w:r>
          </w:p>
        </w:tc>
        <w:tc>
          <w:tcPr>
            <w:tcW w:w="1874" w:type="dxa"/>
            <w:vAlign w:val="center"/>
          </w:tcPr>
          <w:p>
            <w:pPr>
              <w:spacing w:line="360" w:lineRule="auto"/>
              <w:jc w:val="center"/>
              <w:rPr>
                <w:sz w:val="22"/>
                <w:szCs w:val="22"/>
                <w:highlight w:val="none"/>
              </w:rPr>
            </w:pPr>
            <w:r>
              <w:rPr>
                <w:sz w:val="22"/>
                <w:szCs w:val="22"/>
                <w:highlight w:val="none"/>
              </w:rPr>
              <w:t>2次/月～1次/季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vMerge w:val="restart"/>
            <w:vAlign w:val="center"/>
          </w:tcPr>
          <w:p>
            <w:pPr>
              <w:spacing w:line="360" w:lineRule="auto"/>
              <w:jc w:val="center"/>
              <w:rPr>
                <w:sz w:val="22"/>
                <w:szCs w:val="22"/>
                <w:highlight w:val="none"/>
              </w:rPr>
            </w:pPr>
            <w:r>
              <w:rPr>
                <w:sz w:val="22"/>
                <w:szCs w:val="22"/>
                <w:highlight w:val="none"/>
              </w:rPr>
              <w:t>应力应变</w:t>
            </w:r>
          </w:p>
        </w:tc>
        <w:tc>
          <w:tcPr>
            <w:tcW w:w="2268" w:type="dxa"/>
            <w:vAlign w:val="center"/>
          </w:tcPr>
          <w:p>
            <w:pPr>
              <w:spacing w:line="360" w:lineRule="auto"/>
              <w:jc w:val="center"/>
              <w:rPr>
                <w:sz w:val="22"/>
                <w:szCs w:val="22"/>
                <w:highlight w:val="none"/>
              </w:rPr>
            </w:pPr>
            <w:r>
              <w:rPr>
                <w:sz w:val="22"/>
                <w:szCs w:val="22"/>
                <w:highlight w:val="none"/>
              </w:rPr>
              <w:t>锚杆应力</w:t>
            </w:r>
          </w:p>
        </w:tc>
        <w:tc>
          <w:tcPr>
            <w:tcW w:w="1871" w:type="dxa"/>
            <w:vAlign w:val="center"/>
          </w:tcPr>
          <w:p>
            <w:pPr>
              <w:spacing w:line="360" w:lineRule="auto"/>
              <w:jc w:val="center"/>
              <w:rPr>
                <w:sz w:val="22"/>
                <w:szCs w:val="22"/>
                <w:highlight w:val="none"/>
              </w:rPr>
            </w:pPr>
            <w:r>
              <w:rPr>
                <w:sz w:val="22"/>
                <w:szCs w:val="22"/>
                <w:highlight w:val="none"/>
              </w:rPr>
              <w:t>1次/周～1次/月</w:t>
            </w:r>
          </w:p>
        </w:tc>
        <w:tc>
          <w:tcPr>
            <w:tcW w:w="1925" w:type="dxa"/>
            <w:vAlign w:val="center"/>
          </w:tcPr>
          <w:p>
            <w:pPr>
              <w:spacing w:line="360" w:lineRule="auto"/>
              <w:jc w:val="center"/>
              <w:rPr>
                <w:sz w:val="22"/>
                <w:szCs w:val="22"/>
                <w:highlight w:val="none"/>
              </w:rPr>
            </w:pPr>
            <w:r>
              <w:rPr>
                <w:sz w:val="22"/>
                <w:szCs w:val="22"/>
                <w:highlight w:val="none"/>
              </w:rPr>
              <w:t>3次/天～1次/天</w:t>
            </w:r>
          </w:p>
        </w:tc>
        <w:tc>
          <w:tcPr>
            <w:tcW w:w="1874" w:type="dxa"/>
            <w:vAlign w:val="center"/>
          </w:tcPr>
          <w:p>
            <w:pPr>
              <w:spacing w:line="360" w:lineRule="auto"/>
              <w:jc w:val="center"/>
              <w:rPr>
                <w:sz w:val="22"/>
                <w:szCs w:val="22"/>
                <w:highlight w:val="none"/>
              </w:rPr>
            </w:pPr>
            <w:r>
              <w:rPr>
                <w:sz w:val="22"/>
                <w:szCs w:val="22"/>
                <w:highlight w:val="none"/>
              </w:rPr>
              <w:t>2次/月～1次/季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vMerge w:val="continue"/>
            <w:vAlign w:val="center"/>
          </w:tcPr>
          <w:p>
            <w:pPr>
              <w:spacing w:line="360" w:lineRule="auto"/>
              <w:jc w:val="center"/>
              <w:rPr>
                <w:sz w:val="22"/>
                <w:szCs w:val="22"/>
                <w:highlight w:val="none"/>
              </w:rPr>
            </w:pPr>
          </w:p>
        </w:tc>
        <w:tc>
          <w:tcPr>
            <w:tcW w:w="2268" w:type="dxa"/>
            <w:vAlign w:val="center"/>
          </w:tcPr>
          <w:p>
            <w:pPr>
              <w:spacing w:line="360" w:lineRule="auto"/>
              <w:jc w:val="center"/>
              <w:rPr>
                <w:sz w:val="22"/>
                <w:szCs w:val="22"/>
                <w:highlight w:val="none"/>
              </w:rPr>
            </w:pPr>
            <w:r>
              <w:rPr>
                <w:sz w:val="22"/>
                <w:szCs w:val="22"/>
                <w:highlight w:val="none"/>
              </w:rPr>
              <w:t>混凝土应力应变</w:t>
            </w:r>
          </w:p>
        </w:tc>
        <w:tc>
          <w:tcPr>
            <w:tcW w:w="1871" w:type="dxa"/>
            <w:vAlign w:val="center"/>
          </w:tcPr>
          <w:p>
            <w:pPr>
              <w:spacing w:line="360" w:lineRule="auto"/>
              <w:jc w:val="center"/>
              <w:rPr>
                <w:sz w:val="22"/>
                <w:szCs w:val="22"/>
                <w:highlight w:val="none"/>
              </w:rPr>
            </w:pPr>
            <w:r>
              <w:rPr>
                <w:sz w:val="22"/>
                <w:szCs w:val="22"/>
                <w:highlight w:val="none"/>
              </w:rPr>
              <w:t>1次/周～1次/月</w:t>
            </w:r>
          </w:p>
        </w:tc>
        <w:tc>
          <w:tcPr>
            <w:tcW w:w="1925" w:type="dxa"/>
            <w:vAlign w:val="center"/>
          </w:tcPr>
          <w:p>
            <w:pPr>
              <w:spacing w:line="360" w:lineRule="auto"/>
              <w:jc w:val="center"/>
              <w:rPr>
                <w:sz w:val="22"/>
                <w:szCs w:val="22"/>
                <w:highlight w:val="none"/>
              </w:rPr>
            </w:pPr>
            <w:r>
              <w:rPr>
                <w:sz w:val="22"/>
                <w:szCs w:val="22"/>
                <w:highlight w:val="none"/>
              </w:rPr>
              <w:t>3次/天～1次/天</w:t>
            </w:r>
          </w:p>
        </w:tc>
        <w:tc>
          <w:tcPr>
            <w:tcW w:w="1874" w:type="dxa"/>
            <w:vAlign w:val="center"/>
          </w:tcPr>
          <w:p>
            <w:pPr>
              <w:spacing w:line="360" w:lineRule="auto"/>
              <w:jc w:val="center"/>
              <w:rPr>
                <w:sz w:val="22"/>
                <w:szCs w:val="22"/>
                <w:highlight w:val="none"/>
              </w:rPr>
            </w:pPr>
            <w:r>
              <w:rPr>
                <w:sz w:val="22"/>
                <w:szCs w:val="22"/>
                <w:highlight w:val="none"/>
              </w:rPr>
              <w:t>2次/月～1次/季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vMerge w:val="continue"/>
            <w:vAlign w:val="center"/>
          </w:tcPr>
          <w:p>
            <w:pPr>
              <w:spacing w:line="360" w:lineRule="auto"/>
              <w:jc w:val="center"/>
              <w:rPr>
                <w:sz w:val="22"/>
                <w:szCs w:val="22"/>
                <w:highlight w:val="none"/>
              </w:rPr>
            </w:pPr>
          </w:p>
        </w:tc>
        <w:tc>
          <w:tcPr>
            <w:tcW w:w="2268" w:type="dxa"/>
            <w:vAlign w:val="center"/>
          </w:tcPr>
          <w:p>
            <w:pPr>
              <w:spacing w:line="360" w:lineRule="auto"/>
              <w:jc w:val="center"/>
              <w:rPr>
                <w:sz w:val="22"/>
                <w:szCs w:val="22"/>
                <w:highlight w:val="none"/>
              </w:rPr>
            </w:pPr>
            <w:r>
              <w:rPr>
                <w:sz w:val="22"/>
                <w:szCs w:val="22"/>
                <w:highlight w:val="none"/>
              </w:rPr>
              <w:t>螺栓应力</w:t>
            </w:r>
          </w:p>
        </w:tc>
        <w:tc>
          <w:tcPr>
            <w:tcW w:w="1871" w:type="dxa"/>
            <w:vAlign w:val="center"/>
          </w:tcPr>
          <w:p>
            <w:pPr>
              <w:spacing w:line="360" w:lineRule="auto"/>
              <w:jc w:val="center"/>
              <w:rPr>
                <w:sz w:val="22"/>
                <w:szCs w:val="22"/>
                <w:highlight w:val="none"/>
              </w:rPr>
            </w:pPr>
            <w:r>
              <w:rPr>
                <w:sz w:val="22"/>
                <w:szCs w:val="22"/>
                <w:highlight w:val="none"/>
              </w:rPr>
              <w:t>1次/周～1次/月</w:t>
            </w:r>
          </w:p>
        </w:tc>
        <w:tc>
          <w:tcPr>
            <w:tcW w:w="1925" w:type="dxa"/>
            <w:vAlign w:val="center"/>
          </w:tcPr>
          <w:p>
            <w:pPr>
              <w:spacing w:line="360" w:lineRule="auto"/>
              <w:jc w:val="center"/>
              <w:rPr>
                <w:sz w:val="22"/>
                <w:szCs w:val="22"/>
                <w:highlight w:val="none"/>
              </w:rPr>
            </w:pPr>
            <w:r>
              <w:rPr>
                <w:sz w:val="22"/>
                <w:szCs w:val="22"/>
                <w:highlight w:val="none"/>
              </w:rPr>
              <w:t>3次/天～1次/天</w:t>
            </w:r>
          </w:p>
        </w:tc>
        <w:tc>
          <w:tcPr>
            <w:tcW w:w="1874" w:type="dxa"/>
            <w:vAlign w:val="center"/>
          </w:tcPr>
          <w:p>
            <w:pPr>
              <w:spacing w:line="360" w:lineRule="auto"/>
              <w:jc w:val="center"/>
              <w:rPr>
                <w:sz w:val="22"/>
                <w:szCs w:val="22"/>
                <w:highlight w:val="none"/>
              </w:rPr>
            </w:pPr>
            <w:r>
              <w:rPr>
                <w:sz w:val="22"/>
                <w:szCs w:val="22"/>
                <w:highlight w:val="none"/>
              </w:rPr>
              <w:t>2次/月～1次/季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vMerge w:val="continue"/>
            <w:vAlign w:val="center"/>
          </w:tcPr>
          <w:p>
            <w:pPr>
              <w:spacing w:line="360" w:lineRule="auto"/>
              <w:jc w:val="center"/>
              <w:rPr>
                <w:sz w:val="22"/>
                <w:szCs w:val="22"/>
                <w:highlight w:val="none"/>
              </w:rPr>
            </w:pPr>
          </w:p>
        </w:tc>
        <w:tc>
          <w:tcPr>
            <w:tcW w:w="2268" w:type="dxa"/>
            <w:vAlign w:val="center"/>
          </w:tcPr>
          <w:p>
            <w:pPr>
              <w:spacing w:line="360" w:lineRule="auto"/>
              <w:jc w:val="center"/>
              <w:rPr>
                <w:sz w:val="22"/>
                <w:szCs w:val="22"/>
                <w:highlight w:val="none"/>
              </w:rPr>
            </w:pPr>
            <w:r>
              <w:rPr>
                <w:sz w:val="22"/>
                <w:szCs w:val="22"/>
                <w:highlight w:val="none"/>
              </w:rPr>
              <w:t>钢管应力</w:t>
            </w:r>
          </w:p>
        </w:tc>
        <w:tc>
          <w:tcPr>
            <w:tcW w:w="1871" w:type="dxa"/>
            <w:vAlign w:val="center"/>
          </w:tcPr>
          <w:p>
            <w:pPr>
              <w:spacing w:line="360" w:lineRule="auto"/>
              <w:jc w:val="center"/>
              <w:rPr>
                <w:sz w:val="22"/>
                <w:szCs w:val="22"/>
                <w:highlight w:val="none"/>
              </w:rPr>
            </w:pPr>
            <w:r>
              <w:rPr>
                <w:sz w:val="22"/>
                <w:szCs w:val="22"/>
                <w:highlight w:val="none"/>
              </w:rPr>
              <w:t>1次/周～1次/月</w:t>
            </w:r>
          </w:p>
        </w:tc>
        <w:tc>
          <w:tcPr>
            <w:tcW w:w="1925" w:type="dxa"/>
            <w:vAlign w:val="center"/>
          </w:tcPr>
          <w:p>
            <w:pPr>
              <w:spacing w:line="360" w:lineRule="auto"/>
              <w:jc w:val="center"/>
              <w:rPr>
                <w:sz w:val="22"/>
                <w:szCs w:val="22"/>
                <w:highlight w:val="none"/>
              </w:rPr>
            </w:pPr>
            <w:r>
              <w:rPr>
                <w:sz w:val="22"/>
                <w:szCs w:val="22"/>
                <w:highlight w:val="none"/>
              </w:rPr>
              <w:t>3次/天～1次/天</w:t>
            </w:r>
          </w:p>
        </w:tc>
        <w:tc>
          <w:tcPr>
            <w:tcW w:w="1874" w:type="dxa"/>
            <w:vAlign w:val="center"/>
          </w:tcPr>
          <w:p>
            <w:pPr>
              <w:spacing w:line="360" w:lineRule="auto"/>
              <w:jc w:val="center"/>
              <w:rPr>
                <w:sz w:val="22"/>
                <w:szCs w:val="22"/>
                <w:highlight w:val="none"/>
              </w:rPr>
            </w:pPr>
            <w:r>
              <w:rPr>
                <w:sz w:val="22"/>
                <w:szCs w:val="22"/>
                <w:highlight w:val="none"/>
              </w:rPr>
              <w:t>2次/月～1次/季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134" w:type="dxa"/>
            <w:vMerge w:val="continue"/>
            <w:vAlign w:val="center"/>
          </w:tcPr>
          <w:p>
            <w:pPr>
              <w:spacing w:line="360" w:lineRule="auto"/>
              <w:jc w:val="center"/>
              <w:rPr>
                <w:sz w:val="22"/>
                <w:szCs w:val="22"/>
                <w:highlight w:val="none"/>
              </w:rPr>
            </w:pPr>
          </w:p>
        </w:tc>
        <w:tc>
          <w:tcPr>
            <w:tcW w:w="2268" w:type="dxa"/>
            <w:vAlign w:val="center"/>
          </w:tcPr>
          <w:p>
            <w:pPr>
              <w:spacing w:line="360" w:lineRule="auto"/>
              <w:jc w:val="center"/>
              <w:rPr>
                <w:sz w:val="22"/>
                <w:szCs w:val="22"/>
                <w:highlight w:val="none"/>
              </w:rPr>
            </w:pPr>
            <w:r>
              <w:rPr>
                <w:sz w:val="22"/>
                <w:szCs w:val="22"/>
                <w:highlight w:val="none"/>
              </w:rPr>
              <w:t>钢筋应力</w:t>
            </w:r>
          </w:p>
        </w:tc>
        <w:tc>
          <w:tcPr>
            <w:tcW w:w="1871" w:type="dxa"/>
            <w:vAlign w:val="center"/>
          </w:tcPr>
          <w:p>
            <w:pPr>
              <w:spacing w:line="360" w:lineRule="auto"/>
              <w:jc w:val="center"/>
              <w:rPr>
                <w:sz w:val="22"/>
                <w:szCs w:val="22"/>
                <w:highlight w:val="none"/>
              </w:rPr>
            </w:pPr>
            <w:r>
              <w:rPr>
                <w:sz w:val="22"/>
                <w:szCs w:val="22"/>
                <w:highlight w:val="none"/>
              </w:rPr>
              <w:t>1次/周～1次/月</w:t>
            </w:r>
          </w:p>
        </w:tc>
        <w:tc>
          <w:tcPr>
            <w:tcW w:w="1925" w:type="dxa"/>
            <w:vAlign w:val="center"/>
          </w:tcPr>
          <w:p>
            <w:pPr>
              <w:spacing w:line="360" w:lineRule="auto"/>
              <w:jc w:val="center"/>
              <w:rPr>
                <w:sz w:val="22"/>
                <w:szCs w:val="22"/>
                <w:highlight w:val="none"/>
              </w:rPr>
            </w:pPr>
            <w:r>
              <w:rPr>
                <w:sz w:val="22"/>
                <w:szCs w:val="22"/>
                <w:highlight w:val="none"/>
              </w:rPr>
              <w:t>3次/天～1次/天</w:t>
            </w:r>
          </w:p>
        </w:tc>
        <w:tc>
          <w:tcPr>
            <w:tcW w:w="1874" w:type="dxa"/>
            <w:vAlign w:val="center"/>
          </w:tcPr>
          <w:p>
            <w:pPr>
              <w:spacing w:line="360" w:lineRule="auto"/>
              <w:jc w:val="center"/>
              <w:rPr>
                <w:sz w:val="22"/>
                <w:szCs w:val="22"/>
                <w:highlight w:val="none"/>
              </w:rPr>
            </w:pPr>
            <w:r>
              <w:rPr>
                <w:sz w:val="22"/>
                <w:szCs w:val="22"/>
                <w:highlight w:val="none"/>
              </w:rPr>
              <w:t>2次/月～1次/季</w:t>
            </w:r>
          </w:p>
        </w:tc>
      </w:tr>
    </w:tbl>
    <w:p>
      <w:pPr>
        <w:rPr>
          <w:szCs w:val="21"/>
        </w:rPr>
      </w:pPr>
      <w:r>
        <w:rPr>
          <w:szCs w:val="21"/>
        </w:rPr>
        <w:t>注：</w:t>
      </w:r>
      <w:r>
        <w:rPr>
          <w:rFonts w:hint="eastAsia"/>
          <w:szCs w:val="21"/>
        </w:rPr>
        <w:t>①</w:t>
      </w:r>
      <w:r>
        <w:rPr>
          <w:szCs w:val="21"/>
        </w:rPr>
        <w:t>表中测次，均系正常情况下人工测读的最低要求。特殊时期（如发生大洪水、地震等），应增加测次。监测自动化可根据需要，适当加密测次。</w:t>
      </w:r>
    </w:p>
    <w:p>
      <w:pPr>
        <w:ind w:firstLine="210" w:firstLineChars="100"/>
        <w:rPr>
          <w:szCs w:val="21"/>
        </w:rPr>
      </w:pPr>
      <w:r>
        <w:rPr>
          <w:rFonts w:hint="eastAsia"/>
          <w:szCs w:val="21"/>
        </w:rPr>
        <w:t>②</w:t>
      </w:r>
      <w:r>
        <w:rPr>
          <w:szCs w:val="21"/>
        </w:rPr>
        <w:t>在施工期，施工进度快的，变形和应力监测的次数应取上限。在</w:t>
      </w:r>
      <w:r>
        <w:rPr>
          <w:rFonts w:hint="eastAsia"/>
          <w:szCs w:val="21"/>
        </w:rPr>
        <w:t>充</w:t>
      </w:r>
      <w:r>
        <w:rPr>
          <w:szCs w:val="21"/>
        </w:rPr>
        <w:t>水</w:t>
      </w:r>
      <w:r>
        <w:rPr>
          <w:rFonts w:hint="eastAsia"/>
          <w:szCs w:val="21"/>
        </w:rPr>
        <w:t>试验</w:t>
      </w:r>
      <w:r>
        <w:rPr>
          <w:szCs w:val="21"/>
        </w:rPr>
        <w:t>期，进口水位变化较大的，测次应取上限。在运行期，当变形、渗流等性态变化速度大时，测次应取上限，性态趋于稳定时可取下限；当多年运行性态稳定时，可减少测次，减少监测项目或停测，但应报主管部位批准；当进口水位超过前期运行水位时，仍按</w:t>
      </w:r>
      <w:r>
        <w:rPr>
          <w:rFonts w:hint="eastAsia"/>
          <w:szCs w:val="21"/>
        </w:rPr>
        <w:t>充</w:t>
      </w:r>
      <w:r>
        <w:rPr>
          <w:szCs w:val="21"/>
        </w:rPr>
        <w:t>水</w:t>
      </w:r>
      <w:r>
        <w:rPr>
          <w:rFonts w:hint="eastAsia"/>
          <w:szCs w:val="21"/>
        </w:rPr>
        <w:t>试验期</w:t>
      </w:r>
      <w:r>
        <w:rPr>
          <w:szCs w:val="21"/>
        </w:rPr>
        <w:t>执行。</w:t>
      </w:r>
    </w:p>
    <w:p>
      <w:pPr>
        <w:ind w:firstLine="210" w:firstLineChars="100"/>
        <w:rPr>
          <w:szCs w:val="21"/>
        </w:rPr>
      </w:pPr>
      <w:r>
        <w:rPr>
          <w:rFonts w:hint="eastAsia"/>
          <w:szCs w:val="21"/>
        </w:rPr>
        <w:t>③</w:t>
      </w:r>
      <w:r>
        <w:rPr>
          <w:szCs w:val="21"/>
        </w:rPr>
        <w:t>相关监测项目应力求同一时间监测。</w:t>
      </w:r>
    </w:p>
    <w:p>
      <w:pPr>
        <w:pStyle w:val="21"/>
      </w:pPr>
    </w:p>
    <w:p>
      <w:pPr>
        <w:adjustRightInd w:val="0"/>
        <w:snapToGrid w:val="0"/>
        <w:rPr>
          <w:sz w:val="24"/>
        </w:rPr>
      </w:pPr>
    </w:p>
    <w:p>
      <w:pPr>
        <w:adjustRightInd w:val="0"/>
        <w:snapToGrid w:val="0"/>
        <w:jc w:val="center"/>
        <w:rPr>
          <w:sz w:val="24"/>
        </w:rPr>
      </w:pPr>
      <w:r>
        <w:rPr>
          <w:sz w:val="24"/>
        </w:rPr>
        <w:t>表5.1-</w:t>
      </w:r>
      <w:r>
        <w:rPr>
          <w:rFonts w:hint="eastAsia"/>
          <w:sz w:val="24"/>
        </w:rPr>
        <w:t>2</w:t>
      </w:r>
      <w:r>
        <w:rPr>
          <w:sz w:val="24"/>
        </w:rPr>
        <w:t>水闸安全监测频次表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2000"/>
        <w:gridCol w:w="1730"/>
        <w:gridCol w:w="1417"/>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1677" w:type="dxa"/>
            <w:vAlign w:val="center"/>
          </w:tcPr>
          <w:p>
            <w:pPr>
              <w:jc w:val="center"/>
              <w:rPr>
                <w:rFonts w:eastAsiaTheme="minorEastAsia"/>
                <w:sz w:val="22"/>
                <w:szCs w:val="22"/>
                <w:highlight w:val="none"/>
              </w:rPr>
            </w:pPr>
            <w:r>
              <w:rPr>
                <w:rFonts w:eastAsiaTheme="minorEastAsia"/>
                <w:sz w:val="22"/>
                <w:szCs w:val="22"/>
                <w:highlight w:val="none"/>
              </w:rPr>
              <w:t>监测类别</w:t>
            </w:r>
          </w:p>
        </w:tc>
        <w:tc>
          <w:tcPr>
            <w:tcW w:w="2000" w:type="dxa"/>
            <w:vAlign w:val="center"/>
          </w:tcPr>
          <w:p>
            <w:pPr>
              <w:jc w:val="center"/>
              <w:rPr>
                <w:rFonts w:eastAsiaTheme="minorEastAsia"/>
                <w:sz w:val="22"/>
                <w:szCs w:val="22"/>
                <w:highlight w:val="none"/>
              </w:rPr>
            </w:pPr>
            <w:r>
              <w:rPr>
                <w:rFonts w:eastAsiaTheme="minorEastAsia"/>
                <w:sz w:val="22"/>
                <w:szCs w:val="22"/>
                <w:highlight w:val="none"/>
              </w:rPr>
              <w:t>监测项目</w:t>
            </w:r>
          </w:p>
        </w:tc>
        <w:tc>
          <w:tcPr>
            <w:tcW w:w="1730" w:type="dxa"/>
            <w:vAlign w:val="center"/>
          </w:tcPr>
          <w:p>
            <w:pPr>
              <w:jc w:val="center"/>
              <w:rPr>
                <w:rFonts w:eastAsiaTheme="minorEastAsia"/>
                <w:sz w:val="22"/>
                <w:szCs w:val="22"/>
                <w:highlight w:val="none"/>
              </w:rPr>
            </w:pPr>
            <w:r>
              <w:rPr>
                <w:rFonts w:eastAsiaTheme="minorEastAsia"/>
                <w:sz w:val="22"/>
                <w:szCs w:val="22"/>
                <w:highlight w:val="none"/>
              </w:rPr>
              <w:t>施工期</w:t>
            </w:r>
          </w:p>
        </w:tc>
        <w:tc>
          <w:tcPr>
            <w:tcW w:w="1417" w:type="dxa"/>
            <w:vAlign w:val="center"/>
          </w:tcPr>
          <w:p>
            <w:pPr>
              <w:jc w:val="center"/>
              <w:rPr>
                <w:rFonts w:eastAsiaTheme="minorEastAsia"/>
                <w:sz w:val="22"/>
                <w:szCs w:val="22"/>
                <w:highlight w:val="none"/>
              </w:rPr>
            </w:pPr>
            <w:r>
              <w:rPr>
                <w:rFonts w:eastAsiaTheme="minorEastAsia"/>
                <w:sz w:val="22"/>
                <w:szCs w:val="22"/>
                <w:highlight w:val="none"/>
              </w:rPr>
              <w:t>初期运行期</w:t>
            </w:r>
          </w:p>
        </w:tc>
        <w:tc>
          <w:tcPr>
            <w:tcW w:w="1521" w:type="dxa"/>
            <w:vAlign w:val="center"/>
          </w:tcPr>
          <w:p>
            <w:pPr>
              <w:jc w:val="center"/>
              <w:rPr>
                <w:rFonts w:eastAsiaTheme="minorEastAsia"/>
                <w:sz w:val="22"/>
                <w:szCs w:val="22"/>
                <w:highlight w:val="none"/>
              </w:rPr>
            </w:pPr>
            <w:r>
              <w:rPr>
                <w:rFonts w:eastAsiaTheme="minorEastAsia"/>
                <w:sz w:val="22"/>
                <w:szCs w:val="22"/>
                <w:highlight w:val="none"/>
              </w:rPr>
              <w:t>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Align w:val="center"/>
          </w:tcPr>
          <w:p>
            <w:pPr>
              <w:jc w:val="center"/>
              <w:rPr>
                <w:rFonts w:eastAsiaTheme="minorEastAsia"/>
                <w:sz w:val="22"/>
                <w:szCs w:val="22"/>
                <w:highlight w:val="none"/>
              </w:rPr>
            </w:pPr>
            <w:r>
              <w:rPr>
                <w:rFonts w:eastAsiaTheme="minorEastAsia"/>
                <w:sz w:val="22"/>
                <w:szCs w:val="22"/>
                <w:highlight w:val="none"/>
              </w:rPr>
              <w:t>巡视检查</w:t>
            </w:r>
          </w:p>
        </w:tc>
        <w:tc>
          <w:tcPr>
            <w:tcW w:w="2000" w:type="dxa"/>
            <w:vAlign w:val="center"/>
          </w:tcPr>
          <w:p>
            <w:pPr>
              <w:jc w:val="center"/>
              <w:rPr>
                <w:rFonts w:eastAsiaTheme="minorEastAsia"/>
                <w:sz w:val="22"/>
                <w:szCs w:val="22"/>
                <w:highlight w:val="none"/>
              </w:rPr>
            </w:pPr>
            <w:r>
              <w:rPr>
                <w:rFonts w:eastAsiaTheme="minorEastAsia"/>
                <w:sz w:val="22"/>
                <w:szCs w:val="22"/>
                <w:highlight w:val="none"/>
              </w:rPr>
              <w:t>日常检查</w:t>
            </w:r>
          </w:p>
        </w:tc>
        <w:tc>
          <w:tcPr>
            <w:tcW w:w="1730" w:type="dxa"/>
            <w:vAlign w:val="center"/>
          </w:tcPr>
          <w:p>
            <w:pPr>
              <w:jc w:val="center"/>
              <w:rPr>
                <w:rFonts w:eastAsiaTheme="minorEastAsia"/>
                <w:sz w:val="22"/>
                <w:szCs w:val="22"/>
                <w:highlight w:val="none"/>
              </w:rPr>
            </w:pPr>
            <w:r>
              <w:rPr>
                <w:rFonts w:eastAsiaTheme="minorEastAsia"/>
                <w:sz w:val="22"/>
                <w:szCs w:val="22"/>
                <w:highlight w:val="none"/>
              </w:rPr>
              <w:t>3~2次/周</w:t>
            </w:r>
          </w:p>
        </w:tc>
        <w:tc>
          <w:tcPr>
            <w:tcW w:w="1417" w:type="dxa"/>
            <w:vAlign w:val="center"/>
          </w:tcPr>
          <w:p>
            <w:pPr>
              <w:jc w:val="center"/>
              <w:rPr>
                <w:rFonts w:eastAsiaTheme="minorEastAsia"/>
                <w:sz w:val="22"/>
                <w:szCs w:val="22"/>
                <w:highlight w:val="none"/>
              </w:rPr>
            </w:pPr>
            <w:r>
              <w:rPr>
                <w:rFonts w:eastAsiaTheme="minorEastAsia"/>
                <w:sz w:val="22"/>
                <w:szCs w:val="22"/>
                <w:highlight w:val="none"/>
              </w:rPr>
              <w:t>6~3次/周</w:t>
            </w:r>
          </w:p>
        </w:tc>
        <w:tc>
          <w:tcPr>
            <w:tcW w:w="1521" w:type="dxa"/>
            <w:vAlign w:val="center"/>
          </w:tcPr>
          <w:p>
            <w:pPr>
              <w:jc w:val="center"/>
              <w:rPr>
                <w:rFonts w:eastAsiaTheme="minorEastAsia"/>
                <w:sz w:val="22"/>
                <w:szCs w:val="22"/>
                <w:highlight w:val="none"/>
              </w:rPr>
            </w:pPr>
            <w:r>
              <w:rPr>
                <w:rFonts w:eastAsiaTheme="minorEastAsia"/>
                <w:sz w:val="22"/>
                <w:szCs w:val="22"/>
                <w:highlight w:val="none"/>
              </w:rPr>
              <w:t>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Merge w:val="restart"/>
            <w:vAlign w:val="center"/>
          </w:tcPr>
          <w:p>
            <w:pPr>
              <w:jc w:val="center"/>
              <w:rPr>
                <w:rFonts w:eastAsiaTheme="minorEastAsia"/>
                <w:sz w:val="22"/>
                <w:szCs w:val="22"/>
                <w:highlight w:val="none"/>
              </w:rPr>
            </w:pPr>
            <w:r>
              <w:rPr>
                <w:rFonts w:eastAsiaTheme="minorEastAsia"/>
                <w:sz w:val="22"/>
                <w:szCs w:val="22"/>
                <w:highlight w:val="none"/>
              </w:rPr>
              <w:t>变形监测</w:t>
            </w:r>
          </w:p>
        </w:tc>
        <w:tc>
          <w:tcPr>
            <w:tcW w:w="2000" w:type="dxa"/>
            <w:vAlign w:val="center"/>
          </w:tcPr>
          <w:p>
            <w:pPr>
              <w:jc w:val="center"/>
              <w:rPr>
                <w:rFonts w:eastAsiaTheme="minorEastAsia"/>
                <w:sz w:val="22"/>
                <w:szCs w:val="22"/>
                <w:highlight w:val="none"/>
              </w:rPr>
            </w:pPr>
            <w:r>
              <w:rPr>
                <w:rFonts w:eastAsiaTheme="minorEastAsia"/>
                <w:sz w:val="22"/>
                <w:szCs w:val="22"/>
                <w:highlight w:val="none"/>
              </w:rPr>
              <w:t>表面变形</w:t>
            </w:r>
          </w:p>
        </w:tc>
        <w:tc>
          <w:tcPr>
            <w:tcW w:w="1730"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4~2次/月</w:t>
            </w:r>
          </w:p>
        </w:tc>
        <w:tc>
          <w:tcPr>
            <w:tcW w:w="1417"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6~2次/周</w:t>
            </w:r>
          </w:p>
        </w:tc>
        <w:tc>
          <w:tcPr>
            <w:tcW w:w="1521"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12~4次/年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Merge w:val="continue"/>
            <w:vAlign w:val="center"/>
          </w:tcPr>
          <w:p>
            <w:pPr>
              <w:jc w:val="center"/>
              <w:rPr>
                <w:rFonts w:eastAsiaTheme="minorEastAsia"/>
                <w:sz w:val="22"/>
                <w:szCs w:val="22"/>
                <w:highlight w:val="none"/>
              </w:rPr>
            </w:pPr>
          </w:p>
        </w:tc>
        <w:tc>
          <w:tcPr>
            <w:tcW w:w="2000" w:type="dxa"/>
            <w:vAlign w:val="center"/>
          </w:tcPr>
          <w:p>
            <w:pPr>
              <w:jc w:val="center"/>
              <w:rPr>
                <w:rFonts w:eastAsiaTheme="minorEastAsia"/>
                <w:sz w:val="22"/>
                <w:szCs w:val="22"/>
                <w:highlight w:val="none"/>
              </w:rPr>
            </w:pPr>
            <w:r>
              <w:rPr>
                <w:rFonts w:eastAsiaTheme="minorEastAsia"/>
                <w:sz w:val="22"/>
                <w:szCs w:val="22"/>
                <w:highlight w:val="none"/>
              </w:rPr>
              <w:t>倾斜位移</w:t>
            </w:r>
          </w:p>
        </w:tc>
        <w:tc>
          <w:tcPr>
            <w:tcW w:w="1730"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4~2次/月</w:t>
            </w:r>
          </w:p>
        </w:tc>
        <w:tc>
          <w:tcPr>
            <w:tcW w:w="1417"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6~2次/周</w:t>
            </w:r>
          </w:p>
        </w:tc>
        <w:tc>
          <w:tcPr>
            <w:tcW w:w="1521"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12~4次/年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Merge w:val="restart"/>
            <w:vAlign w:val="center"/>
          </w:tcPr>
          <w:p>
            <w:pPr>
              <w:jc w:val="center"/>
              <w:rPr>
                <w:rFonts w:eastAsiaTheme="minorEastAsia"/>
                <w:sz w:val="22"/>
                <w:szCs w:val="22"/>
                <w:highlight w:val="none"/>
              </w:rPr>
            </w:pPr>
            <w:r>
              <w:rPr>
                <w:rFonts w:eastAsiaTheme="minorEastAsia"/>
                <w:sz w:val="22"/>
                <w:szCs w:val="22"/>
                <w:highlight w:val="none"/>
              </w:rPr>
              <w:t>渗流监测</w:t>
            </w:r>
          </w:p>
        </w:tc>
        <w:tc>
          <w:tcPr>
            <w:tcW w:w="2000" w:type="dxa"/>
            <w:vAlign w:val="center"/>
          </w:tcPr>
          <w:p>
            <w:pPr>
              <w:jc w:val="center"/>
              <w:rPr>
                <w:rFonts w:eastAsiaTheme="minorEastAsia"/>
                <w:sz w:val="22"/>
                <w:szCs w:val="22"/>
                <w:highlight w:val="none"/>
              </w:rPr>
            </w:pPr>
            <w:r>
              <w:rPr>
                <w:rFonts w:eastAsiaTheme="minorEastAsia"/>
                <w:sz w:val="22"/>
                <w:szCs w:val="22"/>
                <w:highlight w:val="none"/>
              </w:rPr>
              <w:t>扬压力</w:t>
            </w:r>
          </w:p>
        </w:tc>
        <w:tc>
          <w:tcPr>
            <w:tcW w:w="1730"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2~1次/周</w:t>
            </w:r>
          </w:p>
        </w:tc>
        <w:tc>
          <w:tcPr>
            <w:tcW w:w="1417"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1次/天</w:t>
            </w:r>
          </w:p>
        </w:tc>
        <w:tc>
          <w:tcPr>
            <w:tcW w:w="1521"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2~1次/旬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Merge w:val="continue"/>
            <w:vAlign w:val="center"/>
          </w:tcPr>
          <w:p>
            <w:pPr>
              <w:jc w:val="center"/>
              <w:rPr>
                <w:rFonts w:eastAsiaTheme="minorEastAsia"/>
                <w:sz w:val="22"/>
                <w:szCs w:val="22"/>
                <w:highlight w:val="none"/>
              </w:rPr>
            </w:pPr>
          </w:p>
        </w:tc>
        <w:tc>
          <w:tcPr>
            <w:tcW w:w="2000" w:type="dxa"/>
            <w:vAlign w:val="center"/>
          </w:tcPr>
          <w:p>
            <w:pPr>
              <w:jc w:val="center"/>
              <w:rPr>
                <w:rFonts w:eastAsiaTheme="minorEastAsia"/>
                <w:sz w:val="22"/>
                <w:szCs w:val="22"/>
                <w:highlight w:val="none"/>
              </w:rPr>
            </w:pPr>
            <w:r>
              <w:rPr>
                <w:rFonts w:eastAsiaTheme="minorEastAsia"/>
                <w:sz w:val="22"/>
                <w:szCs w:val="22"/>
                <w:highlight w:val="none"/>
              </w:rPr>
              <w:t>侧向绕渗</w:t>
            </w:r>
          </w:p>
        </w:tc>
        <w:tc>
          <w:tcPr>
            <w:tcW w:w="1730"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4~1次/周</w:t>
            </w:r>
          </w:p>
        </w:tc>
        <w:tc>
          <w:tcPr>
            <w:tcW w:w="1417"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6~1次/周</w:t>
            </w:r>
          </w:p>
        </w:tc>
        <w:tc>
          <w:tcPr>
            <w:tcW w:w="1521"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2~1次/旬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水位监测</w:t>
            </w:r>
          </w:p>
        </w:tc>
        <w:tc>
          <w:tcPr>
            <w:tcW w:w="2000"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上游水位</w:t>
            </w:r>
          </w:p>
        </w:tc>
        <w:tc>
          <w:tcPr>
            <w:tcW w:w="1730"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按需要</w:t>
            </w:r>
          </w:p>
        </w:tc>
        <w:tc>
          <w:tcPr>
            <w:tcW w:w="1417"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4~1次/天</w:t>
            </w:r>
          </w:p>
        </w:tc>
        <w:tc>
          <w:tcPr>
            <w:tcW w:w="1521" w:type="dxa"/>
            <w:vAlign w:val="center"/>
          </w:tcPr>
          <w:p>
            <w:pPr>
              <w:adjustRightInd w:val="0"/>
              <w:snapToGrid w:val="0"/>
              <w:jc w:val="center"/>
              <w:rPr>
                <w:rFonts w:eastAsiaTheme="minorEastAsia"/>
                <w:sz w:val="22"/>
                <w:szCs w:val="22"/>
                <w:highlight w:val="none"/>
              </w:rPr>
            </w:pPr>
            <w:r>
              <w:rPr>
                <w:rFonts w:eastAsiaTheme="minorEastAsia"/>
                <w:sz w:val="22"/>
                <w:szCs w:val="22"/>
                <w:highlight w:val="none"/>
              </w:rPr>
              <w:t>4~1次/天</w:t>
            </w:r>
          </w:p>
        </w:tc>
      </w:tr>
    </w:tbl>
    <w:p>
      <w:pPr>
        <w:rPr>
          <w:szCs w:val="21"/>
          <w:highlight w:val="none"/>
        </w:rPr>
      </w:pPr>
      <w:r>
        <w:rPr>
          <w:szCs w:val="21"/>
          <w:highlight w:val="none"/>
        </w:rPr>
        <w:t>注：</w:t>
      </w:r>
      <w:r>
        <w:rPr>
          <w:rFonts w:hint="eastAsia"/>
          <w:szCs w:val="21"/>
          <w:highlight w:val="none"/>
        </w:rPr>
        <w:t>①水闸运行初期，测次一般取上限；水闸运行性态稳定后可取下限。</w:t>
      </w:r>
    </w:p>
    <w:p>
      <w:pPr>
        <w:ind w:firstLine="420"/>
        <w:rPr>
          <w:szCs w:val="21"/>
          <w:highlight w:val="none"/>
        </w:rPr>
      </w:pPr>
      <w:r>
        <w:rPr>
          <w:rFonts w:hint="eastAsia"/>
          <w:szCs w:val="21"/>
          <w:highlight w:val="none"/>
        </w:rPr>
        <w:t>②上下游水位一般每天观测1次，对水位变化较大时，加密频次。</w:t>
      </w:r>
      <w:r>
        <w:rPr>
          <w:szCs w:val="21"/>
          <w:highlight w:val="none"/>
        </w:rPr>
        <w:t>如遇工程长期停运又重新充水调试时，需再按第一、第二阶段的要求进行观测。</w:t>
      </w:r>
    </w:p>
    <w:p>
      <w:pPr>
        <w:ind w:firstLine="420" w:firstLineChars="200"/>
        <w:rPr>
          <w:szCs w:val="21"/>
          <w:highlight w:val="none"/>
        </w:rPr>
      </w:pPr>
      <w:r>
        <w:rPr>
          <w:rFonts w:hint="eastAsia"/>
          <w:szCs w:val="21"/>
          <w:highlight w:val="none"/>
        </w:rPr>
        <w:t>③</w:t>
      </w:r>
      <w:r>
        <w:rPr>
          <w:szCs w:val="21"/>
          <w:highlight w:val="none"/>
        </w:rPr>
        <w:t>初期运行期指工程首次通水后的前3年。</w:t>
      </w:r>
    </w:p>
    <w:p>
      <w:pPr>
        <w:ind w:firstLine="420"/>
        <w:rPr>
          <w:szCs w:val="21"/>
          <w:highlight w:val="none"/>
        </w:rPr>
      </w:pPr>
      <w:r>
        <w:rPr>
          <w:rFonts w:hint="eastAsia"/>
          <w:szCs w:val="21"/>
          <w:highlight w:val="none"/>
        </w:rPr>
        <w:t>④</w:t>
      </w:r>
      <w:r>
        <w:rPr>
          <w:szCs w:val="21"/>
          <w:highlight w:val="none"/>
        </w:rPr>
        <w:t>相关监测项目应力求同一时间监测。</w:t>
      </w:r>
    </w:p>
    <w:p>
      <w:pPr>
        <w:adjustRightInd w:val="0"/>
        <w:snapToGrid w:val="0"/>
        <w:jc w:val="center"/>
        <w:rPr>
          <w:sz w:val="24"/>
        </w:rPr>
      </w:pPr>
    </w:p>
    <w:p>
      <w:pPr>
        <w:pStyle w:val="21"/>
      </w:pPr>
    </w:p>
    <w:p>
      <w:pPr>
        <w:adjustRightInd w:val="0"/>
        <w:snapToGrid w:val="0"/>
        <w:jc w:val="center"/>
        <w:rPr>
          <w:sz w:val="24"/>
        </w:rPr>
      </w:pPr>
      <w:r>
        <w:rPr>
          <w:sz w:val="24"/>
        </w:rPr>
        <w:t>表5.1-</w:t>
      </w:r>
      <w:r>
        <w:rPr>
          <w:rFonts w:hint="eastAsia"/>
          <w:sz w:val="24"/>
        </w:rPr>
        <w:t>3</w:t>
      </w:r>
      <w:r>
        <w:rPr>
          <w:sz w:val="24"/>
        </w:rPr>
        <w:t xml:space="preserve"> </w:t>
      </w:r>
      <w:r>
        <w:rPr>
          <w:rFonts w:hint="eastAsia"/>
          <w:sz w:val="24"/>
        </w:rPr>
        <w:t>高位水池</w:t>
      </w:r>
      <w:r>
        <w:rPr>
          <w:sz w:val="24"/>
        </w:rPr>
        <w:t>安全监测频次表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2000"/>
        <w:gridCol w:w="1730"/>
        <w:gridCol w:w="1417"/>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tblHeader/>
          <w:jc w:val="center"/>
        </w:trPr>
        <w:tc>
          <w:tcPr>
            <w:tcW w:w="1677" w:type="dxa"/>
            <w:vAlign w:val="center"/>
          </w:tcPr>
          <w:p>
            <w:pPr>
              <w:jc w:val="center"/>
              <w:rPr>
                <w:sz w:val="22"/>
                <w:szCs w:val="22"/>
              </w:rPr>
            </w:pPr>
            <w:r>
              <w:rPr>
                <w:sz w:val="22"/>
                <w:szCs w:val="22"/>
              </w:rPr>
              <w:t>监测类别</w:t>
            </w:r>
          </w:p>
        </w:tc>
        <w:tc>
          <w:tcPr>
            <w:tcW w:w="2000" w:type="dxa"/>
            <w:vAlign w:val="center"/>
          </w:tcPr>
          <w:p>
            <w:pPr>
              <w:jc w:val="center"/>
              <w:rPr>
                <w:sz w:val="22"/>
                <w:szCs w:val="22"/>
              </w:rPr>
            </w:pPr>
            <w:r>
              <w:rPr>
                <w:sz w:val="22"/>
                <w:szCs w:val="22"/>
              </w:rPr>
              <w:t>监测项目</w:t>
            </w:r>
          </w:p>
        </w:tc>
        <w:tc>
          <w:tcPr>
            <w:tcW w:w="1730" w:type="dxa"/>
            <w:vAlign w:val="center"/>
          </w:tcPr>
          <w:p>
            <w:pPr>
              <w:jc w:val="center"/>
              <w:rPr>
                <w:sz w:val="22"/>
                <w:szCs w:val="22"/>
              </w:rPr>
            </w:pPr>
            <w:r>
              <w:rPr>
                <w:sz w:val="22"/>
                <w:szCs w:val="22"/>
              </w:rPr>
              <w:t>施工期及过水准备期</w:t>
            </w:r>
          </w:p>
        </w:tc>
        <w:tc>
          <w:tcPr>
            <w:tcW w:w="1417" w:type="dxa"/>
            <w:vAlign w:val="center"/>
          </w:tcPr>
          <w:p>
            <w:pPr>
              <w:jc w:val="center"/>
              <w:rPr>
                <w:sz w:val="22"/>
                <w:szCs w:val="22"/>
              </w:rPr>
            </w:pPr>
            <w:r>
              <w:rPr>
                <w:sz w:val="22"/>
                <w:szCs w:val="22"/>
              </w:rPr>
              <w:t>初期运行期</w:t>
            </w:r>
          </w:p>
        </w:tc>
        <w:tc>
          <w:tcPr>
            <w:tcW w:w="1521" w:type="dxa"/>
            <w:vAlign w:val="center"/>
          </w:tcPr>
          <w:p>
            <w:pPr>
              <w:jc w:val="center"/>
              <w:rPr>
                <w:sz w:val="22"/>
                <w:szCs w:val="22"/>
              </w:rPr>
            </w:pPr>
            <w:r>
              <w:rPr>
                <w:sz w:val="22"/>
                <w:szCs w:val="22"/>
              </w:rPr>
              <w:t>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Align w:val="center"/>
          </w:tcPr>
          <w:p>
            <w:pPr>
              <w:jc w:val="center"/>
              <w:rPr>
                <w:sz w:val="22"/>
                <w:szCs w:val="22"/>
              </w:rPr>
            </w:pPr>
            <w:r>
              <w:rPr>
                <w:sz w:val="22"/>
                <w:szCs w:val="22"/>
              </w:rPr>
              <w:t>日常巡视检查</w:t>
            </w:r>
          </w:p>
        </w:tc>
        <w:tc>
          <w:tcPr>
            <w:tcW w:w="2000" w:type="dxa"/>
            <w:vAlign w:val="center"/>
          </w:tcPr>
          <w:p>
            <w:pPr>
              <w:jc w:val="center"/>
              <w:rPr>
                <w:sz w:val="22"/>
                <w:szCs w:val="22"/>
              </w:rPr>
            </w:pPr>
          </w:p>
        </w:tc>
        <w:tc>
          <w:tcPr>
            <w:tcW w:w="1730" w:type="dxa"/>
            <w:vAlign w:val="center"/>
          </w:tcPr>
          <w:p>
            <w:pPr>
              <w:jc w:val="center"/>
              <w:rPr>
                <w:sz w:val="22"/>
                <w:szCs w:val="22"/>
              </w:rPr>
            </w:pPr>
            <w:r>
              <w:rPr>
                <w:sz w:val="22"/>
                <w:szCs w:val="22"/>
              </w:rPr>
              <w:t>8~4次/月</w:t>
            </w:r>
          </w:p>
        </w:tc>
        <w:tc>
          <w:tcPr>
            <w:tcW w:w="1417" w:type="dxa"/>
            <w:vAlign w:val="center"/>
          </w:tcPr>
          <w:p>
            <w:pPr>
              <w:jc w:val="center"/>
              <w:rPr>
                <w:sz w:val="22"/>
                <w:szCs w:val="22"/>
              </w:rPr>
            </w:pPr>
            <w:r>
              <w:rPr>
                <w:sz w:val="22"/>
                <w:szCs w:val="22"/>
              </w:rPr>
              <w:t>30~8次/月</w:t>
            </w:r>
          </w:p>
        </w:tc>
        <w:tc>
          <w:tcPr>
            <w:tcW w:w="1521" w:type="dxa"/>
            <w:vAlign w:val="center"/>
          </w:tcPr>
          <w:p>
            <w:pPr>
              <w:jc w:val="center"/>
              <w:rPr>
                <w:sz w:val="22"/>
                <w:szCs w:val="22"/>
              </w:rPr>
            </w:pPr>
            <w:r>
              <w:rPr>
                <w:sz w:val="22"/>
                <w:szCs w:val="22"/>
              </w:rPr>
              <w:t>3~1次/月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Align w:val="center"/>
          </w:tcPr>
          <w:p>
            <w:pPr>
              <w:jc w:val="center"/>
              <w:rPr>
                <w:sz w:val="22"/>
                <w:szCs w:val="22"/>
              </w:rPr>
            </w:pPr>
            <w:r>
              <w:rPr>
                <w:sz w:val="22"/>
                <w:szCs w:val="22"/>
              </w:rPr>
              <w:t>变形监测</w:t>
            </w:r>
          </w:p>
        </w:tc>
        <w:tc>
          <w:tcPr>
            <w:tcW w:w="2000" w:type="dxa"/>
            <w:vAlign w:val="center"/>
          </w:tcPr>
          <w:p>
            <w:pPr>
              <w:jc w:val="center"/>
              <w:rPr>
                <w:sz w:val="22"/>
                <w:szCs w:val="22"/>
              </w:rPr>
            </w:pPr>
            <w:r>
              <w:rPr>
                <w:sz w:val="22"/>
                <w:szCs w:val="22"/>
              </w:rPr>
              <w:t>表面变形</w:t>
            </w:r>
          </w:p>
        </w:tc>
        <w:tc>
          <w:tcPr>
            <w:tcW w:w="1730" w:type="dxa"/>
            <w:vAlign w:val="center"/>
          </w:tcPr>
          <w:p>
            <w:pPr>
              <w:jc w:val="center"/>
              <w:rPr>
                <w:sz w:val="22"/>
                <w:szCs w:val="22"/>
              </w:rPr>
            </w:pPr>
            <w:r>
              <w:rPr>
                <w:sz w:val="22"/>
                <w:szCs w:val="22"/>
              </w:rPr>
              <w:t>1次/月</w:t>
            </w:r>
          </w:p>
        </w:tc>
        <w:tc>
          <w:tcPr>
            <w:tcW w:w="1417" w:type="dxa"/>
            <w:vAlign w:val="center"/>
          </w:tcPr>
          <w:p>
            <w:pPr>
              <w:jc w:val="center"/>
              <w:rPr>
                <w:sz w:val="22"/>
                <w:szCs w:val="22"/>
              </w:rPr>
            </w:pPr>
            <w:r>
              <w:rPr>
                <w:sz w:val="22"/>
                <w:szCs w:val="22"/>
              </w:rPr>
              <w:t>1次/月</w:t>
            </w:r>
          </w:p>
        </w:tc>
        <w:tc>
          <w:tcPr>
            <w:tcW w:w="1521" w:type="dxa"/>
            <w:vAlign w:val="center"/>
          </w:tcPr>
          <w:p>
            <w:pPr>
              <w:jc w:val="center"/>
              <w:rPr>
                <w:sz w:val="22"/>
                <w:szCs w:val="22"/>
              </w:rPr>
            </w:pPr>
            <w:r>
              <w:rPr>
                <w:sz w:val="22"/>
                <w:szCs w:val="22"/>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Merge w:val="restart"/>
            <w:vAlign w:val="center"/>
          </w:tcPr>
          <w:p>
            <w:pPr>
              <w:jc w:val="center"/>
              <w:rPr>
                <w:sz w:val="22"/>
                <w:szCs w:val="22"/>
              </w:rPr>
            </w:pPr>
            <w:r>
              <w:rPr>
                <w:sz w:val="22"/>
                <w:szCs w:val="22"/>
              </w:rPr>
              <w:t>水压力监测</w:t>
            </w:r>
          </w:p>
        </w:tc>
        <w:tc>
          <w:tcPr>
            <w:tcW w:w="2000" w:type="dxa"/>
            <w:vAlign w:val="center"/>
          </w:tcPr>
          <w:p>
            <w:pPr>
              <w:jc w:val="center"/>
              <w:rPr>
                <w:sz w:val="22"/>
                <w:szCs w:val="22"/>
              </w:rPr>
            </w:pPr>
            <w:r>
              <w:rPr>
                <w:sz w:val="22"/>
                <w:szCs w:val="22"/>
              </w:rPr>
              <w:t>渗透水压力</w:t>
            </w:r>
          </w:p>
        </w:tc>
        <w:tc>
          <w:tcPr>
            <w:tcW w:w="1730" w:type="dxa"/>
            <w:vAlign w:val="center"/>
          </w:tcPr>
          <w:p>
            <w:pPr>
              <w:jc w:val="center"/>
              <w:rPr>
                <w:sz w:val="22"/>
                <w:szCs w:val="22"/>
              </w:rPr>
            </w:pPr>
            <w:r>
              <w:rPr>
                <w:sz w:val="22"/>
                <w:szCs w:val="22"/>
              </w:rPr>
              <w:t>6~4次/月</w:t>
            </w:r>
          </w:p>
        </w:tc>
        <w:tc>
          <w:tcPr>
            <w:tcW w:w="1417" w:type="dxa"/>
            <w:vAlign w:val="center"/>
          </w:tcPr>
          <w:p>
            <w:pPr>
              <w:jc w:val="center"/>
              <w:rPr>
                <w:sz w:val="22"/>
                <w:szCs w:val="22"/>
              </w:rPr>
            </w:pPr>
            <w:r>
              <w:rPr>
                <w:sz w:val="22"/>
                <w:szCs w:val="22"/>
              </w:rPr>
              <w:t>2次/周</w:t>
            </w:r>
          </w:p>
        </w:tc>
        <w:tc>
          <w:tcPr>
            <w:tcW w:w="1521" w:type="dxa"/>
            <w:vAlign w:val="center"/>
          </w:tcPr>
          <w:p>
            <w:pPr>
              <w:jc w:val="center"/>
              <w:rPr>
                <w:sz w:val="22"/>
                <w:szCs w:val="22"/>
              </w:rPr>
            </w:pPr>
            <w:r>
              <w:rPr>
                <w:sz w:val="22"/>
                <w:szCs w:val="22"/>
              </w:rPr>
              <w:t>4~1次/月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Merge w:val="continue"/>
            <w:vAlign w:val="center"/>
          </w:tcPr>
          <w:p>
            <w:pPr>
              <w:jc w:val="center"/>
              <w:rPr>
                <w:sz w:val="22"/>
                <w:szCs w:val="22"/>
              </w:rPr>
            </w:pPr>
          </w:p>
        </w:tc>
        <w:tc>
          <w:tcPr>
            <w:tcW w:w="2000" w:type="dxa"/>
            <w:vAlign w:val="center"/>
          </w:tcPr>
          <w:p>
            <w:pPr>
              <w:jc w:val="center"/>
              <w:rPr>
                <w:sz w:val="22"/>
                <w:szCs w:val="22"/>
              </w:rPr>
            </w:pPr>
            <w:r>
              <w:rPr>
                <w:sz w:val="22"/>
                <w:szCs w:val="22"/>
              </w:rPr>
              <w:t>动水压力</w:t>
            </w:r>
          </w:p>
        </w:tc>
        <w:tc>
          <w:tcPr>
            <w:tcW w:w="1730" w:type="dxa"/>
            <w:vAlign w:val="center"/>
          </w:tcPr>
          <w:p>
            <w:pPr>
              <w:jc w:val="center"/>
              <w:rPr>
                <w:sz w:val="22"/>
                <w:szCs w:val="22"/>
              </w:rPr>
            </w:pPr>
          </w:p>
        </w:tc>
        <w:tc>
          <w:tcPr>
            <w:tcW w:w="1417" w:type="dxa"/>
            <w:vAlign w:val="center"/>
          </w:tcPr>
          <w:p>
            <w:pPr>
              <w:jc w:val="center"/>
              <w:rPr>
                <w:sz w:val="22"/>
                <w:szCs w:val="22"/>
              </w:rPr>
            </w:pPr>
            <w:r>
              <w:rPr>
                <w:sz w:val="22"/>
                <w:szCs w:val="22"/>
              </w:rPr>
              <w:t>按需要</w:t>
            </w:r>
          </w:p>
        </w:tc>
        <w:tc>
          <w:tcPr>
            <w:tcW w:w="1521" w:type="dxa"/>
            <w:vAlign w:val="center"/>
          </w:tcPr>
          <w:p>
            <w:pPr>
              <w:jc w:val="center"/>
              <w:rPr>
                <w:sz w:val="22"/>
                <w:szCs w:val="22"/>
              </w:rPr>
            </w:pPr>
            <w:r>
              <w:rPr>
                <w:sz w:val="22"/>
                <w:szCs w:val="22"/>
              </w:rPr>
              <w:t>按需要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Merge w:val="continue"/>
            <w:vAlign w:val="center"/>
          </w:tcPr>
          <w:p>
            <w:pPr>
              <w:jc w:val="center"/>
              <w:rPr>
                <w:sz w:val="22"/>
                <w:szCs w:val="22"/>
              </w:rPr>
            </w:pPr>
          </w:p>
        </w:tc>
        <w:tc>
          <w:tcPr>
            <w:tcW w:w="2000" w:type="dxa"/>
            <w:vAlign w:val="center"/>
          </w:tcPr>
          <w:p>
            <w:pPr>
              <w:jc w:val="center"/>
              <w:rPr>
                <w:sz w:val="22"/>
                <w:szCs w:val="22"/>
              </w:rPr>
            </w:pPr>
            <w:r>
              <w:rPr>
                <w:sz w:val="22"/>
                <w:szCs w:val="22"/>
              </w:rPr>
              <w:t>水位</w:t>
            </w:r>
          </w:p>
        </w:tc>
        <w:tc>
          <w:tcPr>
            <w:tcW w:w="1730" w:type="dxa"/>
            <w:vAlign w:val="center"/>
          </w:tcPr>
          <w:p>
            <w:pPr>
              <w:jc w:val="center"/>
              <w:rPr>
                <w:sz w:val="22"/>
                <w:szCs w:val="22"/>
              </w:rPr>
            </w:pPr>
          </w:p>
        </w:tc>
        <w:tc>
          <w:tcPr>
            <w:tcW w:w="1417" w:type="dxa"/>
            <w:vAlign w:val="center"/>
          </w:tcPr>
          <w:p>
            <w:pPr>
              <w:jc w:val="center"/>
              <w:rPr>
                <w:sz w:val="22"/>
                <w:szCs w:val="22"/>
              </w:rPr>
            </w:pPr>
            <w:r>
              <w:rPr>
                <w:sz w:val="22"/>
                <w:szCs w:val="22"/>
              </w:rPr>
              <w:t>按需要</w:t>
            </w:r>
          </w:p>
        </w:tc>
        <w:tc>
          <w:tcPr>
            <w:tcW w:w="1521" w:type="dxa"/>
            <w:vAlign w:val="center"/>
          </w:tcPr>
          <w:p>
            <w:pPr>
              <w:jc w:val="center"/>
              <w:rPr>
                <w:sz w:val="22"/>
                <w:szCs w:val="22"/>
              </w:rPr>
            </w:pPr>
            <w:r>
              <w:rPr>
                <w:sz w:val="22"/>
                <w:szCs w:val="22"/>
              </w:rPr>
              <w:t>按需要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Align w:val="center"/>
          </w:tcPr>
          <w:p>
            <w:pPr>
              <w:jc w:val="center"/>
              <w:rPr>
                <w:sz w:val="22"/>
                <w:szCs w:val="22"/>
              </w:rPr>
            </w:pPr>
            <w:r>
              <w:rPr>
                <w:sz w:val="22"/>
                <w:szCs w:val="22"/>
              </w:rPr>
              <w:t>应力监测</w:t>
            </w:r>
          </w:p>
        </w:tc>
        <w:tc>
          <w:tcPr>
            <w:tcW w:w="2000" w:type="dxa"/>
            <w:vAlign w:val="center"/>
          </w:tcPr>
          <w:p>
            <w:pPr>
              <w:jc w:val="center"/>
              <w:rPr>
                <w:sz w:val="22"/>
                <w:szCs w:val="22"/>
              </w:rPr>
            </w:pPr>
            <w:r>
              <w:rPr>
                <w:sz w:val="22"/>
                <w:szCs w:val="22"/>
              </w:rPr>
              <w:t>钢筋计</w:t>
            </w:r>
          </w:p>
        </w:tc>
        <w:tc>
          <w:tcPr>
            <w:tcW w:w="1730" w:type="dxa"/>
            <w:vAlign w:val="center"/>
          </w:tcPr>
          <w:p>
            <w:pPr>
              <w:jc w:val="center"/>
              <w:rPr>
                <w:sz w:val="22"/>
                <w:szCs w:val="22"/>
              </w:rPr>
            </w:pPr>
            <w:r>
              <w:rPr>
                <w:sz w:val="22"/>
                <w:szCs w:val="22"/>
              </w:rPr>
              <w:t>6~4次/月</w:t>
            </w:r>
          </w:p>
        </w:tc>
        <w:tc>
          <w:tcPr>
            <w:tcW w:w="1417" w:type="dxa"/>
            <w:vAlign w:val="center"/>
          </w:tcPr>
          <w:p>
            <w:pPr>
              <w:jc w:val="center"/>
              <w:rPr>
                <w:sz w:val="22"/>
                <w:szCs w:val="22"/>
              </w:rPr>
            </w:pPr>
            <w:r>
              <w:rPr>
                <w:sz w:val="22"/>
                <w:szCs w:val="22"/>
              </w:rPr>
              <w:t>2次/周</w:t>
            </w:r>
          </w:p>
        </w:tc>
        <w:tc>
          <w:tcPr>
            <w:tcW w:w="1521" w:type="dxa"/>
            <w:vAlign w:val="center"/>
          </w:tcPr>
          <w:p>
            <w:pPr>
              <w:jc w:val="center"/>
              <w:rPr>
                <w:sz w:val="22"/>
                <w:szCs w:val="22"/>
              </w:rPr>
            </w:pPr>
            <w:r>
              <w:rPr>
                <w:sz w:val="22"/>
                <w:szCs w:val="22"/>
              </w:rPr>
              <w:t>4~1次/月</w:t>
            </w:r>
          </w:p>
        </w:tc>
      </w:tr>
    </w:tbl>
    <w:p>
      <w:pPr>
        <w:rPr>
          <w:szCs w:val="21"/>
        </w:rPr>
      </w:pPr>
      <w:r>
        <w:rPr>
          <w:szCs w:val="21"/>
        </w:rPr>
        <w:t>注：</w:t>
      </w:r>
      <w:r>
        <w:rPr>
          <w:rFonts w:hint="eastAsia"/>
          <w:szCs w:val="21"/>
        </w:rPr>
        <w:t>①</w:t>
      </w:r>
      <w:r>
        <w:rPr>
          <w:szCs w:val="21"/>
        </w:rPr>
        <w:t>如遇工程长期停运又重新充水调试时，需再按第一、第二阶段的要求进行观测。</w:t>
      </w:r>
    </w:p>
    <w:p>
      <w:pPr>
        <w:ind w:firstLine="420" w:firstLineChars="200"/>
        <w:rPr>
          <w:szCs w:val="21"/>
        </w:rPr>
      </w:pPr>
      <w:r>
        <w:rPr>
          <w:rFonts w:hint="eastAsia"/>
          <w:szCs w:val="21"/>
        </w:rPr>
        <w:t>②</w:t>
      </w:r>
      <w:r>
        <w:rPr>
          <w:szCs w:val="21"/>
        </w:rPr>
        <w:t>初期运行期指工程首次通水后的前3年。</w:t>
      </w:r>
    </w:p>
    <w:p>
      <w:pPr>
        <w:ind w:firstLine="420"/>
        <w:rPr>
          <w:szCs w:val="21"/>
        </w:rPr>
      </w:pPr>
      <w:r>
        <w:rPr>
          <w:rFonts w:hint="eastAsia"/>
          <w:szCs w:val="21"/>
        </w:rPr>
        <w:t>③</w:t>
      </w:r>
      <w:r>
        <w:rPr>
          <w:szCs w:val="21"/>
        </w:rPr>
        <w:t>相关监测项目应力求同一时间监测。</w:t>
      </w:r>
    </w:p>
    <w:p>
      <w:pPr>
        <w:ind w:firstLine="420"/>
      </w:pPr>
    </w:p>
    <w:p>
      <w:pPr>
        <w:pStyle w:val="21"/>
        <w:rPr>
          <w:sz w:val="24"/>
        </w:rPr>
      </w:pPr>
    </w:p>
    <w:p>
      <w:pPr>
        <w:adjustRightInd w:val="0"/>
        <w:snapToGrid w:val="0"/>
        <w:jc w:val="center"/>
        <w:rPr>
          <w:sz w:val="24"/>
        </w:rPr>
      </w:pPr>
      <w:r>
        <w:rPr>
          <w:sz w:val="24"/>
        </w:rPr>
        <w:t>表5.1-</w:t>
      </w:r>
      <w:r>
        <w:rPr>
          <w:rFonts w:hint="eastAsia"/>
          <w:sz w:val="24"/>
        </w:rPr>
        <w:t>4</w:t>
      </w:r>
      <w:r>
        <w:rPr>
          <w:sz w:val="24"/>
        </w:rPr>
        <w:t xml:space="preserve"> </w:t>
      </w:r>
      <w:r>
        <w:rPr>
          <w:rFonts w:hint="eastAsia"/>
          <w:sz w:val="24"/>
        </w:rPr>
        <w:t>边坡</w:t>
      </w:r>
      <w:r>
        <w:rPr>
          <w:sz w:val="24"/>
        </w:rPr>
        <w:t>及滑坡安全监测频次表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2000"/>
        <w:gridCol w:w="1730"/>
        <w:gridCol w:w="1417"/>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1677" w:type="dxa"/>
            <w:vAlign w:val="center"/>
          </w:tcPr>
          <w:p>
            <w:pPr>
              <w:jc w:val="center"/>
              <w:rPr>
                <w:sz w:val="22"/>
                <w:szCs w:val="22"/>
              </w:rPr>
            </w:pPr>
            <w:r>
              <w:rPr>
                <w:sz w:val="22"/>
                <w:szCs w:val="22"/>
              </w:rPr>
              <w:t>监测类别</w:t>
            </w:r>
          </w:p>
        </w:tc>
        <w:tc>
          <w:tcPr>
            <w:tcW w:w="2000" w:type="dxa"/>
            <w:vAlign w:val="center"/>
          </w:tcPr>
          <w:p>
            <w:pPr>
              <w:jc w:val="center"/>
              <w:rPr>
                <w:sz w:val="22"/>
                <w:szCs w:val="22"/>
              </w:rPr>
            </w:pPr>
            <w:r>
              <w:rPr>
                <w:sz w:val="22"/>
                <w:szCs w:val="22"/>
              </w:rPr>
              <w:t>监测项目</w:t>
            </w:r>
          </w:p>
        </w:tc>
        <w:tc>
          <w:tcPr>
            <w:tcW w:w="1730" w:type="dxa"/>
            <w:vAlign w:val="center"/>
          </w:tcPr>
          <w:p>
            <w:pPr>
              <w:jc w:val="center"/>
              <w:rPr>
                <w:sz w:val="22"/>
                <w:szCs w:val="22"/>
              </w:rPr>
            </w:pPr>
            <w:r>
              <w:rPr>
                <w:sz w:val="22"/>
                <w:szCs w:val="22"/>
              </w:rPr>
              <w:t>施工期及过水准备期</w:t>
            </w:r>
          </w:p>
        </w:tc>
        <w:tc>
          <w:tcPr>
            <w:tcW w:w="1417" w:type="dxa"/>
            <w:vAlign w:val="center"/>
          </w:tcPr>
          <w:p>
            <w:pPr>
              <w:jc w:val="center"/>
              <w:rPr>
                <w:sz w:val="22"/>
                <w:szCs w:val="22"/>
              </w:rPr>
            </w:pPr>
            <w:r>
              <w:rPr>
                <w:sz w:val="22"/>
                <w:szCs w:val="22"/>
              </w:rPr>
              <w:t>初期运行期</w:t>
            </w:r>
          </w:p>
        </w:tc>
        <w:tc>
          <w:tcPr>
            <w:tcW w:w="1521" w:type="dxa"/>
            <w:vAlign w:val="center"/>
          </w:tcPr>
          <w:p>
            <w:pPr>
              <w:jc w:val="center"/>
              <w:rPr>
                <w:sz w:val="22"/>
                <w:szCs w:val="22"/>
              </w:rPr>
            </w:pPr>
            <w:r>
              <w:rPr>
                <w:sz w:val="22"/>
                <w:szCs w:val="22"/>
              </w:rPr>
              <w:t>运行期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Merge w:val="restart"/>
            <w:vAlign w:val="center"/>
          </w:tcPr>
          <w:p>
            <w:pPr>
              <w:jc w:val="center"/>
              <w:rPr>
                <w:sz w:val="22"/>
                <w:szCs w:val="22"/>
              </w:rPr>
            </w:pPr>
            <w:r>
              <w:rPr>
                <w:sz w:val="22"/>
                <w:szCs w:val="22"/>
              </w:rPr>
              <w:t>变形监测</w:t>
            </w:r>
          </w:p>
        </w:tc>
        <w:tc>
          <w:tcPr>
            <w:tcW w:w="2000" w:type="dxa"/>
            <w:vAlign w:val="center"/>
          </w:tcPr>
          <w:p>
            <w:pPr>
              <w:jc w:val="center"/>
              <w:rPr>
                <w:sz w:val="22"/>
                <w:szCs w:val="22"/>
              </w:rPr>
            </w:pPr>
            <w:r>
              <w:rPr>
                <w:sz w:val="22"/>
                <w:szCs w:val="22"/>
              </w:rPr>
              <w:t>表面变形</w:t>
            </w:r>
          </w:p>
        </w:tc>
        <w:tc>
          <w:tcPr>
            <w:tcW w:w="1730" w:type="dxa"/>
            <w:vAlign w:val="center"/>
          </w:tcPr>
          <w:p>
            <w:pPr>
              <w:jc w:val="center"/>
              <w:rPr>
                <w:sz w:val="22"/>
                <w:szCs w:val="22"/>
              </w:rPr>
            </w:pPr>
            <w:r>
              <w:rPr>
                <w:sz w:val="22"/>
                <w:szCs w:val="22"/>
              </w:rPr>
              <w:t>1次/月</w:t>
            </w:r>
          </w:p>
        </w:tc>
        <w:tc>
          <w:tcPr>
            <w:tcW w:w="1417" w:type="dxa"/>
            <w:vAlign w:val="center"/>
          </w:tcPr>
          <w:p>
            <w:pPr>
              <w:jc w:val="center"/>
              <w:rPr>
                <w:sz w:val="22"/>
                <w:szCs w:val="22"/>
              </w:rPr>
            </w:pPr>
            <w:r>
              <w:rPr>
                <w:sz w:val="22"/>
                <w:szCs w:val="22"/>
              </w:rPr>
              <w:t>2次/周</w:t>
            </w:r>
          </w:p>
        </w:tc>
        <w:tc>
          <w:tcPr>
            <w:tcW w:w="1521" w:type="dxa"/>
            <w:vAlign w:val="center"/>
          </w:tcPr>
          <w:p>
            <w:pPr>
              <w:jc w:val="center"/>
              <w:rPr>
                <w:sz w:val="22"/>
                <w:szCs w:val="22"/>
              </w:rPr>
            </w:pPr>
            <w:r>
              <w:rPr>
                <w:sz w:val="22"/>
                <w:szCs w:val="22"/>
              </w:rPr>
              <w:t>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Merge w:val="continue"/>
            <w:vAlign w:val="center"/>
          </w:tcPr>
          <w:p>
            <w:pPr>
              <w:jc w:val="center"/>
              <w:rPr>
                <w:sz w:val="22"/>
                <w:szCs w:val="22"/>
              </w:rPr>
            </w:pPr>
          </w:p>
        </w:tc>
        <w:tc>
          <w:tcPr>
            <w:tcW w:w="2000" w:type="dxa"/>
            <w:vAlign w:val="center"/>
          </w:tcPr>
          <w:p>
            <w:pPr>
              <w:jc w:val="center"/>
              <w:rPr>
                <w:sz w:val="22"/>
                <w:szCs w:val="22"/>
              </w:rPr>
            </w:pPr>
            <w:r>
              <w:rPr>
                <w:sz w:val="22"/>
                <w:szCs w:val="22"/>
              </w:rPr>
              <w:t>内部位移</w:t>
            </w:r>
          </w:p>
        </w:tc>
        <w:tc>
          <w:tcPr>
            <w:tcW w:w="1730" w:type="dxa"/>
            <w:vAlign w:val="center"/>
          </w:tcPr>
          <w:p>
            <w:pPr>
              <w:jc w:val="center"/>
              <w:rPr>
                <w:sz w:val="22"/>
                <w:szCs w:val="22"/>
              </w:rPr>
            </w:pPr>
            <w:r>
              <w:rPr>
                <w:sz w:val="22"/>
                <w:szCs w:val="22"/>
              </w:rPr>
              <w:t>1次/月</w:t>
            </w:r>
          </w:p>
        </w:tc>
        <w:tc>
          <w:tcPr>
            <w:tcW w:w="1417" w:type="dxa"/>
            <w:vAlign w:val="center"/>
          </w:tcPr>
          <w:p>
            <w:pPr>
              <w:jc w:val="center"/>
              <w:rPr>
                <w:sz w:val="22"/>
                <w:szCs w:val="22"/>
              </w:rPr>
            </w:pPr>
            <w:r>
              <w:rPr>
                <w:sz w:val="22"/>
                <w:szCs w:val="22"/>
              </w:rPr>
              <w:t>2次/周</w:t>
            </w:r>
          </w:p>
        </w:tc>
        <w:tc>
          <w:tcPr>
            <w:tcW w:w="1521" w:type="dxa"/>
            <w:vAlign w:val="center"/>
          </w:tcPr>
          <w:p>
            <w:pPr>
              <w:jc w:val="center"/>
              <w:rPr>
                <w:sz w:val="22"/>
                <w:szCs w:val="22"/>
              </w:rPr>
            </w:pPr>
            <w:r>
              <w:rPr>
                <w:sz w:val="22"/>
                <w:szCs w:val="22"/>
              </w:rPr>
              <w:t>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Align w:val="center"/>
          </w:tcPr>
          <w:p>
            <w:pPr>
              <w:jc w:val="center"/>
              <w:rPr>
                <w:sz w:val="22"/>
                <w:szCs w:val="22"/>
              </w:rPr>
            </w:pPr>
            <w:r>
              <w:rPr>
                <w:sz w:val="22"/>
                <w:szCs w:val="22"/>
              </w:rPr>
              <w:t>地下水位监测</w:t>
            </w:r>
          </w:p>
        </w:tc>
        <w:tc>
          <w:tcPr>
            <w:tcW w:w="2000" w:type="dxa"/>
            <w:vAlign w:val="center"/>
          </w:tcPr>
          <w:p>
            <w:pPr>
              <w:jc w:val="center"/>
              <w:rPr>
                <w:sz w:val="22"/>
                <w:szCs w:val="22"/>
              </w:rPr>
            </w:pPr>
            <w:r>
              <w:rPr>
                <w:sz w:val="22"/>
                <w:szCs w:val="22"/>
              </w:rPr>
              <w:t>地下水位</w:t>
            </w:r>
          </w:p>
        </w:tc>
        <w:tc>
          <w:tcPr>
            <w:tcW w:w="1730" w:type="dxa"/>
            <w:vAlign w:val="center"/>
          </w:tcPr>
          <w:p>
            <w:pPr>
              <w:jc w:val="center"/>
              <w:rPr>
                <w:sz w:val="22"/>
                <w:szCs w:val="22"/>
              </w:rPr>
            </w:pPr>
            <w:r>
              <w:rPr>
                <w:sz w:val="22"/>
                <w:szCs w:val="22"/>
              </w:rPr>
              <w:t>1次/月</w:t>
            </w:r>
          </w:p>
        </w:tc>
        <w:tc>
          <w:tcPr>
            <w:tcW w:w="1417" w:type="dxa"/>
            <w:vAlign w:val="center"/>
          </w:tcPr>
          <w:p>
            <w:pPr>
              <w:jc w:val="center"/>
              <w:rPr>
                <w:sz w:val="22"/>
                <w:szCs w:val="22"/>
              </w:rPr>
            </w:pPr>
            <w:r>
              <w:rPr>
                <w:sz w:val="22"/>
                <w:szCs w:val="22"/>
              </w:rPr>
              <w:t>1次/周</w:t>
            </w:r>
          </w:p>
        </w:tc>
        <w:tc>
          <w:tcPr>
            <w:tcW w:w="1521" w:type="dxa"/>
            <w:vAlign w:val="center"/>
          </w:tcPr>
          <w:p>
            <w:pPr>
              <w:jc w:val="center"/>
              <w:rPr>
                <w:sz w:val="22"/>
                <w:szCs w:val="22"/>
              </w:rPr>
            </w:pPr>
            <w:r>
              <w:rPr>
                <w:sz w:val="22"/>
                <w:szCs w:val="22"/>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677" w:type="dxa"/>
            <w:vAlign w:val="center"/>
          </w:tcPr>
          <w:p>
            <w:pPr>
              <w:jc w:val="center"/>
              <w:rPr>
                <w:sz w:val="22"/>
                <w:szCs w:val="22"/>
              </w:rPr>
            </w:pPr>
            <w:r>
              <w:rPr>
                <w:sz w:val="22"/>
                <w:szCs w:val="22"/>
              </w:rPr>
              <w:t>应力应变监测</w:t>
            </w:r>
          </w:p>
        </w:tc>
        <w:tc>
          <w:tcPr>
            <w:tcW w:w="2000" w:type="dxa"/>
            <w:vAlign w:val="center"/>
          </w:tcPr>
          <w:p>
            <w:pPr>
              <w:jc w:val="center"/>
              <w:rPr>
                <w:sz w:val="22"/>
                <w:szCs w:val="22"/>
              </w:rPr>
            </w:pPr>
            <w:r>
              <w:rPr>
                <w:sz w:val="22"/>
                <w:szCs w:val="22"/>
              </w:rPr>
              <w:t>锚杆应力</w:t>
            </w:r>
          </w:p>
        </w:tc>
        <w:tc>
          <w:tcPr>
            <w:tcW w:w="1730" w:type="dxa"/>
            <w:vAlign w:val="center"/>
          </w:tcPr>
          <w:p>
            <w:pPr>
              <w:jc w:val="center"/>
              <w:rPr>
                <w:sz w:val="22"/>
                <w:szCs w:val="22"/>
              </w:rPr>
            </w:pPr>
            <w:r>
              <w:rPr>
                <w:sz w:val="22"/>
                <w:szCs w:val="22"/>
              </w:rPr>
              <w:t>1次/月</w:t>
            </w:r>
          </w:p>
        </w:tc>
        <w:tc>
          <w:tcPr>
            <w:tcW w:w="1417" w:type="dxa"/>
            <w:vAlign w:val="center"/>
          </w:tcPr>
          <w:p>
            <w:pPr>
              <w:jc w:val="center"/>
              <w:rPr>
                <w:sz w:val="22"/>
                <w:szCs w:val="22"/>
              </w:rPr>
            </w:pPr>
            <w:r>
              <w:rPr>
                <w:sz w:val="22"/>
                <w:szCs w:val="22"/>
              </w:rPr>
              <w:t>1次/周</w:t>
            </w:r>
          </w:p>
        </w:tc>
        <w:tc>
          <w:tcPr>
            <w:tcW w:w="1521" w:type="dxa"/>
            <w:vAlign w:val="center"/>
          </w:tcPr>
          <w:p>
            <w:pPr>
              <w:jc w:val="center"/>
              <w:rPr>
                <w:sz w:val="22"/>
                <w:szCs w:val="22"/>
              </w:rPr>
            </w:pPr>
            <w:r>
              <w:rPr>
                <w:sz w:val="22"/>
                <w:szCs w:val="22"/>
              </w:rPr>
              <w:t>1次/季</w:t>
            </w:r>
          </w:p>
        </w:tc>
      </w:tr>
    </w:tbl>
    <w:p>
      <w:pPr>
        <w:adjustRightInd w:val="0"/>
        <w:snapToGrid w:val="0"/>
        <w:jc w:val="left"/>
        <w:rPr>
          <w:szCs w:val="21"/>
        </w:rPr>
      </w:pPr>
      <w:r>
        <w:rPr>
          <w:szCs w:val="21"/>
        </w:rPr>
        <w:t>注：</w:t>
      </w:r>
      <w:r>
        <w:rPr>
          <w:rFonts w:hint="eastAsia"/>
          <w:szCs w:val="21"/>
        </w:rPr>
        <w:t>①</w:t>
      </w:r>
      <w:r>
        <w:rPr>
          <w:szCs w:val="21"/>
        </w:rPr>
        <w:t>初期运行期指工程首次通水后的前3年</w:t>
      </w:r>
      <w:r>
        <w:rPr>
          <w:rFonts w:hint="eastAsia"/>
          <w:szCs w:val="21"/>
        </w:rPr>
        <w:t>，</w:t>
      </w:r>
      <w:r>
        <w:rPr>
          <w:szCs w:val="21"/>
        </w:rPr>
        <w:t>运行期指</w:t>
      </w:r>
      <w:r>
        <w:rPr>
          <w:rFonts w:hint="eastAsia"/>
          <w:szCs w:val="21"/>
        </w:rPr>
        <w:t>初期</w:t>
      </w:r>
      <w:r>
        <w:rPr>
          <w:szCs w:val="21"/>
        </w:rPr>
        <w:t>运行期之后的时期。</w:t>
      </w:r>
    </w:p>
    <w:p>
      <w:pPr>
        <w:adjustRightInd w:val="0"/>
        <w:snapToGrid w:val="0"/>
        <w:ind w:firstLine="420"/>
        <w:rPr>
          <w:szCs w:val="21"/>
        </w:rPr>
      </w:pPr>
      <w:r>
        <w:rPr>
          <w:rFonts w:hint="eastAsia"/>
          <w:szCs w:val="21"/>
        </w:rPr>
        <w:t>②</w:t>
      </w:r>
      <w:r>
        <w:rPr>
          <w:szCs w:val="21"/>
        </w:rPr>
        <w:t>相关监测项目应力求同一时间监测。</w:t>
      </w:r>
    </w:p>
    <w:p>
      <w:pPr>
        <w:pStyle w:val="21"/>
        <w:rPr>
          <w:sz w:val="24"/>
        </w:rPr>
      </w:pPr>
    </w:p>
    <w:p>
      <w:pPr>
        <w:pStyle w:val="21"/>
        <w:rPr>
          <w:sz w:val="24"/>
        </w:rPr>
      </w:pPr>
    </w:p>
    <w:p>
      <w:pPr>
        <w:pStyle w:val="21"/>
        <w:rPr>
          <w:sz w:val="24"/>
        </w:rPr>
      </w:pPr>
    </w:p>
    <w:p>
      <w:pPr>
        <w:pStyle w:val="5"/>
        <w:snapToGrid w:val="0"/>
        <w:spacing w:before="0" w:after="0" w:line="500" w:lineRule="atLeast"/>
        <w:jc w:val="both"/>
        <w:rPr>
          <w:szCs w:val="24"/>
        </w:rPr>
      </w:pPr>
      <w:bookmarkStart w:id="581" w:name="_Toc118821526"/>
      <w:bookmarkStart w:id="582" w:name="_Toc30812"/>
      <w:r>
        <w:rPr>
          <w:szCs w:val="24"/>
        </w:rPr>
        <w:t>5.1.3</w:t>
      </w:r>
      <w:r>
        <w:rPr>
          <w:rFonts w:hint="eastAsia"/>
          <w:szCs w:val="24"/>
        </w:rPr>
        <w:t xml:space="preserve">  </w:t>
      </w:r>
      <w:r>
        <w:rPr>
          <w:szCs w:val="24"/>
        </w:rPr>
        <w:t>施工期工作井基坑监测</w:t>
      </w:r>
      <w:bookmarkEnd w:id="579"/>
      <w:bookmarkEnd w:id="580"/>
      <w:bookmarkEnd w:id="581"/>
      <w:bookmarkEnd w:id="582"/>
    </w:p>
    <w:p>
      <w:pPr>
        <w:adjustRightInd w:val="0"/>
        <w:snapToGrid w:val="0"/>
        <w:spacing w:line="500" w:lineRule="atLeast"/>
        <w:ind w:firstLine="480" w:firstLineChars="200"/>
        <w:rPr>
          <w:sz w:val="24"/>
        </w:rPr>
      </w:pPr>
      <w:r>
        <w:rPr>
          <w:sz w:val="24"/>
        </w:rPr>
        <w:t>施工期工作井基坑各监测项目在基坑支护施工前应测得稳定的初始值，且不应少于两次。各项监测工作的时间间隔根据施工进程确定，在开挖卸载急剧阶段，间隔时间不应超过2天，其余情况下可相应延长。当结构变形超过有关标准或场地条件变化较大时，应加密观测。当达到警戒值时，则需进行连续监测(每天测两次以上或以h进行监测)</w:t>
      </w:r>
      <w:r>
        <w:rPr>
          <w:rFonts w:hint="eastAsia"/>
          <w:sz w:val="24"/>
        </w:rPr>
        <w:t>，</w:t>
      </w:r>
      <w:r>
        <w:rPr>
          <w:sz w:val="24"/>
        </w:rPr>
        <w:t>必要时监测单位有权</w:t>
      </w:r>
      <w:r>
        <w:rPr>
          <w:rFonts w:hint="eastAsia"/>
          <w:sz w:val="24"/>
          <w:highlight w:val="none"/>
        </w:rPr>
        <w:t>要求</w:t>
      </w:r>
      <w:r>
        <w:rPr>
          <w:sz w:val="24"/>
        </w:rPr>
        <w:t>施工单位停止施工</w:t>
      </w:r>
      <w:r>
        <w:rPr>
          <w:rFonts w:hint="eastAsia"/>
          <w:sz w:val="24"/>
        </w:rPr>
        <w:t>以确保</w:t>
      </w:r>
      <w:r>
        <w:rPr>
          <w:sz w:val="24"/>
        </w:rPr>
        <w:t>安全。每次的监测结果及施工单位的处理意见，必须及时向业主、设计、监理单位如实报告。各项监测工作的时间间隔满足相关《建筑基坑工程监测技术</w:t>
      </w:r>
      <w:r>
        <w:rPr>
          <w:rFonts w:hint="eastAsia"/>
          <w:sz w:val="24"/>
        </w:rPr>
        <w:t>标准</w:t>
      </w:r>
      <w:r>
        <w:rPr>
          <w:sz w:val="24"/>
        </w:rPr>
        <w:t>》(GB50497-20</w:t>
      </w:r>
      <w:r>
        <w:rPr>
          <w:rFonts w:hint="eastAsia"/>
          <w:sz w:val="24"/>
        </w:rPr>
        <w:t>1</w:t>
      </w:r>
      <w:r>
        <w:rPr>
          <w:sz w:val="24"/>
        </w:rPr>
        <w:t>9)规范规定见表5.1-</w:t>
      </w:r>
      <w:r>
        <w:rPr>
          <w:rFonts w:hint="eastAsia"/>
          <w:sz w:val="24"/>
        </w:rPr>
        <w:t>5</w:t>
      </w:r>
      <w:r>
        <w:rPr>
          <w:sz w:val="24"/>
        </w:rPr>
        <w:t>，基坑监测项目及预警值见表5.1-</w:t>
      </w:r>
      <w:r>
        <w:rPr>
          <w:rFonts w:hint="eastAsia"/>
          <w:sz w:val="24"/>
        </w:rPr>
        <w:t>6</w:t>
      </w:r>
      <w:r>
        <w:rPr>
          <w:sz w:val="24"/>
        </w:rPr>
        <w:t>。</w:t>
      </w:r>
    </w:p>
    <w:p>
      <w:pPr>
        <w:pStyle w:val="22"/>
        <w:rPr>
          <w:sz w:val="24"/>
        </w:rPr>
      </w:pPr>
    </w:p>
    <w:p>
      <w:pPr>
        <w:adjustRightInd w:val="0"/>
        <w:snapToGrid w:val="0"/>
        <w:spacing w:line="500" w:lineRule="atLeast"/>
        <w:jc w:val="center"/>
        <w:rPr>
          <w:rFonts w:ascii="黑体" w:hAnsi="黑体" w:eastAsia="黑体"/>
          <w:sz w:val="24"/>
        </w:rPr>
      </w:pPr>
      <w:r>
        <w:rPr>
          <w:rFonts w:ascii="黑体" w:hAnsi="黑体" w:eastAsia="黑体"/>
          <w:sz w:val="24"/>
        </w:rPr>
        <w:t>表</w:t>
      </w:r>
      <w:r>
        <w:rPr>
          <w:b/>
          <w:sz w:val="24"/>
        </w:rPr>
        <w:t>5.1-</w:t>
      </w:r>
      <w:r>
        <w:rPr>
          <w:rFonts w:hint="eastAsia"/>
          <w:b/>
          <w:sz w:val="24"/>
        </w:rPr>
        <w:t>5</w:t>
      </w:r>
      <w:r>
        <w:rPr>
          <w:sz w:val="24"/>
        </w:rPr>
        <w:t xml:space="preserve">  </w:t>
      </w:r>
      <w:r>
        <w:rPr>
          <w:rFonts w:ascii="黑体" w:hAnsi="黑体" w:eastAsia="黑体"/>
          <w:sz w:val="24"/>
        </w:rPr>
        <w:t>施工期工作井基坑监测频次</w:t>
      </w:r>
    </w:p>
    <w:tbl>
      <w:tblPr>
        <w:tblStyle w:val="88"/>
        <w:tblW w:w="45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486"/>
        <w:gridCol w:w="1741"/>
        <w:gridCol w:w="1622"/>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40" w:type="pct"/>
            <w:vAlign w:val="center"/>
          </w:tcPr>
          <w:p>
            <w:pPr>
              <w:spacing w:before="24" w:beforeLines="10" w:after="24" w:afterLines="10" w:line="240" w:lineRule="atLeast"/>
              <w:jc w:val="center"/>
              <w:rPr>
                <w:szCs w:val="21"/>
                <w:highlight w:val="none"/>
              </w:rPr>
            </w:pPr>
            <w:r>
              <w:rPr>
                <w:rFonts w:hint="eastAsia"/>
                <w:szCs w:val="21"/>
                <w:highlight w:val="none"/>
              </w:rPr>
              <w:t>基坑设计安全等级</w:t>
            </w:r>
          </w:p>
        </w:tc>
        <w:tc>
          <w:tcPr>
            <w:tcW w:w="2087" w:type="pct"/>
            <w:gridSpan w:val="2"/>
            <w:vAlign w:val="center"/>
          </w:tcPr>
          <w:p>
            <w:pPr>
              <w:spacing w:before="24" w:beforeLines="10" w:after="24" w:afterLines="10" w:line="240" w:lineRule="atLeast"/>
              <w:jc w:val="center"/>
              <w:rPr>
                <w:szCs w:val="21"/>
                <w:highlight w:val="none"/>
              </w:rPr>
            </w:pPr>
            <w:r>
              <w:rPr>
                <w:szCs w:val="21"/>
                <w:highlight w:val="none"/>
              </w:rPr>
              <w:t>施工进程</w:t>
            </w:r>
          </w:p>
        </w:tc>
        <w:tc>
          <w:tcPr>
            <w:tcW w:w="1049" w:type="pct"/>
            <w:vAlign w:val="center"/>
          </w:tcPr>
          <w:p>
            <w:pPr>
              <w:spacing w:before="24" w:beforeLines="10" w:after="24" w:afterLines="10" w:line="240" w:lineRule="atLeast"/>
              <w:jc w:val="center"/>
              <w:rPr>
                <w:szCs w:val="21"/>
                <w:highlight w:val="none"/>
              </w:rPr>
            </w:pPr>
            <w:r>
              <w:rPr>
                <w:rFonts w:hint="eastAsia"/>
                <w:szCs w:val="21"/>
                <w:highlight w:val="none"/>
              </w:rPr>
              <w:t>监测频率</w:t>
            </w:r>
          </w:p>
        </w:tc>
        <w:tc>
          <w:tcPr>
            <w:tcW w:w="922" w:type="pct"/>
            <w:vAlign w:val="center"/>
          </w:tcPr>
          <w:p>
            <w:pPr>
              <w:spacing w:before="24" w:beforeLines="10" w:after="24" w:afterLines="10" w:line="240" w:lineRule="atLeast"/>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restart"/>
            <w:vAlign w:val="center"/>
          </w:tcPr>
          <w:p>
            <w:pPr>
              <w:spacing w:before="24" w:beforeLines="10" w:after="24" w:afterLines="10" w:line="240" w:lineRule="atLeast"/>
              <w:jc w:val="center"/>
              <w:rPr>
                <w:szCs w:val="21"/>
                <w:highlight w:val="none"/>
              </w:rPr>
            </w:pPr>
            <w:r>
              <w:rPr>
                <w:rFonts w:hint="eastAsia"/>
                <w:szCs w:val="21"/>
                <w:highlight w:val="none"/>
              </w:rPr>
              <w:t>一级</w:t>
            </w:r>
          </w:p>
        </w:tc>
        <w:tc>
          <w:tcPr>
            <w:tcW w:w="961" w:type="pct"/>
            <w:vMerge w:val="restart"/>
            <w:vAlign w:val="center"/>
          </w:tcPr>
          <w:p>
            <w:pPr>
              <w:spacing w:before="24" w:beforeLines="10" w:after="24" w:afterLines="10" w:line="240" w:lineRule="atLeast"/>
              <w:jc w:val="center"/>
              <w:rPr>
                <w:szCs w:val="21"/>
                <w:highlight w:val="none"/>
              </w:rPr>
            </w:pPr>
            <w:r>
              <w:rPr>
                <w:szCs w:val="21"/>
                <w:highlight w:val="none"/>
              </w:rPr>
              <w:t>开挖深度(m)</w:t>
            </w:r>
          </w:p>
        </w:tc>
        <w:tc>
          <w:tcPr>
            <w:tcW w:w="1126" w:type="pct"/>
            <w:vAlign w:val="center"/>
          </w:tcPr>
          <w:p>
            <w:pPr>
              <w:spacing w:before="24" w:beforeLines="10" w:after="24" w:afterLines="10" w:line="240" w:lineRule="atLeast"/>
              <w:jc w:val="center"/>
              <w:rPr>
                <w:szCs w:val="21"/>
                <w:highlight w:val="none"/>
              </w:rPr>
            </w:pPr>
            <w:r>
              <w:rPr>
                <w:rFonts w:hint="eastAsia"/>
                <w:szCs w:val="21"/>
                <w:highlight w:val="none"/>
              </w:rPr>
              <w:t>≤H/3</w:t>
            </w:r>
          </w:p>
        </w:tc>
        <w:tc>
          <w:tcPr>
            <w:tcW w:w="1049" w:type="pct"/>
            <w:vAlign w:val="center"/>
          </w:tcPr>
          <w:p>
            <w:pPr>
              <w:spacing w:before="24" w:beforeLines="10" w:after="24" w:afterLines="10" w:line="240" w:lineRule="atLeast"/>
              <w:jc w:val="center"/>
              <w:rPr>
                <w:szCs w:val="21"/>
                <w:highlight w:val="none"/>
              </w:rPr>
            </w:pPr>
            <w:r>
              <w:rPr>
                <w:szCs w:val="21"/>
                <w:highlight w:val="none"/>
              </w:rPr>
              <w:t>1次/</w:t>
            </w:r>
            <w:r>
              <w:rPr>
                <w:rFonts w:hint="eastAsia"/>
                <w:szCs w:val="21"/>
                <w:highlight w:val="none"/>
              </w:rPr>
              <w:t>(</w:t>
            </w:r>
            <w:r>
              <w:rPr>
                <w:szCs w:val="21"/>
                <w:highlight w:val="none"/>
              </w:rPr>
              <w:t>2</w:t>
            </w:r>
            <w:r>
              <w:rPr>
                <w:rFonts w:hint="eastAsia"/>
                <w:szCs w:val="21"/>
                <w:highlight w:val="none"/>
              </w:rPr>
              <w:t>~3)</w:t>
            </w:r>
            <w:r>
              <w:rPr>
                <w:szCs w:val="21"/>
                <w:highlight w:val="none"/>
              </w:rPr>
              <w:t>d</w:t>
            </w:r>
          </w:p>
        </w:tc>
        <w:tc>
          <w:tcPr>
            <w:tcW w:w="922" w:type="pct"/>
            <w:vMerge w:val="restart"/>
            <w:vAlign w:val="center"/>
          </w:tcPr>
          <w:p>
            <w:pPr>
              <w:spacing w:before="24" w:beforeLines="10" w:after="24" w:afterLines="10" w:line="240" w:lineRule="atLeast"/>
              <w:jc w:val="left"/>
              <w:rPr>
                <w:szCs w:val="21"/>
              </w:rPr>
            </w:pPr>
            <w:r>
              <w:rPr>
                <w:szCs w:val="21"/>
              </w:rPr>
              <w:t>发现异常情况，应进行连续监测；各道支撑开始拆除前到拆除完成后3d内监测频率应为1次/d。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continue"/>
            <w:vAlign w:val="center"/>
          </w:tcPr>
          <w:p>
            <w:pPr>
              <w:spacing w:before="24" w:beforeLines="10" w:after="24" w:afterLines="10" w:line="240" w:lineRule="atLeast"/>
              <w:jc w:val="center"/>
              <w:rPr>
                <w:szCs w:val="21"/>
                <w:highlight w:val="none"/>
              </w:rPr>
            </w:pPr>
          </w:p>
        </w:tc>
        <w:tc>
          <w:tcPr>
            <w:tcW w:w="961" w:type="pct"/>
            <w:vMerge w:val="continue"/>
            <w:vAlign w:val="center"/>
          </w:tcPr>
          <w:p>
            <w:pPr>
              <w:spacing w:before="24" w:beforeLines="10" w:after="24" w:afterLines="10" w:line="240" w:lineRule="atLeast"/>
              <w:jc w:val="center"/>
              <w:rPr>
                <w:szCs w:val="21"/>
                <w:highlight w:val="none"/>
              </w:rPr>
            </w:pPr>
          </w:p>
        </w:tc>
        <w:tc>
          <w:tcPr>
            <w:tcW w:w="1126" w:type="pct"/>
            <w:vAlign w:val="center"/>
          </w:tcPr>
          <w:p>
            <w:pPr>
              <w:spacing w:before="24" w:beforeLines="10" w:after="24" w:afterLines="10" w:line="240" w:lineRule="atLeast"/>
              <w:jc w:val="center"/>
              <w:rPr>
                <w:szCs w:val="21"/>
                <w:highlight w:val="none"/>
              </w:rPr>
            </w:pPr>
            <w:r>
              <w:rPr>
                <w:rFonts w:hint="eastAsia"/>
                <w:szCs w:val="21"/>
                <w:highlight w:val="none"/>
              </w:rPr>
              <w:t>H/3~2H/3</w:t>
            </w:r>
          </w:p>
        </w:tc>
        <w:tc>
          <w:tcPr>
            <w:tcW w:w="1049" w:type="pct"/>
            <w:vAlign w:val="center"/>
          </w:tcPr>
          <w:p>
            <w:pPr>
              <w:spacing w:before="24" w:beforeLines="10" w:after="24" w:afterLines="10" w:line="240" w:lineRule="atLeast"/>
              <w:jc w:val="center"/>
              <w:rPr>
                <w:szCs w:val="21"/>
                <w:highlight w:val="none"/>
              </w:rPr>
            </w:pPr>
            <w:r>
              <w:rPr>
                <w:szCs w:val="21"/>
                <w:highlight w:val="none"/>
              </w:rPr>
              <w:t>1次/</w:t>
            </w:r>
            <w:r>
              <w:rPr>
                <w:rFonts w:hint="eastAsia"/>
                <w:szCs w:val="21"/>
                <w:highlight w:val="none"/>
              </w:rPr>
              <w:t>(</w:t>
            </w:r>
            <w:r>
              <w:rPr>
                <w:szCs w:val="21"/>
                <w:highlight w:val="none"/>
              </w:rPr>
              <w:t>1</w:t>
            </w:r>
            <w:r>
              <w:rPr>
                <w:rFonts w:hint="eastAsia"/>
                <w:szCs w:val="21"/>
                <w:highlight w:val="none"/>
              </w:rPr>
              <w:t>~2)</w:t>
            </w:r>
            <w:r>
              <w:rPr>
                <w:szCs w:val="21"/>
                <w:highlight w:val="none"/>
              </w:rPr>
              <w:t>d</w:t>
            </w:r>
          </w:p>
        </w:tc>
        <w:tc>
          <w:tcPr>
            <w:tcW w:w="922" w:type="pct"/>
            <w:vMerge w:val="continue"/>
            <w:vAlign w:val="center"/>
          </w:tcPr>
          <w:p>
            <w:pPr>
              <w:spacing w:before="24" w:beforeLines="10" w:after="24" w:afterLines="10" w:line="240" w:lineRule="atLeast"/>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continue"/>
            <w:vAlign w:val="center"/>
          </w:tcPr>
          <w:p>
            <w:pPr>
              <w:spacing w:before="24" w:beforeLines="10" w:after="24" w:afterLines="10" w:line="240" w:lineRule="atLeast"/>
              <w:jc w:val="center"/>
              <w:rPr>
                <w:szCs w:val="21"/>
                <w:highlight w:val="none"/>
              </w:rPr>
            </w:pPr>
          </w:p>
        </w:tc>
        <w:tc>
          <w:tcPr>
            <w:tcW w:w="961" w:type="pct"/>
            <w:vMerge w:val="continue"/>
            <w:vAlign w:val="center"/>
          </w:tcPr>
          <w:p>
            <w:pPr>
              <w:spacing w:before="24" w:beforeLines="10" w:after="24" w:afterLines="10" w:line="240" w:lineRule="atLeast"/>
              <w:jc w:val="center"/>
              <w:rPr>
                <w:szCs w:val="21"/>
                <w:highlight w:val="none"/>
              </w:rPr>
            </w:pPr>
          </w:p>
        </w:tc>
        <w:tc>
          <w:tcPr>
            <w:tcW w:w="1126" w:type="pct"/>
            <w:vAlign w:val="center"/>
          </w:tcPr>
          <w:p>
            <w:pPr>
              <w:spacing w:before="24" w:beforeLines="10" w:after="24" w:afterLines="10" w:line="240" w:lineRule="atLeast"/>
              <w:jc w:val="center"/>
              <w:rPr>
                <w:szCs w:val="21"/>
                <w:highlight w:val="none"/>
              </w:rPr>
            </w:pPr>
            <w:r>
              <w:rPr>
                <w:rFonts w:hint="eastAsia"/>
                <w:szCs w:val="21"/>
                <w:highlight w:val="none"/>
              </w:rPr>
              <w:t>2H/3~H</w:t>
            </w:r>
          </w:p>
        </w:tc>
        <w:tc>
          <w:tcPr>
            <w:tcW w:w="1049" w:type="pct"/>
            <w:vAlign w:val="center"/>
          </w:tcPr>
          <w:p>
            <w:pPr>
              <w:spacing w:before="24" w:beforeLines="10" w:after="24" w:afterLines="10" w:line="240" w:lineRule="atLeast"/>
              <w:jc w:val="center"/>
              <w:rPr>
                <w:szCs w:val="21"/>
                <w:highlight w:val="none"/>
              </w:rPr>
            </w:pPr>
            <w:r>
              <w:rPr>
                <w:rFonts w:hint="eastAsia"/>
                <w:szCs w:val="21"/>
                <w:highlight w:val="none"/>
              </w:rPr>
              <w:t>(1~</w:t>
            </w:r>
            <w:r>
              <w:rPr>
                <w:szCs w:val="21"/>
                <w:highlight w:val="none"/>
              </w:rPr>
              <w:t>2</w:t>
            </w:r>
            <w:r>
              <w:rPr>
                <w:rFonts w:hint="eastAsia"/>
                <w:szCs w:val="21"/>
                <w:highlight w:val="none"/>
              </w:rPr>
              <w:t>)</w:t>
            </w:r>
            <w:r>
              <w:rPr>
                <w:szCs w:val="21"/>
                <w:highlight w:val="none"/>
              </w:rPr>
              <w:t>次/1d</w:t>
            </w:r>
          </w:p>
        </w:tc>
        <w:tc>
          <w:tcPr>
            <w:tcW w:w="922" w:type="pct"/>
            <w:vMerge w:val="continue"/>
            <w:vAlign w:val="center"/>
          </w:tcPr>
          <w:p>
            <w:pPr>
              <w:spacing w:before="24" w:beforeLines="10" w:after="24" w:afterLines="10" w:line="240" w:lineRule="atLeast"/>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continue"/>
            <w:vAlign w:val="center"/>
          </w:tcPr>
          <w:p>
            <w:pPr>
              <w:spacing w:before="24" w:beforeLines="10" w:after="24" w:afterLines="10" w:line="240" w:lineRule="atLeast"/>
              <w:jc w:val="center"/>
              <w:rPr>
                <w:szCs w:val="21"/>
                <w:highlight w:val="none"/>
              </w:rPr>
            </w:pPr>
          </w:p>
        </w:tc>
        <w:tc>
          <w:tcPr>
            <w:tcW w:w="961" w:type="pct"/>
            <w:vMerge w:val="restart"/>
            <w:vAlign w:val="center"/>
          </w:tcPr>
          <w:p>
            <w:pPr>
              <w:spacing w:before="24" w:beforeLines="10" w:after="24" w:afterLines="10" w:line="240" w:lineRule="atLeast"/>
              <w:jc w:val="center"/>
              <w:rPr>
                <w:szCs w:val="21"/>
                <w:highlight w:val="none"/>
              </w:rPr>
            </w:pPr>
            <w:r>
              <w:rPr>
                <w:szCs w:val="21"/>
                <w:highlight w:val="none"/>
              </w:rPr>
              <w:t>底板浇筑后时间</w:t>
            </w:r>
            <w:r>
              <w:rPr>
                <w:rFonts w:hint="eastAsia"/>
                <w:szCs w:val="21"/>
                <w:highlight w:val="none"/>
              </w:rPr>
              <w:t>(d)</w:t>
            </w:r>
          </w:p>
        </w:tc>
        <w:tc>
          <w:tcPr>
            <w:tcW w:w="1126" w:type="pct"/>
            <w:vAlign w:val="center"/>
          </w:tcPr>
          <w:p>
            <w:pPr>
              <w:spacing w:before="24" w:beforeLines="10" w:after="24" w:afterLines="10" w:line="240" w:lineRule="atLeast"/>
              <w:jc w:val="center"/>
              <w:rPr>
                <w:szCs w:val="21"/>
                <w:highlight w:val="none"/>
              </w:rPr>
            </w:pPr>
            <w:r>
              <w:rPr>
                <w:rFonts w:hint="eastAsia"/>
                <w:szCs w:val="21"/>
                <w:highlight w:val="none"/>
              </w:rPr>
              <w:t>≤</w:t>
            </w:r>
            <w:r>
              <w:rPr>
                <w:szCs w:val="21"/>
                <w:highlight w:val="none"/>
              </w:rPr>
              <w:t>7</w:t>
            </w:r>
          </w:p>
        </w:tc>
        <w:tc>
          <w:tcPr>
            <w:tcW w:w="1049" w:type="pct"/>
            <w:vAlign w:val="center"/>
          </w:tcPr>
          <w:p>
            <w:pPr>
              <w:spacing w:before="24" w:beforeLines="10" w:after="24" w:afterLines="10" w:line="240" w:lineRule="atLeast"/>
              <w:jc w:val="center"/>
              <w:rPr>
                <w:szCs w:val="21"/>
                <w:highlight w:val="none"/>
              </w:rPr>
            </w:pPr>
            <w:r>
              <w:rPr>
                <w:rFonts w:hint="eastAsia"/>
                <w:szCs w:val="21"/>
                <w:highlight w:val="none"/>
              </w:rPr>
              <w:t>1</w:t>
            </w:r>
            <w:r>
              <w:rPr>
                <w:szCs w:val="21"/>
                <w:highlight w:val="none"/>
              </w:rPr>
              <w:t>次/1d</w:t>
            </w:r>
          </w:p>
        </w:tc>
        <w:tc>
          <w:tcPr>
            <w:tcW w:w="922" w:type="pct"/>
            <w:vMerge w:val="continue"/>
            <w:vAlign w:val="center"/>
          </w:tcPr>
          <w:p>
            <w:pPr>
              <w:spacing w:before="24" w:beforeLines="10" w:after="24" w:afterLines="10" w:line="240" w:lineRule="atLeast"/>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continue"/>
            <w:vAlign w:val="center"/>
          </w:tcPr>
          <w:p>
            <w:pPr>
              <w:spacing w:before="24" w:beforeLines="10" w:after="24" w:afterLines="10" w:line="240" w:lineRule="atLeast"/>
              <w:jc w:val="center"/>
              <w:rPr>
                <w:szCs w:val="21"/>
                <w:highlight w:val="none"/>
              </w:rPr>
            </w:pPr>
          </w:p>
        </w:tc>
        <w:tc>
          <w:tcPr>
            <w:tcW w:w="961" w:type="pct"/>
            <w:vMerge w:val="continue"/>
            <w:vAlign w:val="center"/>
          </w:tcPr>
          <w:p>
            <w:pPr>
              <w:spacing w:before="24" w:beforeLines="10" w:after="24" w:afterLines="10" w:line="240" w:lineRule="atLeast"/>
              <w:jc w:val="center"/>
              <w:rPr>
                <w:szCs w:val="21"/>
                <w:highlight w:val="none"/>
              </w:rPr>
            </w:pPr>
          </w:p>
        </w:tc>
        <w:tc>
          <w:tcPr>
            <w:tcW w:w="1126" w:type="pct"/>
            <w:vAlign w:val="center"/>
          </w:tcPr>
          <w:p>
            <w:pPr>
              <w:spacing w:before="24" w:beforeLines="10" w:after="24" w:afterLines="10" w:line="240" w:lineRule="atLeast"/>
              <w:jc w:val="center"/>
              <w:rPr>
                <w:szCs w:val="21"/>
                <w:highlight w:val="none"/>
              </w:rPr>
            </w:pPr>
            <w:r>
              <w:rPr>
                <w:szCs w:val="21"/>
                <w:highlight w:val="none"/>
              </w:rPr>
              <w:t>7～14</w:t>
            </w:r>
          </w:p>
        </w:tc>
        <w:tc>
          <w:tcPr>
            <w:tcW w:w="1049" w:type="pct"/>
            <w:vAlign w:val="center"/>
          </w:tcPr>
          <w:p>
            <w:pPr>
              <w:spacing w:before="24" w:beforeLines="10" w:after="24" w:afterLines="10" w:line="240" w:lineRule="atLeast"/>
              <w:jc w:val="center"/>
              <w:rPr>
                <w:szCs w:val="21"/>
                <w:highlight w:val="none"/>
              </w:rPr>
            </w:pPr>
            <w:r>
              <w:rPr>
                <w:szCs w:val="21"/>
                <w:highlight w:val="none"/>
              </w:rPr>
              <w:t>1次/</w:t>
            </w:r>
            <w:r>
              <w:rPr>
                <w:rFonts w:hint="eastAsia"/>
                <w:szCs w:val="21"/>
                <w:highlight w:val="none"/>
              </w:rPr>
              <w:t>3</w:t>
            </w:r>
            <w:r>
              <w:rPr>
                <w:szCs w:val="21"/>
                <w:highlight w:val="none"/>
              </w:rPr>
              <w:t>d</w:t>
            </w:r>
          </w:p>
        </w:tc>
        <w:tc>
          <w:tcPr>
            <w:tcW w:w="922" w:type="pct"/>
            <w:vMerge w:val="continue"/>
            <w:vAlign w:val="center"/>
          </w:tcPr>
          <w:p>
            <w:pPr>
              <w:spacing w:before="24" w:beforeLines="10" w:after="24" w:afterLines="10" w:line="240" w:lineRule="atLeast"/>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continue"/>
            <w:vAlign w:val="center"/>
          </w:tcPr>
          <w:p>
            <w:pPr>
              <w:spacing w:before="24" w:beforeLines="10" w:after="24" w:afterLines="10" w:line="240" w:lineRule="atLeast"/>
              <w:jc w:val="center"/>
              <w:rPr>
                <w:szCs w:val="21"/>
                <w:highlight w:val="none"/>
              </w:rPr>
            </w:pPr>
          </w:p>
        </w:tc>
        <w:tc>
          <w:tcPr>
            <w:tcW w:w="961" w:type="pct"/>
            <w:vMerge w:val="continue"/>
            <w:vAlign w:val="center"/>
          </w:tcPr>
          <w:p>
            <w:pPr>
              <w:spacing w:before="24" w:beforeLines="10" w:after="24" w:afterLines="10" w:line="240" w:lineRule="atLeast"/>
              <w:jc w:val="center"/>
              <w:rPr>
                <w:szCs w:val="21"/>
                <w:highlight w:val="none"/>
              </w:rPr>
            </w:pPr>
          </w:p>
        </w:tc>
        <w:tc>
          <w:tcPr>
            <w:tcW w:w="1126" w:type="pct"/>
            <w:vAlign w:val="center"/>
          </w:tcPr>
          <w:p>
            <w:pPr>
              <w:spacing w:before="24" w:beforeLines="10" w:after="24" w:afterLines="10" w:line="240" w:lineRule="atLeast"/>
              <w:jc w:val="center"/>
              <w:rPr>
                <w:szCs w:val="21"/>
                <w:highlight w:val="none"/>
              </w:rPr>
            </w:pPr>
            <w:r>
              <w:rPr>
                <w:szCs w:val="21"/>
                <w:highlight w:val="none"/>
              </w:rPr>
              <w:t>14～28</w:t>
            </w:r>
          </w:p>
        </w:tc>
        <w:tc>
          <w:tcPr>
            <w:tcW w:w="1049" w:type="pct"/>
            <w:vAlign w:val="center"/>
          </w:tcPr>
          <w:p>
            <w:pPr>
              <w:spacing w:before="24" w:beforeLines="10" w:after="24" w:afterLines="10" w:line="240" w:lineRule="atLeast"/>
              <w:jc w:val="center"/>
              <w:rPr>
                <w:szCs w:val="21"/>
                <w:highlight w:val="none"/>
              </w:rPr>
            </w:pPr>
            <w:r>
              <w:rPr>
                <w:szCs w:val="21"/>
                <w:highlight w:val="none"/>
              </w:rPr>
              <w:t>1次/</w:t>
            </w:r>
            <w:r>
              <w:rPr>
                <w:rFonts w:hint="eastAsia"/>
                <w:szCs w:val="21"/>
                <w:highlight w:val="none"/>
              </w:rPr>
              <w:t>5</w:t>
            </w:r>
            <w:r>
              <w:rPr>
                <w:szCs w:val="21"/>
                <w:highlight w:val="none"/>
              </w:rPr>
              <w:t>d</w:t>
            </w:r>
          </w:p>
        </w:tc>
        <w:tc>
          <w:tcPr>
            <w:tcW w:w="922" w:type="pct"/>
            <w:vMerge w:val="continue"/>
            <w:vAlign w:val="center"/>
          </w:tcPr>
          <w:p>
            <w:pPr>
              <w:spacing w:before="24" w:beforeLines="10" w:after="24" w:afterLines="10" w:line="240" w:lineRule="atLeast"/>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continue"/>
            <w:vAlign w:val="center"/>
          </w:tcPr>
          <w:p>
            <w:pPr>
              <w:spacing w:before="24" w:beforeLines="10" w:after="24" w:afterLines="10" w:line="240" w:lineRule="atLeast"/>
              <w:jc w:val="center"/>
              <w:rPr>
                <w:szCs w:val="21"/>
                <w:highlight w:val="none"/>
              </w:rPr>
            </w:pPr>
          </w:p>
        </w:tc>
        <w:tc>
          <w:tcPr>
            <w:tcW w:w="961" w:type="pct"/>
            <w:vMerge w:val="continue"/>
            <w:vAlign w:val="center"/>
          </w:tcPr>
          <w:p>
            <w:pPr>
              <w:spacing w:before="24" w:beforeLines="10" w:after="24" w:afterLines="10" w:line="240" w:lineRule="atLeast"/>
              <w:jc w:val="center"/>
              <w:rPr>
                <w:szCs w:val="21"/>
                <w:highlight w:val="none"/>
              </w:rPr>
            </w:pPr>
          </w:p>
        </w:tc>
        <w:tc>
          <w:tcPr>
            <w:tcW w:w="1126" w:type="pct"/>
            <w:vAlign w:val="center"/>
          </w:tcPr>
          <w:p>
            <w:pPr>
              <w:spacing w:before="24" w:beforeLines="10" w:after="24" w:afterLines="10" w:line="240" w:lineRule="atLeast"/>
              <w:jc w:val="center"/>
              <w:rPr>
                <w:szCs w:val="21"/>
                <w:highlight w:val="none"/>
              </w:rPr>
            </w:pPr>
            <w:r>
              <w:rPr>
                <w:szCs w:val="21"/>
                <w:highlight w:val="none"/>
              </w:rPr>
              <w:t>＞28</w:t>
            </w:r>
          </w:p>
        </w:tc>
        <w:tc>
          <w:tcPr>
            <w:tcW w:w="1049" w:type="pct"/>
            <w:vAlign w:val="center"/>
          </w:tcPr>
          <w:p>
            <w:pPr>
              <w:spacing w:before="24" w:beforeLines="10" w:after="24" w:afterLines="10" w:line="240" w:lineRule="atLeast"/>
              <w:jc w:val="center"/>
              <w:rPr>
                <w:szCs w:val="21"/>
                <w:highlight w:val="none"/>
              </w:rPr>
            </w:pPr>
            <w:r>
              <w:rPr>
                <w:szCs w:val="21"/>
                <w:highlight w:val="none"/>
              </w:rPr>
              <w:t>1次/</w:t>
            </w:r>
            <w:r>
              <w:rPr>
                <w:rFonts w:hint="eastAsia"/>
                <w:szCs w:val="21"/>
                <w:highlight w:val="none"/>
              </w:rPr>
              <w:t>7</w:t>
            </w:r>
            <w:r>
              <w:rPr>
                <w:szCs w:val="21"/>
                <w:highlight w:val="none"/>
              </w:rPr>
              <w:t>d</w:t>
            </w:r>
          </w:p>
        </w:tc>
        <w:tc>
          <w:tcPr>
            <w:tcW w:w="922" w:type="pct"/>
            <w:vMerge w:val="continue"/>
            <w:vAlign w:val="center"/>
          </w:tcPr>
          <w:p>
            <w:pPr>
              <w:spacing w:before="24" w:beforeLines="10" w:after="24" w:afterLines="10" w:line="240" w:lineRule="atLeast"/>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restart"/>
            <w:vAlign w:val="center"/>
          </w:tcPr>
          <w:p>
            <w:pPr>
              <w:spacing w:before="24" w:beforeLines="10" w:after="24" w:afterLines="10" w:line="240" w:lineRule="atLeast"/>
              <w:jc w:val="center"/>
              <w:rPr>
                <w:szCs w:val="21"/>
                <w:highlight w:val="none"/>
              </w:rPr>
            </w:pPr>
            <w:r>
              <w:rPr>
                <w:rFonts w:hint="eastAsia"/>
                <w:szCs w:val="21"/>
                <w:highlight w:val="none"/>
              </w:rPr>
              <w:t>二级</w:t>
            </w:r>
          </w:p>
        </w:tc>
        <w:tc>
          <w:tcPr>
            <w:tcW w:w="961" w:type="pct"/>
            <w:vMerge w:val="restart"/>
            <w:vAlign w:val="center"/>
          </w:tcPr>
          <w:p>
            <w:pPr>
              <w:spacing w:before="24" w:beforeLines="10" w:after="24" w:afterLines="10" w:line="240" w:lineRule="atLeast"/>
              <w:jc w:val="center"/>
              <w:rPr>
                <w:szCs w:val="21"/>
                <w:highlight w:val="none"/>
              </w:rPr>
            </w:pPr>
            <w:r>
              <w:rPr>
                <w:szCs w:val="21"/>
                <w:highlight w:val="none"/>
              </w:rPr>
              <w:t>开挖深度(m)</w:t>
            </w:r>
          </w:p>
        </w:tc>
        <w:tc>
          <w:tcPr>
            <w:tcW w:w="1126" w:type="pct"/>
            <w:vAlign w:val="center"/>
          </w:tcPr>
          <w:p>
            <w:pPr>
              <w:spacing w:before="24" w:beforeLines="10" w:after="24" w:afterLines="10" w:line="240" w:lineRule="atLeast"/>
              <w:jc w:val="center"/>
              <w:rPr>
                <w:szCs w:val="21"/>
                <w:highlight w:val="none"/>
              </w:rPr>
            </w:pPr>
            <w:r>
              <w:rPr>
                <w:rFonts w:hint="eastAsia"/>
                <w:szCs w:val="21"/>
                <w:highlight w:val="none"/>
              </w:rPr>
              <w:t>≤H/3</w:t>
            </w:r>
          </w:p>
        </w:tc>
        <w:tc>
          <w:tcPr>
            <w:tcW w:w="1049" w:type="pct"/>
            <w:vAlign w:val="center"/>
          </w:tcPr>
          <w:p>
            <w:pPr>
              <w:spacing w:before="24" w:beforeLines="10" w:after="24" w:afterLines="10" w:line="240" w:lineRule="atLeast"/>
              <w:jc w:val="center"/>
              <w:rPr>
                <w:szCs w:val="21"/>
                <w:highlight w:val="none"/>
              </w:rPr>
            </w:pPr>
            <w:r>
              <w:rPr>
                <w:szCs w:val="21"/>
                <w:highlight w:val="none"/>
              </w:rPr>
              <w:t>1次/</w:t>
            </w:r>
            <w:r>
              <w:rPr>
                <w:rFonts w:hint="eastAsia"/>
                <w:szCs w:val="21"/>
                <w:highlight w:val="none"/>
              </w:rPr>
              <w:t>3</w:t>
            </w:r>
            <w:r>
              <w:rPr>
                <w:szCs w:val="21"/>
                <w:highlight w:val="none"/>
              </w:rPr>
              <w:t>d</w:t>
            </w:r>
          </w:p>
        </w:tc>
        <w:tc>
          <w:tcPr>
            <w:tcW w:w="922" w:type="pct"/>
            <w:vMerge w:val="continue"/>
            <w:vAlign w:val="center"/>
          </w:tcPr>
          <w:p>
            <w:pPr>
              <w:spacing w:before="24" w:beforeLines="10" w:after="24" w:afterLines="10" w:line="240" w:lineRule="atLeast"/>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continue"/>
            <w:vAlign w:val="center"/>
          </w:tcPr>
          <w:p>
            <w:pPr>
              <w:spacing w:before="24" w:beforeLines="10" w:after="24" w:afterLines="10" w:line="240" w:lineRule="atLeast"/>
              <w:jc w:val="center"/>
              <w:rPr>
                <w:szCs w:val="21"/>
                <w:highlight w:val="none"/>
              </w:rPr>
            </w:pPr>
          </w:p>
        </w:tc>
        <w:tc>
          <w:tcPr>
            <w:tcW w:w="961" w:type="pct"/>
            <w:vMerge w:val="continue"/>
            <w:vAlign w:val="center"/>
          </w:tcPr>
          <w:p>
            <w:pPr>
              <w:spacing w:before="24" w:beforeLines="10" w:after="24" w:afterLines="10" w:line="240" w:lineRule="atLeast"/>
              <w:jc w:val="center"/>
              <w:rPr>
                <w:szCs w:val="21"/>
                <w:highlight w:val="none"/>
              </w:rPr>
            </w:pPr>
          </w:p>
        </w:tc>
        <w:tc>
          <w:tcPr>
            <w:tcW w:w="1126" w:type="pct"/>
            <w:vAlign w:val="center"/>
          </w:tcPr>
          <w:p>
            <w:pPr>
              <w:spacing w:before="24" w:beforeLines="10" w:after="24" w:afterLines="10" w:line="240" w:lineRule="atLeast"/>
              <w:jc w:val="center"/>
              <w:rPr>
                <w:szCs w:val="21"/>
                <w:highlight w:val="none"/>
              </w:rPr>
            </w:pPr>
            <w:r>
              <w:rPr>
                <w:rFonts w:hint="eastAsia"/>
                <w:szCs w:val="21"/>
                <w:highlight w:val="none"/>
              </w:rPr>
              <w:t>H/3~2H/3</w:t>
            </w:r>
          </w:p>
        </w:tc>
        <w:tc>
          <w:tcPr>
            <w:tcW w:w="1049" w:type="pct"/>
            <w:vAlign w:val="center"/>
          </w:tcPr>
          <w:p>
            <w:pPr>
              <w:spacing w:before="24" w:beforeLines="10" w:after="24" w:afterLines="10" w:line="240" w:lineRule="atLeast"/>
              <w:jc w:val="center"/>
              <w:rPr>
                <w:szCs w:val="21"/>
                <w:highlight w:val="none"/>
              </w:rPr>
            </w:pPr>
            <w:r>
              <w:rPr>
                <w:szCs w:val="21"/>
                <w:highlight w:val="none"/>
              </w:rPr>
              <w:t>1次/</w:t>
            </w:r>
            <w:r>
              <w:rPr>
                <w:rFonts w:hint="eastAsia"/>
                <w:szCs w:val="21"/>
                <w:highlight w:val="none"/>
              </w:rPr>
              <w:t>2</w:t>
            </w:r>
            <w:r>
              <w:rPr>
                <w:szCs w:val="21"/>
                <w:highlight w:val="none"/>
              </w:rPr>
              <w:t>d</w:t>
            </w:r>
          </w:p>
        </w:tc>
        <w:tc>
          <w:tcPr>
            <w:tcW w:w="922" w:type="pct"/>
            <w:vMerge w:val="continue"/>
            <w:vAlign w:val="center"/>
          </w:tcPr>
          <w:p>
            <w:pPr>
              <w:spacing w:before="24" w:beforeLines="10" w:after="24" w:afterLines="10" w:line="240" w:lineRule="atLeast"/>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continue"/>
            <w:vAlign w:val="center"/>
          </w:tcPr>
          <w:p>
            <w:pPr>
              <w:spacing w:before="24" w:beforeLines="10" w:after="24" w:afterLines="10" w:line="240" w:lineRule="atLeast"/>
              <w:jc w:val="center"/>
              <w:rPr>
                <w:szCs w:val="21"/>
                <w:highlight w:val="none"/>
              </w:rPr>
            </w:pPr>
          </w:p>
        </w:tc>
        <w:tc>
          <w:tcPr>
            <w:tcW w:w="961" w:type="pct"/>
            <w:vMerge w:val="continue"/>
            <w:vAlign w:val="center"/>
          </w:tcPr>
          <w:p>
            <w:pPr>
              <w:spacing w:before="24" w:beforeLines="10" w:after="24" w:afterLines="10" w:line="240" w:lineRule="atLeast"/>
              <w:jc w:val="center"/>
              <w:rPr>
                <w:szCs w:val="21"/>
                <w:highlight w:val="none"/>
              </w:rPr>
            </w:pPr>
          </w:p>
        </w:tc>
        <w:tc>
          <w:tcPr>
            <w:tcW w:w="1126" w:type="pct"/>
            <w:vAlign w:val="center"/>
          </w:tcPr>
          <w:p>
            <w:pPr>
              <w:spacing w:before="24" w:beforeLines="10" w:after="24" w:afterLines="10" w:line="240" w:lineRule="atLeast"/>
              <w:jc w:val="center"/>
              <w:rPr>
                <w:szCs w:val="21"/>
                <w:highlight w:val="none"/>
              </w:rPr>
            </w:pPr>
            <w:r>
              <w:rPr>
                <w:rFonts w:hint="eastAsia"/>
                <w:szCs w:val="21"/>
                <w:highlight w:val="none"/>
              </w:rPr>
              <w:t>2H/3~H</w:t>
            </w:r>
          </w:p>
        </w:tc>
        <w:tc>
          <w:tcPr>
            <w:tcW w:w="1049" w:type="pct"/>
            <w:vAlign w:val="center"/>
          </w:tcPr>
          <w:p>
            <w:pPr>
              <w:spacing w:before="24" w:beforeLines="10" w:after="24" w:afterLines="10" w:line="240" w:lineRule="atLeast"/>
              <w:jc w:val="center"/>
              <w:rPr>
                <w:szCs w:val="21"/>
                <w:highlight w:val="none"/>
              </w:rPr>
            </w:pPr>
            <w:r>
              <w:rPr>
                <w:rFonts w:hint="eastAsia"/>
                <w:szCs w:val="21"/>
                <w:highlight w:val="none"/>
              </w:rPr>
              <w:t>1</w:t>
            </w:r>
            <w:r>
              <w:rPr>
                <w:szCs w:val="21"/>
                <w:highlight w:val="none"/>
              </w:rPr>
              <w:t>次/1d</w:t>
            </w:r>
          </w:p>
        </w:tc>
        <w:tc>
          <w:tcPr>
            <w:tcW w:w="922" w:type="pct"/>
            <w:vMerge w:val="continue"/>
            <w:vAlign w:val="center"/>
          </w:tcPr>
          <w:p>
            <w:pPr>
              <w:spacing w:before="24" w:beforeLines="10" w:after="24" w:afterLines="10" w:line="240" w:lineRule="atLeast"/>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continue"/>
            <w:vAlign w:val="center"/>
          </w:tcPr>
          <w:p>
            <w:pPr>
              <w:spacing w:before="24" w:beforeLines="10" w:after="24" w:afterLines="10" w:line="240" w:lineRule="atLeast"/>
              <w:jc w:val="center"/>
              <w:rPr>
                <w:szCs w:val="21"/>
                <w:highlight w:val="none"/>
              </w:rPr>
            </w:pPr>
          </w:p>
        </w:tc>
        <w:tc>
          <w:tcPr>
            <w:tcW w:w="961" w:type="pct"/>
            <w:vMerge w:val="restart"/>
            <w:vAlign w:val="center"/>
          </w:tcPr>
          <w:p>
            <w:pPr>
              <w:spacing w:before="24" w:beforeLines="10" w:after="24" w:afterLines="10" w:line="240" w:lineRule="atLeast"/>
              <w:jc w:val="center"/>
              <w:rPr>
                <w:szCs w:val="21"/>
                <w:highlight w:val="none"/>
              </w:rPr>
            </w:pPr>
            <w:r>
              <w:rPr>
                <w:szCs w:val="21"/>
                <w:highlight w:val="none"/>
              </w:rPr>
              <w:t>底板浇筑后时间</w:t>
            </w:r>
            <w:r>
              <w:rPr>
                <w:rFonts w:hint="eastAsia"/>
                <w:szCs w:val="21"/>
                <w:highlight w:val="none"/>
              </w:rPr>
              <w:t>(d)</w:t>
            </w:r>
          </w:p>
        </w:tc>
        <w:tc>
          <w:tcPr>
            <w:tcW w:w="1126" w:type="pct"/>
            <w:vAlign w:val="center"/>
          </w:tcPr>
          <w:p>
            <w:pPr>
              <w:spacing w:before="24" w:beforeLines="10" w:after="24" w:afterLines="10" w:line="240" w:lineRule="atLeast"/>
              <w:jc w:val="center"/>
              <w:rPr>
                <w:szCs w:val="21"/>
                <w:highlight w:val="none"/>
              </w:rPr>
            </w:pPr>
            <w:r>
              <w:rPr>
                <w:rFonts w:hint="eastAsia"/>
                <w:szCs w:val="21"/>
                <w:highlight w:val="none"/>
              </w:rPr>
              <w:t>≤</w:t>
            </w:r>
            <w:r>
              <w:rPr>
                <w:szCs w:val="21"/>
                <w:highlight w:val="none"/>
              </w:rPr>
              <w:t>7</w:t>
            </w:r>
          </w:p>
        </w:tc>
        <w:tc>
          <w:tcPr>
            <w:tcW w:w="1049" w:type="pct"/>
            <w:vAlign w:val="center"/>
          </w:tcPr>
          <w:p>
            <w:pPr>
              <w:spacing w:before="24" w:beforeLines="10" w:after="24" w:afterLines="10" w:line="240" w:lineRule="atLeast"/>
              <w:jc w:val="center"/>
              <w:rPr>
                <w:szCs w:val="21"/>
                <w:highlight w:val="none"/>
              </w:rPr>
            </w:pPr>
            <w:r>
              <w:rPr>
                <w:rFonts w:hint="eastAsia"/>
                <w:szCs w:val="21"/>
                <w:highlight w:val="none"/>
              </w:rPr>
              <w:t>1</w:t>
            </w:r>
            <w:r>
              <w:rPr>
                <w:szCs w:val="21"/>
                <w:highlight w:val="none"/>
              </w:rPr>
              <w:t>次/</w:t>
            </w:r>
            <w:r>
              <w:rPr>
                <w:rFonts w:hint="eastAsia"/>
                <w:szCs w:val="21"/>
                <w:highlight w:val="none"/>
              </w:rPr>
              <w:t>2</w:t>
            </w:r>
            <w:r>
              <w:rPr>
                <w:szCs w:val="21"/>
                <w:highlight w:val="none"/>
              </w:rPr>
              <w:t>d</w:t>
            </w:r>
          </w:p>
        </w:tc>
        <w:tc>
          <w:tcPr>
            <w:tcW w:w="922" w:type="pct"/>
            <w:vMerge w:val="continue"/>
            <w:vAlign w:val="center"/>
          </w:tcPr>
          <w:p>
            <w:pPr>
              <w:spacing w:before="24" w:beforeLines="10" w:after="24" w:afterLines="10" w:line="240" w:lineRule="atLeast"/>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continue"/>
            <w:vAlign w:val="center"/>
          </w:tcPr>
          <w:p>
            <w:pPr>
              <w:spacing w:before="24" w:beforeLines="10" w:after="24" w:afterLines="10" w:line="240" w:lineRule="atLeast"/>
              <w:jc w:val="center"/>
              <w:rPr>
                <w:szCs w:val="21"/>
                <w:highlight w:val="none"/>
              </w:rPr>
            </w:pPr>
          </w:p>
        </w:tc>
        <w:tc>
          <w:tcPr>
            <w:tcW w:w="961" w:type="pct"/>
            <w:vMerge w:val="continue"/>
            <w:vAlign w:val="center"/>
          </w:tcPr>
          <w:p>
            <w:pPr>
              <w:spacing w:before="24" w:beforeLines="10" w:after="24" w:afterLines="10" w:line="240" w:lineRule="atLeast"/>
              <w:jc w:val="center"/>
              <w:rPr>
                <w:szCs w:val="21"/>
                <w:highlight w:val="none"/>
              </w:rPr>
            </w:pPr>
          </w:p>
        </w:tc>
        <w:tc>
          <w:tcPr>
            <w:tcW w:w="1126" w:type="pct"/>
            <w:vAlign w:val="center"/>
          </w:tcPr>
          <w:p>
            <w:pPr>
              <w:spacing w:before="24" w:beforeLines="10" w:after="24" w:afterLines="10" w:line="240" w:lineRule="atLeast"/>
              <w:jc w:val="center"/>
              <w:rPr>
                <w:szCs w:val="21"/>
                <w:highlight w:val="none"/>
              </w:rPr>
            </w:pPr>
            <w:r>
              <w:rPr>
                <w:szCs w:val="21"/>
                <w:highlight w:val="none"/>
              </w:rPr>
              <w:t>7～14</w:t>
            </w:r>
          </w:p>
        </w:tc>
        <w:tc>
          <w:tcPr>
            <w:tcW w:w="1049" w:type="pct"/>
            <w:vAlign w:val="center"/>
          </w:tcPr>
          <w:p>
            <w:pPr>
              <w:spacing w:before="24" w:beforeLines="10" w:after="24" w:afterLines="10" w:line="240" w:lineRule="atLeast"/>
              <w:jc w:val="center"/>
              <w:rPr>
                <w:szCs w:val="21"/>
                <w:highlight w:val="none"/>
              </w:rPr>
            </w:pPr>
            <w:r>
              <w:rPr>
                <w:szCs w:val="21"/>
                <w:highlight w:val="none"/>
              </w:rPr>
              <w:t>1次/</w:t>
            </w:r>
            <w:r>
              <w:rPr>
                <w:rFonts w:hint="eastAsia"/>
                <w:szCs w:val="21"/>
                <w:highlight w:val="none"/>
              </w:rPr>
              <w:t>3</w:t>
            </w:r>
            <w:r>
              <w:rPr>
                <w:szCs w:val="21"/>
                <w:highlight w:val="none"/>
              </w:rPr>
              <w:t>d</w:t>
            </w:r>
          </w:p>
        </w:tc>
        <w:tc>
          <w:tcPr>
            <w:tcW w:w="922" w:type="pct"/>
            <w:vMerge w:val="continue"/>
            <w:vAlign w:val="center"/>
          </w:tcPr>
          <w:p>
            <w:pPr>
              <w:spacing w:before="24" w:beforeLines="10" w:after="24" w:afterLines="10" w:line="240" w:lineRule="atLeast"/>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continue"/>
            <w:vAlign w:val="center"/>
          </w:tcPr>
          <w:p>
            <w:pPr>
              <w:spacing w:before="24" w:beforeLines="10" w:after="24" w:afterLines="10" w:line="240" w:lineRule="atLeast"/>
              <w:jc w:val="center"/>
              <w:rPr>
                <w:szCs w:val="21"/>
                <w:highlight w:val="none"/>
              </w:rPr>
            </w:pPr>
          </w:p>
        </w:tc>
        <w:tc>
          <w:tcPr>
            <w:tcW w:w="961" w:type="pct"/>
            <w:vMerge w:val="continue"/>
            <w:vAlign w:val="center"/>
          </w:tcPr>
          <w:p>
            <w:pPr>
              <w:spacing w:before="24" w:beforeLines="10" w:after="24" w:afterLines="10" w:line="240" w:lineRule="atLeast"/>
              <w:jc w:val="center"/>
              <w:rPr>
                <w:szCs w:val="21"/>
                <w:highlight w:val="none"/>
              </w:rPr>
            </w:pPr>
          </w:p>
        </w:tc>
        <w:tc>
          <w:tcPr>
            <w:tcW w:w="1126" w:type="pct"/>
            <w:vAlign w:val="center"/>
          </w:tcPr>
          <w:p>
            <w:pPr>
              <w:spacing w:before="24" w:beforeLines="10" w:after="24" w:afterLines="10" w:line="240" w:lineRule="atLeast"/>
              <w:jc w:val="center"/>
              <w:rPr>
                <w:szCs w:val="21"/>
                <w:highlight w:val="none"/>
              </w:rPr>
            </w:pPr>
            <w:r>
              <w:rPr>
                <w:szCs w:val="21"/>
                <w:highlight w:val="none"/>
              </w:rPr>
              <w:t>14～28</w:t>
            </w:r>
          </w:p>
        </w:tc>
        <w:tc>
          <w:tcPr>
            <w:tcW w:w="1049" w:type="pct"/>
            <w:vAlign w:val="center"/>
          </w:tcPr>
          <w:p>
            <w:pPr>
              <w:spacing w:before="24" w:beforeLines="10" w:after="24" w:afterLines="10" w:line="240" w:lineRule="atLeast"/>
              <w:jc w:val="center"/>
              <w:rPr>
                <w:szCs w:val="21"/>
                <w:highlight w:val="none"/>
              </w:rPr>
            </w:pPr>
            <w:r>
              <w:rPr>
                <w:szCs w:val="21"/>
                <w:highlight w:val="none"/>
              </w:rPr>
              <w:t>1次/</w:t>
            </w:r>
            <w:r>
              <w:rPr>
                <w:rFonts w:hint="eastAsia"/>
                <w:szCs w:val="21"/>
                <w:highlight w:val="none"/>
              </w:rPr>
              <w:t>7</w:t>
            </w:r>
            <w:r>
              <w:rPr>
                <w:szCs w:val="21"/>
                <w:highlight w:val="none"/>
              </w:rPr>
              <w:t>d</w:t>
            </w:r>
          </w:p>
        </w:tc>
        <w:tc>
          <w:tcPr>
            <w:tcW w:w="922" w:type="pct"/>
            <w:vMerge w:val="continue"/>
            <w:vAlign w:val="center"/>
          </w:tcPr>
          <w:p>
            <w:pPr>
              <w:spacing w:before="24" w:beforeLines="10" w:after="24" w:afterLines="10" w:line="240" w:lineRule="atLeast"/>
              <w:jc w:val="center"/>
              <w:rPr>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continue"/>
            <w:vAlign w:val="center"/>
          </w:tcPr>
          <w:p>
            <w:pPr>
              <w:spacing w:before="24" w:beforeLines="10" w:after="24" w:afterLines="10" w:line="240" w:lineRule="atLeast"/>
              <w:jc w:val="center"/>
              <w:rPr>
                <w:szCs w:val="21"/>
                <w:highlight w:val="none"/>
              </w:rPr>
            </w:pPr>
          </w:p>
        </w:tc>
        <w:tc>
          <w:tcPr>
            <w:tcW w:w="961" w:type="pct"/>
            <w:vMerge w:val="continue"/>
            <w:vAlign w:val="center"/>
          </w:tcPr>
          <w:p>
            <w:pPr>
              <w:spacing w:before="24" w:beforeLines="10" w:after="24" w:afterLines="10" w:line="240" w:lineRule="atLeast"/>
              <w:jc w:val="center"/>
              <w:rPr>
                <w:szCs w:val="21"/>
                <w:highlight w:val="none"/>
              </w:rPr>
            </w:pPr>
          </w:p>
        </w:tc>
        <w:tc>
          <w:tcPr>
            <w:tcW w:w="1126" w:type="pct"/>
            <w:vAlign w:val="center"/>
          </w:tcPr>
          <w:p>
            <w:pPr>
              <w:spacing w:before="24" w:beforeLines="10" w:after="24" w:afterLines="10" w:line="240" w:lineRule="atLeast"/>
              <w:jc w:val="center"/>
              <w:rPr>
                <w:szCs w:val="21"/>
                <w:highlight w:val="none"/>
              </w:rPr>
            </w:pPr>
            <w:r>
              <w:rPr>
                <w:szCs w:val="21"/>
                <w:highlight w:val="none"/>
              </w:rPr>
              <w:t>＞28</w:t>
            </w:r>
          </w:p>
        </w:tc>
        <w:tc>
          <w:tcPr>
            <w:tcW w:w="1049" w:type="pct"/>
            <w:vAlign w:val="center"/>
          </w:tcPr>
          <w:p>
            <w:pPr>
              <w:spacing w:before="24" w:beforeLines="10" w:after="24" w:afterLines="10" w:line="240" w:lineRule="atLeast"/>
              <w:jc w:val="center"/>
              <w:rPr>
                <w:szCs w:val="21"/>
                <w:highlight w:val="none"/>
              </w:rPr>
            </w:pPr>
            <w:r>
              <w:rPr>
                <w:szCs w:val="21"/>
                <w:highlight w:val="none"/>
              </w:rPr>
              <w:t>1次/</w:t>
            </w:r>
            <w:r>
              <w:rPr>
                <w:rFonts w:hint="eastAsia"/>
                <w:szCs w:val="21"/>
                <w:highlight w:val="none"/>
              </w:rPr>
              <w:t>10</w:t>
            </w:r>
            <w:r>
              <w:rPr>
                <w:szCs w:val="21"/>
                <w:highlight w:val="none"/>
              </w:rPr>
              <w:t>d</w:t>
            </w:r>
          </w:p>
        </w:tc>
        <w:tc>
          <w:tcPr>
            <w:tcW w:w="922" w:type="pct"/>
            <w:vMerge w:val="continue"/>
            <w:vAlign w:val="center"/>
          </w:tcPr>
          <w:p>
            <w:pPr>
              <w:spacing w:before="24" w:beforeLines="10" w:after="24" w:afterLines="10" w:line="240" w:lineRule="atLeast"/>
              <w:jc w:val="center"/>
              <w:rPr>
                <w:szCs w:val="21"/>
                <w:lang w:val="en-GB"/>
              </w:rPr>
            </w:pPr>
          </w:p>
        </w:tc>
      </w:tr>
    </w:tbl>
    <w:p>
      <w:pPr>
        <w:spacing w:line="500" w:lineRule="atLeast"/>
        <w:ind w:firstLine="435"/>
        <w:jc w:val="center"/>
        <w:rPr>
          <w:rFonts w:ascii="黑体" w:hAnsi="黑体" w:eastAsia="黑体"/>
          <w:sz w:val="24"/>
        </w:rPr>
      </w:pPr>
    </w:p>
    <w:p>
      <w:pPr>
        <w:spacing w:line="500" w:lineRule="atLeast"/>
        <w:ind w:firstLine="435"/>
        <w:jc w:val="center"/>
        <w:rPr>
          <w:rFonts w:ascii="黑体" w:hAnsi="黑体" w:eastAsia="黑体"/>
          <w:sz w:val="24"/>
        </w:rPr>
      </w:pPr>
      <w:r>
        <w:rPr>
          <w:rFonts w:ascii="黑体" w:hAnsi="黑体" w:eastAsia="黑体"/>
          <w:sz w:val="24"/>
        </w:rPr>
        <w:t>表</w:t>
      </w:r>
      <w:r>
        <w:rPr>
          <w:b/>
          <w:sz w:val="24"/>
        </w:rPr>
        <w:t>5.1-</w:t>
      </w:r>
      <w:r>
        <w:rPr>
          <w:rFonts w:hint="eastAsia"/>
          <w:b/>
          <w:sz w:val="24"/>
        </w:rPr>
        <w:t>6</w:t>
      </w:r>
      <w:r>
        <w:rPr>
          <w:rFonts w:hint="eastAsia"/>
          <w:sz w:val="24"/>
        </w:rPr>
        <w:t xml:space="preserve">  </w:t>
      </w:r>
      <w:r>
        <w:rPr>
          <w:rFonts w:ascii="黑体" w:hAnsi="黑体" w:eastAsia="黑体"/>
          <w:sz w:val="24"/>
        </w:rPr>
        <w:t>基坑监测项目及预警值</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693"/>
        <w:gridCol w:w="2127"/>
        <w:gridCol w:w="1204"/>
        <w:gridCol w:w="1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pPr>
              <w:spacing w:before="24" w:beforeLines="10" w:after="24" w:afterLines="10" w:line="240" w:lineRule="atLeast"/>
              <w:jc w:val="center"/>
              <w:rPr>
                <w:szCs w:val="21"/>
              </w:rPr>
            </w:pPr>
            <w:r>
              <w:rPr>
                <w:szCs w:val="21"/>
              </w:rPr>
              <w:t>序号</w:t>
            </w:r>
          </w:p>
        </w:tc>
        <w:tc>
          <w:tcPr>
            <w:tcW w:w="1575" w:type="pct"/>
            <w:vAlign w:val="center"/>
          </w:tcPr>
          <w:p>
            <w:pPr>
              <w:spacing w:before="24" w:beforeLines="10" w:after="24" w:afterLines="10" w:line="240" w:lineRule="atLeast"/>
              <w:jc w:val="center"/>
              <w:rPr>
                <w:szCs w:val="21"/>
              </w:rPr>
            </w:pPr>
            <w:r>
              <w:rPr>
                <w:szCs w:val="21"/>
              </w:rPr>
              <w:t>监 测 项 目</w:t>
            </w:r>
          </w:p>
        </w:tc>
        <w:tc>
          <w:tcPr>
            <w:tcW w:w="1244" w:type="pct"/>
            <w:vAlign w:val="center"/>
          </w:tcPr>
          <w:p>
            <w:pPr>
              <w:spacing w:before="24" w:beforeLines="10" w:after="24" w:afterLines="10" w:line="240" w:lineRule="atLeast"/>
              <w:jc w:val="center"/>
              <w:rPr>
                <w:szCs w:val="21"/>
              </w:rPr>
            </w:pPr>
            <w:r>
              <w:rPr>
                <w:szCs w:val="21"/>
              </w:rPr>
              <w:t>警戒值</w:t>
            </w:r>
          </w:p>
        </w:tc>
        <w:tc>
          <w:tcPr>
            <w:tcW w:w="704" w:type="pct"/>
            <w:vAlign w:val="center"/>
          </w:tcPr>
          <w:p>
            <w:pPr>
              <w:spacing w:before="24" w:beforeLines="10" w:after="24" w:afterLines="10" w:line="240" w:lineRule="atLeast"/>
              <w:jc w:val="center"/>
              <w:rPr>
                <w:szCs w:val="21"/>
              </w:rPr>
            </w:pPr>
            <w:r>
              <w:rPr>
                <w:szCs w:val="21"/>
              </w:rPr>
              <w:t>控制值</w:t>
            </w:r>
          </w:p>
        </w:tc>
        <w:tc>
          <w:tcPr>
            <w:tcW w:w="1000" w:type="pct"/>
            <w:vAlign w:val="center"/>
          </w:tcPr>
          <w:p>
            <w:pPr>
              <w:spacing w:before="24" w:beforeLines="10" w:after="24" w:afterLines="10" w:line="240" w:lineRule="atLeast"/>
              <w:jc w:val="center"/>
              <w:rPr>
                <w:szCs w:val="21"/>
              </w:rPr>
            </w:pPr>
            <w:r>
              <w:rPr>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pPr>
              <w:spacing w:before="24" w:beforeLines="10" w:after="24" w:afterLines="10" w:line="240" w:lineRule="atLeast"/>
              <w:jc w:val="center"/>
              <w:rPr>
                <w:szCs w:val="21"/>
              </w:rPr>
            </w:pPr>
            <w:r>
              <w:rPr>
                <w:szCs w:val="21"/>
              </w:rPr>
              <w:t>1</w:t>
            </w:r>
          </w:p>
        </w:tc>
        <w:tc>
          <w:tcPr>
            <w:tcW w:w="1575" w:type="pct"/>
            <w:vAlign w:val="center"/>
          </w:tcPr>
          <w:p>
            <w:pPr>
              <w:spacing w:before="24" w:beforeLines="10" w:after="24" w:afterLines="10" w:line="240" w:lineRule="atLeast"/>
              <w:jc w:val="left"/>
              <w:rPr>
                <w:szCs w:val="21"/>
              </w:rPr>
            </w:pPr>
            <w:r>
              <w:rPr>
                <w:szCs w:val="21"/>
              </w:rPr>
              <w:t>连续墙深层水平位移(测斜)</w:t>
            </w:r>
          </w:p>
        </w:tc>
        <w:tc>
          <w:tcPr>
            <w:tcW w:w="1244" w:type="pct"/>
            <w:vAlign w:val="center"/>
          </w:tcPr>
          <w:p>
            <w:pPr>
              <w:spacing w:before="24" w:beforeLines="10" w:after="24" w:afterLines="10" w:line="240" w:lineRule="atLeast"/>
              <w:jc w:val="left"/>
              <w:rPr>
                <w:szCs w:val="21"/>
              </w:rPr>
            </w:pPr>
            <w:r>
              <w:rPr>
                <w:szCs w:val="21"/>
              </w:rPr>
              <w:t>20mm或每天连续发展3mm</w:t>
            </w:r>
          </w:p>
        </w:tc>
        <w:tc>
          <w:tcPr>
            <w:tcW w:w="704" w:type="pct"/>
            <w:vAlign w:val="center"/>
          </w:tcPr>
          <w:p>
            <w:pPr>
              <w:spacing w:before="24" w:beforeLines="10" w:after="24" w:afterLines="10" w:line="240" w:lineRule="atLeast"/>
              <w:jc w:val="center"/>
              <w:rPr>
                <w:szCs w:val="21"/>
              </w:rPr>
            </w:pPr>
            <w:r>
              <w:rPr>
                <w:szCs w:val="21"/>
              </w:rPr>
              <w:t>25mm</w:t>
            </w:r>
          </w:p>
        </w:tc>
        <w:tc>
          <w:tcPr>
            <w:tcW w:w="1000" w:type="pct"/>
            <w:vMerge w:val="restart"/>
            <w:vAlign w:val="center"/>
          </w:tcPr>
          <w:p>
            <w:pPr>
              <w:spacing w:before="24" w:beforeLines="10" w:after="24" w:afterLines="10" w:line="240" w:lineRule="atLeast"/>
              <w:jc w:val="left"/>
              <w:rPr>
                <w:szCs w:val="21"/>
              </w:rPr>
            </w:pPr>
            <w:r>
              <w:rPr>
                <w:szCs w:val="21"/>
              </w:rPr>
              <w:t>当出现GB50497-2009《建筑基坑工程监测技术规范》第8.0.</w:t>
            </w:r>
            <w:r>
              <w:rPr>
                <w:rFonts w:hint="eastAsia"/>
                <w:szCs w:val="21"/>
              </w:rPr>
              <w:t>9</w:t>
            </w:r>
            <w:r>
              <w:rPr>
                <w:szCs w:val="21"/>
              </w:rPr>
              <w:t>的情况时，均应报警并应采取应急措施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pPr>
              <w:spacing w:before="24" w:beforeLines="10" w:after="24" w:afterLines="10" w:line="240" w:lineRule="atLeast"/>
              <w:jc w:val="center"/>
              <w:rPr>
                <w:szCs w:val="21"/>
              </w:rPr>
            </w:pPr>
            <w:r>
              <w:rPr>
                <w:szCs w:val="21"/>
              </w:rPr>
              <w:t>2</w:t>
            </w:r>
          </w:p>
        </w:tc>
        <w:tc>
          <w:tcPr>
            <w:tcW w:w="1575" w:type="pct"/>
            <w:vAlign w:val="center"/>
          </w:tcPr>
          <w:p>
            <w:pPr>
              <w:spacing w:before="24" w:beforeLines="10" w:after="24" w:afterLines="10" w:line="240" w:lineRule="atLeast"/>
              <w:jc w:val="left"/>
              <w:rPr>
                <w:szCs w:val="21"/>
              </w:rPr>
            </w:pPr>
            <w:r>
              <w:rPr>
                <w:szCs w:val="21"/>
              </w:rPr>
              <w:t>连续墙的顶部水平位移</w:t>
            </w:r>
          </w:p>
        </w:tc>
        <w:tc>
          <w:tcPr>
            <w:tcW w:w="1244" w:type="pct"/>
            <w:vAlign w:val="center"/>
          </w:tcPr>
          <w:p>
            <w:pPr>
              <w:spacing w:before="24" w:beforeLines="10" w:after="24" w:afterLines="10" w:line="240" w:lineRule="atLeast"/>
              <w:jc w:val="left"/>
              <w:rPr>
                <w:szCs w:val="21"/>
              </w:rPr>
            </w:pPr>
            <w:r>
              <w:rPr>
                <w:szCs w:val="21"/>
              </w:rPr>
              <w:t>20mm或每天连续发展3mm</w:t>
            </w:r>
          </w:p>
        </w:tc>
        <w:tc>
          <w:tcPr>
            <w:tcW w:w="704" w:type="pct"/>
            <w:vAlign w:val="center"/>
          </w:tcPr>
          <w:p>
            <w:pPr>
              <w:spacing w:before="24" w:beforeLines="10" w:after="24" w:afterLines="10" w:line="240" w:lineRule="atLeast"/>
              <w:jc w:val="center"/>
              <w:rPr>
                <w:szCs w:val="21"/>
              </w:rPr>
            </w:pPr>
            <w:r>
              <w:rPr>
                <w:szCs w:val="21"/>
              </w:rPr>
              <w:t>25mm</w:t>
            </w:r>
          </w:p>
        </w:tc>
        <w:tc>
          <w:tcPr>
            <w:tcW w:w="1000" w:type="pct"/>
            <w:vMerge w:val="continue"/>
            <w:vAlign w:val="center"/>
          </w:tcPr>
          <w:p>
            <w:pPr>
              <w:spacing w:before="24" w:beforeLines="10" w:after="24" w:afterLines="10"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pPr>
              <w:spacing w:before="24" w:beforeLines="10" w:after="24" w:afterLines="10" w:line="240" w:lineRule="atLeast"/>
              <w:jc w:val="center"/>
              <w:rPr>
                <w:szCs w:val="21"/>
              </w:rPr>
            </w:pPr>
            <w:r>
              <w:rPr>
                <w:szCs w:val="21"/>
              </w:rPr>
              <w:t>3</w:t>
            </w:r>
          </w:p>
        </w:tc>
        <w:tc>
          <w:tcPr>
            <w:tcW w:w="1575" w:type="pct"/>
            <w:vAlign w:val="center"/>
          </w:tcPr>
          <w:p>
            <w:pPr>
              <w:spacing w:before="24" w:beforeLines="10" w:after="24" w:afterLines="10" w:line="240" w:lineRule="atLeast"/>
              <w:jc w:val="left"/>
              <w:rPr>
                <w:szCs w:val="21"/>
              </w:rPr>
            </w:pPr>
            <w:r>
              <w:rPr>
                <w:szCs w:val="21"/>
              </w:rPr>
              <w:t>连续墙的顶部竖向位移</w:t>
            </w:r>
          </w:p>
        </w:tc>
        <w:tc>
          <w:tcPr>
            <w:tcW w:w="1244" w:type="pct"/>
            <w:vAlign w:val="center"/>
          </w:tcPr>
          <w:p>
            <w:pPr>
              <w:spacing w:before="24" w:beforeLines="10" w:after="24" w:afterLines="10" w:line="240" w:lineRule="atLeast"/>
              <w:jc w:val="left"/>
              <w:rPr>
                <w:szCs w:val="21"/>
              </w:rPr>
            </w:pPr>
            <w:r>
              <w:rPr>
                <w:szCs w:val="21"/>
              </w:rPr>
              <w:t>16mm或每天连续发展3mm</w:t>
            </w:r>
          </w:p>
        </w:tc>
        <w:tc>
          <w:tcPr>
            <w:tcW w:w="704" w:type="pct"/>
            <w:vAlign w:val="center"/>
          </w:tcPr>
          <w:p>
            <w:pPr>
              <w:spacing w:before="24" w:beforeLines="10" w:after="24" w:afterLines="10" w:line="240" w:lineRule="atLeast"/>
              <w:jc w:val="center"/>
              <w:rPr>
                <w:szCs w:val="21"/>
              </w:rPr>
            </w:pPr>
            <w:r>
              <w:rPr>
                <w:szCs w:val="21"/>
              </w:rPr>
              <w:t>20mm</w:t>
            </w:r>
          </w:p>
        </w:tc>
        <w:tc>
          <w:tcPr>
            <w:tcW w:w="1000" w:type="pct"/>
            <w:vMerge w:val="continue"/>
            <w:vAlign w:val="center"/>
          </w:tcPr>
          <w:p>
            <w:pPr>
              <w:spacing w:before="24" w:beforeLines="10" w:after="24" w:afterLines="10"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pPr>
              <w:spacing w:before="24" w:beforeLines="10" w:after="24" w:afterLines="10" w:line="240" w:lineRule="atLeast"/>
              <w:jc w:val="center"/>
              <w:rPr>
                <w:szCs w:val="21"/>
              </w:rPr>
            </w:pPr>
            <w:r>
              <w:rPr>
                <w:szCs w:val="21"/>
              </w:rPr>
              <w:t>4</w:t>
            </w:r>
          </w:p>
        </w:tc>
        <w:tc>
          <w:tcPr>
            <w:tcW w:w="1575" w:type="pct"/>
            <w:vAlign w:val="center"/>
          </w:tcPr>
          <w:p>
            <w:pPr>
              <w:spacing w:before="24" w:beforeLines="10" w:after="24" w:afterLines="10" w:line="240" w:lineRule="atLeast"/>
              <w:jc w:val="left"/>
              <w:rPr>
                <w:szCs w:val="21"/>
              </w:rPr>
            </w:pPr>
            <w:r>
              <w:rPr>
                <w:szCs w:val="21"/>
              </w:rPr>
              <w:t>基坑周边地表沉降和位移</w:t>
            </w:r>
          </w:p>
        </w:tc>
        <w:tc>
          <w:tcPr>
            <w:tcW w:w="1244" w:type="pct"/>
            <w:vAlign w:val="center"/>
          </w:tcPr>
          <w:p>
            <w:pPr>
              <w:spacing w:before="24" w:beforeLines="10" w:after="24" w:afterLines="10" w:line="240" w:lineRule="atLeast"/>
              <w:jc w:val="left"/>
              <w:rPr>
                <w:szCs w:val="21"/>
              </w:rPr>
            </w:pPr>
            <w:r>
              <w:rPr>
                <w:szCs w:val="21"/>
              </w:rPr>
              <w:t>24mm或每天连续发展3mm</w:t>
            </w:r>
          </w:p>
        </w:tc>
        <w:tc>
          <w:tcPr>
            <w:tcW w:w="704" w:type="pct"/>
            <w:vAlign w:val="center"/>
          </w:tcPr>
          <w:p>
            <w:pPr>
              <w:spacing w:before="24" w:beforeLines="10" w:after="24" w:afterLines="10" w:line="240" w:lineRule="atLeast"/>
              <w:jc w:val="center"/>
              <w:rPr>
                <w:szCs w:val="21"/>
              </w:rPr>
            </w:pPr>
            <w:r>
              <w:rPr>
                <w:szCs w:val="21"/>
              </w:rPr>
              <w:t>30mm</w:t>
            </w:r>
          </w:p>
        </w:tc>
        <w:tc>
          <w:tcPr>
            <w:tcW w:w="1000" w:type="pct"/>
            <w:vMerge w:val="continue"/>
            <w:vAlign w:val="center"/>
          </w:tcPr>
          <w:p>
            <w:pPr>
              <w:spacing w:before="24" w:beforeLines="10" w:after="24" w:afterLines="10"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pPr>
              <w:spacing w:before="24" w:beforeLines="10" w:after="24" w:afterLines="10" w:line="240" w:lineRule="atLeast"/>
              <w:jc w:val="center"/>
              <w:rPr>
                <w:szCs w:val="21"/>
              </w:rPr>
            </w:pPr>
            <w:r>
              <w:rPr>
                <w:szCs w:val="21"/>
              </w:rPr>
              <w:t>5</w:t>
            </w:r>
          </w:p>
        </w:tc>
        <w:tc>
          <w:tcPr>
            <w:tcW w:w="1575" w:type="pct"/>
            <w:vAlign w:val="center"/>
          </w:tcPr>
          <w:p>
            <w:pPr>
              <w:spacing w:before="24" w:beforeLines="10" w:after="24" w:afterLines="10" w:line="240" w:lineRule="atLeast"/>
              <w:jc w:val="left"/>
              <w:rPr>
                <w:szCs w:val="21"/>
              </w:rPr>
            </w:pPr>
            <w:r>
              <w:rPr>
                <w:szCs w:val="21"/>
              </w:rPr>
              <w:t>地下水位</w:t>
            </w:r>
          </w:p>
        </w:tc>
        <w:tc>
          <w:tcPr>
            <w:tcW w:w="1244" w:type="pct"/>
            <w:vAlign w:val="center"/>
          </w:tcPr>
          <w:p>
            <w:pPr>
              <w:spacing w:before="24" w:beforeLines="10" w:after="24" w:afterLines="10" w:line="240" w:lineRule="atLeast"/>
              <w:jc w:val="left"/>
              <w:rPr>
                <w:szCs w:val="21"/>
              </w:rPr>
            </w:pPr>
            <w:r>
              <w:rPr>
                <w:szCs w:val="21"/>
              </w:rPr>
              <w:t>1000mm或每天连续发展500mm</w:t>
            </w:r>
          </w:p>
        </w:tc>
        <w:tc>
          <w:tcPr>
            <w:tcW w:w="704" w:type="pct"/>
            <w:vAlign w:val="center"/>
          </w:tcPr>
          <w:p>
            <w:pPr>
              <w:spacing w:before="24" w:beforeLines="10" w:after="24" w:afterLines="10" w:line="240" w:lineRule="atLeast"/>
              <w:jc w:val="center"/>
              <w:rPr>
                <w:szCs w:val="21"/>
              </w:rPr>
            </w:pPr>
            <w:r>
              <w:rPr>
                <w:szCs w:val="21"/>
              </w:rPr>
              <w:t>1500mm</w:t>
            </w:r>
          </w:p>
        </w:tc>
        <w:tc>
          <w:tcPr>
            <w:tcW w:w="1000" w:type="pct"/>
            <w:vMerge w:val="continue"/>
            <w:vAlign w:val="center"/>
          </w:tcPr>
          <w:p>
            <w:pPr>
              <w:spacing w:before="24" w:beforeLines="10" w:after="24" w:afterLines="10"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pPr>
              <w:spacing w:before="24" w:beforeLines="10" w:after="24" w:afterLines="10" w:line="240" w:lineRule="atLeast"/>
              <w:jc w:val="center"/>
              <w:rPr>
                <w:szCs w:val="21"/>
              </w:rPr>
            </w:pPr>
            <w:r>
              <w:rPr>
                <w:szCs w:val="21"/>
              </w:rPr>
              <w:t>6</w:t>
            </w:r>
          </w:p>
        </w:tc>
        <w:tc>
          <w:tcPr>
            <w:tcW w:w="1575" w:type="pct"/>
            <w:vAlign w:val="center"/>
          </w:tcPr>
          <w:p>
            <w:pPr>
              <w:spacing w:before="24" w:beforeLines="10" w:after="24" w:afterLines="10" w:line="240" w:lineRule="atLeast"/>
              <w:jc w:val="left"/>
              <w:rPr>
                <w:szCs w:val="21"/>
              </w:rPr>
            </w:pPr>
            <w:r>
              <w:rPr>
                <w:szCs w:val="21"/>
              </w:rPr>
              <w:t>支撑轴力</w:t>
            </w:r>
          </w:p>
        </w:tc>
        <w:tc>
          <w:tcPr>
            <w:tcW w:w="1244" w:type="pct"/>
            <w:vAlign w:val="center"/>
          </w:tcPr>
          <w:p>
            <w:pPr>
              <w:spacing w:before="24" w:beforeLines="10" w:after="24" w:afterLines="10" w:line="240" w:lineRule="atLeast"/>
              <w:jc w:val="left"/>
              <w:rPr>
                <w:szCs w:val="21"/>
              </w:rPr>
            </w:pPr>
            <w:r>
              <w:rPr>
                <w:szCs w:val="21"/>
              </w:rPr>
              <w:t>支撑轴力设计值的70%</w:t>
            </w:r>
          </w:p>
        </w:tc>
        <w:tc>
          <w:tcPr>
            <w:tcW w:w="704" w:type="pct"/>
            <w:vAlign w:val="center"/>
          </w:tcPr>
          <w:p>
            <w:pPr>
              <w:spacing w:before="24" w:beforeLines="10" w:after="24" w:afterLines="10" w:line="240" w:lineRule="atLeast"/>
              <w:jc w:val="center"/>
              <w:rPr>
                <w:szCs w:val="21"/>
              </w:rPr>
            </w:pPr>
          </w:p>
        </w:tc>
        <w:tc>
          <w:tcPr>
            <w:tcW w:w="1000" w:type="pct"/>
            <w:vMerge w:val="continue"/>
            <w:vAlign w:val="center"/>
          </w:tcPr>
          <w:p>
            <w:pPr>
              <w:spacing w:before="24" w:beforeLines="10" w:after="24" w:afterLines="10" w:line="240" w:lineRule="atLeast"/>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pPr>
              <w:spacing w:before="24" w:beforeLines="10" w:after="24" w:afterLines="10" w:line="240" w:lineRule="atLeast"/>
              <w:jc w:val="center"/>
              <w:rPr>
                <w:szCs w:val="21"/>
              </w:rPr>
            </w:pPr>
            <w:r>
              <w:rPr>
                <w:szCs w:val="21"/>
              </w:rPr>
              <w:t>7</w:t>
            </w:r>
          </w:p>
        </w:tc>
        <w:tc>
          <w:tcPr>
            <w:tcW w:w="1575" w:type="pct"/>
            <w:vAlign w:val="center"/>
          </w:tcPr>
          <w:p>
            <w:pPr>
              <w:spacing w:before="24" w:beforeLines="10" w:after="24" w:afterLines="10" w:line="240" w:lineRule="atLeast"/>
              <w:jc w:val="left"/>
              <w:rPr>
                <w:szCs w:val="21"/>
              </w:rPr>
            </w:pPr>
            <w:r>
              <w:rPr>
                <w:szCs w:val="21"/>
              </w:rPr>
              <w:t>墙体内力</w:t>
            </w:r>
          </w:p>
        </w:tc>
        <w:tc>
          <w:tcPr>
            <w:tcW w:w="1244" w:type="pct"/>
            <w:vAlign w:val="center"/>
          </w:tcPr>
          <w:p>
            <w:pPr>
              <w:spacing w:before="24" w:beforeLines="10" w:after="24" w:afterLines="10" w:line="240" w:lineRule="atLeast"/>
              <w:jc w:val="left"/>
              <w:rPr>
                <w:szCs w:val="21"/>
              </w:rPr>
            </w:pPr>
            <w:r>
              <w:rPr>
                <w:szCs w:val="21"/>
              </w:rPr>
              <w:t>钢筋应力达到252MPa</w:t>
            </w:r>
          </w:p>
        </w:tc>
        <w:tc>
          <w:tcPr>
            <w:tcW w:w="704" w:type="pct"/>
            <w:vAlign w:val="center"/>
          </w:tcPr>
          <w:p>
            <w:pPr>
              <w:spacing w:before="24" w:beforeLines="10" w:after="24" w:afterLines="10" w:line="240" w:lineRule="atLeast"/>
              <w:jc w:val="center"/>
              <w:rPr>
                <w:szCs w:val="21"/>
              </w:rPr>
            </w:pPr>
          </w:p>
        </w:tc>
        <w:tc>
          <w:tcPr>
            <w:tcW w:w="1000" w:type="pct"/>
            <w:vMerge w:val="continue"/>
            <w:vAlign w:val="center"/>
          </w:tcPr>
          <w:p>
            <w:pPr>
              <w:spacing w:before="24" w:beforeLines="10" w:after="24" w:afterLines="10" w:line="240" w:lineRule="atLeast"/>
              <w:jc w:val="center"/>
              <w:rPr>
                <w:szCs w:val="21"/>
              </w:rPr>
            </w:pPr>
          </w:p>
        </w:tc>
      </w:tr>
    </w:tbl>
    <w:p>
      <w:bookmarkStart w:id="583" w:name="_Toc15952"/>
      <w:r>
        <w:rPr>
          <w:rFonts w:hint="eastAsia"/>
        </w:rPr>
        <w:t>注：各个基坑的监测项目和监测预警值在施工图阶段根据实际情况进行调整。</w:t>
      </w:r>
    </w:p>
    <w:p/>
    <w:p>
      <w:pPr>
        <w:pStyle w:val="5"/>
        <w:snapToGrid w:val="0"/>
        <w:spacing w:before="0" w:after="0" w:line="500" w:lineRule="atLeast"/>
        <w:jc w:val="both"/>
        <w:rPr>
          <w:szCs w:val="24"/>
        </w:rPr>
      </w:pPr>
      <w:bookmarkStart w:id="584" w:name="_Toc118821527"/>
      <w:bookmarkStart w:id="653" w:name="_GoBack"/>
      <w:bookmarkEnd w:id="653"/>
      <w:r>
        <w:rPr>
          <w:szCs w:val="24"/>
        </w:rPr>
        <w:t>5.1.</w:t>
      </w:r>
      <w:r>
        <w:rPr>
          <w:rFonts w:hint="eastAsia"/>
          <w:szCs w:val="24"/>
          <w:lang w:val="en-US"/>
        </w:rPr>
        <w:t>4</w:t>
      </w:r>
      <w:r>
        <w:rPr>
          <w:rFonts w:hint="eastAsia"/>
          <w:szCs w:val="24"/>
        </w:rPr>
        <w:t xml:space="preserve">  施工期隧洞变形监测</w:t>
      </w:r>
      <w:bookmarkEnd w:id="583"/>
      <w:bookmarkEnd w:id="584"/>
    </w:p>
    <w:p>
      <w:pPr>
        <w:pStyle w:val="275"/>
        <w:spacing w:line="500" w:lineRule="atLeast"/>
        <w:ind w:firstLine="480" w:firstLineChars="200"/>
      </w:pPr>
      <w:r>
        <w:rPr>
          <w:rFonts w:hint="eastAsia"/>
        </w:rPr>
        <w:t>主</w:t>
      </w:r>
      <w:r>
        <w:rPr>
          <w:rFonts w:hint="eastAsia"/>
          <w:lang w:val="zh-CN"/>
        </w:rPr>
        <w:t>隧洞</w:t>
      </w:r>
      <w:r>
        <w:rPr>
          <w:rFonts w:hint="eastAsia"/>
        </w:rPr>
        <w:t>和施工支洞</w:t>
      </w:r>
      <w:r>
        <w:rPr>
          <w:rFonts w:hint="eastAsia"/>
          <w:lang w:val="zh-CN"/>
        </w:rPr>
        <w:t>内收敛变形为施工期的监测项目，利用土建施工单位埋设的测点进行复测，</w:t>
      </w:r>
      <w:r>
        <w:rPr>
          <w:rFonts w:hint="eastAsia"/>
        </w:rPr>
        <w:t>复测频次为1次/月。</w:t>
      </w:r>
    </w:p>
    <w:p>
      <w:pPr>
        <w:adjustRightInd w:val="0"/>
        <w:snapToGrid w:val="0"/>
        <w:spacing w:line="480" w:lineRule="exact"/>
        <w:ind w:firstLine="480" w:firstLineChars="200"/>
        <w:rPr>
          <w:sz w:val="24"/>
        </w:rPr>
      </w:pPr>
      <w:r>
        <w:rPr>
          <w:sz w:val="24"/>
        </w:rPr>
        <w:t>必要时，监测单</w:t>
      </w:r>
      <w:r>
        <w:rPr>
          <w:sz w:val="24"/>
          <w:highlight w:val="none"/>
        </w:rPr>
        <w:t>位有权</w:t>
      </w:r>
      <w:r>
        <w:rPr>
          <w:rFonts w:hint="eastAsia"/>
          <w:sz w:val="24"/>
          <w:highlight w:val="none"/>
        </w:rPr>
        <w:t>要求</w:t>
      </w:r>
      <w:r>
        <w:rPr>
          <w:sz w:val="24"/>
          <w:highlight w:val="none"/>
        </w:rPr>
        <w:t>施工单位停</w:t>
      </w:r>
      <w:r>
        <w:rPr>
          <w:sz w:val="24"/>
        </w:rPr>
        <w:t>止施工</w:t>
      </w:r>
      <w:r>
        <w:rPr>
          <w:rFonts w:hint="eastAsia"/>
          <w:sz w:val="24"/>
        </w:rPr>
        <w:t>以确保</w:t>
      </w:r>
      <w:r>
        <w:rPr>
          <w:sz w:val="24"/>
        </w:rPr>
        <w:t>安全。还应根据实际情况和监理人指示，适当调整监测频次。</w:t>
      </w:r>
    </w:p>
    <w:p>
      <w:pPr>
        <w:pStyle w:val="5"/>
        <w:spacing w:before="240"/>
      </w:pPr>
      <w:bookmarkStart w:id="585" w:name="_Toc12546527"/>
      <w:bookmarkStart w:id="586" w:name="_Toc118821528"/>
      <w:bookmarkStart w:id="587" w:name="_Hlk118817067"/>
      <w:r>
        <w:rPr>
          <w:rFonts w:hint="eastAsia"/>
        </w:rPr>
        <w:t>5.1.</w:t>
      </w:r>
      <w:r>
        <w:t>5</w:t>
      </w:r>
      <w:r>
        <w:rPr>
          <w:rFonts w:hint="eastAsia"/>
        </w:rPr>
        <w:t xml:space="preserve"> 隧洞施工期地面建（构）筑物变形</w:t>
      </w:r>
      <w:r>
        <w:t>监测</w:t>
      </w:r>
      <w:bookmarkEnd w:id="585"/>
      <w:bookmarkEnd w:id="586"/>
    </w:p>
    <w:p>
      <w:pPr>
        <w:adjustRightInd w:val="0"/>
        <w:snapToGrid w:val="0"/>
        <w:spacing w:line="360" w:lineRule="auto"/>
        <w:ind w:firstLine="480" w:firstLineChars="200"/>
        <w:rPr>
          <w:sz w:val="24"/>
        </w:rPr>
      </w:pPr>
      <w:r>
        <w:rPr>
          <w:rFonts w:hint="eastAsia"/>
          <w:sz w:val="24"/>
        </w:rPr>
        <w:t>隧洞开挖过程中应对沿线监测范围内的地面建（构）筑物进行变形监测，</w:t>
      </w:r>
      <w:r>
        <w:rPr>
          <w:sz w:val="24"/>
        </w:rPr>
        <w:t>变形监测数据的采集频次见表5.1-4。必要时，还应根据实际情况和监理人指示，适当调整监测频次。</w:t>
      </w:r>
      <w:r>
        <w:rPr>
          <w:rFonts w:hint="eastAsia"/>
          <w:sz w:val="24"/>
        </w:rPr>
        <w:t xml:space="preserve"> </w:t>
      </w:r>
    </w:p>
    <w:p>
      <w:pPr>
        <w:adjustRightInd w:val="0"/>
        <w:snapToGrid w:val="0"/>
        <w:jc w:val="center"/>
        <w:rPr>
          <w:sz w:val="24"/>
        </w:rPr>
      </w:pPr>
      <w:r>
        <w:rPr>
          <w:rFonts w:hint="eastAsia"/>
          <w:sz w:val="24"/>
        </w:rPr>
        <w:t>表5.1-4  施工期地面</w:t>
      </w:r>
      <w:r>
        <w:rPr>
          <w:sz w:val="24"/>
        </w:rPr>
        <w:t>建</w:t>
      </w:r>
      <w:r>
        <w:rPr>
          <w:rFonts w:hint="eastAsia"/>
          <w:sz w:val="24"/>
        </w:rPr>
        <w:t>（构）筑</w:t>
      </w:r>
      <w:r>
        <w:rPr>
          <w:sz w:val="24"/>
        </w:rPr>
        <w:t>物监测频</w:t>
      </w:r>
      <w:r>
        <w:rPr>
          <w:rFonts w:hint="eastAsia"/>
          <w:sz w:val="24"/>
        </w:rPr>
        <w:t>次表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3402"/>
        <w:gridCol w:w="2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spacing w:before="120" w:beforeLines="50"/>
              <w:rPr>
                <w:rFonts w:ascii="Calibri" w:hAnsi="Calibri"/>
                <w:szCs w:val="21"/>
              </w:rPr>
            </w:pPr>
            <w:r>
              <w:rPr>
                <w:rFonts w:hint="eastAsia" w:ascii="Calibri" w:hAnsi="Calibri"/>
                <w:szCs w:val="21"/>
              </w:rPr>
              <w:t>监测部位</w:t>
            </w:r>
          </w:p>
        </w:tc>
        <w:tc>
          <w:tcPr>
            <w:tcW w:w="3402" w:type="dxa"/>
          </w:tcPr>
          <w:p>
            <w:pPr>
              <w:spacing w:before="120" w:beforeLines="50"/>
              <w:rPr>
                <w:rFonts w:ascii="Calibri" w:hAnsi="Calibri"/>
                <w:szCs w:val="21"/>
              </w:rPr>
            </w:pPr>
            <w:r>
              <w:rPr>
                <w:rFonts w:hint="eastAsia" w:ascii="Calibri" w:hAnsi="Calibri"/>
                <w:szCs w:val="21"/>
              </w:rPr>
              <w:t>开挖面至监测点或监测断面的距离</w:t>
            </w:r>
          </w:p>
        </w:tc>
        <w:tc>
          <w:tcPr>
            <w:tcW w:w="2942" w:type="dxa"/>
          </w:tcPr>
          <w:p>
            <w:pPr>
              <w:spacing w:before="120" w:beforeLines="50"/>
              <w:rPr>
                <w:rFonts w:ascii="Calibri" w:hAnsi="Calibri"/>
                <w:szCs w:val="21"/>
              </w:rPr>
            </w:pPr>
            <w:r>
              <w:rPr>
                <w:rFonts w:hint="eastAsia" w:ascii="Calibri" w:hAnsi="Calibri"/>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spacing w:before="120" w:beforeLines="50"/>
              <w:rPr>
                <w:rFonts w:ascii="Calibri" w:hAnsi="Calibri"/>
                <w:szCs w:val="21"/>
              </w:rPr>
            </w:pPr>
            <w:r>
              <w:rPr>
                <w:rFonts w:hint="eastAsia" w:ascii="Calibri" w:hAnsi="Calibri"/>
                <w:szCs w:val="21"/>
              </w:rPr>
              <w:t>开挖面前方</w:t>
            </w:r>
          </w:p>
        </w:tc>
        <w:tc>
          <w:tcPr>
            <w:tcW w:w="3402" w:type="dxa"/>
          </w:tcPr>
          <w:p>
            <w:pPr>
              <w:spacing w:before="120" w:beforeLines="50"/>
              <w:rPr>
                <w:rFonts w:ascii="Calibri" w:hAnsi="Calibri"/>
                <w:szCs w:val="21"/>
              </w:rPr>
            </w:pPr>
            <w:r>
              <w:rPr>
                <w:rFonts w:hint="eastAsia" w:ascii="Calibri" w:hAnsi="Calibri"/>
                <w:szCs w:val="21"/>
              </w:rPr>
              <w:t>L＞8D</w:t>
            </w:r>
          </w:p>
        </w:tc>
        <w:tc>
          <w:tcPr>
            <w:tcW w:w="2942" w:type="dxa"/>
          </w:tcPr>
          <w:p>
            <w:pPr>
              <w:spacing w:before="120" w:beforeLines="50"/>
              <w:rPr>
                <w:rFonts w:ascii="Calibri" w:hAnsi="Calibri"/>
                <w:szCs w:val="21"/>
              </w:rPr>
            </w:pPr>
            <w:r>
              <w:rPr>
                <w:rFonts w:hint="eastAsia" w:ascii="Calibri" w:hAnsi="Calibri" w:cs="宋体"/>
                <w:kern w:val="0"/>
                <w:szCs w:val="21"/>
              </w:rPr>
              <w:t>埋设好测点，读好初始读数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spacing w:before="120" w:beforeLines="50"/>
              <w:rPr>
                <w:rFonts w:ascii="Calibri" w:hAnsi="Calibri"/>
                <w:szCs w:val="21"/>
              </w:rPr>
            </w:pPr>
            <w:r>
              <w:rPr>
                <w:rFonts w:hint="eastAsia" w:ascii="Calibri" w:hAnsi="Calibri"/>
                <w:szCs w:val="21"/>
              </w:rPr>
              <w:t>开挖面前方</w:t>
            </w:r>
          </w:p>
        </w:tc>
        <w:tc>
          <w:tcPr>
            <w:tcW w:w="3402" w:type="dxa"/>
          </w:tcPr>
          <w:p>
            <w:pPr>
              <w:spacing w:before="120" w:beforeLines="50"/>
              <w:rPr>
                <w:rFonts w:ascii="Calibri" w:hAnsi="Calibri"/>
                <w:szCs w:val="21"/>
              </w:rPr>
            </w:pPr>
            <w:r>
              <w:rPr>
                <w:rFonts w:hint="eastAsia" w:ascii="Calibri" w:hAnsi="Calibri"/>
                <w:szCs w:val="21"/>
              </w:rPr>
              <w:t>5D＜L≤</w:t>
            </w:r>
            <w:r>
              <w:rPr>
                <w:rFonts w:ascii="Calibri" w:hAnsi="Calibri"/>
                <w:szCs w:val="21"/>
              </w:rPr>
              <w:t>8</w:t>
            </w:r>
            <w:r>
              <w:rPr>
                <w:rFonts w:hint="eastAsia" w:ascii="Calibri" w:hAnsi="Calibri"/>
                <w:szCs w:val="21"/>
              </w:rPr>
              <w:t>D</w:t>
            </w:r>
          </w:p>
        </w:tc>
        <w:tc>
          <w:tcPr>
            <w:tcW w:w="2942" w:type="dxa"/>
          </w:tcPr>
          <w:p>
            <w:pPr>
              <w:spacing w:before="120" w:beforeLines="50"/>
              <w:rPr>
                <w:rFonts w:ascii="Calibri" w:hAnsi="Calibri"/>
                <w:szCs w:val="21"/>
              </w:rPr>
            </w:pPr>
            <w:r>
              <w:rPr>
                <w:rFonts w:hint="eastAsia" w:ascii="Calibri" w:hAnsi="Calibri"/>
                <w:szCs w:val="21"/>
              </w:rPr>
              <w:t>1次/（3</w:t>
            </w:r>
            <w:r>
              <w:rPr>
                <w:rFonts w:ascii="Calibri" w:hAnsi="Calibri"/>
                <w:szCs w:val="21"/>
              </w:rPr>
              <w:t>d~5d</w:t>
            </w:r>
            <w:r>
              <w:rPr>
                <w:rFonts w:hint="eastAsia" w:ascii="Calibri" w:hAnsi="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spacing w:before="120" w:beforeLines="50"/>
              <w:rPr>
                <w:rFonts w:ascii="Calibri" w:hAnsi="Calibri"/>
                <w:szCs w:val="21"/>
              </w:rPr>
            </w:pPr>
            <w:r>
              <w:rPr>
                <w:rFonts w:hint="eastAsia" w:ascii="Calibri" w:hAnsi="Calibri"/>
                <w:szCs w:val="21"/>
              </w:rPr>
              <w:t>开挖面前方</w:t>
            </w:r>
          </w:p>
        </w:tc>
        <w:tc>
          <w:tcPr>
            <w:tcW w:w="3402" w:type="dxa"/>
          </w:tcPr>
          <w:p>
            <w:pPr>
              <w:spacing w:before="120" w:beforeLines="50"/>
              <w:rPr>
                <w:rFonts w:ascii="Calibri" w:hAnsi="Calibri"/>
                <w:szCs w:val="21"/>
              </w:rPr>
            </w:pPr>
            <w:r>
              <w:rPr>
                <w:rFonts w:ascii="Calibri" w:hAnsi="Calibri"/>
                <w:szCs w:val="21"/>
              </w:rPr>
              <w:t>3</w:t>
            </w:r>
            <w:r>
              <w:rPr>
                <w:rFonts w:hint="eastAsia" w:ascii="Calibri" w:hAnsi="Calibri"/>
                <w:szCs w:val="21"/>
              </w:rPr>
              <w:t>D＜L≤</w:t>
            </w:r>
            <w:r>
              <w:rPr>
                <w:rFonts w:ascii="Calibri" w:hAnsi="Calibri"/>
                <w:szCs w:val="21"/>
              </w:rPr>
              <w:t>5</w:t>
            </w:r>
            <w:r>
              <w:rPr>
                <w:rFonts w:hint="eastAsia" w:ascii="Calibri" w:hAnsi="Calibri"/>
                <w:szCs w:val="21"/>
              </w:rPr>
              <w:t>D</w:t>
            </w:r>
          </w:p>
        </w:tc>
        <w:tc>
          <w:tcPr>
            <w:tcW w:w="2942" w:type="dxa"/>
          </w:tcPr>
          <w:p>
            <w:pPr>
              <w:spacing w:before="120" w:beforeLines="50"/>
              <w:rPr>
                <w:rFonts w:ascii="Calibri" w:hAnsi="Calibri"/>
                <w:szCs w:val="21"/>
              </w:rPr>
            </w:pPr>
            <w:r>
              <w:rPr>
                <w:rFonts w:hint="eastAsia" w:ascii="Calibri" w:hAnsi="Calibri"/>
                <w:szCs w:val="21"/>
              </w:rPr>
              <w:t>1次/</w:t>
            </w:r>
            <w:r>
              <w:rPr>
                <w:rFonts w:ascii="Calibri" w:hAnsi="Calibri"/>
                <w:szCs w:val="21"/>
              </w:rPr>
              <w:t>2</w:t>
            </w:r>
            <w:r>
              <w:rPr>
                <w:rFonts w:hint="eastAsia" w:ascii="Calibri" w:hAnsi="Calibri"/>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spacing w:before="120" w:beforeLines="50"/>
              <w:rPr>
                <w:rFonts w:ascii="Calibri" w:hAnsi="Calibri"/>
                <w:szCs w:val="21"/>
              </w:rPr>
            </w:pPr>
            <w:r>
              <w:rPr>
                <w:rFonts w:hint="eastAsia" w:ascii="Calibri" w:hAnsi="Calibri"/>
                <w:szCs w:val="21"/>
              </w:rPr>
              <w:t>开挖面前方</w:t>
            </w:r>
          </w:p>
        </w:tc>
        <w:tc>
          <w:tcPr>
            <w:tcW w:w="3402" w:type="dxa"/>
          </w:tcPr>
          <w:p>
            <w:pPr>
              <w:spacing w:before="120" w:beforeLines="50"/>
              <w:rPr>
                <w:rFonts w:ascii="Calibri" w:hAnsi="Calibri"/>
                <w:szCs w:val="21"/>
              </w:rPr>
            </w:pPr>
            <w:r>
              <w:rPr>
                <w:rFonts w:hint="eastAsia" w:ascii="Calibri" w:hAnsi="Calibri"/>
                <w:szCs w:val="21"/>
              </w:rPr>
              <w:t>L≤</w:t>
            </w:r>
            <w:r>
              <w:rPr>
                <w:rFonts w:ascii="Calibri" w:hAnsi="Calibri"/>
                <w:szCs w:val="21"/>
              </w:rPr>
              <w:t>3</w:t>
            </w:r>
            <w:r>
              <w:rPr>
                <w:rFonts w:hint="eastAsia" w:ascii="Calibri" w:hAnsi="Calibri"/>
                <w:szCs w:val="21"/>
              </w:rPr>
              <w:t>D</w:t>
            </w:r>
          </w:p>
        </w:tc>
        <w:tc>
          <w:tcPr>
            <w:tcW w:w="2942" w:type="dxa"/>
          </w:tcPr>
          <w:p>
            <w:pPr>
              <w:spacing w:before="120" w:beforeLines="50"/>
              <w:rPr>
                <w:rFonts w:ascii="Calibri" w:hAnsi="Calibri"/>
                <w:szCs w:val="21"/>
              </w:rPr>
            </w:pPr>
            <w:r>
              <w:rPr>
                <w:rFonts w:hint="eastAsia" w:ascii="Calibri" w:hAnsi="Calibri"/>
                <w:szCs w:val="21"/>
              </w:rPr>
              <w:t>1次/</w:t>
            </w:r>
            <w:r>
              <w:rPr>
                <w:rFonts w:ascii="Calibri" w:hAnsi="Calibri"/>
                <w:szCs w:val="21"/>
              </w:rPr>
              <w:t>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spacing w:before="120" w:beforeLines="50"/>
              <w:rPr>
                <w:rFonts w:ascii="Calibri" w:hAnsi="Calibri"/>
                <w:szCs w:val="21"/>
              </w:rPr>
            </w:pPr>
            <w:r>
              <w:rPr>
                <w:rFonts w:hint="eastAsia" w:ascii="Calibri" w:hAnsi="Calibri"/>
                <w:szCs w:val="21"/>
              </w:rPr>
              <w:t>开挖面后方</w:t>
            </w:r>
          </w:p>
        </w:tc>
        <w:tc>
          <w:tcPr>
            <w:tcW w:w="3402" w:type="dxa"/>
          </w:tcPr>
          <w:p>
            <w:pPr>
              <w:spacing w:before="120" w:beforeLines="50"/>
              <w:rPr>
                <w:rFonts w:ascii="Calibri" w:hAnsi="Calibri"/>
                <w:szCs w:val="21"/>
              </w:rPr>
            </w:pPr>
            <w:r>
              <w:rPr>
                <w:rFonts w:hint="eastAsia" w:ascii="Calibri" w:hAnsi="Calibri"/>
                <w:szCs w:val="21"/>
              </w:rPr>
              <w:t>L≤</w:t>
            </w:r>
            <w:r>
              <w:rPr>
                <w:rFonts w:ascii="Calibri" w:hAnsi="Calibri"/>
                <w:szCs w:val="21"/>
              </w:rPr>
              <w:t>3</w:t>
            </w:r>
            <w:r>
              <w:rPr>
                <w:rFonts w:hint="eastAsia" w:ascii="Calibri" w:hAnsi="Calibri"/>
                <w:szCs w:val="21"/>
              </w:rPr>
              <w:t>D</w:t>
            </w:r>
          </w:p>
        </w:tc>
        <w:tc>
          <w:tcPr>
            <w:tcW w:w="2942" w:type="dxa"/>
          </w:tcPr>
          <w:p>
            <w:pPr>
              <w:spacing w:before="120" w:beforeLines="50"/>
              <w:rPr>
                <w:rFonts w:ascii="Calibri" w:hAnsi="Calibri"/>
                <w:szCs w:val="21"/>
              </w:rPr>
            </w:pPr>
            <w:r>
              <w:rPr>
                <w:rFonts w:hint="eastAsia" w:ascii="Calibri" w:hAnsi="Calibri"/>
                <w:szCs w:val="21"/>
              </w:rPr>
              <w:t>（1次~</w:t>
            </w:r>
            <w:r>
              <w:rPr>
                <w:rFonts w:ascii="Calibri" w:hAnsi="Calibri"/>
                <w:szCs w:val="21"/>
              </w:rPr>
              <w:t>2</w:t>
            </w:r>
            <w:r>
              <w:rPr>
                <w:rFonts w:hint="eastAsia" w:ascii="Calibri" w:hAnsi="Calibri"/>
                <w:szCs w:val="21"/>
              </w:rPr>
              <w:t>次）/</w:t>
            </w:r>
            <w:r>
              <w:rPr>
                <w:rFonts w:ascii="Calibri" w:hAnsi="Calibri"/>
                <w:szCs w:val="21"/>
              </w:rPr>
              <w:t>1d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spacing w:before="120" w:beforeLines="50"/>
              <w:rPr>
                <w:rFonts w:ascii="Calibri" w:hAnsi="Calibri"/>
                <w:szCs w:val="21"/>
              </w:rPr>
            </w:pPr>
            <w:r>
              <w:rPr>
                <w:rFonts w:hint="eastAsia" w:ascii="Calibri" w:hAnsi="Calibri"/>
                <w:szCs w:val="21"/>
              </w:rPr>
              <w:t>开挖面后方</w:t>
            </w:r>
          </w:p>
        </w:tc>
        <w:tc>
          <w:tcPr>
            <w:tcW w:w="3402" w:type="dxa"/>
          </w:tcPr>
          <w:p>
            <w:pPr>
              <w:spacing w:before="120" w:beforeLines="50"/>
              <w:rPr>
                <w:rFonts w:ascii="Calibri" w:hAnsi="Calibri"/>
                <w:szCs w:val="21"/>
              </w:rPr>
            </w:pPr>
            <w:r>
              <w:rPr>
                <w:rFonts w:ascii="Calibri" w:hAnsi="Calibri"/>
                <w:szCs w:val="21"/>
              </w:rPr>
              <w:t>3</w:t>
            </w:r>
            <w:r>
              <w:rPr>
                <w:rFonts w:hint="eastAsia" w:ascii="Calibri" w:hAnsi="Calibri"/>
                <w:szCs w:val="21"/>
              </w:rPr>
              <w:t>D＜L≤</w:t>
            </w:r>
            <w:r>
              <w:rPr>
                <w:rFonts w:ascii="Calibri" w:hAnsi="Calibri"/>
                <w:szCs w:val="21"/>
              </w:rPr>
              <w:t>8</w:t>
            </w:r>
            <w:r>
              <w:rPr>
                <w:rFonts w:hint="eastAsia" w:ascii="Calibri" w:hAnsi="Calibri"/>
                <w:szCs w:val="21"/>
              </w:rPr>
              <w:t>D</w:t>
            </w:r>
          </w:p>
        </w:tc>
        <w:tc>
          <w:tcPr>
            <w:tcW w:w="2942" w:type="dxa"/>
          </w:tcPr>
          <w:p>
            <w:pPr>
              <w:spacing w:before="120" w:beforeLines="50"/>
              <w:rPr>
                <w:rFonts w:ascii="Calibri" w:hAnsi="Calibri"/>
                <w:szCs w:val="21"/>
              </w:rPr>
            </w:pPr>
            <w:r>
              <w:rPr>
                <w:rFonts w:hint="eastAsia" w:ascii="Calibri" w:hAnsi="Calibri"/>
                <w:szCs w:val="21"/>
              </w:rPr>
              <w:t>1次/（1</w:t>
            </w:r>
            <w:r>
              <w:rPr>
                <w:rFonts w:ascii="Calibri" w:hAnsi="Calibri"/>
                <w:szCs w:val="21"/>
              </w:rPr>
              <w:t>d~2d</w:t>
            </w:r>
            <w:r>
              <w:rPr>
                <w:rFonts w:hint="eastAsia" w:ascii="Calibri" w:hAnsi="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spacing w:before="120" w:beforeLines="50"/>
              <w:rPr>
                <w:rFonts w:ascii="Calibri" w:hAnsi="Calibri"/>
                <w:szCs w:val="21"/>
              </w:rPr>
            </w:pPr>
            <w:r>
              <w:rPr>
                <w:rFonts w:hint="eastAsia" w:ascii="Calibri" w:hAnsi="Calibri"/>
                <w:szCs w:val="21"/>
              </w:rPr>
              <w:t>开挖面后方</w:t>
            </w:r>
          </w:p>
        </w:tc>
        <w:tc>
          <w:tcPr>
            <w:tcW w:w="3402" w:type="dxa"/>
          </w:tcPr>
          <w:p>
            <w:pPr>
              <w:spacing w:before="120" w:beforeLines="50"/>
              <w:rPr>
                <w:rFonts w:ascii="Calibri" w:hAnsi="Calibri"/>
                <w:szCs w:val="21"/>
              </w:rPr>
            </w:pPr>
            <w:r>
              <w:rPr>
                <w:rFonts w:hint="eastAsia" w:ascii="Calibri" w:hAnsi="Calibri"/>
                <w:szCs w:val="21"/>
              </w:rPr>
              <w:t>L＞8D</w:t>
            </w:r>
          </w:p>
        </w:tc>
        <w:tc>
          <w:tcPr>
            <w:tcW w:w="2942" w:type="dxa"/>
          </w:tcPr>
          <w:p>
            <w:pPr>
              <w:spacing w:before="120" w:beforeLines="50"/>
              <w:rPr>
                <w:rFonts w:ascii="Calibri" w:hAnsi="Calibri"/>
                <w:szCs w:val="21"/>
              </w:rPr>
            </w:pPr>
            <w:r>
              <w:rPr>
                <w:rFonts w:hint="eastAsia" w:ascii="Calibri" w:hAnsi="Calibri"/>
                <w:szCs w:val="21"/>
              </w:rPr>
              <w:t>1次/（</w:t>
            </w:r>
            <w:r>
              <w:rPr>
                <w:rFonts w:ascii="Calibri" w:hAnsi="Calibri"/>
                <w:szCs w:val="21"/>
              </w:rPr>
              <w:t>3d~2d</w:t>
            </w:r>
            <w:r>
              <w:rPr>
                <w:rFonts w:hint="eastAsia" w:ascii="Calibri" w:hAnsi="Calibri"/>
                <w:szCs w:val="21"/>
              </w:rPr>
              <w:t>）</w:t>
            </w:r>
          </w:p>
        </w:tc>
      </w:tr>
    </w:tbl>
    <w:p>
      <w:pPr>
        <w:spacing w:before="120" w:beforeLines="50"/>
        <w:rPr>
          <w:szCs w:val="21"/>
        </w:rPr>
      </w:pPr>
      <w:r>
        <w:rPr>
          <w:rFonts w:hint="eastAsia"/>
          <w:szCs w:val="21"/>
        </w:rPr>
        <w:t>注</w:t>
      </w:r>
      <w:r>
        <w:rPr>
          <w:szCs w:val="21"/>
        </w:rPr>
        <w:t>：</w:t>
      </w:r>
      <w:r>
        <w:rPr>
          <w:rFonts w:hint="eastAsia"/>
          <w:szCs w:val="21"/>
        </w:rPr>
        <w:t>①D表示盾构法隧洞开挖直径（m）；L表示开挖面至监测点或监测断面的水平距离</w:t>
      </w:r>
      <w:r>
        <w:rPr>
          <w:szCs w:val="21"/>
        </w:rPr>
        <w:t>。</w:t>
      </w:r>
    </w:p>
    <w:p>
      <w:pPr>
        <w:pStyle w:val="999"/>
        <w:adjustRightInd w:val="0"/>
        <w:snapToGrid w:val="0"/>
        <w:spacing w:before="120" w:beforeLines="50"/>
        <w:ind w:firstLine="420"/>
        <w:jc w:val="left"/>
        <w:rPr>
          <w:sz w:val="21"/>
          <w:szCs w:val="21"/>
        </w:rPr>
      </w:pPr>
      <w:r>
        <w:rPr>
          <w:rFonts w:hint="eastAsia"/>
          <w:sz w:val="21"/>
          <w:szCs w:val="21"/>
        </w:rPr>
        <w:t>②监测数据区域稳定后，监测频率调整为1次/（1</w:t>
      </w:r>
      <w:r>
        <w:rPr>
          <w:sz w:val="21"/>
          <w:szCs w:val="21"/>
        </w:rPr>
        <w:t>5d~30d</w:t>
      </w:r>
      <w:r>
        <w:rPr>
          <w:rFonts w:hint="eastAsia"/>
          <w:sz w:val="21"/>
          <w:szCs w:val="21"/>
        </w:rPr>
        <w:t>）</w:t>
      </w:r>
    </w:p>
    <w:bookmarkEnd w:id="587"/>
    <w:p>
      <w:pPr>
        <w:pStyle w:val="4"/>
        <w:adjustRightInd w:val="0"/>
        <w:snapToGrid w:val="0"/>
        <w:spacing w:before="0" w:after="0" w:line="500" w:lineRule="atLeast"/>
        <w:rPr>
          <w:rFonts w:ascii="黑体" w:hAnsi="黑体" w:eastAsia="黑体"/>
          <w:b w:val="0"/>
          <w:sz w:val="24"/>
          <w:szCs w:val="24"/>
        </w:rPr>
      </w:pPr>
      <w:bookmarkStart w:id="588" w:name="_Toc249322077"/>
      <w:bookmarkStart w:id="589" w:name="_Toc247353884"/>
      <w:bookmarkStart w:id="590" w:name="_Toc414615083"/>
      <w:bookmarkStart w:id="591" w:name="_Toc414615235"/>
      <w:bookmarkStart w:id="592" w:name="_Toc29664"/>
      <w:bookmarkStart w:id="593" w:name="_Toc118821529"/>
      <w:r>
        <w:rPr>
          <w:rFonts w:ascii="Times New Roman" w:hAnsi="Times New Roman"/>
          <w:sz w:val="24"/>
          <w:szCs w:val="24"/>
        </w:rPr>
        <w:t xml:space="preserve">5.2 </w:t>
      </w:r>
      <w:r>
        <w:rPr>
          <w:rFonts w:ascii="黑体" w:hAnsi="黑体" w:eastAsia="黑体"/>
          <w:b w:val="0"/>
          <w:sz w:val="24"/>
          <w:szCs w:val="24"/>
        </w:rPr>
        <w:t xml:space="preserve"> 监测资料</w:t>
      </w:r>
      <w:bookmarkEnd w:id="588"/>
      <w:bookmarkEnd w:id="589"/>
      <w:bookmarkEnd w:id="590"/>
      <w:bookmarkEnd w:id="591"/>
      <w:bookmarkStart w:id="594" w:name="_Toc247353888"/>
      <w:r>
        <w:rPr>
          <w:rFonts w:hint="eastAsia" w:ascii="黑体" w:hAnsi="黑体" w:eastAsia="黑体"/>
          <w:b w:val="0"/>
          <w:sz w:val="24"/>
          <w:szCs w:val="24"/>
        </w:rPr>
        <w:t>整理分析及监测报告</w:t>
      </w:r>
      <w:bookmarkEnd w:id="592"/>
      <w:bookmarkEnd w:id="593"/>
    </w:p>
    <w:p>
      <w:pPr>
        <w:pStyle w:val="5"/>
        <w:snapToGrid w:val="0"/>
        <w:spacing w:before="0" w:after="0" w:line="500" w:lineRule="atLeast"/>
        <w:jc w:val="both"/>
        <w:rPr>
          <w:szCs w:val="24"/>
          <w:lang w:val="en-US"/>
        </w:rPr>
      </w:pPr>
      <w:bookmarkStart w:id="595" w:name="_Toc118821530"/>
      <w:bookmarkStart w:id="596" w:name="_Toc16835"/>
      <w:r>
        <w:rPr>
          <w:rFonts w:hint="eastAsia"/>
          <w:szCs w:val="24"/>
          <w:lang w:val="en-US"/>
        </w:rPr>
        <w:t>5.2.1 施工期监测资料的整理与分析</w:t>
      </w:r>
      <w:bookmarkEnd w:id="595"/>
      <w:bookmarkEnd w:id="596"/>
    </w:p>
    <w:bookmarkEnd w:id="594"/>
    <w:p>
      <w:pPr>
        <w:adjustRightInd w:val="0"/>
        <w:snapToGrid w:val="0"/>
        <w:spacing w:line="480" w:lineRule="exact"/>
        <w:ind w:firstLine="480" w:firstLineChars="200"/>
        <w:rPr>
          <w:sz w:val="24"/>
        </w:rPr>
      </w:pPr>
      <w:bookmarkStart w:id="597" w:name="_Toc414615236"/>
      <w:bookmarkStart w:id="598" w:name="_Toc240878385"/>
      <w:bookmarkStart w:id="599" w:name="_Toc232162636"/>
      <w:bookmarkStart w:id="600" w:name="_Toc414615014"/>
      <w:bookmarkStart w:id="601" w:name="_Toc414615084"/>
      <w:bookmarkStart w:id="602" w:name="_Toc273199645"/>
      <w:bookmarkStart w:id="603" w:name="_Toc414549298"/>
      <w:bookmarkStart w:id="604" w:name="_Toc414549232"/>
      <w:bookmarkStart w:id="605" w:name="_Toc7317817"/>
      <w:r>
        <w:rPr>
          <w:rFonts w:hint="eastAsia"/>
          <w:sz w:val="24"/>
        </w:rPr>
        <w:t>(1)  承包人应将监测仪器埋设的竣工图、各种原始数据和有关文字、图表（包括影像、图片）等资料，综合整理成安全监测成果，汇编成册。</w:t>
      </w:r>
    </w:p>
    <w:p>
      <w:pPr>
        <w:adjustRightInd w:val="0"/>
        <w:snapToGrid w:val="0"/>
        <w:spacing w:line="480" w:lineRule="exact"/>
        <w:ind w:firstLine="480" w:firstLineChars="200"/>
        <w:rPr>
          <w:sz w:val="24"/>
        </w:rPr>
      </w:pPr>
      <w:r>
        <w:rPr>
          <w:rFonts w:hint="eastAsia"/>
          <w:sz w:val="24"/>
        </w:rPr>
        <w:t>(2)  承包人应在每次监测后立即进行原始数据记录的检验和分析、监测物理量的换算，以及异常值的判别等工作。如遇天气、施工等原因，造成监测数据突变时，应加以说明。</w:t>
      </w:r>
    </w:p>
    <w:p>
      <w:pPr>
        <w:adjustRightInd w:val="0"/>
        <w:snapToGrid w:val="0"/>
        <w:spacing w:line="480" w:lineRule="exact"/>
        <w:ind w:firstLine="480" w:firstLineChars="200"/>
        <w:rPr>
          <w:sz w:val="24"/>
        </w:rPr>
      </w:pPr>
      <w:r>
        <w:rPr>
          <w:rFonts w:hint="eastAsia"/>
          <w:sz w:val="24"/>
        </w:rPr>
        <w:t>(3)  经检查检验后，若判定监测数据不在限差以内或含有粗差，应立即重测；若判定监测数据含有较大的系统误差时，应分析原因，并设法减少或消除其影响。</w:t>
      </w:r>
    </w:p>
    <w:p>
      <w:pPr>
        <w:adjustRightInd w:val="0"/>
        <w:snapToGrid w:val="0"/>
        <w:spacing w:line="480" w:lineRule="exact"/>
        <w:ind w:firstLine="480" w:firstLineChars="200"/>
        <w:rPr>
          <w:sz w:val="24"/>
        </w:rPr>
      </w:pPr>
      <w:r>
        <w:rPr>
          <w:rFonts w:hint="eastAsia"/>
          <w:sz w:val="24"/>
        </w:rPr>
        <w:t>(4)  承包人应按监理人指示进行监测资料的整编工作。整编内容包括：</w:t>
      </w:r>
    </w:p>
    <w:p>
      <w:pPr>
        <w:adjustRightInd w:val="0"/>
        <w:snapToGrid w:val="0"/>
        <w:spacing w:line="480" w:lineRule="exact"/>
        <w:ind w:firstLine="480" w:firstLineChars="200"/>
        <w:rPr>
          <w:sz w:val="24"/>
        </w:rPr>
      </w:pPr>
      <w:r>
        <w:rPr>
          <w:rFonts w:hint="eastAsia"/>
          <w:sz w:val="24"/>
        </w:rPr>
        <w:t>1)  工程建筑物安全监测工作总报告。</w:t>
      </w:r>
    </w:p>
    <w:p>
      <w:pPr>
        <w:adjustRightInd w:val="0"/>
        <w:snapToGrid w:val="0"/>
        <w:spacing w:line="480" w:lineRule="exact"/>
        <w:ind w:firstLine="480" w:firstLineChars="200"/>
        <w:rPr>
          <w:sz w:val="24"/>
        </w:rPr>
      </w:pPr>
      <w:r>
        <w:rPr>
          <w:rFonts w:hint="eastAsia"/>
          <w:sz w:val="24"/>
        </w:rPr>
        <w:t>2)  工程建筑物安全监测技术要求和安全监测措施计划等的有关文件。</w:t>
      </w:r>
    </w:p>
    <w:p>
      <w:pPr>
        <w:adjustRightInd w:val="0"/>
        <w:snapToGrid w:val="0"/>
        <w:spacing w:line="480" w:lineRule="exact"/>
        <w:ind w:firstLine="480" w:firstLineChars="200"/>
        <w:rPr>
          <w:sz w:val="24"/>
        </w:rPr>
      </w:pPr>
      <w:r>
        <w:rPr>
          <w:rFonts w:hint="eastAsia"/>
          <w:sz w:val="24"/>
        </w:rPr>
        <w:t>3)  仪器型号、规格、技术参数、工作原理和使用说明的仪器资料以及测点布置和仪器埋设的原始记录，仪器维护记录等。</w:t>
      </w:r>
    </w:p>
    <w:p>
      <w:pPr>
        <w:adjustRightInd w:val="0"/>
        <w:snapToGrid w:val="0"/>
        <w:spacing w:line="480" w:lineRule="exact"/>
        <w:ind w:firstLine="480" w:firstLineChars="200"/>
        <w:rPr>
          <w:sz w:val="24"/>
        </w:rPr>
      </w:pPr>
      <w:r>
        <w:rPr>
          <w:rFonts w:hint="eastAsia"/>
          <w:sz w:val="24"/>
        </w:rPr>
        <w:t>4)  日常监测和巡检的原始记录、报表和报告，包括特征值汇总表、每个测点监测数据过程线、监测成果分析资料、物理量计算成果及各种图表等。</w:t>
      </w:r>
    </w:p>
    <w:p>
      <w:pPr>
        <w:adjustRightInd w:val="0"/>
        <w:snapToGrid w:val="0"/>
        <w:spacing w:line="480" w:lineRule="exact"/>
        <w:ind w:firstLine="480" w:firstLineChars="200"/>
        <w:rPr>
          <w:sz w:val="24"/>
        </w:rPr>
      </w:pPr>
      <w:r>
        <w:rPr>
          <w:rFonts w:hint="eastAsia"/>
          <w:sz w:val="24"/>
        </w:rPr>
        <w:t>5)  其它相关资料：包括工程安全检查报告、事故处理报告、仪器设备管理档案，以及工程竣工安全鉴定结论、咨询会议记录以及意见和建议等。</w:t>
      </w:r>
    </w:p>
    <w:p>
      <w:pPr>
        <w:adjustRightInd w:val="0"/>
        <w:snapToGrid w:val="0"/>
        <w:spacing w:line="480" w:lineRule="exact"/>
        <w:ind w:firstLine="480" w:firstLineChars="200"/>
        <w:rPr>
          <w:sz w:val="24"/>
        </w:rPr>
      </w:pPr>
      <w:r>
        <w:rPr>
          <w:rFonts w:hint="eastAsia"/>
          <w:sz w:val="24"/>
        </w:rPr>
        <w:t>(5)  所有监测资料整编要求按发包人指定的格式或按相关规范指定的格式建立数据库，输入计算机。用磁盘或光盘备份保存并刊印成册。</w:t>
      </w:r>
    </w:p>
    <w:p>
      <w:pPr>
        <w:adjustRightInd w:val="0"/>
        <w:snapToGrid w:val="0"/>
        <w:spacing w:line="480" w:lineRule="exact"/>
        <w:ind w:firstLine="480" w:firstLineChars="200"/>
        <w:rPr>
          <w:sz w:val="24"/>
        </w:rPr>
      </w:pPr>
      <w:r>
        <w:rPr>
          <w:rFonts w:hint="eastAsia"/>
          <w:sz w:val="24"/>
        </w:rPr>
        <w:t>(6)  在日常基础监测资料整理、整编分析工作的基础上，对整编的监测资料按规范要求的相关内容进行分析，采用常规分析方法，分析各监测物理量在时间和空间上的变化规律，预测发展趋势，分析各种原因量和效应量的相关关系，研究其相关程度。</w:t>
      </w:r>
    </w:p>
    <w:p>
      <w:pPr>
        <w:adjustRightInd w:val="0"/>
        <w:snapToGrid w:val="0"/>
        <w:spacing w:line="480" w:lineRule="exact"/>
        <w:ind w:firstLine="480" w:firstLineChars="200"/>
        <w:rPr>
          <w:sz w:val="24"/>
        </w:rPr>
      </w:pPr>
      <w:r>
        <w:rPr>
          <w:rFonts w:hint="eastAsia"/>
          <w:sz w:val="24"/>
        </w:rPr>
        <w:t>(7)  根据分析成果对工程的工作状态及安全性作出评价，并预测变化趋势，提出处理意见和建议。发现异常及时上报监理人，以便采取处理措施。</w:t>
      </w:r>
    </w:p>
    <w:p>
      <w:pPr>
        <w:adjustRightInd w:val="0"/>
        <w:snapToGrid w:val="0"/>
        <w:spacing w:line="480" w:lineRule="exact"/>
        <w:ind w:firstLine="480" w:firstLineChars="200"/>
        <w:rPr>
          <w:sz w:val="24"/>
        </w:rPr>
      </w:pPr>
      <w:r>
        <w:rPr>
          <w:rFonts w:hint="eastAsia"/>
          <w:sz w:val="24"/>
        </w:rPr>
        <w:t>(8)  除了按一般要求提供监测资料以外，根据设计、监理对有关工作的需要，随时按要求提供有关方面的资料。</w:t>
      </w:r>
    </w:p>
    <w:p>
      <w:pPr>
        <w:adjustRightInd w:val="0"/>
        <w:snapToGrid w:val="0"/>
        <w:spacing w:line="480" w:lineRule="exact"/>
        <w:ind w:firstLine="480" w:firstLineChars="200"/>
        <w:rPr>
          <w:sz w:val="24"/>
        </w:rPr>
      </w:pPr>
    </w:p>
    <w:p>
      <w:pPr>
        <w:pStyle w:val="5"/>
        <w:snapToGrid w:val="0"/>
        <w:spacing w:before="0" w:after="0" w:line="500" w:lineRule="atLeast"/>
        <w:jc w:val="both"/>
        <w:rPr>
          <w:szCs w:val="24"/>
          <w:lang w:val="en-US"/>
        </w:rPr>
      </w:pPr>
      <w:bookmarkStart w:id="606" w:name="_Toc12432"/>
      <w:bookmarkStart w:id="607" w:name="_Toc118821531"/>
      <w:r>
        <w:rPr>
          <w:rFonts w:hint="eastAsia"/>
          <w:szCs w:val="24"/>
          <w:lang w:val="en-US"/>
        </w:rPr>
        <w:t>5.2.2 施工期监测报告</w:t>
      </w:r>
      <w:bookmarkEnd w:id="606"/>
      <w:bookmarkEnd w:id="607"/>
    </w:p>
    <w:p>
      <w:pPr>
        <w:adjustRightInd w:val="0"/>
        <w:snapToGrid w:val="0"/>
        <w:spacing w:line="480" w:lineRule="exact"/>
        <w:ind w:firstLine="480" w:firstLineChars="200"/>
        <w:rPr>
          <w:sz w:val="24"/>
        </w:rPr>
      </w:pPr>
      <w:r>
        <w:rPr>
          <w:rFonts w:hint="eastAsia"/>
          <w:sz w:val="24"/>
        </w:rPr>
        <w:t>(1)  施工期需按月、季度和年度提交监测及分析报告。</w:t>
      </w:r>
    </w:p>
    <w:p>
      <w:pPr>
        <w:adjustRightInd w:val="0"/>
        <w:snapToGrid w:val="0"/>
        <w:spacing w:line="480" w:lineRule="exact"/>
        <w:ind w:firstLine="480" w:firstLineChars="200"/>
        <w:rPr>
          <w:sz w:val="24"/>
        </w:rPr>
      </w:pPr>
      <w:r>
        <w:rPr>
          <w:rFonts w:hint="eastAsia"/>
          <w:sz w:val="24"/>
        </w:rPr>
        <w:t>(2)  每月定期提交的报告内容为当月仪器埋设工程量报表和现场施工情况记录，以及重要部位的监测资料和简要分析。</w:t>
      </w:r>
    </w:p>
    <w:p>
      <w:pPr>
        <w:adjustRightInd w:val="0"/>
        <w:snapToGrid w:val="0"/>
        <w:spacing w:line="480" w:lineRule="exact"/>
        <w:ind w:firstLine="480" w:firstLineChars="200"/>
        <w:rPr>
          <w:sz w:val="24"/>
        </w:rPr>
      </w:pPr>
      <w:r>
        <w:rPr>
          <w:rFonts w:hint="eastAsia"/>
          <w:sz w:val="24"/>
        </w:rPr>
        <w:t>(3)  季度和年度报告应包括以下内容：</w:t>
      </w:r>
    </w:p>
    <w:p>
      <w:pPr>
        <w:adjustRightInd w:val="0"/>
        <w:snapToGrid w:val="0"/>
        <w:spacing w:line="480" w:lineRule="exact"/>
        <w:ind w:firstLine="480" w:firstLineChars="200"/>
        <w:rPr>
          <w:sz w:val="24"/>
        </w:rPr>
      </w:pPr>
      <w:r>
        <w:rPr>
          <w:rFonts w:hint="eastAsia"/>
          <w:sz w:val="24"/>
        </w:rPr>
        <w:t>1)  土建工程、监测系统工程建设概况；</w:t>
      </w:r>
    </w:p>
    <w:p>
      <w:pPr>
        <w:adjustRightInd w:val="0"/>
        <w:snapToGrid w:val="0"/>
        <w:spacing w:line="480" w:lineRule="exact"/>
        <w:ind w:firstLine="480" w:firstLineChars="200"/>
        <w:rPr>
          <w:sz w:val="24"/>
        </w:rPr>
      </w:pPr>
      <w:r>
        <w:rPr>
          <w:rFonts w:hint="eastAsia"/>
          <w:sz w:val="24"/>
        </w:rPr>
        <w:t>2)  施工期监测工作简介；</w:t>
      </w:r>
    </w:p>
    <w:p>
      <w:pPr>
        <w:adjustRightInd w:val="0"/>
        <w:snapToGrid w:val="0"/>
        <w:spacing w:line="480" w:lineRule="exact"/>
        <w:ind w:firstLine="480" w:firstLineChars="200"/>
        <w:rPr>
          <w:sz w:val="24"/>
        </w:rPr>
      </w:pPr>
      <w:r>
        <w:rPr>
          <w:rFonts w:hint="eastAsia"/>
          <w:sz w:val="24"/>
        </w:rPr>
        <w:t>3)  监测成果及简要分析；</w:t>
      </w:r>
    </w:p>
    <w:p>
      <w:pPr>
        <w:adjustRightInd w:val="0"/>
        <w:snapToGrid w:val="0"/>
        <w:spacing w:line="480" w:lineRule="exact"/>
        <w:ind w:firstLine="480" w:firstLineChars="200"/>
        <w:rPr>
          <w:sz w:val="24"/>
        </w:rPr>
      </w:pPr>
      <w:r>
        <w:rPr>
          <w:rFonts w:hint="eastAsia"/>
          <w:sz w:val="24"/>
        </w:rPr>
        <w:t>4)  下一季度(或年度)的工作计划；</w:t>
      </w:r>
    </w:p>
    <w:p>
      <w:pPr>
        <w:adjustRightInd w:val="0"/>
        <w:snapToGrid w:val="0"/>
        <w:spacing w:line="480" w:lineRule="exact"/>
        <w:ind w:firstLine="480" w:firstLineChars="200"/>
        <w:rPr>
          <w:sz w:val="24"/>
        </w:rPr>
      </w:pPr>
      <w:r>
        <w:rPr>
          <w:rFonts w:hint="eastAsia"/>
          <w:sz w:val="24"/>
        </w:rPr>
        <w:t>5)  本季度(或年度)工作和技术问题总结。</w:t>
      </w:r>
    </w:p>
    <w:p>
      <w:pPr>
        <w:adjustRightInd w:val="0"/>
        <w:snapToGrid w:val="0"/>
        <w:spacing w:line="480" w:lineRule="exact"/>
        <w:ind w:firstLine="480" w:firstLineChars="200"/>
        <w:rPr>
          <w:sz w:val="24"/>
        </w:rPr>
      </w:pPr>
      <w:r>
        <w:rPr>
          <w:rFonts w:hint="eastAsia"/>
          <w:sz w:val="24"/>
        </w:rPr>
        <w:t>(4)  初期运行前应整理整编好全部的监测资料，对各观测物理量进行分析，对建筑物(或岩土工程及滑坡体)的工作状态和存在问题进行综合评估和结论，对安全管理、监测工作、输水运行、以及安全措施等方面提出建议</w:t>
      </w:r>
      <w:r>
        <w:rPr>
          <w:sz w:val="24"/>
        </w:rPr>
        <w:t>。</w:t>
      </w:r>
    </w:p>
    <w:p>
      <w:pPr>
        <w:adjustRightInd w:val="0"/>
        <w:snapToGrid w:val="0"/>
        <w:spacing w:line="480" w:lineRule="exact"/>
        <w:ind w:firstLine="480" w:firstLineChars="200"/>
        <w:rPr>
          <w:sz w:val="24"/>
        </w:rPr>
      </w:pPr>
    </w:p>
    <w:p>
      <w:pPr>
        <w:pStyle w:val="5"/>
        <w:snapToGrid w:val="0"/>
        <w:spacing w:before="0" w:after="0" w:line="500" w:lineRule="atLeast"/>
        <w:jc w:val="both"/>
        <w:rPr>
          <w:szCs w:val="24"/>
          <w:lang w:val="en-US"/>
        </w:rPr>
      </w:pPr>
      <w:bookmarkStart w:id="608" w:name="_Toc2297"/>
      <w:bookmarkStart w:id="609" w:name="_Toc118821532"/>
      <w:r>
        <w:rPr>
          <w:rFonts w:hint="eastAsia"/>
          <w:szCs w:val="24"/>
          <w:lang w:val="en-US"/>
        </w:rPr>
        <w:t>5.2.3 监测总报告的编制</w:t>
      </w:r>
      <w:bookmarkEnd w:id="608"/>
      <w:bookmarkEnd w:id="609"/>
    </w:p>
    <w:p>
      <w:pPr>
        <w:adjustRightInd w:val="0"/>
        <w:snapToGrid w:val="0"/>
        <w:spacing w:line="480" w:lineRule="exact"/>
        <w:ind w:firstLine="480" w:firstLineChars="200"/>
        <w:rPr>
          <w:sz w:val="24"/>
        </w:rPr>
      </w:pPr>
      <w:r>
        <w:rPr>
          <w:rFonts w:hint="eastAsia"/>
          <w:sz w:val="24"/>
        </w:rPr>
        <w:t>监测总报告主要包括年度报告、工程竣工验收监测资料分析专题报告。</w:t>
      </w:r>
    </w:p>
    <w:p>
      <w:pPr>
        <w:adjustRightInd w:val="0"/>
        <w:snapToGrid w:val="0"/>
        <w:spacing w:line="480" w:lineRule="exact"/>
        <w:ind w:firstLine="480" w:firstLineChars="200"/>
        <w:rPr>
          <w:sz w:val="24"/>
        </w:rPr>
      </w:pPr>
      <w:r>
        <w:rPr>
          <w:rFonts w:hint="eastAsia"/>
          <w:sz w:val="24"/>
        </w:rPr>
        <w:t>(1)  一般资料整编的工作内容</w:t>
      </w:r>
    </w:p>
    <w:p>
      <w:pPr>
        <w:adjustRightInd w:val="0"/>
        <w:snapToGrid w:val="0"/>
        <w:spacing w:line="480" w:lineRule="exact"/>
        <w:ind w:firstLine="480" w:firstLineChars="200"/>
        <w:rPr>
          <w:sz w:val="24"/>
        </w:rPr>
      </w:pPr>
      <w:r>
        <w:rPr>
          <w:rFonts w:hint="eastAsia"/>
          <w:sz w:val="24"/>
        </w:rPr>
        <w:t>一般资料整编的工作内容主要包括以下几个方面：</w:t>
      </w:r>
    </w:p>
    <w:p>
      <w:pPr>
        <w:adjustRightInd w:val="0"/>
        <w:snapToGrid w:val="0"/>
        <w:spacing w:line="480" w:lineRule="exact"/>
        <w:ind w:firstLine="480" w:firstLineChars="200"/>
        <w:rPr>
          <w:sz w:val="24"/>
        </w:rPr>
      </w:pPr>
      <w:r>
        <w:rPr>
          <w:rFonts w:hint="eastAsia"/>
          <w:sz w:val="24"/>
        </w:rPr>
        <w:t>1)  检验监测数据的完整性、正确性和准确性；</w:t>
      </w:r>
    </w:p>
    <w:p>
      <w:pPr>
        <w:adjustRightInd w:val="0"/>
        <w:snapToGrid w:val="0"/>
        <w:spacing w:line="480" w:lineRule="exact"/>
        <w:ind w:firstLine="480" w:firstLineChars="200"/>
        <w:rPr>
          <w:sz w:val="24"/>
        </w:rPr>
      </w:pPr>
      <w:r>
        <w:rPr>
          <w:rFonts w:hint="eastAsia"/>
          <w:sz w:val="24"/>
        </w:rPr>
        <w:t>2)  进行各个监测物理量的计算，记入相应记录表；</w:t>
      </w:r>
    </w:p>
    <w:p>
      <w:pPr>
        <w:adjustRightInd w:val="0"/>
        <w:snapToGrid w:val="0"/>
        <w:spacing w:line="480" w:lineRule="exact"/>
        <w:ind w:firstLine="480" w:firstLineChars="200"/>
        <w:rPr>
          <w:sz w:val="24"/>
        </w:rPr>
      </w:pPr>
      <w:r>
        <w:rPr>
          <w:rFonts w:hint="eastAsia"/>
          <w:sz w:val="24"/>
        </w:rPr>
        <w:t>3)  按监测部位绘制各监测物理量的过程线图集；</w:t>
      </w:r>
    </w:p>
    <w:p>
      <w:pPr>
        <w:adjustRightInd w:val="0"/>
        <w:snapToGrid w:val="0"/>
        <w:spacing w:line="480" w:lineRule="exact"/>
        <w:ind w:firstLine="480" w:firstLineChars="200"/>
        <w:rPr>
          <w:sz w:val="24"/>
        </w:rPr>
      </w:pPr>
      <w:r>
        <w:rPr>
          <w:rFonts w:hint="eastAsia"/>
          <w:sz w:val="24"/>
        </w:rPr>
        <w:t>4)  根据各监测物理量过程线图，初步考查各物理量的变化规律，若发现异常，应分析该异常量产生的原因，提出专项文字说明。</w:t>
      </w:r>
    </w:p>
    <w:p>
      <w:pPr>
        <w:adjustRightInd w:val="0"/>
        <w:snapToGrid w:val="0"/>
        <w:spacing w:line="480" w:lineRule="exact"/>
        <w:ind w:firstLine="480" w:firstLineChars="200"/>
        <w:rPr>
          <w:sz w:val="24"/>
        </w:rPr>
      </w:pPr>
      <w:r>
        <w:rPr>
          <w:rFonts w:hint="eastAsia"/>
          <w:sz w:val="24"/>
        </w:rPr>
        <w:t>(2)  监测资料的整理。包括所有监测数据、物理量计算统计数据、文字和表格。</w:t>
      </w:r>
    </w:p>
    <w:p>
      <w:pPr>
        <w:adjustRightInd w:val="0"/>
        <w:snapToGrid w:val="0"/>
        <w:spacing w:line="480" w:lineRule="exact"/>
        <w:ind w:firstLine="480" w:firstLineChars="200"/>
        <w:rPr>
          <w:sz w:val="24"/>
        </w:rPr>
      </w:pPr>
      <w:r>
        <w:rPr>
          <w:rFonts w:hint="eastAsia"/>
          <w:sz w:val="24"/>
        </w:rPr>
        <w:t>1)  各监测物理量的历时过程线图。</w:t>
      </w:r>
    </w:p>
    <w:p>
      <w:pPr>
        <w:adjustRightInd w:val="0"/>
        <w:snapToGrid w:val="0"/>
        <w:spacing w:line="480" w:lineRule="exact"/>
        <w:ind w:firstLine="480" w:firstLineChars="200"/>
        <w:rPr>
          <w:sz w:val="24"/>
        </w:rPr>
      </w:pPr>
      <w:r>
        <w:rPr>
          <w:rFonts w:hint="eastAsia"/>
          <w:sz w:val="24"/>
        </w:rPr>
        <w:t>2)  各监测物理量分布图和相关图。</w:t>
      </w:r>
    </w:p>
    <w:p>
      <w:pPr>
        <w:adjustRightInd w:val="0"/>
        <w:snapToGrid w:val="0"/>
        <w:spacing w:line="480" w:lineRule="exact"/>
        <w:ind w:firstLine="480" w:firstLineChars="200"/>
        <w:rPr>
          <w:sz w:val="24"/>
        </w:rPr>
      </w:pPr>
      <w:r>
        <w:rPr>
          <w:rFonts w:hint="eastAsia"/>
          <w:sz w:val="24"/>
        </w:rPr>
        <w:t>(3)  资料分析的内容</w:t>
      </w:r>
    </w:p>
    <w:p>
      <w:pPr>
        <w:adjustRightInd w:val="0"/>
        <w:snapToGrid w:val="0"/>
        <w:spacing w:line="480" w:lineRule="exact"/>
        <w:ind w:firstLine="480" w:firstLineChars="200"/>
        <w:rPr>
          <w:sz w:val="24"/>
        </w:rPr>
      </w:pPr>
      <w:r>
        <w:rPr>
          <w:rFonts w:hint="eastAsia"/>
          <w:sz w:val="24"/>
        </w:rPr>
        <w:t>1)  对监测物理量的分析主要包括以下几个方面：</w:t>
      </w:r>
    </w:p>
    <w:p>
      <w:pPr>
        <w:adjustRightInd w:val="0"/>
        <w:snapToGrid w:val="0"/>
        <w:spacing w:line="480" w:lineRule="exact"/>
        <w:ind w:firstLine="480" w:firstLineChars="200"/>
        <w:rPr>
          <w:sz w:val="24"/>
        </w:rPr>
      </w:pPr>
      <w:r>
        <w:rPr>
          <w:rFonts w:hint="eastAsia"/>
          <w:sz w:val="24"/>
        </w:rPr>
        <w:t>① 分析各监测物理量随时间、空间变化的规律性；</w:t>
      </w:r>
    </w:p>
    <w:p>
      <w:pPr>
        <w:adjustRightInd w:val="0"/>
        <w:snapToGrid w:val="0"/>
        <w:spacing w:line="480" w:lineRule="exact"/>
        <w:ind w:firstLine="480" w:firstLineChars="200"/>
        <w:rPr>
          <w:sz w:val="24"/>
        </w:rPr>
      </w:pPr>
      <w:r>
        <w:rPr>
          <w:rFonts w:hint="eastAsia"/>
          <w:sz w:val="24"/>
        </w:rPr>
        <w:t>② 分析各监测物理量特征值的变化规律性；</w:t>
      </w:r>
    </w:p>
    <w:p>
      <w:pPr>
        <w:adjustRightInd w:val="0"/>
        <w:snapToGrid w:val="0"/>
        <w:spacing w:line="480" w:lineRule="exact"/>
        <w:ind w:firstLine="480" w:firstLineChars="200"/>
        <w:rPr>
          <w:sz w:val="24"/>
        </w:rPr>
      </w:pPr>
      <w:r>
        <w:rPr>
          <w:rFonts w:hint="eastAsia"/>
          <w:sz w:val="24"/>
        </w:rPr>
        <w:t>③ 分析各监测物理量之间相关关系的变化规律性。</w:t>
      </w:r>
    </w:p>
    <w:p>
      <w:pPr>
        <w:adjustRightInd w:val="0"/>
        <w:snapToGrid w:val="0"/>
        <w:spacing w:line="480" w:lineRule="exact"/>
        <w:ind w:firstLine="480" w:firstLineChars="200"/>
        <w:rPr>
          <w:sz w:val="24"/>
        </w:rPr>
      </w:pPr>
      <w:r>
        <w:rPr>
          <w:rFonts w:hint="eastAsia"/>
          <w:sz w:val="24"/>
        </w:rPr>
        <w:t>2)  从上述分析中获得各监测物理量变化稳定性、趋向性及其与工程安全的关系等结论。</w:t>
      </w:r>
    </w:p>
    <w:p>
      <w:pPr>
        <w:adjustRightInd w:val="0"/>
        <w:snapToGrid w:val="0"/>
        <w:spacing w:line="480" w:lineRule="exact"/>
        <w:ind w:firstLine="480" w:firstLineChars="200"/>
        <w:rPr>
          <w:sz w:val="24"/>
        </w:rPr>
      </w:pPr>
      <w:r>
        <w:rPr>
          <w:rFonts w:hint="eastAsia"/>
          <w:sz w:val="24"/>
        </w:rPr>
        <w:t>3)  将各监测物理量的分析成果与设计计算复核成果进行比较，以判别各建筑物的工作状态、存在异常的部位及其对安全的影响程度与变化趋势等。</w:t>
      </w:r>
    </w:p>
    <w:p>
      <w:pPr>
        <w:adjustRightInd w:val="0"/>
        <w:snapToGrid w:val="0"/>
        <w:spacing w:line="480" w:lineRule="exact"/>
        <w:ind w:firstLine="480" w:firstLineChars="200"/>
        <w:rPr>
          <w:sz w:val="24"/>
        </w:rPr>
      </w:pPr>
      <w:r>
        <w:rPr>
          <w:rFonts w:hint="eastAsia"/>
          <w:sz w:val="24"/>
        </w:rPr>
        <w:t>(4)  报告内容</w:t>
      </w:r>
    </w:p>
    <w:p>
      <w:pPr>
        <w:adjustRightInd w:val="0"/>
        <w:snapToGrid w:val="0"/>
        <w:spacing w:line="480" w:lineRule="exact"/>
        <w:ind w:firstLine="480" w:firstLineChars="200"/>
        <w:rPr>
          <w:sz w:val="24"/>
        </w:rPr>
      </w:pPr>
      <w:r>
        <w:rPr>
          <w:rFonts w:hint="eastAsia"/>
          <w:sz w:val="24"/>
        </w:rPr>
        <w:t>工程竣工验收监测资料分析专题报告的内容主要包括以下几个方面：</w:t>
      </w:r>
    </w:p>
    <w:p>
      <w:pPr>
        <w:adjustRightInd w:val="0"/>
        <w:snapToGrid w:val="0"/>
        <w:spacing w:line="480" w:lineRule="exact"/>
        <w:ind w:firstLine="480" w:firstLineChars="200"/>
        <w:rPr>
          <w:sz w:val="24"/>
        </w:rPr>
      </w:pPr>
      <w:r>
        <w:rPr>
          <w:rFonts w:hint="eastAsia"/>
          <w:sz w:val="24"/>
        </w:rPr>
        <w:t>① 工程概况和监测布置概况</w:t>
      </w:r>
    </w:p>
    <w:p>
      <w:pPr>
        <w:adjustRightInd w:val="0"/>
        <w:snapToGrid w:val="0"/>
        <w:spacing w:line="480" w:lineRule="exact"/>
        <w:ind w:firstLine="480" w:firstLineChars="200"/>
        <w:rPr>
          <w:sz w:val="24"/>
        </w:rPr>
      </w:pPr>
      <w:r>
        <w:rPr>
          <w:rFonts w:hint="eastAsia"/>
          <w:sz w:val="24"/>
        </w:rPr>
        <w:t>② 分析成果综合说明</w:t>
      </w:r>
    </w:p>
    <w:p>
      <w:pPr>
        <w:adjustRightInd w:val="0"/>
        <w:snapToGrid w:val="0"/>
        <w:spacing w:line="480" w:lineRule="exact"/>
        <w:ind w:firstLine="480" w:firstLineChars="200"/>
        <w:rPr>
          <w:sz w:val="24"/>
        </w:rPr>
      </w:pPr>
      <w:r>
        <w:rPr>
          <w:rFonts w:hint="eastAsia"/>
          <w:sz w:val="24"/>
        </w:rPr>
        <w:t>主要分析内容及分析方法、主要成果和结论、监测系统的综合评价和主要建议。</w:t>
      </w:r>
    </w:p>
    <w:p>
      <w:pPr>
        <w:adjustRightInd w:val="0"/>
        <w:snapToGrid w:val="0"/>
        <w:spacing w:line="480" w:lineRule="exact"/>
        <w:ind w:firstLine="480" w:firstLineChars="200"/>
        <w:rPr>
          <w:sz w:val="24"/>
        </w:rPr>
      </w:pPr>
      <w:r>
        <w:rPr>
          <w:rFonts w:hint="eastAsia"/>
          <w:sz w:val="24"/>
        </w:rPr>
        <w:t>③ 工程监测系统的资料分析</w:t>
      </w:r>
    </w:p>
    <w:p>
      <w:pPr>
        <w:adjustRightInd w:val="0"/>
        <w:snapToGrid w:val="0"/>
        <w:spacing w:line="480" w:lineRule="exact"/>
        <w:ind w:firstLine="480" w:firstLineChars="200"/>
        <w:rPr>
          <w:sz w:val="24"/>
        </w:rPr>
      </w:pPr>
      <w:r>
        <w:rPr>
          <w:rFonts w:hint="eastAsia"/>
          <w:sz w:val="24"/>
        </w:rPr>
        <w:t>④ 工程监测系统的综合评价</w:t>
      </w:r>
    </w:p>
    <w:p>
      <w:pPr>
        <w:adjustRightInd w:val="0"/>
        <w:snapToGrid w:val="0"/>
        <w:spacing w:line="480" w:lineRule="exact"/>
        <w:ind w:firstLine="480" w:firstLineChars="200"/>
        <w:rPr>
          <w:sz w:val="24"/>
        </w:rPr>
      </w:pPr>
      <w:r>
        <w:rPr>
          <w:rFonts w:hint="eastAsia"/>
          <w:sz w:val="24"/>
        </w:rPr>
        <w:t>⑤ 工程安全监测系统的工作状态评价。</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sectPr>
          <w:footerReference r:id="rId11" w:type="default"/>
          <w:pgSz w:w="11906" w:h="16838"/>
          <w:pgMar w:top="1418" w:right="1361" w:bottom="1418" w:left="2211" w:header="851" w:footer="992" w:gutter="0"/>
          <w:cols w:space="720" w:num="1"/>
          <w:titlePg/>
          <w:docGrid w:linePitch="312" w:charSpace="0"/>
        </w:sectPr>
      </w:pPr>
    </w:p>
    <w:p>
      <w:pPr>
        <w:pStyle w:val="3"/>
        <w:spacing w:before="0" w:after="0" w:line="500" w:lineRule="atLeast"/>
        <w:jc w:val="center"/>
        <w:rPr>
          <w:rFonts w:ascii="黑体" w:hAnsi="黑体" w:eastAsia="黑体"/>
          <w:b w:val="0"/>
          <w:sz w:val="30"/>
        </w:rPr>
      </w:pPr>
      <w:bookmarkStart w:id="610" w:name="_Toc18112"/>
      <w:bookmarkStart w:id="611" w:name="_Toc118821533"/>
      <w:r>
        <w:rPr>
          <w:rFonts w:ascii="黑体" w:hAnsi="黑体" w:eastAsia="黑体"/>
          <w:b w:val="0"/>
          <w:sz w:val="30"/>
        </w:rPr>
        <w:t>第六章  仪器移交及质量控制</w:t>
      </w:r>
      <w:bookmarkEnd w:id="597"/>
      <w:bookmarkEnd w:id="598"/>
      <w:bookmarkEnd w:id="599"/>
      <w:bookmarkEnd w:id="600"/>
      <w:bookmarkEnd w:id="601"/>
      <w:bookmarkEnd w:id="602"/>
      <w:bookmarkEnd w:id="603"/>
      <w:bookmarkEnd w:id="604"/>
      <w:bookmarkEnd w:id="610"/>
      <w:bookmarkEnd w:id="611"/>
      <w:bookmarkStart w:id="612" w:name="_Toc232162637"/>
    </w:p>
    <w:p/>
    <w:p>
      <w:pPr>
        <w:pStyle w:val="4"/>
        <w:spacing w:before="0" w:after="0" w:line="500" w:lineRule="atLeast"/>
        <w:rPr>
          <w:rFonts w:ascii="黑体" w:hAnsi="黑体" w:eastAsia="黑体"/>
          <w:b w:val="0"/>
          <w:sz w:val="24"/>
          <w:szCs w:val="24"/>
        </w:rPr>
      </w:pPr>
      <w:bookmarkStart w:id="613" w:name="_Toc414615237"/>
      <w:bookmarkStart w:id="614" w:name="_Toc118821534"/>
      <w:bookmarkStart w:id="615" w:name="_Toc240878386"/>
      <w:bookmarkStart w:id="616" w:name="_Toc22543"/>
      <w:bookmarkStart w:id="617" w:name="_Toc273199646"/>
      <w:bookmarkStart w:id="618" w:name="_Toc414615085"/>
      <w:r>
        <w:rPr>
          <w:rFonts w:ascii="Times New Roman" w:hAnsi="Times New Roman"/>
          <w:sz w:val="24"/>
          <w:szCs w:val="24"/>
        </w:rPr>
        <w:t xml:space="preserve">6.1  </w:t>
      </w:r>
      <w:r>
        <w:rPr>
          <w:rFonts w:ascii="黑体" w:hAnsi="黑体" w:eastAsia="黑体"/>
          <w:b w:val="0"/>
          <w:sz w:val="24"/>
          <w:szCs w:val="24"/>
        </w:rPr>
        <w:t>仪器的移交</w:t>
      </w:r>
      <w:bookmarkEnd w:id="605"/>
      <w:bookmarkEnd w:id="612"/>
      <w:bookmarkEnd w:id="613"/>
      <w:bookmarkEnd w:id="614"/>
      <w:bookmarkEnd w:id="615"/>
      <w:bookmarkEnd w:id="616"/>
      <w:bookmarkEnd w:id="617"/>
      <w:bookmarkEnd w:id="618"/>
    </w:p>
    <w:p>
      <w:pPr>
        <w:pStyle w:val="35"/>
        <w:spacing w:line="500" w:lineRule="atLeast"/>
        <w:ind w:firstLine="461"/>
        <w:rPr>
          <w:sz w:val="24"/>
        </w:rPr>
      </w:pPr>
      <w:r>
        <w:rPr>
          <w:sz w:val="24"/>
        </w:rPr>
        <w:t>(1)  根据工程进度计划，所有的监测仪器设备应在主体工程完工后分批移交。在每个移交时段之前的1个月内，监理人将与承包人相互协商，确定一个详细的仪器移交的工作计划。</w:t>
      </w:r>
    </w:p>
    <w:p>
      <w:pPr>
        <w:pStyle w:val="35"/>
        <w:spacing w:line="500" w:lineRule="atLeast"/>
        <w:ind w:firstLine="461"/>
        <w:rPr>
          <w:sz w:val="24"/>
        </w:rPr>
      </w:pPr>
      <w:r>
        <w:rPr>
          <w:sz w:val="24"/>
        </w:rPr>
        <w:t>(2)  主体工程完工后，发包人负责工程运行的工作人员将与承包人的工作人员一道进行仪器的测读并分批接收这些仪器。在此期间，承包人应与监理人和发包人的工作人员密切协作，以便仪器移交工作的顺利进行。</w:t>
      </w:r>
    </w:p>
    <w:p>
      <w:pPr>
        <w:pStyle w:val="35"/>
        <w:spacing w:line="500" w:lineRule="atLeast"/>
        <w:ind w:firstLine="461"/>
        <w:rPr>
          <w:sz w:val="24"/>
        </w:rPr>
      </w:pPr>
      <w:r>
        <w:rPr>
          <w:sz w:val="24"/>
        </w:rPr>
        <w:t>(3)  对于所移交的每一批仪器或设备，承包人应向监理人提交如下的资料：</w:t>
      </w:r>
    </w:p>
    <w:p>
      <w:pPr>
        <w:pStyle w:val="35"/>
        <w:spacing w:line="500" w:lineRule="atLeast"/>
        <w:ind w:firstLine="461"/>
        <w:rPr>
          <w:sz w:val="24"/>
        </w:rPr>
      </w:pPr>
      <w:r>
        <w:rPr>
          <w:sz w:val="24"/>
        </w:rPr>
        <w:t>1)  仪器埋设后的实测位置图及每件仪器的安装埋设记录；</w:t>
      </w:r>
    </w:p>
    <w:p>
      <w:pPr>
        <w:pStyle w:val="35"/>
        <w:spacing w:line="500" w:lineRule="atLeast"/>
        <w:ind w:firstLine="461"/>
        <w:rPr>
          <w:sz w:val="24"/>
        </w:rPr>
      </w:pPr>
      <w:r>
        <w:rPr>
          <w:sz w:val="24"/>
        </w:rPr>
        <w:t>2)  制造厂家提供的仪器的使用和维护说明书及率定记录的原件；</w:t>
      </w:r>
    </w:p>
    <w:p>
      <w:pPr>
        <w:pStyle w:val="35"/>
        <w:spacing w:line="500" w:lineRule="atLeast"/>
        <w:ind w:firstLine="461"/>
        <w:rPr>
          <w:sz w:val="24"/>
        </w:rPr>
      </w:pPr>
      <w:r>
        <w:rPr>
          <w:sz w:val="24"/>
        </w:rPr>
        <w:t>3)  制造厂家提供的所有仪器备件和附件；</w:t>
      </w:r>
    </w:p>
    <w:p>
      <w:pPr>
        <w:pStyle w:val="35"/>
        <w:spacing w:line="500" w:lineRule="atLeast"/>
        <w:ind w:firstLine="461"/>
        <w:rPr>
          <w:sz w:val="24"/>
        </w:rPr>
      </w:pPr>
      <w:r>
        <w:rPr>
          <w:sz w:val="24"/>
        </w:rPr>
        <w:t>4)  仪器从安装开始到移交前的监测记录和维护记录。</w:t>
      </w:r>
    </w:p>
    <w:p>
      <w:pPr>
        <w:pStyle w:val="35"/>
        <w:spacing w:line="500" w:lineRule="atLeast"/>
        <w:ind w:firstLine="461"/>
        <w:rPr>
          <w:sz w:val="24"/>
        </w:rPr>
      </w:pPr>
      <w:r>
        <w:rPr>
          <w:sz w:val="24"/>
        </w:rPr>
        <w:t>只有在监理人批准上述资料并对仪器进行检查后，该批仪器才能全部移交。</w:t>
      </w:r>
      <w:bookmarkStart w:id="619" w:name="_Toc7317818"/>
    </w:p>
    <w:p>
      <w:pPr>
        <w:pStyle w:val="35"/>
        <w:spacing w:line="480" w:lineRule="atLeast"/>
        <w:ind w:firstLine="461"/>
        <w:rPr>
          <w:sz w:val="24"/>
        </w:rPr>
      </w:pPr>
    </w:p>
    <w:p>
      <w:pPr>
        <w:pStyle w:val="4"/>
        <w:spacing w:before="0" w:after="0" w:line="480" w:lineRule="atLeast"/>
        <w:rPr>
          <w:rFonts w:ascii="黑体" w:hAnsi="黑体" w:eastAsia="黑体"/>
          <w:b w:val="0"/>
          <w:sz w:val="24"/>
          <w:szCs w:val="24"/>
        </w:rPr>
      </w:pPr>
      <w:bookmarkStart w:id="620" w:name="_Toc273199647"/>
      <w:bookmarkStart w:id="621" w:name="_Toc414615238"/>
      <w:bookmarkStart w:id="622" w:name="_Toc232162638"/>
      <w:bookmarkStart w:id="623" w:name="_Toc414615086"/>
      <w:bookmarkStart w:id="624" w:name="_Toc9513"/>
      <w:bookmarkStart w:id="625" w:name="_Toc240878387"/>
      <w:bookmarkStart w:id="626" w:name="_Toc118821535"/>
      <w:r>
        <w:rPr>
          <w:rFonts w:ascii="Times New Roman" w:hAnsi="Times New Roman"/>
          <w:sz w:val="24"/>
          <w:szCs w:val="24"/>
        </w:rPr>
        <w:t xml:space="preserve">6.2 </w:t>
      </w:r>
      <w:r>
        <w:rPr>
          <w:rFonts w:ascii="黑体" w:hAnsi="黑体" w:eastAsia="黑体"/>
          <w:b w:val="0"/>
          <w:sz w:val="24"/>
          <w:szCs w:val="24"/>
        </w:rPr>
        <w:t xml:space="preserve"> 质量控制</w:t>
      </w:r>
      <w:bookmarkEnd w:id="620"/>
      <w:bookmarkEnd w:id="621"/>
      <w:bookmarkEnd w:id="622"/>
      <w:bookmarkEnd w:id="623"/>
      <w:bookmarkEnd w:id="624"/>
      <w:bookmarkEnd w:id="625"/>
      <w:bookmarkEnd w:id="626"/>
    </w:p>
    <w:p>
      <w:pPr>
        <w:pStyle w:val="5"/>
        <w:spacing w:before="0" w:after="0" w:line="480" w:lineRule="atLeast"/>
        <w:jc w:val="both"/>
        <w:rPr>
          <w:szCs w:val="24"/>
        </w:rPr>
      </w:pPr>
      <w:bookmarkStart w:id="627" w:name="_Toc118821536"/>
      <w:bookmarkStart w:id="628" w:name="_Toc22523"/>
      <w:bookmarkStart w:id="629" w:name="_Toc240878388"/>
      <w:bookmarkStart w:id="630" w:name="_Toc273199648"/>
      <w:bookmarkStart w:id="631" w:name="_Toc521577826"/>
      <w:bookmarkStart w:id="632" w:name="_Toc232162639"/>
      <w:r>
        <w:rPr>
          <w:szCs w:val="24"/>
        </w:rPr>
        <w:t>6.2.1  质量保证</w:t>
      </w:r>
      <w:bookmarkEnd w:id="619"/>
      <w:r>
        <w:rPr>
          <w:szCs w:val="24"/>
        </w:rPr>
        <w:t>要求</w:t>
      </w:r>
      <w:bookmarkEnd w:id="627"/>
      <w:bookmarkEnd w:id="628"/>
      <w:bookmarkEnd w:id="629"/>
      <w:bookmarkEnd w:id="630"/>
      <w:bookmarkEnd w:id="631"/>
      <w:bookmarkEnd w:id="632"/>
    </w:p>
    <w:p>
      <w:pPr>
        <w:pStyle w:val="35"/>
        <w:spacing w:line="480" w:lineRule="atLeast"/>
        <w:ind w:firstLine="461"/>
        <w:rPr>
          <w:sz w:val="24"/>
        </w:rPr>
      </w:pPr>
      <w:r>
        <w:rPr>
          <w:sz w:val="24"/>
        </w:rPr>
        <w:t>(1)  承包人应建立和健全安全监测工程的质量保证体系，并依据监理人批准的设计文件制定出造孔、仪器设备采购、检验(率定)、埋设安装、维护保养、监测及资料整理各环节的质量控制标准和规章制度，指定各分项的质量保证责任人，并经常进行全员的安全生产教育，强化质量意识，以确保向发包人提供合格的安全监测工程和连续、可靠的监测资料。</w:t>
      </w:r>
    </w:p>
    <w:p>
      <w:pPr>
        <w:pStyle w:val="35"/>
        <w:spacing w:line="480" w:lineRule="atLeast"/>
        <w:ind w:firstLine="461"/>
        <w:rPr>
          <w:sz w:val="24"/>
        </w:rPr>
      </w:pPr>
      <w:r>
        <w:rPr>
          <w:sz w:val="24"/>
        </w:rPr>
        <w:t>(2)  承包人除严格按本卷有关质量控制条款要求执行外，还应特别注意如下事项：</w:t>
      </w:r>
    </w:p>
    <w:p>
      <w:pPr>
        <w:pStyle w:val="35"/>
        <w:spacing w:line="480" w:lineRule="atLeast"/>
        <w:ind w:firstLine="461"/>
        <w:rPr>
          <w:sz w:val="24"/>
        </w:rPr>
      </w:pPr>
      <w:r>
        <w:rPr>
          <w:sz w:val="24"/>
        </w:rPr>
        <w:t>1)  用于检验(率定)的仪器设备应经国家标准计量单位鉴定合格，其率定参数在有效的使用期内。</w:t>
      </w:r>
    </w:p>
    <w:p>
      <w:pPr>
        <w:pStyle w:val="35"/>
        <w:spacing w:line="480" w:lineRule="atLeast"/>
        <w:ind w:firstLine="461"/>
        <w:rPr>
          <w:kern w:val="0"/>
          <w:sz w:val="24"/>
        </w:rPr>
      </w:pPr>
      <w:r>
        <w:rPr>
          <w:sz w:val="24"/>
        </w:rPr>
        <w:t xml:space="preserve">2)  </w:t>
      </w:r>
      <w:r>
        <w:rPr>
          <w:kern w:val="0"/>
          <w:sz w:val="24"/>
        </w:rPr>
        <w:t>用于监测的二次直读式仪表应每月进行一次检验(校准)，并达到有关技术规范或厂说明书规定的要求。如需要更换仪表时，应先检验是否有互换性。</w:t>
      </w:r>
    </w:p>
    <w:p>
      <w:pPr>
        <w:pStyle w:val="35"/>
        <w:spacing w:line="480" w:lineRule="atLeast"/>
        <w:ind w:firstLine="461"/>
        <w:rPr>
          <w:kern w:val="0"/>
          <w:sz w:val="24"/>
        </w:rPr>
      </w:pPr>
      <w:r>
        <w:rPr>
          <w:kern w:val="0"/>
          <w:sz w:val="24"/>
        </w:rPr>
        <w:t>3)  承包人向监理人提供的所有资料，包括图纸、报告、手册及数据等，应是清楚易读的复印件和蓝图，或打印件，或光盘文件，其格式应经监理人认可，并具有系统的连续的索引编号。</w:t>
      </w:r>
    </w:p>
    <w:p>
      <w:pPr>
        <w:pStyle w:val="35"/>
        <w:spacing w:line="480" w:lineRule="atLeast"/>
        <w:ind w:firstLine="461"/>
        <w:rPr>
          <w:kern w:val="0"/>
          <w:sz w:val="24"/>
        </w:rPr>
      </w:pPr>
    </w:p>
    <w:p>
      <w:pPr>
        <w:pStyle w:val="5"/>
        <w:spacing w:before="0" w:after="0" w:line="480" w:lineRule="atLeast"/>
        <w:jc w:val="both"/>
        <w:rPr>
          <w:szCs w:val="24"/>
        </w:rPr>
      </w:pPr>
      <w:bookmarkStart w:id="633" w:name="_Toc240878389"/>
      <w:bookmarkStart w:id="634" w:name="_Toc118821537"/>
      <w:bookmarkStart w:id="635" w:name="_Toc232162640"/>
      <w:bookmarkStart w:id="636" w:name="_Toc22936"/>
      <w:bookmarkStart w:id="637" w:name="_Toc521577827"/>
      <w:bookmarkStart w:id="638" w:name="_Toc273199649"/>
      <w:r>
        <w:rPr>
          <w:szCs w:val="24"/>
        </w:rPr>
        <w:t>6.2.2  仪器设备的检查和交货验收</w:t>
      </w:r>
      <w:bookmarkEnd w:id="633"/>
      <w:bookmarkEnd w:id="634"/>
      <w:bookmarkEnd w:id="635"/>
      <w:bookmarkEnd w:id="636"/>
      <w:bookmarkEnd w:id="637"/>
      <w:bookmarkEnd w:id="638"/>
    </w:p>
    <w:p>
      <w:pPr>
        <w:pStyle w:val="35"/>
        <w:spacing w:line="480" w:lineRule="atLeast"/>
        <w:ind w:firstLine="461"/>
        <w:rPr>
          <w:sz w:val="24"/>
        </w:rPr>
      </w:pPr>
      <w:r>
        <w:rPr>
          <w:sz w:val="24"/>
        </w:rPr>
        <w:t>承包人采购的全部仪器设备应按本技术文件第2.2项的规定，进行检查和交货验收，并应将包括仪器设备出厂的检验测试报告和验收产品合格证书在内的交货验收资料提交监理人。</w:t>
      </w:r>
    </w:p>
    <w:p>
      <w:pPr>
        <w:pStyle w:val="35"/>
        <w:spacing w:line="480" w:lineRule="atLeast"/>
        <w:ind w:firstLine="461"/>
        <w:rPr>
          <w:sz w:val="24"/>
        </w:rPr>
      </w:pPr>
    </w:p>
    <w:p>
      <w:pPr>
        <w:pStyle w:val="5"/>
        <w:spacing w:before="0" w:after="0" w:line="480" w:lineRule="atLeast"/>
        <w:jc w:val="both"/>
        <w:rPr>
          <w:szCs w:val="24"/>
        </w:rPr>
      </w:pPr>
      <w:bookmarkStart w:id="639" w:name="_Toc232162641"/>
      <w:bookmarkStart w:id="640" w:name="_Toc240878390"/>
      <w:bookmarkStart w:id="641" w:name="_Toc118821538"/>
      <w:bookmarkStart w:id="642" w:name="_Toc273199650"/>
      <w:bookmarkStart w:id="643" w:name="_Toc521577828"/>
      <w:bookmarkStart w:id="644" w:name="_Toc3387"/>
      <w:r>
        <w:rPr>
          <w:szCs w:val="24"/>
        </w:rPr>
        <w:t>6.2.3  仪器设备安装埋设质量的检查</w:t>
      </w:r>
      <w:bookmarkEnd w:id="639"/>
      <w:bookmarkEnd w:id="640"/>
      <w:bookmarkEnd w:id="641"/>
      <w:bookmarkEnd w:id="642"/>
      <w:bookmarkEnd w:id="643"/>
      <w:bookmarkEnd w:id="644"/>
    </w:p>
    <w:p>
      <w:pPr>
        <w:adjustRightInd w:val="0"/>
        <w:snapToGrid w:val="0"/>
        <w:spacing w:line="480" w:lineRule="atLeast"/>
        <w:ind w:firstLine="480" w:firstLineChars="200"/>
        <w:rPr>
          <w:sz w:val="24"/>
        </w:rPr>
      </w:pPr>
      <w:bookmarkStart w:id="645" w:name="_Toc240878391"/>
      <w:bookmarkStart w:id="646" w:name="_Toc232162642"/>
      <w:bookmarkStart w:id="647" w:name="_Toc273199651"/>
      <w:r>
        <w:rPr>
          <w:sz w:val="24"/>
        </w:rPr>
        <w:t>每项工程建筑物的安全监测仪器设备安装埋设完毕后，承包人应会同监理人立即对仪器设备的安装埋设质量进行检查、检验和验收，经监理人检查确认其质量合格后，才能允许工程建筑物继续施工，并立即进行监测工作。</w:t>
      </w:r>
    </w:p>
    <w:p>
      <w:pPr>
        <w:adjustRightInd w:val="0"/>
        <w:snapToGrid w:val="0"/>
        <w:spacing w:line="480" w:lineRule="atLeast"/>
        <w:ind w:firstLine="480" w:firstLineChars="200"/>
        <w:rPr>
          <w:sz w:val="24"/>
        </w:rPr>
      </w:pPr>
    </w:p>
    <w:p>
      <w:pPr>
        <w:spacing w:line="480" w:lineRule="atLeast"/>
        <w:rPr>
          <w:b/>
          <w:sz w:val="24"/>
        </w:rPr>
      </w:pPr>
      <w:r>
        <w:rPr>
          <w:b/>
          <w:sz w:val="24"/>
        </w:rPr>
        <w:t>6.2.4  其他与仪器安装埋设相关的土建工程的质量检查和验收</w:t>
      </w:r>
      <w:bookmarkEnd w:id="645"/>
      <w:bookmarkEnd w:id="646"/>
      <w:bookmarkEnd w:id="647"/>
    </w:p>
    <w:p>
      <w:pPr>
        <w:pStyle w:val="35"/>
        <w:spacing w:line="480" w:lineRule="atLeast"/>
        <w:ind w:firstLine="463"/>
        <w:rPr>
          <w:b/>
          <w:bCs/>
          <w:sz w:val="24"/>
        </w:rPr>
      </w:pPr>
      <w:r>
        <w:rPr>
          <w:b/>
          <w:bCs/>
          <w:sz w:val="24"/>
        </w:rPr>
        <w:t>(1)</w:t>
      </w:r>
      <w:r>
        <w:rPr>
          <w:rFonts w:hint="eastAsia"/>
          <w:b/>
          <w:bCs/>
          <w:sz w:val="24"/>
        </w:rPr>
        <w:t xml:space="preserve">  </w:t>
      </w:r>
      <w:r>
        <w:rPr>
          <w:b/>
          <w:bCs/>
          <w:sz w:val="24"/>
        </w:rPr>
        <w:t>钻孔和钻孔回填</w:t>
      </w:r>
    </w:p>
    <w:p>
      <w:pPr>
        <w:pStyle w:val="35"/>
        <w:spacing w:line="480" w:lineRule="atLeast"/>
        <w:ind w:firstLine="461"/>
        <w:rPr>
          <w:sz w:val="24"/>
        </w:rPr>
      </w:pPr>
      <w:r>
        <w:rPr>
          <w:sz w:val="24"/>
        </w:rPr>
        <w:t>钻孔和钻孔回填质量检查包括：</w:t>
      </w:r>
    </w:p>
    <w:p>
      <w:pPr>
        <w:pStyle w:val="35"/>
        <w:spacing w:line="480" w:lineRule="atLeast"/>
        <w:ind w:firstLine="461"/>
        <w:rPr>
          <w:sz w:val="24"/>
        </w:rPr>
      </w:pPr>
      <w:r>
        <w:rPr>
          <w:sz w:val="24"/>
        </w:rPr>
        <w:t>1)  钻孔测量放样检查；</w:t>
      </w:r>
    </w:p>
    <w:p>
      <w:pPr>
        <w:pStyle w:val="35"/>
        <w:spacing w:line="480" w:lineRule="atLeast"/>
        <w:ind w:firstLine="461"/>
        <w:rPr>
          <w:sz w:val="24"/>
        </w:rPr>
      </w:pPr>
      <w:r>
        <w:rPr>
          <w:sz w:val="24"/>
        </w:rPr>
        <w:t>2)  钻孔孔深、孔斜验收；</w:t>
      </w:r>
    </w:p>
    <w:p>
      <w:pPr>
        <w:pStyle w:val="35"/>
        <w:spacing w:line="480" w:lineRule="atLeast"/>
        <w:ind w:firstLine="461"/>
        <w:rPr>
          <w:sz w:val="24"/>
        </w:rPr>
      </w:pPr>
      <w:r>
        <w:rPr>
          <w:sz w:val="24"/>
        </w:rPr>
        <w:t>3)  钻孔取芯的检查和验收；</w:t>
      </w:r>
    </w:p>
    <w:p>
      <w:pPr>
        <w:pStyle w:val="35"/>
        <w:spacing w:line="480" w:lineRule="atLeast"/>
        <w:ind w:firstLine="461"/>
        <w:rPr>
          <w:sz w:val="24"/>
        </w:rPr>
      </w:pPr>
      <w:r>
        <w:rPr>
          <w:sz w:val="24"/>
        </w:rPr>
        <w:t>4)  钻孔冲洗的检查；</w:t>
      </w:r>
    </w:p>
    <w:p>
      <w:pPr>
        <w:pStyle w:val="35"/>
        <w:spacing w:line="480" w:lineRule="atLeast"/>
        <w:ind w:firstLine="461"/>
        <w:rPr>
          <w:sz w:val="24"/>
        </w:rPr>
      </w:pPr>
      <w:r>
        <w:rPr>
          <w:sz w:val="24"/>
        </w:rPr>
        <w:t>5)  回填材料质量检查；</w:t>
      </w:r>
    </w:p>
    <w:p>
      <w:pPr>
        <w:pStyle w:val="35"/>
        <w:spacing w:line="480" w:lineRule="atLeast"/>
        <w:ind w:firstLine="461"/>
        <w:rPr>
          <w:sz w:val="24"/>
        </w:rPr>
      </w:pPr>
      <w:r>
        <w:rPr>
          <w:sz w:val="24"/>
        </w:rPr>
        <w:t>6)  回填工艺检查；</w:t>
      </w:r>
    </w:p>
    <w:p>
      <w:pPr>
        <w:pStyle w:val="35"/>
        <w:spacing w:line="480" w:lineRule="atLeast"/>
        <w:ind w:firstLine="461"/>
        <w:rPr>
          <w:sz w:val="24"/>
        </w:rPr>
      </w:pPr>
      <w:r>
        <w:rPr>
          <w:sz w:val="24"/>
        </w:rPr>
        <w:t>7)  水泥浆和水泥砂浆强度检测。</w:t>
      </w:r>
    </w:p>
    <w:p>
      <w:pPr>
        <w:pStyle w:val="35"/>
        <w:spacing w:line="480" w:lineRule="atLeast"/>
        <w:ind w:firstLine="463"/>
        <w:rPr>
          <w:b/>
          <w:bCs/>
          <w:sz w:val="24"/>
        </w:rPr>
      </w:pPr>
      <w:r>
        <w:rPr>
          <w:b/>
          <w:bCs/>
          <w:sz w:val="24"/>
        </w:rPr>
        <w:t>(2) 混凝土工程</w:t>
      </w:r>
    </w:p>
    <w:p>
      <w:pPr>
        <w:pStyle w:val="35"/>
        <w:spacing w:line="480" w:lineRule="atLeast"/>
        <w:ind w:firstLine="461"/>
        <w:rPr>
          <w:sz w:val="24"/>
        </w:rPr>
      </w:pPr>
      <w:r>
        <w:rPr>
          <w:sz w:val="24"/>
        </w:rPr>
        <w:t>1)  承包人用于本工程的材料应符合国家和行业的有关材料质量标准和规定，严禁使用不合格材料；每批采购的火工材料、水泥、钢筋、外加剂和掺和料等，均应附有生产厂家的质量证明书及出厂检验单，监理人认为必要时可进行材料取样检测。</w:t>
      </w:r>
    </w:p>
    <w:p>
      <w:pPr>
        <w:pStyle w:val="35"/>
        <w:spacing w:line="480" w:lineRule="atLeast"/>
        <w:ind w:firstLine="461"/>
        <w:rPr>
          <w:sz w:val="24"/>
        </w:rPr>
      </w:pPr>
      <w:r>
        <w:rPr>
          <w:sz w:val="24"/>
        </w:rPr>
        <w:t>2)  承包人应按施工图纸的规定和监理人指示，每班进行现场混凝土坍落度的检测。</w:t>
      </w:r>
    </w:p>
    <w:p>
      <w:pPr>
        <w:pStyle w:val="35"/>
        <w:spacing w:line="480" w:lineRule="atLeast"/>
        <w:ind w:firstLine="461"/>
        <w:rPr>
          <w:sz w:val="24"/>
        </w:rPr>
      </w:pPr>
      <w:r>
        <w:rPr>
          <w:sz w:val="24"/>
        </w:rPr>
        <w:t>3)  建基面浇筑混凝土前应进行地基检查处理与验收。</w:t>
      </w:r>
    </w:p>
    <w:p>
      <w:pPr>
        <w:pStyle w:val="35"/>
        <w:spacing w:line="480" w:lineRule="atLeast"/>
        <w:ind w:firstLine="461"/>
        <w:rPr>
          <w:sz w:val="24"/>
        </w:rPr>
      </w:pPr>
      <w:r>
        <w:rPr>
          <w:sz w:val="24"/>
        </w:rPr>
        <w:t>4)  在混凝土浇筑过程中，承包人应会同监理人对混凝土工程建筑物测量放样成果进行检查和验收。</w:t>
      </w:r>
    </w:p>
    <w:p>
      <w:pPr>
        <w:pStyle w:val="35"/>
        <w:spacing w:line="480" w:lineRule="atLeast"/>
        <w:ind w:firstLine="461"/>
        <w:rPr>
          <w:sz w:val="24"/>
        </w:rPr>
      </w:pPr>
      <w:r>
        <w:rPr>
          <w:sz w:val="24"/>
        </w:rPr>
        <w:t>5)  按监理人指示和本规范的规定对混凝土工程建筑物永久结构面修整质量进行检查和验收。</w:t>
      </w:r>
    </w:p>
    <w:p>
      <w:pPr>
        <w:pStyle w:val="35"/>
        <w:spacing w:line="480" w:lineRule="atLeast"/>
        <w:ind w:firstLine="461"/>
        <w:rPr>
          <w:sz w:val="24"/>
        </w:rPr>
      </w:pPr>
      <w:r>
        <w:rPr>
          <w:sz w:val="24"/>
        </w:rPr>
        <w:t>6)  混凝上工程建筑物全部浇筑完成后，承包人应按监理人指示，对建筑物成型后的位置和尺寸进行复测，并将复测成果报送监理人，作为完工验收的资料。</w:t>
      </w:r>
    </w:p>
    <w:p>
      <w:pPr>
        <w:pStyle w:val="35"/>
        <w:spacing w:line="480" w:lineRule="atLeast"/>
        <w:ind w:firstLine="461"/>
        <w:rPr>
          <w:sz w:val="24"/>
        </w:rPr>
      </w:pPr>
    </w:p>
    <w:p>
      <w:pPr>
        <w:spacing w:line="480" w:lineRule="atLeast"/>
        <w:rPr>
          <w:b/>
          <w:sz w:val="24"/>
        </w:rPr>
      </w:pPr>
      <w:bookmarkStart w:id="648" w:name="_Toc273199652"/>
      <w:bookmarkStart w:id="649" w:name="_Toc240878392"/>
      <w:bookmarkStart w:id="650" w:name="_Toc232162643"/>
      <w:r>
        <w:rPr>
          <w:b/>
          <w:sz w:val="24"/>
        </w:rPr>
        <w:t>6.2.5  完工验收</w:t>
      </w:r>
      <w:bookmarkEnd w:id="648"/>
      <w:bookmarkEnd w:id="649"/>
      <w:bookmarkEnd w:id="650"/>
    </w:p>
    <w:p>
      <w:pPr>
        <w:adjustRightInd w:val="0"/>
        <w:snapToGrid w:val="0"/>
        <w:spacing w:line="480" w:lineRule="atLeast"/>
        <w:ind w:firstLine="480" w:firstLineChars="200"/>
        <w:rPr>
          <w:sz w:val="24"/>
        </w:rPr>
      </w:pPr>
      <w:r>
        <w:rPr>
          <w:sz w:val="24"/>
        </w:rPr>
        <w:t>(1)  全部监测仪器设备安装埋设完毕后，承包人应在进行工程建筑物完工验收的同时，申请对本工程安全监测项目进行完工验收，并向监理人提交以下完工资料：</w:t>
      </w:r>
    </w:p>
    <w:p>
      <w:pPr>
        <w:adjustRightInd w:val="0"/>
        <w:snapToGrid w:val="0"/>
        <w:spacing w:line="480" w:lineRule="atLeast"/>
        <w:ind w:firstLine="480" w:firstLineChars="200"/>
        <w:rPr>
          <w:sz w:val="24"/>
        </w:rPr>
      </w:pPr>
      <w:r>
        <w:rPr>
          <w:sz w:val="24"/>
        </w:rPr>
        <w:t>1)  监测仪器设备清单(包括编号、部位、仪器名称、起测日期、目前状态等)；</w:t>
      </w:r>
    </w:p>
    <w:p>
      <w:pPr>
        <w:adjustRightInd w:val="0"/>
        <w:snapToGrid w:val="0"/>
        <w:spacing w:line="480" w:lineRule="atLeast"/>
        <w:ind w:firstLine="480" w:firstLineChars="200"/>
        <w:rPr>
          <w:sz w:val="24"/>
        </w:rPr>
      </w:pPr>
      <w:r>
        <w:rPr>
          <w:sz w:val="24"/>
        </w:rPr>
        <w:t>2)  监测仪器设备的检验和安装埋设记录；</w:t>
      </w:r>
    </w:p>
    <w:p>
      <w:pPr>
        <w:adjustRightInd w:val="0"/>
        <w:snapToGrid w:val="0"/>
        <w:spacing w:line="480" w:lineRule="atLeast"/>
        <w:ind w:firstLine="480" w:firstLineChars="200"/>
        <w:rPr>
          <w:sz w:val="24"/>
        </w:rPr>
      </w:pPr>
      <w:r>
        <w:rPr>
          <w:sz w:val="24"/>
        </w:rPr>
        <w:t>3)  监测仪器设备安装埋设竣工图；</w:t>
      </w:r>
    </w:p>
    <w:p>
      <w:pPr>
        <w:adjustRightInd w:val="0"/>
        <w:snapToGrid w:val="0"/>
        <w:spacing w:line="480" w:lineRule="atLeast"/>
        <w:ind w:firstLine="480" w:firstLineChars="200"/>
        <w:rPr>
          <w:sz w:val="24"/>
        </w:rPr>
      </w:pPr>
      <w:r>
        <w:rPr>
          <w:sz w:val="24"/>
        </w:rPr>
        <w:t>4)  监测资料整编分析报告(包括监测仪器特征值汇总表、各测点的数据过程线)。</w:t>
      </w:r>
    </w:p>
    <w:p>
      <w:pPr>
        <w:adjustRightInd w:val="0"/>
        <w:snapToGrid w:val="0"/>
        <w:spacing w:line="480" w:lineRule="atLeast"/>
        <w:ind w:firstLine="480" w:firstLineChars="200"/>
        <w:rPr>
          <w:sz w:val="24"/>
        </w:rPr>
      </w:pPr>
      <w:r>
        <w:rPr>
          <w:sz w:val="24"/>
        </w:rPr>
        <w:t>(2)  本合同工程建筑物全部完成，并经验收合格，全部监测仪器设备及其监测原始数据及资料(包括电子文档)应完好地移交发包人。</w:t>
      </w:r>
    </w:p>
    <w:p>
      <w:pPr>
        <w:adjustRightInd w:val="0"/>
        <w:snapToGrid w:val="0"/>
        <w:spacing w:line="480" w:lineRule="atLeast"/>
        <w:ind w:firstLine="480" w:firstLineChars="200"/>
        <w:rPr>
          <w:sz w:val="24"/>
        </w:rPr>
      </w:pPr>
      <w:r>
        <w:rPr>
          <w:sz w:val="24"/>
        </w:rPr>
        <w:t>(3)  全部监测仪器设备的保修期与工程保修期相同。保修期内承包人应按工程建筑物安全监测设计要求，负责维护全部仪器设备的应用性能，一旦由于仪器自身或埋设原因发生仪器设备失效，应由承包人负责更换。对无法更换的埋置设备，应及时报告监理人，并按监理人指示，采取补救措施，设法满足安全监测数据的采集要求。</w:t>
      </w:r>
    </w:p>
    <w:p>
      <w:pPr>
        <w:widowControl/>
        <w:jc w:val="left"/>
        <w:rPr>
          <w:sz w:val="24"/>
        </w:rPr>
      </w:pPr>
      <w:r>
        <w:rPr>
          <w:sz w:val="24"/>
        </w:rPr>
        <w:br w:type="page"/>
      </w:r>
    </w:p>
    <w:p>
      <w:pPr>
        <w:pStyle w:val="3"/>
        <w:spacing w:before="0" w:after="0" w:line="500" w:lineRule="atLeast"/>
        <w:jc w:val="center"/>
        <w:rPr>
          <w:rFonts w:ascii="黑体" w:hAnsi="黑体" w:eastAsia="黑体"/>
          <w:b w:val="0"/>
          <w:sz w:val="30"/>
        </w:rPr>
      </w:pPr>
      <w:bookmarkStart w:id="651" w:name="_Toc118821539"/>
      <w:bookmarkStart w:id="652" w:name="_Toc29906"/>
      <w:r>
        <w:rPr>
          <w:rFonts w:hint="eastAsia" w:ascii="黑体" w:hAnsi="黑体" w:eastAsia="黑体"/>
          <w:b w:val="0"/>
          <w:sz w:val="30"/>
        </w:rPr>
        <w:t>第七章 计量和支付</w:t>
      </w:r>
      <w:bookmarkEnd w:id="651"/>
      <w:bookmarkEnd w:id="652"/>
    </w:p>
    <w:p/>
    <w:p>
      <w:pPr>
        <w:adjustRightInd w:val="0"/>
        <w:snapToGrid w:val="0"/>
        <w:spacing w:line="480" w:lineRule="atLeast"/>
        <w:ind w:firstLine="480" w:firstLineChars="200"/>
        <w:rPr>
          <w:sz w:val="24"/>
        </w:rPr>
      </w:pPr>
      <w:r>
        <w:rPr>
          <w:rFonts w:hint="eastAsia"/>
          <w:sz w:val="24"/>
        </w:rPr>
        <w:t xml:space="preserve">(1)  </w:t>
      </w:r>
      <w:r>
        <w:rPr>
          <w:sz w:val="24"/>
        </w:rPr>
        <w:t>各项监测仪器设备，应按《工程量清单》中所列各项目规定的单位计量。其支付工程量，应按施工图纸和监理人签认的现场安装埋设数量计算，并</w:t>
      </w:r>
      <w:r>
        <w:rPr>
          <w:rFonts w:hint="eastAsia"/>
          <w:sz w:val="24"/>
        </w:rPr>
        <w:t>由发包人按《工程量清单》相应项目有效工程量的工程单价支付</w:t>
      </w:r>
      <w:r>
        <w:rPr>
          <w:sz w:val="24"/>
        </w:rPr>
        <w:t>。设备</w:t>
      </w:r>
      <w:r>
        <w:rPr>
          <w:rFonts w:hint="eastAsia"/>
          <w:sz w:val="24"/>
        </w:rPr>
        <w:t>单价应</w:t>
      </w:r>
      <w:r>
        <w:rPr>
          <w:sz w:val="24"/>
        </w:rPr>
        <w:t>包括监测仪器设备(包括备品备件)的采购、验收、检验、率定、运输、装配、保管费用；安装</w:t>
      </w:r>
      <w:r>
        <w:rPr>
          <w:rFonts w:hint="eastAsia"/>
          <w:sz w:val="24"/>
        </w:rPr>
        <w:t>单价</w:t>
      </w:r>
      <w:r>
        <w:rPr>
          <w:sz w:val="24"/>
        </w:rPr>
        <w:t>应包括各项监测仪器设备的安装</w:t>
      </w:r>
      <w:r>
        <w:rPr>
          <w:rFonts w:hint="eastAsia"/>
          <w:sz w:val="24"/>
        </w:rPr>
        <w:t>、</w:t>
      </w:r>
      <w:r>
        <w:rPr>
          <w:sz w:val="24"/>
        </w:rPr>
        <w:t>埋设</w:t>
      </w:r>
      <w:r>
        <w:rPr>
          <w:rFonts w:hint="eastAsia"/>
          <w:sz w:val="24"/>
        </w:rPr>
        <w:t>、调试、零星土建</w:t>
      </w:r>
      <w:r>
        <w:rPr>
          <w:sz w:val="24"/>
        </w:rPr>
        <w:t>及用水泥砂浆、水泥浆或砂回填</w:t>
      </w:r>
      <w:r>
        <w:rPr>
          <w:rFonts w:hint="eastAsia"/>
          <w:sz w:val="24"/>
        </w:rPr>
        <w:t>、</w:t>
      </w:r>
      <w:r>
        <w:rPr>
          <w:sz w:val="24"/>
        </w:rPr>
        <w:t>维护等作业所需的人工、材料和使用设备和辅助设施、质量检查和验收等各项工作所需的全部费用。</w:t>
      </w:r>
    </w:p>
    <w:p>
      <w:pPr>
        <w:adjustRightInd w:val="0"/>
        <w:snapToGrid w:val="0"/>
        <w:spacing w:line="480" w:lineRule="atLeast"/>
        <w:ind w:firstLine="480" w:firstLineChars="200"/>
        <w:rPr>
          <w:sz w:val="24"/>
        </w:rPr>
      </w:pPr>
      <w:r>
        <w:rPr>
          <w:rFonts w:hint="eastAsia"/>
          <w:sz w:val="24"/>
        </w:rPr>
        <w:t xml:space="preserve">(2)  </w:t>
      </w:r>
      <w:r>
        <w:rPr>
          <w:sz w:val="24"/>
        </w:rPr>
        <w:t>监测仪器设备的电缆</w:t>
      </w:r>
      <w:r>
        <w:rPr>
          <w:rFonts w:hint="eastAsia"/>
          <w:sz w:val="24"/>
        </w:rPr>
        <w:t>和光缆敷设所采用的槽钢、钢护管或PVC保护管</w:t>
      </w:r>
      <w:r>
        <w:rPr>
          <w:sz w:val="24"/>
        </w:rPr>
        <w:t>，应按施工图纸和监理人签认的现场实际敷设工程量，以m为单位</w:t>
      </w:r>
      <w:r>
        <w:rPr>
          <w:rFonts w:hint="eastAsia"/>
          <w:sz w:val="24"/>
        </w:rPr>
        <w:t>进行</w:t>
      </w:r>
      <w:r>
        <w:rPr>
          <w:sz w:val="24"/>
        </w:rPr>
        <w:t>计量，并按《工程量清单》</w:t>
      </w:r>
      <w:r>
        <w:rPr>
          <w:rFonts w:hint="eastAsia"/>
          <w:sz w:val="24"/>
        </w:rPr>
        <w:t>相应项目有效工程量的每米工程单价支付。</w:t>
      </w:r>
      <w:r>
        <w:rPr>
          <w:sz w:val="24"/>
        </w:rPr>
        <w:t>该单价包括电缆</w:t>
      </w:r>
      <w:r>
        <w:rPr>
          <w:rFonts w:hint="eastAsia"/>
          <w:sz w:val="24"/>
        </w:rPr>
        <w:t>和光纤</w:t>
      </w:r>
      <w:r>
        <w:rPr>
          <w:sz w:val="24"/>
        </w:rPr>
        <w:t>材料</w:t>
      </w:r>
      <w:r>
        <w:rPr>
          <w:rFonts w:hint="eastAsia"/>
          <w:sz w:val="24"/>
        </w:rPr>
        <w:t>或电缆敷设的槽钢、钢护管、PVC保护管</w:t>
      </w:r>
      <w:r>
        <w:rPr>
          <w:sz w:val="24"/>
        </w:rPr>
        <w:t>的采购、运输、保管和加工以及现场敷设</w:t>
      </w:r>
      <w:r>
        <w:rPr>
          <w:rFonts w:hint="eastAsia"/>
          <w:sz w:val="24"/>
        </w:rPr>
        <w:t>、线缆</w:t>
      </w:r>
      <w:r>
        <w:rPr>
          <w:sz w:val="24"/>
        </w:rPr>
        <w:t>熔接保护、</w:t>
      </w:r>
      <w:r>
        <w:rPr>
          <w:rFonts w:hint="eastAsia"/>
          <w:sz w:val="24"/>
        </w:rPr>
        <w:t>防雷焊接(钢护管)</w:t>
      </w:r>
      <w:r>
        <w:rPr>
          <w:sz w:val="24"/>
        </w:rPr>
        <w:t>等所需的人工、材料(包括埋件等附件)和使用设备及辅助设施，以及质量检查和验收等一切费用。承包人在电缆</w:t>
      </w:r>
      <w:r>
        <w:rPr>
          <w:rFonts w:hint="eastAsia"/>
          <w:sz w:val="24"/>
        </w:rPr>
        <w:t>或</w:t>
      </w:r>
      <w:r>
        <w:rPr>
          <w:sz w:val="24"/>
        </w:rPr>
        <w:t>电缆保护管槽切割、弯曲、连接等加工中的损耗均包括在该项目的单价中。</w:t>
      </w:r>
    </w:p>
    <w:p>
      <w:pPr>
        <w:adjustRightInd w:val="0"/>
        <w:snapToGrid w:val="0"/>
        <w:spacing w:line="480" w:lineRule="atLeast"/>
        <w:ind w:firstLine="480" w:firstLineChars="200"/>
        <w:rPr>
          <w:sz w:val="24"/>
        </w:rPr>
      </w:pPr>
      <w:r>
        <w:rPr>
          <w:rFonts w:hint="eastAsia"/>
          <w:sz w:val="24"/>
        </w:rPr>
        <w:t xml:space="preserve"> (</w:t>
      </w:r>
      <w:r>
        <w:rPr>
          <w:sz w:val="24"/>
        </w:rPr>
        <w:t>3</w:t>
      </w:r>
      <w:r>
        <w:rPr>
          <w:rFonts w:hint="eastAsia"/>
          <w:sz w:val="24"/>
        </w:rPr>
        <w:t>)  强制对中</w:t>
      </w:r>
      <w:r>
        <w:rPr>
          <w:sz w:val="24"/>
        </w:rPr>
        <w:t>基盘</w:t>
      </w:r>
      <w:r>
        <w:rPr>
          <w:rFonts w:hint="eastAsia"/>
          <w:sz w:val="24"/>
        </w:rPr>
        <w:t>、水准标点及其它测量标志观测墩，按施工图纸</w:t>
      </w:r>
      <w:r>
        <w:rPr>
          <w:sz w:val="24"/>
        </w:rPr>
        <w:t>或监理人签认的</w:t>
      </w:r>
      <w:r>
        <w:rPr>
          <w:rFonts w:hint="eastAsia"/>
          <w:sz w:val="24"/>
        </w:rPr>
        <w:t>墩体数量以个为单位计量，由发包人按《工程量清单》相应项目有效工程量以个的工程单价支付。</w:t>
      </w:r>
      <w:r>
        <w:rPr>
          <w:sz w:val="24"/>
        </w:rPr>
        <w:t>该单价应包括为完成上述项目开挖和混凝土浇筑及预制件的加工所需的人工、试验、检测、养护、材料(包括钢筋及其加工损耗)、埋件(不含强制对中</w:t>
      </w:r>
      <w:r>
        <w:rPr>
          <w:rFonts w:hint="eastAsia"/>
          <w:sz w:val="24"/>
          <w:lang w:val="en-US" w:eastAsia="zh-CN"/>
        </w:rPr>
        <w:t>基</w:t>
      </w:r>
      <w:r>
        <w:rPr>
          <w:sz w:val="24"/>
        </w:rPr>
        <w:t>盘和水准标</w:t>
      </w:r>
      <w:r>
        <w:rPr>
          <w:rFonts w:hint="eastAsia"/>
          <w:sz w:val="24"/>
        </w:rPr>
        <w:t>点</w:t>
      </w:r>
      <w:r>
        <w:rPr>
          <w:sz w:val="24"/>
        </w:rPr>
        <w:t>)及使用设备和辅助设施等的一切费用。图纸所示或监理人指示边线以外超挖部分的回填混凝土及其它混凝土，以及按本技术条</w:t>
      </w:r>
      <w:r>
        <w:rPr>
          <w:rFonts w:hint="eastAsia"/>
          <w:sz w:val="24"/>
        </w:rPr>
        <w:t>款和规范的规定进行质量检查和验收的费用，均包括在该项目的单价中。</w:t>
      </w:r>
    </w:p>
    <w:p>
      <w:pPr>
        <w:adjustRightInd w:val="0"/>
        <w:snapToGrid w:val="0"/>
        <w:spacing w:line="480" w:lineRule="atLeast"/>
        <w:ind w:firstLine="480" w:firstLineChars="200"/>
        <w:rPr>
          <w:sz w:val="24"/>
        </w:rPr>
      </w:pPr>
      <w:r>
        <w:rPr>
          <w:rFonts w:hint="eastAsia"/>
          <w:sz w:val="24"/>
        </w:rPr>
        <w:t>(4)</w:t>
      </w:r>
      <w:r>
        <w:rPr>
          <w:rFonts w:hint="eastAsia"/>
          <w:sz w:val="24"/>
          <w:lang w:val="en-US" w:eastAsia="zh-CN"/>
        </w:rPr>
        <w:t xml:space="preserve">  </w:t>
      </w:r>
      <w:r>
        <w:rPr>
          <w:rFonts w:hint="eastAsia"/>
          <w:sz w:val="24"/>
        </w:rPr>
        <w:t>多点位移计</w:t>
      </w:r>
      <w:r>
        <w:rPr>
          <w:sz w:val="24"/>
        </w:rPr>
        <w:t>钻孔</w:t>
      </w:r>
      <w:r>
        <w:rPr>
          <w:rFonts w:hint="eastAsia"/>
          <w:sz w:val="24"/>
        </w:rPr>
        <w:t>、</w:t>
      </w:r>
      <w:r>
        <w:rPr>
          <w:sz w:val="24"/>
        </w:rPr>
        <w:t>测压管钻孔</w:t>
      </w:r>
      <w:r>
        <w:rPr>
          <w:rFonts w:hint="eastAsia"/>
          <w:sz w:val="24"/>
        </w:rPr>
        <w:t>、测斜管钻孔</w:t>
      </w:r>
      <w:r>
        <w:rPr>
          <w:sz w:val="24"/>
        </w:rPr>
        <w:t>和回填</w:t>
      </w:r>
      <w:r>
        <w:rPr>
          <w:rFonts w:hint="eastAsia"/>
          <w:sz w:val="24"/>
        </w:rPr>
        <w:t>等，</w:t>
      </w:r>
      <w:r>
        <w:rPr>
          <w:sz w:val="24"/>
        </w:rPr>
        <w:t>按施工图纸所示和监理人签认的数量，以</w:t>
      </w:r>
      <w:r>
        <w:rPr>
          <w:rFonts w:hint="eastAsia"/>
          <w:sz w:val="24"/>
        </w:rPr>
        <w:t>m</w:t>
      </w:r>
      <w:r>
        <w:rPr>
          <w:sz w:val="24"/>
        </w:rPr>
        <w:t>为单位</w:t>
      </w:r>
      <w:r>
        <w:rPr>
          <w:rFonts w:hint="eastAsia"/>
          <w:sz w:val="24"/>
        </w:rPr>
        <w:t>进行</w:t>
      </w:r>
      <w:r>
        <w:rPr>
          <w:sz w:val="24"/>
        </w:rPr>
        <w:t>计量，</w:t>
      </w:r>
      <w:r>
        <w:rPr>
          <w:rFonts w:hint="eastAsia"/>
          <w:sz w:val="24"/>
        </w:rPr>
        <w:t>由发包人按《工程量清单》相应项目有效工程量的每米工程单价支付。</w:t>
      </w:r>
      <w:r>
        <w:rPr>
          <w:sz w:val="24"/>
        </w:rPr>
        <w:t>单价中包含管件</w:t>
      </w:r>
      <w:r>
        <w:rPr>
          <w:rFonts w:hint="eastAsia"/>
          <w:sz w:val="24"/>
        </w:rPr>
        <w:t>和材料</w:t>
      </w:r>
      <w:r>
        <w:rPr>
          <w:sz w:val="24"/>
        </w:rPr>
        <w:t>的购置、运输、储存、保管、</w:t>
      </w:r>
      <w:r>
        <w:rPr>
          <w:rFonts w:hint="eastAsia"/>
          <w:sz w:val="24"/>
        </w:rPr>
        <w:t>检验、</w:t>
      </w:r>
      <w:r>
        <w:rPr>
          <w:sz w:val="24"/>
        </w:rPr>
        <w:t>加工、安装、回填和孔口保护等作业所需的人工、材料、使用设备和辅助设施及测量、校正、维护、质量检查和验收等各项工作所需的全部费用。</w:t>
      </w:r>
    </w:p>
    <w:p>
      <w:pPr>
        <w:adjustRightInd w:val="0"/>
        <w:snapToGrid w:val="0"/>
        <w:spacing w:line="480" w:lineRule="atLeast"/>
        <w:ind w:firstLine="480" w:firstLineChars="200"/>
        <w:rPr>
          <w:sz w:val="24"/>
        </w:rPr>
      </w:pPr>
      <w:r>
        <w:rPr>
          <w:rFonts w:hint="eastAsia"/>
          <w:sz w:val="24"/>
        </w:rPr>
        <w:t>(5)</w:t>
      </w:r>
      <w:r>
        <w:rPr>
          <w:rFonts w:hint="eastAsia"/>
          <w:sz w:val="24"/>
          <w:lang w:val="en-US" w:eastAsia="zh-CN"/>
        </w:rPr>
        <w:t xml:space="preserve">  </w:t>
      </w:r>
      <w:r>
        <w:rPr>
          <w:rFonts w:hint="eastAsia"/>
          <w:sz w:val="24"/>
        </w:rPr>
        <w:t>测斜管、测压管、水位计</w:t>
      </w:r>
      <w:r>
        <w:rPr>
          <w:sz w:val="24"/>
        </w:rPr>
        <w:t>护管</w:t>
      </w:r>
      <w:r>
        <w:rPr>
          <w:rFonts w:hint="eastAsia"/>
          <w:sz w:val="24"/>
        </w:rPr>
        <w:t>、</w:t>
      </w:r>
      <w:r>
        <w:rPr>
          <w:sz w:val="24"/>
        </w:rPr>
        <w:t>水</w:t>
      </w:r>
      <w:r>
        <w:rPr>
          <w:rFonts w:hint="eastAsia"/>
          <w:sz w:val="24"/>
        </w:rPr>
        <w:t>尺等，</w:t>
      </w:r>
      <w:r>
        <w:rPr>
          <w:sz w:val="24"/>
        </w:rPr>
        <w:t>应按施工图纸所示和监理人签认的数量</w:t>
      </w:r>
      <w:r>
        <w:rPr>
          <w:rFonts w:hint="eastAsia"/>
          <w:sz w:val="24"/>
        </w:rPr>
        <w:t>，以m为单位计量，由发包人按《工程量清单》相应项目有效工程量的每米工程单价支付。</w:t>
      </w:r>
    </w:p>
    <w:p>
      <w:pPr>
        <w:adjustRightInd w:val="0"/>
        <w:snapToGrid w:val="0"/>
        <w:spacing w:line="480" w:lineRule="atLeast"/>
        <w:ind w:firstLine="360" w:firstLineChars="150"/>
        <w:rPr>
          <w:sz w:val="24"/>
        </w:rPr>
      </w:pPr>
      <w:r>
        <w:rPr>
          <w:sz w:val="24"/>
        </w:rPr>
        <w:t xml:space="preserve"> (</w:t>
      </w:r>
      <w:r>
        <w:rPr>
          <w:rFonts w:hint="eastAsia"/>
          <w:sz w:val="24"/>
        </w:rPr>
        <w:t>6</w:t>
      </w:r>
      <w:r>
        <w:rPr>
          <w:sz w:val="24"/>
        </w:rPr>
        <w:t xml:space="preserve">) </w:t>
      </w:r>
      <w:r>
        <w:rPr>
          <w:rFonts w:hint="eastAsia"/>
          <w:sz w:val="24"/>
        </w:rPr>
        <w:t>施工期</w:t>
      </w:r>
      <w:r>
        <w:rPr>
          <w:sz w:val="24"/>
        </w:rPr>
        <w:t>观测及设备维护费，应按《工程量清单》中所列项目的总价</w:t>
      </w:r>
      <w:r>
        <w:rPr>
          <w:rFonts w:hint="eastAsia"/>
          <w:sz w:val="24"/>
        </w:rPr>
        <w:t>进行包干</w:t>
      </w:r>
      <w:r>
        <w:rPr>
          <w:sz w:val="24"/>
        </w:rPr>
        <w:t>支付</w:t>
      </w:r>
      <w:r>
        <w:rPr>
          <w:rFonts w:hint="eastAsia"/>
          <w:sz w:val="24"/>
        </w:rPr>
        <w:t>，该总价中包括合同</w:t>
      </w:r>
      <w:r>
        <w:rPr>
          <w:sz w:val="24"/>
        </w:rPr>
        <w:t>期监测及设备维护所需的人工、材料</w:t>
      </w:r>
      <w:r>
        <w:rPr>
          <w:rFonts w:hint="eastAsia"/>
          <w:sz w:val="24"/>
        </w:rPr>
        <w:t>、</w:t>
      </w:r>
      <w:r>
        <w:rPr>
          <w:sz w:val="24"/>
        </w:rPr>
        <w:t>使用设备和辅助</w:t>
      </w:r>
      <w:r>
        <w:rPr>
          <w:rFonts w:hint="eastAsia"/>
          <w:sz w:val="24"/>
        </w:rPr>
        <w:t>设施</w:t>
      </w:r>
      <w:r>
        <w:rPr>
          <w:sz w:val="24"/>
        </w:rPr>
        <w:t>及仪器设备，测量仪器和读数仪表的定期检验维护，合同期无线数据采集和传输，质量检查和验收所需的全部费用</w:t>
      </w:r>
      <w:r>
        <w:rPr>
          <w:rFonts w:hint="eastAsia"/>
          <w:sz w:val="24"/>
        </w:rPr>
        <w:t>。</w:t>
      </w:r>
    </w:p>
    <w:p>
      <w:pPr>
        <w:adjustRightInd w:val="0"/>
        <w:snapToGrid w:val="0"/>
        <w:spacing w:line="480" w:lineRule="atLeast"/>
        <w:ind w:firstLine="480" w:firstLineChars="200"/>
        <w:rPr>
          <w:sz w:val="24"/>
        </w:rPr>
      </w:pPr>
      <w:r>
        <w:rPr>
          <w:rFonts w:hint="eastAsia"/>
          <w:sz w:val="24"/>
        </w:rPr>
        <w:t>资料整编及分析费</w:t>
      </w:r>
      <w:r>
        <w:rPr>
          <w:sz w:val="24"/>
        </w:rPr>
        <w:t>，应按《工程量清单》中所列项目的总价</w:t>
      </w:r>
      <w:r>
        <w:rPr>
          <w:rFonts w:hint="eastAsia"/>
          <w:sz w:val="24"/>
        </w:rPr>
        <w:t>进行包干</w:t>
      </w:r>
      <w:r>
        <w:rPr>
          <w:sz w:val="24"/>
        </w:rPr>
        <w:t>支付，该总价中包括</w:t>
      </w:r>
      <w:r>
        <w:rPr>
          <w:rFonts w:hint="eastAsia"/>
          <w:sz w:val="24"/>
        </w:rPr>
        <w:t>施工期安全监测及资料整编分析(包括现场检查和现场监测)、设备维护、建模建库、安全评价、</w:t>
      </w:r>
      <w:r>
        <w:rPr>
          <w:sz w:val="24"/>
        </w:rPr>
        <w:t>阶段验收、专项验收、竣工验收及安全鉴定等综合分析以及编制各类工程监测报告</w:t>
      </w:r>
      <w:r>
        <w:rPr>
          <w:rFonts w:hint="eastAsia"/>
          <w:sz w:val="24"/>
        </w:rPr>
        <w:t>、监测资料信息反馈</w:t>
      </w:r>
      <w:r>
        <w:rPr>
          <w:sz w:val="24"/>
        </w:rPr>
        <w:t>等各项工作质量检查和验收所需的全部费用</w:t>
      </w:r>
      <w:r>
        <w:rPr>
          <w:rFonts w:hint="eastAsia"/>
          <w:sz w:val="24"/>
        </w:rPr>
        <w:t>。</w:t>
      </w:r>
    </w:p>
    <w:p>
      <w:pPr>
        <w:adjustRightInd w:val="0"/>
        <w:snapToGrid w:val="0"/>
        <w:spacing w:line="480" w:lineRule="atLeast"/>
        <w:ind w:firstLine="480" w:firstLineChars="200"/>
        <w:rPr>
          <w:sz w:val="24"/>
        </w:rPr>
      </w:pPr>
      <w:r>
        <w:rPr>
          <w:rFonts w:hint="eastAsia"/>
          <w:sz w:val="24"/>
        </w:rPr>
        <w:t>现场</w:t>
      </w:r>
      <w:r>
        <w:rPr>
          <w:sz w:val="24"/>
        </w:rPr>
        <w:t>检查</w:t>
      </w:r>
      <w:r>
        <w:rPr>
          <w:rFonts w:hint="eastAsia"/>
          <w:sz w:val="24"/>
        </w:rPr>
        <w:t>费</w:t>
      </w:r>
      <w:r>
        <w:rPr>
          <w:sz w:val="24"/>
        </w:rPr>
        <w:t>，应按《工程量清单》中所列项目的总价</w:t>
      </w:r>
      <w:r>
        <w:rPr>
          <w:rFonts w:hint="eastAsia"/>
          <w:sz w:val="24"/>
        </w:rPr>
        <w:t>进行包干</w:t>
      </w:r>
      <w:r>
        <w:rPr>
          <w:sz w:val="24"/>
        </w:rPr>
        <w:t>支付</w:t>
      </w:r>
      <w:r>
        <w:rPr>
          <w:rFonts w:hint="eastAsia"/>
          <w:sz w:val="24"/>
        </w:rPr>
        <w:t>，该总价中包括完成合同期现场检查</w:t>
      </w:r>
      <w:r>
        <w:rPr>
          <w:sz w:val="24"/>
        </w:rPr>
        <w:t>所需的人工、材料</w:t>
      </w:r>
      <w:r>
        <w:rPr>
          <w:rFonts w:hint="eastAsia"/>
          <w:sz w:val="24"/>
        </w:rPr>
        <w:t>、</w:t>
      </w:r>
      <w:r>
        <w:rPr>
          <w:sz w:val="24"/>
        </w:rPr>
        <w:t>使用设备</w:t>
      </w:r>
      <w:r>
        <w:rPr>
          <w:rFonts w:hint="eastAsia"/>
          <w:sz w:val="24"/>
        </w:rPr>
        <w:t>和</w:t>
      </w:r>
      <w:r>
        <w:rPr>
          <w:sz w:val="24"/>
        </w:rPr>
        <w:t>辅助设施，以及质量检查和验收等一切费</w:t>
      </w:r>
      <w:r>
        <w:rPr>
          <w:rFonts w:hint="eastAsia"/>
          <w:sz w:val="24"/>
        </w:rPr>
        <w:t>用。</w:t>
      </w:r>
    </w:p>
    <w:p>
      <w:pPr>
        <w:adjustRightInd w:val="0"/>
        <w:snapToGrid w:val="0"/>
        <w:spacing w:line="480" w:lineRule="atLeast"/>
        <w:ind w:firstLine="480" w:firstLineChars="200"/>
        <w:rPr>
          <w:sz w:val="24"/>
        </w:rPr>
      </w:pPr>
      <w:r>
        <w:rPr>
          <w:sz w:val="24"/>
        </w:rPr>
        <w:t>(</w:t>
      </w:r>
      <w:r>
        <w:rPr>
          <w:rFonts w:hint="eastAsia"/>
          <w:sz w:val="24"/>
        </w:rPr>
        <w:t>7</w:t>
      </w:r>
      <w:r>
        <w:rPr>
          <w:sz w:val="24"/>
        </w:rPr>
        <w:t xml:space="preserve">) </w:t>
      </w:r>
      <w:r>
        <w:rPr>
          <w:rFonts w:hint="eastAsia"/>
          <w:sz w:val="24"/>
        </w:rPr>
        <w:t>采集与解算软件费、数据采集软件费和数据整编及分析软件费</w:t>
      </w:r>
      <w:r>
        <w:rPr>
          <w:sz w:val="24"/>
        </w:rPr>
        <w:t>，应按《工程量清单》中所列项目的总价</w:t>
      </w:r>
      <w:r>
        <w:rPr>
          <w:rFonts w:hint="eastAsia"/>
          <w:sz w:val="24"/>
        </w:rPr>
        <w:t>进行包干</w:t>
      </w:r>
      <w:r>
        <w:rPr>
          <w:sz w:val="24"/>
        </w:rPr>
        <w:t>支付。</w:t>
      </w:r>
    </w:p>
    <w:p>
      <w:pPr>
        <w:adjustRightInd w:val="0"/>
        <w:snapToGrid w:val="0"/>
        <w:spacing w:line="480" w:lineRule="atLeast"/>
        <w:ind w:firstLine="480" w:firstLineChars="200"/>
        <w:rPr>
          <w:sz w:val="24"/>
        </w:rPr>
      </w:pPr>
      <w:r>
        <w:rPr>
          <w:sz w:val="24"/>
        </w:rPr>
        <w:t>(</w:t>
      </w:r>
      <w:r>
        <w:rPr>
          <w:rFonts w:hint="eastAsia"/>
          <w:sz w:val="24"/>
        </w:rPr>
        <w:t>8</w:t>
      </w:r>
      <w:r>
        <w:rPr>
          <w:sz w:val="24"/>
        </w:rPr>
        <w:t>) 监测便道，临时观测站的建立和拆除，</w:t>
      </w:r>
      <w:r>
        <w:rPr>
          <w:rFonts w:hint="eastAsia"/>
          <w:sz w:val="24"/>
        </w:rPr>
        <w:t>包含在《工程量清单》相应项目有效工程量的工程单价中，发包人不另行支付。</w:t>
      </w:r>
    </w:p>
    <w:p/>
    <w:sectPr>
      <w:pgSz w:w="11906" w:h="16838"/>
      <w:pgMar w:top="1440" w:right="1588" w:bottom="1440" w:left="1985"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Univers (W1)">
    <w:altName w:val="Arial"/>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im Hei">
    <w:altName w:val="宋体"/>
    <w:panose1 w:val="00000000000000000000"/>
    <w:charset w:val="86"/>
    <w:family w:val="swiss"/>
    <w:pitch w:val="default"/>
    <w:sig w:usb0="00000000" w:usb1="00000000" w:usb2="00000010" w:usb3="00000000" w:csb0="00040000" w:csb1="00000000"/>
  </w:font>
  <w:font w:name="..ì.">
    <w:altName w:val="黑体"/>
    <w:panose1 w:val="00000000000000000000"/>
    <w:charset w:val="86"/>
    <w:family w:val="modern"/>
    <w:pitch w:val="default"/>
    <w:sig w:usb0="00000000" w:usb1="00000000" w:usb2="00000010" w:usb3="00000000" w:csb0="00040000" w:csb1="00000000"/>
  </w:font>
  <w:font w:name="MS PGothic">
    <w:panose1 w:val="020B0600070205080204"/>
    <w:charset w:val="80"/>
    <w:family w:val="swiss"/>
    <w:pitch w:val="default"/>
    <w:sig w:usb0="E00002FF" w:usb1="6AC7FDFB" w:usb2="08000012" w:usb3="00000000" w:csb0="4002009F" w:csb1="DFD70000"/>
  </w:font>
  <w:font w:name="等线 Light">
    <w:panose1 w:val="02010600030101010101"/>
    <w:charset w:val="86"/>
    <w:family w:val="auto"/>
    <w:pitch w:val="default"/>
    <w:sig w:usb0="A00002BF" w:usb1="38CF7CFA" w:usb2="00000016" w:usb3="00000000" w:csb0="0004000F" w:csb1="00000000"/>
  </w:font>
  <w:font w:name="MS Sans Serif">
    <w:altName w:val="Arial"/>
    <w:panose1 w:val="00000000000000000000"/>
    <w:charset w:val="00"/>
    <w:family w:val="swiss"/>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TimesNewRoman">
    <w:altName w:val="Times New Roman"/>
    <w:panose1 w:val="00000000000000000000"/>
    <w:charset w:val="00"/>
    <w:family w:val="roman"/>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5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PAGE   \* MERGEFORMAT</w:instrText>
    </w:r>
    <w:r>
      <w:fldChar w:fldCharType="separate"/>
    </w:r>
    <w:r>
      <w:rPr>
        <w:lang w:val="zh-CN"/>
      </w:rPr>
      <w:t>150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fldChar w:fldCharType="begin"/>
    </w:r>
    <w:r>
      <w:instrText xml:space="preserve">PAGE   \* MERGEFORMAT</w:instrText>
    </w:r>
    <w:r>
      <w:fldChar w:fldCharType="separate"/>
    </w:r>
    <w:r>
      <w:rPr>
        <w:lang w:val="zh-CN"/>
      </w:rPr>
      <w:t>22</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right"/>
      <w:rPr>
        <w:rFonts w:ascii="Times New Roman" w:hAnsi="Times New Roman" w:cs="Times New Roman"/>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5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5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20</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w:fldChar w:fldCharType="begin"/>
    </w:r>
    <w:r>
      <w:instrText xml:space="preserve">PAGE   \* MERGEFORMAT</w:instrText>
    </w:r>
    <w:r>
      <w:fldChar w:fldCharType="separate"/>
    </w:r>
    <w:r>
      <w:rPr>
        <w:lang w:val="zh-CN"/>
      </w:rPr>
      <w:t>4</w:t>
    </w:r>
    <w:r>
      <w:rPr>
        <w:lang w:val="zh-C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108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55"/>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108</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rPr>
        <w:rFonts w:hint="eastAsia"/>
      </w:rPr>
      <w:t>华南理工大学地铁保护研究所                                                           刘庭金  所长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0A15CD"/>
    <w:multiLevelType w:val="multilevel"/>
    <w:tmpl w:val="040A15CD"/>
    <w:lvl w:ilvl="0" w:tentative="0">
      <w:start w:val="1"/>
      <w:numFmt w:val="none"/>
      <w:suff w:val="nothing"/>
      <w:lvlText w:val="　"/>
      <w:lvlJc w:val="left"/>
      <w:pPr>
        <w:ind w:left="0" w:firstLine="0"/>
      </w:pPr>
      <w:rPr>
        <w:rFonts w:hint="eastAsia" w:ascii="黑体" w:hAnsi="Times New Roman" w:eastAsia="黑体"/>
        <w:b w:val="0"/>
        <w:i w:val="0"/>
        <w:sz w:val="21"/>
      </w:rPr>
    </w:lvl>
    <w:lvl w:ilvl="1" w:tentative="0">
      <w:start w:val="1"/>
      <w:numFmt w:val="decimal"/>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642"/>
      <w:suff w:val="nothing"/>
      <w:lvlText w:val="%1%2.%3　"/>
      <w:lvlJc w:val="left"/>
      <w:pPr>
        <w:ind w:left="0" w:firstLine="0"/>
      </w:pPr>
      <w:rPr>
        <w:rFonts w:hint="eastAsia" w:ascii="黑体" w:hAnsi="Times New Roman" w:eastAsia="黑体"/>
        <w:b w:val="0"/>
        <w:i w:val="0"/>
        <w:sz w:val="21"/>
      </w:rPr>
    </w:lvl>
    <w:lvl w:ilvl="3" w:tentative="0">
      <w:start w:val="1"/>
      <w:numFmt w:val="decimal"/>
      <w:pStyle w:val="637"/>
      <w:suff w:val="nothing"/>
      <w:lvlText w:val="%1%2.%3.%4　"/>
      <w:lvlJc w:val="left"/>
      <w:pPr>
        <w:ind w:left="0" w:firstLine="0"/>
      </w:pPr>
      <w:rPr>
        <w:rFonts w:hint="eastAsia" w:ascii="黑体" w:hAnsi="Times New Roman" w:eastAsia="黑体"/>
        <w:b w:val="0"/>
        <w:i w:val="0"/>
        <w:sz w:val="21"/>
      </w:rPr>
    </w:lvl>
    <w:lvl w:ilvl="4" w:tentative="0">
      <w:start w:val="1"/>
      <w:numFmt w:val="decimal"/>
      <w:pStyle w:val="639"/>
      <w:suff w:val="nothing"/>
      <w:lvlText w:val="%1%2.%3.%4.%5　"/>
      <w:lvlJc w:val="left"/>
      <w:pPr>
        <w:ind w:left="0" w:firstLine="0"/>
      </w:pPr>
      <w:rPr>
        <w:rFonts w:hint="eastAsia" w:ascii="黑体" w:hAnsi="Times New Roman" w:eastAsia="黑体"/>
        <w:b w:val="0"/>
        <w:i w:val="0"/>
        <w:sz w:val="21"/>
      </w:rPr>
    </w:lvl>
    <w:lvl w:ilvl="5" w:tentative="0">
      <w:start w:val="1"/>
      <w:numFmt w:val="decimal"/>
      <w:pStyle w:val="640"/>
      <w:suff w:val="nothing"/>
      <w:lvlText w:val="%1%2.%3.%4.%5.%6　"/>
      <w:lvlJc w:val="left"/>
      <w:pPr>
        <w:ind w:left="0" w:firstLine="0"/>
      </w:pPr>
      <w:rPr>
        <w:rFonts w:hint="eastAsia" w:ascii="黑体" w:hAnsi="Times New Roman" w:eastAsia="黑体"/>
        <w:b w:val="0"/>
        <w:i w:val="0"/>
        <w:sz w:val="21"/>
      </w:rPr>
    </w:lvl>
    <w:lvl w:ilvl="6" w:tentative="0">
      <w:start w:val="1"/>
      <w:numFmt w:val="decimal"/>
      <w:pStyle w:val="641"/>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58A2EE6"/>
    <w:multiLevelType w:val="multilevel"/>
    <w:tmpl w:val="058A2EE6"/>
    <w:lvl w:ilvl="0" w:tentative="0">
      <w:start w:val="1"/>
      <w:numFmt w:val="decimalZero"/>
      <w:pStyle w:val="734"/>
      <w:lvlText w:val="第%1章"/>
      <w:lvlJc w:val="left"/>
      <w:pPr>
        <w:tabs>
          <w:tab w:val="left" w:pos="0"/>
        </w:tabs>
        <w:ind w:left="0" w:firstLine="0"/>
      </w:pPr>
      <w:rPr>
        <w:rFonts w:hint="eastAsia" w:ascii="黑体" w:eastAsia="黑体"/>
        <w:color w:val="0000FF"/>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7"/>
      <w:numFmt w:val="decimal"/>
      <w:lvlText w:val="%5、"/>
      <w:lvlJc w:val="left"/>
      <w:pPr>
        <w:tabs>
          <w:tab w:val="left" w:pos="2400"/>
        </w:tabs>
        <w:ind w:left="2400" w:hanging="720"/>
      </w:pPr>
      <w:rPr>
        <w:rFonts w:hint="default"/>
      </w:rPr>
    </w:lvl>
    <w:lvl w:ilvl="5" w:tentative="0">
      <w:start w:val="7"/>
      <w:numFmt w:val="decimal"/>
      <w:lvlText w:val="%6"/>
      <w:lvlJc w:val="left"/>
      <w:pPr>
        <w:tabs>
          <w:tab w:val="left" w:pos="2460"/>
        </w:tabs>
        <w:ind w:left="2460" w:hanging="360"/>
      </w:pPr>
      <w:rPr>
        <w:rFonts w:hint="default"/>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9A37258"/>
    <w:multiLevelType w:val="multilevel"/>
    <w:tmpl w:val="09A37258"/>
    <w:lvl w:ilvl="0" w:tentative="0">
      <w:start w:val="1"/>
      <w:numFmt w:val="decimalEnclosedCircle"/>
      <w:lvlText w:val="%1"/>
      <w:lvlJc w:val="left"/>
      <w:pPr>
        <w:ind w:left="960" w:hanging="480"/>
      </w:pPr>
      <w:rPr>
        <w:rFonts w:hint="default" w:ascii="宋体" w:hAnsi="宋体" w:eastAsia="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4802CC4"/>
    <w:multiLevelType w:val="multilevel"/>
    <w:tmpl w:val="14802CC4"/>
    <w:lvl w:ilvl="0" w:tentative="0">
      <w:start w:val="1"/>
      <w:numFmt w:val="decimal"/>
      <w:lvlText w:val="（%1）"/>
      <w:lvlJc w:val="left"/>
      <w:pPr>
        <w:ind w:left="987" w:hanging="420"/>
      </w:pPr>
      <w:rPr>
        <w:rFonts w:hint="eastAsia"/>
      </w:rPr>
    </w:lvl>
    <w:lvl w:ilvl="1" w:tentative="0">
      <w:start w:val="1"/>
      <w:numFmt w:val="decimalEnclosedCircle"/>
      <w:lvlText w:val="%2"/>
      <w:lvlJc w:val="left"/>
      <w:pPr>
        <w:ind w:left="1347" w:hanging="360"/>
      </w:pPr>
      <w:rPr>
        <w:rFonts w:hint="default"/>
      </w:rPr>
    </w:lvl>
    <w:lvl w:ilvl="2" w:tentative="0">
      <w:start w:val="1"/>
      <w:numFmt w:val="decimal"/>
      <w:lvlText w:val="%3)"/>
      <w:lvlJc w:val="left"/>
      <w:pPr>
        <w:ind w:left="1842" w:hanging="435"/>
      </w:pPr>
      <w:rPr>
        <w:rFonts w:hint="default"/>
      </w:r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
    <w:nsid w:val="277604A3"/>
    <w:multiLevelType w:val="multilevel"/>
    <w:tmpl w:val="277604A3"/>
    <w:lvl w:ilvl="0" w:tentative="0">
      <w:start w:val="1"/>
      <w:numFmt w:val="decimal"/>
      <w:lvlText w:val="(%1) "/>
      <w:lvlJc w:val="left"/>
      <w:pPr>
        <w:tabs>
          <w:tab w:val="left" w:pos="1287"/>
        </w:tabs>
        <w:ind w:left="0" w:firstLine="567"/>
      </w:pPr>
      <w:rPr>
        <w:rFonts w:hint="eastAsia"/>
      </w:rPr>
    </w:lvl>
    <w:lvl w:ilvl="1" w:tentative="0">
      <w:start w:val="1"/>
      <w:numFmt w:val="decimal"/>
      <w:pStyle w:val="619"/>
      <w:lvlText w:val="(%2) "/>
      <w:lvlJc w:val="left"/>
      <w:pPr>
        <w:tabs>
          <w:tab w:val="left" w:pos="1287"/>
        </w:tabs>
        <w:ind w:left="0" w:firstLine="567"/>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76145BC"/>
    <w:multiLevelType w:val="multilevel"/>
    <w:tmpl w:val="376145BC"/>
    <w:lvl w:ilvl="0" w:tentative="0">
      <w:start w:val="1"/>
      <w:numFmt w:val="decimalZero"/>
      <w:pStyle w:val="728"/>
      <w:lvlText w:val="第%1节"/>
      <w:lvlJc w:val="left"/>
      <w:pPr>
        <w:tabs>
          <w:tab w:val="left" w:pos="2340"/>
        </w:tabs>
        <w:ind w:left="2340" w:firstLine="0"/>
      </w:pPr>
      <w:rPr>
        <w:rFonts w:hint="eastAsia"/>
        <w:color w:val="0000FF"/>
        <w:sz w:val="28"/>
        <w:szCs w:val="28"/>
      </w:rPr>
    </w:lvl>
    <w:lvl w:ilvl="1" w:tentative="0">
      <w:start w:val="2"/>
      <w:numFmt w:val="decimalZero"/>
      <w:lvlText w:val="第%2章"/>
      <w:lvlJc w:val="left"/>
      <w:pPr>
        <w:tabs>
          <w:tab w:val="left" w:pos="4230"/>
        </w:tabs>
        <w:ind w:left="4230" w:hanging="1290"/>
      </w:pPr>
      <w:rPr>
        <w:rFonts w:hint="default"/>
      </w:rPr>
    </w:lvl>
    <w:lvl w:ilvl="2" w:tentative="0">
      <w:start w:val="1"/>
      <w:numFmt w:val="lowerRoman"/>
      <w:lvlText w:val="%3."/>
      <w:lvlJc w:val="right"/>
      <w:pPr>
        <w:tabs>
          <w:tab w:val="left" w:pos="3780"/>
        </w:tabs>
        <w:ind w:left="3780" w:hanging="420"/>
      </w:pPr>
    </w:lvl>
    <w:lvl w:ilvl="3" w:tentative="0">
      <w:start w:val="1"/>
      <w:numFmt w:val="decimal"/>
      <w:lvlText w:val="%4."/>
      <w:lvlJc w:val="left"/>
      <w:pPr>
        <w:tabs>
          <w:tab w:val="left" w:pos="4200"/>
        </w:tabs>
        <w:ind w:left="4200" w:hanging="420"/>
      </w:pPr>
    </w:lvl>
    <w:lvl w:ilvl="4" w:tentative="0">
      <w:start w:val="1"/>
      <w:numFmt w:val="lowerLetter"/>
      <w:lvlText w:val="%5)"/>
      <w:lvlJc w:val="left"/>
      <w:pPr>
        <w:tabs>
          <w:tab w:val="left" w:pos="4620"/>
        </w:tabs>
        <w:ind w:left="4620" w:hanging="420"/>
      </w:pPr>
    </w:lvl>
    <w:lvl w:ilvl="5" w:tentative="0">
      <w:start w:val="1"/>
      <w:numFmt w:val="lowerRoman"/>
      <w:lvlText w:val="%6."/>
      <w:lvlJc w:val="right"/>
      <w:pPr>
        <w:tabs>
          <w:tab w:val="left" w:pos="5040"/>
        </w:tabs>
        <w:ind w:left="5040" w:hanging="420"/>
      </w:pPr>
    </w:lvl>
    <w:lvl w:ilvl="6" w:tentative="0">
      <w:start w:val="1"/>
      <w:numFmt w:val="decimal"/>
      <w:lvlText w:val="%7."/>
      <w:lvlJc w:val="left"/>
      <w:pPr>
        <w:tabs>
          <w:tab w:val="left" w:pos="5460"/>
        </w:tabs>
        <w:ind w:left="5460" w:hanging="420"/>
      </w:pPr>
    </w:lvl>
    <w:lvl w:ilvl="7" w:tentative="0">
      <w:start w:val="1"/>
      <w:numFmt w:val="lowerLetter"/>
      <w:lvlText w:val="%8)"/>
      <w:lvlJc w:val="left"/>
      <w:pPr>
        <w:tabs>
          <w:tab w:val="left" w:pos="5880"/>
        </w:tabs>
        <w:ind w:left="5880" w:hanging="420"/>
      </w:pPr>
    </w:lvl>
    <w:lvl w:ilvl="8" w:tentative="0">
      <w:start w:val="1"/>
      <w:numFmt w:val="lowerRoman"/>
      <w:lvlText w:val="%9."/>
      <w:lvlJc w:val="right"/>
      <w:pPr>
        <w:tabs>
          <w:tab w:val="left" w:pos="6300"/>
        </w:tabs>
        <w:ind w:left="6300" w:hanging="420"/>
      </w:pPr>
    </w:lvl>
  </w:abstractNum>
  <w:abstractNum w:abstractNumId="6">
    <w:nsid w:val="462831A0"/>
    <w:multiLevelType w:val="multilevel"/>
    <w:tmpl w:val="462831A0"/>
    <w:lvl w:ilvl="0" w:tentative="0">
      <w:start w:val="1"/>
      <w:numFmt w:val="decimalEnclosedCircle"/>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FF40DC7"/>
    <w:multiLevelType w:val="multilevel"/>
    <w:tmpl w:val="4FF40DC7"/>
    <w:lvl w:ilvl="0" w:tentative="0">
      <w:start w:val="1"/>
      <w:numFmt w:val="decimalEnclosedCircle"/>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598BC818"/>
    <w:multiLevelType w:val="singleLevel"/>
    <w:tmpl w:val="598BC818"/>
    <w:lvl w:ilvl="0" w:tentative="0">
      <w:start w:val="1"/>
      <w:numFmt w:val="decimal"/>
      <w:pStyle w:val="733"/>
      <w:suff w:val="space"/>
      <w:lvlText w:val="(%1)"/>
      <w:lvlJc w:val="left"/>
    </w:lvl>
  </w:abstractNum>
  <w:abstractNum w:abstractNumId="9">
    <w:nsid w:val="5D6D6193"/>
    <w:multiLevelType w:val="multilevel"/>
    <w:tmpl w:val="5D6D6193"/>
    <w:lvl w:ilvl="0" w:tentative="0">
      <w:start w:val="1"/>
      <w:numFmt w:val="decimal"/>
      <w:pStyle w:val="709"/>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FAF0453"/>
    <w:multiLevelType w:val="multilevel"/>
    <w:tmpl w:val="5FAF0453"/>
    <w:lvl w:ilvl="0" w:tentative="0">
      <w:start w:val="1"/>
      <w:numFmt w:val="decimalEnclosedCircle"/>
      <w:lvlText w:val="%1"/>
      <w:lvlJc w:val="left"/>
      <w:pPr>
        <w:ind w:left="1440" w:hanging="480"/>
      </w:pPr>
      <w:rPr>
        <w:rFonts w:hint="default" w:ascii="宋体" w:hAnsi="宋体" w:eastAsia="宋体"/>
      </w:rPr>
    </w:lvl>
    <w:lvl w:ilvl="1" w:tentative="0">
      <w:start w:val="1"/>
      <w:numFmt w:val="decimal"/>
      <w:lvlText w:val="（%2）"/>
      <w:lvlJc w:val="left"/>
      <w:pPr>
        <w:ind w:left="132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646260FA"/>
    <w:multiLevelType w:val="multilevel"/>
    <w:tmpl w:val="646260FA"/>
    <w:lvl w:ilvl="0" w:tentative="0">
      <w:start w:val="1"/>
      <w:numFmt w:val="decimal"/>
      <w:pStyle w:val="636"/>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2">
    <w:nsid w:val="6E603553"/>
    <w:multiLevelType w:val="multilevel"/>
    <w:tmpl w:val="6E603553"/>
    <w:lvl w:ilvl="0" w:tentative="0">
      <w:start w:val="1"/>
      <w:numFmt w:val="decimalZero"/>
      <w:pStyle w:val="654"/>
      <w:lvlText w:val="第 %1 节"/>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1"/>
  </w:num>
  <w:num w:numId="3">
    <w:abstractNumId w:val="0"/>
  </w:num>
  <w:num w:numId="4">
    <w:abstractNumId w:val="12"/>
  </w:num>
  <w:num w:numId="5">
    <w:abstractNumId w:val="9"/>
  </w:num>
  <w:num w:numId="6">
    <w:abstractNumId w:val="5"/>
  </w:num>
  <w:num w:numId="7">
    <w:abstractNumId w:val="8"/>
  </w:num>
  <w:num w:numId="8">
    <w:abstractNumId w:val="1"/>
  </w:num>
  <w:num w:numId="9">
    <w:abstractNumId w:val="6"/>
  </w:num>
  <w:num w:numId="10">
    <w:abstractNumId w:val="3"/>
  </w:num>
  <w:num w:numId="11">
    <w:abstractNumId w:val="7"/>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hideSpellingError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ZkZDVkZGU2Zjc4ZGUzM2U3ZmQ4NTcwODFjMWMzZGMifQ=="/>
  </w:docVars>
  <w:rsids>
    <w:rsidRoot w:val="00172A27"/>
    <w:rsid w:val="00002B31"/>
    <w:rsid w:val="000149CF"/>
    <w:rsid w:val="00017D27"/>
    <w:rsid w:val="000205F7"/>
    <w:rsid w:val="00024C48"/>
    <w:rsid w:val="00026AEF"/>
    <w:rsid w:val="00027BC9"/>
    <w:rsid w:val="00030FEF"/>
    <w:rsid w:val="000344CA"/>
    <w:rsid w:val="00034F26"/>
    <w:rsid w:val="00035BDD"/>
    <w:rsid w:val="000458A8"/>
    <w:rsid w:val="00046C90"/>
    <w:rsid w:val="000512CD"/>
    <w:rsid w:val="0005349D"/>
    <w:rsid w:val="000562D1"/>
    <w:rsid w:val="00056AE2"/>
    <w:rsid w:val="0005717D"/>
    <w:rsid w:val="000634A3"/>
    <w:rsid w:val="0007097C"/>
    <w:rsid w:val="000714E5"/>
    <w:rsid w:val="00073A93"/>
    <w:rsid w:val="00076CE7"/>
    <w:rsid w:val="00080891"/>
    <w:rsid w:val="000855E0"/>
    <w:rsid w:val="00092867"/>
    <w:rsid w:val="000A352D"/>
    <w:rsid w:val="000A6C24"/>
    <w:rsid w:val="000A7E97"/>
    <w:rsid w:val="000C4D86"/>
    <w:rsid w:val="000C69AC"/>
    <w:rsid w:val="000C7B78"/>
    <w:rsid w:val="000E0B1D"/>
    <w:rsid w:val="000E33A3"/>
    <w:rsid w:val="000E3D6A"/>
    <w:rsid w:val="000E41FD"/>
    <w:rsid w:val="000E4EB6"/>
    <w:rsid w:val="000E6276"/>
    <w:rsid w:val="000F0794"/>
    <w:rsid w:val="000F3C79"/>
    <w:rsid w:val="000F576F"/>
    <w:rsid w:val="000F7788"/>
    <w:rsid w:val="001003A5"/>
    <w:rsid w:val="00101107"/>
    <w:rsid w:val="001016BA"/>
    <w:rsid w:val="00102EC2"/>
    <w:rsid w:val="00113C16"/>
    <w:rsid w:val="00114107"/>
    <w:rsid w:val="0012246E"/>
    <w:rsid w:val="001229CE"/>
    <w:rsid w:val="00126CFF"/>
    <w:rsid w:val="00127EBC"/>
    <w:rsid w:val="001305CA"/>
    <w:rsid w:val="0013098A"/>
    <w:rsid w:val="0013605B"/>
    <w:rsid w:val="001407DC"/>
    <w:rsid w:val="0014257F"/>
    <w:rsid w:val="00142A63"/>
    <w:rsid w:val="00144357"/>
    <w:rsid w:val="00155641"/>
    <w:rsid w:val="00163117"/>
    <w:rsid w:val="0016364E"/>
    <w:rsid w:val="00163BE9"/>
    <w:rsid w:val="00164042"/>
    <w:rsid w:val="0016679B"/>
    <w:rsid w:val="00172A27"/>
    <w:rsid w:val="00174C18"/>
    <w:rsid w:val="0018529F"/>
    <w:rsid w:val="00193E54"/>
    <w:rsid w:val="00194640"/>
    <w:rsid w:val="00195C69"/>
    <w:rsid w:val="001A5E7C"/>
    <w:rsid w:val="001A6CED"/>
    <w:rsid w:val="001A727A"/>
    <w:rsid w:val="001A72FE"/>
    <w:rsid w:val="001B24CE"/>
    <w:rsid w:val="001B4667"/>
    <w:rsid w:val="001B6809"/>
    <w:rsid w:val="001D04FD"/>
    <w:rsid w:val="001D05BE"/>
    <w:rsid w:val="001D6D6D"/>
    <w:rsid w:val="001E0D8F"/>
    <w:rsid w:val="001E5130"/>
    <w:rsid w:val="001E71A7"/>
    <w:rsid w:val="001E7C87"/>
    <w:rsid w:val="001E7FE2"/>
    <w:rsid w:val="001F0CDC"/>
    <w:rsid w:val="001F2D14"/>
    <w:rsid w:val="001F3400"/>
    <w:rsid w:val="001F58E0"/>
    <w:rsid w:val="001F5D0B"/>
    <w:rsid w:val="00206E54"/>
    <w:rsid w:val="00212ECF"/>
    <w:rsid w:val="0021552F"/>
    <w:rsid w:val="00215881"/>
    <w:rsid w:val="002161D1"/>
    <w:rsid w:val="00216D41"/>
    <w:rsid w:val="002212F6"/>
    <w:rsid w:val="00224EC4"/>
    <w:rsid w:val="00225311"/>
    <w:rsid w:val="0022765C"/>
    <w:rsid w:val="002312E8"/>
    <w:rsid w:val="002314CE"/>
    <w:rsid w:val="002316B4"/>
    <w:rsid w:val="00237911"/>
    <w:rsid w:val="002455B2"/>
    <w:rsid w:val="00254785"/>
    <w:rsid w:val="00254AA5"/>
    <w:rsid w:val="002602C2"/>
    <w:rsid w:val="002628E8"/>
    <w:rsid w:val="00264202"/>
    <w:rsid w:val="002702CE"/>
    <w:rsid w:val="00271D3B"/>
    <w:rsid w:val="00271FB0"/>
    <w:rsid w:val="00280844"/>
    <w:rsid w:val="00280D6E"/>
    <w:rsid w:val="00285609"/>
    <w:rsid w:val="002875C4"/>
    <w:rsid w:val="0029044E"/>
    <w:rsid w:val="00290E9D"/>
    <w:rsid w:val="002915EA"/>
    <w:rsid w:val="00291CA9"/>
    <w:rsid w:val="00291CEC"/>
    <w:rsid w:val="00294CF1"/>
    <w:rsid w:val="002A00C2"/>
    <w:rsid w:val="002A305C"/>
    <w:rsid w:val="002A3C82"/>
    <w:rsid w:val="002B11B0"/>
    <w:rsid w:val="002B7290"/>
    <w:rsid w:val="002B7C3D"/>
    <w:rsid w:val="002C616F"/>
    <w:rsid w:val="002C75B3"/>
    <w:rsid w:val="002D0059"/>
    <w:rsid w:val="002D10B3"/>
    <w:rsid w:val="002E1275"/>
    <w:rsid w:val="002E4FAB"/>
    <w:rsid w:val="002E70F6"/>
    <w:rsid w:val="002E77EF"/>
    <w:rsid w:val="002F5C1F"/>
    <w:rsid w:val="00301DCC"/>
    <w:rsid w:val="0030386B"/>
    <w:rsid w:val="00304F26"/>
    <w:rsid w:val="00305494"/>
    <w:rsid w:val="00306F46"/>
    <w:rsid w:val="0030732A"/>
    <w:rsid w:val="00310919"/>
    <w:rsid w:val="00312B33"/>
    <w:rsid w:val="00313570"/>
    <w:rsid w:val="003138FB"/>
    <w:rsid w:val="003147F7"/>
    <w:rsid w:val="003162F5"/>
    <w:rsid w:val="00322D14"/>
    <w:rsid w:val="003250BB"/>
    <w:rsid w:val="0033239B"/>
    <w:rsid w:val="00332BE2"/>
    <w:rsid w:val="003374C4"/>
    <w:rsid w:val="0034485A"/>
    <w:rsid w:val="00352005"/>
    <w:rsid w:val="00352979"/>
    <w:rsid w:val="00355F03"/>
    <w:rsid w:val="00364A65"/>
    <w:rsid w:val="00366DB8"/>
    <w:rsid w:val="003674EE"/>
    <w:rsid w:val="0037068B"/>
    <w:rsid w:val="003760B9"/>
    <w:rsid w:val="003765DE"/>
    <w:rsid w:val="00380083"/>
    <w:rsid w:val="00380E82"/>
    <w:rsid w:val="00381AAA"/>
    <w:rsid w:val="003834B0"/>
    <w:rsid w:val="00384AF9"/>
    <w:rsid w:val="00390A9B"/>
    <w:rsid w:val="00391BD1"/>
    <w:rsid w:val="003929D8"/>
    <w:rsid w:val="00397CAF"/>
    <w:rsid w:val="003A13BF"/>
    <w:rsid w:val="003A1F14"/>
    <w:rsid w:val="003A3306"/>
    <w:rsid w:val="003A36E6"/>
    <w:rsid w:val="003B271B"/>
    <w:rsid w:val="003B5645"/>
    <w:rsid w:val="003C75B7"/>
    <w:rsid w:val="003D26DA"/>
    <w:rsid w:val="003D6E4A"/>
    <w:rsid w:val="003E118E"/>
    <w:rsid w:val="003E28AA"/>
    <w:rsid w:val="003E7242"/>
    <w:rsid w:val="003F030A"/>
    <w:rsid w:val="004019D0"/>
    <w:rsid w:val="00401F89"/>
    <w:rsid w:val="004038CB"/>
    <w:rsid w:val="00403AD4"/>
    <w:rsid w:val="00410174"/>
    <w:rsid w:val="00417DB7"/>
    <w:rsid w:val="004207FB"/>
    <w:rsid w:val="004235FC"/>
    <w:rsid w:val="00423BFD"/>
    <w:rsid w:val="00424357"/>
    <w:rsid w:val="004250CE"/>
    <w:rsid w:val="00427091"/>
    <w:rsid w:val="00430084"/>
    <w:rsid w:val="00442BFB"/>
    <w:rsid w:val="00442D3C"/>
    <w:rsid w:val="00443B44"/>
    <w:rsid w:val="00444104"/>
    <w:rsid w:val="00444318"/>
    <w:rsid w:val="00444443"/>
    <w:rsid w:val="00447F8E"/>
    <w:rsid w:val="004512E0"/>
    <w:rsid w:val="00453A4D"/>
    <w:rsid w:val="004600F4"/>
    <w:rsid w:val="0046065F"/>
    <w:rsid w:val="00461022"/>
    <w:rsid w:val="00463BD9"/>
    <w:rsid w:val="0046736D"/>
    <w:rsid w:val="004675AC"/>
    <w:rsid w:val="00467E68"/>
    <w:rsid w:val="00472409"/>
    <w:rsid w:val="0047326D"/>
    <w:rsid w:val="0047423B"/>
    <w:rsid w:val="00474EF6"/>
    <w:rsid w:val="004773C2"/>
    <w:rsid w:val="00480C0B"/>
    <w:rsid w:val="00481CE4"/>
    <w:rsid w:val="00483C80"/>
    <w:rsid w:val="00491269"/>
    <w:rsid w:val="00491BBB"/>
    <w:rsid w:val="004925A6"/>
    <w:rsid w:val="00492CE4"/>
    <w:rsid w:val="004948B3"/>
    <w:rsid w:val="004978C2"/>
    <w:rsid w:val="004A010F"/>
    <w:rsid w:val="004A0852"/>
    <w:rsid w:val="004A20EA"/>
    <w:rsid w:val="004A25D4"/>
    <w:rsid w:val="004A3A37"/>
    <w:rsid w:val="004A3E99"/>
    <w:rsid w:val="004A5CA0"/>
    <w:rsid w:val="004B5335"/>
    <w:rsid w:val="004C253A"/>
    <w:rsid w:val="004C5307"/>
    <w:rsid w:val="004D0D1A"/>
    <w:rsid w:val="004D18B7"/>
    <w:rsid w:val="004D4367"/>
    <w:rsid w:val="004D63F9"/>
    <w:rsid w:val="004E02B1"/>
    <w:rsid w:val="004F2092"/>
    <w:rsid w:val="004F2F59"/>
    <w:rsid w:val="004F5F17"/>
    <w:rsid w:val="004F7197"/>
    <w:rsid w:val="004F7444"/>
    <w:rsid w:val="005000BC"/>
    <w:rsid w:val="00502B6A"/>
    <w:rsid w:val="005057C9"/>
    <w:rsid w:val="0051205B"/>
    <w:rsid w:val="0051412B"/>
    <w:rsid w:val="0051444C"/>
    <w:rsid w:val="00516EE5"/>
    <w:rsid w:val="0052011A"/>
    <w:rsid w:val="00520BCB"/>
    <w:rsid w:val="00523762"/>
    <w:rsid w:val="00524492"/>
    <w:rsid w:val="005245D6"/>
    <w:rsid w:val="005253E1"/>
    <w:rsid w:val="00527344"/>
    <w:rsid w:val="005313A9"/>
    <w:rsid w:val="00531D48"/>
    <w:rsid w:val="00533EEA"/>
    <w:rsid w:val="00546FDD"/>
    <w:rsid w:val="0056572F"/>
    <w:rsid w:val="00566D8B"/>
    <w:rsid w:val="00570FDA"/>
    <w:rsid w:val="005730C3"/>
    <w:rsid w:val="005732A2"/>
    <w:rsid w:val="005751B3"/>
    <w:rsid w:val="005755E8"/>
    <w:rsid w:val="00582214"/>
    <w:rsid w:val="00584ECE"/>
    <w:rsid w:val="0058596A"/>
    <w:rsid w:val="00587A54"/>
    <w:rsid w:val="0059322C"/>
    <w:rsid w:val="00594692"/>
    <w:rsid w:val="00596806"/>
    <w:rsid w:val="00596B36"/>
    <w:rsid w:val="00596F03"/>
    <w:rsid w:val="00596F43"/>
    <w:rsid w:val="005A387A"/>
    <w:rsid w:val="005A38A4"/>
    <w:rsid w:val="005A5400"/>
    <w:rsid w:val="005A6729"/>
    <w:rsid w:val="005B2569"/>
    <w:rsid w:val="005B4F11"/>
    <w:rsid w:val="005C025F"/>
    <w:rsid w:val="005C088C"/>
    <w:rsid w:val="005C0A58"/>
    <w:rsid w:val="005C15D6"/>
    <w:rsid w:val="005C1C9F"/>
    <w:rsid w:val="005C207D"/>
    <w:rsid w:val="005C258E"/>
    <w:rsid w:val="005C3CD0"/>
    <w:rsid w:val="005C77A3"/>
    <w:rsid w:val="005C7AB8"/>
    <w:rsid w:val="005C7D60"/>
    <w:rsid w:val="005D0A07"/>
    <w:rsid w:val="005D1657"/>
    <w:rsid w:val="005D3D22"/>
    <w:rsid w:val="005D45AE"/>
    <w:rsid w:val="005D7B82"/>
    <w:rsid w:val="005E22FD"/>
    <w:rsid w:val="005E3250"/>
    <w:rsid w:val="005E6300"/>
    <w:rsid w:val="005E6B49"/>
    <w:rsid w:val="005E7A75"/>
    <w:rsid w:val="005E7E4A"/>
    <w:rsid w:val="005E7EC3"/>
    <w:rsid w:val="005F162B"/>
    <w:rsid w:val="005F1FB8"/>
    <w:rsid w:val="005F306B"/>
    <w:rsid w:val="005F4F6E"/>
    <w:rsid w:val="005F7114"/>
    <w:rsid w:val="00604192"/>
    <w:rsid w:val="0061201C"/>
    <w:rsid w:val="006173C9"/>
    <w:rsid w:val="0063525C"/>
    <w:rsid w:val="00642629"/>
    <w:rsid w:val="00646BFA"/>
    <w:rsid w:val="0065099F"/>
    <w:rsid w:val="00651578"/>
    <w:rsid w:val="0065202D"/>
    <w:rsid w:val="00655787"/>
    <w:rsid w:val="006563E7"/>
    <w:rsid w:val="00661979"/>
    <w:rsid w:val="00664987"/>
    <w:rsid w:val="00667110"/>
    <w:rsid w:val="00680BDB"/>
    <w:rsid w:val="00681007"/>
    <w:rsid w:val="00690A95"/>
    <w:rsid w:val="00694D43"/>
    <w:rsid w:val="00695298"/>
    <w:rsid w:val="006A16DC"/>
    <w:rsid w:val="006B2D9B"/>
    <w:rsid w:val="006C2E08"/>
    <w:rsid w:val="006C355F"/>
    <w:rsid w:val="006C5AD9"/>
    <w:rsid w:val="006E0909"/>
    <w:rsid w:val="006E2A74"/>
    <w:rsid w:val="006E3AD7"/>
    <w:rsid w:val="006E4BB3"/>
    <w:rsid w:val="006E723D"/>
    <w:rsid w:val="006F2007"/>
    <w:rsid w:val="00700B50"/>
    <w:rsid w:val="00707392"/>
    <w:rsid w:val="007208D1"/>
    <w:rsid w:val="00722285"/>
    <w:rsid w:val="00725EA6"/>
    <w:rsid w:val="00730B74"/>
    <w:rsid w:val="00731165"/>
    <w:rsid w:val="00731C31"/>
    <w:rsid w:val="00736743"/>
    <w:rsid w:val="00741537"/>
    <w:rsid w:val="00742C70"/>
    <w:rsid w:val="0074329B"/>
    <w:rsid w:val="007457C2"/>
    <w:rsid w:val="00747F7A"/>
    <w:rsid w:val="00752B10"/>
    <w:rsid w:val="007564E2"/>
    <w:rsid w:val="007574D8"/>
    <w:rsid w:val="007574FB"/>
    <w:rsid w:val="00762D2B"/>
    <w:rsid w:val="00764042"/>
    <w:rsid w:val="00775312"/>
    <w:rsid w:val="00782718"/>
    <w:rsid w:val="00784214"/>
    <w:rsid w:val="007863F6"/>
    <w:rsid w:val="0079235B"/>
    <w:rsid w:val="0079565C"/>
    <w:rsid w:val="007A4760"/>
    <w:rsid w:val="007B2BD8"/>
    <w:rsid w:val="007C3D9F"/>
    <w:rsid w:val="007C5F19"/>
    <w:rsid w:val="007D1D85"/>
    <w:rsid w:val="007D371E"/>
    <w:rsid w:val="007D43D2"/>
    <w:rsid w:val="007D46D4"/>
    <w:rsid w:val="007D6DB7"/>
    <w:rsid w:val="007E3240"/>
    <w:rsid w:val="007F3A17"/>
    <w:rsid w:val="007F7F23"/>
    <w:rsid w:val="0080154F"/>
    <w:rsid w:val="0080270C"/>
    <w:rsid w:val="0080710B"/>
    <w:rsid w:val="00807BB8"/>
    <w:rsid w:val="00811BA0"/>
    <w:rsid w:val="00811DC0"/>
    <w:rsid w:val="00816BCE"/>
    <w:rsid w:val="00816EA7"/>
    <w:rsid w:val="00817EDB"/>
    <w:rsid w:val="00821950"/>
    <w:rsid w:val="0082248A"/>
    <w:rsid w:val="00824246"/>
    <w:rsid w:val="008321AB"/>
    <w:rsid w:val="00844F21"/>
    <w:rsid w:val="00846EC9"/>
    <w:rsid w:val="00850F8E"/>
    <w:rsid w:val="008513FA"/>
    <w:rsid w:val="00851B5D"/>
    <w:rsid w:val="008526F1"/>
    <w:rsid w:val="00852A32"/>
    <w:rsid w:val="00852BAA"/>
    <w:rsid w:val="00853861"/>
    <w:rsid w:val="00857AF4"/>
    <w:rsid w:val="008656C4"/>
    <w:rsid w:val="008752FB"/>
    <w:rsid w:val="00876965"/>
    <w:rsid w:val="00877A9A"/>
    <w:rsid w:val="00880985"/>
    <w:rsid w:val="008831AA"/>
    <w:rsid w:val="00887B6C"/>
    <w:rsid w:val="008972DC"/>
    <w:rsid w:val="008A009C"/>
    <w:rsid w:val="008A0398"/>
    <w:rsid w:val="008A73D5"/>
    <w:rsid w:val="008B0FDE"/>
    <w:rsid w:val="008B1154"/>
    <w:rsid w:val="008B45DB"/>
    <w:rsid w:val="008B5638"/>
    <w:rsid w:val="008B74D3"/>
    <w:rsid w:val="008C6B0B"/>
    <w:rsid w:val="008D1152"/>
    <w:rsid w:val="008D2883"/>
    <w:rsid w:val="008D2B1F"/>
    <w:rsid w:val="008D3967"/>
    <w:rsid w:val="008D3C8D"/>
    <w:rsid w:val="008D54F2"/>
    <w:rsid w:val="008E290F"/>
    <w:rsid w:val="008E5152"/>
    <w:rsid w:val="008E57AE"/>
    <w:rsid w:val="008E5F1C"/>
    <w:rsid w:val="008E6033"/>
    <w:rsid w:val="008E658C"/>
    <w:rsid w:val="008F2FDB"/>
    <w:rsid w:val="008F3F9F"/>
    <w:rsid w:val="00901F38"/>
    <w:rsid w:val="00905DCB"/>
    <w:rsid w:val="00911BE5"/>
    <w:rsid w:val="00912BB4"/>
    <w:rsid w:val="009232F4"/>
    <w:rsid w:val="00923F85"/>
    <w:rsid w:val="00927368"/>
    <w:rsid w:val="0093093C"/>
    <w:rsid w:val="00933E40"/>
    <w:rsid w:val="00941D0D"/>
    <w:rsid w:val="0094502D"/>
    <w:rsid w:val="0095230C"/>
    <w:rsid w:val="00960475"/>
    <w:rsid w:val="00961ACD"/>
    <w:rsid w:val="00962888"/>
    <w:rsid w:val="00971B73"/>
    <w:rsid w:val="00972E87"/>
    <w:rsid w:val="009738A2"/>
    <w:rsid w:val="0097392B"/>
    <w:rsid w:val="009755F5"/>
    <w:rsid w:val="00980687"/>
    <w:rsid w:val="009908E6"/>
    <w:rsid w:val="00992A13"/>
    <w:rsid w:val="0099334C"/>
    <w:rsid w:val="00996AFB"/>
    <w:rsid w:val="009A3EE0"/>
    <w:rsid w:val="009A4411"/>
    <w:rsid w:val="009A629B"/>
    <w:rsid w:val="009B12E3"/>
    <w:rsid w:val="009B1A90"/>
    <w:rsid w:val="009B5B3D"/>
    <w:rsid w:val="009B77C7"/>
    <w:rsid w:val="009C1A7F"/>
    <w:rsid w:val="009C3B8A"/>
    <w:rsid w:val="009C3FD6"/>
    <w:rsid w:val="009C5F5C"/>
    <w:rsid w:val="009C6A4D"/>
    <w:rsid w:val="009D1754"/>
    <w:rsid w:val="009D203A"/>
    <w:rsid w:val="009D5FDE"/>
    <w:rsid w:val="009E2577"/>
    <w:rsid w:val="009E36F1"/>
    <w:rsid w:val="009F1852"/>
    <w:rsid w:val="009F1DF2"/>
    <w:rsid w:val="00A06548"/>
    <w:rsid w:val="00A10D47"/>
    <w:rsid w:val="00A12DA0"/>
    <w:rsid w:val="00A155FC"/>
    <w:rsid w:val="00A177D7"/>
    <w:rsid w:val="00A17D4A"/>
    <w:rsid w:val="00A21F50"/>
    <w:rsid w:val="00A25121"/>
    <w:rsid w:val="00A25699"/>
    <w:rsid w:val="00A27875"/>
    <w:rsid w:val="00A33675"/>
    <w:rsid w:val="00A35D89"/>
    <w:rsid w:val="00A41798"/>
    <w:rsid w:val="00A50CAE"/>
    <w:rsid w:val="00A51DBB"/>
    <w:rsid w:val="00A5327E"/>
    <w:rsid w:val="00A5384F"/>
    <w:rsid w:val="00A540CD"/>
    <w:rsid w:val="00A543B7"/>
    <w:rsid w:val="00A569ED"/>
    <w:rsid w:val="00A57531"/>
    <w:rsid w:val="00A61D47"/>
    <w:rsid w:val="00A61E34"/>
    <w:rsid w:val="00A659A6"/>
    <w:rsid w:val="00A74383"/>
    <w:rsid w:val="00A764BF"/>
    <w:rsid w:val="00A80DE4"/>
    <w:rsid w:val="00A83B2A"/>
    <w:rsid w:val="00A83ECA"/>
    <w:rsid w:val="00A86899"/>
    <w:rsid w:val="00A90981"/>
    <w:rsid w:val="00A92B45"/>
    <w:rsid w:val="00A93610"/>
    <w:rsid w:val="00A9428A"/>
    <w:rsid w:val="00AA2547"/>
    <w:rsid w:val="00AA68D9"/>
    <w:rsid w:val="00AA7CB1"/>
    <w:rsid w:val="00AC15FB"/>
    <w:rsid w:val="00AC1F70"/>
    <w:rsid w:val="00AC3ECF"/>
    <w:rsid w:val="00AC4541"/>
    <w:rsid w:val="00AD08E6"/>
    <w:rsid w:val="00AD098C"/>
    <w:rsid w:val="00AD3123"/>
    <w:rsid w:val="00AE0140"/>
    <w:rsid w:val="00AE0D11"/>
    <w:rsid w:val="00AE115A"/>
    <w:rsid w:val="00AE7D73"/>
    <w:rsid w:val="00AF022F"/>
    <w:rsid w:val="00AF0DC6"/>
    <w:rsid w:val="00AF1B77"/>
    <w:rsid w:val="00AF26FB"/>
    <w:rsid w:val="00AF4936"/>
    <w:rsid w:val="00AF6340"/>
    <w:rsid w:val="00AF76D1"/>
    <w:rsid w:val="00B033CA"/>
    <w:rsid w:val="00B20888"/>
    <w:rsid w:val="00B3016E"/>
    <w:rsid w:val="00B42F3E"/>
    <w:rsid w:val="00B43968"/>
    <w:rsid w:val="00B46571"/>
    <w:rsid w:val="00B50E48"/>
    <w:rsid w:val="00B626D6"/>
    <w:rsid w:val="00B628FA"/>
    <w:rsid w:val="00B66D32"/>
    <w:rsid w:val="00B671DF"/>
    <w:rsid w:val="00B72616"/>
    <w:rsid w:val="00B73C53"/>
    <w:rsid w:val="00B75E89"/>
    <w:rsid w:val="00B800C6"/>
    <w:rsid w:val="00B801B2"/>
    <w:rsid w:val="00B820A5"/>
    <w:rsid w:val="00B900F2"/>
    <w:rsid w:val="00B90802"/>
    <w:rsid w:val="00B909E5"/>
    <w:rsid w:val="00B90EF5"/>
    <w:rsid w:val="00B91D8D"/>
    <w:rsid w:val="00BA268D"/>
    <w:rsid w:val="00BA3133"/>
    <w:rsid w:val="00BA4BBD"/>
    <w:rsid w:val="00BA71FE"/>
    <w:rsid w:val="00BA7474"/>
    <w:rsid w:val="00BB10D1"/>
    <w:rsid w:val="00BB1F07"/>
    <w:rsid w:val="00BB2149"/>
    <w:rsid w:val="00BB2A9D"/>
    <w:rsid w:val="00BB4106"/>
    <w:rsid w:val="00BC4CA9"/>
    <w:rsid w:val="00BD0B86"/>
    <w:rsid w:val="00BD27C7"/>
    <w:rsid w:val="00BD3463"/>
    <w:rsid w:val="00BE47CB"/>
    <w:rsid w:val="00BF103F"/>
    <w:rsid w:val="00BF50BA"/>
    <w:rsid w:val="00BF6CAC"/>
    <w:rsid w:val="00C014FF"/>
    <w:rsid w:val="00C04605"/>
    <w:rsid w:val="00C04F24"/>
    <w:rsid w:val="00C06C36"/>
    <w:rsid w:val="00C10B49"/>
    <w:rsid w:val="00C11EA9"/>
    <w:rsid w:val="00C17597"/>
    <w:rsid w:val="00C21A12"/>
    <w:rsid w:val="00C253D6"/>
    <w:rsid w:val="00C306B8"/>
    <w:rsid w:val="00C31D38"/>
    <w:rsid w:val="00C3368D"/>
    <w:rsid w:val="00C34FE0"/>
    <w:rsid w:val="00C3783E"/>
    <w:rsid w:val="00C44B6C"/>
    <w:rsid w:val="00C46AAB"/>
    <w:rsid w:val="00C50E54"/>
    <w:rsid w:val="00C54E3E"/>
    <w:rsid w:val="00C64F04"/>
    <w:rsid w:val="00C6527D"/>
    <w:rsid w:val="00C70B22"/>
    <w:rsid w:val="00C71EDD"/>
    <w:rsid w:val="00C86321"/>
    <w:rsid w:val="00C87FA1"/>
    <w:rsid w:val="00C91E21"/>
    <w:rsid w:val="00CA0A36"/>
    <w:rsid w:val="00CA0EEF"/>
    <w:rsid w:val="00CA2995"/>
    <w:rsid w:val="00CA5E56"/>
    <w:rsid w:val="00CB0B26"/>
    <w:rsid w:val="00CB172C"/>
    <w:rsid w:val="00CB28C1"/>
    <w:rsid w:val="00CB4ABD"/>
    <w:rsid w:val="00CC7539"/>
    <w:rsid w:val="00CD006E"/>
    <w:rsid w:val="00CD0188"/>
    <w:rsid w:val="00CD1371"/>
    <w:rsid w:val="00CD2E0A"/>
    <w:rsid w:val="00CD3C88"/>
    <w:rsid w:val="00CE2BBA"/>
    <w:rsid w:val="00CE7EC1"/>
    <w:rsid w:val="00CF5261"/>
    <w:rsid w:val="00CF7196"/>
    <w:rsid w:val="00CF75A9"/>
    <w:rsid w:val="00D025DC"/>
    <w:rsid w:val="00D030DE"/>
    <w:rsid w:val="00D0373B"/>
    <w:rsid w:val="00D04B59"/>
    <w:rsid w:val="00D05DF6"/>
    <w:rsid w:val="00D13324"/>
    <w:rsid w:val="00D1608C"/>
    <w:rsid w:val="00D176AE"/>
    <w:rsid w:val="00D207AD"/>
    <w:rsid w:val="00D23E61"/>
    <w:rsid w:val="00D24EEB"/>
    <w:rsid w:val="00D33757"/>
    <w:rsid w:val="00D33CE4"/>
    <w:rsid w:val="00D37145"/>
    <w:rsid w:val="00D4077F"/>
    <w:rsid w:val="00D40E3C"/>
    <w:rsid w:val="00D43D3F"/>
    <w:rsid w:val="00D473C2"/>
    <w:rsid w:val="00D52743"/>
    <w:rsid w:val="00D576CB"/>
    <w:rsid w:val="00D600A0"/>
    <w:rsid w:val="00D61DFD"/>
    <w:rsid w:val="00D63DA7"/>
    <w:rsid w:val="00D63F3E"/>
    <w:rsid w:val="00D6505E"/>
    <w:rsid w:val="00D7168F"/>
    <w:rsid w:val="00D81095"/>
    <w:rsid w:val="00D830D4"/>
    <w:rsid w:val="00D9337D"/>
    <w:rsid w:val="00D93727"/>
    <w:rsid w:val="00D94CB0"/>
    <w:rsid w:val="00D972D3"/>
    <w:rsid w:val="00D97EE5"/>
    <w:rsid w:val="00DA1B8B"/>
    <w:rsid w:val="00DA407B"/>
    <w:rsid w:val="00DA5EAE"/>
    <w:rsid w:val="00DB225D"/>
    <w:rsid w:val="00DC224B"/>
    <w:rsid w:val="00DC2262"/>
    <w:rsid w:val="00DC2426"/>
    <w:rsid w:val="00DC7293"/>
    <w:rsid w:val="00DC7E99"/>
    <w:rsid w:val="00DD0400"/>
    <w:rsid w:val="00DD2BF8"/>
    <w:rsid w:val="00DD3C7A"/>
    <w:rsid w:val="00DE124F"/>
    <w:rsid w:val="00DE2762"/>
    <w:rsid w:val="00DE4A88"/>
    <w:rsid w:val="00DE6F67"/>
    <w:rsid w:val="00DE7199"/>
    <w:rsid w:val="00DF0E23"/>
    <w:rsid w:val="00DF3B6C"/>
    <w:rsid w:val="00DF48AA"/>
    <w:rsid w:val="00DF4ED2"/>
    <w:rsid w:val="00DF6785"/>
    <w:rsid w:val="00DF6AA6"/>
    <w:rsid w:val="00E03738"/>
    <w:rsid w:val="00E10DC0"/>
    <w:rsid w:val="00E125D2"/>
    <w:rsid w:val="00E16A96"/>
    <w:rsid w:val="00E37343"/>
    <w:rsid w:val="00E420C6"/>
    <w:rsid w:val="00E43E91"/>
    <w:rsid w:val="00E46C61"/>
    <w:rsid w:val="00E51B12"/>
    <w:rsid w:val="00E52804"/>
    <w:rsid w:val="00E619B5"/>
    <w:rsid w:val="00E656CD"/>
    <w:rsid w:val="00E65A42"/>
    <w:rsid w:val="00E65EEF"/>
    <w:rsid w:val="00E7253E"/>
    <w:rsid w:val="00E775A2"/>
    <w:rsid w:val="00E81D52"/>
    <w:rsid w:val="00E929CB"/>
    <w:rsid w:val="00E957B7"/>
    <w:rsid w:val="00E95817"/>
    <w:rsid w:val="00EB096B"/>
    <w:rsid w:val="00EB1255"/>
    <w:rsid w:val="00EB6C82"/>
    <w:rsid w:val="00EC0034"/>
    <w:rsid w:val="00EC0AD0"/>
    <w:rsid w:val="00EC0E85"/>
    <w:rsid w:val="00EC507B"/>
    <w:rsid w:val="00EC659F"/>
    <w:rsid w:val="00EC6E91"/>
    <w:rsid w:val="00ED5D64"/>
    <w:rsid w:val="00ED6C51"/>
    <w:rsid w:val="00ED6E1E"/>
    <w:rsid w:val="00ED7C33"/>
    <w:rsid w:val="00EE0C21"/>
    <w:rsid w:val="00EE2272"/>
    <w:rsid w:val="00EE35BF"/>
    <w:rsid w:val="00EE4CC0"/>
    <w:rsid w:val="00EF4CDB"/>
    <w:rsid w:val="00EF4F53"/>
    <w:rsid w:val="00EF562E"/>
    <w:rsid w:val="00F022B9"/>
    <w:rsid w:val="00F0417B"/>
    <w:rsid w:val="00F11422"/>
    <w:rsid w:val="00F2164D"/>
    <w:rsid w:val="00F21B2B"/>
    <w:rsid w:val="00F220F2"/>
    <w:rsid w:val="00F236F9"/>
    <w:rsid w:val="00F25009"/>
    <w:rsid w:val="00F26748"/>
    <w:rsid w:val="00F277E7"/>
    <w:rsid w:val="00F310AF"/>
    <w:rsid w:val="00F31548"/>
    <w:rsid w:val="00F3234E"/>
    <w:rsid w:val="00F35D18"/>
    <w:rsid w:val="00F40B2C"/>
    <w:rsid w:val="00F4237F"/>
    <w:rsid w:val="00F54B0C"/>
    <w:rsid w:val="00F56F34"/>
    <w:rsid w:val="00F6296F"/>
    <w:rsid w:val="00F65273"/>
    <w:rsid w:val="00F66B11"/>
    <w:rsid w:val="00F6791C"/>
    <w:rsid w:val="00F71D4C"/>
    <w:rsid w:val="00F721E5"/>
    <w:rsid w:val="00F801F1"/>
    <w:rsid w:val="00F81340"/>
    <w:rsid w:val="00F84A8F"/>
    <w:rsid w:val="00F86F52"/>
    <w:rsid w:val="00F9046E"/>
    <w:rsid w:val="00F91651"/>
    <w:rsid w:val="00F93C6C"/>
    <w:rsid w:val="00FA09BF"/>
    <w:rsid w:val="00FA2D80"/>
    <w:rsid w:val="00FA6964"/>
    <w:rsid w:val="00FB1BB9"/>
    <w:rsid w:val="00FB4D45"/>
    <w:rsid w:val="00FC0B14"/>
    <w:rsid w:val="00FC3C4D"/>
    <w:rsid w:val="00FC4087"/>
    <w:rsid w:val="00FC7FA2"/>
    <w:rsid w:val="00FD36F9"/>
    <w:rsid w:val="00FD51AF"/>
    <w:rsid w:val="00FD5DCE"/>
    <w:rsid w:val="00FD7764"/>
    <w:rsid w:val="00FE1404"/>
    <w:rsid w:val="00FE243E"/>
    <w:rsid w:val="00FE43EA"/>
    <w:rsid w:val="00FF491C"/>
    <w:rsid w:val="00FF7CEB"/>
    <w:rsid w:val="01152E6C"/>
    <w:rsid w:val="011737E8"/>
    <w:rsid w:val="01355D4C"/>
    <w:rsid w:val="01383E12"/>
    <w:rsid w:val="01462A80"/>
    <w:rsid w:val="014B0104"/>
    <w:rsid w:val="015864EF"/>
    <w:rsid w:val="015D5871"/>
    <w:rsid w:val="016179CE"/>
    <w:rsid w:val="0166715E"/>
    <w:rsid w:val="017811E7"/>
    <w:rsid w:val="017F46D6"/>
    <w:rsid w:val="01AE1726"/>
    <w:rsid w:val="01C82AB0"/>
    <w:rsid w:val="01DB1C31"/>
    <w:rsid w:val="01DC48D0"/>
    <w:rsid w:val="01F2262E"/>
    <w:rsid w:val="01F3546E"/>
    <w:rsid w:val="01FA1EC0"/>
    <w:rsid w:val="01FC35A3"/>
    <w:rsid w:val="02217D9C"/>
    <w:rsid w:val="022A4F19"/>
    <w:rsid w:val="023761E8"/>
    <w:rsid w:val="024151EF"/>
    <w:rsid w:val="02496EEF"/>
    <w:rsid w:val="02537D46"/>
    <w:rsid w:val="02543E3F"/>
    <w:rsid w:val="027219FC"/>
    <w:rsid w:val="02762A7A"/>
    <w:rsid w:val="027D7B38"/>
    <w:rsid w:val="028A394E"/>
    <w:rsid w:val="02954AFC"/>
    <w:rsid w:val="02BC3FDE"/>
    <w:rsid w:val="02D40B8C"/>
    <w:rsid w:val="02DF3BE6"/>
    <w:rsid w:val="02E44DEB"/>
    <w:rsid w:val="02E64AD1"/>
    <w:rsid w:val="03081632"/>
    <w:rsid w:val="03083D48"/>
    <w:rsid w:val="03174636"/>
    <w:rsid w:val="032D3133"/>
    <w:rsid w:val="032D48E0"/>
    <w:rsid w:val="032E6AD3"/>
    <w:rsid w:val="03325DF9"/>
    <w:rsid w:val="03345A62"/>
    <w:rsid w:val="03362DFF"/>
    <w:rsid w:val="03376381"/>
    <w:rsid w:val="03381522"/>
    <w:rsid w:val="03391879"/>
    <w:rsid w:val="033D0DE6"/>
    <w:rsid w:val="034472F9"/>
    <w:rsid w:val="034E4DD0"/>
    <w:rsid w:val="035720B7"/>
    <w:rsid w:val="035A6C9D"/>
    <w:rsid w:val="035D4BDD"/>
    <w:rsid w:val="035E1F70"/>
    <w:rsid w:val="036B1E95"/>
    <w:rsid w:val="0372067B"/>
    <w:rsid w:val="037417D4"/>
    <w:rsid w:val="037D2BAD"/>
    <w:rsid w:val="037F2692"/>
    <w:rsid w:val="03936C89"/>
    <w:rsid w:val="03A97ACD"/>
    <w:rsid w:val="03AE3831"/>
    <w:rsid w:val="03B84A09"/>
    <w:rsid w:val="03B86396"/>
    <w:rsid w:val="03C22FC3"/>
    <w:rsid w:val="03D5776C"/>
    <w:rsid w:val="03D60D5F"/>
    <w:rsid w:val="03E771E1"/>
    <w:rsid w:val="03E81EB5"/>
    <w:rsid w:val="03FC1770"/>
    <w:rsid w:val="0409748A"/>
    <w:rsid w:val="040F3C7E"/>
    <w:rsid w:val="04150696"/>
    <w:rsid w:val="041705D3"/>
    <w:rsid w:val="041D5488"/>
    <w:rsid w:val="041E0EC0"/>
    <w:rsid w:val="042475C0"/>
    <w:rsid w:val="04307DF9"/>
    <w:rsid w:val="044125BD"/>
    <w:rsid w:val="0442132B"/>
    <w:rsid w:val="044D31D8"/>
    <w:rsid w:val="046B2829"/>
    <w:rsid w:val="04870B86"/>
    <w:rsid w:val="048C2976"/>
    <w:rsid w:val="048F385D"/>
    <w:rsid w:val="04A26644"/>
    <w:rsid w:val="04B35C78"/>
    <w:rsid w:val="04B8046F"/>
    <w:rsid w:val="04C368FD"/>
    <w:rsid w:val="04C57709"/>
    <w:rsid w:val="04E47842"/>
    <w:rsid w:val="04E97667"/>
    <w:rsid w:val="04FC34E9"/>
    <w:rsid w:val="05082442"/>
    <w:rsid w:val="050B70BD"/>
    <w:rsid w:val="051C2DD2"/>
    <w:rsid w:val="05345E37"/>
    <w:rsid w:val="054730F6"/>
    <w:rsid w:val="05502291"/>
    <w:rsid w:val="055445A8"/>
    <w:rsid w:val="057C6239"/>
    <w:rsid w:val="057F1DB8"/>
    <w:rsid w:val="05891EBD"/>
    <w:rsid w:val="058E1C30"/>
    <w:rsid w:val="05B11DEC"/>
    <w:rsid w:val="05B6333B"/>
    <w:rsid w:val="05BC3041"/>
    <w:rsid w:val="05CB6796"/>
    <w:rsid w:val="05D63745"/>
    <w:rsid w:val="05EF0F56"/>
    <w:rsid w:val="05EF18DC"/>
    <w:rsid w:val="05FE697A"/>
    <w:rsid w:val="06066931"/>
    <w:rsid w:val="0607162A"/>
    <w:rsid w:val="061E5225"/>
    <w:rsid w:val="0622713D"/>
    <w:rsid w:val="06360371"/>
    <w:rsid w:val="06361714"/>
    <w:rsid w:val="064B511A"/>
    <w:rsid w:val="064E7BB2"/>
    <w:rsid w:val="06540B5F"/>
    <w:rsid w:val="06765233"/>
    <w:rsid w:val="06A357C5"/>
    <w:rsid w:val="06CB2A18"/>
    <w:rsid w:val="06CE0C1B"/>
    <w:rsid w:val="06E72C43"/>
    <w:rsid w:val="06F64947"/>
    <w:rsid w:val="07080B6E"/>
    <w:rsid w:val="07127C52"/>
    <w:rsid w:val="071300F6"/>
    <w:rsid w:val="07217C90"/>
    <w:rsid w:val="07364301"/>
    <w:rsid w:val="07455C5C"/>
    <w:rsid w:val="074F5A61"/>
    <w:rsid w:val="07510884"/>
    <w:rsid w:val="07564D8B"/>
    <w:rsid w:val="075C3901"/>
    <w:rsid w:val="07600DD4"/>
    <w:rsid w:val="076B74F9"/>
    <w:rsid w:val="076D2C62"/>
    <w:rsid w:val="077854AE"/>
    <w:rsid w:val="078C0E33"/>
    <w:rsid w:val="078E6BF7"/>
    <w:rsid w:val="079B119C"/>
    <w:rsid w:val="07A01EF9"/>
    <w:rsid w:val="07A31D94"/>
    <w:rsid w:val="07B10538"/>
    <w:rsid w:val="07B72E91"/>
    <w:rsid w:val="07DD4686"/>
    <w:rsid w:val="07EA5557"/>
    <w:rsid w:val="07EB4FD7"/>
    <w:rsid w:val="07F018F0"/>
    <w:rsid w:val="08055343"/>
    <w:rsid w:val="080D2352"/>
    <w:rsid w:val="08145E9C"/>
    <w:rsid w:val="0827082D"/>
    <w:rsid w:val="083943A4"/>
    <w:rsid w:val="085D6AFF"/>
    <w:rsid w:val="0861187E"/>
    <w:rsid w:val="086A6179"/>
    <w:rsid w:val="086E11A6"/>
    <w:rsid w:val="08731E94"/>
    <w:rsid w:val="08765695"/>
    <w:rsid w:val="087D2F70"/>
    <w:rsid w:val="087E1C2F"/>
    <w:rsid w:val="088C5134"/>
    <w:rsid w:val="0892684D"/>
    <w:rsid w:val="0896111B"/>
    <w:rsid w:val="08A74E62"/>
    <w:rsid w:val="08CB1821"/>
    <w:rsid w:val="08CD27CD"/>
    <w:rsid w:val="08F86784"/>
    <w:rsid w:val="08FF7AE8"/>
    <w:rsid w:val="09001742"/>
    <w:rsid w:val="09091E5F"/>
    <w:rsid w:val="090A61A7"/>
    <w:rsid w:val="090E3500"/>
    <w:rsid w:val="091626D4"/>
    <w:rsid w:val="092C6105"/>
    <w:rsid w:val="092F1D4C"/>
    <w:rsid w:val="09625AE7"/>
    <w:rsid w:val="096D43C1"/>
    <w:rsid w:val="097A5CD9"/>
    <w:rsid w:val="097D50EC"/>
    <w:rsid w:val="09985BCD"/>
    <w:rsid w:val="09A3257E"/>
    <w:rsid w:val="09AC6707"/>
    <w:rsid w:val="09AD59EA"/>
    <w:rsid w:val="09C259FD"/>
    <w:rsid w:val="09C64ABC"/>
    <w:rsid w:val="09D143F3"/>
    <w:rsid w:val="09F04B48"/>
    <w:rsid w:val="09F10FD7"/>
    <w:rsid w:val="09F44522"/>
    <w:rsid w:val="09F5694A"/>
    <w:rsid w:val="09FA2D27"/>
    <w:rsid w:val="0A1E0493"/>
    <w:rsid w:val="0A2566E4"/>
    <w:rsid w:val="0A2B39B7"/>
    <w:rsid w:val="0A3C4F96"/>
    <w:rsid w:val="0A452370"/>
    <w:rsid w:val="0A476896"/>
    <w:rsid w:val="0A4B79CB"/>
    <w:rsid w:val="0A506876"/>
    <w:rsid w:val="0A536D1D"/>
    <w:rsid w:val="0A540C82"/>
    <w:rsid w:val="0A5771DC"/>
    <w:rsid w:val="0A5D456B"/>
    <w:rsid w:val="0A723795"/>
    <w:rsid w:val="0A7D769A"/>
    <w:rsid w:val="0A955B6A"/>
    <w:rsid w:val="0A95694A"/>
    <w:rsid w:val="0A993A32"/>
    <w:rsid w:val="0AA40C16"/>
    <w:rsid w:val="0AAD7EC5"/>
    <w:rsid w:val="0AB57462"/>
    <w:rsid w:val="0AB87DFE"/>
    <w:rsid w:val="0ACC6619"/>
    <w:rsid w:val="0ACE4742"/>
    <w:rsid w:val="0AD04C08"/>
    <w:rsid w:val="0AD34EF0"/>
    <w:rsid w:val="0AE50BA7"/>
    <w:rsid w:val="0AEF3F83"/>
    <w:rsid w:val="0AF64C89"/>
    <w:rsid w:val="0AF922EC"/>
    <w:rsid w:val="0AF93312"/>
    <w:rsid w:val="0AFB2D45"/>
    <w:rsid w:val="0AFD5B12"/>
    <w:rsid w:val="0B026566"/>
    <w:rsid w:val="0B091956"/>
    <w:rsid w:val="0B0E495A"/>
    <w:rsid w:val="0B130E66"/>
    <w:rsid w:val="0B2E00EC"/>
    <w:rsid w:val="0B393FA1"/>
    <w:rsid w:val="0B3B13EA"/>
    <w:rsid w:val="0B4C60BB"/>
    <w:rsid w:val="0B565C44"/>
    <w:rsid w:val="0B5F4DF9"/>
    <w:rsid w:val="0B662AFF"/>
    <w:rsid w:val="0B6952AE"/>
    <w:rsid w:val="0B801FB0"/>
    <w:rsid w:val="0B8C3F6C"/>
    <w:rsid w:val="0B920B13"/>
    <w:rsid w:val="0BB90752"/>
    <w:rsid w:val="0BBC4283"/>
    <w:rsid w:val="0BC51FA4"/>
    <w:rsid w:val="0BC66DDA"/>
    <w:rsid w:val="0BC816DD"/>
    <w:rsid w:val="0BDC5AF6"/>
    <w:rsid w:val="0BE722EA"/>
    <w:rsid w:val="0BE97A29"/>
    <w:rsid w:val="0BFE1906"/>
    <w:rsid w:val="0C040D33"/>
    <w:rsid w:val="0C18561E"/>
    <w:rsid w:val="0C232B6E"/>
    <w:rsid w:val="0C264F6B"/>
    <w:rsid w:val="0C27751B"/>
    <w:rsid w:val="0C2C283C"/>
    <w:rsid w:val="0C36723F"/>
    <w:rsid w:val="0C3916DB"/>
    <w:rsid w:val="0C3B5787"/>
    <w:rsid w:val="0C427F31"/>
    <w:rsid w:val="0C453D12"/>
    <w:rsid w:val="0C482277"/>
    <w:rsid w:val="0C5D6D3D"/>
    <w:rsid w:val="0C620CD4"/>
    <w:rsid w:val="0C8F6905"/>
    <w:rsid w:val="0C9F01AC"/>
    <w:rsid w:val="0C9F664B"/>
    <w:rsid w:val="0CA310DC"/>
    <w:rsid w:val="0CAF67E8"/>
    <w:rsid w:val="0CB83EAA"/>
    <w:rsid w:val="0CB946F6"/>
    <w:rsid w:val="0CC05B52"/>
    <w:rsid w:val="0CC91985"/>
    <w:rsid w:val="0CDE497F"/>
    <w:rsid w:val="0CEE43B7"/>
    <w:rsid w:val="0CEF1899"/>
    <w:rsid w:val="0CF35F7A"/>
    <w:rsid w:val="0CFA73FA"/>
    <w:rsid w:val="0D0C4E2E"/>
    <w:rsid w:val="0D0E6FB4"/>
    <w:rsid w:val="0D23088A"/>
    <w:rsid w:val="0D3522F3"/>
    <w:rsid w:val="0D3A135D"/>
    <w:rsid w:val="0D3C3D48"/>
    <w:rsid w:val="0D3D7178"/>
    <w:rsid w:val="0D443E27"/>
    <w:rsid w:val="0D521368"/>
    <w:rsid w:val="0D5C217D"/>
    <w:rsid w:val="0D6041A5"/>
    <w:rsid w:val="0D6B18C7"/>
    <w:rsid w:val="0D7254EB"/>
    <w:rsid w:val="0D730A92"/>
    <w:rsid w:val="0D8072BC"/>
    <w:rsid w:val="0D877F08"/>
    <w:rsid w:val="0D9824EF"/>
    <w:rsid w:val="0DB425F1"/>
    <w:rsid w:val="0DB44A94"/>
    <w:rsid w:val="0DB55A60"/>
    <w:rsid w:val="0DB809C4"/>
    <w:rsid w:val="0DBC0DB3"/>
    <w:rsid w:val="0DE678F2"/>
    <w:rsid w:val="0DEC2697"/>
    <w:rsid w:val="0DF80B73"/>
    <w:rsid w:val="0DF96671"/>
    <w:rsid w:val="0E1471EF"/>
    <w:rsid w:val="0E16157B"/>
    <w:rsid w:val="0E213712"/>
    <w:rsid w:val="0E2B7530"/>
    <w:rsid w:val="0E331D39"/>
    <w:rsid w:val="0E407838"/>
    <w:rsid w:val="0E632D4B"/>
    <w:rsid w:val="0E6C526D"/>
    <w:rsid w:val="0E720B8D"/>
    <w:rsid w:val="0E7B1E94"/>
    <w:rsid w:val="0E804644"/>
    <w:rsid w:val="0E8254E7"/>
    <w:rsid w:val="0E9B6C2B"/>
    <w:rsid w:val="0EBF6BB9"/>
    <w:rsid w:val="0EC61EF4"/>
    <w:rsid w:val="0EC83072"/>
    <w:rsid w:val="0ECB2209"/>
    <w:rsid w:val="0EE0315D"/>
    <w:rsid w:val="0EE73CB6"/>
    <w:rsid w:val="0EF843F5"/>
    <w:rsid w:val="0EF93A64"/>
    <w:rsid w:val="0EF95DFD"/>
    <w:rsid w:val="0EFC65D4"/>
    <w:rsid w:val="0F083DC9"/>
    <w:rsid w:val="0F2266C9"/>
    <w:rsid w:val="0F2F131B"/>
    <w:rsid w:val="0F370EC1"/>
    <w:rsid w:val="0F5F7A35"/>
    <w:rsid w:val="0F71521F"/>
    <w:rsid w:val="0F732EC7"/>
    <w:rsid w:val="0F770997"/>
    <w:rsid w:val="0F7734C1"/>
    <w:rsid w:val="0F877D36"/>
    <w:rsid w:val="0F8A4042"/>
    <w:rsid w:val="0FA67719"/>
    <w:rsid w:val="0FAA4889"/>
    <w:rsid w:val="0FAC1509"/>
    <w:rsid w:val="0FBB03A5"/>
    <w:rsid w:val="0FBD6F77"/>
    <w:rsid w:val="0FCA126B"/>
    <w:rsid w:val="0FD86A9A"/>
    <w:rsid w:val="0FE4605F"/>
    <w:rsid w:val="10190153"/>
    <w:rsid w:val="102F15E5"/>
    <w:rsid w:val="10377393"/>
    <w:rsid w:val="10621DC5"/>
    <w:rsid w:val="10625E61"/>
    <w:rsid w:val="106B3902"/>
    <w:rsid w:val="10737C4C"/>
    <w:rsid w:val="10803F2D"/>
    <w:rsid w:val="10912085"/>
    <w:rsid w:val="10947179"/>
    <w:rsid w:val="10B93677"/>
    <w:rsid w:val="10BF739F"/>
    <w:rsid w:val="10D95915"/>
    <w:rsid w:val="10DC0397"/>
    <w:rsid w:val="10E35AC1"/>
    <w:rsid w:val="10E50F2C"/>
    <w:rsid w:val="10F31073"/>
    <w:rsid w:val="10FB5A32"/>
    <w:rsid w:val="11005C0E"/>
    <w:rsid w:val="11047BDF"/>
    <w:rsid w:val="110778D5"/>
    <w:rsid w:val="11134B5C"/>
    <w:rsid w:val="11146222"/>
    <w:rsid w:val="111A3ADB"/>
    <w:rsid w:val="11220A70"/>
    <w:rsid w:val="113F2DC2"/>
    <w:rsid w:val="114162CE"/>
    <w:rsid w:val="1149299E"/>
    <w:rsid w:val="114C6543"/>
    <w:rsid w:val="11575DD9"/>
    <w:rsid w:val="11597CEB"/>
    <w:rsid w:val="115A31B9"/>
    <w:rsid w:val="115C74C3"/>
    <w:rsid w:val="11637504"/>
    <w:rsid w:val="116B7AB8"/>
    <w:rsid w:val="11732378"/>
    <w:rsid w:val="118B676B"/>
    <w:rsid w:val="119F64DB"/>
    <w:rsid w:val="11BD2C71"/>
    <w:rsid w:val="11C63982"/>
    <w:rsid w:val="11C90C95"/>
    <w:rsid w:val="11CF21AE"/>
    <w:rsid w:val="11E770E0"/>
    <w:rsid w:val="11FE1345"/>
    <w:rsid w:val="12006075"/>
    <w:rsid w:val="12462F83"/>
    <w:rsid w:val="125702DA"/>
    <w:rsid w:val="125A137F"/>
    <w:rsid w:val="12647A0A"/>
    <w:rsid w:val="12655029"/>
    <w:rsid w:val="127B6232"/>
    <w:rsid w:val="128F74B9"/>
    <w:rsid w:val="12900BBC"/>
    <w:rsid w:val="129A1559"/>
    <w:rsid w:val="12B33AA4"/>
    <w:rsid w:val="12B6141D"/>
    <w:rsid w:val="12B91101"/>
    <w:rsid w:val="12C4068A"/>
    <w:rsid w:val="12E73C61"/>
    <w:rsid w:val="12F366BA"/>
    <w:rsid w:val="130518AA"/>
    <w:rsid w:val="13053296"/>
    <w:rsid w:val="130B0EDA"/>
    <w:rsid w:val="130D0DAD"/>
    <w:rsid w:val="13102C15"/>
    <w:rsid w:val="13122537"/>
    <w:rsid w:val="13194A39"/>
    <w:rsid w:val="132A4B99"/>
    <w:rsid w:val="1330518D"/>
    <w:rsid w:val="13344602"/>
    <w:rsid w:val="13484CD6"/>
    <w:rsid w:val="134B2F36"/>
    <w:rsid w:val="134C6600"/>
    <w:rsid w:val="13515061"/>
    <w:rsid w:val="135820B9"/>
    <w:rsid w:val="135E1F9A"/>
    <w:rsid w:val="135E7364"/>
    <w:rsid w:val="138539F0"/>
    <w:rsid w:val="1398263F"/>
    <w:rsid w:val="139B3C2F"/>
    <w:rsid w:val="13A247EA"/>
    <w:rsid w:val="13A53566"/>
    <w:rsid w:val="13AB7702"/>
    <w:rsid w:val="13C425FB"/>
    <w:rsid w:val="13CB604E"/>
    <w:rsid w:val="13EA5201"/>
    <w:rsid w:val="13F0065E"/>
    <w:rsid w:val="14087D77"/>
    <w:rsid w:val="141737EC"/>
    <w:rsid w:val="141E56D2"/>
    <w:rsid w:val="1429685E"/>
    <w:rsid w:val="14353523"/>
    <w:rsid w:val="143A6C17"/>
    <w:rsid w:val="14470C42"/>
    <w:rsid w:val="144B2E1A"/>
    <w:rsid w:val="144C24BD"/>
    <w:rsid w:val="144D05AC"/>
    <w:rsid w:val="145A6E13"/>
    <w:rsid w:val="14605C34"/>
    <w:rsid w:val="1474233F"/>
    <w:rsid w:val="148A1B1A"/>
    <w:rsid w:val="1490631E"/>
    <w:rsid w:val="149B0E8D"/>
    <w:rsid w:val="14AB2356"/>
    <w:rsid w:val="14C40D26"/>
    <w:rsid w:val="14F52BAE"/>
    <w:rsid w:val="14FF3E57"/>
    <w:rsid w:val="15105B7D"/>
    <w:rsid w:val="152C0648"/>
    <w:rsid w:val="15322DF0"/>
    <w:rsid w:val="153C5679"/>
    <w:rsid w:val="153D3C06"/>
    <w:rsid w:val="155D592E"/>
    <w:rsid w:val="156866F4"/>
    <w:rsid w:val="157F4CD1"/>
    <w:rsid w:val="1582002F"/>
    <w:rsid w:val="15922F18"/>
    <w:rsid w:val="15A05B35"/>
    <w:rsid w:val="15A53BD0"/>
    <w:rsid w:val="15A62657"/>
    <w:rsid w:val="15BB5CDB"/>
    <w:rsid w:val="15CE1F04"/>
    <w:rsid w:val="15D95E0D"/>
    <w:rsid w:val="15E6106C"/>
    <w:rsid w:val="15E77F9F"/>
    <w:rsid w:val="15FC4F0C"/>
    <w:rsid w:val="160752EC"/>
    <w:rsid w:val="16293C79"/>
    <w:rsid w:val="163C27D3"/>
    <w:rsid w:val="16561BF6"/>
    <w:rsid w:val="165E0313"/>
    <w:rsid w:val="167318FC"/>
    <w:rsid w:val="16742FD6"/>
    <w:rsid w:val="16AE5758"/>
    <w:rsid w:val="16B04CD6"/>
    <w:rsid w:val="16BF2B71"/>
    <w:rsid w:val="16D94E49"/>
    <w:rsid w:val="16DA2416"/>
    <w:rsid w:val="16E276F8"/>
    <w:rsid w:val="16E3258C"/>
    <w:rsid w:val="16FB1021"/>
    <w:rsid w:val="171D19D9"/>
    <w:rsid w:val="172F03D9"/>
    <w:rsid w:val="17341E7A"/>
    <w:rsid w:val="174B62BA"/>
    <w:rsid w:val="17761C45"/>
    <w:rsid w:val="17822931"/>
    <w:rsid w:val="17835987"/>
    <w:rsid w:val="1794072A"/>
    <w:rsid w:val="179A5BF3"/>
    <w:rsid w:val="179A7EA2"/>
    <w:rsid w:val="17A064F9"/>
    <w:rsid w:val="17C371B8"/>
    <w:rsid w:val="17CB270D"/>
    <w:rsid w:val="17D445C7"/>
    <w:rsid w:val="17D61E2F"/>
    <w:rsid w:val="17ED395A"/>
    <w:rsid w:val="17EF48A2"/>
    <w:rsid w:val="17F30C98"/>
    <w:rsid w:val="18023147"/>
    <w:rsid w:val="180C7B9F"/>
    <w:rsid w:val="1810122A"/>
    <w:rsid w:val="181521D9"/>
    <w:rsid w:val="18216C90"/>
    <w:rsid w:val="182D188D"/>
    <w:rsid w:val="18366C68"/>
    <w:rsid w:val="18450485"/>
    <w:rsid w:val="18494649"/>
    <w:rsid w:val="184C3ED0"/>
    <w:rsid w:val="187A2326"/>
    <w:rsid w:val="187E06FE"/>
    <w:rsid w:val="188707A5"/>
    <w:rsid w:val="189E05B5"/>
    <w:rsid w:val="189E4796"/>
    <w:rsid w:val="18A0570B"/>
    <w:rsid w:val="18AA71B0"/>
    <w:rsid w:val="18AD1CEB"/>
    <w:rsid w:val="18B453FB"/>
    <w:rsid w:val="18B77EEB"/>
    <w:rsid w:val="18CC5B95"/>
    <w:rsid w:val="18CE1B26"/>
    <w:rsid w:val="18D10DDB"/>
    <w:rsid w:val="18D423AF"/>
    <w:rsid w:val="18D50268"/>
    <w:rsid w:val="18E14BC0"/>
    <w:rsid w:val="18E719DE"/>
    <w:rsid w:val="18EC1CF9"/>
    <w:rsid w:val="18FD2DAE"/>
    <w:rsid w:val="19044CBE"/>
    <w:rsid w:val="190C6039"/>
    <w:rsid w:val="190F2BAF"/>
    <w:rsid w:val="19122692"/>
    <w:rsid w:val="191324E3"/>
    <w:rsid w:val="1917379C"/>
    <w:rsid w:val="191A560E"/>
    <w:rsid w:val="191F0970"/>
    <w:rsid w:val="19247269"/>
    <w:rsid w:val="192A6734"/>
    <w:rsid w:val="192A6746"/>
    <w:rsid w:val="192C5497"/>
    <w:rsid w:val="192E07DC"/>
    <w:rsid w:val="194A4503"/>
    <w:rsid w:val="194B0825"/>
    <w:rsid w:val="1950001F"/>
    <w:rsid w:val="19526F07"/>
    <w:rsid w:val="195F7F5A"/>
    <w:rsid w:val="196100AB"/>
    <w:rsid w:val="198C60EA"/>
    <w:rsid w:val="19970991"/>
    <w:rsid w:val="19990A04"/>
    <w:rsid w:val="199E1BD8"/>
    <w:rsid w:val="199E3B76"/>
    <w:rsid w:val="19A02CF7"/>
    <w:rsid w:val="19B6589E"/>
    <w:rsid w:val="19B705E3"/>
    <w:rsid w:val="19B823B0"/>
    <w:rsid w:val="19BE2649"/>
    <w:rsid w:val="19C16F7F"/>
    <w:rsid w:val="19C54E82"/>
    <w:rsid w:val="19CA632F"/>
    <w:rsid w:val="19D31450"/>
    <w:rsid w:val="19E038F3"/>
    <w:rsid w:val="19E31F3E"/>
    <w:rsid w:val="1A0379E0"/>
    <w:rsid w:val="1A1B4BF8"/>
    <w:rsid w:val="1A2424D5"/>
    <w:rsid w:val="1A245997"/>
    <w:rsid w:val="1A3F7CC4"/>
    <w:rsid w:val="1A5836A8"/>
    <w:rsid w:val="1A597E76"/>
    <w:rsid w:val="1A6C0553"/>
    <w:rsid w:val="1A74358F"/>
    <w:rsid w:val="1A7953E5"/>
    <w:rsid w:val="1A805776"/>
    <w:rsid w:val="1A815B26"/>
    <w:rsid w:val="1A904015"/>
    <w:rsid w:val="1A9F3889"/>
    <w:rsid w:val="1AA068DE"/>
    <w:rsid w:val="1AA12724"/>
    <w:rsid w:val="1AAB5F50"/>
    <w:rsid w:val="1AAD4FD3"/>
    <w:rsid w:val="1AD6410C"/>
    <w:rsid w:val="1ADA4020"/>
    <w:rsid w:val="1AE54EBE"/>
    <w:rsid w:val="1AF30EAA"/>
    <w:rsid w:val="1AFE4FF0"/>
    <w:rsid w:val="1B166FD4"/>
    <w:rsid w:val="1B27407F"/>
    <w:rsid w:val="1B2853F8"/>
    <w:rsid w:val="1B2E2163"/>
    <w:rsid w:val="1B3E5F92"/>
    <w:rsid w:val="1B3F0067"/>
    <w:rsid w:val="1B54526C"/>
    <w:rsid w:val="1B626D2F"/>
    <w:rsid w:val="1B790A52"/>
    <w:rsid w:val="1B862880"/>
    <w:rsid w:val="1B8632BD"/>
    <w:rsid w:val="1B8817F7"/>
    <w:rsid w:val="1B8F2FAA"/>
    <w:rsid w:val="1BA8207A"/>
    <w:rsid w:val="1BA87616"/>
    <w:rsid w:val="1BB51F6E"/>
    <w:rsid w:val="1BBE58EF"/>
    <w:rsid w:val="1BE02150"/>
    <w:rsid w:val="1BE51E11"/>
    <w:rsid w:val="1BE54A7E"/>
    <w:rsid w:val="1BE832DB"/>
    <w:rsid w:val="1C0E5FFB"/>
    <w:rsid w:val="1C186989"/>
    <w:rsid w:val="1C2648BC"/>
    <w:rsid w:val="1C2B7CCA"/>
    <w:rsid w:val="1C4744B5"/>
    <w:rsid w:val="1C556E5E"/>
    <w:rsid w:val="1C636FB0"/>
    <w:rsid w:val="1C6913B7"/>
    <w:rsid w:val="1C6B7516"/>
    <w:rsid w:val="1C776C80"/>
    <w:rsid w:val="1C8F2653"/>
    <w:rsid w:val="1C925CF8"/>
    <w:rsid w:val="1C9B2D9E"/>
    <w:rsid w:val="1CA06CD5"/>
    <w:rsid w:val="1CA65719"/>
    <w:rsid w:val="1CAE0BA1"/>
    <w:rsid w:val="1CB47F24"/>
    <w:rsid w:val="1CB8119F"/>
    <w:rsid w:val="1CB95019"/>
    <w:rsid w:val="1CBE0ACA"/>
    <w:rsid w:val="1CD60821"/>
    <w:rsid w:val="1CE13C28"/>
    <w:rsid w:val="1D063BC7"/>
    <w:rsid w:val="1D10546D"/>
    <w:rsid w:val="1D1A1CEF"/>
    <w:rsid w:val="1D26403E"/>
    <w:rsid w:val="1D36585C"/>
    <w:rsid w:val="1D381E2E"/>
    <w:rsid w:val="1D5070E2"/>
    <w:rsid w:val="1D5B20BC"/>
    <w:rsid w:val="1D635FA7"/>
    <w:rsid w:val="1D6A4E1A"/>
    <w:rsid w:val="1D6B3575"/>
    <w:rsid w:val="1D814BA2"/>
    <w:rsid w:val="1D87217A"/>
    <w:rsid w:val="1D956A67"/>
    <w:rsid w:val="1D9A464C"/>
    <w:rsid w:val="1DA47021"/>
    <w:rsid w:val="1DE03F0C"/>
    <w:rsid w:val="1DE0783F"/>
    <w:rsid w:val="1DED082E"/>
    <w:rsid w:val="1DFE7729"/>
    <w:rsid w:val="1E1C4344"/>
    <w:rsid w:val="1E1D609B"/>
    <w:rsid w:val="1E234920"/>
    <w:rsid w:val="1E3707F3"/>
    <w:rsid w:val="1E550096"/>
    <w:rsid w:val="1E5C2D13"/>
    <w:rsid w:val="1E9D1889"/>
    <w:rsid w:val="1EAF61F8"/>
    <w:rsid w:val="1EB35658"/>
    <w:rsid w:val="1ED14F73"/>
    <w:rsid w:val="1EF116C4"/>
    <w:rsid w:val="1EF14E78"/>
    <w:rsid w:val="1EF17763"/>
    <w:rsid w:val="1F063EA3"/>
    <w:rsid w:val="1F083998"/>
    <w:rsid w:val="1F51690D"/>
    <w:rsid w:val="1F54229E"/>
    <w:rsid w:val="1F5F51A7"/>
    <w:rsid w:val="1F66736D"/>
    <w:rsid w:val="1F7763F1"/>
    <w:rsid w:val="1F7C6D9A"/>
    <w:rsid w:val="1F7D5D9C"/>
    <w:rsid w:val="1F812DE8"/>
    <w:rsid w:val="1F8C652D"/>
    <w:rsid w:val="1FA91D8E"/>
    <w:rsid w:val="1FAE5E00"/>
    <w:rsid w:val="1FB46826"/>
    <w:rsid w:val="1FC11CA2"/>
    <w:rsid w:val="1FC23CD2"/>
    <w:rsid w:val="1FC62452"/>
    <w:rsid w:val="1FCF6544"/>
    <w:rsid w:val="1FD361A9"/>
    <w:rsid w:val="1FEB25F2"/>
    <w:rsid w:val="200504E3"/>
    <w:rsid w:val="200A6207"/>
    <w:rsid w:val="20124D5D"/>
    <w:rsid w:val="201B70E7"/>
    <w:rsid w:val="202255EC"/>
    <w:rsid w:val="20243122"/>
    <w:rsid w:val="20347C95"/>
    <w:rsid w:val="20615D4D"/>
    <w:rsid w:val="20872B42"/>
    <w:rsid w:val="208F30B4"/>
    <w:rsid w:val="20AF73AC"/>
    <w:rsid w:val="20B52B7D"/>
    <w:rsid w:val="20B703E3"/>
    <w:rsid w:val="20C40CAE"/>
    <w:rsid w:val="20D427F2"/>
    <w:rsid w:val="20DD7A8E"/>
    <w:rsid w:val="20DE016C"/>
    <w:rsid w:val="20F75648"/>
    <w:rsid w:val="20FA258A"/>
    <w:rsid w:val="20FB3F8B"/>
    <w:rsid w:val="20FF2B9D"/>
    <w:rsid w:val="211263FD"/>
    <w:rsid w:val="2126089E"/>
    <w:rsid w:val="212A658A"/>
    <w:rsid w:val="212F55D3"/>
    <w:rsid w:val="214336FA"/>
    <w:rsid w:val="21463ED8"/>
    <w:rsid w:val="21487C18"/>
    <w:rsid w:val="214C290F"/>
    <w:rsid w:val="214F0B37"/>
    <w:rsid w:val="21514CB8"/>
    <w:rsid w:val="216D3C61"/>
    <w:rsid w:val="217476AE"/>
    <w:rsid w:val="21765E7B"/>
    <w:rsid w:val="21810EE9"/>
    <w:rsid w:val="21844232"/>
    <w:rsid w:val="2194529F"/>
    <w:rsid w:val="21951E9A"/>
    <w:rsid w:val="21A1556C"/>
    <w:rsid w:val="21A41401"/>
    <w:rsid w:val="21A46636"/>
    <w:rsid w:val="21A56CE2"/>
    <w:rsid w:val="21A6253B"/>
    <w:rsid w:val="21A85A50"/>
    <w:rsid w:val="21AE4BDC"/>
    <w:rsid w:val="21B0396C"/>
    <w:rsid w:val="21B527E7"/>
    <w:rsid w:val="21BE4518"/>
    <w:rsid w:val="21BF6B0D"/>
    <w:rsid w:val="21D0707D"/>
    <w:rsid w:val="21E10602"/>
    <w:rsid w:val="21E96958"/>
    <w:rsid w:val="21ED7728"/>
    <w:rsid w:val="21F06808"/>
    <w:rsid w:val="22035B09"/>
    <w:rsid w:val="220774DB"/>
    <w:rsid w:val="220828D2"/>
    <w:rsid w:val="22343203"/>
    <w:rsid w:val="22400C33"/>
    <w:rsid w:val="224B3C80"/>
    <w:rsid w:val="224F70EA"/>
    <w:rsid w:val="22530915"/>
    <w:rsid w:val="22561147"/>
    <w:rsid w:val="225E039B"/>
    <w:rsid w:val="225F66CE"/>
    <w:rsid w:val="2276552C"/>
    <w:rsid w:val="22842BBF"/>
    <w:rsid w:val="22860A00"/>
    <w:rsid w:val="2297756A"/>
    <w:rsid w:val="229B6B8B"/>
    <w:rsid w:val="22A51ADC"/>
    <w:rsid w:val="22AB66E1"/>
    <w:rsid w:val="22B23AD0"/>
    <w:rsid w:val="22B81114"/>
    <w:rsid w:val="22BB16B5"/>
    <w:rsid w:val="22C52D67"/>
    <w:rsid w:val="22D63B15"/>
    <w:rsid w:val="22ED02A3"/>
    <w:rsid w:val="230B2AE4"/>
    <w:rsid w:val="231C3710"/>
    <w:rsid w:val="23291249"/>
    <w:rsid w:val="232A5E6E"/>
    <w:rsid w:val="23377E77"/>
    <w:rsid w:val="23437E6A"/>
    <w:rsid w:val="235D4827"/>
    <w:rsid w:val="23606E91"/>
    <w:rsid w:val="236316CD"/>
    <w:rsid w:val="236D0829"/>
    <w:rsid w:val="23785C9E"/>
    <w:rsid w:val="237C1552"/>
    <w:rsid w:val="237C5804"/>
    <w:rsid w:val="239137ED"/>
    <w:rsid w:val="23916CE5"/>
    <w:rsid w:val="23935708"/>
    <w:rsid w:val="23A452B2"/>
    <w:rsid w:val="23A72955"/>
    <w:rsid w:val="23B06C8F"/>
    <w:rsid w:val="23BB6296"/>
    <w:rsid w:val="23C20A2A"/>
    <w:rsid w:val="23C43848"/>
    <w:rsid w:val="23CB34B5"/>
    <w:rsid w:val="23D27628"/>
    <w:rsid w:val="23D7409D"/>
    <w:rsid w:val="23ED4882"/>
    <w:rsid w:val="23FD7D0E"/>
    <w:rsid w:val="240A36E1"/>
    <w:rsid w:val="24154221"/>
    <w:rsid w:val="242300B3"/>
    <w:rsid w:val="242B6738"/>
    <w:rsid w:val="243B7E62"/>
    <w:rsid w:val="24481774"/>
    <w:rsid w:val="24485BD8"/>
    <w:rsid w:val="244D6905"/>
    <w:rsid w:val="245A6A74"/>
    <w:rsid w:val="246360B8"/>
    <w:rsid w:val="24720582"/>
    <w:rsid w:val="2473720A"/>
    <w:rsid w:val="248E41E9"/>
    <w:rsid w:val="24B73235"/>
    <w:rsid w:val="24BD22D9"/>
    <w:rsid w:val="24C30225"/>
    <w:rsid w:val="24CE0CAF"/>
    <w:rsid w:val="24F029DF"/>
    <w:rsid w:val="24F97174"/>
    <w:rsid w:val="24FB26FD"/>
    <w:rsid w:val="24FF1293"/>
    <w:rsid w:val="25085C08"/>
    <w:rsid w:val="25086193"/>
    <w:rsid w:val="2513601D"/>
    <w:rsid w:val="252B5FB5"/>
    <w:rsid w:val="254C20D3"/>
    <w:rsid w:val="255356A6"/>
    <w:rsid w:val="25561574"/>
    <w:rsid w:val="2559678D"/>
    <w:rsid w:val="25647755"/>
    <w:rsid w:val="256764E2"/>
    <w:rsid w:val="2580714F"/>
    <w:rsid w:val="258775F6"/>
    <w:rsid w:val="25880CB2"/>
    <w:rsid w:val="258905D4"/>
    <w:rsid w:val="25914AF9"/>
    <w:rsid w:val="25AC2C3E"/>
    <w:rsid w:val="25AE587E"/>
    <w:rsid w:val="25BB2BD6"/>
    <w:rsid w:val="25BB3D4D"/>
    <w:rsid w:val="25C623A6"/>
    <w:rsid w:val="25C72535"/>
    <w:rsid w:val="25E72DC8"/>
    <w:rsid w:val="25EC7FAB"/>
    <w:rsid w:val="25F43A59"/>
    <w:rsid w:val="25F972FA"/>
    <w:rsid w:val="25FA759B"/>
    <w:rsid w:val="25FD498A"/>
    <w:rsid w:val="26091F75"/>
    <w:rsid w:val="260E34CB"/>
    <w:rsid w:val="2616730E"/>
    <w:rsid w:val="261E060B"/>
    <w:rsid w:val="26207AEC"/>
    <w:rsid w:val="263800D9"/>
    <w:rsid w:val="265B424C"/>
    <w:rsid w:val="26627F3B"/>
    <w:rsid w:val="266B4BF4"/>
    <w:rsid w:val="266D4C38"/>
    <w:rsid w:val="267A1F1C"/>
    <w:rsid w:val="2687777A"/>
    <w:rsid w:val="26885227"/>
    <w:rsid w:val="26991A68"/>
    <w:rsid w:val="269D32FF"/>
    <w:rsid w:val="26B602E1"/>
    <w:rsid w:val="26C452C3"/>
    <w:rsid w:val="26CF4DF0"/>
    <w:rsid w:val="26DC603B"/>
    <w:rsid w:val="26E621C9"/>
    <w:rsid w:val="26E93B64"/>
    <w:rsid w:val="26FF5E59"/>
    <w:rsid w:val="27026364"/>
    <w:rsid w:val="27030D65"/>
    <w:rsid w:val="27040F60"/>
    <w:rsid w:val="27061E5E"/>
    <w:rsid w:val="270A3F5B"/>
    <w:rsid w:val="270B6AE1"/>
    <w:rsid w:val="270D5387"/>
    <w:rsid w:val="27111BC8"/>
    <w:rsid w:val="271C5D15"/>
    <w:rsid w:val="272075C5"/>
    <w:rsid w:val="272B1616"/>
    <w:rsid w:val="272D454D"/>
    <w:rsid w:val="27394D30"/>
    <w:rsid w:val="273B31F9"/>
    <w:rsid w:val="274B62F2"/>
    <w:rsid w:val="27551E01"/>
    <w:rsid w:val="27783776"/>
    <w:rsid w:val="27787522"/>
    <w:rsid w:val="27B91162"/>
    <w:rsid w:val="27C03937"/>
    <w:rsid w:val="27C87205"/>
    <w:rsid w:val="27C95078"/>
    <w:rsid w:val="27CB0B3E"/>
    <w:rsid w:val="27CF1850"/>
    <w:rsid w:val="27E46F7C"/>
    <w:rsid w:val="27E4732B"/>
    <w:rsid w:val="27E61E89"/>
    <w:rsid w:val="27F445AB"/>
    <w:rsid w:val="282C68F1"/>
    <w:rsid w:val="282D08F9"/>
    <w:rsid w:val="282F5A00"/>
    <w:rsid w:val="2837366C"/>
    <w:rsid w:val="283A2B7E"/>
    <w:rsid w:val="284731C8"/>
    <w:rsid w:val="284D14B4"/>
    <w:rsid w:val="28515725"/>
    <w:rsid w:val="28684087"/>
    <w:rsid w:val="286E2A0D"/>
    <w:rsid w:val="286F136A"/>
    <w:rsid w:val="28775AAB"/>
    <w:rsid w:val="28866D81"/>
    <w:rsid w:val="28983E61"/>
    <w:rsid w:val="28C95935"/>
    <w:rsid w:val="28CD66EC"/>
    <w:rsid w:val="28CE5AE6"/>
    <w:rsid w:val="28D337F7"/>
    <w:rsid w:val="28E26F19"/>
    <w:rsid w:val="28E27989"/>
    <w:rsid w:val="28F14503"/>
    <w:rsid w:val="28F333F6"/>
    <w:rsid w:val="29160008"/>
    <w:rsid w:val="29266C06"/>
    <w:rsid w:val="292A505F"/>
    <w:rsid w:val="292A7697"/>
    <w:rsid w:val="2937255B"/>
    <w:rsid w:val="29427375"/>
    <w:rsid w:val="29433570"/>
    <w:rsid w:val="29462ABA"/>
    <w:rsid w:val="294F2CBA"/>
    <w:rsid w:val="295866FA"/>
    <w:rsid w:val="296016BF"/>
    <w:rsid w:val="29616CBB"/>
    <w:rsid w:val="296224BD"/>
    <w:rsid w:val="2987202B"/>
    <w:rsid w:val="2990656B"/>
    <w:rsid w:val="299E5316"/>
    <w:rsid w:val="29A67D76"/>
    <w:rsid w:val="29B044D5"/>
    <w:rsid w:val="29B73BAC"/>
    <w:rsid w:val="29C14B8D"/>
    <w:rsid w:val="29D05659"/>
    <w:rsid w:val="29DA22D9"/>
    <w:rsid w:val="29DF4B01"/>
    <w:rsid w:val="2A0301D6"/>
    <w:rsid w:val="2A136765"/>
    <w:rsid w:val="2A193355"/>
    <w:rsid w:val="2A2A5C08"/>
    <w:rsid w:val="2A337055"/>
    <w:rsid w:val="2A366B5C"/>
    <w:rsid w:val="2A4F2118"/>
    <w:rsid w:val="2A506DA2"/>
    <w:rsid w:val="2A5B38F9"/>
    <w:rsid w:val="2A65304C"/>
    <w:rsid w:val="2A692109"/>
    <w:rsid w:val="2A787A77"/>
    <w:rsid w:val="2A816DCE"/>
    <w:rsid w:val="2A8F5E52"/>
    <w:rsid w:val="2A9564B4"/>
    <w:rsid w:val="2A9C6603"/>
    <w:rsid w:val="2AAE0A6A"/>
    <w:rsid w:val="2AB955A7"/>
    <w:rsid w:val="2AC1164F"/>
    <w:rsid w:val="2AE970E5"/>
    <w:rsid w:val="2AEE2D64"/>
    <w:rsid w:val="2B02105C"/>
    <w:rsid w:val="2B1030AA"/>
    <w:rsid w:val="2B2C25FA"/>
    <w:rsid w:val="2B2E67BA"/>
    <w:rsid w:val="2B314590"/>
    <w:rsid w:val="2B387ADB"/>
    <w:rsid w:val="2B3B5C8E"/>
    <w:rsid w:val="2B584E12"/>
    <w:rsid w:val="2B5853DF"/>
    <w:rsid w:val="2B88706B"/>
    <w:rsid w:val="2B890379"/>
    <w:rsid w:val="2B9C04A1"/>
    <w:rsid w:val="2BA4591B"/>
    <w:rsid w:val="2BDA17BD"/>
    <w:rsid w:val="2BE50AB1"/>
    <w:rsid w:val="2BF23A0A"/>
    <w:rsid w:val="2C15268F"/>
    <w:rsid w:val="2C2849C8"/>
    <w:rsid w:val="2C296D84"/>
    <w:rsid w:val="2C344032"/>
    <w:rsid w:val="2C357375"/>
    <w:rsid w:val="2C410CDF"/>
    <w:rsid w:val="2C4253BD"/>
    <w:rsid w:val="2C4C676B"/>
    <w:rsid w:val="2C58013E"/>
    <w:rsid w:val="2C6613C7"/>
    <w:rsid w:val="2C6B4EF4"/>
    <w:rsid w:val="2C7118B8"/>
    <w:rsid w:val="2C771C7E"/>
    <w:rsid w:val="2CA01C08"/>
    <w:rsid w:val="2CA264D9"/>
    <w:rsid w:val="2CAF7AEA"/>
    <w:rsid w:val="2CB765D5"/>
    <w:rsid w:val="2CB8105D"/>
    <w:rsid w:val="2CC9387C"/>
    <w:rsid w:val="2CCB1694"/>
    <w:rsid w:val="2CCB78ED"/>
    <w:rsid w:val="2CD26267"/>
    <w:rsid w:val="2CD74779"/>
    <w:rsid w:val="2CDD7FC3"/>
    <w:rsid w:val="2CED191A"/>
    <w:rsid w:val="2D1B737D"/>
    <w:rsid w:val="2D421AE5"/>
    <w:rsid w:val="2D4C2F2B"/>
    <w:rsid w:val="2D543C9D"/>
    <w:rsid w:val="2D571382"/>
    <w:rsid w:val="2D617F17"/>
    <w:rsid w:val="2D64371C"/>
    <w:rsid w:val="2D6C32E4"/>
    <w:rsid w:val="2D7B042E"/>
    <w:rsid w:val="2D8C11BD"/>
    <w:rsid w:val="2DA56C94"/>
    <w:rsid w:val="2DA71685"/>
    <w:rsid w:val="2DB546C3"/>
    <w:rsid w:val="2DB84E66"/>
    <w:rsid w:val="2DC15741"/>
    <w:rsid w:val="2DCE52C9"/>
    <w:rsid w:val="2DD21547"/>
    <w:rsid w:val="2DF32CAC"/>
    <w:rsid w:val="2DFF1885"/>
    <w:rsid w:val="2E02048C"/>
    <w:rsid w:val="2E035BD1"/>
    <w:rsid w:val="2E091451"/>
    <w:rsid w:val="2E167A9A"/>
    <w:rsid w:val="2E1A0F52"/>
    <w:rsid w:val="2E263868"/>
    <w:rsid w:val="2E2F761F"/>
    <w:rsid w:val="2E3C0DFE"/>
    <w:rsid w:val="2E404759"/>
    <w:rsid w:val="2E497128"/>
    <w:rsid w:val="2E4A6CCE"/>
    <w:rsid w:val="2E686C54"/>
    <w:rsid w:val="2E6C7D1C"/>
    <w:rsid w:val="2E7461F8"/>
    <w:rsid w:val="2E765B52"/>
    <w:rsid w:val="2E872EB3"/>
    <w:rsid w:val="2E917E8D"/>
    <w:rsid w:val="2E9C5282"/>
    <w:rsid w:val="2EAF502F"/>
    <w:rsid w:val="2EB0679F"/>
    <w:rsid w:val="2EC01147"/>
    <w:rsid w:val="2EC15595"/>
    <w:rsid w:val="2EDB64B0"/>
    <w:rsid w:val="2EE21131"/>
    <w:rsid w:val="2EE337F5"/>
    <w:rsid w:val="2EEB3DD9"/>
    <w:rsid w:val="2F0138AD"/>
    <w:rsid w:val="2F2A0BFB"/>
    <w:rsid w:val="2F3F4172"/>
    <w:rsid w:val="2F4765CA"/>
    <w:rsid w:val="2F5278AE"/>
    <w:rsid w:val="2F546AD0"/>
    <w:rsid w:val="2F626A1E"/>
    <w:rsid w:val="2F661D1F"/>
    <w:rsid w:val="2F6A053D"/>
    <w:rsid w:val="2F9A33D6"/>
    <w:rsid w:val="2F9C2053"/>
    <w:rsid w:val="2FA42A08"/>
    <w:rsid w:val="2FA47980"/>
    <w:rsid w:val="2FA76DEF"/>
    <w:rsid w:val="2FB567D2"/>
    <w:rsid w:val="2FBF0289"/>
    <w:rsid w:val="2FC023EF"/>
    <w:rsid w:val="2FC331A3"/>
    <w:rsid w:val="2FC90F9C"/>
    <w:rsid w:val="2FD14044"/>
    <w:rsid w:val="2FD862AA"/>
    <w:rsid w:val="2FDE6C6D"/>
    <w:rsid w:val="2FE840DF"/>
    <w:rsid w:val="2FF129AD"/>
    <w:rsid w:val="302C798A"/>
    <w:rsid w:val="303522E1"/>
    <w:rsid w:val="303E1D51"/>
    <w:rsid w:val="304123DB"/>
    <w:rsid w:val="30432F4C"/>
    <w:rsid w:val="30452DAA"/>
    <w:rsid w:val="30614F18"/>
    <w:rsid w:val="306638B9"/>
    <w:rsid w:val="307A4567"/>
    <w:rsid w:val="308A14B9"/>
    <w:rsid w:val="30B55F6E"/>
    <w:rsid w:val="30CD3D5A"/>
    <w:rsid w:val="30E44D11"/>
    <w:rsid w:val="30E457CF"/>
    <w:rsid w:val="30F349E9"/>
    <w:rsid w:val="30FC7FD7"/>
    <w:rsid w:val="310575DF"/>
    <w:rsid w:val="310C7AA5"/>
    <w:rsid w:val="3110340E"/>
    <w:rsid w:val="31165209"/>
    <w:rsid w:val="31170315"/>
    <w:rsid w:val="311E590B"/>
    <w:rsid w:val="31245B5D"/>
    <w:rsid w:val="312474D5"/>
    <w:rsid w:val="3126016E"/>
    <w:rsid w:val="312F0056"/>
    <w:rsid w:val="31320314"/>
    <w:rsid w:val="31430B98"/>
    <w:rsid w:val="314F45A6"/>
    <w:rsid w:val="31514CA3"/>
    <w:rsid w:val="315350D6"/>
    <w:rsid w:val="315A4A30"/>
    <w:rsid w:val="315F55FA"/>
    <w:rsid w:val="316B3C89"/>
    <w:rsid w:val="316C63E2"/>
    <w:rsid w:val="317920EA"/>
    <w:rsid w:val="3182489E"/>
    <w:rsid w:val="318F02E6"/>
    <w:rsid w:val="31AA7D0D"/>
    <w:rsid w:val="31B02D65"/>
    <w:rsid w:val="31B77B7A"/>
    <w:rsid w:val="31C477B1"/>
    <w:rsid w:val="31CA1BDF"/>
    <w:rsid w:val="31CB5781"/>
    <w:rsid w:val="31DE5C99"/>
    <w:rsid w:val="31DF459A"/>
    <w:rsid w:val="31E758B1"/>
    <w:rsid w:val="3201419C"/>
    <w:rsid w:val="321B168E"/>
    <w:rsid w:val="322614DA"/>
    <w:rsid w:val="32272848"/>
    <w:rsid w:val="323E1094"/>
    <w:rsid w:val="32455233"/>
    <w:rsid w:val="324B6A89"/>
    <w:rsid w:val="32537768"/>
    <w:rsid w:val="32560457"/>
    <w:rsid w:val="32570AC1"/>
    <w:rsid w:val="325B7D9A"/>
    <w:rsid w:val="325E3690"/>
    <w:rsid w:val="326B238A"/>
    <w:rsid w:val="3271543A"/>
    <w:rsid w:val="32874C1F"/>
    <w:rsid w:val="328A5F1D"/>
    <w:rsid w:val="3295365A"/>
    <w:rsid w:val="32967569"/>
    <w:rsid w:val="32A33AE2"/>
    <w:rsid w:val="32A35920"/>
    <w:rsid w:val="32A4220C"/>
    <w:rsid w:val="32AD4F4E"/>
    <w:rsid w:val="32B43741"/>
    <w:rsid w:val="32B43DF3"/>
    <w:rsid w:val="32C10512"/>
    <w:rsid w:val="32C5209B"/>
    <w:rsid w:val="32C54F33"/>
    <w:rsid w:val="32E52E4D"/>
    <w:rsid w:val="32E85AD3"/>
    <w:rsid w:val="32EC578C"/>
    <w:rsid w:val="32F61248"/>
    <w:rsid w:val="32F61B93"/>
    <w:rsid w:val="32F74FB0"/>
    <w:rsid w:val="32F74FF2"/>
    <w:rsid w:val="330709F2"/>
    <w:rsid w:val="33114847"/>
    <w:rsid w:val="3317611C"/>
    <w:rsid w:val="331A59A1"/>
    <w:rsid w:val="3327446C"/>
    <w:rsid w:val="332F0F61"/>
    <w:rsid w:val="333F06BD"/>
    <w:rsid w:val="335C6874"/>
    <w:rsid w:val="335D0D81"/>
    <w:rsid w:val="336B1ABB"/>
    <w:rsid w:val="33750040"/>
    <w:rsid w:val="33750C57"/>
    <w:rsid w:val="33821DE3"/>
    <w:rsid w:val="33926DB0"/>
    <w:rsid w:val="33987503"/>
    <w:rsid w:val="339A7A02"/>
    <w:rsid w:val="33A1391B"/>
    <w:rsid w:val="33A17466"/>
    <w:rsid w:val="33A85FDC"/>
    <w:rsid w:val="33AA39BE"/>
    <w:rsid w:val="33AA5910"/>
    <w:rsid w:val="33AD7CEF"/>
    <w:rsid w:val="33BD5B7C"/>
    <w:rsid w:val="33C26307"/>
    <w:rsid w:val="33CA35C3"/>
    <w:rsid w:val="33CF0682"/>
    <w:rsid w:val="33CF310C"/>
    <w:rsid w:val="33E016B3"/>
    <w:rsid w:val="33F64DD5"/>
    <w:rsid w:val="340903BF"/>
    <w:rsid w:val="3409056C"/>
    <w:rsid w:val="341D7D56"/>
    <w:rsid w:val="34534385"/>
    <w:rsid w:val="34572510"/>
    <w:rsid w:val="3464061B"/>
    <w:rsid w:val="348F2D12"/>
    <w:rsid w:val="349540ED"/>
    <w:rsid w:val="34A20CF0"/>
    <w:rsid w:val="34A41622"/>
    <w:rsid w:val="34B206A1"/>
    <w:rsid w:val="34B44AC9"/>
    <w:rsid w:val="34B6540F"/>
    <w:rsid w:val="34B66CC3"/>
    <w:rsid w:val="34C91FFE"/>
    <w:rsid w:val="34D75080"/>
    <w:rsid w:val="34F01F64"/>
    <w:rsid w:val="3505241C"/>
    <w:rsid w:val="35077279"/>
    <w:rsid w:val="351F504A"/>
    <w:rsid w:val="35270024"/>
    <w:rsid w:val="352D24D5"/>
    <w:rsid w:val="352E44D2"/>
    <w:rsid w:val="355A2254"/>
    <w:rsid w:val="35612435"/>
    <w:rsid w:val="356B04EC"/>
    <w:rsid w:val="356B6363"/>
    <w:rsid w:val="35757EF3"/>
    <w:rsid w:val="35783F05"/>
    <w:rsid w:val="3579255A"/>
    <w:rsid w:val="35842C71"/>
    <w:rsid w:val="35882E2A"/>
    <w:rsid w:val="358A1814"/>
    <w:rsid w:val="358D45CA"/>
    <w:rsid w:val="358F71A9"/>
    <w:rsid w:val="35AB127E"/>
    <w:rsid w:val="35C31A37"/>
    <w:rsid w:val="35C554FD"/>
    <w:rsid w:val="35C704BE"/>
    <w:rsid w:val="35CB3D22"/>
    <w:rsid w:val="35CE54B8"/>
    <w:rsid w:val="35EB17FD"/>
    <w:rsid w:val="36311F48"/>
    <w:rsid w:val="3648122E"/>
    <w:rsid w:val="36532FF2"/>
    <w:rsid w:val="365A140E"/>
    <w:rsid w:val="36717CB5"/>
    <w:rsid w:val="36747404"/>
    <w:rsid w:val="36817C3F"/>
    <w:rsid w:val="36834C90"/>
    <w:rsid w:val="36836E0F"/>
    <w:rsid w:val="36924A3B"/>
    <w:rsid w:val="36940847"/>
    <w:rsid w:val="36985535"/>
    <w:rsid w:val="369A6894"/>
    <w:rsid w:val="36A05032"/>
    <w:rsid w:val="36A20175"/>
    <w:rsid w:val="36B643FE"/>
    <w:rsid w:val="36BA3EF8"/>
    <w:rsid w:val="36CB488D"/>
    <w:rsid w:val="36E97FEA"/>
    <w:rsid w:val="36F36E0C"/>
    <w:rsid w:val="36F76D96"/>
    <w:rsid w:val="36FE64EE"/>
    <w:rsid w:val="370E35B0"/>
    <w:rsid w:val="37154C83"/>
    <w:rsid w:val="37285305"/>
    <w:rsid w:val="372F4708"/>
    <w:rsid w:val="373A5A36"/>
    <w:rsid w:val="374C4B6D"/>
    <w:rsid w:val="375F53B4"/>
    <w:rsid w:val="377D4982"/>
    <w:rsid w:val="378C6B75"/>
    <w:rsid w:val="37934716"/>
    <w:rsid w:val="379B0F6A"/>
    <w:rsid w:val="37A20EF2"/>
    <w:rsid w:val="37B84171"/>
    <w:rsid w:val="37B8549D"/>
    <w:rsid w:val="37C16A00"/>
    <w:rsid w:val="37D77D94"/>
    <w:rsid w:val="37F414B2"/>
    <w:rsid w:val="37F52187"/>
    <w:rsid w:val="37F96269"/>
    <w:rsid w:val="380030C0"/>
    <w:rsid w:val="38212C2D"/>
    <w:rsid w:val="38300CD1"/>
    <w:rsid w:val="384751D5"/>
    <w:rsid w:val="38480639"/>
    <w:rsid w:val="38481C69"/>
    <w:rsid w:val="386B72A9"/>
    <w:rsid w:val="38723029"/>
    <w:rsid w:val="38986581"/>
    <w:rsid w:val="389C4AC2"/>
    <w:rsid w:val="38AC711F"/>
    <w:rsid w:val="38B01B8E"/>
    <w:rsid w:val="38B36753"/>
    <w:rsid w:val="38B42A04"/>
    <w:rsid w:val="38B84D63"/>
    <w:rsid w:val="38D968C7"/>
    <w:rsid w:val="38E0085D"/>
    <w:rsid w:val="38E7416D"/>
    <w:rsid w:val="38F568FB"/>
    <w:rsid w:val="38F87C04"/>
    <w:rsid w:val="38F9593E"/>
    <w:rsid w:val="38FC591F"/>
    <w:rsid w:val="390007A4"/>
    <w:rsid w:val="390E287F"/>
    <w:rsid w:val="39230C97"/>
    <w:rsid w:val="392438C8"/>
    <w:rsid w:val="394A4F5E"/>
    <w:rsid w:val="395526F3"/>
    <w:rsid w:val="39556934"/>
    <w:rsid w:val="39694EC5"/>
    <w:rsid w:val="398451B4"/>
    <w:rsid w:val="398C2BE1"/>
    <w:rsid w:val="39C1030F"/>
    <w:rsid w:val="39CF40E2"/>
    <w:rsid w:val="39E51DF2"/>
    <w:rsid w:val="3A034CE7"/>
    <w:rsid w:val="3A047675"/>
    <w:rsid w:val="3A1E1805"/>
    <w:rsid w:val="3A203CA2"/>
    <w:rsid w:val="3A2317B7"/>
    <w:rsid w:val="3A2A03F3"/>
    <w:rsid w:val="3A3241B4"/>
    <w:rsid w:val="3A4065D3"/>
    <w:rsid w:val="3A48698C"/>
    <w:rsid w:val="3A624C62"/>
    <w:rsid w:val="3A6379E6"/>
    <w:rsid w:val="3A800FB7"/>
    <w:rsid w:val="3A922A06"/>
    <w:rsid w:val="3A972883"/>
    <w:rsid w:val="3A9E4927"/>
    <w:rsid w:val="3AB32EF4"/>
    <w:rsid w:val="3ACE709A"/>
    <w:rsid w:val="3ADC3231"/>
    <w:rsid w:val="3ADE2F92"/>
    <w:rsid w:val="3ADE6773"/>
    <w:rsid w:val="3AF71EDE"/>
    <w:rsid w:val="3AFF4DCE"/>
    <w:rsid w:val="3AFF5386"/>
    <w:rsid w:val="3B126B7B"/>
    <w:rsid w:val="3B1655FF"/>
    <w:rsid w:val="3B1B198A"/>
    <w:rsid w:val="3B2820C5"/>
    <w:rsid w:val="3B296027"/>
    <w:rsid w:val="3B372F9C"/>
    <w:rsid w:val="3B374691"/>
    <w:rsid w:val="3B384786"/>
    <w:rsid w:val="3B4A4E75"/>
    <w:rsid w:val="3B545D0A"/>
    <w:rsid w:val="3B572BD2"/>
    <w:rsid w:val="3B785CA3"/>
    <w:rsid w:val="3B7D41CD"/>
    <w:rsid w:val="3B86039A"/>
    <w:rsid w:val="3B9D74E6"/>
    <w:rsid w:val="3B9E00B1"/>
    <w:rsid w:val="3BB122D1"/>
    <w:rsid w:val="3BB76582"/>
    <w:rsid w:val="3BCF7A98"/>
    <w:rsid w:val="3BD87A1E"/>
    <w:rsid w:val="3BDB7C4A"/>
    <w:rsid w:val="3BE35C70"/>
    <w:rsid w:val="3C0239E1"/>
    <w:rsid w:val="3C027183"/>
    <w:rsid w:val="3C0B07AE"/>
    <w:rsid w:val="3C0C3747"/>
    <w:rsid w:val="3C1A2E52"/>
    <w:rsid w:val="3C1C1762"/>
    <w:rsid w:val="3C1C23E5"/>
    <w:rsid w:val="3C250D41"/>
    <w:rsid w:val="3C253341"/>
    <w:rsid w:val="3C365CC2"/>
    <w:rsid w:val="3C4F2E71"/>
    <w:rsid w:val="3C4F5A6A"/>
    <w:rsid w:val="3C790F93"/>
    <w:rsid w:val="3C7D295D"/>
    <w:rsid w:val="3C9E0142"/>
    <w:rsid w:val="3C9F7B0D"/>
    <w:rsid w:val="3CB03F58"/>
    <w:rsid w:val="3CB73938"/>
    <w:rsid w:val="3CBF290F"/>
    <w:rsid w:val="3CC1617E"/>
    <w:rsid w:val="3CC2387A"/>
    <w:rsid w:val="3CC91DF1"/>
    <w:rsid w:val="3CCB713A"/>
    <w:rsid w:val="3CCE4256"/>
    <w:rsid w:val="3CD342BA"/>
    <w:rsid w:val="3CDD0358"/>
    <w:rsid w:val="3CE33403"/>
    <w:rsid w:val="3CE52118"/>
    <w:rsid w:val="3D116FA7"/>
    <w:rsid w:val="3D1650EB"/>
    <w:rsid w:val="3D332597"/>
    <w:rsid w:val="3D3C3CBB"/>
    <w:rsid w:val="3D3C4754"/>
    <w:rsid w:val="3D43393E"/>
    <w:rsid w:val="3D5D3EDD"/>
    <w:rsid w:val="3D606426"/>
    <w:rsid w:val="3D681409"/>
    <w:rsid w:val="3D690ED6"/>
    <w:rsid w:val="3D6E062E"/>
    <w:rsid w:val="3D7176EF"/>
    <w:rsid w:val="3D7A3916"/>
    <w:rsid w:val="3D7C487B"/>
    <w:rsid w:val="3D8A28CD"/>
    <w:rsid w:val="3D900793"/>
    <w:rsid w:val="3DA30B8F"/>
    <w:rsid w:val="3DB24D48"/>
    <w:rsid w:val="3DB479A6"/>
    <w:rsid w:val="3DB60310"/>
    <w:rsid w:val="3DBA60C0"/>
    <w:rsid w:val="3DBE5C56"/>
    <w:rsid w:val="3DDB4F29"/>
    <w:rsid w:val="3DE26F68"/>
    <w:rsid w:val="3DEC1771"/>
    <w:rsid w:val="3DF745E1"/>
    <w:rsid w:val="3E003F7F"/>
    <w:rsid w:val="3E006BCD"/>
    <w:rsid w:val="3E250230"/>
    <w:rsid w:val="3E2C3DE3"/>
    <w:rsid w:val="3E54583A"/>
    <w:rsid w:val="3E5C3B49"/>
    <w:rsid w:val="3E5E536D"/>
    <w:rsid w:val="3E7136A4"/>
    <w:rsid w:val="3E782018"/>
    <w:rsid w:val="3E950B55"/>
    <w:rsid w:val="3E97040B"/>
    <w:rsid w:val="3EA97F58"/>
    <w:rsid w:val="3EAE6EB2"/>
    <w:rsid w:val="3EB73433"/>
    <w:rsid w:val="3EBA0816"/>
    <w:rsid w:val="3EBA2116"/>
    <w:rsid w:val="3EDA7A31"/>
    <w:rsid w:val="3EDF496B"/>
    <w:rsid w:val="3EE00526"/>
    <w:rsid w:val="3EE21E33"/>
    <w:rsid w:val="3EE3272F"/>
    <w:rsid w:val="3EE36EE3"/>
    <w:rsid w:val="3EF245AF"/>
    <w:rsid w:val="3F022C7B"/>
    <w:rsid w:val="3F076EC1"/>
    <w:rsid w:val="3F403DDF"/>
    <w:rsid w:val="3F530ABE"/>
    <w:rsid w:val="3F6E723F"/>
    <w:rsid w:val="3F723D59"/>
    <w:rsid w:val="3F77593F"/>
    <w:rsid w:val="3F804D5D"/>
    <w:rsid w:val="3F8C76CF"/>
    <w:rsid w:val="3F9E1FEC"/>
    <w:rsid w:val="3F9F6B8B"/>
    <w:rsid w:val="3FA117BA"/>
    <w:rsid w:val="3FAA1D63"/>
    <w:rsid w:val="3FB307ED"/>
    <w:rsid w:val="3FCA7ABE"/>
    <w:rsid w:val="3FCD0EC1"/>
    <w:rsid w:val="3FCD6278"/>
    <w:rsid w:val="3FCF3CDA"/>
    <w:rsid w:val="3FD635D4"/>
    <w:rsid w:val="3FDA064D"/>
    <w:rsid w:val="3FDD77C8"/>
    <w:rsid w:val="3FE273D4"/>
    <w:rsid w:val="3FEC4D71"/>
    <w:rsid w:val="40044457"/>
    <w:rsid w:val="40141379"/>
    <w:rsid w:val="401F4C06"/>
    <w:rsid w:val="4027547B"/>
    <w:rsid w:val="402D4172"/>
    <w:rsid w:val="404A5636"/>
    <w:rsid w:val="404A5F8D"/>
    <w:rsid w:val="405B2825"/>
    <w:rsid w:val="40606110"/>
    <w:rsid w:val="40774E4F"/>
    <w:rsid w:val="407F3E67"/>
    <w:rsid w:val="40844354"/>
    <w:rsid w:val="408471E8"/>
    <w:rsid w:val="408A5870"/>
    <w:rsid w:val="409308E6"/>
    <w:rsid w:val="409E498D"/>
    <w:rsid w:val="409F5A89"/>
    <w:rsid w:val="40A61144"/>
    <w:rsid w:val="40B60DC7"/>
    <w:rsid w:val="40BD0F48"/>
    <w:rsid w:val="40BF1A8D"/>
    <w:rsid w:val="40DB0271"/>
    <w:rsid w:val="40E822AB"/>
    <w:rsid w:val="40EF0C18"/>
    <w:rsid w:val="40EF5238"/>
    <w:rsid w:val="40FA5C91"/>
    <w:rsid w:val="410157A2"/>
    <w:rsid w:val="41062455"/>
    <w:rsid w:val="41063655"/>
    <w:rsid w:val="41080C2D"/>
    <w:rsid w:val="4108230E"/>
    <w:rsid w:val="410A30F0"/>
    <w:rsid w:val="410C0E08"/>
    <w:rsid w:val="410D01B2"/>
    <w:rsid w:val="41341BA0"/>
    <w:rsid w:val="413A5B25"/>
    <w:rsid w:val="415D15DE"/>
    <w:rsid w:val="41603699"/>
    <w:rsid w:val="41725F9B"/>
    <w:rsid w:val="41774C18"/>
    <w:rsid w:val="41831FC4"/>
    <w:rsid w:val="41A03497"/>
    <w:rsid w:val="41A94FE6"/>
    <w:rsid w:val="41AE590B"/>
    <w:rsid w:val="41B01AF1"/>
    <w:rsid w:val="41B758D9"/>
    <w:rsid w:val="41C92FB4"/>
    <w:rsid w:val="41E637B5"/>
    <w:rsid w:val="41EA724F"/>
    <w:rsid w:val="41EC01A6"/>
    <w:rsid w:val="41ED239F"/>
    <w:rsid w:val="41ED47A7"/>
    <w:rsid w:val="41F23F9E"/>
    <w:rsid w:val="41F254BB"/>
    <w:rsid w:val="41F81411"/>
    <w:rsid w:val="41FE01E7"/>
    <w:rsid w:val="42004504"/>
    <w:rsid w:val="4216790A"/>
    <w:rsid w:val="42206D2F"/>
    <w:rsid w:val="422652FB"/>
    <w:rsid w:val="423267DD"/>
    <w:rsid w:val="423F5F1B"/>
    <w:rsid w:val="42472B5A"/>
    <w:rsid w:val="424C5092"/>
    <w:rsid w:val="42570899"/>
    <w:rsid w:val="42614359"/>
    <w:rsid w:val="426F5658"/>
    <w:rsid w:val="427016A4"/>
    <w:rsid w:val="42713CE4"/>
    <w:rsid w:val="42772291"/>
    <w:rsid w:val="42774E62"/>
    <w:rsid w:val="427E6D90"/>
    <w:rsid w:val="428005B4"/>
    <w:rsid w:val="42832139"/>
    <w:rsid w:val="428403E6"/>
    <w:rsid w:val="429033EC"/>
    <w:rsid w:val="42A02ECA"/>
    <w:rsid w:val="42A84B7D"/>
    <w:rsid w:val="42AB16F1"/>
    <w:rsid w:val="42B443F6"/>
    <w:rsid w:val="42B75D72"/>
    <w:rsid w:val="42CD173A"/>
    <w:rsid w:val="42D704B8"/>
    <w:rsid w:val="42E23543"/>
    <w:rsid w:val="42E23DDE"/>
    <w:rsid w:val="42F322B4"/>
    <w:rsid w:val="42F33ECB"/>
    <w:rsid w:val="4306057D"/>
    <w:rsid w:val="43080333"/>
    <w:rsid w:val="430B0FF6"/>
    <w:rsid w:val="431F1F74"/>
    <w:rsid w:val="43262825"/>
    <w:rsid w:val="432F77E6"/>
    <w:rsid w:val="433610F0"/>
    <w:rsid w:val="434865B7"/>
    <w:rsid w:val="43524A10"/>
    <w:rsid w:val="4354398E"/>
    <w:rsid w:val="43641BD2"/>
    <w:rsid w:val="436A40AE"/>
    <w:rsid w:val="437F51B3"/>
    <w:rsid w:val="43843B7F"/>
    <w:rsid w:val="43A07771"/>
    <w:rsid w:val="43A508B7"/>
    <w:rsid w:val="43B047A4"/>
    <w:rsid w:val="43B14C56"/>
    <w:rsid w:val="43BB4B3F"/>
    <w:rsid w:val="43C25906"/>
    <w:rsid w:val="43C41174"/>
    <w:rsid w:val="43CB2C56"/>
    <w:rsid w:val="43D5319D"/>
    <w:rsid w:val="43D66116"/>
    <w:rsid w:val="43EA5475"/>
    <w:rsid w:val="43F2746D"/>
    <w:rsid w:val="43FA3B43"/>
    <w:rsid w:val="441A05C3"/>
    <w:rsid w:val="441A0B13"/>
    <w:rsid w:val="44412CE8"/>
    <w:rsid w:val="444F1436"/>
    <w:rsid w:val="4456125F"/>
    <w:rsid w:val="445B60A4"/>
    <w:rsid w:val="446955B2"/>
    <w:rsid w:val="446B48AB"/>
    <w:rsid w:val="447C6CB2"/>
    <w:rsid w:val="447E427B"/>
    <w:rsid w:val="447F5E73"/>
    <w:rsid w:val="44853C3A"/>
    <w:rsid w:val="44865318"/>
    <w:rsid w:val="448C6D70"/>
    <w:rsid w:val="44976A97"/>
    <w:rsid w:val="44A35422"/>
    <w:rsid w:val="44A81B67"/>
    <w:rsid w:val="44AD000B"/>
    <w:rsid w:val="44C01A76"/>
    <w:rsid w:val="44C14653"/>
    <w:rsid w:val="44E9429E"/>
    <w:rsid w:val="450A42FE"/>
    <w:rsid w:val="450F6D68"/>
    <w:rsid w:val="45305B55"/>
    <w:rsid w:val="453337EB"/>
    <w:rsid w:val="45373744"/>
    <w:rsid w:val="45544FD0"/>
    <w:rsid w:val="45585F76"/>
    <w:rsid w:val="455E7CC3"/>
    <w:rsid w:val="45682442"/>
    <w:rsid w:val="456B4E07"/>
    <w:rsid w:val="45966646"/>
    <w:rsid w:val="459E42B9"/>
    <w:rsid w:val="45B60D3B"/>
    <w:rsid w:val="45BA0FF8"/>
    <w:rsid w:val="45CC0248"/>
    <w:rsid w:val="45D164E6"/>
    <w:rsid w:val="45DC08B9"/>
    <w:rsid w:val="45F5191C"/>
    <w:rsid w:val="45F830BD"/>
    <w:rsid w:val="45FC25E7"/>
    <w:rsid w:val="46224097"/>
    <w:rsid w:val="46310FA4"/>
    <w:rsid w:val="46361AB6"/>
    <w:rsid w:val="4638414B"/>
    <w:rsid w:val="464108C5"/>
    <w:rsid w:val="46562440"/>
    <w:rsid w:val="466777F3"/>
    <w:rsid w:val="4671337E"/>
    <w:rsid w:val="467332F7"/>
    <w:rsid w:val="46747C98"/>
    <w:rsid w:val="468115FE"/>
    <w:rsid w:val="468945CB"/>
    <w:rsid w:val="4690223E"/>
    <w:rsid w:val="46971A82"/>
    <w:rsid w:val="46A11913"/>
    <w:rsid w:val="46A43DAF"/>
    <w:rsid w:val="46B02686"/>
    <w:rsid w:val="46B62EED"/>
    <w:rsid w:val="46BC59F0"/>
    <w:rsid w:val="46CB1C67"/>
    <w:rsid w:val="46D27F5A"/>
    <w:rsid w:val="46EC4D22"/>
    <w:rsid w:val="46ED0FB4"/>
    <w:rsid w:val="46F53C1F"/>
    <w:rsid w:val="46FD308F"/>
    <w:rsid w:val="4701693F"/>
    <w:rsid w:val="47032CC9"/>
    <w:rsid w:val="470828BA"/>
    <w:rsid w:val="4712128B"/>
    <w:rsid w:val="47191594"/>
    <w:rsid w:val="471D5286"/>
    <w:rsid w:val="472F6688"/>
    <w:rsid w:val="47397DE1"/>
    <w:rsid w:val="47523E0C"/>
    <w:rsid w:val="475377DE"/>
    <w:rsid w:val="47676C51"/>
    <w:rsid w:val="47776790"/>
    <w:rsid w:val="478263E0"/>
    <w:rsid w:val="478D5BC7"/>
    <w:rsid w:val="479D6812"/>
    <w:rsid w:val="47A14C23"/>
    <w:rsid w:val="47AA09EB"/>
    <w:rsid w:val="47AC5382"/>
    <w:rsid w:val="47AD2714"/>
    <w:rsid w:val="47BC52FE"/>
    <w:rsid w:val="47C701EE"/>
    <w:rsid w:val="47C76796"/>
    <w:rsid w:val="47CE0697"/>
    <w:rsid w:val="47D443E6"/>
    <w:rsid w:val="47D532DC"/>
    <w:rsid w:val="47DD2CE3"/>
    <w:rsid w:val="47DF7C13"/>
    <w:rsid w:val="47E0139A"/>
    <w:rsid w:val="47EB3BDB"/>
    <w:rsid w:val="48057A29"/>
    <w:rsid w:val="48090CEF"/>
    <w:rsid w:val="480C15D8"/>
    <w:rsid w:val="4813365B"/>
    <w:rsid w:val="481B6D77"/>
    <w:rsid w:val="481C6243"/>
    <w:rsid w:val="481C66AF"/>
    <w:rsid w:val="48213B35"/>
    <w:rsid w:val="482A374F"/>
    <w:rsid w:val="48362F87"/>
    <w:rsid w:val="48466690"/>
    <w:rsid w:val="484F1D4D"/>
    <w:rsid w:val="4857420F"/>
    <w:rsid w:val="486B0EB4"/>
    <w:rsid w:val="48725FFA"/>
    <w:rsid w:val="48747F57"/>
    <w:rsid w:val="487A6358"/>
    <w:rsid w:val="488B1B69"/>
    <w:rsid w:val="48B35927"/>
    <w:rsid w:val="48BB2773"/>
    <w:rsid w:val="48BC432B"/>
    <w:rsid w:val="48C67C37"/>
    <w:rsid w:val="48D11F2B"/>
    <w:rsid w:val="48DD61FF"/>
    <w:rsid w:val="48E83A04"/>
    <w:rsid w:val="48F07F52"/>
    <w:rsid w:val="49350595"/>
    <w:rsid w:val="493E5447"/>
    <w:rsid w:val="493F6FC6"/>
    <w:rsid w:val="49552714"/>
    <w:rsid w:val="495D25E0"/>
    <w:rsid w:val="4962367B"/>
    <w:rsid w:val="49890C92"/>
    <w:rsid w:val="499E7210"/>
    <w:rsid w:val="49A33AA0"/>
    <w:rsid w:val="49AA284C"/>
    <w:rsid w:val="49C475C2"/>
    <w:rsid w:val="49C752F7"/>
    <w:rsid w:val="49C763A0"/>
    <w:rsid w:val="49E0754C"/>
    <w:rsid w:val="49E11423"/>
    <w:rsid w:val="49E570E6"/>
    <w:rsid w:val="4A0734ED"/>
    <w:rsid w:val="4A1B4B20"/>
    <w:rsid w:val="4A355D6C"/>
    <w:rsid w:val="4A3D4160"/>
    <w:rsid w:val="4A4E1185"/>
    <w:rsid w:val="4A563A47"/>
    <w:rsid w:val="4A672252"/>
    <w:rsid w:val="4A9024B6"/>
    <w:rsid w:val="4AAA17B5"/>
    <w:rsid w:val="4ABD152E"/>
    <w:rsid w:val="4AC90545"/>
    <w:rsid w:val="4ACA2660"/>
    <w:rsid w:val="4ACA2AC4"/>
    <w:rsid w:val="4AD14166"/>
    <w:rsid w:val="4AEF1BB1"/>
    <w:rsid w:val="4B0641F1"/>
    <w:rsid w:val="4B0E2C15"/>
    <w:rsid w:val="4B274264"/>
    <w:rsid w:val="4B2756D4"/>
    <w:rsid w:val="4B2B4300"/>
    <w:rsid w:val="4B3A3EFE"/>
    <w:rsid w:val="4B3C2CE9"/>
    <w:rsid w:val="4B4068D4"/>
    <w:rsid w:val="4B51356C"/>
    <w:rsid w:val="4B630DF3"/>
    <w:rsid w:val="4B6F6D2B"/>
    <w:rsid w:val="4B750457"/>
    <w:rsid w:val="4B760EE6"/>
    <w:rsid w:val="4B9619C9"/>
    <w:rsid w:val="4B9844EA"/>
    <w:rsid w:val="4BA52F95"/>
    <w:rsid w:val="4BB649F0"/>
    <w:rsid w:val="4BB92EDA"/>
    <w:rsid w:val="4BBC7F9A"/>
    <w:rsid w:val="4BC841F3"/>
    <w:rsid w:val="4BD65A88"/>
    <w:rsid w:val="4BEF6661"/>
    <w:rsid w:val="4BFB3020"/>
    <w:rsid w:val="4C001DCD"/>
    <w:rsid w:val="4C187241"/>
    <w:rsid w:val="4C1A5B68"/>
    <w:rsid w:val="4C221A1E"/>
    <w:rsid w:val="4C2E6318"/>
    <w:rsid w:val="4C373A42"/>
    <w:rsid w:val="4C373B6D"/>
    <w:rsid w:val="4C3C457E"/>
    <w:rsid w:val="4C483306"/>
    <w:rsid w:val="4C6C7512"/>
    <w:rsid w:val="4C864519"/>
    <w:rsid w:val="4C941CC2"/>
    <w:rsid w:val="4C9A4FDA"/>
    <w:rsid w:val="4CB54D9C"/>
    <w:rsid w:val="4CBA3081"/>
    <w:rsid w:val="4CBF4597"/>
    <w:rsid w:val="4CC14EA5"/>
    <w:rsid w:val="4CC5794B"/>
    <w:rsid w:val="4CE742CA"/>
    <w:rsid w:val="4CFD2973"/>
    <w:rsid w:val="4D027424"/>
    <w:rsid w:val="4D0465E5"/>
    <w:rsid w:val="4D1B1665"/>
    <w:rsid w:val="4D224A23"/>
    <w:rsid w:val="4D2D5DE9"/>
    <w:rsid w:val="4D306C7E"/>
    <w:rsid w:val="4D5743CC"/>
    <w:rsid w:val="4D576680"/>
    <w:rsid w:val="4D58244A"/>
    <w:rsid w:val="4D58782F"/>
    <w:rsid w:val="4D5A6332"/>
    <w:rsid w:val="4D5D054A"/>
    <w:rsid w:val="4D660EE1"/>
    <w:rsid w:val="4D6954F1"/>
    <w:rsid w:val="4D6E7AEE"/>
    <w:rsid w:val="4D761639"/>
    <w:rsid w:val="4D7664D9"/>
    <w:rsid w:val="4D7E70E8"/>
    <w:rsid w:val="4D83404E"/>
    <w:rsid w:val="4D911FF2"/>
    <w:rsid w:val="4D9266DE"/>
    <w:rsid w:val="4D935BBF"/>
    <w:rsid w:val="4D9B2D23"/>
    <w:rsid w:val="4DA00054"/>
    <w:rsid w:val="4DA042AB"/>
    <w:rsid w:val="4DBF551D"/>
    <w:rsid w:val="4DDC433D"/>
    <w:rsid w:val="4DE51301"/>
    <w:rsid w:val="4DEE5C37"/>
    <w:rsid w:val="4DFA4406"/>
    <w:rsid w:val="4DFD5EAE"/>
    <w:rsid w:val="4E057E02"/>
    <w:rsid w:val="4E096AB8"/>
    <w:rsid w:val="4E1D5904"/>
    <w:rsid w:val="4E3E1E92"/>
    <w:rsid w:val="4E564664"/>
    <w:rsid w:val="4E867073"/>
    <w:rsid w:val="4E8E22E3"/>
    <w:rsid w:val="4E8E2359"/>
    <w:rsid w:val="4E9601B9"/>
    <w:rsid w:val="4E986C99"/>
    <w:rsid w:val="4E9F71BA"/>
    <w:rsid w:val="4EA06285"/>
    <w:rsid w:val="4EA2199B"/>
    <w:rsid w:val="4EA53D51"/>
    <w:rsid w:val="4EBC03C4"/>
    <w:rsid w:val="4ED02389"/>
    <w:rsid w:val="4ED15AC2"/>
    <w:rsid w:val="4ED37025"/>
    <w:rsid w:val="4EDB7A22"/>
    <w:rsid w:val="4EE37512"/>
    <w:rsid w:val="4EF13CEB"/>
    <w:rsid w:val="4EF34E0C"/>
    <w:rsid w:val="4EFB45DE"/>
    <w:rsid w:val="4EFC4D0E"/>
    <w:rsid w:val="4F037C1E"/>
    <w:rsid w:val="4F3072FD"/>
    <w:rsid w:val="4F34066D"/>
    <w:rsid w:val="4F4D06A9"/>
    <w:rsid w:val="4F506549"/>
    <w:rsid w:val="4F6B5DA2"/>
    <w:rsid w:val="4F7612F2"/>
    <w:rsid w:val="4F8D027E"/>
    <w:rsid w:val="4F9604E2"/>
    <w:rsid w:val="4F9C77F9"/>
    <w:rsid w:val="4FB851EC"/>
    <w:rsid w:val="4FC03ADA"/>
    <w:rsid w:val="4FC4757C"/>
    <w:rsid w:val="4FC6481B"/>
    <w:rsid w:val="4FC77E2A"/>
    <w:rsid w:val="4FC919BD"/>
    <w:rsid w:val="4FF26E0E"/>
    <w:rsid w:val="4FFD69B7"/>
    <w:rsid w:val="500B2637"/>
    <w:rsid w:val="500E7FE7"/>
    <w:rsid w:val="50192D90"/>
    <w:rsid w:val="502E3168"/>
    <w:rsid w:val="50387E70"/>
    <w:rsid w:val="504256A6"/>
    <w:rsid w:val="506A1B21"/>
    <w:rsid w:val="50782720"/>
    <w:rsid w:val="507B7DC5"/>
    <w:rsid w:val="50855F7F"/>
    <w:rsid w:val="508821A5"/>
    <w:rsid w:val="50895DD1"/>
    <w:rsid w:val="50907535"/>
    <w:rsid w:val="509B331A"/>
    <w:rsid w:val="50D744FC"/>
    <w:rsid w:val="50DC4156"/>
    <w:rsid w:val="50EA19ED"/>
    <w:rsid w:val="50ED1493"/>
    <w:rsid w:val="50F01BF8"/>
    <w:rsid w:val="50FA5B3E"/>
    <w:rsid w:val="510802BF"/>
    <w:rsid w:val="510E2D92"/>
    <w:rsid w:val="510E60B2"/>
    <w:rsid w:val="51107229"/>
    <w:rsid w:val="51143A7F"/>
    <w:rsid w:val="511E1A16"/>
    <w:rsid w:val="51312273"/>
    <w:rsid w:val="514A2540"/>
    <w:rsid w:val="515A5692"/>
    <w:rsid w:val="51631F73"/>
    <w:rsid w:val="51646289"/>
    <w:rsid w:val="517471EA"/>
    <w:rsid w:val="51822FE6"/>
    <w:rsid w:val="51B955E6"/>
    <w:rsid w:val="51BF6B47"/>
    <w:rsid w:val="51C879C3"/>
    <w:rsid w:val="51D663EB"/>
    <w:rsid w:val="51EF0868"/>
    <w:rsid w:val="51F0268C"/>
    <w:rsid w:val="51F117CB"/>
    <w:rsid w:val="51FB215E"/>
    <w:rsid w:val="51FF071D"/>
    <w:rsid w:val="521023B8"/>
    <w:rsid w:val="521147A6"/>
    <w:rsid w:val="52184C46"/>
    <w:rsid w:val="521D27CD"/>
    <w:rsid w:val="522F2404"/>
    <w:rsid w:val="52371C80"/>
    <w:rsid w:val="523858A2"/>
    <w:rsid w:val="524A459D"/>
    <w:rsid w:val="528821BF"/>
    <w:rsid w:val="529C4313"/>
    <w:rsid w:val="52BA64DA"/>
    <w:rsid w:val="52CB44EC"/>
    <w:rsid w:val="52D619C0"/>
    <w:rsid w:val="52D86D40"/>
    <w:rsid w:val="52E15E6F"/>
    <w:rsid w:val="52E95A72"/>
    <w:rsid w:val="52EB2DDD"/>
    <w:rsid w:val="52F65797"/>
    <w:rsid w:val="532511FD"/>
    <w:rsid w:val="5334775D"/>
    <w:rsid w:val="533554D1"/>
    <w:rsid w:val="53364EC2"/>
    <w:rsid w:val="53461068"/>
    <w:rsid w:val="53495C57"/>
    <w:rsid w:val="534A09C4"/>
    <w:rsid w:val="534C5A25"/>
    <w:rsid w:val="5352741A"/>
    <w:rsid w:val="536A20C2"/>
    <w:rsid w:val="537D4113"/>
    <w:rsid w:val="537D6808"/>
    <w:rsid w:val="538816D6"/>
    <w:rsid w:val="538F7F4B"/>
    <w:rsid w:val="5390692E"/>
    <w:rsid w:val="539B4814"/>
    <w:rsid w:val="539E5A83"/>
    <w:rsid w:val="53A54557"/>
    <w:rsid w:val="53B57673"/>
    <w:rsid w:val="53BA0949"/>
    <w:rsid w:val="53C44CCC"/>
    <w:rsid w:val="53C60CED"/>
    <w:rsid w:val="53D41B5D"/>
    <w:rsid w:val="53DB0B10"/>
    <w:rsid w:val="53E05AF8"/>
    <w:rsid w:val="53E75C32"/>
    <w:rsid w:val="53F55975"/>
    <w:rsid w:val="53FF6653"/>
    <w:rsid w:val="541A1F99"/>
    <w:rsid w:val="541A3C65"/>
    <w:rsid w:val="542D5464"/>
    <w:rsid w:val="54337E97"/>
    <w:rsid w:val="544A0D86"/>
    <w:rsid w:val="54697633"/>
    <w:rsid w:val="546C245F"/>
    <w:rsid w:val="546D172C"/>
    <w:rsid w:val="54702B21"/>
    <w:rsid w:val="547C28BE"/>
    <w:rsid w:val="547D31FA"/>
    <w:rsid w:val="547F5382"/>
    <w:rsid w:val="54995E34"/>
    <w:rsid w:val="54A64549"/>
    <w:rsid w:val="54AC28C6"/>
    <w:rsid w:val="54B37637"/>
    <w:rsid w:val="54CC3DDD"/>
    <w:rsid w:val="54E237D8"/>
    <w:rsid w:val="54EB0D64"/>
    <w:rsid w:val="54EE144D"/>
    <w:rsid w:val="54F1362B"/>
    <w:rsid w:val="54F70EA9"/>
    <w:rsid w:val="54F81D94"/>
    <w:rsid w:val="550F7686"/>
    <w:rsid w:val="55517E6A"/>
    <w:rsid w:val="55540CB6"/>
    <w:rsid w:val="5565176D"/>
    <w:rsid w:val="556638EA"/>
    <w:rsid w:val="556A3945"/>
    <w:rsid w:val="556C7F9A"/>
    <w:rsid w:val="556D76FE"/>
    <w:rsid w:val="557277DA"/>
    <w:rsid w:val="5588607D"/>
    <w:rsid w:val="55AF09E4"/>
    <w:rsid w:val="55B664C0"/>
    <w:rsid w:val="55D0793E"/>
    <w:rsid w:val="55D253D3"/>
    <w:rsid w:val="55D63C91"/>
    <w:rsid w:val="55DB6ADE"/>
    <w:rsid w:val="55DE1300"/>
    <w:rsid w:val="55DE6C07"/>
    <w:rsid w:val="55E72D79"/>
    <w:rsid w:val="55EE201B"/>
    <w:rsid w:val="55EE6AC4"/>
    <w:rsid w:val="55F42B4A"/>
    <w:rsid w:val="55FF5442"/>
    <w:rsid w:val="5603619B"/>
    <w:rsid w:val="56063882"/>
    <w:rsid w:val="560F474C"/>
    <w:rsid w:val="5614438A"/>
    <w:rsid w:val="56175AAE"/>
    <w:rsid w:val="56191E57"/>
    <w:rsid w:val="561E01B2"/>
    <w:rsid w:val="561F2B56"/>
    <w:rsid w:val="5623767D"/>
    <w:rsid w:val="563148CC"/>
    <w:rsid w:val="56501983"/>
    <w:rsid w:val="565D1132"/>
    <w:rsid w:val="566D0B84"/>
    <w:rsid w:val="56730604"/>
    <w:rsid w:val="567B7C69"/>
    <w:rsid w:val="569204FD"/>
    <w:rsid w:val="569B42B4"/>
    <w:rsid w:val="56AD0D9A"/>
    <w:rsid w:val="56B00C44"/>
    <w:rsid w:val="56BB1843"/>
    <w:rsid w:val="56BF4F8D"/>
    <w:rsid w:val="56DA34DA"/>
    <w:rsid w:val="56DA6454"/>
    <w:rsid w:val="56DF5ED9"/>
    <w:rsid w:val="57136EFE"/>
    <w:rsid w:val="571922EA"/>
    <w:rsid w:val="572C6791"/>
    <w:rsid w:val="572F6F9F"/>
    <w:rsid w:val="57324318"/>
    <w:rsid w:val="574E0D0A"/>
    <w:rsid w:val="5750690C"/>
    <w:rsid w:val="57580BF8"/>
    <w:rsid w:val="575907FA"/>
    <w:rsid w:val="57682F28"/>
    <w:rsid w:val="576F4B12"/>
    <w:rsid w:val="577378F9"/>
    <w:rsid w:val="579158C8"/>
    <w:rsid w:val="579449AC"/>
    <w:rsid w:val="579560B7"/>
    <w:rsid w:val="579F6A24"/>
    <w:rsid w:val="57A252E8"/>
    <w:rsid w:val="57A52B49"/>
    <w:rsid w:val="57C75D5D"/>
    <w:rsid w:val="57D10F1C"/>
    <w:rsid w:val="57E6103C"/>
    <w:rsid w:val="57F416DC"/>
    <w:rsid w:val="57F63630"/>
    <w:rsid w:val="58005BC4"/>
    <w:rsid w:val="580A0C58"/>
    <w:rsid w:val="580C02F0"/>
    <w:rsid w:val="581243E0"/>
    <w:rsid w:val="581A2750"/>
    <w:rsid w:val="581F2D31"/>
    <w:rsid w:val="582D0A33"/>
    <w:rsid w:val="583433A4"/>
    <w:rsid w:val="584C7631"/>
    <w:rsid w:val="584D5606"/>
    <w:rsid w:val="58523C61"/>
    <w:rsid w:val="585544C5"/>
    <w:rsid w:val="58602045"/>
    <w:rsid w:val="58645A2D"/>
    <w:rsid w:val="58691548"/>
    <w:rsid w:val="588801E1"/>
    <w:rsid w:val="5892305E"/>
    <w:rsid w:val="58923D0E"/>
    <w:rsid w:val="58994807"/>
    <w:rsid w:val="589B7537"/>
    <w:rsid w:val="58A35222"/>
    <w:rsid w:val="58A41A52"/>
    <w:rsid w:val="58A5315D"/>
    <w:rsid w:val="58A64A10"/>
    <w:rsid w:val="58A71557"/>
    <w:rsid w:val="58A75876"/>
    <w:rsid w:val="58A82BB6"/>
    <w:rsid w:val="58B17554"/>
    <w:rsid w:val="58B63492"/>
    <w:rsid w:val="58C3395D"/>
    <w:rsid w:val="58D1309E"/>
    <w:rsid w:val="58DD5E81"/>
    <w:rsid w:val="58E37B13"/>
    <w:rsid w:val="58E435DE"/>
    <w:rsid w:val="58EB4E2C"/>
    <w:rsid w:val="58EC44F2"/>
    <w:rsid w:val="58FF7893"/>
    <w:rsid w:val="590B7DE9"/>
    <w:rsid w:val="591B19F2"/>
    <w:rsid w:val="59233F6C"/>
    <w:rsid w:val="59251DAA"/>
    <w:rsid w:val="592925C9"/>
    <w:rsid w:val="59485719"/>
    <w:rsid w:val="594B6FCC"/>
    <w:rsid w:val="595A55B2"/>
    <w:rsid w:val="595C6AEE"/>
    <w:rsid w:val="59657AAA"/>
    <w:rsid w:val="5968490C"/>
    <w:rsid w:val="597109F5"/>
    <w:rsid w:val="597D0EF4"/>
    <w:rsid w:val="597E3FFF"/>
    <w:rsid w:val="598B0769"/>
    <w:rsid w:val="599515DC"/>
    <w:rsid w:val="599E3226"/>
    <w:rsid w:val="59A04285"/>
    <w:rsid w:val="59A12B3D"/>
    <w:rsid w:val="59A64539"/>
    <w:rsid w:val="59A70D78"/>
    <w:rsid w:val="59AB0E62"/>
    <w:rsid w:val="59DA5CD0"/>
    <w:rsid w:val="59E74A79"/>
    <w:rsid w:val="59EF58B2"/>
    <w:rsid w:val="5A135FE9"/>
    <w:rsid w:val="5A2767BF"/>
    <w:rsid w:val="5A28399D"/>
    <w:rsid w:val="5A3317F2"/>
    <w:rsid w:val="5A3F0F45"/>
    <w:rsid w:val="5A427BE3"/>
    <w:rsid w:val="5A516690"/>
    <w:rsid w:val="5A5C61B6"/>
    <w:rsid w:val="5A6151AD"/>
    <w:rsid w:val="5A6625EF"/>
    <w:rsid w:val="5A6C5F84"/>
    <w:rsid w:val="5A7901C0"/>
    <w:rsid w:val="5A7C7C0C"/>
    <w:rsid w:val="5A8468B0"/>
    <w:rsid w:val="5AAD768A"/>
    <w:rsid w:val="5AB05017"/>
    <w:rsid w:val="5AB660F8"/>
    <w:rsid w:val="5AC617A2"/>
    <w:rsid w:val="5AC70045"/>
    <w:rsid w:val="5AD478DC"/>
    <w:rsid w:val="5ADE13D6"/>
    <w:rsid w:val="5AE06525"/>
    <w:rsid w:val="5AEF1017"/>
    <w:rsid w:val="5B053C9E"/>
    <w:rsid w:val="5B1A31E6"/>
    <w:rsid w:val="5B1C1165"/>
    <w:rsid w:val="5B1C4CAC"/>
    <w:rsid w:val="5B2D5137"/>
    <w:rsid w:val="5B44688E"/>
    <w:rsid w:val="5B467CC1"/>
    <w:rsid w:val="5B590330"/>
    <w:rsid w:val="5B612355"/>
    <w:rsid w:val="5B6F687F"/>
    <w:rsid w:val="5B797CF3"/>
    <w:rsid w:val="5B7A562C"/>
    <w:rsid w:val="5B7C01DF"/>
    <w:rsid w:val="5B827D1B"/>
    <w:rsid w:val="5B864A2F"/>
    <w:rsid w:val="5B8F62C2"/>
    <w:rsid w:val="5B905E94"/>
    <w:rsid w:val="5B95733B"/>
    <w:rsid w:val="5B9916E7"/>
    <w:rsid w:val="5BA743D7"/>
    <w:rsid w:val="5BAD79D0"/>
    <w:rsid w:val="5BAF2BEB"/>
    <w:rsid w:val="5BB90932"/>
    <w:rsid w:val="5BBA5A7F"/>
    <w:rsid w:val="5BC40B2A"/>
    <w:rsid w:val="5BC575F3"/>
    <w:rsid w:val="5BCA7A73"/>
    <w:rsid w:val="5BDF4AD3"/>
    <w:rsid w:val="5C2A6BFA"/>
    <w:rsid w:val="5C2D369F"/>
    <w:rsid w:val="5C485A50"/>
    <w:rsid w:val="5C5968CD"/>
    <w:rsid w:val="5C646C3E"/>
    <w:rsid w:val="5C651EA7"/>
    <w:rsid w:val="5C7A658F"/>
    <w:rsid w:val="5C806B9A"/>
    <w:rsid w:val="5C8443DE"/>
    <w:rsid w:val="5C84539E"/>
    <w:rsid w:val="5C864D4F"/>
    <w:rsid w:val="5C875F1F"/>
    <w:rsid w:val="5C9C29FA"/>
    <w:rsid w:val="5CAE4ADA"/>
    <w:rsid w:val="5CB369E3"/>
    <w:rsid w:val="5CB6076A"/>
    <w:rsid w:val="5CB628A8"/>
    <w:rsid w:val="5CBA13D9"/>
    <w:rsid w:val="5CC756F7"/>
    <w:rsid w:val="5CD27230"/>
    <w:rsid w:val="5CF11B72"/>
    <w:rsid w:val="5CFF5A7E"/>
    <w:rsid w:val="5D05430F"/>
    <w:rsid w:val="5D06673D"/>
    <w:rsid w:val="5D1A7184"/>
    <w:rsid w:val="5D1C73FB"/>
    <w:rsid w:val="5D233CE1"/>
    <w:rsid w:val="5D2C2D19"/>
    <w:rsid w:val="5D2E1A75"/>
    <w:rsid w:val="5D4D4214"/>
    <w:rsid w:val="5D550609"/>
    <w:rsid w:val="5D5619CE"/>
    <w:rsid w:val="5D5F5349"/>
    <w:rsid w:val="5D645BFD"/>
    <w:rsid w:val="5D7D767C"/>
    <w:rsid w:val="5D8265E0"/>
    <w:rsid w:val="5D8A346C"/>
    <w:rsid w:val="5D90006F"/>
    <w:rsid w:val="5D94622D"/>
    <w:rsid w:val="5D9C5D69"/>
    <w:rsid w:val="5DA333A8"/>
    <w:rsid w:val="5DD57C1D"/>
    <w:rsid w:val="5DD62628"/>
    <w:rsid w:val="5DDE1079"/>
    <w:rsid w:val="5DE74177"/>
    <w:rsid w:val="5E1D2CC6"/>
    <w:rsid w:val="5E3211E2"/>
    <w:rsid w:val="5E336CB6"/>
    <w:rsid w:val="5E4861C6"/>
    <w:rsid w:val="5E561BA2"/>
    <w:rsid w:val="5E564D03"/>
    <w:rsid w:val="5E8B2B7A"/>
    <w:rsid w:val="5E8B4D85"/>
    <w:rsid w:val="5E8C4440"/>
    <w:rsid w:val="5E9454CF"/>
    <w:rsid w:val="5E9B1A1D"/>
    <w:rsid w:val="5E9E3FCC"/>
    <w:rsid w:val="5EA42DDC"/>
    <w:rsid w:val="5EAB7CAC"/>
    <w:rsid w:val="5ECD2F5A"/>
    <w:rsid w:val="5ED01F5B"/>
    <w:rsid w:val="5EE03707"/>
    <w:rsid w:val="5EE76214"/>
    <w:rsid w:val="5EFF2FFC"/>
    <w:rsid w:val="5F0D6F97"/>
    <w:rsid w:val="5F1B60D0"/>
    <w:rsid w:val="5F2D3B57"/>
    <w:rsid w:val="5F2F728D"/>
    <w:rsid w:val="5F35019F"/>
    <w:rsid w:val="5F543C29"/>
    <w:rsid w:val="5F60637E"/>
    <w:rsid w:val="5F617239"/>
    <w:rsid w:val="5F750DE4"/>
    <w:rsid w:val="5F7529F8"/>
    <w:rsid w:val="5F76020D"/>
    <w:rsid w:val="5F7F7769"/>
    <w:rsid w:val="5F8A5D1C"/>
    <w:rsid w:val="5F9C20EC"/>
    <w:rsid w:val="5FBC086C"/>
    <w:rsid w:val="5FBC1B59"/>
    <w:rsid w:val="5FBF7515"/>
    <w:rsid w:val="5FC304CC"/>
    <w:rsid w:val="5FCB22A0"/>
    <w:rsid w:val="5FD17B6B"/>
    <w:rsid w:val="5FD42B17"/>
    <w:rsid w:val="5FDF4074"/>
    <w:rsid w:val="5FDF6D76"/>
    <w:rsid w:val="5FE96827"/>
    <w:rsid w:val="5FFE0088"/>
    <w:rsid w:val="601E0FE8"/>
    <w:rsid w:val="60393AA0"/>
    <w:rsid w:val="603F733B"/>
    <w:rsid w:val="6046142B"/>
    <w:rsid w:val="605036DB"/>
    <w:rsid w:val="60537F0B"/>
    <w:rsid w:val="605970C4"/>
    <w:rsid w:val="60664369"/>
    <w:rsid w:val="606C4323"/>
    <w:rsid w:val="606F4BDB"/>
    <w:rsid w:val="60711D50"/>
    <w:rsid w:val="60737E19"/>
    <w:rsid w:val="607F40E3"/>
    <w:rsid w:val="60847CFE"/>
    <w:rsid w:val="60887134"/>
    <w:rsid w:val="608C29FB"/>
    <w:rsid w:val="609078A1"/>
    <w:rsid w:val="60911065"/>
    <w:rsid w:val="60995013"/>
    <w:rsid w:val="60C25B4C"/>
    <w:rsid w:val="60D858D2"/>
    <w:rsid w:val="60E53B61"/>
    <w:rsid w:val="60E629DE"/>
    <w:rsid w:val="60ED63CD"/>
    <w:rsid w:val="60F24554"/>
    <w:rsid w:val="61003BE2"/>
    <w:rsid w:val="61035D92"/>
    <w:rsid w:val="610760E2"/>
    <w:rsid w:val="610B58D5"/>
    <w:rsid w:val="610D3125"/>
    <w:rsid w:val="61101F85"/>
    <w:rsid w:val="61102DA4"/>
    <w:rsid w:val="611E64A1"/>
    <w:rsid w:val="6122474B"/>
    <w:rsid w:val="61394EA8"/>
    <w:rsid w:val="613F3F6F"/>
    <w:rsid w:val="61533544"/>
    <w:rsid w:val="6157624F"/>
    <w:rsid w:val="61580F1E"/>
    <w:rsid w:val="61656154"/>
    <w:rsid w:val="616C6201"/>
    <w:rsid w:val="616F718F"/>
    <w:rsid w:val="61897466"/>
    <w:rsid w:val="619277B3"/>
    <w:rsid w:val="61B706B8"/>
    <w:rsid w:val="61C40B64"/>
    <w:rsid w:val="61D02316"/>
    <w:rsid w:val="61D928D6"/>
    <w:rsid w:val="61E05467"/>
    <w:rsid w:val="61E65787"/>
    <w:rsid w:val="61F05D68"/>
    <w:rsid w:val="61F368DB"/>
    <w:rsid w:val="61F633F1"/>
    <w:rsid w:val="61F7535E"/>
    <w:rsid w:val="61F7614E"/>
    <w:rsid w:val="61FE5D64"/>
    <w:rsid w:val="62097789"/>
    <w:rsid w:val="621313EB"/>
    <w:rsid w:val="621419F9"/>
    <w:rsid w:val="621A7557"/>
    <w:rsid w:val="621B392E"/>
    <w:rsid w:val="62216866"/>
    <w:rsid w:val="622D7224"/>
    <w:rsid w:val="62364D0A"/>
    <w:rsid w:val="623E4992"/>
    <w:rsid w:val="624710FC"/>
    <w:rsid w:val="624A18A6"/>
    <w:rsid w:val="62516090"/>
    <w:rsid w:val="6258451B"/>
    <w:rsid w:val="6267514E"/>
    <w:rsid w:val="6268069C"/>
    <w:rsid w:val="626D1B9E"/>
    <w:rsid w:val="627440BB"/>
    <w:rsid w:val="627671E1"/>
    <w:rsid w:val="62771012"/>
    <w:rsid w:val="628C7AE8"/>
    <w:rsid w:val="629705B9"/>
    <w:rsid w:val="62994818"/>
    <w:rsid w:val="629C32A3"/>
    <w:rsid w:val="62A066AC"/>
    <w:rsid w:val="62B83D55"/>
    <w:rsid w:val="62C5387E"/>
    <w:rsid w:val="62C757FC"/>
    <w:rsid w:val="62C93F6C"/>
    <w:rsid w:val="62D02E0A"/>
    <w:rsid w:val="62DD671D"/>
    <w:rsid w:val="62E1638A"/>
    <w:rsid w:val="62E21A8E"/>
    <w:rsid w:val="62E253A4"/>
    <w:rsid w:val="62EE04EB"/>
    <w:rsid w:val="62F867B7"/>
    <w:rsid w:val="63055594"/>
    <w:rsid w:val="630C43F8"/>
    <w:rsid w:val="63122D24"/>
    <w:rsid w:val="63340E04"/>
    <w:rsid w:val="633C0AD8"/>
    <w:rsid w:val="6359444D"/>
    <w:rsid w:val="636E6ED2"/>
    <w:rsid w:val="63790566"/>
    <w:rsid w:val="637C1B16"/>
    <w:rsid w:val="638A4106"/>
    <w:rsid w:val="639A5982"/>
    <w:rsid w:val="639B0E81"/>
    <w:rsid w:val="63BF72B2"/>
    <w:rsid w:val="63CA6E1F"/>
    <w:rsid w:val="63CB202B"/>
    <w:rsid w:val="63CE76DF"/>
    <w:rsid w:val="63D63015"/>
    <w:rsid w:val="63DC0329"/>
    <w:rsid w:val="63EB5604"/>
    <w:rsid w:val="63EF2B80"/>
    <w:rsid w:val="63F37E52"/>
    <w:rsid w:val="63FA6543"/>
    <w:rsid w:val="63FB590C"/>
    <w:rsid w:val="64122299"/>
    <w:rsid w:val="64250539"/>
    <w:rsid w:val="64307806"/>
    <w:rsid w:val="64345025"/>
    <w:rsid w:val="64423736"/>
    <w:rsid w:val="64435078"/>
    <w:rsid w:val="644B0744"/>
    <w:rsid w:val="64536393"/>
    <w:rsid w:val="6460764A"/>
    <w:rsid w:val="6463596F"/>
    <w:rsid w:val="64716445"/>
    <w:rsid w:val="64730652"/>
    <w:rsid w:val="64781786"/>
    <w:rsid w:val="647E498F"/>
    <w:rsid w:val="648B0224"/>
    <w:rsid w:val="649B0590"/>
    <w:rsid w:val="64A917CE"/>
    <w:rsid w:val="64B121BB"/>
    <w:rsid w:val="64C057A3"/>
    <w:rsid w:val="64D15D63"/>
    <w:rsid w:val="64D52883"/>
    <w:rsid w:val="64DB5E96"/>
    <w:rsid w:val="64EF33E1"/>
    <w:rsid w:val="64F64B7C"/>
    <w:rsid w:val="650042E0"/>
    <w:rsid w:val="650060B9"/>
    <w:rsid w:val="65206BA7"/>
    <w:rsid w:val="65245340"/>
    <w:rsid w:val="65482D50"/>
    <w:rsid w:val="65497A75"/>
    <w:rsid w:val="65501156"/>
    <w:rsid w:val="655236E1"/>
    <w:rsid w:val="6556702F"/>
    <w:rsid w:val="656465D1"/>
    <w:rsid w:val="65717CA3"/>
    <w:rsid w:val="65A41E5E"/>
    <w:rsid w:val="65A972FD"/>
    <w:rsid w:val="65B57B33"/>
    <w:rsid w:val="65BB15B2"/>
    <w:rsid w:val="65D33852"/>
    <w:rsid w:val="65DA35FE"/>
    <w:rsid w:val="65E36363"/>
    <w:rsid w:val="65F46D6F"/>
    <w:rsid w:val="66153C8B"/>
    <w:rsid w:val="66235328"/>
    <w:rsid w:val="66235331"/>
    <w:rsid w:val="6625340B"/>
    <w:rsid w:val="66332001"/>
    <w:rsid w:val="66380AF1"/>
    <w:rsid w:val="663D7D07"/>
    <w:rsid w:val="664971AF"/>
    <w:rsid w:val="664B5CA8"/>
    <w:rsid w:val="66555A0E"/>
    <w:rsid w:val="66561275"/>
    <w:rsid w:val="66630F39"/>
    <w:rsid w:val="667F6714"/>
    <w:rsid w:val="66982E5F"/>
    <w:rsid w:val="66AD49AF"/>
    <w:rsid w:val="66AE16DB"/>
    <w:rsid w:val="66B36009"/>
    <w:rsid w:val="66B80263"/>
    <w:rsid w:val="66BD4988"/>
    <w:rsid w:val="66C202D8"/>
    <w:rsid w:val="66CE2BB1"/>
    <w:rsid w:val="66E13260"/>
    <w:rsid w:val="66F15640"/>
    <w:rsid w:val="66F60078"/>
    <w:rsid w:val="67031961"/>
    <w:rsid w:val="67206975"/>
    <w:rsid w:val="67256372"/>
    <w:rsid w:val="67277786"/>
    <w:rsid w:val="67525F82"/>
    <w:rsid w:val="67547F53"/>
    <w:rsid w:val="676A5237"/>
    <w:rsid w:val="677434C7"/>
    <w:rsid w:val="67757C7E"/>
    <w:rsid w:val="677F5BF2"/>
    <w:rsid w:val="67A818AA"/>
    <w:rsid w:val="67AD5F00"/>
    <w:rsid w:val="67BB08AC"/>
    <w:rsid w:val="67DB4C1A"/>
    <w:rsid w:val="67E46EFE"/>
    <w:rsid w:val="67EF2AB2"/>
    <w:rsid w:val="67F853D9"/>
    <w:rsid w:val="67F9222A"/>
    <w:rsid w:val="68191B7B"/>
    <w:rsid w:val="684A17AA"/>
    <w:rsid w:val="685D2B68"/>
    <w:rsid w:val="687359AA"/>
    <w:rsid w:val="688067FC"/>
    <w:rsid w:val="688E5F28"/>
    <w:rsid w:val="68A71ECE"/>
    <w:rsid w:val="68AD005A"/>
    <w:rsid w:val="68AD73FC"/>
    <w:rsid w:val="68AE5868"/>
    <w:rsid w:val="68BB5B11"/>
    <w:rsid w:val="68D77D88"/>
    <w:rsid w:val="68F11063"/>
    <w:rsid w:val="68FB5A72"/>
    <w:rsid w:val="68FE4205"/>
    <w:rsid w:val="68FF690F"/>
    <w:rsid w:val="69062911"/>
    <w:rsid w:val="691009C8"/>
    <w:rsid w:val="691654C7"/>
    <w:rsid w:val="69536E78"/>
    <w:rsid w:val="69706444"/>
    <w:rsid w:val="69A076DF"/>
    <w:rsid w:val="69B176D7"/>
    <w:rsid w:val="69B7158F"/>
    <w:rsid w:val="69CF09A2"/>
    <w:rsid w:val="69D7238D"/>
    <w:rsid w:val="69DB4356"/>
    <w:rsid w:val="69EA186B"/>
    <w:rsid w:val="69FA4CE6"/>
    <w:rsid w:val="69FB20D3"/>
    <w:rsid w:val="69FC6794"/>
    <w:rsid w:val="6A044BF3"/>
    <w:rsid w:val="6A060515"/>
    <w:rsid w:val="6A085791"/>
    <w:rsid w:val="6A095120"/>
    <w:rsid w:val="6A0A5AD9"/>
    <w:rsid w:val="6A14410C"/>
    <w:rsid w:val="6A263151"/>
    <w:rsid w:val="6A2B00DC"/>
    <w:rsid w:val="6A3964C6"/>
    <w:rsid w:val="6A42171B"/>
    <w:rsid w:val="6A874D08"/>
    <w:rsid w:val="6A93241E"/>
    <w:rsid w:val="6AB956D8"/>
    <w:rsid w:val="6AC34735"/>
    <w:rsid w:val="6ACC0D08"/>
    <w:rsid w:val="6ACF1052"/>
    <w:rsid w:val="6AD920E4"/>
    <w:rsid w:val="6AE86801"/>
    <w:rsid w:val="6AEF77B9"/>
    <w:rsid w:val="6AF4445A"/>
    <w:rsid w:val="6AFD16D3"/>
    <w:rsid w:val="6B010441"/>
    <w:rsid w:val="6B0A3113"/>
    <w:rsid w:val="6B176494"/>
    <w:rsid w:val="6B2A2471"/>
    <w:rsid w:val="6B3A1AFE"/>
    <w:rsid w:val="6B614B9D"/>
    <w:rsid w:val="6B640ED8"/>
    <w:rsid w:val="6B77467E"/>
    <w:rsid w:val="6B7C1C91"/>
    <w:rsid w:val="6B9A1E64"/>
    <w:rsid w:val="6BA0303F"/>
    <w:rsid w:val="6BA250FB"/>
    <w:rsid w:val="6BBC47AB"/>
    <w:rsid w:val="6BC750AD"/>
    <w:rsid w:val="6BCC7703"/>
    <w:rsid w:val="6BD249F4"/>
    <w:rsid w:val="6BD764A2"/>
    <w:rsid w:val="6BD90FD6"/>
    <w:rsid w:val="6BE747E7"/>
    <w:rsid w:val="6BEB7DE2"/>
    <w:rsid w:val="6BF80D1F"/>
    <w:rsid w:val="6BF84FBD"/>
    <w:rsid w:val="6C1613E9"/>
    <w:rsid w:val="6C1B7AA1"/>
    <w:rsid w:val="6C2D518A"/>
    <w:rsid w:val="6C3630B0"/>
    <w:rsid w:val="6C433047"/>
    <w:rsid w:val="6C56445A"/>
    <w:rsid w:val="6C5F7D0D"/>
    <w:rsid w:val="6C6F4BC3"/>
    <w:rsid w:val="6C847CC7"/>
    <w:rsid w:val="6C8F13D7"/>
    <w:rsid w:val="6C9E682E"/>
    <w:rsid w:val="6C9F64C6"/>
    <w:rsid w:val="6CA101D1"/>
    <w:rsid w:val="6CA142A8"/>
    <w:rsid w:val="6CA82D7A"/>
    <w:rsid w:val="6CBD7406"/>
    <w:rsid w:val="6CC95E1D"/>
    <w:rsid w:val="6CD201A2"/>
    <w:rsid w:val="6CF675BE"/>
    <w:rsid w:val="6D042B70"/>
    <w:rsid w:val="6D106CD8"/>
    <w:rsid w:val="6D204210"/>
    <w:rsid w:val="6D3515AB"/>
    <w:rsid w:val="6D427A80"/>
    <w:rsid w:val="6D4942EC"/>
    <w:rsid w:val="6D5C3090"/>
    <w:rsid w:val="6D636C33"/>
    <w:rsid w:val="6D704799"/>
    <w:rsid w:val="6D722307"/>
    <w:rsid w:val="6D901150"/>
    <w:rsid w:val="6DA11237"/>
    <w:rsid w:val="6DB05C38"/>
    <w:rsid w:val="6DB51011"/>
    <w:rsid w:val="6DB81506"/>
    <w:rsid w:val="6DBF3066"/>
    <w:rsid w:val="6DC822E2"/>
    <w:rsid w:val="6DE97E4D"/>
    <w:rsid w:val="6DF05D5E"/>
    <w:rsid w:val="6DFA3246"/>
    <w:rsid w:val="6DFD3E18"/>
    <w:rsid w:val="6DFF5EAC"/>
    <w:rsid w:val="6E04087B"/>
    <w:rsid w:val="6E1A7C2B"/>
    <w:rsid w:val="6E1E10A5"/>
    <w:rsid w:val="6E223F26"/>
    <w:rsid w:val="6E2C6275"/>
    <w:rsid w:val="6E2D2070"/>
    <w:rsid w:val="6E354A34"/>
    <w:rsid w:val="6E457CA0"/>
    <w:rsid w:val="6E533D10"/>
    <w:rsid w:val="6E581022"/>
    <w:rsid w:val="6E583EC2"/>
    <w:rsid w:val="6E5D2D0E"/>
    <w:rsid w:val="6E840DDD"/>
    <w:rsid w:val="6EA3292D"/>
    <w:rsid w:val="6EB35040"/>
    <w:rsid w:val="6EC442B3"/>
    <w:rsid w:val="6ECC26D1"/>
    <w:rsid w:val="6ED073FD"/>
    <w:rsid w:val="6ED8729E"/>
    <w:rsid w:val="6EE800B4"/>
    <w:rsid w:val="6EEC38C9"/>
    <w:rsid w:val="6F0056D0"/>
    <w:rsid w:val="6F080703"/>
    <w:rsid w:val="6F0A09C5"/>
    <w:rsid w:val="6F17209C"/>
    <w:rsid w:val="6F184FC2"/>
    <w:rsid w:val="6F262D9B"/>
    <w:rsid w:val="6F2C16AB"/>
    <w:rsid w:val="6F2F5A4D"/>
    <w:rsid w:val="6F5A0C2F"/>
    <w:rsid w:val="6F5E1512"/>
    <w:rsid w:val="6F627130"/>
    <w:rsid w:val="6F6B465A"/>
    <w:rsid w:val="6F7156FC"/>
    <w:rsid w:val="6F743E84"/>
    <w:rsid w:val="6F851F22"/>
    <w:rsid w:val="6FA1004B"/>
    <w:rsid w:val="6FC70544"/>
    <w:rsid w:val="6FD0299F"/>
    <w:rsid w:val="6FFE5FB4"/>
    <w:rsid w:val="700C138A"/>
    <w:rsid w:val="70265CBC"/>
    <w:rsid w:val="70267381"/>
    <w:rsid w:val="70306A3A"/>
    <w:rsid w:val="703664C4"/>
    <w:rsid w:val="704659F6"/>
    <w:rsid w:val="705A3998"/>
    <w:rsid w:val="705F69FF"/>
    <w:rsid w:val="706C1E99"/>
    <w:rsid w:val="70762E07"/>
    <w:rsid w:val="70794389"/>
    <w:rsid w:val="70AC5BD5"/>
    <w:rsid w:val="70BE70C7"/>
    <w:rsid w:val="70C12DF9"/>
    <w:rsid w:val="70C25064"/>
    <w:rsid w:val="70C455B8"/>
    <w:rsid w:val="70C81D5C"/>
    <w:rsid w:val="70D52536"/>
    <w:rsid w:val="70F61057"/>
    <w:rsid w:val="71081CBC"/>
    <w:rsid w:val="71293D23"/>
    <w:rsid w:val="712D189D"/>
    <w:rsid w:val="713C47AE"/>
    <w:rsid w:val="71437419"/>
    <w:rsid w:val="715B191D"/>
    <w:rsid w:val="715F5A3D"/>
    <w:rsid w:val="716F1026"/>
    <w:rsid w:val="719444AD"/>
    <w:rsid w:val="7199032A"/>
    <w:rsid w:val="719E19E7"/>
    <w:rsid w:val="71AA43D7"/>
    <w:rsid w:val="71AA6718"/>
    <w:rsid w:val="71C67B82"/>
    <w:rsid w:val="71E463D0"/>
    <w:rsid w:val="71EA0EE6"/>
    <w:rsid w:val="71EC3310"/>
    <w:rsid w:val="71EE2DEE"/>
    <w:rsid w:val="71F05E65"/>
    <w:rsid w:val="71F97F78"/>
    <w:rsid w:val="72154787"/>
    <w:rsid w:val="721E5120"/>
    <w:rsid w:val="723F66D0"/>
    <w:rsid w:val="72412EF4"/>
    <w:rsid w:val="72414E59"/>
    <w:rsid w:val="724D0486"/>
    <w:rsid w:val="72500966"/>
    <w:rsid w:val="725900CE"/>
    <w:rsid w:val="72711832"/>
    <w:rsid w:val="72715EA6"/>
    <w:rsid w:val="727E17BE"/>
    <w:rsid w:val="72A61777"/>
    <w:rsid w:val="72DE48B8"/>
    <w:rsid w:val="72E11184"/>
    <w:rsid w:val="72E375FA"/>
    <w:rsid w:val="72EA3D6F"/>
    <w:rsid w:val="72F21190"/>
    <w:rsid w:val="72F92329"/>
    <w:rsid w:val="73073193"/>
    <w:rsid w:val="73103041"/>
    <w:rsid w:val="731B00E6"/>
    <w:rsid w:val="73210B1C"/>
    <w:rsid w:val="73295AF5"/>
    <w:rsid w:val="732C499F"/>
    <w:rsid w:val="733816CB"/>
    <w:rsid w:val="7338696B"/>
    <w:rsid w:val="73426CBF"/>
    <w:rsid w:val="735650C3"/>
    <w:rsid w:val="73625F1B"/>
    <w:rsid w:val="73774ECB"/>
    <w:rsid w:val="73785D4E"/>
    <w:rsid w:val="73787484"/>
    <w:rsid w:val="73B16A32"/>
    <w:rsid w:val="73B53E10"/>
    <w:rsid w:val="73C277FE"/>
    <w:rsid w:val="73CC2EA7"/>
    <w:rsid w:val="73E12F06"/>
    <w:rsid w:val="73F57335"/>
    <w:rsid w:val="73F83C09"/>
    <w:rsid w:val="73F90007"/>
    <w:rsid w:val="740A581E"/>
    <w:rsid w:val="7410176C"/>
    <w:rsid w:val="7410428C"/>
    <w:rsid w:val="7418463A"/>
    <w:rsid w:val="74301541"/>
    <w:rsid w:val="743E26C8"/>
    <w:rsid w:val="74520777"/>
    <w:rsid w:val="74595263"/>
    <w:rsid w:val="747934FA"/>
    <w:rsid w:val="747B0BD3"/>
    <w:rsid w:val="74821288"/>
    <w:rsid w:val="7489183E"/>
    <w:rsid w:val="748E4A1C"/>
    <w:rsid w:val="749E33E9"/>
    <w:rsid w:val="74A43557"/>
    <w:rsid w:val="74B10B66"/>
    <w:rsid w:val="74BB6983"/>
    <w:rsid w:val="74CD254C"/>
    <w:rsid w:val="74DD5AE9"/>
    <w:rsid w:val="74E356EE"/>
    <w:rsid w:val="74FE2EA4"/>
    <w:rsid w:val="75092287"/>
    <w:rsid w:val="750C2C13"/>
    <w:rsid w:val="750F3930"/>
    <w:rsid w:val="75180E8E"/>
    <w:rsid w:val="752D3F48"/>
    <w:rsid w:val="75365243"/>
    <w:rsid w:val="7538623B"/>
    <w:rsid w:val="75522FB5"/>
    <w:rsid w:val="75583DCB"/>
    <w:rsid w:val="75591218"/>
    <w:rsid w:val="75637942"/>
    <w:rsid w:val="756441DF"/>
    <w:rsid w:val="75820131"/>
    <w:rsid w:val="758D4534"/>
    <w:rsid w:val="75A24CE8"/>
    <w:rsid w:val="75A95E7A"/>
    <w:rsid w:val="75C73276"/>
    <w:rsid w:val="75D5569F"/>
    <w:rsid w:val="75E87008"/>
    <w:rsid w:val="75FC1BC3"/>
    <w:rsid w:val="760201C3"/>
    <w:rsid w:val="76071EA3"/>
    <w:rsid w:val="760F0E58"/>
    <w:rsid w:val="761F3F40"/>
    <w:rsid w:val="76284D1B"/>
    <w:rsid w:val="76300AAD"/>
    <w:rsid w:val="76376B2A"/>
    <w:rsid w:val="76490BA1"/>
    <w:rsid w:val="764D091E"/>
    <w:rsid w:val="76512490"/>
    <w:rsid w:val="76657713"/>
    <w:rsid w:val="766C03A5"/>
    <w:rsid w:val="76702966"/>
    <w:rsid w:val="76855704"/>
    <w:rsid w:val="768C559A"/>
    <w:rsid w:val="76961839"/>
    <w:rsid w:val="76BB1E70"/>
    <w:rsid w:val="76CC4B9D"/>
    <w:rsid w:val="76D02D94"/>
    <w:rsid w:val="76E22F94"/>
    <w:rsid w:val="76E4214D"/>
    <w:rsid w:val="76E71051"/>
    <w:rsid w:val="76EE5181"/>
    <w:rsid w:val="77035D74"/>
    <w:rsid w:val="770935F1"/>
    <w:rsid w:val="7711186C"/>
    <w:rsid w:val="771E2F93"/>
    <w:rsid w:val="772311F8"/>
    <w:rsid w:val="77244568"/>
    <w:rsid w:val="77337BAD"/>
    <w:rsid w:val="7741244E"/>
    <w:rsid w:val="776A7683"/>
    <w:rsid w:val="77713934"/>
    <w:rsid w:val="778A47D9"/>
    <w:rsid w:val="77937B1A"/>
    <w:rsid w:val="77A0027A"/>
    <w:rsid w:val="77BA62E7"/>
    <w:rsid w:val="77BC21F6"/>
    <w:rsid w:val="77CB1F80"/>
    <w:rsid w:val="77CD4767"/>
    <w:rsid w:val="77DA7C95"/>
    <w:rsid w:val="77DC71FA"/>
    <w:rsid w:val="77F965AF"/>
    <w:rsid w:val="78030834"/>
    <w:rsid w:val="780C09C5"/>
    <w:rsid w:val="781C6F2E"/>
    <w:rsid w:val="78217150"/>
    <w:rsid w:val="782E362D"/>
    <w:rsid w:val="78540F2F"/>
    <w:rsid w:val="78575B63"/>
    <w:rsid w:val="785D25BD"/>
    <w:rsid w:val="78613EE1"/>
    <w:rsid w:val="78617DF4"/>
    <w:rsid w:val="786971A0"/>
    <w:rsid w:val="78700396"/>
    <w:rsid w:val="78733034"/>
    <w:rsid w:val="78815B08"/>
    <w:rsid w:val="7893775A"/>
    <w:rsid w:val="78943905"/>
    <w:rsid w:val="78956F2A"/>
    <w:rsid w:val="78A36DA6"/>
    <w:rsid w:val="78A97FB6"/>
    <w:rsid w:val="78D27048"/>
    <w:rsid w:val="78EF033B"/>
    <w:rsid w:val="78F33CB4"/>
    <w:rsid w:val="7903220C"/>
    <w:rsid w:val="79175D03"/>
    <w:rsid w:val="7923467D"/>
    <w:rsid w:val="79396275"/>
    <w:rsid w:val="79440D4D"/>
    <w:rsid w:val="794F435F"/>
    <w:rsid w:val="7956298E"/>
    <w:rsid w:val="795A1578"/>
    <w:rsid w:val="795D7321"/>
    <w:rsid w:val="795E13D5"/>
    <w:rsid w:val="796D4F83"/>
    <w:rsid w:val="797F7821"/>
    <w:rsid w:val="7992103A"/>
    <w:rsid w:val="79A65736"/>
    <w:rsid w:val="79C82663"/>
    <w:rsid w:val="79CB565E"/>
    <w:rsid w:val="79D63F68"/>
    <w:rsid w:val="79DA7E3D"/>
    <w:rsid w:val="79E91815"/>
    <w:rsid w:val="79EA467A"/>
    <w:rsid w:val="79F12BD9"/>
    <w:rsid w:val="79F3168D"/>
    <w:rsid w:val="7A0E7434"/>
    <w:rsid w:val="7A1A4B48"/>
    <w:rsid w:val="7A1B49EC"/>
    <w:rsid w:val="7A257108"/>
    <w:rsid w:val="7A5A4972"/>
    <w:rsid w:val="7A5D299B"/>
    <w:rsid w:val="7A666B09"/>
    <w:rsid w:val="7A671AE7"/>
    <w:rsid w:val="7A6F61F5"/>
    <w:rsid w:val="7A800B3F"/>
    <w:rsid w:val="7A854458"/>
    <w:rsid w:val="7A8C1845"/>
    <w:rsid w:val="7A8E0E60"/>
    <w:rsid w:val="7A8E28D9"/>
    <w:rsid w:val="7A9C5AE8"/>
    <w:rsid w:val="7AB104F1"/>
    <w:rsid w:val="7AB10E09"/>
    <w:rsid w:val="7AB32F19"/>
    <w:rsid w:val="7AD93784"/>
    <w:rsid w:val="7AD972E6"/>
    <w:rsid w:val="7AE31944"/>
    <w:rsid w:val="7AE528A3"/>
    <w:rsid w:val="7AE91244"/>
    <w:rsid w:val="7AF35F7E"/>
    <w:rsid w:val="7B0645E3"/>
    <w:rsid w:val="7B107588"/>
    <w:rsid w:val="7B1E3C60"/>
    <w:rsid w:val="7B263400"/>
    <w:rsid w:val="7B45697A"/>
    <w:rsid w:val="7B63755A"/>
    <w:rsid w:val="7B6966F7"/>
    <w:rsid w:val="7B824021"/>
    <w:rsid w:val="7BB365AA"/>
    <w:rsid w:val="7BC72B53"/>
    <w:rsid w:val="7BDB2D48"/>
    <w:rsid w:val="7BE36AB1"/>
    <w:rsid w:val="7BE74A0C"/>
    <w:rsid w:val="7BEC6585"/>
    <w:rsid w:val="7C115C17"/>
    <w:rsid w:val="7C264765"/>
    <w:rsid w:val="7C31636C"/>
    <w:rsid w:val="7C3331E7"/>
    <w:rsid w:val="7C7F7919"/>
    <w:rsid w:val="7C8C6780"/>
    <w:rsid w:val="7C962427"/>
    <w:rsid w:val="7C975C63"/>
    <w:rsid w:val="7C983D64"/>
    <w:rsid w:val="7C9D65DD"/>
    <w:rsid w:val="7CB631F5"/>
    <w:rsid w:val="7CE164EB"/>
    <w:rsid w:val="7CF44A01"/>
    <w:rsid w:val="7D001735"/>
    <w:rsid w:val="7D0075E4"/>
    <w:rsid w:val="7D06060E"/>
    <w:rsid w:val="7D1A4CF9"/>
    <w:rsid w:val="7D2700C1"/>
    <w:rsid w:val="7D284188"/>
    <w:rsid w:val="7D3C732F"/>
    <w:rsid w:val="7D56119B"/>
    <w:rsid w:val="7D646B45"/>
    <w:rsid w:val="7D6551DB"/>
    <w:rsid w:val="7D6B1BB8"/>
    <w:rsid w:val="7D6D76E3"/>
    <w:rsid w:val="7D706288"/>
    <w:rsid w:val="7D7F15FD"/>
    <w:rsid w:val="7D872570"/>
    <w:rsid w:val="7D934710"/>
    <w:rsid w:val="7DBD40B6"/>
    <w:rsid w:val="7DC50EB9"/>
    <w:rsid w:val="7DDC08ED"/>
    <w:rsid w:val="7DDC4D02"/>
    <w:rsid w:val="7DE1266C"/>
    <w:rsid w:val="7DE15993"/>
    <w:rsid w:val="7DE2643F"/>
    <w:rsid w:val="7DEE2042"/>
    <w:rsid w:val="7DF464DD"/>
    <w:rsid w:val="7DFC0A22"/>
    <w:rsid w:val="7E0E3CC6"/>
    <w:rsid w:val="7E0E565C"/>
    <w:rsid w:val="7E164DD0"/>
    <w:rsid w:val="7E177D95"/>
    <w:rsid w:val="7E1B0204"/>
    <w:rsid w:val="7E215319"/>
    <w:rsid w:val="7E2209D5"/>
    <w:rsid w:val="7E3F3990"/>
    <w:rsid w:val="7E405562"/>
    <w:rsid w:val="7E414FA7"/>
    <w:rsid w:val="7E617C2C"/>
    <w:rsid w:val="7E687996"/>
    <w:rsid w:val="7E8C4FA8"/>
    <w:rsid w:val="7E8D4B79"/>
    <w:rsid w:val="7E9E7A7F"/>
    <w:rsid w:val="7EA278C3"/>
    <w:rsid w:val="7EA94BE0"/>
    <w:rsid w:val="7EAF529B"/>
    <w:rsid w:val="7EBB172E"/>
    <w:rsid w:val="7EC97DC3"/>
    <w:rsid w:val="7EDF5B20"/>
    <w:rsid w:val="7EE31AFA"/>
    <w:rsid w:val="7EE71405"/>
    <w:rsid w:val="7EF0509D"/>
    <w:rsid w:val="7EF25217"/>
    <w:rsid w:val="7EF760F7"/>
    <w:rsid w:val="7F091CC3"/>
    <w:rsid w:val="7F094058"/>
    <w:rsid w:val="7F0D52DE"/>
    <w:rsid w:val="7F0E6C1D"/>
    <w:rsid w:val="7F0F7A04"/>
    <w:rsid w:val="7F165C73"/>
    <w:rsid w:val="7F243096"/>
    <w:rsid w:val="7F25114E"/>
    <w:rsid w:val="7F272D95"/>
    <w:rsid w:val="7F3207B4"/>
    <w:rsid w:val="7F382D9E"/>
    <w:rsid w:val="7F3F2752"/>
    <w:rsid w:val="7F43693E"/>
    <w:rsid w:val="7F552683"/>
    <w:rsid w:val="7F6E0F6B"/>
    <w:rsid w:val="7F6E447F"/>
    <w:rsid w:val="7F725FF3"/>
    <w:rsid w:val="7F7F5C14"/>
    <w:rsid w:val="7F82790F"/>
    <w:rsid w:val="7F8666FD"/>
    <w:rsid w:val="7F8D5DDC"/>
    <w:rsid w:val="7F9463F0"/>
    <w:rsid w:val="7FA57125"/>
    <w:rsid w:val="7FA86413"/>
    <w:rsid w:val="7FA873ED"/>
    <w:rsid w:val="7FBA1270"/>
    <w:rsid w:val="7FC71A85"/>
    <w:rsid w:val="7FF04A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11"/>
    <w:qFormat/>
    <w:uiPriority w:val="0"/>
    <w:pPr>
      <w:keepNext/>
      <w:keepLines/>
      <w:spacing w:before="340" w:after="330"/>
      <w:outlineLvl w:val="0"/>
    </w:pPr>
    <w:rPr>
      <w:b/>
      <w:bCs/>
      <w:kern w:val="44"/>
      <w:sz w:val="32"/>
      <w:szCs w:val="30"/>
    </w:rPr>
  </w:style>
  <w:style w:type="paragraph" w:styleId="4">
    <w:name w:val="heading 2"/>
    <w:basedOn w:val="1"/>
    <w:next w:val="1"/>
    <w:link w:val="112"/>
    <w:qFormat/>
    <w:uiPriority w:val="0"/>
    <w:pPr>
      <w:keepNext/>
      <w:keepLines/>
      <w:spacing w:before="260" w:after="260"/>
      <w:outlineLvl w:val="1"/>
    </w:pPr>
    <w:rPr>
      <w:rFonts w:ascii="Arial" w:hAnsi="Arial"/>
      <w:b/>
      <w:bCs/>
      <w:sz w:val="30"/>
      <w:szCs w:val="32"/>
    </w:rPr>
  </w:style>
  <w:style w:type="paragraph" w:styleId="5">
    <w:name w:val="heading 3"/>
    <w:basedOn w:val="1"/>
    <w:next w:val="1"/>
    <w:link w:val="113"/>
    <w:qFormat/>
    <w:uiPriority w:val="0"/>
    <w:pPr>
      <w:keepNext/>
      <w:keepLines/>
      <w:adjustRightInd w:val="0"/>
      <w:spacing w:before="260" w:after="260"/>
      <w:jc w:val="left"/>
      <w:textAlignment w:val="baseline"/>
      <w:outlineLvl w:val="2"/>
    </w:pPr>
    <w:rPr>
      <w:rFonts w:eastAsia="黑体"/>
      <w:bCs/>
      <w:kern w:val="0"/>
      <w:sz w:val="24"/>
      <w:szCs w:val="32"/>
      <w:lang w:val="en-GB"/>
    </w:rPr>
  </w:style>
  <w:style w:type="paragraph" w:styleId="6">
    <w:name w:val="heading 4"/>
    <w:basedOn w:val="1"/>
    <w:next w:val="1"/>
    <w:link w:val="114"/>
    <w:qFormat/>
    <w:uiPriority w:val="9"/>
    <w:pPr>
      <w:keepNext/>
      <w:keepLines/>
      <w:spacing w:line="480" w:lineRule="exact"/>
      <w:outlineLvl w:val="3"/>
    </w:pPr>
    <w:rPr>
      <w:rFonts w:eastAsia="黑体"/>
      <w:bCs/>
      <w:sz w:val="24"/>
      <w:szCs w:val="28"/>
    </w:rPr>
  </w:style>
  <w:style w:type="paragraph" w:styleId="7">
    <w:name w:val="heading 5"/>
    <w:basedOn w:val="1"/>
    <w:next w:val="1"/>
    <w:link w:val="141"/>
    <w:qFormat/>
    <w:uiPriority w:val="9"/>
    <w:pPr>
      <w:keepNext/>
      <w:keepLines/>
      <w:adjustRightInd w:val="0"/>
      <w:spacing w:before="280" w:after="290" w:line="376" w:lineRule="atLeast"/>
      <w:textAlignment w:val="baseline"/>
      <w:outlineLvl w:val="4"/>
    </w:pPr>
    <w:rPr>
      <w:kern w:val="0"/>
      <w:position w:val="16"/>
      <w:sz w:val="24"/>
      <w:szCs w:val="20"/>
    </w:rPr>
  </w:style>
  <w:style w:type="paragraph" w:styleId="8">
    <w:name w:val="heading 6"/>
    <w:basedOn w:val="1"/>
    <w:next w:val="1"/>
    <w:link w:val="142"/>
    <w:qFormat/>
    <w:uiPriority w:val="0"/>
    <w:pPr>
      <w:keepNext/>
      <w:keepLines/>
      <w:adjustRightInd w:val="0"/>
      <w:spacing w:before="240" w:after="64" w:line="320" w:lineRule="atLeast"/>
      <w:ind w:left="2550" w:hanging="425"/>
      <w:textAlignment w:val="baseline"/>
      <w:outlineLvl w:val="5"/>
    </w:pPr>
    <w:rPr>
      <w:rFonts w:ascii="Arial" w:hAnsi="Arial" w:eastAsia="黑体"/>
      <w:b/>
      <w:kern w:val="0"/>
      <w:position w:val="16"/>
      <w:sz w:val="24"/>
      <w:szCs w:val="20"/>
    </w:rPr>
  </w:style>
  <w:style w:type="paragraph" w:styleId="9">
    <w:name w:val="heading 7"/>
    <w:basedOn w:val="1"/>
    <w:next w:val="1"/>
    <w:link w:val="143"/>
    <w:qFormat/>
    <w:uiPriority w:val="0"/>
    <w:pPr>
      <w:keepNext/>
      <w:keepLines/>
      <w:adjustRightInd w:val="0"/>
      <w:spacing w:before="240" w:after="64" w:line="320" w:lineRule="atLeast"/>
      <w:ind w:left="2975" w:hanging="425"/>
      <w:textAlignment w:val="baseline"/>
      <w:outlineLvl w:val="6"/>
    </w:pPr>
    <w:rPr>
      <w:rFonts w:ascii="Univers (W1)" w:hAnsi="Univers (W1)"/>
      <w:b/>
      <w:kern w:val="0"/>
      <w:position w:val="16"/>
      <w:sz w:val="24"/>
      <w:szCs w:val="20"/>
    </w:rPr>
  </w:style>
  <w:style w:type="paragraph" w:styleId="10">
    <w:name w:val="heading 8"/>
    <w:basedOn w:val="1"/>
    <w:next w:val="1"/>
    <w:link w:val="144"/>
    <w:qFormat/>
    <w:uiPriority w:val="0"/>
    <w:pPr>
      <w:keepNext/>
      <w:keepLines/>
      <w:adjustRightInd w:val="0"/>
      <w:spacing w:before="240" w:after="64" w:line="320" w:lineRule="atLeast"/>
      <w:ind w:left="3400" w:hanging="425"/>
      <w:textAlignment w:val="baseline"/>
      <w:outlineLvl w:val="7"/>
    </w:pPr>
    <w:rPr>
      <w:rFonts w:ascii="Arial" w:hAnsi="Arial" w:eastAsia="黑体"/>
      <w:kern w:val="0"/>
      <w:position w:val="16"/>
      <w:sz w:val="24"/>
      <w:szCs w:val="20"/>
    </w:rPr>
  </w:style>
  <w:style w:type="paragraph" w:styleId="11">
    <w:name w:val="heading 9"/>
    <w:basedOn w:val="1"/>
    <w:next w:val="1"/>
    <w:link w:val="145"/>
    <w:qFormat/>
    <w:uiPriority w:val="0"/>
    <w:pPr>
      <w:keepNext/>
      <w:keepLines/>
      <w:adjustRightInd w:val="0"/>
      <w:spacing w:before="240" w:after="64" w:line="320" w:lineRule="atLeast"/>
      <w:ind w:left="3825" w:hanging="425"/>
      <w:textAlignment w:val="baseline"/>
      <w:outlineLvl w:val="8"/>
    </w:pPr>
    <w:rPr>
      <w:rFonts w:ascii="Arial" w:hAnsi="Arial" w:eastAsia="黑体"/>
      <w:kern w:val="0"/>
      <w:position w:val="16"/>
      <w:szCs w:val="20"/>
      <w:lang w:val="en-GB"/>
    </w:rPr>
  </w:style>
  <w:style w:type="character" w:default="1" w:styleId="93">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46"/>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after="120"/>
      <w:textAlignment w:val="baseline"/>
    </w:pPr>
    <w:rPr>
      <w:rFonts w:ascii="Courier New" w:hAnsi="Courier New" w:eastAsia="宋体" w:cs="Times New Roman"/>
      <w:sz w:val="24"/>
      <w:szCs w:val="24"/>
      <w:lang w:val="en-US" w:eastAsia="zh-CN" w:bidi="ar-SA"/>
    </w:rPr>
  </w:style>
  <w:style w:type="paragraph" w:styleId="12">
    <w:name w:val="List 3"/>
    <w:basedOn w:val="1"/>
    <w:qFormat/>
    <w:uiPriority w:val="0"/>
    <w:pPr>
      <w:ind w:left="100" w:leftChars="400" w:hanging="200" w:hangingChars="200"/>
    </w:pPr>
  </w:style>
  <w:style w:type="paragraph" w:styleId="13">
    <w:name w:val="toc 7"/>
    <w:basedOn w:val="1"/>
    <w:next w:val="1"/>
    <w:qFormat/>
    <w:uiPriority w:val="39"/>
    <w:pPr>
      <w:ind w:left="1260"/>
      <w:jc w:val="left"/>
    </w:pPr>
    <w:rPr>
      <w:rFonts w:ascii="Calibri" w:hAnsi="Calibri" w:cs="Calibri"/>
      <w:sz w:val="20"/>
      <w:szCs w:val="20"/>
    </w:rPr>
  </w:style>
  <w:style w:type="paragraph" w:styleId="14">
    <w:name w:val="List Number 2"/>
    <w:basedOn w:val="1"/>
    <w:qFormat/>
    <w:uiPriority w:val="0"/>
    <w:pPr>
      <w:tabs>
        <w:tab w:val="left" w:pos="360"/>
        <w:tab w:val="left" w:pos="1305"/>
      </w:tabs>
      <w:ind w:left="1305" w:hanging="720"/>
    </w:pPr>
  </w:style>
  <w:style w:type="paragraph" w:styleId="15">
    <w:name w:val="table of authorities"/>
    <w:basedOn w:val="1"/>
    <w:next w:val="1"/>
    <w:qFormat/>
    <w:uiPriority w:val="0"/>
    <w:pPr>
      <w:autoSpaceDE w:val="0"/>
      <w:autoSpaceDN w:val="0"/>
      <w:adjustRightInd w:val="0"/>
      <w:spacing w:after="120" w:line="440" w:lineRule="atLeast"/>
      <w:ind w:left="420" w:leftChars="200"/>
      <w:jc w:val="left"/>
      <w:textAlignment w:val="baseline"/>
    </w:pPr>
    <w:rPr>
      <w:kern w:val="0"/>
      <w:sz w:val="28"/>
      <w:szCs w:val="20"/>
    </w:rPr>
  </w:style>
  <w:style w:type="paragraph" w:styleId="16">
    <w:name w:val="Note Heading"/>
    <w:basedOn w:val="1"/>
    <w:next w:val="1"/>
    <w:link w:val="147"/>
    <w:qFormat/>
    <w:uiPriority w:val="0"/>
    <w:pPr>
      <w:jc w:val="center"/>
    </w:pPr>
  </w:style>
  <w:style w:type="paragraph" w:styleId="17">
    <w:name w:val="List Bullet 4"/>
    <w:basedOn w:val="1"/>
    <w:qFormat/>
    <w:uiPriority w:val="0"/>
    <w:pPr>
      <w:tabs>
        <w:tab w:val="left" w:pos="225"/>
        <w:tab w:val="left" w:pos="612"/>
      </w:tabs>
      <w:ind w:left="612" w:hanging="432"/>
    </w:pPr>
  </w:style>
  <w:style w:type="paragraph" w:styleId="18">
    <w:name w:val="index 8"/>
    <w:basedOn w:val="1"/>
    <w:next w:val="1"/>
    <w:qFormat/>
    <w:uiPriority w:val="0"/>
    <w:pPr>
      <w:autoSpaceDE w:val="0"/>
      <w:autoSpaceDN w:val="0"/>
      <w:adjustRightInd w:val="0"/>
      <w:spacing w:after="120" w:line="440" w:lineRule="atLeast"/>
      <w:ind w:left="1400" w:leftChars="1400"/>
      <w:jc w:val="left"/>
      <w:textAlignment w:val="baseline"/>
    </w:pPr>
    <w:rPr>
      <w:kern w:val="0"/>
      <w:sz w:val="28"/>
      <w:szCs w:val="20"/>
    </w:rPr>
  </w:style>
  <w:style w:type="paragraph" w:styleId="19">
    <w:name w:val="E-mail Signature"/>
    <w:basedOn w:val="1"/>
    <w:link w:val="148"/>
    <w:qFormat/>
    <w:uiPriority w:val="0"/>
  </w:style>
  <w:style w:type="paragraph" w:styleId="20">
    <w:name w:val="List Number"/>
    <w:basedOn w:val="1"/>
    <w:qFormat/>
    <w:uiPriority w:val="0"/>
    <w:pPr>
      <w:tabs>
        <w:tab w:val="left" w:pos="1305"/>
      </w:tabs>
      <w:ind w:left="1305" w:hanging="720"/>
    </w:pPr>
  </w:style>
  <w:style w:type="paragraph" w:styleId="21">
    <w:name w:val="Normal Indent"/>
    <w:basedOn w:val="1"/>
    <w:link w:val="1000"/>
    <w:qFormat/>
    <w:uiPriority w:val="0"/>
    <w:pPr>
      <w:ind w:firstLine="420"/>
    </w:pPr>
    <w:rPr>
      <w:szCs w:val="21"/>
    </w:rPr>
  </w:style>
  <w:style w:type="paragraph" w:styleId="22">
    <w:name w:val="caption"/>
    <w:basedOn w:val="1"/>
    <w:next w:val="1"/>
    <w:qFormat/>
    <w:uiPriority w:val="0"/>
    <w:pPr>
      <w:spacing w:line="360" w:lineRule="auto"/>
    </w:pPr>
    <w:rPr>
      <w:rFonts w:ascii="Arial" w:hAnsi="Arial" w:eastAsia="黑体" w:cs="Arial"/>
      <w:sz w:val="20"/>
      <w:szCs w:val="20"/>
    </w:rPr>
  </w:style>
  <w:style w:type="paragraph" w:styleId="23">
    <w:name w:val="index 5"/>
    <w:basedOn w:val="1"/>
    <w:next w:val="1"/>
    <w:qFormat/>
    <w:uiPriority w:val="0"/>
    <w:pPr>
      <w:autoSpaceDE w:val="0"/>
      <w:autoSpaceDN w:val="0"/>
      <w:adjustRightInd w:val="0"/>
      <w:spacing w:after="120" w:line="440" w:lineRule="atLeast"/>
      <w:ind w:left="800" w:leftChars="800"/>
      <w:jc w:val="left"/>
      <w:textAlignment w:val="baseline"/>
    </w:pPr>
    <w:rPr>
      <w:kern w:val="0"/>
      <w:sz w:val="28"/>
      <w:szCs w:val="20"/>
    </w:rPr>
  </w:style>
  <w:style w:type="paragraph" w:styleId="24">
    <w:name w:val="List Bullet"/>
    <w:basedOn w:val="1"/>
    <w:qFormat/>
    <w:uiPriority w:val="0"/>
    <w:pPr>
      <w:tabs>
        <w:tab w:val="left" w:pos="425"/>
        <w:tab w:val="left" w:pos="767"/>
      </w:tabs>
      <w:ind w:left="425" w:hanging="425"/>
    </w:pPr>
  </w:style>
  <w:style w:type="paragraph" w:styleId="25">
    <w:name w:val="envelope address"/>
    <w:basedOn w:val="1"/>
    <w:qFormat/>
    <w:uiPriority w:val="0"/>
    <w:pPr>
      <w:framePr w:w="7920" w:h="1980" w:hRule="exact" w:hSpace="180" w:wrap="around" w:vAnchor="margin" w:hAnchor="page" w:xAlign="center" w:yAlign="bottom"/>
      <w:tabs>
        <w:tab w:val="left" w:pos="720"/>
        <w:tab w:val="left" w:pos="1140"/>
      </w:tabs>
      <w:snapToGrid w:val="0"/>
      <w:ind w:left="100" w:leftChars="1400"/>
    </w:pPr>
    <w:rPr>
      <w:rFonts w:ascii="Arial" w:hAnsi="Arial" w:cs="Arial"/>
      <w:sz w:val="24"/>
    </w:rPr>
  </w:style>
  <w:style w:type="paragraph" w:styleId="26">
    <w:name w:val="Document Map"/>
    <w:basedOn w:val="1"/>
    <w:link w:val="130"/>
    <w:qFormat/>
    <w:uiPriority w:val="0"/>
    <w:pPr>
      <w:shd w:val="clear" w:color="auto" w:fill="000080"/>
    </w:pPr>
  </w:style>
  <w:style w:type="paragraph" w:styleId="27">
    <w:name w:val="toa heading"/>
    <w:basedOn w:val="1"/>
    <w:next w:val="1"/>
    <w:qFormat/>
    <w:uiPriority w:val="0"/>
    <w:pPr>
      <w:autoSpaceDE w:val="0"/>
      <w:autoSpaceDN w:val="0"/>
      <w:adjustRightInd w:val="0"/>
      <w:spacing w:before="120" w:after="120" w:line="440" w:lineRule="atLeast"/>
      <w:jc w:val="left"/>
      <w:textAlignment w:val="baseline"/>
    </w:pPr>
    <w:rPr>
      <w:rFonts w:ascii="Arial" w:hAnsi="Arial"/>
      <w:kern w:val="0"/>
      <w:sz w:val="24"/>
    </w:rPr>
  </w:style>
  <w:style w:type="paragraph" w:styleId="28">
    <w:name w:val="annotation text"/>
    <w:basedOn w:val="1"/>
    <w:link w:val="129"/>
    <w:qFormat/>
    <w:uiPriority w:val="99"/>
    <w:pPr>
      <w:jc w:val="left"/>
    </w:pPr>
  </w:style>
  <w:style w:type="paragraph" w:styleId="29">
    <w:name w:val="index 6"/>
    <w:basedOn w:val="1"/>
    <w:next w:val="1"/>
    <w:qFormat/>
    <w:uiPriority w:val="0"/>
    <w:pPr>
      <w:autoSpaceDE w:val="0"/>
      <w:autoSpaceDN w:val="0"/>
      <w:adjustRightInd w:val="0"/>
      <w:spacing w:after="120" w:line="440" w:lineRule="atLeast"/>
      <w:ind w:left="1000" w:leftChars="1000"/>
      <w:jc w:val="left"/>
      <w:textAlignment w:val="baseline"/>
    </w:pPr>
    <w:rPr>
      <w:kern w:val="0"/>
      <w:sz w:val="28"/>
      <w:szCs w:val="20"/>
    </w:rPr>
  </w:style>
  <w:style w:type="paragraph" w:styleId="30">
    <w:name w:val="Salutation"/>
    <w:basedOn w:val="1"/>
    <w:next w:val="1"/>
    <w:link w:val="149"/>
    <w:qFormat/>
    <w:uiPriority w:val="0"/>
    <w:pPr>
      <w:autoSpaceDE w:val="0"/>
      <w:autoSpaceDN w:val="0"/>
      <w:adjustRightInd w:val="0"/>
      <w:spacing w:line="360" w:lineRule="auto"/>
      <w:ind w:left="140" w:firstLine="560" w:firstLineChars="200"/>
      <w:jc w:val="left"/>
    </w:pPr>
    <w:rPr>
      <w:rFonts w:ascii="宋体" w:hAnsi="宋体"/>
      <w:kern w:val="0"/>
      <w:sz w:val="28"/>
      <w:szCs w:val="22"/>
    </w:rPr>
  </w:style>
  <w:style w:type="paragraph" w:styleId="31">
    <w:name w:val="Body Text 3"/>
    <w:basedOn w:val="1"/>
    <w:link w:val="150"/>
    <w:qFormat/>
    <w:uiPriority w:val="0"/>
    <w:pPr>
      <w:snapToGrid w:val="0"/>
      <w:spacing w:line="240" w:lineRule="atLeast"/>
      <w:jc w:val="left"/>
      <w:outlineLvl w:val="0"/>
    </w:pPr>
    <w:rPr>
      <w:sz w:val="28"/>
    </w:rPr>
  </w:style>
  <w:style w:type="paragraph" w:styleId="32">
    <w:name w:val="Closing"/>
    <w:basedOn w:val="1"/>
    <w:link w:val="151"/>
    <w:qFormat/>
    <w:uiPriority w:val="0"/>
    <w:pPr>
      <w:ind w:left="100" w:leftChars="2100"/>
    </w:pPr>
  </w:style>
  <w:style w:type="paragraph" w:styleId="33">
    <w:name w:val="List Bullet 3"/>
    <w:basedOn w:val="1"/>
    <w:qFormat/>
    <w:uiPriority w:val="0"/>
    <w:pPr>
      <w:tabs>
        <w:tab w:val="left" w:pos="225"/>
        <w:tab w:val="left" w:pos="1305"/>
      </w:tabs>
      <w:ind w:left="1305" w:hanging="720"/>
    </w:pPr>
  </w:style>
  <w:style w:type="paragraph" w:styleId="34">
    <w:name w:val="Body Text"/>
    <w:basedOn w:val="1"/>
    <w:link w:val="117"/>
    <w:qFormat/>
    <w:uiPriority w:val="0"/>
    <w:pPr>
      <w:spacing w:after="120"/>
    </w:pPr>
    <w:rPr>
      <w:rFonts w:asciiTheme="minorHAnsi" w:hAnsiTheme="minorHAnsi" w:eastAsiaTheme="minorEastAsia" w:cstheme="minorBidi"/>
    </w:rPr>
  </w:style>
  <w:style w:type="paragraph" w:styleId="35">
    <w:name w:val="Body Text Indent"/>
    <w:basedOn w:val="1"/>
    <w:link w:val="131"/>
    <w:qFormat/>
    <w:uiPriority w:val="0"/>
    <w:pPr>
      <w:spacing w:line="312" w:lineRule="auto"/>
      <w:ind w:firstLine="538" w:firstLineChars="192"/>
    </w:pPr>
    <w:rPr>
      <w:sz w:val="28"/>
    </w:rPr>
  </w:style>
  <w:style w:type="paragraph" w:styleId="36">
    <w:name w:val="List Number 3"/>
    <w:basedOn w:val="1"/>
    <w:qFormat/>
    <w:uiPriority w:val="0"/>
    <w:pPr>
      <w:tabs>
        <w:tab w:val="left" w:pos="420"/>
        <w:tab w:val="left" w:pos="1140"/>
      </w:tabs>
      <w:ind w:left="420" w:hanging="420"/>
    </w:pPr>
  </w:style>
  <w:style w:type="paragraph" w:styleId="37">
    <w:name w:val="List 2"/>
    <w:basedOn w:val="1"/>
    <w:qFormat/>
    <w:uiPriority w:val="0"/>
    <w:pPr>
      <w:widowControl/>
      <w:suppressAutoHyphens/>
      <w:ind w:left="100" w:leftChars="200" w:hanging="200" w:hangingChars="200"/>
    </w:pPr>
    <w:rPr>
      <w:sz w:val="28"/>
      <w:szCs w:val="20"/>
    </w:rPr>
  </w:style>
  <w:style w:type="paragraph" w:styleId="38">
    <w:name w:val="List Continue"/>
    <w:basedOn w:val="1"/>
    <w:qFormat/>
    <w:uiPriority w:val="0"/>
    <w:pPr>
      <w:adjustRightInd w:val="0"/>
      <w:spacing w:after="120" w:line="312" w:lineRule="auto"/>
      <w:ind w:left="420"/>
      <w:textAlignment w:val="baseline"/>
    </w:pPr>
    <w:rPr>
      <w:kern w:val="0"/>
      <w:sz w:val="24"/>
      <w:szCs w:val="20"/>
    </w:rPr>
  </w:style>
  <w:style w:type="paragraph" w:styleId="39">
    <w:name w:val="Block Text"/>
    <w:basedOn w:val="1"/>
    <w:qFormat/>
    <w:uiPriority w:val="0"/>
    <w:pPr>
      <w:spacing w:line="360" w:lineRule="auto"/>
      <w:ind w:left="-135" w:right="-1054" w:firstLine="675"/>
      <w:jc w:val="left"/>
    </w:pPr>
    <w:rPr>
      <w:sz w:val="28"/>
      <w:szCs w:val="20"/>
    </w:rPr>
  </w:style>
  <w:style w:type="paragraph" w:styleId="40">
    <w:name w:val="List Bullet 2"/>
    <w:basedOn w:val="1"/>
    <w:qFormat/>
    <w:uiPriority w:val="0"/>
    <w:pPr>
      <w:tabs>
        <w:tab w:val="left" w:pos="767"/>
        <w:tab w:val="left" w:pos="810"/>
      </w:tabs>
      <w:ind w:left="810" w:hanging="390"/>
    </w:pPr>
  </w:style>
  <w:style w:type="paragraph" w:styleId="41">
    <w:name w:val="HTML Address"/>
    <w:basedOn w:val="1"/>
    <w:link w:val="152"/>
    <w:qFormat/>
    <w:uiPriority w:val="0"/>
    <w:rPr>
      <w:i/>
      <w:iCs/>
    </w:rPr>
  </w:style>
  <w:style w:type="paragraph" w:styleId="42">
    <w:name w:val="index 4"/>
    <w:basedOn w:val="1"/>
    <w:next w:val="1"/>
    <w:qFormat/>
    <w:uiPriority w:val="0"/>
    <w:pPr>
      <w:autoSpaceDE w:val="0"/>
      <w:autoSpaceDN w:val="0"/>
      <w:adjustRightInd w:val="0"/>
      <w:spacing w:after="120" w:line="440" w:lineRule="atLeast"/>
      <w:ind w:left="600" w:leftChars="600"/>
      <w:jc w:val="left"/>
      <w:textAlignment w:val="baseline"/>
    </w:pPr>
    <w:rPr>
      <w:kern w:val="0"/>
      <w:sz w:val="28"/>
      <w:szCs w:val="20"/>
    </w:rPr>
  </w:style>
  <w:style w:type="paragraph" w:styleId="43">
    <w:name w:val="toc 5"/>
    <w:basedOn w:val="1"/>
    <w:next w:val="1"/>
    <w:qFormat/>
    <w:uiPriority w:val="39"/>
    <w:pPr>
      <w:ind w:left="840"/>
      <w:jc w:val="left"/>
    </w:pPr>
    <w:rPr>
      <w:rFonts w:ascii="Calibri" w:hAnsi="Calibri" w:cs="Calibri"/>
      <w:sz w:val="20"/>
      <w:szCs w:val="20"/>
    </w:rPr>
  </w:style>
  <w:style w:type="paragraph" w:styleId="44">
    <w:name w:val="toc 3"/>
    <w:basedOn w:val="1"/>
    <w:next w:val="1"/>
    <w:qFormat/>
    <w:uiPriority w:val="39"/>
    <w:pPr>
      <w:ind w:left="420"/>
      <w:jc w:val="left"/>
    </w:pPr>
    <w:rPr>
      <w:rFonts w:ascii="Calibri" w:hAnsi="Calibri" w:cs="Calibri"/>
      <w:sz w:val="24"/>
      <w:szCs w:val="20"/>
    </w:rPr>
  </w:style>
  <w:style w:type="paragraph" w:styleId="45">
    <w:name w:val="Plain Text"/>
    <w:basedOn w:val="1"/>
    <w:link w:val="134"/>
    <w:qFormat/>
    <w:uiPriority w:val="0"/>
    <w:rPr>
      <w:rFonts w:ascii="宋体" w:hAnsi="Courier New"/>
      <w:szCs w:val="20"/>
    </w:rPr>
  </w:style>
  <w:style w:type="paragraph" w:styleId="46">
    <w:name w:val="List Bullet 5"/>
    <w:basedOn w:val="1"/>
    <w:qFormat/>
    <w:uiPriority w:val="0"/>
    <w:pPr>
      <w:tabs>
        <w:tab w:val="left" w:pos="840"/>
        <w:tab w:val="left" w:pos="1275"/>
      </w:tabs>
      <w:ind w:left="840" w:hanging="420"/>
    </w:pPr>
  </w:style>
  <w:style w:type="paragraph" w:styleId="47">
    <w:name w:val="List Number 4"/>
    <w:basedOn w:val="1"/>
    <w:qFormat/>
    <w:uiPriority w:val="0"/>
    <w:pPr>
      <w:tabs>
        <w:tab w:val="left" w:pos="360"/>
      </w:tabs>
      <w:ind w:left="360" w:hanging="360"/>
    </w:pPr>
  </w:style>
  <w:style w:type="paragraph" w:styleId="48">
    <w:name w:val="toc 8"/>
    <w:basedOn w:val="1"/>
    <w:next w:val="1"/>
    <w:qFormat/>
    <w:uiPriority w:val="39"/>
    <w:pPr>
      <w:ind w:left="1470"/>
      <w:jc w:val="left"/>
    </w:pPr>
    <w:rPr>
      <w:rFonts w:ascii="Calibri" w:hAnsi="Calibri" w:cs="Calibri"/>
      <w:sz w:val="20"/>
      <w:szCs w:val="20"/>
    </w:rPr>
  </w:style>
  <w:style w:type="paragraph" w:styleId="49">
    <w:name w:val="index 3"/>
    <w:basedOn w:val="1"/>
    <w:next w:val="1"/>
    <w:qFormat/>
    <w:uiPriority w:val="0"/>
    <w:pPr>
      <w:autoSpaceDE w:val="0"/>
      <w:autoSpaceDN w:val="0"/>
      <w:adjustRightInd w:val="0"/>
      <w:spacing w:after="120" w:line="440" w:lineRule="atLeast"/>
      <w:ind w:left="400" w:leftChars="400"/>
      <w:jc w:val="left"/>
      <w:textAlignment w:val="baseline"/>
    </w:pPr>
    <w:rPr>
      <w:kern w:val="0"/>
      <w:sz w:val="28"/>
      <w:szCs w:val="20"/>
    </w:rPr>
  </w:style>
  <w:style w:type="paragraph" w:styleId="50">
    <w:name w:val="Date"/>
    <w:basedOn w:val="1"/>
    <w:next w:val="1"/>
    <w:link w:val="136"/>
    <w:qFormat/>
    <w:uiPriority w:val="0"/>
    <w:pPr>
      <w:adjustRightInd w:val="0"/>
      <w:spacing w:line="360" w:lineRule="atLeast"/>
      <w:jc w:val="right"/>
      <w:textAlignment w:val="baseline"/>
    </w:pPr>
    <w:rPr>
      <w:rFonts w:ascii="黑体" w:eastAsia="黑体"/>
      <w:kern w:val="0"/>
      <w:sz w:val="24"/>
    </w:rPr>
  </w:style>
  <w:style w:type="paragraph" w:styleId="51">
    <w:name w:val="Body Text Indent 2"/>
    <w:basedOn w:val="1"/>
    <w:link w:val="153"/>
    <w:qFormat/>
    <w:uiPriority w:val="0"/>
    <w:pPr>
      <w:autoSpaceDE w:val="0"/>
      <w:autoSpaceDN w:val="0"/>
      <w:adjustRightInd w:val="0"/>
      <w:spacing w:before="120" w:beforeLines="50"/>
      <w:ind w:firstLine="600"/>
      <w:textAlignment w:val="bottom"/>
    </w:pPr>
    <w:rPr>
      <w:kern w:val="0"/>
      <w:sz w:val="24"/>
      <w:szCs w:val="20"/>
      <w:lang w:val="en-GB"/>
    </w:rPr>
  </w:style>
  <w:style w:type="paragraph" w:styleId="52">
    <w:name w:val="endnote text"/>
    <w:basedOn w:val="1"/>
    <w:link w:val="154"/>
    <w:qFormat/>
    <w:uiPriority w:val="0"/>
    <w:pPr>
      <w:autoSpaceDE w:val="0"/>
      <w:autoSpaceDN w:val="0"/>
      <w:adjustRightInd w:val="0"/>
      <w:snapToGrid w:val="0"/>
      <w:spacing w:after="120" w:line="440" w:lineRule="atLeast"/>
      <w:jc w:val="left"/>
      <w:textAlignment w:val="baseline"/>
    </w:pPr>
    <w:rPr>
      <w:kern w:val="0"/>
      <w:sz w:val="28"/>
      <w:szCs w:val="20"/>
    </w:rPr>
  </w:style>
  <w:style w:type="paragraph" w:styleId="53">
    <w:name w:val="List Continue 5"/>
    <w:basedOn w:val="1"/>
    <w:qFormat/>
    <w:uiPriority w:val="0"/>
    <w:pPr>
      <w:spacing w:after="120"/>
      <w:ind w:left="2100" w:leftChars="1000"/>
    </w:pPr>
  </w:style>
  <w:style w:type="paragraph" w:styleId="54">
    <w:name w:val="Balloon Text"/>
    <w:basedOn w:val="1"/>
    <w:link w:val="135"/>
    <w:qFormat/>
    <w:uiPriority w:val="99"/>
    <w:rPr>
      <w:sz w:val="18"/>
      <w:szCs w:val="18"/>
    </w:rPr>
  </w:style>
  <w:style w:type="paragraph" w:styleId="55">
    <w:name w:val="footer"/>
    <w:basedOn w:val="1"/>
    <w:link w:val="115"/>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6">
    <w:name w:val="envelope return"/>
    <w:basedOn w:val="1"/>
    <w:qFormat/>
    <w:uiPriority w:val="0"/>
    <w:pPr>
      <w:tabs>
        <w:tab w:val="left" w:pos="420"/>
        <w:tab w:val="left" w:pos="480"/>
      </w:tabs>
      <w:snapToGrid w:val="0"/>
    </w:pPr>
    <w:rPr>
      <w:rFonts w:ascii="Arial" w:hAnsi="Arial" w:cs="Arial"/>
    </w:rPr>
  </w:style>
  <w:style w:type="paragraph" w:styleId="57">
    <w:name w:val="header"/>
    <w:basedOn w:val="1"/>
    <w:link w:val="118"/>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58">
    <w:name w:val="Signature"/>
    <w:basedOn w:val="1"/>
    <w:link w:val="155"/>
    <w:qFormat/>
    <w:uiPriority w:val="0"/>
    <w:pPr>
      <w:ind w:left="100" w:leftChars="2100"/>
    </w:pPr>
  </w:style>
  <w:style w:type="paragraph" w:styleId="59">
    <w:name w:val="toc 1"/>
    <w:basedOn w:val="1"/>
    <w:next w:val="1"/>
    <w:qFormat/>
    <w:uiPriority w:val="39"/>
    <w:pPr>
      <w:tabs>
        <w:tab w:val="right" w:leader="dot" w:pos="8324"/>
      </w:tabs>
      <w:spacing w:before="240" w:after="120"/>
      <w:jc w:val="left"/>
    </w:pPr>
    <w:rPr>
      <w:rFonts w:ascii="Calibri" w:hAnsi="Calibri" w:cs="Calibri"/>
      <w:b/>
      <w:bCs/>
      <w:sz w:val="32"/>
      <w:szCs w:val="20"/>
    </w:rPr>
  </w:style>
  <w:style w:type="paragraph" w:styleId="60">
    <w:name w:val="List Continue 4"/>
    <w:basedOn w:val="1"/>
    <w:qFormat/>
    <w:uiPriority w:val="0"/>
    <w:pPr>
      <w:spacing w:after="120"/>
      <w:ind w:left="1680" w:leftChars="800"/>
    </w:pPr>
  </w:style>
  <w:style w:type="paragraph" w:styleId="61">
    <w:name w:val="toc 4"/>
    <w:basedOn w:val="1"/>
    <w:next w:val="1"/>
    <w:qFormat/>
    <w:uiPriority w:val="39"/>
    <w:pPr>
      <w:ind w:left="630"/>
      <w:jc w:val="left"/>
    </w:pPr>
    <w:rPr>
      <w:rFonts w:ascii="Calibri" w:hAnsi="Calibri" w:cs="Calibri"/>
      <w:sz w:val="20"/>
      <w:szCs w:val="20"/>
    </w:rPr>
  </w:style>
  <w:style w:type="paragraph" w:styleId="62">
    <w:name w:val="index heading"/>
    <w:basedOn w:val="1"/>
    <w:next w:val="63"/>
    <w:qFormat/>
    <w:uiPriority w:val="99"/>
    <w:pPr>
      <w:autoSpaceDE w:val="0"/>
      <w:autoSpaceDN w:val="0"/>
      <w:adjustRightInd w:val="0"/>
      <w:spacing w:after="120" w:line="440" w:lineRule="atLeast"/>
      <w:jc w:val="left"/>
      <w:textAlignment w:val="baseline"/>
    </w:pPr>
    <w:rPr>
      <w:rFonts w:ascii="Arial" w:hAnsi="Arial"/>
      <w:b/>
      <w:bCs/>
      <w:kern w:val="0"/>
      <w:sz w:val="28"/>
      <w:szCs w:val="20"/>
    </w:rPr>
  </w:style>
  <w:style w:type="paragraph" w:styleId="63">
    <w:name w:val="index 1"/>
    <w:basedOn w:val="1"/>
    <w:next w:val="1"/>
    <w:unhideWhenUsed/>
    <w:qFormat/>
    <w:uiPriority w:val="0"/>
  </w:style>
  <w:style w:type="paragraph" w:styleId="64">
    <w:name w:val="Subtitle"/>
    <w:basedOn w:val="1"/>
    <w:next w:val="1"/>
    <w:link w:val="156"/>
    <w:qFormat/>
    <w:uiPriority w:val="0"/>
    <w:pPr>
      <w:autoSpaceDE w:val="0"/>
      <w:autoSpaceDN w:val="0"/>
      <w:adjustRightInd w:val="0"/>
      <w:snapToGrid w:val="0"/>
      <w:spacing w:line="480" w:lineRule="atLeast"/>
      <w:jc w:val="left"/>
      <w:outlineLvl w:val="2"/>
    </w:pPr>
    <w:rPr>
      <w:b/>
      <w:bCs/>
      <w:color w:val="FF0000"/>
      <w:kern w:val="28"/>
      <w:sz w:val="24"/>
      <w:szCs w:val="32"/>
    </w:rPr>
  </w:style>
  <w:style w:type="paragraph" w:styleId="65">
    <w:name w:val="List Number 5"/>
    <w:basedOn w:val="1"/>
    <w:qFormat/>
    <w:uiPriority w:val="0"/>
    <w:pPr>
      <w:tabs>
        <w:tab w:val="left" w:pos="720"/>
        <w:tab w:val="left" w:pos="1305"/>
      </w:tabs>
      <w:ind w:left="1305" w:hanging="720"/>
    </w:pPr>
  </w:style>
  <w:style w:type="paragraph" w:styleId="66">
    <w:name w:val="List"/>
    <w:basedOn w:val="1"/>
    <w:qFormat/>
    <w:uiPriority w:val="0"/>
    <w:pPr>
      <w:spacing w:line="360" w:lineRule="auto"/>
      <w:ind w:left="200" w:hanging="200" w:hangingChars="200"/>
      <w:jc w:val="left"/>
    </w:pPr>
    <w:rPr>
      <w:sz w:val="24"/>
    </w:rPr>
  </w:style>
  <w:style w:type="paragraph" w:styleId="67">
    <w:name w:val="footnote text"/>
    <w:basedOn w:val="1"/>
    <w:link w:val="157"/>
    <w:qFormat/>
    <w:uiPriority w:val="0"/>
    <w:pPr>
      <w:snapToGrid w:val="0"/>
      <w:spacing w:line="360" w:lineRule="auto"/>
      <w:jc w:val="left"/>
    </w:pPr>
    <w:rPr>
      <w:sz w:val="18"/>
      <w:szCs w:val="18"/>
    </w:rPr>
  </w:style>
  <w:style w:type="paragraph" w:styleId="68">
    <w:name w:val="toc 6"/>
    <w:basedOn w:val="1"/>
    <w:next w:val="1"/>
    <w:qFormat/>
    <w:uiPriority w:val="39"/>
    <w:pPr>
      <w:ind w:left="1050"/>
      <w:jc w:val="left"/>
    </w:pPr>
    <w:rPr>
      <w:rFonts w:ascii="Calibri" w:hAnsi="Calibri" w:cs="Calibri"/>
      <w:sz w:val="20"/>
      <w:szCs w:val="20"/>
    </w:rPr>
  </w:style>
  <w:style w:type="paragraph" w:styleId="69">
    <w:name w:val="List 5"/>
    <w:basedOn w:val="1"/>
    <w:qFormat/>
    <w:uiPriority w:val="0"/>
    <w:pPr>
      <w:ind w:left="100" w:leftChars="800" w:hanging="200" w:hangingChars="200"/>
    </w:pPr>
  </w:style>
  <w:style w:type="paragraph" w:styleId="70">
    <w:name w:val="Body Text Indent 3"/>
    <w:basedOn w:val="1"/>
    <w:link w:val="116"/>
    <w:qFormat/>
    <w:uiPriority w:val="0"/>
    <w:pPr>
      <w:spacing w:after="120"/>
      <w:ind w:left="420" w:leftChars="200"/>
    </w:pPr>
    <w:rPr>
      <w:rFonts w:asciiTheme="minorHAnsi" w:hAnsiTheme="minorHAnsi" w:eastAsiaTheme="minorEastAsia" w:cstheme="minorBidi"/>
      <w:sz w:val="16"/>
      <w:szCs w:val="16"/>
    </w:rPr>
  </w:style>
  <w:style w:type="paragraph" w:styleId="71">
    <w:name w:val="index 7"/>
    <w:basedOn w:val="1"/>
    <w:next w:val="1"/>
    <w:qFormat/>
    <w:uiPriority w:val="0"/>
    <w:pPr>
      <w:autoSpaceDE w:val="0"/>
      <w:autoSpaceDN w:val="0"/>
      <w:adjustRightInd w:val="0"/>
      <w:spacing w:after="120" w:line="440" w:lineRule="atLeast"/>
      <w:ind w:left="1200" w:leftChars="1200"/>
      <w:jc w:val="left"/>
      <w:textAlignment w:val="baseline"/>
    </w:pPr>
    <w:rPr>
      <w:kern w:val="0"/>
      <w:sz w:val="28"/>
      <w:szCs w:val="20"/>
    </w:rPr>
  </w:style>
  <w:style w:type="paragraph" w:styleId="72">
    <w:name w:val="index 9"/>
    <w:basedOn w:val="1"/>
    <w:next w:val="1"/>
    <w:qFormat/>
    <w:uiPriority w:val="0"/>
    <w:pPr>
      <w:autoSpaceDE w:val="0"/>
      <w:autoSpaceDN w:val="0"/>
      <w:adjustRightInd w:val="0"/>
      <w:spacing w:after="120" w:line="440" w:lineRule="atLeast"/>
      <w:ind w:left="1600" w:leftChars="1600"/>
      <w:jc w:val="left"/>
      <w:textAlignment w:val="baseline"/>
    </w:pPr>
    <w:rPr>
      <w:kern w:val="0"/>
      <w:sz w:val="28"/>
      <w:szCs w:val="20"/>
    </w:rPr>
  </w:style>
  <w:style w:type="paragraph" w:styleId="73">
    <w:name w:val="table of figures"/>
    <w:basedOn w:val="1"/>
    <w:next w:val="1"/>
    <w:qFormat/>
    <w:uiPriority w:val="0"/>
    <w:pPr>
      <w:adjustRightInd w:val="0"/>
      <w:spacing w:line="360" w:lineRule="atLeast"/>
      <w:ind w:left="840" w:leftChars="200" w:hanging="420" w:hangingChars="200"/>
      <w:jc w:val="left"/>
      <w:textAlignment w:val="baseline"/>
    </w:pPr>
    <w:rPr>
      <w:kern w:val="0"/>
      <w:sz w:val="24"/>
      <w:szCs w:val="20"/>
    </w:rPr>
  </w:style>
  <w:style w:type="paragraph" w:styleId="74">
    <w:name w:val="toc 2"/>
    <w:basedOn w:val="1"/>
    <w:next w:val="1"/>
    <w:qFormat/>
    <w:uiPriority w:val="39"/>
    <w:pPr>
      <w:spacing w:before="120"/>
      <w:ind w:left="210"/>
      <w:jc w:val="left"/>
    </w:pPr>
    <w:rPr>
      <w:rFonts w:ascii="Calibri" w:hAnsi="Calibri" w:cs="Calibri"/>
      <w:iCs/>
      <w:sz w:val="24"/>
      <w:szCs w:val="20"/>
    </w:rPr>
  </w:style>
  <w:style w:type="paragraph" w:styleId="75">
    <w:name w:val="toc 9"/>
    <w:basedOn w:val="1"/>
    <w:next w:val="1"/>
    <w:qFormat/>
    <w:uiPriority w:val="39"/>
    <w:pPr>
      <w:ind w:left="1680"/>
      <w:jc w:val="left"/>
    </w:pPr>
    <w:rPr>
      <w:rFonts w:ascii="Calibri" w:hAnsi="Calibri" w:cs="Calibri"/>
      <w:sz w:val="20"/>
      <w:szCs w:val="20"/>
    </w:rPr>
  </w:style>
  <w:style w:type="paragraph" w:styleId="76">
    <w:name w:val="Body Text 2"/>
    <w:basedOn w:val="1"/>
    <w:link w:val="158"/>
    <w:qFormat/>
    <w:uiPriority w:val="0"/>
    <w:pPr>
      <w:adjustRightInd w:val="0"/>
      <w:spacing w:after="120" w:line="480" w:lineRule="auto"/>
      <w:textAlignment w:val="baseline"/>
    </w:pPr>
    <w:rPr>
      <w:kern w:val="0"/>
      <w:sz w:val="24"/>
      <w:szCs w:val="20"/>
      <w:lang w:val="en-GB"/>
    </w:rPr>
  </w:style>
  <w:style w:type="paragraph" w:styleId="77">
    <w:name w:val="List 4"/>
    <w:basedOn w:val="1"/>
    <w:qFormat/>
    <w:uiPriority w:val="0"/>
    <w:pPr>
      <w:ind w:left="100" w:leftChars="600" w:hanging="200" w:hangingChars="200"/>
    </w:pPr>
  </w:style>
  <w:style w:type="paragraph" w:styleId="78">
    <w:name w:val="List Continue 2"/>
    <w:basedOn w:val="1"/>
    <w:qFormat/>
    <w:uiPriority w:val="0"/>
    <w:pPr>
      <w:spacing w:after="120"/>
      <w:ind w:left="840" w:leftChars="400"/>
    </w:pPr>
  </w:style>
  <w:style w:type="paragraph" w:styleId="79">
    <w:name w:val="Message Header"/>
    <w:basedOn w:val="1"/>
    <w:link w:val="159"/>
    <w:qFormat/>
    <w:uiPriority w:val="0"/>
    <w:pPr>
      <w:pBdr>
        <w:top w:val="single" w:color="auto" w:sz="6" w:space="1"/>
        <w:left w:val="single" w:color="auto" w:sz="6" w:space="1"/>
        <w:bottom w:val="single" w:color="auto" w:sz="6" w:space="1"/>
        <w:right w:val="single" w:color="auto" w:sz="6" w:space="1"/>
      </w:pBdr>
      <w:shd w:val="pct20" w:color="auto" w:fill="auto"/>
      <w:adjustRightInd w:val="0"/>
      <w:spacing w:line="400" w:lineRule="atLeast"/>
      <w:ind w:left="1080" w:hanging="1080"/>
      <w:jc w:val="left"/>
      <w:textAlignment w:val="baseline"/>
    </w:pPr>
    <w:rPr>
      <w:rFonts w:ascii="Arial" w:hAnsi="Arial"/>
      <w:kern w:val="0"/>
      <w:sz w:val="24"/>
    </w:rPr>
  </w:style>
  <w:style w:type="paragraph" w:styleId="80">
    <w:name w:val="HTML Preformatted"/>
    <w:basedOn w:val="1"/>
    <w:link w:val="160"/>
    <w:qFormat/>
    <w:uiPriority w:val="0"/>
    <w:rPr>
      <w:rFonts w:ascii="Courier New" w:hAnsi="Courier New"/>
      <w:sz w:val="20"/>
      <w:szCs w:val="20"/>
    </w:rPr>
  </w:style>
  <w:style w:type="paragraph" w:styleId="81">
    <w:name w:val="Normal (Web)"/>
    <w:basedOn w:val="1"/>
    <w:qFormat/>
    <w:uiPriority w:val="0"/>
    <w:pPr>
      <w:widowControl/>
      <w:spacing w:before="100" w:beforeAutospacing="1" w:after="100" w:afterAutospacing="1" w:line="360" w:lineRule="auto"/>
      <w:jc w:val="left"/>
    </w:pPr>
    <w:rPr>
      <w:rFonts w:ascii="宋体" w:hAnsi="宋体" w:cs="宋体"/>
      <w:color w:val="000000"/>
      <w:kern w:val="0"/>
      <w:sz w:val="24"/>
    </w:rPr>
  </w:style>
  <w:style w:type="paragraph" w:styleId="82">
    <w:name w:val="List Continue 3"/>
    <w:basedOn w:val="1"/>
    <w:qFormat/>
    <w:uiPriority w:val="0"/>
    <w:pPr>
      <w:spacing w:after="120"/>
      <w:ind w:left="1260" w:leftChars="600"/>
    </w:pPr>
  </w:style>
  <w:style w:type="paragraph" w:styleId="83">
    <w:name w:val="index 2"/>
    <w:basedOn w:val="1"/>
    <w:next w:val="1"/>
    <w:qFormat/>
    <w:uiPriority w:val="0"/>
    <w:pPr>
      <w:autoSpaceDE w:val="0"/>
      <w:autoSpaceDN w:val="0"/>
      <w:adjustRightInd w:val="0"/>
      <w:spacing w:after="120" w:line="440" w:lineRule="atLeast"/>
      <w:ind w:left="200" w:leftChars="200"/>
      <w:jc w:val="left"/>
      <w:textAlignment w:val="baseline"/>
    </w:pPr>
    <w:rPr>
      <w:kern w:val="0"/>
      <w:sz w:val="28"/>
      <w:szCs w:val="20"/>
    </w:rPr>
  </w:style>
  <w:style w:type="paragraph" w:styleId="84">
    <w:name w:val="Title"/>
    <w:basedOn w:val="1"/>
    <w:next w:val="1"/>
    <w:link w:val="119"/>
    <w:qFormat/>
    <w:uiPriority w:val="0"/>
    <w:pPr>
      <w:spacing w:before="240" w:after="60"/>
      <w:jc w:val="center"/>
      <w:outlineLvl w:val="0"/>
    </w:pPr>
    <w:rPr>
      <w:rFonts w:ascii="Cambria" w:hAnsi="Cambria" w:eastAsiaTheme="minorEastAsia"/>
      <w:b/>
      <w:bCs/>
      <w:sz w:val="32"/>
      <w:szCs w:val="32"/>
    </w:rPr>
  </w:style>
  <w:style w:type="paragraph" w:styleId="85">
    <w:name w:val="annotation subject"/>
    <w:basedOn w:val="28"/>
    <w:next w:val="28"/>
    <w:link w:val="161"/>
    <w:qFormat/>
    <w:uiPriority w:val="99"/>
    <w:pPr>
      <w:adjustRightInd w:val="0"/>
      <w:spacing w:line="500" w:lineRule="exact"/>
      <w:jc w:val="both"/>
      <w:textAlignment w:val="baseline"/>
    </w:pPr>
    <w:rPr>
      <w:b/>
      <w:bCs/>
      <w:kern w:val="0"/>
      <w:sz w:val="24"/>
      <w:szCs w:val="20"/>
      <w:lang w:val="en-GB"/>
    </w:rPr>
  </w:style>
  <w:style w:type="paragraph" w:styleId="86">
    <w:name w:val="Body Text First Indent"/>
    <w:basedOn w:val="34"/>
    <w:link w:val="162"/>
    <w:qFormat/>
    <w:uiPriority w:val="0"/>
    <w:pPr>
      <w:ind w:firstLine="420" w:firstLineChars="100"/>
    </w:pPr>
    <w:rPr>
      <w:rFonts w:ascii="Times New Roman" w:hAnsi="Times New Roman" w:eastAsia="宋体" w:cs="Times New Roman"/>
      <w:kern w:val="0"/>
      <w:sz w:val="24"/>
      <w:szCs w:val="20"/>
      <w:lang w:val="en-GB"/>
    </w:rPr>
  </w:style>
  <w:style w:type="paragraph" w:styleId="87">
    <w:name w:val="Body Text First Indent 2"/>
    <w:basedOn w:val="35"/>
    <w:link w:val="127"/>
    <w:qFormat/>
    <w:uiPriority w:val="0"/>
    <w:pPr>
      <w:spacing w:after="120" w:line="240" w:lineRule="auto"/>
      <w:ind w:left="420" w:leftChars="200" w:firstLine="420" w:firstLineChars="200"/>
    </w:pPr>
    <w:rPr>
      <w:rFonts w:asciiTheme="minorHAnsi" w:hAnsiTheme="minorHAnsi" w:eastAsiaTheme="minorEastAsia" w:cstheme="minorBidi"/>
      <w:sz w:val="21"/>
    </w:rPr>
  </w:style>
  <w:style w:type="table" w:styleId="89">
    <w:name w:val="Table Grid"/>
    <w:basedOn w:val="8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table" w:styleId="91">
    <w:name w:val="Table Classic 1"/>
    <w:basedOn w:val="88"/>
    <w:qFormat/>
    <w:uiPriority w:val="0"/>
    <w:pPr>
      <w:widowControl w:val="0"/>
      <w:spacing w:line="300" w:lineRule="auto"/>
      <w:ind w:firstLine="200" w:firstLineChars="20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2">
    <w:name w:val="Table Grid 1"/>
    <w:basedOn w:val="8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94">
    <w:name w:val="Strong"/>
    <w:qFormat/>
    <w:uiPriority w:val="0"/>
    <w:rPr>
      <w:rFonts w:eastAsia="宋体"/>
      <w:b/>
      <w:bCs/>
      <w:kern w:val="2"/>
      <w:sz w:val="24"/>
      <w:szCs w:val="24"/>
      <w:lang w:val="en-US" w:eastAsia="zh-CN" w:bidi="ar-SA"/>
    </w:rPr>
  </w:style>
  <w:style w:type="character" w:styleId="95">
    <w:name w:val="page number"/>
    <w:basedOn w:val="93"/>
    <w:qFormat/>
    <w:uiPriority w:val="0"/>
  </w:style>
  <w:style w:type="character" w:styleId="96">
    <w:name w:val="FollowedHyperlink"/>
    <w:qFormat/>
    <w:uiPriority w:val="0"/>
    <w:rPr>
      <w:color w:val="800080"/>
      <w:u w:val="single"/>
    </w:rPr>
  </w:style>
  <w:style w:type="character" w:styleId="97">
    <w:name w:val="Emphasis"/>
    <w:qFormat/>
    <w:uiPriority w:val="20"/>
    <w:rPr>
      <w:i/>
      <w:iCs/>
    </w:rPr>
  </w:style>
  <w:style w:type="character" w:styleId="98">
    <w:name w:val="line number"/>
    <w:basedOn w:val="93"/>
    <w:qFormat/>
    <w:uiPriority w:val="0"/>
  </w:style>
  <w:style w:type="character" w:styleId="99">
    <w:name w:val="HTML Definition"/>
    <w:qFormat/>
    <w:uiPriority w:val="0"/>
    <w:rPr>
      <w:i/>
      <w:iCs/>
    </w:rPr>
  </w:style>
  <w:style w:type="character" w:styleId="100">
    <w:name w:val="HTML Typewriter"/>
    <w:qFormat/>
    <w:uiPriority w:val="0"/>
    <w:rPr>
      <w:rFonts w:ascii="Courier New" w:hAnsi="Courier New" w:cs="Courier New"/>
      <w:sz w:val="20"/>
      <w:szCs w:val="20"/>
    </w:rPr>
  </w:style>
  <w:style w:type="character" w:styleId="101">
    <w:name w:val="HTML Acronym"/>
    <w:qFormat/>
    <w:uiPriority w:val="0"/>
  </w:style>
  <w:style w:type="character" w:styleId="102">
    <w:name w:val="HTML Variable"/>
    <w:qFormat/>
    <w:uiPriority w:val="0"/>
    <w:rPr>
      <w:i/>
      <w:iCs/>
    </w:rPr>
  </w:style>
  <w:style w:type="character" w:styleId="103">
    <w:name w:val="Hyperlink"/>
    <w:unhideWhenUsed/>
    <w:qFormat/>
    <w:uiPriority w:val="99"/>
    <w:rPr>
      <w:color w:val="0000FF"/>
      <w:u w:val="single"/>
    </w:rPr>
  </w:style>
  <w:style w:type="character" w:styleId="104">
    <w:name w:val="HTML Code"/>
    <w:qFormat/>
    <w:uiPriority w:val="0"/>
    <w:rPr>
      <w:rFonts w:ascii="Courier New" w:hAnsi="Courier New" w:cs="Courier New"/>
      <w:sz w:val="20"/>
      <w:szCs w:val="20"/>
    </w:rPr>
  </w:style>
  <w:style w:type="character" w:styleId="105">
    <w:name w:val="annotation reference"/>
    <w:qFormat/>
    <w:uiPriority w:val="99"/>
    <w:rPr>
      <w:sz w:val="21"/>
      <w:szCs w:val="21"/>
    </w:rPr>
  </w:style>
  <w:style w:type="character" w:styleId="106">
    <w:name w:val="HTML Cite"/>
    <w:qFormat/>
    <w:uiPriority w:val="0"/>
    <w:rPr>
      <w:i/>
      <w:iCs/>
    </w:rPr>
  </w:style>
  <w:style w:type="character" w:styleId="107">
    <w:name w:val="footnote reference"/>
    <w:qFormat/>
    <w:uiPriority w:val="0"/>
    <w:rPr>
      <w:vertAlign w:val="superscript"/>
    </w:rPr>
  </w:style>
  <w:style w:type="character" w:styleId="108">
    <w:name w:val="HTML Keyboard"/>
    <w:qFormat/>
    <w:uiPriority w:val="0"/>
    <w:rPr>
      <w:rFonts w:ascii="Courier New" w:hAnsi="Courier New" w:cs="Courier New"/>
      <w:sz w:val="20"/>
      <w:szCs w:val="20"/>
    </w:rPr>
  </w:style>
  <w:style w:type="character" w:styleId="109">
    <w:name w:val="HTML Sample"/>
    <w:qFormat/>
    <w:uiPriority w:val="0"/>
    <w:rPr>
      <w:rFonts w:ascii="Courier New" w:hAnsi="Courier New" w:cs="Courier New"/>
    </w:rPr>
  </w:style>
  <w:style w:type="paragraph" w:customStyle="1" w:styleId="110">
    <w:name w:val="！正文1"/>
    <w:basedOn w:val="1"/>
    <w:qFormat/>
    <w:uiPriority w:val="0"/>
    <w:pPr>
      <w:spacing w:line="360" w:lineRule="auto"/>
      <w:ind w:firstLine="200" w:firstLineChars="200"/>
    </w:pPr>
    <w:rPr>
      <w:sz w:val="24"/>
    </w:rPr>
  </w:style>
  <w:style w:type="character" w:customStyle="1" w:styleId="111">
    <w:name w:val="标题 1 字符1"/>
    <w:basedOn w:val="93"/>
    <w:link w:val="3"/>
    <w:qFormat/>
    <w:uiPriority w:val="9"/>
    <w:rPr>
      <w:rFonts w:ascii="Times New Roman" w:hAnsi="Times New Roman" w:eastAsia="宋体" w:cs="Times New Roman"/>
      <w:b/>
      <w:bCs/>
      <w:kern w:val="44"/>
      <w:sz w:val="32"/>
      <w:szCs w:val="30"/>
    </w:rPr>
  </w:style>
  <w:style w:type="character" w:customStyle="1" w:styleId="112">
    <w:name w:val="标题 2 字符1"/>
    <w:basedOn w:val="93"/>
    <w:link w:val="4"/>
    <w:qFormat/>
    <w:uiPriority w:val="9"/>
    <w:rPr>
      <w:rFonts w:ascii="Arial" w:hAnsi="Arial" w:eastAsia="宋体" w:cs="Times New Roman"/>
      <w:b/>
      <w:bCs/>
      <w:sz w:val="30"/>
      <w:szCs w:val="32"/>
    </w:rPr>
  </w:style>
  <w:style w:type="character" w:customStyle="1" w:styleId="113">
    <w:name w:val="标题 3 字符1"/>
    <w:basedOn w:val="93"/>
    <w:link w:val="5"/>
    <w:qFormat/>
    <w:uiPriority w:val="0"/>
    <w:rPr>
      <w:rFonts w:ascii="Times New Roman" w:hAnsi="Times New Roman" w:eastAsia="黑体" w:cs="Times New Roman"/>
      <w:bCs/>
      <w:kern w:val="0"/>
      <w:sz w:val="24"/>
      <w:szCs w:val="32"/>
      <w:lang w:val="en-GB"/>
    </w:rPr>
  </w:style>
  <w:style w:type="character" w:customStyle="1" w:styleId="114">
    <w:name w:val="标题 4 字符1"/>
    <w:basedOn w:val="93"/>
    <w:link w:val="6"/>
    <w:qFormat/>
    <w:uiPriority w:val="9"/>
    <w:rPr>
      <w:rFonts w:ascii="Times New Roman" w:hAnsi="Times New Roman" w:eastAsia="黑体" w:cs="Times New Roman"/>
      <w:bCs/>
      <w:sz w:val="24"/>
      <w:szCs w:val="28"/>
    </w:rPr>
  </w:style>
  <w:style w:type="character" w:customStyle="1" w:styleId="115">
    <w:name w:val="页脚 字符1"/>
    <w:link w:val="55"/>
    <w:qFormat/>
    <w:uiPriority w:val="99"/>
    <w:rPr>
      <w:sz w:val="18"/>
      <w:szCs w:val="18"/>
    </w:rPr>
  </w:style>
  <w:style w:type="character" w:customStyle="1" w:styleId="116">
    <w:name w:val="正文文本缩进 3 字符1"/>
    <w:link w:val="70"/>
    <w:qFormat/>
    <w:uiPriority w:val="0"/>
    <w:rPr>
      <w:sz w:val="16"/>
      <w:szCs w:val="16"/>
    </w:rPr>
  </w:style>
  <w:style w:type="character" w:customStyle="1" w:styleId="117">
    <w:name w:val="正文文本 字符1"/>
    <w:link w:val="34"/>
    <w:qFormat/>
    <w:uiPriority w:val="0"/>
    <w:rPr>
      <w:szCs w:val="24"/>
    </w:rPr>
  </w:style>
  <w:style w:type="character" w:customStyle="1" w:styleId="118">
    <w:name w:val="页眉 字符1"/>
    <w:link w:val="57"/>
    <w:qFormat/>
    <w:uiPriority w:val="99"/>
    <w:rPr>
      <w:sz w:val="18"/>
      <w:szCs w:val="18"/>
    </w:rPr>
  </w:style>
  <w:style w:type="character" w:customStyle="1" w:styleId="119">
    <w:name w:val="标题 字符1"/>
    <w:link w:val="84"/>
    <w:qFormat/>
    <w:uiPriority w:val="0"/>
    <w:rPr>
      <w:rFonts w:ascii="Cambria" w:hAnsi="Cambria" w:cs="Times New Roman"/>
      <w:b/>
      <w:bCs/>
      <w:sz w:val="32"/>
      <w:szCs w:val="32"/>
    </w:rPr>
  </w:style>
  <w:style w:type="character" w:customStyle="1" w:styleId="120">
    <w:name w:val="正  文 Char"/>
    <w:link w:val="121"/>
    <w:qFormat/>
    <w:uiPriority w:val="0"/>
    <w:rPr>
      <w:rFonts w:ascii="宋体"/>
      <w:sz w:val="24"/>
      <w:szCs w:val="24"/>
    </w:rPr>
  </w:style>
  <w:style w:type="paragraph" w:customStyle="1" w:styleId="121">
    <w:name w:val="正  文"/>
    <w:basedOn w:val="1"/>
    <w:link w:val="120"/>
    <w:qFormat/>
    <w:uiPriority w:val="0"/>
    <w:pPr>
      <w:spacing w:line="360" w:lineRule="auto"/>
      <w:ind w:firstLine="200" w:firstLineChars="200"/>
    </w:pPr>
    <w:rPr>
      <w:rFonts w:ascii="宋体" w:hAnsiTheme="minorHAnsi" w:eastAsiaTheme="minorEastAsia" w:cstheme="minorBidi"/>
      <w:sz w:val="24"/>
    </w:rPr>
  </w:style>
  <w:style w:type="character" w:customStyle="1" w:styleId="122">
    <w:name w:val="样式 正文文本缩进 2 + Times New Roman 首行缩进:  1.06 厘米 行距: 固定值 30 磅 Char"/>
    <w:link w:val="123"/>
    <w:qFormat/>
    <w:uiPriority w:val="0"/>
    <w:rPr>
      <w:sz w:val="28"/>
      <w:szCs w:val="28"/>
    </w:rPr>
  </w:style>
  <w:style w:type="paragraph" w:customStyle="1" w:styleId="123">
    <w:name w:val="样式 正文文本缩进 2 + Times New Roman 首行缩进:  1.06 厘米 行距: 固定值 30 磅"/>
    <w:basedOn w:val="1"/>
    <w:link w:val="122"/>
    <w:qFormat/>
    <w:uiPriority w:val="0"/>
    <w:pPr>
      <w:spacing w:line="540" w:lineRule="exact"/>
      <w:ind w:firstLine="601"/>
    </w:pPr>
    <w:rPr>
      <w:rFonts w:asciiTheme="minorHAnsi" w:hAnsiTheme="minorHAnsi" w:eastAsiaTheme="minorEastAsia" w:cstheme="minorBidi"/>
      <w:sz w:val="28"/>
      <w:szCs w:val="28"/>
    </w:rPr>
  </w:style>
  <w:style w:type="character" w:customStyle="1" w:styleId="124">
    <w:name w:val="apple-converted-space"/>
    <w:basedOn w:val="93"/>
    <w:qFormat/>
    <w:uiPriority w:val="0"/>
  </w:style>
  <w:style w:type="character" w:customStyle="1" w:styleId="125">
    <w:name w:val="样式6 正文 Char1"/>
    <w:link w:val="126"/>
    <w:qFormat/>
    <w:uiPriority w:val="0"/>
    <w:rPr>
      <w:color w:val="000000"/>
      <w:sz w:val="24"/>
      <w:lang w:val="en-US" w:eastAsia="zh-CN"/>
    </w:rPr>
  </w:style>
  <w:style w:type="paragraph" w:customStyle="1" w:styleId="126">
    <w:name w:val="样式6 正文"/>
    <w:link w:val="125"/>
    <w:qFormat/>
    <w:uiPriority w:val="0"/>
    <w:pPr>
      <w:spacing w:line="360" w:lineRule="auto"/>
      <w:ind w:firstLine="510"/>
    </w:pPr>
    <w:rPr>
      <w:rFonts w:asciiTheme="minorHAnsi" w:hAnsiTheme="minorHAnsi" w:eastAsiaTheme="minorEastAsia" w:cstheme="minorBidi"/>
      <w:color w:val="000000"/>
      <w:kern w:val="2"/>
      <w:sz w:val="24"/>
      <w:szCs w:val="22"/>
      <w:lang w:val="en-US" w:eastAsia="zh-CN" w:bidi="ar-SA"/>
    </w:rPr>
  </w:style>
  <w:style w:type="character" w:customStyle="1" w:styleId="127">
    <w:name w:val="正文文本首行缩进 2 字符"/>
    <w:link w:val="87"/>
    <w:qFormat/>
    <w:uiPriority w:val="0"/>
    <w:rPr>
      <w:szCs w:val="24"/>
    </w:rPr>
  </w:style>
  <w:style w:type="character" w:customStyle="1" w:styleId="128">
    <w:name w:val="正文文本 Char1"/>
    <w:basedOn w:val="93"/>
    <w:qFormat/>
    <w:uiPriority w:val="0"/>
    <w:rPr>
      <w:rFonts w:ascii="Times New Roman" w:hAnsi="Times New Roman" w:eastAsia="宋体" w:cs="Times New Roman"/>
      <w:szCs w:val="24"/>
    </w:rPr>
  </w:style>
  <w:style w:type="character" w:customStyle="1" w:styleId="129">
    <w:name w:val="批注文字 字符2"/>
    <w:basedOn w:val="93"/>
    <w:link w:val="28"/>
    <w:qFormat/>
    <w:uiPriority w:val="99"/>
    <w:rPr>
      <w:rFonts w:ascii="Times New Roman" w:hAnsi="Times New Roman" w:eastAsia="宋体" w:cs="Times New Roman"/>
      <w:szCs w:val="24"/>
    </w:rPr>
  </w:style>
  <w:style w:type="character" w:customStyle="1" w:styleId="130">
    <w:name w:val="文档结构图 字符1"/>
    <w:basedOn w:val="93"/>
    <w:link w:val="26"/>
    <w:qFormat/>
    <w:uiPriority w:val="0"/>
    <w:rPr>
      <w:rFonts w:ascii="Times New Roman" w:hAnsi="Times New Roman" w:eastAsia="宋体" w:cs="Times New Roman"/>
      <w:szCs w:val="24"/>
      <w:shd w:val="clear" w:color="auto" w:fill="000080"/>
    </w:rPr>
  </w:style>
  <w:style w:type="character" w:customStyle="1" w:styleId="131">
    <w:name w:val="正文文本缩进 字符1"/>
    <w:basedOn w:val="93"/>
    <w:link w:val="35"/>
    <w:qFormat/>
    <w:uiPriority w:val="0"/>
    <w:rPr>
      <w:rFonts w:ascii="Times New Roman" w:hAnsi="Times New Roman" w:eastAsia="宋体" w:cs="Times New Roman"/>
      <w:sz w:val="28"/>
      <w:szCs w:val="24"/>
    </w:rPr>
  </w:style>
  <w:style w:type="character" w:customStyle="1" w:styleId="132">
    <w:name w:val="页眉 Char1"/>
    <w:basedOn w:val="93"/>
    <w:qFormat/>
    <w:uiPriority w:val="0"/>
    <w:rPr>
      <w:rFonts w:ascii="Times New Roman" w:hAnsi="Times New Roman" w:eastAsia="宋体" w:cs="Times New Roman"/>
      <w:sz w:val="18"/>
      <w:szCs w:val="18"/>
    </w:rPr>
  </w:style>
  <w:style w:type="character" w:customStyle="1" w:styleId="133">
    <w:name w:val="正文首行缩进 2 Char1"/>
    <w:basedOn w:val="131"/>
    <w:qFormat/>
    <w:uiPriority w:val="0"/>
    <w:rPr>
      <w:rFonts w:ascii="Times New Roman" w:hAnsi="Times New Roman" w:eastAsia="宋体" w:cs="Times New Roman"/>
      <w:sz w:val="28"/>
      <w:szCs w:val="24"/>
    </w:rPr>
  </w:style>
  <w:style w:type="character" w:customStyle="1" w:styleId="134">
    <w:name w:val="纯文本 字符1"/>
    <w:basedOn w:val="93"/>
    <w:link w:val="45"/>
    <w:qFormat/>
    <w:uiPriority w:val="0"/>
    <w:rPr>
      <w:rFonts w:ascii="宋体" w:hAnsi="Courier New" w:eastAsia="宋体" w:cs="Times New Roman"/>
      <w:szCs w:val="20"/>
    </w:rPr>
  </w:style>
  <w:style w:type="character" w:customStyle="1" w:styleId="135">
    <w:name w:val="批注框文本 字符1"/>
    <w:basedOn w:val="93"/>
    <w:link w:val="54"/>
    <w:qFormat/>
    <w:uiPriority w:val="99"/>
    <w:rPr>
      <w:rFonts w:ascii="Times New Roman" w:hAnsi="Times New Roman" w:eastAsia="宋体" w:cs="Times New Roman"/>
      <w:sz w:val="18"/>
      <w:szCs w:val="18"/>
    </w:rPr>
  </w:style>
  <w:style w:type="character" w:customStyle="1" w:styleId="136">
    <w:name w:val="日期 字符1"/>
    <w:basedOn w:val="93"/>
    <w:link w:val="50"/>
    <w:qFormat/>
    <w:uiPriority w:val="0"/>
    <w:rPr>
      <w:rFonts w:ascii="黑体" w:hAnsi="Times New Roman" w:eastAsia="黑体" w:cs="Times New Roman"/>
      <w:kern w:val="0"/>
      <w:sz w:val="24"/>
      <w:szCs w:val="24"/>
    </w:rPr>
  </w:style>
  <w:style w:type="character" w:customStyle="1" w:styleId="137">
    <w:name w:val="页脚 Char1"/>
    <w:basedOn w:val="93"/>
    <w:semiHidden/>
    <w:qFormat/>
    <w:uiPriority w:val="99"/>
    <w:rPr>
      <w:rFonts w:ascii="Times New Roman" w:hAnsi="Times New Roman" w:eastAsia="宋体" w:cs="Times New Roman"/>
      <w:sz w:val="18"/>
      <w:szCs w:val="18"/>
    </w:rPr>
  </w:style>
  <w:style w:type="character" w:customStyle="1" w:styleId="138">
    <w:name w:val="正文文本缩进 3 Char1"/>
    <w:basedOn w:val="93"/>
    <w:qFormat/>
    <w:uiPriority w:val="0"/>
    <w:rPr>
      <w:rFonts w:ascii="Times New Roman" w:hAnsi="Times New Roman" w:eastAsia="宋体" w:cs="Times New Roman"/>
      <w:sz w:val="16"/>
      <w:szCs w:val="16"/>
    </w:rPr>
  </w:style>
  <w:style w:type="character" w:customStyle="1" w:styleId="139">
    <w:name w:val="标题 Char1"/>
    <w:basedOn w:val="93"/>
    <w:qFormat/>
    <w:uiPriority w:val="0"/>
    <w:rPr>
      <w:rFonts w:eastAsia="宋体" w:asciiTheme="majorHAnsi" w:hAnsiTheme="majorHAnsi" w:cstheme="majorBidi"/>
      <w:b/>
      <w:bCs/>
      <w:sz w:val="32"/>
      <w:szCs w:val="32"/>
    </w:rPr>
  </w:style>
  <w:style w:type="paragraph" w:styleId="140">
    <w:name w:val="List Paragraph"/>
    <w:basedOn w:val="1"/>
    <w:link w:val="922"/>
    <w:qFormat/>
    <w:uiPriority w:val="34"/>
    <w:pPr>
      <w:ind w:firstLine="420" w:firstLineChars="200"/>
    </w:pPr>
  </w:style>
  <w:style w:type="character" w:customStyle="1" w:styleId="141">
    <w:name w:val="标题 5 字符1"/>
    <w:basedOn w:val="93"/>
    <w:link w:val="7"/>
    <w:qFormat/>
    <w:uiPriority w:val="9"/>
    <w:rPr>
      <w:rFonts w:ascii="Times New Roman" w:hAnsi="Times New Roman" w:eastAsia="宋体" w:cs="Times New Roman"/>
      <w:kern w:val="0"/>
      <w:position w:val="16"/>
      <w:sz w:val="24"/>
      <w:szCs w:val="20"/>
    </w:rPr>
  </w:style>
  <w:style w:type="character" w:customStyle="1" w:styleId="142">
    <w:name w:val="标题 6 字符1"/>
    <w:basedOn w:val="93"/>
    <w:link w:val="8"/>
    <w:qFormat/>
    <w:uiPriority w:val="0"/>
    <w:rPr>
      <w:rFonts w:ascii="Arial" w:hAnsi="Arial" w:eastAsia="黑体" w:cs="Times New Roman"/>
      <w:b/>
      <w:kern w:val="0"/>
      <w:position w:val="16"/>
      <w:sz w:val="24"/>
      <w:szCs w:val="20"/>
    </w:rPr>
  </w:style>
  <w:style w:type="character" w:customStyle="1" w:styleId="143">
    <w:name w:val="标题 7 字符1"/>
    <w:basedOn w:val="93"/>
    <w:link w:val="9"/>
    <w:qFormat/>
    <w:uiPriority w:val="0"/>
    <w:rPr>
      <w:rFonts w:ascii="Univers (W1)" w:hAnsi="Univers (W1)" w:eastAsia="宋体" w:cs="Times New Roman"/>
      <w:b/>
      <w:kern w:val="0"/>
      <w:position w:val="16"/>
      <w:sz w:val="24"/>
      <w:szCs w:val="20"/>
    </w:rPr>
  </w:style>
  <w:style w:type="character" w:customStyle="1" w:styleId="144">
    <w:name w:val="标题 8 字符1"/>
    <w:basedOn w:val="93"/>
    <w:link w:val="10"/>
    <w:qFormat/>
    <w:uiPriority w:val="0"/>
    <w:rPr>
      <w:rFonts w:ascii="Arial" w:hAnsi="Arial" w:eastAsia="黑体" w:cs="Times New Roman"/>
      <w:kern w:val="0"/>
      <w:position w:val="16"/>
      <w:sz w:val="24"/>
      <w:szCs w:val="20"/>
    </w:rPr>
  </w:style>
  <w:style w:type="character" w:customStyle="1" w:styleId="145">
    <w:name w:val="标题 9 字符1"/>
    <w:basedOn w:val="93"/>
    <w:link w:val="11"/>
    <w:qFormat/>
    <w:uiPriority w:val="0"/>
    <w:rPr>
      <w:rFonts w:ascii="Arial" w:hAnsi="Arial" w:eastAsia="黑体" w:cs="Times New Roman"/>
      <w:kern w:val="0"/>
      <w:position w:val="16"/>
      <w:szCs w:val="20"/>
      <w:lang w:val="en-GB"/>
    </w:rPr>
  </w:style>
  <w:style w:type="character" w:customStyle="1" w:styleId="146">
    <w:name w:val="宏文本 字符"/>
    <w:basedOn w:val="93"/>
    <w:link w:val="2"/>
    <w:qFormat/>
    <w:uiPriority w:val="0"/>
    <w:rPr>
      <w:rFonts w:ascii="Courier New" w:hAnsi="Courier New" w:eastAsia="宋体" w:cs="Times New Roman"/>
      <w:kern w:val="0"/>
      <w:sz w:val="24"/>
      <w:szCs w:val="24"/>
    </w:rPr>
  </w:style>
  <w:style w:type="character" w:customStyle="1" w:styleId="147">
    <w:name w:val="注释标题 字符1"/>
    <w:basedOn w:val="93"/>
    <w:link w:val="16"/>
    <w:qFormat/>
    <w:uiPriority w:val="0"/>
    <w:rPr>
      <w:rFonts w:ascii="Times New Roman" w:hAnsi="Times New Roman" w:eastAsia="宋体" w:cs="Times New Roman"/>
      <w:szCs w:val="24"/>
    </w:rPr>
  </w:style>
  <w:style w:type="character" w:customStyle="1" w:styleId="148">
    <w:name w:val="电子邮件签名 字符"/>
    <w:basedOn w:val="93"/>
    <w:link w:val="19"/>
    <w:qFormat/>
    <w:uiPriority w:val="0"/>
    <w:rPr>
      <w:rFonts w:ascii="Times New Roman" w:hAnsi="Times New Roman" w:eastAsia="宋体" w:cs="Times New Roman"/>
      <w:szCs w:val="24"/>
    </w:rPr>
  </w:style>
  <w:style w:type="character" w:customStyle="1" w:styleId="149">
    <w:name w:val="称呼 字符"/>
    <w:basedOn w:val="93"/>
    <w:link w:val="30"/>
    <w:qFormat/>
    <w:uiPriority w:val="0"/>
    <w:rPr>
      <w:rFonts w:ascii="宋体" w:hAnsi="宋体" w:eastAsia="宋体" w:cs="Times New Roman"/>
      <w:kern w:val="0"/>
      <w:sz w:val="28"/>
    </w:rPr>
  </w:style>
  <w:style w:type="character" w:customStyle="1" w:styleId="150">
    <w:name w:val="正文文本 3 字符"/>
    <w:basedOn w:val="93"/>
    <w:link w:val="31"/>
    <w:qFormat/>
    <w:uiPriority w:val="0"/>
    <w:rPr>
      <w:rFonts w:ascii="Times New Roman" w:hAnsi="Times New Roman" w:eastAsia="宋体" w:cs="Times New Roman"/>
      <w:sz w:val="28"/>
      <w:szCs w:val="24"/>
    </w:rPr>
  </w:style>
  <w:style w:type="character" w:customStyle="1" w:styleId="151">
    <w:name w:val="结束语 字符"/>
    <w:basedOn w:val="93"/>
    <w:link w:val="32"/>
    <w:qFormat/>
    <w:uiPriority w:val="0"/>
    <w:rPr>
      <w:rFonts w:ascii="Times New Roman" w:hAnsi="Times New Roman" w:eastAsia="宋体" w:cs="Times New Roman"/>
      <w:szCs w:val="24"/>
    </w:rPr>
  </w:style>
  <w:style w:type="character" w:customStyle="1" w:styleId="152">
    <w:name w:val="HTML 地址 字符"/>
    <w:basedOn w:val="93"/>
    <w:link w:val="41"/>
    <w:qFormat/>
    <w:uiPriority w:val="0"/>
    <w:rPr>
      <w:rFonts w:ascii="Times New Roman" w:hAnsi="Times New Roman" w:eastAsia="宋体" w:cs="Times New Roman"/>
      <w:i/>
      <w:iCs/>
      <w:szCs w:val="24"/>
    </w:rPr>
  </w:style>
  <w:style w:type="character" w:customStyle="1" w:styleId="153">
    <w:name w:val="正文文本缩进 2 字符1"/>
    <w:basedOn w:val="93"/>
    <w:link w:val="51"/>
    <w:qFormat/>
    <w:uiPriority w:val="0"/>
    <w:rPr>
      <w:rFonts w:ascii="Times New Roman" w:hAnsi="Times New Roman" w:eastAsia="宋体" w:cs="Times New Roman"/>
      <w:kern w:val="0"/>
      <w:sz w:val="24"/>
      <w:szCs w:val="20"/>
      <w:lang w:val="en-GB"/>
    </w:rPr>
  </w:style>
  <w:style w:type="character" w:customStyle="1" w:styleId="154">
    <w:name w:val="尾注文本 字符"/>
    <w:basedOn w:val="93"/>
    <w:link w:val="52"/>
    <w:qFormat/>
    <w:uiPriority w:val="0"/>
    <w:rPr>
      <w:rFonts w:ascii="Times New Roman" w:hAnsi="Times New Roman" w:eastAsia="宋体" w:cs="Times New Roman"/>
      <w:kern w:val="0"/>
      <w:sz w:val="28"/>
      <w:szCs w:val="20"/>
    </w:rPr>
  </w:style>
  <w:style w:type="character" w:customStyle="1" w:styleId="155">
    <w:name w:val="签名 字符"/>
    <w:basedOn w:val="93"/>
    <w:link w:val="58"/>
    <w:qFormat/>
    <w:uiPriority w:val="0"/>
    <w:rPr>
      <w:rFonts w:ascii="Times New Roman" w:hAnsi="Times New Roman" w:eastAsia="宋体" w:cs="Times New Roman"/>
      <w:szCs w:val="24"/>
    </w:rPr>
  </w:style>
  <w:style w:type="character" w:customStyle="1" w:styleId="156">
    <w:name w:val="副标题 字符1"/>
    <w:basedOn w:val="93"/>
    <w:link w:val="64"/>
    <w:qFormat/>
    <w:uiPriority w:val="0"/>
    <w:rPr>
      <w:rFonts w:ascii="Times New Roman" w:hAnsi="Times New Roman" w:eastAsia="宋体" w:cs="Times New Roman"/>
      <w:b/>
      <w:bCs/>
      <w:color w:val="FF0000"/>
      <w:kern w:val="28"/>
      <w:sz w:val="24"/>
      <w:szCs w:val="32"/>
    </w:rPr>
  </w:style>
  <w:style w:type="character" w:customStyle="1" w:styleId="157">
    <w:name w:val="脚注文本 字符"/>
    <w:basedOn w:val="93"/>
    <w:link w:val="67"/>
    <w:qFormat/>
    <w:uiPriority w:val="0"/>
    <w:rPr>
      <w:rFonts w:ascii="Times New Roman" w:hAnsi="Times New Roman" w:eastAsia="宋体" w:cs="Times New Roman"/>
      <w:sz w:val="18"/>
      <w:szCs w:val="18"/>
    </w:rPr>
  </w:style>
  <w:style w:type="character" w:customStyle="1" w:styleId="158">
    <w:name w:val="正文文本 2 字符1"/>
    <w:basedOn w:val="93"/>
    <w:link w:val="76"/>
    <w:qFormat/>
    <w:uiPriority w:val="0"/>
    <w:rPr>
      <w:rFonts w:ascii="Times New Roman" w:hAnsi="Times New Roman" w:eastAsia="宋体" w:cs="Times New Roman"/>
      <w:kern w:val="0"/>
      <w:sz w:val="24"/>
      <w:szCs w:val="20"/>
      <w:lang w:val="en-GB"/>
    </w:rPr>
  </w:style>
  <w:style w:type="character" w:customStyle="1" w:styleId="159">
    <w:name w:val="信息标题 字符"/>
    <w:basedOn w:val="93"/>
    <w:link w:val="79"/>
    <w:qFormat/>
    <w:uiPriority w:val="0"/>
    <w:rPr>
      <w:rFonts w:ascii="Arial" w:hAnsi="Arial" w:eastAsia="宋体" w:cs="Times New Roman"/>
      <w:kern w:val="0"/>
      <w:sz w:val="24"/>
      <w:szCs w:val="24"/>
      <w:shd w:val="pct20" w:color="auto" w:fill="auto"/>
    </w:rPr>
  </w:style>
  <w:style w:type="character" w:customStyle="1" w:styleId="160">
    <w:name w:val="HTML 预设格式 字符"/>
    <w:basedOn w:val="93"/>
    <w:link w:val="80"/>
    <w:qFormat/>
    <w:uiPriority w:val="0"/>
    <w:rPr>
      <w:rFonts w:ascii="Courier New" w:hAnsi="Courier New" w:eastAsia="宋体" w:cs="Times New Roman"/>
      <w:sz w:val="20"/>
      <w:szCs w:val="20"/>
    </w:rPr>
  </w:style>
  <w:style w:type="character" w:customStyle="1" w:styleId="161">
    <w:name w:val="批注主题 字符1"/>
    <w:basedOn w:val="129"/>
    <w:link w:val="85"/>
    <w:qFormat/>
    <w:uiPriority w:val="99"/>
    <w:rPr>
      <w:rFonts w:ascii="Times New Roman" w:hAnsi="Times New Roman" w:eastAsia="宋体" w:cs="Times New Roman"/>
      <w:b/>
      <w:bCs/>
      <w:kern w:val="0"/>
      <w:sz w:val="24"/>
      <w:szCs w:val="20"/>
      <w:lang w:val="en-GB"/>
    </w:rPr>
  </w:style>
  <w:style w:type="character" w:customStyle="1" w:styleId="162">
    <w:name w:val="正文文本首行缩进 字符"/>
    <w:basedOn w:val="117"/>
    <w:link w:val="86"/>
    <w:qFormat/>
    <w:uiPriority w:val="0"/>
    <w:rPr>
      <w:rFonts w:ascii="Times New Roman" w:hAnsi="Times New Roman" w:eastAsia="宋体" w:cs="Times New Roman"/>
      <w:kern w:val="0"/>
      <w:sz w:val="24"/>
      <w:szCs w:val="20"/>
      <w:lang w:val="en-GB"/>
    </w:rPr>
  </w:style>
  <w:style w:type="paragraph" w:customStyle="1" w:styleId="163">
    <w:name w:val="正//文"/>
    <w:basedOn w:val="1"/>
    <w:qFormat/>
    <w:uiPriority w:val="0"/>
    <w:pPr>
      <w:spacing w:line="360" w:lineRule="auto"/>
      <w:ind w:firstLine="480" w:firstLineChars="200"/>
    </w:pPr>
    <w:rPr>
      <w:rFonts w:ascii="宋体" w:hAnsi="宋体" w:cs="宋体"/>
      <w:kern w:val="28"/>
      <w:sz w:val="24"/>
      <w:shd w:val="clear" w:color="auto" w:fill="FFFFFF"/>
    </w:rPr>
  </w:style>
  <w:style w:type="paragraph" w:customStyle="1" w:styleId="164">
    <w:name w:val="样式 样式 标题 4 + 首行缩进:  0.85 厘米 + Times New Roman"/>
    <w:basedOn w:val="1"/>
    <w:qFormat/>
    <w:uiPriority w:val="0"/>
    <w:pPr>
      <w:keepNext/>
      <w:keepLines/>
      <w:adjustRightInd w:val="0"/>
      <w:spacing w:line="360" w:lineRule="auto"/>
      <w:ind w:firstLine="480" w:firstLineChars="200"/>
      <w:textAlignment w:val="baseline"/>
      <w:outlineLvl w:val="4"/>
    </w:pPr>
    <w:rPr>
      <w:rFonts w:eastAsia="华文楷体" w:cs="宋体"/>
      <w:b/>
      <w:bCs/>
      <w:kern w:val="0"/>
      <w:sz w:val="24"/>
      <w:szCs w:val="20"/>
    </w:rPr>
  </w:style>
  <w:style w:type="paragraph" w:customStyle="1" w:styleId="165">
    <w:name w:val="样式 标题 4 + 黑色"/>
    <w:basedOn w:val="6"/>
    <w:link w:val="893"/>
    <w:qFormat/>
    <w:uiPriority w:val="0"/>
    <w:pPr>
      <w:adjustRightInd w:val="0"/>
      <w:snapToGrid w:val="0"/>
      <w:spacing w:after="60" w:line="360" w:lineRule="auto"/>
      <w:textAlignment w:val="baseline"/>
    </w:pPr>
    <w:rPr>
      <w:rFonts w:eastAsia="楷体_GB2312"/>
      <w:color w:val="000000"/>
      <w:kern w:val="0"/>
      <w:szCs w:val="20"/>
    </w:rPr>
  </w:style>
  <w:style w:type="paragraph" w:customStyle="1" w:styleId="166">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67">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hint="eastAsia" w:ascii="仿宋_GB2312" w:hAnsi="Arial Unicode MS" w:eastAsia="仿宋_GB2312"/>
      <w:kern w:val="0"/>
      <w:sz w:val="20"/>
      <w:szCs w:val="20"/>
    </w:rPr>
  </w:style>
  <w:style w:type="paragraph" w:customStyle="1" w:styleId="168">
    <w:name w:val="xl76"/>
    <w:basedOn w:val="1"/>
    <w:qFormat/>
    <w:uiPriority w:val="0"/>
    <w:pPr>
      <w:widowControl/>
      <w:pBdr>
        <w:left w:val="single" w:color="auto" w:sz="4" w:space="0"/>
        <w:right w:val="single" w:color="auto" w:sz="4" w:space="0"/>
      </w:pBdr>
      <w:spacing w:before="100" w:beforeAutospacing="1" w:after="100" w:afterAutospacing="1" w:line="360" w:lineRule="auto"/>
      <w:jc w:val="center"/>
      <w:textAlignment w:val="center"/>
    </w:pPr>
    <w:rPr>
      <w:rFonts w:hint="eastAsia" w:ascii="宋体" w:hAnsi="宋体"/>
      <w:kern w:val="0"/>
      <w:sz w:val="22"/>
      <w:szCs w:val="22"/>
    </w:rPr>
  </w:style>
  <w:style w:type="paragraph" w:customStyle="1" w:styleId="169">
    <w:name w:val="正文小标题 Char Char Char Char Char Char Char Char Char"/>
    <w:basedOn w:val="1"/>
    <w:next w:val="34"/>
    <w:qFormat/>
    <w:uiPriority w:val="0"/>
    <w:pPr>
      <w:tabs>
        <w:tab w:val="left" w:pos="735"/>
      </w:tabs>
      <w:overflowPunct w:val="0"/>
      <w:autoSpaceDE w:val="0"/>
      <w:autoSpaceDN w:val="0"/>
      <w:adjustRightInd w:val="0"/>
      <w:textAlignment w:val="baseline"/>
    </w:pPr>
    <w:rPr>
      <w:rFonts w:cs="Calibri"/>
      <w:kern w:val="0"/>
      <w:szCs w:val="20"/>
    </w:rPr>
  </w:style>
  <w:style w:type="paragraph" w:customStyle="1" w:styleId="170">
    <w:name w:val="hch"/>
    <w:basedOn w:val="1"/>
    <w:qFormat/>
    <w:uiPriority w:val="0"/>
    <w:pPr>
      <w:widowControl/>
      <w:spacing w:line="500" w:lineRule="atLeast"/>
      <w:ind w:firstLine="200"/>
      <w:jc w:val="left"/>
    </w:pPr>
    <w:rPr>
      <w:kern w:val="0"/>
      <w:sz w:val="24"/>
    </w:rPr>
  </w:style>
  <w:style w:type="paragraph" w:customStyle="1" w:styleId="171">
    <w:name w:val="xl24"/>
    <w:basedOn w:val="1"/>
    <w:qFormat/>
    <w:uiPriority w:val="0"/>
    <w:pPr>
      <w:widowControl/>
      <w:pBdr>
        <w:bottom w:val="single" w:color="auto" w:sz="4" w:space="0"/>
        <w:right w:val="single" w:color="auto" w:sz="4" w:space="0"/>
      </w:pBdr>
      <w:spacing w:before="100" w:beforeAutospacing="1" w:after="100" w:afterAutospacing="1" w:line="360" w:lineRule="auto"/>
      <w:jc w:val="center"/>
    </w:pPr>
    <w:rPr>
      <w:rFonts w:eastAsia="Arial Unicode MS"/>
      <w:kern w:val="0"/>
      <w:sz w:val="24"/>
      <w:szCs w:val="21"/>
    </w:rPr>
  </w:style>
  <w:style w:type="paragraph" w:customStyle="1" w:styleId="172">
    <w:name w:val="标准标题2"/>
    <w:basedOn w:val="1"/>
    <w:qFormat/>
    <w:uiPriority w:val="0"/>
    <w:pPr>
      <w:autoSpaceDE w:val="0"/>
      <w:autoSpaceDN w:val="0"/>
      <w:adjustRightInd w:val="0"/>
      <w:snapToGrid w:val="0"/>
      <w:spacing w:line="360" w:lineRule="auto"/>
      <w:outlineLvl w:val="0"/>
    </w:pPr>
    <w:rPr>
      <w:rFonts w:cs="Calibri"/>
      <w:kern w:val="32"/>
      <w:sz w:val="24"/>
    </w:rPr>
  </w:style>
  <w:style w:type="paragraph" w:customStyle="1" w:styleId="173">
    <w:name w:val="正文小标题 Char Char"/>
    <w:basedOn w:val="1"/>
    <w:next w:val="34"/>
    <w:qFormat/>
    <w:uiPriority w:val="0"/>
    <w:pPr>
      <w:tabs>
        <w:tab w:val="left" w:pos="360"/>
        <w:tab w:val="left" w:pos="735"/>
      </w:tabs>
      <w:overflowPunct w:val="0"/>
      <w:autoSpaceDE w:val="0"/>
      <w:autoSpaceDN w:val="0"/>
      <w:adjustRightInd w:val="0"/>
      <w:ind w:firstLine="200"/>
      <w:textAlignment w:val="baseline"/>
    </w:pPr>
    <w:rPr>
      <w:rFonts w:cs="Calibri"/>
    </w:rPr>
  </w:style>
  <w:style w:type="paragraph" w:customStyle="1" w:styleId="174">
    <w:name w:val="xl73"/>
    <w:basedOn w:val="1"/>
    <w:qFormat/>
    <w:uiPriority w:val="0"/>
    <w:pPr>
      <w:widowControl/>
      <w:pBdr>
        <w:top w:val="single" w:color="auto" w:sz="4" w:space="0"/>
        <w:bottom w:val="single" w:color="auto" w:sz="4" w:space="0"/>
        <w:right w:val="single" w:color="auto" w:sz="4" w:space="0"/>
      </w:pBdr>
      <w:spacing w:before="100" w:beforeAutospacing="1" w:after="100" w:afterAutospacing="1" w:line="360" w:lineRule="auto"/>
      <w:jc w:val="center"/>
    </w:pPr>
    <w:rPr>
      <w:rFonts w:ascii="Arial Unicode MS" w:hAnsi="Arial Unicode MS"/>
      <w:kern w:val="0"/>
      <w:sz w:val="22"/>
      <w:szCs w:val="22"/>
    </w:rPr>
  </w:style>
  <w:style w:type="paragraph" w:customStyle="1" w:styleId="175">
    <w:name w:val="YB图表标题"/>
    <w:next w:val="176"/>
    <w:link w:val="961"/>
    <w:qFormat/>
    <w:uiPriority w:val="0"/>
    <w:pPr>
      <w:autoSpaceDE w:val="0"/>
      <w:autoSpaceDN w:val="0"/>
      <w:adjustRightInd w:val="0"/>
      <w:snapToGrid w:val="0"/>
      <w:spacing w:line="500" w:lineRule="exact"/>
      <w:jc w:val="center"/>
      <w:textAlignment w:val="bottom"/>
    </w:pPr>
    <w:rPr>
      <w:rFonts w:ascii="Times New Roman" w:hAnsi="Times New Roman" w:eastAsia="黑体" w:cs="Times New Roman"/>
      <w:kern w:val="2"/>
      <w:sz w:val="24"/>
      <w:lang w:val="en-US" w:eastAsia="zh-CN" w:bidi="ar-SA"/>
    </w:rPr>
  </w:style>
  <w:style w:type="paragraph" w:customStyle="1" w:styleId="176">
    <w:name w:val="YB正文小四宋体"/>
    <w:basedOn w:val="1"/>
    <w:link w:val="747"/>
    <w:qFormat/>
    <w:uiPriority w:val="0"/>
    <w:pPr>
      <w:autoSpaceDE w:val="0"/>
      <w:autoSpaceDN w:val="0"/>
      <w:spacing w:line="500" w:lineRule="exact"/>
      <w:ind w:firstLine="200" w:firstLineChars="200"/>
      <w:jc w:val="left"/>
      <w:textAlignment w:val="bottom"/>
    </w:pPr>
    <w:rPr>
      <w:kern w:val="0"/>
      <w:sz w:val="24"/>
      <w:szCs w:val="20"/>
    </w:rPr>
  </w:style>
  <w:style w:type="paragraph" w:customStyle="1" w:styleId="177">
    <w:name w:val="xl41"/>
    <w:basedOn w:val="1"/>
    <w:qFormat/>
    <w:uiPriority w:val="0"/>
    <w:pPr>
      <w:widowControl/>
      <w:pBdr>
        <w:left w:val="single" w:color="auto" w:sz="4" w:space="0"/>
      </w:pBdr>
      <w:spacing w:before="100" w:beforeAutospacing="1" w:after="100" w:afterAutospacing="1" w:line="360" w:lineRule="auto"/>
      <w:jc w:val="center"/>
    </w:pPr>
    <w:rPr>
      <w:rFonts w:hint="eastAsia" w:ascii="仿宋_GB2312" w:hAnsi="Arial Unicode MS" w:eastAsia="仿宋_GB2312"/>
      <w:kern w:val="0"/>
      <w:sz w:val="20"/>
      <w:szCs w:val="20"/>
    </w:rPr>
  </w:style>
  <w:style w:type="paragraph" w:customStyle="1" w:styleId="178">
    <w:name w:val="附件中表格"/>
    <w:basedOn w:val="1"/>
    <w:next w:val="1"/>
    <w:qFormat/>
    <w:uiPriority w:val="0"/>
    <w:pPr>
      <w:topLinePunct/>
      <w:spacing w:line="360" w:lineRule="auto"/>
      <w:jc w:val="center"/>
    </w:pPr>
    <w:rPr>
      <w:rFonts w:ascii="宋体" w:hAnsi="宋体"/>
      <w:sz w:val="28"/>
      <w:szCs w:val="28"/>
    </w:rPr>
  </w:style>
  <w:style w:type="paragraph" w:customStyle="1" w:styleId="179">
    <w:name w:val="HCH正文"/>
    <w:link w:val="865"/>
    <w:qFormat/>
    <w:uiPriority w:val="0"/>
    <w:pPr>
      <w:spacing w:line="500" w:lineRule="exact"/>
      <w:ind w:firstLine="600" w:firstLineChars="250"/>
      <w:jc w:val="center"/>
    </w:pPr>
    <w:rPr>
      <w:rFonts w:ascii="Times New Roman" w:hAnsi="Times New Roman" w:eastAsia="宋体" w:cs="Times New Roman"/>
      <w:bCs/>
      <w:sz w:val="24"/>
      <w:szCs w:val="24"/>
      <w:lang w:val="en-US" w:eastAsia="zh-CN" w:bidi="ar-SA"/>
    </w:rPr>
  </w:style>
  <w:style w:type="paragraph" w:customStyle="1" w:styleId="180">
    <w:name w:val="Char Char Char Char1 Char Char Char Char Char Char"/>
    <w:basedOn w:val="1"/>
    <w:qFormat/>
    <w:uiPriority w:val="0"/>
    <w:pPr>
      <w:snapToGrid w:val="0"/>
    </w:pPr>
    <w:rPr>
      <w:rFonts w:ascii="Arial" w:hAnsi="Arial"/>
      <w:szCs w:val="21"/>
    </w:rPr>
  </w:style>
  <w:style w:type="paragraph" w:customStyle="1" w:styleId="181">
    <w:name w:val="正文文本 21"/>
    <w:basedOn w:val="1"/>
    <w:qFormat/>
    <w:uiPriority w:val="0"/>
    <w:pPr>
      <w:adjustRightInd w:val="0"/>
      <w:spacing w:line="500" w:lineRule="exact"/>
      <w:ind w:firstLine="525"/>
      <w:textAlignment w:val="baseline"/>
    </w:pPr>
    <w:rPr>
      <w:rFonts w:ascii="宋体"/>
      <w:kern w:val="0"/>
      <w:sz w:val="28"/>
      <w:szCs w:val="20"/>
    </w:rPr>
  </w:style>
  <w:style w:type="paragraph" w:customStyle="1" w:styleId="182">
    <w:name w:val="标题5"/>
    <w:basedOn w:val="7"/>
    <w:qFormat/>
    <w:uiPriority w:val="0"/>
    <w:pPr>
      <w:adjustRightInd/>
      <w:spacing w:before="0" w:after="0" w:line="360" w:lineRule="auto"/>
      <w:ind w:firstLine="482"/>
      <w:textAlignment w:val="auto"/>
    </w:pPr>
    <w:rPr>
      <w:b/>
      <w:bCs/>
      <w:kern w:val="2"/>
      <w:position w:val="0"/>
      <w:szCs w:val="28"/>
    </w:rPr>
  </w:style>
  <w:style w:type="paragraph" w:customStyle="1" w:styleId="183">
    <w:name w:val="Char Char Char Char Char Char1 Char1"/>
    <w:basedOn w:val="1"/>
    <w:qFormat/>
    <w:uiPriority w:val="0"/>
    <w:pPr>
      <w:spacing w:line="360" w:lineRule="auto"/>
      <w:ind w:firstLine="200" w:firstLineChars="200"/>
      <w:jc w:val="left"/>
    </w:pPr>
    <w:rPr>
      <w:rFonts w:ascii="宋体" w:hAnsi="宋体" w:cs="宋体"/>
      <w:sz w:val="24"/>
    </w:rPr>
  </w:style>
  <w:style w:type="paragraph" w:customStyle="1" w:styleId="184">
    <w:name w:val="YB题四号黑"/>
    <w:basedOn w:val="185"/>
    <w:qFormat/>
    <w:uiPriority w:val="0"/>
    <w:pPr>
      <w:spacing w:line="600" w:lineRule="exact"/>
      <w:jc w:val="center"/>
    </w:pPr>
    <w:rPr>
      <w:sz w:val="28"/>
      <w:szCs w:val="28"/>
    </w:rPr>
  </w:style>
  <w:style w:type="paragraph" w:customStyle="1" w:styleId="185">
    <w:name w:val="YB目小四黑一"/>
    <w:basedOn w:val="1"/>
    <w:next w:val="1"/>
    <w:qFormat/>
    <w:uiPriority w:val="0"/>
    <w:pPr>
      <w:autoSpaceDE w:val="0"/>
      <w:autoSpaceDN w:val="0"/>
      <w:spacing w:line="500" w:lineRule="exact"/>
      <w:jc w:val="left"/>
      <w:textAlignment w:val="bottom"/>
      <w:outlineLvl w:val="0"/>
    </w:pPr>
    <w:rPr>
      <w:rFonts w:eastAsia="黑体"/>
      <w:sz w:val="24"/>
      <w:szCs w:val="20"/>
    </w:rPr>
  </w:style>
  <w:style w:type="paragraph" w:customStyle="1" w:styleId="186">
    <w:name w:val="xl54"/>
    <w:basedOn w:val="1"/>
    <w:qFormat/>
    <w:uiPriority w:val="0"/>
    <w:pPr>
      <w:widowControl/>
      <w:pBdr>
        <w:top w:val="single" w:color="auto" w:sz="4" w:space="0"/>
        <w:bottom w:val="single" w:color="auto" w:sz="4" w:space="0"/>
        <w:right w:val="single" w:color="auto" w:sz="4" w:space="0"/>
      </w:pBdr>
      <w:spacing w:before="100" w:beforeAutospacing="1" w:after="100" w:afterAutospacing="1" w:line="360" w:lineRule="auto"/>
      <w:jc w:val="center"/>
    </w:pPr>
    <w:rPr>
      <w:kern w:val="0"/>
      <w:sz w:val="24"/>
    </w:rPr>
  </w:style>
  <w:style w:type="paragraph" w:customStyle="1" w:styleId="187">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pPr>
    <w:rPr>
      <w:rFonts w:ascii="Arial Unicode MS" w:hAnsi="Arial Unicode MS" w:eastAsia="Arial Unicode MS" w:cs="Arial Unicode MS"/>
      <w:kern w:val="0"/>
      <w:sz w:val="24"/>
    </w:rPr>
  </w:style>
  <w:style w:type="paragraph" w:customStyle="1" w:styleId="188">
    <w:name w:val="表格文字"/>
    <w:basedOn w:val="1"/>
    <w:qFormat/>
    <w:uiPriority w:val="0"/>
    <w:pPr>
      <w:spacing w:line="180" w:lineRule="auto"/>
      <w:jc w:val="center"/>
    </w:pPr>
    <w:rPr>
      <w:rFonts w:ascii="Arial" w:hAnsi="Arial"/>
      <w:snapToGrid w:val="0"/>
      <w:kern w:val="11"/>
      <w:sz w:val="18"/>
      <w:szCs w:val="18"/>
    </w:rPr>
  </w:style>
  <w:style w:type="paragraph" w:customStyle="1" w:styleId="189">
    <w:name w:val="xl50"/>
    <w:basedOn w:val="1"/>
    <w:qFormat/>
    <w:uiPriority w:val="0"/>
    <w:pPr>
      <w:widowControl/>
      <w:pBdr>
        <w:bottom w:val="single" w:color="auto" w:sz="4" w:space="0"/>
      </w:pBdr>
      <w:spacing w:before="100" w:beforeAutospacing="1" w:after="100" w:afterAutospacing="1" w:line="360" w:lineRule="auto"/>
      <w:jc w:val="left"/>
      <w:textAlignment w:val="center"/>
    </w:pPr>
    <w:rPr>
      <w:rFonts w:hint="eastAsia" w:ascii="仿宋_GB2312" w:hAnsi="Arial Unicode MS" w:eastAsia="仿宋_GB2312"/>
      <w:kern w:val="0"/>
      <w:sz w:val="20"/>
      <w:szCs w:val="20"/>
    </w:rPr>
  </w:style>
  <w:style w:type="paragraph" w:customStyle="1" w:styleId="190">
    <w:name w:val="p2"/>
    <w:basedOn w:val="64"/>
    <w:qFormat/>
    <w:uiPriority w:val="0"/>
    <w:pPr>
      <w:autoSpaceDE/>
      <w:autoSpaceDN/>
      <w:adjustRightInd/>
      <w:snapToGrid/>
      <w:spacing w:before="240" w:after="60" w:line="312" w:lineRule="auto"/>
      <w:outlineLvl w:val="1"/>
    </w:pPr>
    <w:rPr>
      <w:rFonts w:ascii="Arial" w:hAnsi="Arial" w:cs="Arial"/>
      <w:color w:val="auto"/>
      <w:sz w:val="28"/>
      <w:szCs w:val="28"/>
    </w:rPr>
  </w:style>
  <w:style w:type="paragraph" w:customStyle="1" w:styleId="191">
    <w:name w:val="Char Char Char Char"/>
    <w:basedOn w:val="1"/>
    <w:qFormat/>
    <w:uiPriority w:val="0"/>
    <w:pPr>
      <w:spacing w:line="360" w:lineRule="auto"/>
      <w:ind w:firstLine="200" w:firstLineChars="200"/>
    </w:pPr>
    <w:rPr>
      <w:rFonts w:ascii="宋体" w:hAnsi="宋体" w:cs="宋体"/>
      <w:sz w:val="24"/>
      <w:szCs w:val="26"/>
    </w:rPr>
  </w:style>
  <w:style w:type="paragraph" w:customStyle="1" w:styleId="192">
    <w:name w:val="金安桥正文"/>
    <w:basedOn w:val="35"/>
    <w:qFormat/>
    <w:uiPriority w:val="0"/>
    <w:pPr>
      <w:adjustRightInd w:val="0"/>
      <w:spacing w:line="300" w:lineRule="auto"/>
      <w:ind w:firstLine="480" w:firstLineChars="200"/>
      <w:jc w:val="left"/>
      <w:textAlignment w:val="baseline"/>
    </w:pPr>
    <w:rPr>
      <w:kern w:val="0"/>
      <w:sz w:val="24"/>
      <w:szCs w:val="20"/>
    </w:rPr>
  </w:style>
  <w:style w:type="paragraph" w:customStyle="1" w:styleId="193">
    <w:name w:val="表格"/>
    <w:basedOn w:val="1"/>
    <w:next w:val="1"/>
    <w:link w:val="934"/>
    <w:qFormat/>
    <w:uiPriority w:val="0"/>
    <w:pPr>
      <w:keepLines/>
      <w:topLinePunct/>
      <w:adjustRightInd w:val="0"/>
      <w:spacing w:line="240" w:lineRule="atLeast"/>
      <w:jc w:val="center"/>
      <w:textAlignment w:val="baseline"/>
    </w:pPr>
    <w:rPr>
      <w:kern w:val="0"/>
      <w:szCs w:val="20"/>
    </w:rPr>
  </w:style>
  <w:style w:type="paragraph" w:customStyle="1" w:styleId="194">
    <w:name w:val="xl75"/>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textAlignment w:val="center"/>
    </w:pPr>
    <w:rPr>
      <w:rFonts w:hint="eastAsia" w:ascii="宋体" w:hAnsi="宋体"/>
      <w:kern w:val="0"/>
      <w:sz w:val="22"/>
      <w:szCs w:val="22"/>
    </w:rPr>
  </w:style>
  <w:style w:type="paragraph" w:customStyle="1" w:styleId="195">
    <w:name w:val="样式 样式 样式 样式 zw标题2 + 首行缩进:  2 字符 段前: 0.25 行 段后: 0.25 行 + 首行缩进:  2..."/>
    <w:basedOn w:val="196"/>
    <w:qFormat/>
    <w:uiPriority w:val="0"/>
    <w:pPr>
      <w:ind w:firstLine="561"/>
    </w:pPr>
  </w:style>
  <w:style w:type="paragraph" w:customStyle="1" w:styleId="196">
    <w:name w:val="zw标题2"/>
    <w:basedOn w:val="1"/>
    <w:qFormat/>
    <w:uiPriority w:val="0"/>
    <w:pPr>
      <w:spacing w:beforeLines="25" w:afterLines="25" w:line="360" w:lineRule="auto"/>
      <w:ind w:firstLine="200" w:firstLineChars="200"/>
      <w:jc w:val="left"/>
    </w:pPr>
    <w:rPr>
      <w:rFonts w:ascii="华文中宋" w:hAnsi="华文中宋" w:eastAsia="华文中宋"/>
      <w:b/>
      <w:color w:val="000000"/>
      <w:sz w:val="28"/>
    </w:rPr>
  </w:style>
  <w:style w:type="paragraph" w:customStyle="1" w:styleId="197">
    <w:name w:val="Char Char Char Char Char Char Char Char Char Char"/>
    <w:basedOn w:val="1"/>
    <w:qFormat/>
    <w:uiPriority w:val="0"/>
    <w:pPr>
      <w:spacing w:line="500" w:lineRule="exact"/>
      <w:ind w:firstLine="200" w:firstLineChars="200"/>
    </w:pPr>
    <w:rPr>
      <w:rFonts w:ascii="宋体" w:hAnsi="宋体" w:cs="宋体"/>
      <w:sz w:val="24"/>
    </w:rPr>
  </w:style>
  <w:style w:type="paragraph" w:customStyle="1" w:styleId="198">
    <w:name w:val="标准正文"/>
    <w:basedOn w:val="1"/>
    <w:link w:val="832"/>
    <w:qFormat/>
    <w:uiPriority w:val="0"/>
    <w:pPr>
      <w:widowControl/>
      <w:autoSpaceDE w:val="0"/>
      <w:autoSpaceDN w:val="0"/>
      <w:adjustRightInd w:val="0"/>
      <w:snapToGrid w:val="0"/>
      <w:spacing w:line="500" w:lineRule="exact"/>
      <w:ind w:firstLine="480" w:firstLineChars="200"/>
    </w:pPr>
    <w:rPr>
      <w:rFonts w:hAnsi="宋体"/>
      <w:color w:val="000000"/>
      <w:kern w:val="0"/>
      <w:sz w:val="24"/>
    </w:rPr>
  </w:style>
  <w:style w:type="paragraph" w:customStyle="1" w:styleId="199">
    <w:name w:val="Char"/>
    <w:basedOn w:val="1"/>
    <w:qFormat/>
    <w:uiPriority w:val="0"/>
    <w:pPr>
      <w:spacing w:line="360" w:lineRule="auto"/>
      <w:ind w:firstLine="200" w:firstLineChars="200"/>
    </w:pPr>
    <w:rPr>
      <w:rFonts w:ascii="宋体" w:hAnsi="宋体" w:cs="宋体"/>
      <w:sz w:val="24"/>
    </w:rPr>
  </w:style>
  <w:style w:type="paragraph" w:customStyle="1" w:styleId="200">
    <w:name w:val="剖面3"/>
    <w:basedOn w:val="1"/>
    <w:qFormat/>
    <w:uiPriority w:val="0"/>
    <w:pPr>
      <w:spacing w:line="280" w:lineRule="exact"/>
      <w:ind w:left="250" w:leftChars="250" w:right="400" w:rightChars="400"/>
      <w:jc w:val="left"/>
    </w:pPr>
    <w:rPr>
      <w:sz w:val="18"/>
    </w:rPr>
  </w:style>
  <w:style w:type="paragraph" w:customStyle="1" w:styleId="201">
    <w:name w:val="xl47"/>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left"/>
    </w:pPr>
    <w:rPr>
      <w:rFonts w:ascii="Arial Unicode MS" w:hAnsi="Arial Unicode MS"/>
      <w:kern w:val="0"/>
      <w:sz w:val="16"/>
      <w:szCs w:val="16"/>
    </w:rPr>
  </w:style>
  <w:style w:type="paragraph" w:customStyle="1" w:styleId="202">
    <w:name w:val="font9"/>
    <w:basedOn w:val="1"/>
    <w:qFormat/>
    <w:uiPriority w:val="0"/>
    <w:pPr>
      <w:widowControl/>
      <w:spacing w:before="100" w:beforeAutospacing="1" w:after="100" w:afterAutospacing="1" w:line="360" w:lineRule="auto"/>
      <w:jc w:val="left"/>
    </w:pPr>
    <w:rPr>
      <w:rFonts w:eastAsia="Arial Unicode MS"/>
      <w:b/>
      <w:bCs/>
      <w:kern w:val="0"/>
      <w:sz w:val="28"/>
      <w:szCs w:val="28"/>
    </w:rPr>
  </w:style>
  <w:style w:type="paragraph" w:customStyle="1" w:styleId="203">
    <w:name w:val="表格标题"/>
    <w:basedOn w:val="1"/>
    <w:semiHidden/>
    <w:qFormat/>
    <w:uiPriority w:val="0"/>
    <w:pPr>
      <w:adjustRightInd w:val="0"/>
      <w:snapToGrid w:val="0"/>
      <w:spacing w:before="156" w:beforeLines="50" w:line="300" w:lineRule="auto"/>
      <w:ind w:firstLine="1222" w:firstLineChars="509"/>
      <w:outlineLvl w:val="4"/>
    </w:pPr>
    <w:rPr>
      <w:rFonts w:ascii="Arial" w:hAnsi="Arial" w:eastAsia="黑体"/>
      <w:sz w:val="24"/>
    </w:rPr>
  </w:style>
  <w:style w:type="paragraph" w:customStyle="1" w:styleId="204">
    <w:name w:val="Char Char Char"/>
    <w:basedOn w:val="1"/>
    <w:qFormat/>
    <w:uiPriority w:val="0"/>
    <w:pPr>
      <w:widowControl/>
      <w:spacing w:after="160" w:line="240" w:lineRule="exact"/>
      <w:jc w:val="center"/>
    </w:pPr>
    <w:rPr>
      <w:rFonts w:ascii="黑体" w:hAnsi="Verdana" w:eastAsia="黑体"/>
      <w:kern w:val="0"/>
      <w:sz w:val="32"/>
      <w:szCs w:val="32"/>
      <w:lang w:eastAsia="en-US"/>
    </w:rPr>
  </w:style>
  <w:style w:type="paragraph" w:customStyle="1" w:styleId="205">
    <w:name w:val="样式 zw标题2 .. + 首行缩进:  2 字符 段前: 0.25 行 段后: 0.25 行"/>
    <w:basedOn w:val="1"/>
    <w:qFormat/>
    <w:uiPriority w:val="0"/>
    <w:pPr>
      <w:spacing w:beforeLines="25" w:afterLines="25" w:line="500" w:lineRule="exact"/>
      <w:ind w:firstLine="200" w:firstLineChars="200"/>
      <w:jc w:val="left"/>
    </w:pPr>
    <w:rPr>
      <w:rFonts w:ascii="华文中宋" w:hAnsi="华文中宋" w:eastAsia="华文中宋"/>
      <w:b/>
      <w:bCs/>
      <w:color w:val="000000"/>
      <w:sz w:val="28"/>
      <w:szCs w:val="20"/>
    </w:rPr>
  </w:style>
  <w:style w:type="paragraph" w:customStyle="1" w:styleId="206">
    <w:name w:val="样式 标题 2 + (西文) Times New Roman 自动设置 段前: 0 磅 段后: 0 磅 行距: 最小值 ..."/>
    <w:basedOn w:val="4"/>
    <w:qFormat/>
    <w:uiPriority w:val="0"/>
    <w:pPr>
      <w:adjustRightInd w:val="0"/>
      <w:spacing w:before="0" w:after="0" w:line="500" w:lineRule="atLeast"/>
      <w:textAlignment w:val="baseline"/>
    </w:pPr>
    <w:rPr>
      <w:rFonts w:ascii="Times New Roman" w:hAnsi="Times New Roman" w:eastAsia="黑体" w:cs="宋体"/>
      <w:bCs w:val="0"/>
      <w:kern w:val="0"/>
      <w:sz w:val="24"/>
      <w:szCs w:val="20"/>
      <w:lang w:val="en-GB"/>
    </w:rPr>
  </w:style>
  <w:style w:type="paragraph" w:customStyle="1" w:styleId="207">
    <w:name w:val="样式2"/>
    <w:basedOn w:val="1"/>
    <w:link w:val="807"/>
    <w:qFormat/>
    <w:uiPriority w:val="0"/>
    <w:pPr>
      <w:spacing w:line="460" w:lineRule="atLeast"/>
      <w:ind w:firstLine="480" w:firstLineChars="200"/>
    </w:pPr>
    <w:rPr>
      <w:sz w:val="24"/>
      <w:szCs w:val="20"/>
    </w:rPr>
  </w:style>
  <w:style w:type="paragraph" w:customStyle="1" w:styleId="208">
    <w:name w:val="剖面1"/>
    <w:basedOn w:val="1"/>
    <w:qFormat/>
    <w:uiPriority w:val="0"/>
    <w:pPr>
      <w:spacing w:line="280" w:lineRule="exact"/>
      <w:ind w:right="100" w:rightChars="100" w:firstLine="200" w:firstLineChars="200"/>
      <w:jc w:val="left"/>
    </w:pPr>
    <w:rPr>
      <w:sz w:val="18"/>
    </w:rPr>
  </w:style>
  <w:style w:type="paragraph" w:customStyle="1" w:styleId="209">
    <w:name w:val="样式"/>
    <w:basedOn w:val="1"/>
    <w:next w:val="1"/>
    <w:qFormat/>
    <w:uiPriority w:val="0"/>
    <w:pPr>
      <w:keepNext/>
      <w:keepLines/>
      <w:spacing w:before="260" w:after="260" w:line="416" w:lineRule="auto"/>
      <w:jc w:val="left"/>
      <w:outlineLvl w:val="1"/>
    </w:pPr>
    <w:rPr>
      <w:rFonts w:ascii="Arial" w:hAnsi="Arial" w:eastAsia="黑体" w:cs="Arial"/>
      <w:b/>
      <w:bCs/>
      <w:sz w:val="32"/>
      <w:szCs w:val="32"/>
    </w:rPr>
  </w:style>
  <w:style w:type="paragraph" w:customStyle="1" w:styleId="210">
    <w:name w:val="YB图"/>
    <w:basedOn w:val="1"/>
    <w:next w:val="211"/>
    <w:qFormat/>
    <w:uiPriority w:val="0"/>
    <w:pPr>
      <w:pBdr>
        <w:top w:val="single" w:color="auto" w:sz="4" w:space="1"/>
        <w:left w:val="single" w:color="auto" w:sz="4" w:space="4"/>
        <w:bottom w:val="single" w:color="auto" w:sz="4" w:space="1"/>
        <w:right w:val="single" w:color="auto" w:sz="4" w:space="4"/>
      </w:pBdr>
      <w:autoSpaceDE w:val="0"/>
      <w:autoSpaceDN w:val="0"/>
      <w:spacing w:line="240" w:lineRule="atLeast"/>
      <w:jc w:val="left"/>
      <w:textAlignment w:val="bottom"/>
    </w:pPr>
    <w:rPr>
      <w:sz w:val="24"/>
      <w:szCs w:val="20"/>
    </w:rPr>
  </w:style>
  <w:style w:type="paragraph" w:customStyle="1" w:styleId="211">
    <w:name w:val="YB正文五号宋体"/>
    <w:basedOn w:val="176"/>
    <w:qFormat/>
    <w:uiPriority w:val="0"/>
    <w:pPr>
      <w:spacing w:line="400" w:lineRule="exact"/>
      <w:jc w:val="center"/>
    </w:pPr>
    <w:rPr>
      <w:rFonts w:ascii="Calibri" w:hAnsi="Calibri"/>
      <w:sz w:val="21"/>
    </w:rPr>
  </w:style>
  <w:style w:type="paragraph" w:customStyle="1" w:styleId="212">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pPr>
    <w:rPr>
      <w:rFonts w:ascii="宋体" w:hAnsi="宋体" w:cs="宋体"/>
      <w:color w:val="FF0000"/>
      <w:kern w:val="0"/>
      <w:sz w:val="20"/>
      <w:szCs w:val="20"/>
    </w:rPr>
  </w:style>
  <w:style w:type="paragraph" w:customStyle="1" w:styleId="213">
    <w:name w:val="3"/>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4">
    <w:name w:val="1"/>
    <w:basedOn w:val="1"/>
    <w:next w:val="21"/>
    <w:qFormat/>
    <w:uiPriority w:val="0"/>
    <w:pPr>
      <w:adjustRightInd w:val="0"/>
      <w:spacing w:before="120" w:line="500" w:lineRule="exact"/>
      <w:ind w:firstLine="420"/>
      <w:textAlignment w:val="baseline"/>
    </w:pPr>
    <w:rPr>
      <w:rFonts w:ascii="宋体"/>
      <w:kern w:val="0"/>
      <w:sz w:val="24"/>
      <w:szCs w:val="20"/>
    </w:rPr>
  </w:style>
  <w:style w:type="paragraph" w:customStyle="1" w:styleId="215">
    <w:name w:val="引用1"/>
    <w:basedOn w:val="1"/>
    <w:next w:val="1"/>
    <w:qFormat/>
    <w:uiPriority w:val="29"/>
    <w:rPr>
      <w:rFonts w:ascii="Calibri" w:hAnsi="Calibri"/>
      <w:i/>
      <w:iCs/>
      <w:color w:val="000000"/>
      <w:sz w:val="24"/>
      <w:szCs w:val="22"/>
    </w:rPr>
  </w:style>
  <w:style w:type="paragraph" w:customStyle="1" w:styleId="216">
    <w:name w:val="样式 标题 6 + Times New Roman 四号 Char Char"/>
    <w:basedOn w:val="8"/>
    <w:qFormat/>
    <w:uiPriority w:val="0"/>
    <w:pPr>
      <w:adjustRightInd/>
      <w:spacing w:line="320" w:lineRule="auto"/>
      <w:ind w:left="0" w:firstLine="0"/>
      <w:jc w:val="left"/>
      <w:textAlignment w:val="auto"/>
    </w:pPr>
    <w:rPr>
      <w:rFonts w:ascii="Times New Roman" w:hAnsi="Times New Roman" w:eastAsia="宋体"/>
      <w:bCs/>
      <w:kern w:val="2"/>
      <w:position w:val="0"/>
      <w:sz w:val="28"/>
      <w:szCs w:val="24"/>
    </w:rPr>
  </w:style>
  <w:style w:type="paragraph" w:customStyle="1" w:styleId="217">
    <w:name w:val="xl2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kern w:val="0"/>
      <w:sz w:val="20"/>
      <w:szCs w:val="20"/>
    </w:rPr>
  </w:style>
  <w:style w:type="paragraph" w:customStyle="1" w:styleId="218">
    <w:name w:val="标准文件_段"/>
    <w:qFormat/>
    <w:uiPriority w:val="0"/>
    <w:pPr>
      <w:autoSpaceDE w:val="0"/>
      <w:autoSpaceDN w:val="0"/>
      <w:adjustRightInd w:val="0"/>
      <w:snapToGrid w:val="0"/>
      <w:spacing w:line="440" w:lineRule="exact"/>
      <w:ind w:firstLine="428" w:firstLineChars="200"/>
    </w:pPr>
    <w:rPr>
      <w:rFonts w:ascii="宋体" w:hAnsi="Times New Roman" w:eastAsia="宋体" w:cs="Times New Roman"/>
      <w:spacing w:val="2"/>
      <w:sz w:val="21"/>
      <w:lang w:val="en-US" w:eastAsia="zh-CN" w:bidi="ar-SA"/>
    </w:rPr>
  </w:style>
  <w:style w:type="paragraph" w:customStyle="1" w:styleId="219">
    <w:name w:val="表内文字"/>
    <w:basedOn w:val="1"/>
    <w:qFormat/>
    <w:uiPriority w:val="0"/>
    <w:pPr>
      <w:adjustRightInd w:val="0"/>
      <w:snapToGrid w:val="0"/>
      <w:spacing w:before="30" w:beforeLines="30" w:after="30" w:afterLines="30"/>
      <w:jc w:val="center"/>
    </w:pPr>
  </w:style>
  <w:style w:type="paragraph" w:customStyle="1" w:styleId="220">
    <w:name w:val="样式 仿宋_GB2312 四号 段前: 7.8 磅 段后: 7.8 磅 行距: 1.5 倍行距"/>
    <w:basedOn w:val="1"/>
    <w:qFormat/>
    <w:uiPriority w:val="0"/>
    <w:pPr>
      <w:spacing w:before="156" w:after="156" w:line="360" w:lineRule="auto"/>
      <w:ind w:firstLine="630" w:firstLineChars="225"/>
      <w:jc w:val="left"/>
    </w:pPr>
    <w:rPr>
      <w:rFonts w:ascii="Arial" w:hAnsi="Arial"/>
      <w:sz w:val="24"/>
      <w:szCs w:val="20"/>
    </w:rPr>
  </w:style>
  <w:style w:type="paragraph" w:customStyle="1" w:styleId="221">
    <w:name w:val="表名"/>
    <w:basedOn w:val="1"/>
    <w:qFormat/>
    <w:uiPriority w:val="0"/>
    <w:pPr>
      <w:adjustRightInd w:val="0"/>
      <w:snapToGrid w:val="0"/>
      <w:spacing w:line="240" w:lineRule="exact"/>
      <w:jc w:val="center"/>
    </w:pPr>
    <w:rPr>
      <w:rFonts w:ascii="宋体" w:hAnsi="宋体"/>
      <w:b/>
      <w:bCs/>
      <w:sz w:val="24"/>
      <w:szCs w:val="21"/>
    </w:rPr>
  </w:style>
  <w:style w:type="paragraph" w:customStyle="1" w:styleId="222">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Arial Unicode MS" w:hAnsi="Arial Unicode MS" w:eastAsia="Arial Unicode MS" w:cs="Arial Unicode MS"/>
      <w:kern w:val="0"/>
      <w:sz w:val="24"/>
    </w:rPr>
  </w:style>
  <w:style w:type="paragraph" w:customStyle="1" w:styleId="223">
    <w:name w:val="正文文本缩进 31"/>
    <w:basedOn w:val="1"/>
    <w:qFormat/>
    <w:uiPriority w:val="0"/>
    <w:pPr>
      <w:adjustRightInd w:val="0"/>
      <w:spacing w:line="500" w:lineRule="exact"/>
      <w:ind w:firstLine="555"/>
      <w:textAlignment w:val="baseline"/>
    </w:pPr>
    <w:rPr>
      <w:rFonts w:ascii="宋体"/>
      <w:color w:val="000000"/>
      <w:kern w:val="0"/>
      <w:sz w:val="24"/>
      <w:szCs w:val="20"/>
    </w:rPr>
  </w:style>
  <w:style w:type="paragraph" w:customStyle="1" w:styleId="224">
    <w:name w:val="样式 标题 3 + (中文) 黑体 四号 非加粗 左 段前: 10 磅 段后: 10 磅 行距: 最小值 20 磅"/>
    <w:basedOn w:val="5"/>
    <w:qFormat/>
    <w:uiPriority w:val="0"/>
    <w:pPr>
      <w:tabs>
        <w:tab w:val="left" w:pos="360"/>
      </w:tabs>
      <w:adjustRightInd/>
      <w:spacing w:beforeLines="100" w:afterLines="100" w:line="400" w:lineRule="atLeast"/>
      <w:textAlignment w:val="auto"/>
    </w:pPr>
    <w:rPr>
      <w:rFonts w:cs="宋体"/>
      <w:bCs w:val="0"/>
      <w:szCs w:val="20"/>
    </w:rPr>
  </w:style>
  <w:style w:type="paragraph" w:customStyle="1" w:styleId="225">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kern w:val="0"/>
      <w:sz w:val="16"/>
      <w:szCs w:val="16"/>
    </w:rPr>
  </w:style>
  <w:style w:type="paragraph" w:customStyle="1" w:styleId="226">
    <w:name w:val="xl38"/>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pPr>
    <w:rPr>
      <w:rFonts w:ascii="Arial Unicode MS" w:hAnsi="Arial Unicode MS" w:eastAsia="Arial Unicode MS" w:cs="Arial Unicode MS"/>
      <w:kern w:val="0"/>
      <w:sz w:val="24"/>
    </w:rPr>
  </w:style>
  <w:style w:type="paragraph" w:customStyle="1" w:styleId="227">
    <w:name w:val="p4 Char"/>
    <w:basedOn w:val="1"/>
    <w:qFormat/>
    <w:uiPriority w:val="0"/>
    <w:pPr>
      <w:spacing w:line="360" w:lineRule="auto"/>
      <w:ind w:left="113"/>
      <w:jc w:val="left"/>
      <w:outlineLvl w:val="3"/>
    </w:pPr>
    <w:rPr>
      <w:b/>
      <w:color w:val="000000"/>
      <w:sz w:val="24"/>
    </w:rPr>
  </w:style>
  <w:style w:type="paragraph" w:customStyle="1" w:styleId="228">
    <w:name w:val="Char Char Char Char Char Char Char Char Char"/>
    <w:basedOn w:val="1"/>
    <w:qFormat/>
    <w:uiPriority w:val="0"/>
    <w:rPr>
      <w:szCs w:val="20"/>
    </w:rPr>
  </w:style>
  <w:style w:type="paragraph" w:customStyle="1" w:styleId="229">
    <w:name w:val="文件头"/>
    <w:basedOn w:val="45"/>
    <w:qFormat/>
    <w:uiPriority w:val="0"/>
    <w:pPr>
      <w:snapToGrid w:val="0"/>
      <w:spacing w:before="30" w:beforeLines="30" w:after="30" w:afterLines="30"/>
      <w:jc w:val="left"/>
    </w:pPr>
    <w:rPr>
      <w:rFonts w:ascii="Times New Roman" w:hAnsi="Times New Roman" w:eastAsia="方正小标宋简体"/>
      <w:color w:val="000000"/>
      <w:sz w:val="24"/>
    </w:rPr>
  </w:style>
  <w:style w:type="paragraph" w:customStyle="1" w:styleId="230">
    <w:name w:val="A正文四号宋体"/>
    <w:basedOn w:val="1"/>
    <w:qFormat/>
    <w:uiPriority w:val="0"/>
    <w:pPr>
      <w:autoSpaceDE w:val="0"/>
      <w:autoSpaceDN w:val="0"/>
      <w:spacing w:line="500" w:lineRule="atLeast"/>
      <w:ind w:firstLine="200" w:firstLineChars="200"/>
      <w:jc w:val="left"/>
      <w:textAlignment w:val="bottom"/>
    </w:pPr>
    <w:rPr>
      <w:sz w:val="28"/>
    </w:rPr>
  </w:style>
  <w:style w:type="paragraph" w:customStyle="1" w:styleId="231">
    <w:name w:val="xl58"/>
    <w:basedOn w:val="1"/>
    <w:qFormat/>
    <w:uiPriority w:val="0"/>
    <w:pPr>
      <w:widowControl/>
      <w:pBdr>
        <w:left w:val="single" w:color="auto" w:sz="4" w:space="0"/>
      </w:pBdr>
      <w:spacing w:before="100" w:beforeAutospacing="1" w:after="100" w:afterAutospacing="1" w:line="360" w:lineRule="auto"/>
      <w:jc w:val="center"/>
      <w:textAlignment w:val="center"/>
    </w:pPr>
    <w:rPr>
      <w:rFonts w:hint="eastAsia" w:ascii="仿宋_GB2312" w:hAnsi="Arial Unicode MS" w:eastAsia="仿宋_GB2312"/>
      <w:kern w:val="0"/>
      <w:sz w:val="20"/>
      <w:szCs w:val="20"/>
    </w:rPr>
  </w:style>
  <w:style w:type="paragraph" w:customStyle="1" w:styleId="232">
    <w:name w:val="font12"/>
    <w:basedOn w:val="1"/>
    <w:qFormat/>
    <w:uiPriority w:val="0"/>
    <w:pPr>
      <w:widowControl/>
      <w:spacing w:before="100" w:beforeAutospacing="1" w:after="100" w:afterAutospacing="1" w:line="360" w:lineRule="auto"/>
      <w:jc w:val="left"/>
    </w:pPr>
    <w:rPr>
      <w:rFonts w:hint="eastAsia" w:ascii="宋体" w:hAnsi="宋体"/>
      <w:kern w:val="0"/>
      <w:sz w:val="20"/>
      <w:szCs w:val="20"/>
    </w:rPr>
  </w:style>
  <w:style w:type="paragraph" w:customStyle="1" w:styleId="233">
    <w:name w:val="xl2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kern w:val="0"/>
      <w:sz w:val="20"/>
      <w:szCs w:val="20"/>
    </w:rPr>
  </w:style>
  <w:style w:type="paragraph" w:customStyle="1" w:styleId="234">
    <w:name w:val="B正文小四宋体"/>
    <w:basedOn w:val="1"/>
    <w:link w:val="776"/>
    <w:qFormat/>
    <w:uiPriority w:val="0"/>
    <w:pPr>
      <w:autoSpaceDE w:val="0"/>
      <w:autoSpaceDN w:val="0"/>
      <w:spacing w:line="500" w:lineRule="exact"/>
      <w:ind w:firstLine="200" w:firstLineChars="200"/>
      <w:jc w:val="left"/>
      <w:textAlignment w:val="bottom"/>
    </w:pPr>
    <w:rPr>
      <w:color w:val="000000"/>
      <w:kern w:val="0"/>
      <w:sz w:val="24"/>
    </w:rPr>
  </w:style>
  <w:style w:type="paragraph" w:customStyle="1" w:styleId="235">
    <w:name w:val=".."/>
    <w:basedOn w:val="1"/>
    <w:next w:val="1"/>
    <w:qFormat/>
    <w:uiPriority w:val="99"/>
    <w:pPr>
      <w:autoSpaceDE w:val="0"/>
      <w:autoSpaceDN w:val="0"/>
      <w:adjustRightInd w:val="0"/>
      <w:jc w:val="left"/>
    </w:pPr>
    <w:rPr>
      <w:kern w:val="0"/>
      <w:sz w:val="24"/>
    </w:rPr>
  </w:style>
  <w:style w:type="paragraph" w:customStyle="1" w:styleId="236">
    <w:name w:val="无间隔1"/>
    <w:basedOn w:val="1"/>
    <w:next w:val="1"/>
    <w:qFormat/>
    <w:uiPriority w:val="1"/>
    <w:rPr>
      <w:rFonts w:ascii="Calibri" w:hAnsi="Calibri"/>
      <w:sz w:val="24"/>
      <w:szCs w:val="22"/>
    </w:rPr>
  </w:style>
  <w:style w:type="paragraph" w:customStyle="1" w:styleId="237">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Arial Unicode MS" w:hAnsi="Arial Unicode MS"/>
      <w:kern w:val="0"/>
      <w:sz w:val="16"/>
      <w:szCs w:val="16"/>
    </w:rPr>
  </w:style>
  <w:style w:type="paragraph" w:customStyle="1" w:styleId="238">
    <w:name w:val="xl56"/>
    <w:basedOn w:val="1"/>
    <w:qFormat/>
    <w:uiPriority w:val="0"/>
    <w:pPr>
      <w:widowControl/>
      <w:pBdr>
        <w:top w:val="single" w:color="auto" w:sz="4" w:space="0"/>
      </w:pBdr>
      <w:spacing w:before="100" w:beforeAutospacing="1" w:after="100" w:afterAutospacing="1" w:line="360" w:lineRule="auto"/>
      <w:jc w:val="center"/>
      <w:textAlignment w:val="center"/>
    </w:pPr>
    <w:rPr>
      <w:rFonts w:hint="eastAsia" w:ascii="仿宋_GB2312" w:hAnsi="Arial Unicode MS" w:eastAsia="仿宋_GB2312"/>
      <w:kern w:val="0"/>
      <w:sz w:val="20"/>
      <w:szCs w:val="20"/>
    </w:rPr>
  </w:style>
  <w:style w:type="paragraph" w:customStyle="1" w:styleId="239">
    <w:name w:val="YB表头小四黑体"/>
    <w:basedOn w:val="1"/>
    <w:next w:val="1"/>
    <w:link w:val="858"/>
    <w:qFormat/>
    <w:uiPriority w:val="0"/>
    <w:pPr>
      <w:autoSpaceDE w:val="0"/>
      <w:autoSpaceDN w:val="0"/>
      <w:adjustRightInd w:val="0"/>
      <w:snapToGrid w:val="0"/>
      <w:spacing w:line="500" w:lineRule="exact"/>
      <w:jc w:val="center"/>
      <w:textAlignment w:val="bottom"/>
    </w:pPr>
    <w:rPr>
      <w:rFonts w:eastAsia="黑体"/>
      <w:kern w:val="0"/>
      <w:sz w:val="24"/>
      <w:szCs w:val="20"/>
    </w:rPr>
  </w:style>
  <w:style w:type="paragraph" w:customStyle="1" w:styleId="240">
    <w:name w:val="表格2"/>
    <w:basedOn w:val="1"/>
    <w:qFormat/>
    <w:uiPriority w:val="0"/>
    <w:pPr>
      <w:adjustRightInd w:val="0"/>
      <w:spacing w:line="280" w:lineRule="exact"/>
      <w:jc w:val="center"/>
      <w:textAlignment w:val="baseline"/>
    </w:pPr>
    <w:rPr>
      <w:szCs w:val="20"/>
    </w:rPr>
  </w:style>
  <w:style w:type="paragraph" w:customStyle="1" w:styleId="241">
    <w:name w:val="Char21"/>
    <w:basedOn w:val="1"/>
    <w:qFormat/>
    <w:uiPriority w:val="0"/>
    <w:pPr>
      <w:spacing w:line="360" w:lineRule="auto"/>
      <w:jc w:val="left"/>
    </w:pPr>
    <w:rPr>
      <w:rFonts w:ascii="宋体" w:hAnsi="宋体"/>
      <w:b/>
      <w:sz w:val="24"/>
    </w:rPr>
  </w:style>
  <w:style w:type="paragraph" w:customStyle="1" w:styleId="242">
    <w:name w:val="A目录四号黑体"/>
    <w:basedOn w:val="1"/>
    <w:next w:val="230"/>
    <w:qFormat/>
    <w:uiPriority w:val="0"/>
    <w:pPr>
      <w:autoSpaceDE w:val="0"/>
      <w:autoSpaceDN w:val="0"/>
      <w:spacing w:line="500" w:lineRule="atLeast"/>
      <w:jc w:val="left"/>
      <w:textAlignment w:val="bottom"/>
    </w:pPr>
    <w:rPr>
      <w:rFonts w:eastAsia="黑体"/>
      <w:b/>
      <w:sz w:val="28"/>
    </w:rPr>
  </w:style>
  <w:style w:type="paragraph" w:customStyle="1" w:styleId="243">
    <w:name w:val="xl64"/>
    <w:basedOn w:val="1"/>
    <w:qFormat/>
    <w:uiPriority w:val="0"/>
    <w:pPr>
      <w:widowControl/>
      <w:pBdr>
        <w:left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kern w:val="0"/>
      <w:sz w:val="16"/>
      <w:szCs w:val="16"/>
    </w:rPr>
  </w:style>
  <w:style w:type="paragraph" w:customStyle="1" w:styleId="244">
    <w:name w:val="yb目录小四"/>
    <w:basedOn w:val="59"/>
    <w:next w:val="1"/>
    <w:qFormat/>
    <w:uiPriority w:val="0"/>
    <w:pPr>
      <w:tabs>
        <w:tab w:val="right" w:leader="dot" w:pos="8323"/>
        <w:tab w:val="clear" w:pos="8324"/>
      </w:tabs>
      <w:spacing w:before="0" w:after="0" w:line="400" w:lineRule="exact"/>
      <w:jc w:val="both"/>
    </w:pPr>
    <w:rPr>
      <w:rFonts w:ascii="Times New Roman" w:hAnsi="Times New Roman" w:cs="Times New Roman"/>
      <w:bCs w:val="0"/>
      <w:sz w:val="24"/>
      <w:szCs w:val="28"/>
    </w:rPr>
  </w:style>
  <w:style w:type="paragraph" w:customStyle="1" w:styleId="245">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left"/>
      <w:textAlignment w:val="center"/>
    </w:pPr>
    <w:rPr>
      <w:rFonts w:ascii="Arial Unicode MS" w:hAnsi="Arial Unicode MS"/>
      <w:kern w:val="0"/>
      <w:sz w:val="16"/>
      <w:szCs w:val="16"/>
    </w:rPr>
  </w:style>
  <w:style w:type="paragraph" w:customStyle="1" w:styleId="246">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kern w:val="0"/>
      <w:sz w:val="20"/>
      <w:szCs w:val="20"/>
    </w:rPr>
  </w:style>
  <w:style w:type="paragraph" w:customStyle="1" w:styleId="247">
    <w:name w:val="样式 样式 正文文本缩进 2 + Times New Roman 首行缩进:  1.06 厘米 行距: 固定值 30 磅 + 行..."/>
    <w:basedOn w:val="1"/>
    <w:link w:val="861"/>
    <w:qFormat/>
    <w:uiPriority w:val="0"/>
    <w:pPr>
      <w:spacing w:line="560" w:lineRule="exact"/>
      <w:ind w:firstLine="601"/>
      <w:jc w:val="left"/>
    </w:pPr>
    <w:rPr>
      <w:kern w:val="0"/>
      <w:sz w:val="28"/>
      <w:szCs w:val="28"/>
      <w:lang w:val="zh-CN"/>
    </w:rPr>
  </w:style>
  <w:style w:type="paragraph" w:customStyle="1" w:styleId="248">
    <w:name w:val="11111"/>
    <w:basedOn w:val="4"/>
    <w:qFormat/>
    <w:uiPriority w:val="0"/>
    <w:pPr>
      <w:adjustRightInd w:val="0"/>
      <w:snapToGrid w:val="0"/>
      <w:spacing w:before="120" w:after="60" w:line="480" w:lineRule="exact"/>
      <w:outlineLvl w:val="0"/>
    </w:pPr>
    <w:rPr>
      <w:rFonts w:ascii="Times New Roman" w:hAnsi="Times New Roman" w:eastAsia="黑体"/>
      <w:b w:val="0"/>
      <w:bCs w:val="0"/>
      <w:kern w:val="0"/>
      <w:sz w:val="32"/>
    </w:rPr>
  </w:style>
  <w:style w:type="paragraph" w:customStyle="1" w:styleId="249">
    <w:name w:val="A标题6"/>
    <w:basedOn w:val="1"/>
    <w:next w:val="1"/>
    <w:link w:val="821"/>
    <w:qFormat/>
    <w:uiPriority w:val="0"/>
    <w:pPr>
      <w:tabs>
        <w:tab w:val="left" w:pos="851"/>
      </w:tabs>
      <w:topLinePunct/>
      <w:spacing w:line="360" w:lineRule="auto"/>
      <w:ind w:firstLine="200" w:firstLineChars="200"/>
      <w:outlineLvl w:val="5"/>
    </w:pPr>
    <w:rPr>
      <w:kern w:val="0"/>
      <w:sz w:val="24"/>
      <w:szCs w:val="20"/>
    </w:rPr>
  </w:style>
  <w:style w:type="paragraph" w:customStyle="1" w:styleId="250">
    <w:name w:val="表题"/>
    <w:basedOn w:val="1"/>
    <w:qFormat/>
    <w:uiPriority w:val="0"/>
    <w:pPr>
      <w:tabs>
        <w:tab w:val="left" w:pos="1904"/>
      </w:tabs>
      <w:spacing w:beforeLines="50" w:afterLines="50" w:line="360" w:lineRule="auto"/>
      <w:jc w:val="center"/>
    </w:pPr>
    <w:rPr>
      <w:rFonts w:eastAsia="黑体"/>
      <w:kern w:val="28"/>
      <w:sz w:val="24"/>
      <w:szCs w:val="20"/>
    </w:rPr>
  </w:style>
  <w:style w:type="paragraph" w:customStyle="1" w:styleId="251">
    <w:name w:val="xl66"/>
    <w:basedOn w:val="1"/>
    <w:qFormat/>
    <w:uiPriority w:val="0"/>
    <w:pPr>
      <w:widowControl/>
      <w:pBdr>
        <w:bottom w:val="single" w:color="auto" w:sz="4" w:space="0"/>
        <w:right w:val="single" w:color="auto" w:sz="4" w:space="0"/>
      </w:pBdr>
      <w:spacing w:before="100" w:beforeAutospacing="1" w:after="100" w:afterAutospacing="1" w:line="360" w:lineRule="auto"/>
      <w:jc w:val="center"/>
    </w:pPr>
    <w:rPr>
      <w:kern w:val="0"/>
      <w:sz w:val="18"/>
      <w:szCs w:val="18"/>
    </w:rPr>
  </w:style>
  <w:style w:type="paragraph" w:customStyle="1" w:styleId="252">
    <w:name w:val="zw标题2 .."/>
    <w:basedOn w:val="253"/>
    <w:qFormat/>
    <w:uiPriority w:val="0"/>
    <w:pPr>
      <w:spacing w:line="500" w:lineRule="exact"/>
    </w:pPr>
  </w:style>
  <w:style w:type="paragraph" w:customStyle="1" w:styleId="253">
    <w:name w:val="样式 样式 样式 样式 样式 zw标题2 + 首行缩进:  2 字符 段前: 0.25 行 段后: 0.25 行 + 首行缩进:..."/>
    <w:basedOn w:val="195"/>
    <w:qFormat/>
    <w:uiPriority w:val="0"/>
    <w:pPr>
      <w:ind w:firstLine="200"/>
    </w:pPr>
    <w:rPr>
      <w:bCs/>
      <w:szCs w:val="20"/>
    </w:rPr>
  </w:style>
  <w:style w:type="paragraph" w:customStyle="1" w:styleId="254">
    <w:name w:val="XW正文"/>
    <w:link w:val="853"/>
    <w:qFormat/>
    <w:uiPriority w:val="0"/>
    <w:pPr>
      <w:widowControl w:val="0"/>
      <w:adjustRightInd w:val="0"/>
      <w:spacing w:line="360" w:lineRule="auto"/>
      <w:ind w:firstLine="510"/>
      <w:textAlignment w:val="baseline"/>
    </w:pPr>
    <w:rPr>
      <w:rFonts w:ascii="Times New Roman" w:hAnsi="Times New Roman" w:eastAsia="宋体" w:cs="Times New Roman"/>
      <w:kern w:val="24"/>
      <w:sz w:val="24"/>
      <w:szCs w:val="24"/>
      <w:lang w:val="en-US" w:eastAsia="zh-CN" w:bidi="ar-SA"/>
    </w:rPr>
  </w:style>
  <w:style w:type="paragraph" w:customStyle="1" w:styleId="255">
    <w:name w:val="档案"/>
    <w:basedOn w:val="1"/>
    <w:qFormat/>
    <w:uiPriority w:val="0"/>
    <w:pPr>
      <w:adjustRightInd w:val="0"/>
      <w:spacing w:line="500" w:lineRule="exact"/>
      <w:ind w:left="8280" w:right="-694" w:hanging="8280"/>
      <w:textAlignment w:val="baseline"/>
    </w:pPr>
    <w:rPr>
      <w:kern w:val="0"/>
      <w:sz w:val="28"/>
      <w:szCs w:val="20"/>
      <w:lang w:val="en-GB"/>
    </w:rPr>
  </w:style>
  <w:style w:type="paragraph" w:customStyle="1" w:styleId="256">
    <w:name w:val="字元 字元 Char Char 字元 字元 Char Char 字元 字元 Char Char 字元 字元"/>
    <w:basedOn w:val="1"/>
    <w:qFormat/>
    <w:uiPriority w:val="0"/>
    <w:pPr>
      <w:spacing w:line="360" w:lineRule="auto"/>
      <w:ind w:firstLine="200" w:firstLineChars="200"/>
      <w:jc w:val="left"/>
    </w:pPr>
    <w:rPr>
      <w:rFonts w:ascii="宋体" w:hAnsi="宋体" w:cs="宋体"/>
      <w:sz w:val="24"/>
    </w:rPr>
  </w:style>
  <w:style w:type="paragraph" w:customStyle="1" w:styleId="257">
    <w:name w:val="xl25"/>
    <w:basedOn w:val="1"/>
    <w:qFormat/>
    <w:uiPriority w:val="0"/>
    <w:pPr>
      <w:widowControl/>
      <w:pBdr>
        <w:bottom w:val="single" w:color="auto" w:sz="4" w:space="0"/>
        <w:right w:val="single" w:color="auto" w:sz="4" w:space="0"/>
      </w:pBdr>
      <w:spacing w:before="100" w:beforeAutospacing="1" w:after="100" w:afterAutospacing="1"/>
      <w:jc w:val="center"/>
      <w:textAlignment w:val="top"/>
    </w:pPr>
    <w:rPr>
      <w:kern w:val="0"/>
      <w:szCs w:val="21"/>
    </w:rPr>
  </w:style>
  <w:style w:type="paragraph" w:customStyle="1" w:styleId="258">
    <w:name w:val="Char Char Char1 Char"/>
    <w:basedOn w:val="1"/>
    <w:qFormat/>
    <w:uiPriority w:val="0"/>
    <w:pPr>
      <w:spacing w:line="500" w:lineRule="exact"/>
      <w:jc w:val="left"/>
    </w:pPr>
    <w:rPr>
      <w:sz w:val="24"/>
    </w:rPr>
  </w:style>
  <w:style w:type="paragraph" w:customStyle="1" w:styleId="259">
    <w:name w:val="xl33"/>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360" w:lineRule="auto"/>
      <w:jc w:val="center"/>
      <w:textAlignment w:val="center"/>
    </w:pPr>
    <w:rPr>
      <w:rFonts w:ascii="宋体" w:hAnsi="宋体"/>
      <w:kern w:val="0"/>
      <w:sz w:val="20"/>
      <w:szCs w:val="20"/>
    </w:rPr>
  </w:style>
  <w:style w:type="paragraph" w:customStyle="1" w:styleId="260">
    <w:name w:val="正文文本缩进 21"/>
    <w:basedOn w:val="1"/>
    <w:qFormat/>
    <w:uiPriority w:val="0"/>
    <w:pPr>
      <w:adjustRightInd w:val="0"/>
      <w:spacing w:line="500" w:lineRule="exact"/>
      <w:ind w:firstLine="855"/>
      <w:textAlignment w:val="baseline"/>
    </w:pPr>
    <w:rPr>
      <w:rFonts w:ascii="宋体"/>
      <w:kern w:val="0"/>
      <w:sz w:val="28"/>
      <w:szCs w:val="20"/>
    </w:rPr>
  </w:style>
  <w:style w:type="paragraph" w:customStyle="1" w:styleId="261">
    <w:name w:val="样式 标题4"/>
    <w:basedOn w:val="6"/>
    <w:qFormat/>
    <w:uiPriority w:val="0"/>
    <w:pPr>
      <w:spacing w:beforeLines="100" w:line="360" w:lineRule="auto"/>
      <w:ind w:left="200" w:leftChars="200" w:firstLine="200" w:firstLineChars="200"/>
      <w:jc w:val="left"/>
    </w:pPr>
    <w:rPr>
      <w:rFonts w:ascii="Arial" w:hAnsi="Arial"/>
      <w:bCs w:val="0"/>
      <w:kern w:val="0"/>
    </w:rPr>
  </w:style>
  <w:style w:type="paragraph" w:customStyle="1" w:styleId="262">
    <w:name w:val="xl43"/>
    <w:basedOn w:val="1"/>
    <w:qFormat/>
    <w:uiPriority w:val="0"/>
    <w:pPr>
      <w:widowControl/>
      <w:spacing w:before="100" w:beforeAutospacing="1" w:after="100" w:afterAutospacing="1" w:line="360" w:lineRule="auto"/>
      <w:jc w:val="center"/>
    </w:pPr>
    <w:rPr>
      <w:rFonts w:hint="eastAsia" w:ascii="仿宋_GB2312" w:hAnsi="Arial Unicode MS" w:eastAsia="仿宋_GB2312"/>
      <w:kern w:val="0"/>
      <w:sz w:val="20"/>
      <w:szCs w:val="20"/>
    </w:rPr>
  </w:style>
  <w:style w:type="paragraph" w:customStyle="1" w:styleId="263">
    <w:name w:val="页眉2"/>
    <w:basedOn w:val="57"/>
    <w:next w:val="76"/>
    <w:qFormat/>
    <w:uiPriority w:val="0"/>
    <w:pPr>
      <w:pBdr>
        <w:bottom w:val="none" w:color="auto" w:sz="0" w:space="0"/>
      </w:pBdr>
      <w:spacing w:before="100" w:beforeAutospacing="1" w:afterLines="50" w:afterAutospacing="1" w:line="360" w:lineRule="auto"/>
    </w:pPr>
    <w:rPr>
      <w:rFonts w:ascii="Times New Roman" w:hAnsi="Times New Roman" w:eastAsia="华文中宋" w:cs="Times New Roman"/>
      <w:sz w:val="48"/>
    </w:rPr>
  </w:style>
  <w:style w:type="paragraph" w:customStyle="1" w:styleId="264">
    <w:name w:val="样式1"/>
    <w:basedOn w:val="1"/>
    <w:link w:val="873"/>
    <w:qFormat/>
    <w:uiPriority w:val="0"/>
    <w:pPr>
      <w:snapToGrid w:val="0"/>
      <w:spacing w:line="360" w:lineRule="auto"/>
      <w:ind w:firstLine="540"/>
    </w:pPr>
    <w:rPr>
      <w:sz w:val="24"/>
      <w:szCs w:val="20"/>
    </w:rPr>
  </w:style>
  <w:style w:type="paragraph" w:customStyle="1" w:styleId="265">
    <w:name w:val="报告正文"/>
    <w:basedOn w:val="1"/>
    <w:link w:val="842"/>
    <w:qFormat/>
    <w:uiPriority w:val="0"/>
    <w:pPr>
      <w:adjustRightInd w:val="0"/>
      <w:spacing w:after="120" w:line="360" w:lineRule="auto"/>
      <w:ind w:firstLine="510"/>
    </w:pPr>
    <w:rPr>
      <w:rFonts w:ascii="宋体" w:hAnsi="Courier New"/>
      <w:sz w:val="24"/>
      <w:szCs w:val="20"/>
    </w:rPr>
  </w:style>
  <w:style w:type="paragraph" w:customStyle="1" w:styleId="266">
    <w:name w:val="B表格五号宋体"/>
    <w:basedOn w:val="1"/>
    <w:qFormat/>
    <w:uiPriority w:val="0"/>
    <w:pPr>
      <w:adjustRightInd w:val="0"/>
      <w:snapToGrid w:val="0"/>
      <w:spacing w:line="360" w:lineRule="auto"/>
      <w:jc w:val="center"/>
    </w:pPr>
    <w:rPr>
      <w:sz w:val="24"/>
    </w:rPr>
  </w:style>
  <w:style w:type="paragraph" w:customStyle="1" w:styleId="267">
    <w:name w:val="xhr表格五号"/>
    <w:basedOn w:val="268"/>
    <w:next w:val="268"/>
    <w:qFormat/>
    <w:uiPriority w:val="0"/>
    <w:pPr>
      <w:snapToGrid/>
      <w:spacing w:line="240" w:lineRule="auto"/>
      <w:ind w:firstLine="0" w:firstLineChars="0"/>
      <w:jc w:val="center"/>
    </w:pPr>
    <w:rPr>
      <w:sz w:val="21"/>
      <w:szCs w:val="24"/>
    </w:rPr>
  </w:style>
  <w:style w:type="paragraph" w:customStyle="1" w:styleId="268">
    <w:name w:val="XHR正文小四"/>
    <w:basedOn w:val="1"/>
    <w:qFormat/>
    <w:uiPriority w:val="0"/>
    <w:pPr>
      <w:adjustRightInd w:val="0"/>
      <w:snapToGrid w:val="0"/>
      <w:spacing w:line="520" w:lineRule="atLeast"/>
      <w:ind w:firstLine="200" w:firstLineChars="200"/>
      <w:jc w:val="left"/>
      <w:textAlignment w:val="baseline"/>
    </w:pPr>
    <w:rPr>
      <w:kern w:val="0"/>
      <w:sz w:val="28"/>
      <w:szCs w:val="28"/>
    </w:rPr>
  </w:style>
  <w:style w:type="paragraph" w:customStyle="1" w:styleId="269">
    <w:name w:val="样式 标题 1 + 左侧:  49.6 磅 首行缩进:  0 磅"/>
    <w:basedOn w:val="3"/>
    <w:qFormat/>
    <w:uiPriority w:val="0"/>
    <w:pPr>
      <w:tabs>
        <w:tab w:val="left" w:pos="425"/>
      </w:tabs>
      <w:spacing w:before="0" w:beforeLines="100" w:after="0" w:line="578" w:lineRule="atLeast"/>
      <w:ind w:left="425" w:hanging="425"/>
      <w:contextualSpacing/>
      <w:jc w:val="center"/>
    </w:pPr>
    <w:rPr>
      <w:rFonts w:ascii="Arial" w:hAnsi="Arial" w:eastAsia="黑体" w:cs="宋体"/>
      <w:b w:val="0"/>
      <w:sz w:val="30"/>
      <w:szCs w:val="20"/>
    </w:rPr>
  </w:style>
  <w:style w:type="paragraph" w:customStyle="1" w:styleId="270">
    <w:name w:val="样式 标题3 + 黑色"/>
    <w:basedOn w:val="1"/>
    <w:link w:val="840"/>
    <w:qFormat/>
    <w:uiPriority w:val="0"/>
    <w:pPr>
      <w:topLinePunct/>
      <w:adjustRightInd w:val="0"/>
      <w:spacing w:before="60" w:after="60" w:line="360" w:lineRule="auto"/>
      <w:textAlignment w:val="baseline"/>
      <w:outlineLvl w:val="2"/>
    </w:pPr>
    <w:rPr>
      <w:rFonts w:eastAsia="黑体"/>
      <w:color w:val="000000"/>
      <w:kern w:val="0"/>
      <w:sz w:val="24"/>
      <w:szCs w:val="20"/>
    </w:rPr>
  </w:style>
  <w:style w:type="paragraph" w:customStyle="1" w:styleId="271">
    <w:name w:val="xl22"/>
    <w:basedOn w:val="1"/>
    <w:qFormat/>
    <w:uiPriority w:val="0"/>
    <w:pPr>
      <w:widowControl/>
      <w:pBdr>
        <w:bottom w:val="single" w:color="auto" w:sz="4" w:space="0"/>
        <w:right w:val="single" w:color="auto" w:sz="4" w:space="0"/>
      </w:pBdr>
      <w:spacing w:before="100" w:after="100" w:line="360" w:lineRule="auto"/>
      <w:jc w:val="center"/>
      <w:textAlignment w:val="center"/>
    </w:pPr>
    <w:rPr>
      <w:kern w:val="0"/>
      <w:sz w:val="24"/>
      <w:szCs w:val="20"/>
    </w:rPr>
  </w:style>
  <w:style w:type="paragraph" w:customStyle="1" w:styleId="272">
    <w:name w:val="font1"/>
    <w:basedOn w:val="1"/>
    <w:qFormat/>
    <w:uiPriority w:val="0"/>
    <w:pPr>
      <w:widowControl/>
      <w:spacing w:before="100" w:beforeAutospacing="1" w:after="100" w:afterAutospacing="1" w:line="360" w:lineRule="auto"/>
      <w:jc w:val="left"/>
    </w:pPr>
    <w:rPr>
      <w:rFonts w:hint="eastAsia" w:ascii="宋体" w:hAnsi="宋体"/>
      <w:kern w:val="0"/>
      <w:sz w:val="24"/>
    </w:rPr>
  </w:style>
  <w:style w:type="paragraph" w:customStyle="1" w:styleId="273">
    <w:name w:val="HCH标题4"/>
    <w:next w:val="5"/>
    <w:qFormat/>
    <w:uiPriority w:val="0"/>
    <w:pPr>
      <w:tabs>
        <w:tab w:val="left" w:pos="960"/>
        <w:tab w:val="left" w:pos="1188"/>
      </w:tabs>
      <w:spacing w:line="500" w:lineRule="exact"/>
      <w:ind w:left="1188" w:hanging="1008"/>
      <w:jc w:val="center"/>
      <w:outlineLvl w:val="3"/>
    </w:pPr>
    <w:rPr>
      <w:rFonts w:ascii="Times New Roman" w:hAnsi="Times New Roman" w:eastAsia="黑体" w:cs="Times New Roman"/>
      <w:kern w:val="2"/>
      <w:sz w:val="24"/>
      <w:szCs w:val="24"/>
      <w:lang w:val="en-US" w:eastAsia="zh-CN" w:bidi="ar-SA"/>
    </w:rPr>
  </w:style>
  <w:style w:type="paragraph" w:customStyle="1" w:styleId="274">
    <w:name w:val="正文表格"/>
    <w:basedOn w:val="1"/>
    <w:qFormat/>
    <w:uiPriority w:val="0"/>
    <w:pPr>
      <w:spacing w:line="360" w:lineRule="auto"/>
      <w:jc w:val="center"/>
    </w:pPr>
    <w:rPr>
      <w:sz w:val="24"/>
      <w:szCs w:val="20"/>
    </w:rPr>
  </w:style>
  <w:style w:type="paragraph" w:customStyle="1" w:styleId="275">
    <w:name w:val="正文-海洋"/>
    <w:basedOn w:val="1"/>
    <w:link w:val="868"/>
    <w:qFormat/>
    <w:uiPriority w:val="0"/>
    <w:pPr>
      <w:spacing w:line="520" w:lineRule="exact"/>
      <w:ind w:firstLine="520"/>
      <w:jc w:val="left"/>
    </w:pPr>
    <w:rPr>
      <w:kern w:val="0"/>
      <w:sz w:val="24"/>
    </w:rPr>
  </w:style>
  <w:style w:type="paragraph" w:customStyle="1" w:styleId="276">
    <w:name w:val="样式XHR"/>
    <w:basedOn w:val="1"/>
    <w:qFormat/>
    <w:uiPriority w:val="0"/>
    <w:pPr>
      <w:autoSpaceDE w:val="0"/>
      <w:autoSpaceDN w:val="0"/>
      <w:spacing w:line="560" w:lineRule="atLeast"/>
      <w:ind w:firstLine="567"/>
      <w:jc w:val="left"/>
      <w:textAlignment w:val="bottom"/>
    </w:pPr>
    <w:rPr>
      <w:sz w:val="28"/>
      <w:szCs w:val="20"/>
    </w:rPr>
  </w:style>
  <w:style w:type="paragraph" w:customStyle="1" w:styleId="277">
    <w:name w:val="HCH标题3"/>
    <w:next w:val="1"/>
    <w:qFormat/>
    <w:uiPriority w:val="0"/>
    <w:pPr>
      <w:tabs>
        <w:tab w:val="left" w:pos="900"/>
      </w:tabs>
      <w:spacing w:line="0" w:lineRule="atLeast"/>
      <w:ind w:left="900" w:hanging="720"/>
      <w:jc w:val="center"/>
      <w:outlineLvl w:val="2"/>
    </w:pPr>
    <w:rPr>
      <w:rFonts w:ascii="Times New Roman" w:hAnsi="Times New Roman" w:eastAsia="黑体" w:cs="Times New Roman"/>
      <w:bCs/>
      <w:kern w:val="2"/>
      <w:sz w:val="24"/>
      <w:szCs w:val="24"/>
      <w:lang w:val="en-US" w:eastAsia="zh-CN" w:bidi="ar-SA"/>
    </w:rPr>
  </w:style>
  <w:style w:type="paragraph" w:customStyle="1" w:styleId="278">
    <w:name w:val="样式 zw标题3 + 左侧:  2 字符"/>
    <w:basedOn w:val="279"/>
    <w:qFormat/>
    <w:uiPriority w:val="0"/>
    <w:pPr>
      <w:tabs>
        <w:tab w:val="left" w:pos="1200"/>
      </w:tabs>
      <w:ind w:left="0" w:leftChars="0" w:firstLine="200" w:firstLineChars="200"/>
    </w:pPr>
    <w:rPr>
      <w:bCs/>
      <w:szCs w:val="20"/>
    </w:rPr>
  </w:style>
  <w:style w:type="paragraph" w:customStyle="1" w:styleId="279">
    <w:name w:val="zw标题3"/>
    <w:basedOn w:val="1"/>
    <w:qFormat/>
    <w:uiPriority w:val="0"/>
    <w:pPr>
      <w:tabs>
        <w:tab w:val="left" w:pos="1200"/>
      </w:tabs>
      <w:spacing w:line="500" w:lineRule="exact"/>
      <w:ind w:left="200" w:leftChars="200"/>
      <w:jc w:val="left"/>
    </w:pPr>
    <w:rPr>
      <w:rFonts w:ascii="华文中宋" w:hAnsi="华文中宋" w:eastAsia="华文中宋"/>
      <w:b/>
      <w:sz w:val="24"/>
    </w:rPr>
  </w:style>
  <w:style w:type="paragraph" w:customStyle="1" w:styleId="280">
    <w:name w:val="标题 3char"/>
    <w:basedOn w:val="5"/>
    <w:qFormat/>
    <w:uiPriority w:val="0"/>
    <w:pPr>
      <w:autoSpaceDE w:val="0"/>
      <w:autoSpaceDN w:val="0"/>
      <w:spacing w:before="0" w:after="0" w:line="500" w:lineRule="atLeast"/>
      <w:textAlignment w:val="auto"/>
    </w:pPr>
    <w:rPr>
      <w:rFonts w:cs="宋体"/>
      <w:bCs w:val="0"/>
      <w:szCs w:val="20"/>
      <w:lang w:val="en-US"/>
    </w:rPr>
  </w:style>
  <w:style w:type="paragraph" w:customStyle="1" w:styleId="281">
    <w:name w:val="Char Char Char Char Char Char1 Char2"/>
    <w:basedOn w:val="1"/>
    <w:qFormat/>
    <w:uiPriority w:val="0"/>
    <w:pPr>
      <w:spacing w:line="360" w:lineRule="auto"/>
      <w:ind w:firstLine="200" w:firstLineChars="200"/>
      <w:jc w:val="left"/>
    </w:pPr>
    <w:rPr>
      <w:rFonts w:ascii="宋体" w:hAnsi="宋体" w:cs="宋体"/>
      <w:sz w:val="24"/>
    </w:rPr>
  </w:style>
  <w:style w:type="paragraph" w:customStyle="1" w:styleId="282">
    <w:name w:val="single"/>
    <w:basedOn w:val="1"/>
    <w:qFormat/>
    <w:uiPriority w:val="0"/>
    <w:pPr>
      <w:spacing w:line="360" w:lineRule="auto"/>
      <w:jc w:val="center"/>
    </w:pPr>
    <w:rPr>
      <w:sz w:val="24"/>
    </w:rPr>
  </w:style>
  <w:style w:type="paragraph" w:customStyle="1" w:styleId="283">
    <w:name w:val="样式 样式19 + 自动设置 Char"/>
    <w:basedOn w:val="1"/>
    <w:qFormat/>
    <w:uiPriority w:val="0"/>
    <w:pPr>
      <w:ind w:firstLine="480" w:firstLineChars="200"/>
    </w:pPr>
    <w:rPr>
      <w:rFonts w:eastAsia="华文中宋"/>
      <w:sz w:val="24"/>
      <w:szCs w:val="20"/>
    </w:rPr>
  </w:style>
  <w:style w:type="paragraph" w:customStyle="1" w:styleId="284">
    <w:name w:val="表标题"/>
    <w:basedOn w:val="1"/>
    <w:qFormat/>
    <w:uiPriority w:val="0"/>
    <w:pPr>
      <w:adjustRightInd w:val="0"/>
      <w:spacing w:before="60" w:line="394" w:lineRule="atLeast"/>
      <w:jc w:val="center"/>
      <w:textAlignment w:val="baseline"/>
    </w:pPr>
    <w:rPr>
      <w:rFonts w:ascii="宋体"/>
      <w:b/>
      <w:kern w:val="0"/>
      <w:sz w:val="24"/>
      <w:szCs w:val="20"/>
    </w:rPr>
  </w:style>
  <w:style w:type="paragraph" w:customStyle="1" w:styleId="285">
    <w:name w:val="B表头小四黑体"/>
    <w:basedOn w:val="1"/>
    <w:next w:val="234"/>
    <w:qFormat/>
    <w:uiPriority w:val="0"/>
    <w:pPr>
      <w:autoSpaceDE w:val="0"/>
      <w:autoSpaceDN w:val="0"/>
      <w:adjustRightInd w:val="0"/>
      <w:snapToGrid w:val="0"/>
      <w:spacing w:line="500" w:lineRule="exact"/>
      <w:jc w:val="center"/>
      <w:textAlignment w:val="bottom"/>
    </w:pPr>
    <w:rPr>
      <w:rFonts w:eastAsia="黑体"/>
      <w:sz w:val="24"/>
      <w:szCs w:val="20"/>
    </w:rPr>
  </w:style>
  <w:style w:type="paragraph" w:customStyle="1" w:styleId="286">
    <w:name w:val="xl42"/>
    <w:basedOn w:val="1"/>
    <w:qFormat/>
    <w:uiPriority w:val="0"/>
    <w:pPr>
      <w:widowControl/>
      <w:pBdr>
        <w:right w:val="single" w:color="auto" w:sz="4" w:space="0"/>
      </w:pBdr>
      <w:spacing w:before="100" w:beforeAutospacing="1" w:after="100" w:afterAutospacing="1" w:line="360" w:lineRule="auto"/>
      <w:jc w:val="center"/>
    </w:pPr>
    <w:rPr>
      <w:rFonts w:hint="eastAsia" w:ascii="仿宋_GB2312" w:hAnsi="Arial Unicode MS" w:eastAsia="仿宋_GB2312"/>
      <w:kern w:val="0"/>
      <w:sz w:val="20"/>
      <w:szCs w:val="20"/>
    </w:rPr>
  </w:style>
  <w:style w:type="paragraph" w:customStyle="1" w:styleId="287">
    <w:name w:val="font5"/>
    <w:basedOn w:val="1"/>
    <w:qFormat/>
    <w:uiPriority w:val="0"/>
    <w:pPr>
      <w:widowControl/>
      <w:spacing w:before="100" w:beforeAutospacing="1" w:after="100" w:afterAutospacing="1" w:line="360" w:lineRule="auto"/>
      <w:jc w:val="left"/>
    </w:pPr>
    <w:rPr>
      <w:rFonts w:hint="eastAsia" w:ascii="宋体" w:hAnsi="宋体"/>
      <w:kern w:val="0"/>
      <w:sz w:val="18"/>
      <w:szCs w:val="18"/>
    </w:rPr>
  </w:style>
  <w:style w:type="paragraph" w:customStyle="1" w:styleId="288">
    <w:name w:val="表格1"/>
    <w:basedOn w:val="1"/>
    <w:qFormat/>
    <w:uiPriority w:val="0"/>
    <w:pPr>
      <w:adjustRightInd w:val="0"/>
      <w:spacing w:line="20" w:lineRule="atLeast"/>
      <w:jc w:val="center"/>
      <w:textAlignment w:val="center"/>
    </w:pPr>
    <w:rPr>
      <w:rFonts w:ascii="宋体"/>
      <w:kern w:val="0"/>
      <w:szCs w:val="20"/>
    </w:rPr>
  </w:style>
  <w:style w:type="paragraph" w:customStyle="1" w:styleId="289">
    <w:name w:val="Char5"/>
    <w:basedOn w:val="1"/>
    <w:qFormat/>
    <w:uiPriority w:val="0"/>
    <w:pPr>
      <w:spacing w:line="360" w:lineRule="auto"/>
      <w:ind w:firstLine="200" w:firstLineChars="200"/>
      <w:jc w:val="left"/>
    </w:pPr>
    <w:rPr>
      <w:rFonts w:ascii="宋体" w:hAnsi="宋体" w:cs="宋体"/>
      <w:sz w:val="24"/>
    </w:rPr>
  </w:style>
  <w:style w:type="paragraph" w:customStyle="1" w:styleId="290">
    <w:name w:val="剖面6"/>
    <w:basedOn w:val="1"/>
    <w:qFormat/>
    <w:uiPriority w:val="0"/>
    <w:pPr>
      <w:spacing w:line="280" w:lineRule="exact"/>
      <w:ind w:left="300" w:leftChars="300" w:right="100" w:rightChars="100"/>
      <w:jc w:val="left"/>
    </w:pPr>
    <w:rPr>
      <w:sz w:val="18"/>
    </w:rPr>
  </w:style>
  <w:style w:type="paragraph" w:customStyle="1" w:styleId="291">
    <w:name w:val="YB目小四黑三"/>
    <w:basedOn w:val="1"/>
    <w:next w:val="1"/>
    <w:qFormat/>
    <w:uiPriority w:val="0"/>
    <w:pPr>
      <w:autoSpaceDE w:val="0"/>
      <w:autoSpaceDN w:val="0"/>
      <w:spacing w:line="500" w:lineRule="exact"/>
      <w:jc w:val="left"/>
      <w:textAlignment w:val="bottom"/>
      <w:outlineLvl w:val="2"/>
    </w:pPr>
    <w:rPr>
      <w:rFonts w:eastAsia="黑体"/>
      <w:sz w:val="24"/>
      <w:szCs w:val="20"/>
    </w:rPr>
  </w:style>
  <w:style w:type="paragraph" w:customStyle="1" w:styleId="292">
    <w:name w:val="样式 样式 首行缩进:  2 字符 + 首行缩进:  2 字符"/>
    <w:basedOn w:val="1"/>
    <w:qFormat/>
    <w:uiPriority w:val="0"/>
    <w:pPr>
      <w:spacing w:line="500" w:lineRule="exact"/>
      <w:ind w:firstLine="480" w:firstLineChars="200"/>
    </w:pPr>
    <w:rPr>
      <w:rFonts w:cs="宋体"/>
      <w:sz w:val="24"/>
      <w:szCs w:val="20"/>
    </w:rPr>
  </w:style>
  <w:style w:type="paragraph" w:customStyle="1" w:styleId="293">
    <w:name w:val="剖面5"/>
    <w:basedOn w:val="1"/>
    <w:qFormat/>
    <w:uiPriority w:val="0"/>
    <w:pPr>
      <w:spacing w:line="280" w:lineRule="exact"/>
      <w:ind w:left="400" w:leftChars="400" w:right="100" w:rightChars="100"/>
      <w:jc w:val="left"/>
    </w:pPr>
    <w:rPr>
      <w:sz w:val="18"/>
    </w:rPr>
  </w:style>
  <w:style w:type="paragraph" w:customStyle="1" w:styleId="294">
    <w:name w:val="xl4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360" w:lineRule="auto"/>
      <w:jc w:val="center"/>
    </w:pPr>
    <w:rPr>
      <w:rFonts w:ascii="Arial Unicode MS" w:hAnsi="Arial Unicode MS" w:eastAsia="Arial Unicode MS" w:cs="Arial Unicode MS"/>
      <w:kern w:val="0"/>
      <w:sz w:val="24"/>
    </w:rPr>
  </w:style>
  <w:style w:type="paragraph" w:customStyle="1" w:styleId="295">
    <w:name w:val="日期1"/>
    <w:basedOn w:val="1"/>
    <w:next w:val="1"/>
    <w:qFormat/>
    <w:uiPriority w:val="0"/>
    <w:pPr>
      <w:adjustRightInd w:val="0"/>
      <w:textAlignment w:val="baseline"/>
    </w:pPr>
    <w:rPr>
      <w:rFonts w:ascii="宋体"/>
      <w:kern w:val="0"/>
      <w:sz w:val="30"/>
      <w:szCs w:val="20"/>
    </w:rPr>
  </w:style>
  <w:style w:type="paragraph" w:customStyle="1" w:styleId="296">
    <w:name w:val="Char Char Char1 Char Char Char Char Char Char Char"/>
    <w:basedOn w:val="1"/>
    <w:qFormat/>
    <w:uiPriority w:val="0"/>
    <w:pPr>
      <w:spacing w:line="360" w:lineRule="auto"/>
      <w:jc w:val="left"/>
    </w:pPr>
    <w:rPr>
      <w:rFonts w:ascii="仿宋_GB2312" w:eastAsia="仿宋_GB2312"/>
      <w:b/>
      <w:sz w:val="32"/>
      <w:szCs w:val="32"/>
    </w:rPr>
  </w:style>
  <w:style w:type="paragraph" w:customStyle="1" w:styleId="297">
    <w:name w:val="Char2"/>
    <w:basedOn w:val="1"/>
    <w:qFormat/>
    <w:uiPriority w:val="0"/>
    <w:pPr>
      <w:spacing w:line="360" w:lineRule="auto"/>
      <w:ind w:firstLine="200" w:firstLineChars="200"/>
      <w:jc w:val="left"/>
    </w:pPr>
    <w:rPr>
      <w:sz w:val="24"/>
      <w:szCs w:val="20"/>
    </w:rPr>
  </w:style>
  <w:style w:type="paragraph" w:customStyle="1" w:styleId="298">
    <w:name w:val="xl49"/>
    <w:basedOn w:val="1"/>
    <w:qFormat/>
    <w:uiPriority w:val="0"/>
    <w:pPr>
      <w:widowControl/>
      <w:pBdr>
        <w:left w:val="single" w:color="auto" w:sz="4" w:space="0"/>
        <w:bottom w:val="single" w:color="auto" w:sz="4" w:space="0"/>
      </w:pBdr>
      <w:spacing w:before="100" w:beforeAutospacing="1" w:after="100" w:afterAutospacing="1" w:line="360" w:lineRule="auto"/>
      <w:jc w:val="left"/>
      <w:textAlignment w:val="center"/>
    </w:pPr>
    <w:rPr>
      <w:rFonts w:hint="eastAsia" w:ascii="仿宋_GB2312" w:hAnsi="Arial Unicode MS" w:eastAsia="仿宋_GB2312"/>
      <w:kern w:val="0"/>
      <w:sz w:val="20"/>
      <w:szCs w:val="20"/>
    </w:rPr>
  </w:style>
  <w:style w:type="paragraph" w:customStyle="1" w:styleId="299">
    <w:name w:val="p1"/>
    <w:basedOn w:val="64"/>
    <w:qFormat/>
    <w:uiPriority w:val="0"/>
    <w:pPr>
      <w:autoSpaceDE/>
      <w:autoSpaceDN/>
      <w:adjustRightInd/>
      <w:snapToGrid/>
      <w:spacing w:before="240" w:after="60" w:line="312" w:lineRule="auto"/>
      <w:jc w:val="center"/>
      <w:outlineLvl w:val="0"/>
    </w:pPr>
    <w:rPr>
      <w:rFonts w:ascii="Arial" w:hAnsi="Arial" w:cs="Arial"/>
      <w:color w:val="auto"/>
      <w:sz w:val="32"/>
    </w:rPr>
  </w:style>
  <w:style w:type="paragraph" w:customStyle="1" w:styleId="300">
    <w:name w:val="标准"/>
    <w:basedOn w:val="1"/>
    <w:qFormat/>
    <w:uiPriority w:val="0"/>
    <w:pPr>
      <w:spacing w:line="400" w:lineRule="atLeast"/>
      <w:ind w:firstLine="567"/>
    </w:pPr>
    <w:rPr>
      <w:sz w:val="28"/>
      <w:szCs w:val="20"/>
    </w:rPr>
  </w:style>
  <w:style w:type="paragraph" w:customStyle="1" w:styleId="301">
    <w:name w:val="正文3"/>
    <w:basedOn w:val="1"/>
    <w:qFormat/>
    <w:uiPriority w:val="0"/>
    <w:pPr>
      <w:autoSpaceDE w:val="0"/>
      <w:autoSpaceDN w:val="0"/>
      <w:adjustRightInd w:val="0"/>
      <w:spacing w:line="351" w:lineRule="atLeast"/>
      <w:ind w:right="-17" w:firstLine="561"/>
      <w:jc w:val="left"/>
    </w:pPr>
    <w:rPr>
      <w:color w:val="000000"/>
      <w:kern w:val="0"/>
      <w:sz w:val="24"/>
      <w:szCs w:val="21"/>
      <w:lang w:val="zh-CN"/>
    </w:rPr>
  </w:style>
  <w:style w:type="paragraph" w:customStyle="1" w:styleId="302">
    <w:name w:val="xl52"/>
    <w:basedOn w:val="1"/>
    <w:qFormat/>
    <w:uiPriority w:val="0"/>
    <w:pPr>
      <w:widowControl/>
      <w:pBdr>
        <w:top w:val="single" w:color="auto" w:sz="4" w:space="0"/>
        <w:left w:val="single" w:color="auto" w:sz="4" w:space="0"/>
        <w:bottom w:val="single" w:color="auto" w:sz="4" w:space="0"/>
      </w:pBdr>
      <w:spacing w:before="100" w:beforeAutospacing="1" w:after="100" w:afterAutospacing="1" w:line="360" w:lineRule="auto"/>
      <w:jc w:val="center"/>
    </w:pPr>
    <w:rPr>
      <w:kern w:val="0"/>
      <w:sz w:val="24"/>
    </w:rPr>
  </w:style>
  <w:style w:type="paragraph" w:customStyle="1" w:styleId="303">
    <w:name w:val="xl35"/>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textAlignment w:val="top"/>
    </w:pPr>
    <w:rPr>
      <w:rFonts w:ascii="宋体" w:hAnsi="宋体" w:cs="宋体"/>
      <w:color w:val="FF0000"/>
      <w:kern w:val="0"/>
      <w:sz w:val="20"/>
      <w:szCs w:val="20"/>
    </w:rPr>
  </w:style>
  <w:style w:type="paragraph" w:customStyle="1" w:styleId="304">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305">
    <w:name w:val="默认段落字体 Para Char Char Char Char"/>
    <w:basedOn w:val="1"/>
    <w:qFormat/>
    <w:uiPriority w:val="0"/>
    <w:pPr>
      <w:snapToGrid w:val="0"/>
    </w:pPr>
    <w:rPr>
      <w:rFonts w:ascii="Arial" w:hAnsi="Arial"/>
      <w:szCs w:val="21"/>
    </w:rPr>
  </w:style>
  <w:style w:type="paragraph" w:customStyle="1" w:styleId="306">
    <w:name w:val="样式 标2 + Times New Roman"/>
    <w:basedOn w:val="307"/>
    <w:link w:val="781"/>
    <w:qFormat/>
    <w:uiPriority w:val="0"/>
    <w:pPr>
      <w:ind w:right="210" w:rightChars="100"/>
    </w:pPr>
    <w:rPr>
      <w:rFonts w:hAnsi="黑体"/>
    </w:rPr>
  </w:style>
  <w:style w:type="paragraph" w:customStyle="1" w:styleId="307">
    <w:name w:val="标2"/>
    <w:basedOn w:val="3"/>
    <w:link w:val="860"/>
    <w:qFormat/>
    <w:uiPriority w:val="0"/>
    <w:pPr>
      <w:adjustRightInd w:val="0"/>
      <w:snapToGrid w:val="0"/>
      <w:spacing w:before="0" w:beforeLines="100" w:after="0" w:line="360" w:lineRule="auto"/>
      <w:contextualSpacing/>
      <w:jc w:val="left"/>
      <w:outlineLvl w:val="1"/>
    </w:pPr>
    <w:rPr>
      <w:rFonts w:ascii="黑体" w:eastAsia="黑体"/>
      <w:b w:val="0"/>
      <w:szCs w:val="44"/>
    </w:rPr>
  </w:style>
  <w:style w:type="paragraph" w:customStyle="1" w:styleId="308">
    <w:name w:val="图表脚注说明"/>
    <w:basedOn w:val="1"/>
    <w:qFormat/>
    <w:uiPriority w:val="0"/>
    <w:pPr>
      <w:tabs>
        <w:tab w:val="left" w:pos="360"/>
      </w:tabs>
    </w:pPr>
    <w:rPr>
      <w:rFonts w:ascii="宋体"/>
      <w:sz w:val="18"/>
      <w:szCs w:val="18"/>
    </w:rPr>
  </w:style>
  <w:style w:type="paragraph" w:customStyle="1" w:styleId="309">
    <w:name w:val="12 Char"/>
    <w:basedOn w:val="1"/>
    <w:qFormat/>
    <w:uiPriority w:val="0"/>
    <w:rPr>
      <w:rFonts w:ascii="ˎ̥" w:hAnsi="ˎ̥" w:cs="宋体"/>
      <w:kern w:val="0"/>
      <w:sz w:val="28"/>
    </w:rPr>
  </w:style>
  <w:style w:type="paragraph" w:customStyle="1" w:styleId="310">
    <w:name w:val="Char3"/>
    <w:basedOn w:val="1"/>
    <w:qFormat/>
    <w:uiPriority w:val="0"/>
    <w:pPr>
      <w:spacing w:line="360" w:lineRule="auto"/>
      <w:ind w:firstLine="200" w:firstLineChars="200"/>
      <w:jc w:val="left"/>
    </w:pPr>
    <w:rPr>
      <w:sz w:val="24"/>
      <w:szCs w:val="20"/>
    </w:rPr>
  </w:style>
  <w:style w:type="paragraph" w:customStyle="1" w:styleId="311">
    <w:name w:val="font10"/>
    <w:basedOn w:val="1"/>
    <w:qFormat/>
    <w:uiPriority w:val="0"/>
    <w:pPr>
      <w:widowControl/>
      <w:spacing w:before="100" w:beforeAutospacing="1" w:after="100" w:afterAutospacing="1" w:line="360" w:lineRule="auto"/>
      <w:jc w:val="left"/>
    </w:pPr>
    <w:rPr>
      <w:rFonts w:hint="eastAsia" w:ascii="宋体" w:hAnsi="宋体"/>
      <w:color w:val="000000"/>
      <w:kern w:val="0"/>
      <w:sz w:val="20"/>
      <w:szCs w:val="20"/>
    </w:rPr>
  </w:style>
  <w:style w:type="paragraph" w:customStyle="1" w:styleId="312">
    <w:name w:val="目录中的附件名称样式"/>
    <w:basedOn w:val="1"/>
    <w:next w:val="1"/>
    <w:qFormat/>
    <w:uiPriority w:val="0"/>
    <w:pPr>
      <w:spacing w:line="360" w:lineRule="auto"/>
      <w:jc w:val="left"/>
    </w:pPr>
    <w:rPr>
      <w:rFonts w:ascii="宋体" w:hAnsi="宋体"/>
      <w:b/>
      <w:sz w:val="24"/>
    </w:rPr>
  </w:style>
  <w:style w:type="paragraph" w:customStyle="1" w:styleId="313">
    <w:name w:val="样式 正文缩进 + 宋体 小四 加粗 黑色 Char Char"/>
    <w:basedOn w:val="21"/>
    <w:link w:val="775"/>
    <w:qFormat/>
    <w:uiPriority w:val="0"/>
    <w:pPr>
      <w:spacing w:line="360" w:lineRule="auto"/>
      <w:ind w:firstLine="0"/>
      <w:jc w:val="left"/>
    </w:pPr>
    <w:rPr>
      <w:rFonts w:ascii="宋体" w:hAnsi="宋体"/>
      <w:b/>
      <w:bCs/>
      <w:color w:val="000000"/>
      <w:kern w:val="0"/>
      <w:sz w:val="24"/>
      <w:szCs w:val="24"/>
    </w:rPr>
  </w:style>
  <w:style w:type="paragraph" w:customStyle="1" w:styleId="314">
    <w:name w:val="A标题5"/>
    <w:basedOn w:val="1"/>
    <w:next w:val="1"/>
    <w:link w:val="836"/>
    <w:qFormat/>
    <w:uiPriority w:val="0"/>
    <w:pPr>
      <w:tabs>
        <w:tab w:val="left" w:pos="852"/>
        <w:tab w:val="left" w:pos="910"/>
        <w:tab w:val="left" w:pos="980"/>
        <w:tab w:val="left" w:pos="1200"/>
      </w:tabs>
      <w:topLinePunct/>
      <w:spacing w:line="480" w:lineRule="exact"/>
      <w:ind w:firstLine="480" w:firstLineChars="200"/>
    </w:pPr>
    <w:rPr>
      <w:color w:val="000000"/>
      <w:kern w:val="0"/>
      <w:sz w:val="24"/>
    </w:rPr>
  </w:style>
  <w:style w:type="paragraph" w:customStyle="1" w:styleId="315">
    <w:name w:val="XHR目录四号加黑"/>
    <w:basedOn w:val="74"/>
    <w:next w:val="268"/>
    <w:qFormat/>
    <w:uiPriority w:val="0"/>
    <w:pPr>
      <w:adjustRightInd w:val="0"/>
      <w:snapToGrid w:val="0"/>
      <w:spacing w:before="0" w:line="360" w:lineRule="auto"/>
      <w:ind w:left="0"/>
      <w:textAlignment w:val="baseline"/>
    </w:pPr>
    <w:rPr>
      <w:rFonts w:ascii="宋体" w:hAnsi="宋体" w:cs="Times New Roman"/>
      <w:b/>
      <w:iCs w:val="0"/>
      <w:smallCaps/>
      <w:snapToGrid w:val="0"/>
      <w:kern w:val="0"/>
      <w:sz w:val="28"/>
    </w:rPr>
  </w:style>
  <w:style w:type="paragraph" w:customStyle="1" w:styleId="316">
    <w:name w:val="xl55"/>
    <w:basedOn w:val="1"/>
    <w:qFormat/>
    <w:uiPriority w:val="0"/>
    <w:pPr>
      <w:widowControl/>
      <w:pBdr>
        <w:top w:val="single" w:color="auto" w:sz="4" w:space="0"/>
        <w:left w:val="single" w:color="auto" w:sz="4" w:space="0"/>
      </w:pBdr>
      <w:spacing w:before="100" w:beforeAutospacing="1" w:after="100" w:afterAutospacing="1" w:line="360" w:lineRule="auto"/>
      <w:jc w:val="center"/>
      <w:textAlignment w:val="center"/>
    </w:pPr>
    <w:rPr>
      <w:rFonts w:hint="eastAsia" w:ascii="仿宋_GB2312" w:hAnsi="Arial Unicode MS" w:eastAsia="仿宋_GB2312"/>
      <w:kern w:val="0"/>
      <w:sz w:val="20"/>
      <w:szCs w:val="20"/>
    </w:rPr>
  </w:style>
  <w:style w:type="paragraph" w:customStyle="1" w:styleId="317">
    <w:name w:val="p3"/>
    <w:basedOn w:val="64"/>
    <w:qFormat/>
    <w:uiPriority w:val="0"/>
    <w:pPr>
      <w:autoSpaceDE/>
      <w:autoSpaceDN/>
      <w:adjustRightInd/>
      <w:snapToGrid/>
      <w:spacing w:before="240" w:after="60" w:line="360" w:lineRule="auto"/>
    </w:pPr>
    <w:rPr>
      <w:rFonts w:ascii="Arial" w:hAnsi="Arial" w:cs="Arial"/>
      <w:color w:val="auto"/>
      <w:szCs w:val="24"/>
    </w:rPr>
  </w:style>
  <w:style w:type="paragraph" w:customStyle="1" w:styleId="318">
    <w:name w:val="xl29"/>
    <w:basedOn w:val="1"/>
    <w:qFormat/>
    <w:uiPriority w:val="0"/>
    <w:pPr>
      <w:widowControl/>
      <w:spacing w:before="100" w:beforeAutospacing="1" w:after="100" w:afterAutospacing="1"/>
      <w:jc w:val="center"/>
    </w:pPr>
    <w:rPr>
      <w:rFonts w:ascii="宋体" w:hAnsi="宋体"/>
      <w:kern w:val="0"/>
      <w:sz w:val="20"/>
      <w:szCs w:val="20"/>
    </w:rPr>
  </w:style>
  <w:style w:type="paragraph" w:customStyle="1" w:styleId="319">
    <w:name w:val="剖面7"/>
    <w:basedOn w:val="1"/>
    <w:qFormat/>
    <w:uiPriority w:val="0"/>
    <w:pPr>
      <w:spacing w:line="280" w:lineRule="exact"/>
      <w:ind w:left="300" w:leftChars="300" w:right="400" w:rightChars="400"/>
      <w:jc w:val="left"/>
    </w:pPr>
    <w:rPr>
      <w:sz w:val="18"/>
    </w:rPr>
  </w:style>
  <w:style w:type="paragraph" w:customStyle="1" w:styleId="320">
    <w:name w:val="Char3 Char Char Char Char Char Char"/>
    <w:basedOn w:val="1"/>
    <w:qFormat/>
    <w:uiPriority w:val="0"/>
    <w:pPr>
      <w:spacing w:line="360" w:lineRule="auto"/>
      <w:ind w:firstLine="200" w:firstLineChars="200"/>
      <w:jc w:val="left"/>
    </w:pPr>
    <w:rPr>
      <w:rFonts w:ascii="宋体" w:hAnsi="宋体" w:cs="宋体"/>
      <w:sz w:val="24"/>
    </w:rPr>
  </w:style>
  <w:style w:type="paragraph" w:customStyle="1" w:styleId="321">
    <w:name w:val="HCH图(表)"/>
    <w:qFormat/>
    <w:uiPriority w:val="0"/>
    <w:pPr>
      <w:widowControl w:val="0"/>
      <w:spacing w:line="0" w:lineRule="atLeast"/>
      <w:jc w:val="center"/>
    </w:pPr>
    <w:rPr>
      <w:rFonts w:ascii="Times New Roman" w:hAnsi="Times New Roman" w:eastAsia="宋体" w:cs="Times New Roman"/>
      <w:bCs/>
      <w:kern w:val="2"/>
      <w:sz w:val="21"/>
      <w:szCs w:val="21"/>
      <w:lang w:val="en-US" w:eastAsia="zh-CN" w:bidi="ar-SA"/>
    </w:rPr>
  </w:style>
  <w:style w:type="paragraph" w:customStyle="1" w:styleId="322">
    <w:name w:val="xl74"/>
    <w:basedOn w:val="1"/>
    <w:qFormat/>
    <w:uiPriority w:val="0"/>
    <w:pPr>
      <w:widowControl/>
      <w:pBdr>
        <w:top w:val="single" w:color="auto" w:sz="4" w:space="0"/>
        <w:bottom w:val="single" w:color="auto" w:sz="4" w:space="0"/>
      </w:pBdr>
      <w:spacing w:before="100" w:beforeAutospacing="1" w:after="100" w:afterAutospacing="1" w:line="360" w:lineRule="auto"/>
      <w:jc w:val="center"/>
    </w:pPr>
    <w:rPr>
      <w:rFonts w:ascii="Arial Unicode MS" w:hAnsi="Arial Unicode MS"/>
      <w:kern w:val="0"/>
      <w:sz w:val="22"/>
      <w:szCs w:val="22"/>
    </w:rPr>
  </w:style>
  <w:style w:type="paragraph" w:customStyle="1" w:styleId="323">
    <w:name w:val="Char Char Char Char Char Char1 Char3"/>
    <w:basedOn w:val="1"/>
    <w:qFormat/>
    <w:uiPriority w:val="0"/>
    <w:pPr>
      <w:spacing w:line="360" w:lineRule="auto"/>
      <w:ind w:firstLine="200" w:firstLineChars="200"/>
      <w:jc w:val="left"/>
    </w:pPr>
    <w:rPr>
      <w:rFonts w:ascii="宋体" w:hAnsi="宋体" w:cs="宋体"/>
      <w:sz w:val="24"/>
    </w:rPr>
  </w:style>
  <w:style w:type="paragraph" w:customStyle="1" w:styleId="324">
    <w:name w:val="Char Char Char Char Char Char1 Char"/>
    <w:basedOn w:val="1"/>
    <w:qFormat/>
    <w:uiPriority w:val="0"/>
    <w:pPr>
      <w:spacing w:line="360" w:lineRule="auto"/>
      <w:ind w:firstLine="200" w:firstLineChars="200"/>
      <w:jc w:val="left"/>
    </w:pPr>
    <w:rPr>
      <w:rFonts w:ascii="宋体" w:hAnsi="宋体" w:cs="宋体"/>
      <w:sz w:val="24"/>
    </w:rPr>
  </w:style>
  <w:style w:type="paragraph" w:customStyle="1" w:styleId="325">
    <w:name w:val="HCH标题1"/>
    <w:next w:val="1"/>
    <w:qFormat/>
    <w:uiPriority w:val="0"/>
    <w:pPr>
      <w:tabs>
        <w:tab w:val="left" w:pos="612"/>
      </w:tabs>
      <w:spacing w:line="500" w:lineRule="exact"/>
      <w:ind w:left="612" w:hanging="432"/>
      <w:jc w:val="center"/>
      <w:outlineLvl w:val="0"/>
    </w:pPr>
    <w:rPr>
      <w:rFonts w:ascii="Times New Roman" w:hAnsi="Times New Roman" w:eastAsia="黑体" w:cs="Times New Roman"/>
      <w:bCs/>
      <w:kern w:val="44"/>
      <w:sz w:val="24"/>
      <w:szCs w:val="32"/>
      <w:lang w:val="en-US" w:eastAsia="zh-CN" w:bidi="ar-SA"/>
    </w:rPr>
  </w:style>
  <w:style w:type="paragraph" w:customStyle="1" w:styleId="326">
    <w:name w:val="表格内字体"/>
    <w:basedOn w:val="327"/>
    <w:qFormat/>
    <w:uiPriority w:val="0"/>
    <w:pPr>
      <w:spacing w:line="240" w:lineRule="auto"/>
      <w:ind w:firstLine="0" w:firstLineChars="0"/>
      <w:jc w:val="center"/>
    </w:pPr>
    <w:rPr>
      <w:rFonts w:ascii="Calibri" w:hAnsi="Calibri"/>
      <w:sz w:val="20"/>
    </w:rPr>
  </w:style>
  <w:style w:type="paragraph" w:customStyle="1" w:styleId="327">
    <w:name w:val="正文-叙述"/>
    <w:basedOn w:val="1"/>
    <w:link w:val="870"/>
    <w:qFormat/>
    <w:uiPriority w:val="0"/>
    <w:pPr>
      <w:adjustRightInd w:val="0"/>
      <w:snapToGrid w:val="0"/>
      <w:spacing w:line="360" w:lineRule="auto"/>
      <w:ind w:firstLine="480" w:firstLineChars="200"/>
      <w:jc w:val="left"/>
    </w:pPr>
    <w:rPr>
      <w:kern w:val="0"/>
      <w:sz w:val="24"/>
    </w:rPr>
  </w:style>
  <w:style w:type="paragraph" w:customStyle="1" w:styleId="328">
    <w:name w:val="正文文本缩进 32"/>
    <w:basedOn w:val="1"/>
    <w:qFormat/>
    <w:uiPriority w:val="0"/>
    <w:pPr>
      <w:adjustRightInd w:val="0"/>
      <w:spacing w:line="500" w:lineRule="exact"/>
      <w:ind w:firstLine="555"/>
      <w:textAlignment w:val="baseline"/>
    </w:pPr>
    <w:rPr>
      <w:rFonts w:ascii="宋体"/>
      <w:color w:val="000000"/>
      <w:kern w:val="0"/>
      <w:sz w:val="24"/>
      <w:szCs w:val="20"/>
    </w:rPr>
  </w:style>
  <w:style w:type="paragraph" w:customStyle="1" w:styleId="329">
    <w:name w:val="zw正文"/>
    <w:basedOn w:val="1"/>
    <w:qFormat/>
    <w:uiPriority w:val="0"/>
    <w:pPr>
      <w:spacing w:line="500" w:lineRule="exact"/>
      <w:ind w:firstLine="200" w:firstLineChars="200"/>
      <w:jc w:val="left"/>
    </w:pPr>
    <w:rPr>
      <w:rFonts w:eastAsia="华文中宋"/>
      <w:color w:val="000000"/>
      <w:sz w:val="24"/>
    </w:rPr>
  </w:style>
  <w:style w:type="paragraph" w:customStyle="1" w:styleId="330">
    <w:name w:val="YB表格五号宋体"/>
    <w:basedOn w:val="1"/>
    <w:link w:val="863"/>
    <w:qFormat/>
    <w:uiPriority w:val="0"/>
    <w:pPr>
      <w:adjustRightInd w:val="0"/>
      <w:snapToGrid w:val="0"/>
      <w:spacing w:line="360" w:lineRule="auto"/>
      <w:jc w:val="left"/>
    </w:pPr>
    <w:rPr>
      <w:kern w:val="0"/>
      <w:sz w:val="20"/>
      <w:szCs w:val="21"/>
    </w:rPr>
  </w:style>
  <w:style w:type="paragraph" w:customStyle="1" w:styleId="331">
    <w:name w:val="正文1"/>
    <w:basedOn w:val="1"/>
    <w:link w:val="745"/>
    <w:qFormat/>
    <w:uiPriority w:val="0"/>
    <w:pPr>
      <w:adjustRightInd w:val="0"/>
      <w:spacing w:line="500" w:lineRule="exact"/>
      <w:textAlignment w:val="baseline"/>
    </w:pPr>
    <w:rPr>
      <w:rFonts w:ascii="宋体"/>
      <w:kern w:val="0"/>
      <w:sz w:val="36"/>
      <w:szCs w:val="20"/>
    </w:rPr>
  </w:style>
  <w:style w:type="paragraph" w:customStyle="1" w:styleId="332">
    <w:name w:val="标题1"/>
    <w:basedOn w:val="50"/>
    <w:qFormat/>
    <w:uiPriority w:val="0"/>
    <w:pPr>
      <w:adjustRightInd/>
      <w:spacing w:line="500" w:lineRule="atLeast"/>
      <w:jc w:val="left"/>
      <w:textAlignment w:val="auto"/>
      <w:outlineLvl w:val="0"/>
    </w:pPr>
    <w:rPr>
      <w:rFonts w:ascii="Times New Roman" w:eastAsia="宋体"/>
      <w:b/>
      <w:bCs/>
      <w:kern w:val="2"/>
    </w:rPr>
  </w:style>
  <w:style w:type="paragraph" w:customStyle="1" w:styleId="333">
    <w:name w:val="样式 标题 6 + Times New Roman 四号"/>
    <w:basedOn w:val="8"/>
    <w:qFormat/>
    <w:uiPriority w:val="0"/>
    <w:pPr>
      <w:adjustRightInd/>
      <w:spacing w:line="320" w:lineRule="auto"/>
      <w:ind w:left="0" w:firstLine="0"/>
      <w:jc w:val="left"/>
      <w:textAlignment w:val="auto"/>
    </w:pPr>
    <w:rPr>
      <w:rFonts w:ascii="Times New Roman" w:hAnsi="Times New Roman" w:eastAsia="宋体"/>
      <w:bCs/>
      <w:kern w:val="2"/>
      <w:position w:val="0"/>
      <w:sz w:val="28"/>
      <w:szCs w:val="24"/>
    </w:rPr>
  </w:style>
  <w:style w:type="paragraph" w:customStyle="1" w:styleId="334">
    <w:name w:val="font11"/>
    <w:basedOn w:val="1"/>
    <w:qFormat/>
    <w:uiPriority w:val="0"/>
    <w:pPr>
      <w:widowControl/>
      <w:spacing w:before="100" w:beforeAutospacing="1" w:after="100" w:afterAutospacing="1" w:line="360" w:lineRule="auto"/>
      <w:jc w:val="left"/>
    </w:pPr>
    <w:rPr>
      <w:rFonts w:hint="eastAsia" w:ascii="宋体" w:hAnsi="宋体"/>
      <w:color w:val="000000"/>
      <w:kern w:val="0"/>
      <w:sz w:val="20"/>
      <w:szCs w:val="20"/>
    </w:rPr>
  </w:style>
  <w:style w:type="paragraph" w:customStyle="1" w:styleId="335">
    <w:name w:val="_Style 290"/>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36">
    <w:name w:val="xl46"/>
    <w:basedOn w:val="1"/>
    <w:qFormat/>
    <w:uiPriority w:val="0"/>
    <w:pPr>
      <w:widowControl/>
      <w:pBdr>
        <w:bottom w:val="single" w:color="auto" w:sz="8" w:space="0"/>
      </w:pBdr>
      <w:spacing w:before="100" w:beforeAutospacing="1" w:after="100" w:afterAutospacing="1"/>
      <w:jc w:val="center"/>
    </w:pPr>
    <w:rPr>
      <w:rFonts w:ascii="宋体" w:hAnsi="宋体" w:cs="Calibri"/>
      <w:kern w:val="0"/>
      <w:sz w:val="28"/>
      <w:szCs w:val="28"/>
    </w:rPr>
  </w:style>
  <w:style w:type="paragraph" w:customStyle="1" w:styleId="337">
    <w:name w:val="明显引用1"/>
    <w:basedOn w:val="1"/>
    <w:next w:val="1"/>
    <w:qFormat/>
    <w:uiPriority w:val="30"/>
    <w:pPr>
      <w:pBdr>
        <w:bottom w:val="single" w:color="4F81BD" w:sz="4" w:space="4"/>
      </w:pBdr>
      <w:spacing w:before="200" w:after="280"/>
      <w:ind w:left="936" w:right="936"/>
    </w:pPr>
    <w:rPr>
      <w:rFonts w:ascii="Calibri" w:hAnsi="Calibri"/>
      <w:b/>
      <w:bCs/>
      <w:i/>
      <w:iCs/>
      <w:color w:val="4F81BD"/>
      <w:sz w:val="24"/>
      <w:szCs w:val="22"/>
    </w:rPr>
  </w:style>
  <w:style w:type="paragraph" w:customStyle="1" w:styleId="338">
    <w:name w:val="YB目四号黑三"/>
    <w:basedOn w:val="1"/>
    <w:next w:val="1"/>
    <w:qFormat/>
    <w:uiPriority w:val="0"/>
    <w:pPr>
      <w:autoSpaceDE w:val="0"/>
      <w:autoSpaceDN w:val="0"/>
      <w:spacing w:line="360" w:lineRule="auto"/>
      <w:jc w:val="left"/>
      <w:textAlignment w:val="bottom"/>
      <w:outlineLvl w:val="2"/>
    </w:pPr>
    <w:rPr>
      <w:rFonts w:eastAsia="黑体"/>
      <w:sz w:val="28"/>
      <w:szCs w:val="20"/>
    </w:rPr>
  </w:style>
  <w:style w:type="paragraph" w:customStyle="1" w:styleId="339">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Arial Unicode MS" w:hAnsi="Arial Unicode MS"/>
      <w:kern w:val="0"/>
      <w:sz w:val="16"/>
      <w:szCs w:val="16"/>
    </w:rPr>
  </w:style>
  <w:style w:type="paragraph" w:customStyle="1" w:styleId="340">
    <w:name w:val="xl2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360" w:lineRule="auto"/>
      <w:jc w:val="center"/>
    </w:pPr>
    <w:rPr>
      <w:rFonts w:ascii="宋体" w:hAnsi="宋体"/>
      <w:kern w:val="0"/>
      <w:sz w:val="20"/>
      <w:szCs w:val="20"/>
    </w:rPr>
  </w:style>
  <w:style w:type="paragraph" w:styleId="341">
    <w:name w:val="No Spacing"/>
    <w:link w:val="782"/>
    <w:qFormat/>
    <w:uiPriority w:val="1"/>
    <w:pPr>
      <w:widowControl w:val="0"/>
      <w:adjustRightInd w:val="0"/>
      <w:jc w:val="both"/>
      <w:textAlignment w:val="baseline"/>
    </w:pPr>
    <w:rPr>
      <w:rFonts w:ascii="Times New Roman" w:hAnsi="Times New Roman" w:eastAsia="宋体" w:cs="Times New Roman"/>
      <w:sz w:val="24"/>
      <w:lang w:val="en-GB" w:eastAsia="zh-CN" w:bidi="ar-SA"/>
    </w:rPr>
  </w:style>
  <w:style w:type="paragraph" w:customStyle="1" w:styleId="342">
    <w:name w:val="Char Char Char Char1 Char Char Char Char"/>
    <w:basedOn w:val="1"/>
    <w:qFormat/>
    <w:uiPriority w:val="0"/>
    <w:pPr>
      <w:spacing w:beforeLines="50" w:afterLines="100" w:line="360" w:lineRule="auto"/>
      <w:jc w:val="center"/>
    </w:pPr>
    <w:rPr>
      <w:spacing w:val="6"/>
      <w:sz w:val="24"/>
      <w:szCs w:val="28"/>
    </w:rPr>
  </w:style>
  <w:style w:type="paragraph" w:customStyle="1" w:styleId="34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Arial Unicode MS" w:hAnsi="Arial Unicode MS"/>
      <w:kern w:val="0"/>
      <w:sz w:val="18"/>
      <w:szCs w:val="18"/>
    </w:rPr>
  </w:style>
  <w:style w:type="paragraph" w:customStyle="1" w:styleId="344">
    <w:name w:val="B目小四黑三"/>
    <w:basedOn w:val="1"/>
    <w:next w:val="1"/>
    <w:link w:val="864"/>
    <w:qFormat/>
    <w:uiPriority w:val="0"/>
    <w:pPr>
      <w:autoSpaceDE w:val="0"/>
      <w:autoSpaceDN w:val="0"/>
      <w:spacing w:line="500" w:lineRule="exact"/>
      <w:jc w:val="left"/>
      <w:textAlignment w:val="bottom"/>
    </w:pPr>
    <w:rPr>
      <w:rFonts w:eastAsia="黑体"/>
      <w:b/>
      <w:bCs/>
      <w:kern w:val="0"/>
      <w:sz w:val="24"/>
    </w:rPr>
  </w:style>
  <w:style w:type="paragraph" w:customStyle="1" w:styleId="345">
    <w:name w:val="333333"/>
    <w:basedOn w:val="1"/>
    <w:link w:val="854"/>
    <w:qFormat/>
    <w:uiPriority w:val="0"/>
    <w:pPr>
      <w:spacing w:line="480" w:lineRule="exact"/>
    </w:pPr>
    <w:rPr>
      <w:kern w:val="0"/>
      <w:sz w:val="24"/>
    </w:rPr>
  </w:style>
  <w:style w:type="paragraph" w:customStyle="1" w:styleId="34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kern w:val="0"/>
      <w:sz w:val="20"/>
      <w:szCs w:val="20"/>
    </w:rPr>
  </w:style>
  <w:style w:type="paragraph" w:customStyle="1" w:styleId="347">
    <w:name w:val="段"/>
    <w:link w:val="76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48">
    <w:name w:val="三级标题"/>
    <w:basedOn w:val="5"/>
    <w:qFormat/>
    <w:uiPriority w:val="0"/>
    <w:pPr>
      <w:tabs>
        <w:tab w:val="left" w:pos="930"/>
      </w:tabs>
      <w:adjustRightInd/>
      <w:spacing w:before="0" w:beforeLines="100" w:after="0"/>
      <w:ind w:left="930" w:hanging="360" w:firstLineChars="200"/>
      <w:contextualSpacing/>
      <w:textAlignment w:val="auto"/>
    </w:pPr>
    <w:rPr>
      <w:rFonts w:eastAsia="楷体_GB2312"/>
      <w:kern w:val="2"/>
      <w:lang w:val="en-US"/>
    </w:rPr>
  </w:style>
  <w:style w:type="paragraph" w:customStyle="1" w:styleId="349">
    <w:name w:val="Char4"/>
    <w:basedOn w:val="1"/>
    <w:qFormat/>
    <w:uiPriority w:val="0"/>
    <w:pPr>
      <w:spacing w:line="360" w:lineRule="auto"/>
      <w:jc w:val="left"/>
    </w:pPr>
    <w:rPr>
      <w:rFonts w:ascii="Tahoma" w:hAnsi="Tahoma"/>
      <w:sz w:val="24"/>
      <w:szCs w:val="20"/>
    </w:rPr>
  </w:style>
  <w:style w:type="paragraph" w:customStyle="1" w:styleId="350">
    <w:name w:val="form_first"/>
    <w:basedOn w:val="1"/>
    <w:qFormat/>
    <w:uiPriority w:val="0"/>
    <w:pPr>
      <w:autoSpaceDE w:val="0"/>
      <w:autoSpaceDN w:val="0"/>
      <w:adjustRightInd w:val="0"/>
      <w:spacing w:line="360" w:lineRule="auto"/>
      <w:jc w:val="center"/>
    </w:pPr>
    <w:rPr>
      <w:color w:val="000000"/>
      <w:kern w:val="0"/>
      <w:sz w:val="24"/>
    </w:rPr>
  </w:style>
  <w:style w:type="paragraph" w:customStyle="1" w:styleId="35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Arial Unicode MS" w:hAnsi="Arial Unicode MS"/>
      <w:kern w:val="0"/>
      <w:sz w:val="18"/>
      <w:szCs w:val="18"/>
    </w:rPr>
  </w:style>
  <w:style w:type="paragraph" w:customStyle="1" w:styleId="352">
    <w:name w:val="xl3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360" w:lineRule="auto"/>
      <w:jc w:val="center"/>
      <w:textAlignment w:val="center"/>
    </w:pPr>
    <w:rPr>
      <w:rFonts w:ascii="宋体" w:hAnsi="宋体"/>
      <w:kern w:val="0"/>
      <w:sz w:val="20"/>
      <w:szCs w:val="20"/>
    </w:rPr>
  </w:style>
  <w:style w:type="paragraph" w:customStyle="1" w:styleId="353">
    <w:name w:val="HCH图表1"/>
    <w:next w:val="179"/>
    <w:link w:val="866"/>
    <w:qFormat/>
    <w:uiPriority w:val="0"/>
    <w:pPr>
      <w:widowControl w:val="0"/>
      <w:spacing w:line="0" w:lineRule="atLeast"/>
      <w:jc w:val="center"/>
    </w:pPr>
    <w:rPr>
      <w:rFonts w:ascii="Times New Roman" w:hAnsi="Times New Roman" w:eastAsia="黑体" w:cs="Times New Roman"/>
      <w:sz w:val="24"/>
      <w:szCs w:val="24"/>
      <w:lang w:val="en-US" w:eastAsia="zh-CN" w:bidi="ar-SA"/>
    </w:rPr>
  </w:style>
  <w:style w:type="paragraph" w:customStyle="1" w:styleId="354">
    <w:name w:val="22222"/>
    <w:basedOn w:val="1"/>
    <w:qFormat/>
    <w:uiPriority w:val="0"/>
    <w:pPr>
      <w:adjustRightInd w:val="0"/>
      <w:snapToGrid w:val="0"/>
      <w:spacing w:before="60" w:after="60" w:line="480" w:lineRule="exact"/>
      <w:outlineLvl w:val="0"/>
    </w:pPr>
    <w:rPr>
      <w:rFonts w:eastAsia="黑体"/>
      <w:kern w:val="0"/>
      <w:sz w:val="28"/>
    </w:rPr>
  </w:style>
  <w:style w:type="paragraph" w:customStyle="1" w:styleId="355">
    <w:name w:val="样式 题注 +"/>
    <w:basedOn w:val="22"/>
    <w:qFormat/>
    <w:uiPriority w:val="0"/>
    <w:pPr>
      <w:widowControl/>
      <w:spacing w:beforeLines="50"/>
      <w:jc w:val="left"/>
    </w:pPr>
    <w:rPr>
      <w:rFonts w:ascii="Times New Roman" w:hAnsi="Times New Roman" w:eastAsia="宋体" w:cs="Times New Roman"/>
      <w:b/>
      <w:sz w:val="24"/>
      <w:szCs w:val="24"/>
    </w:rPr>
  </w:style>
  <w:style w:type="paragraph" w:customStyle="1" w:styleId="35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Arial Unicode MS" w:hAnsi="Arial Unicode MS"/>
      <w:kern w:val="0"/>
      <w:sz w:val="16"/>
      <w:szCs w:val="16"/>
    </w:rPr>
  </w:style>
  <w:style w:type="paragraph" w:customStyle="1" w:styleId="357">
    <w:name w:val="B目小四黑四"/>
    <w:basedOn w:val="1"/>
    <w:next w:val="234"/>
    <w:qFormat/>
    <w:uiPriority w:val="0"/>
    <w:pPr>
      <w:autoSpaceDE w:val="0"/>
      <w:autoSpaceDN w:val="0"/>
      <w:spacing w:line="500" w:lineRule="exact"/>
      <w:jc w:val="left"/>
      <w:textAlignment w:val="bottom"/>
    </w:pPr>
    <w:rPr>
      <w:rFonts w:eastAsia="黑体"/>
      <w:sz w:val="24"/>
    </w:rPr>
  </w:style>
  <w:style w:type="paragraph" w:customStyle="1" w:styleId="35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pPr>
    <w:rPr>
      <w:rFonts w:ascii="Arial Unicode MS" w:hAnsi="Arial Unicode MS"/>
      <w:kern w:val="0"/>
      <w:sz w:val="18"/>
      <w:szCs w:val="18"/>
    </w:rPr>
  </w:style>
  <w:style w:type="paragraph" w:customStyle="1" w:styleId="359">
    <w:name w:val="表"/>
    <w:basedOn w:val="1"/>
    <w:next w:val="66"/>
    <w:qFormat/>
    <w:uiPriority w:val="0"/>
    <w:pPr>
      <w:spacing w:beforeLines="50" w:afterLines="50" w:line="360" w:lineRule="auto"/>
      <w:jc w:val="center"/>
    </w:pPr>
    <w:rPr>
      <w:rFonts w:ascii="宋体" w:hAnsi="宋体"/>
      <w:b/>
      <w:bCs/>
      <w:sz w:val="24"/>
    </w:rPr>
  </w:style>
  <w:style w:type="paragraph" w:customStyle="1" w:styleId="360">
    <w:name w:val="修订1"/>
    <w:semiHidden/>
    <w:qFormat/>
    <w:uiPriority w:val="99"/>
    <w:pPr>
      <w:spacing w:line="0" w:lineRule="atLeast"/>
      <w:jc w:val="center"/>
    </w:pPr>
    <w:rPr>
      <w:rFonts w:ascii="Times New Roman" w:hAnsi="Times New Roman" w:eastAsia="宋体" w:cs="Times New Roman"/>
      <w:kern w:val="2"/>
      <w:sz w:val="21"/>
      <w:szCs w:val="24"/>
      <w:lang w:val="en-US" w:eastAsia="zh-CN" w:bidi="ar-SA"/>
    </w:rPr>
  </w:style>
  <w:style w:type="paragraph" w:customStyle="1" w:styleId="361">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jc w:val="center"/>
      <w:textAlignment w:val="center"/>
    </w:pPr>
    <w:rPr>
      <w:rFonts w:ascii="Arial Unicode MS" w:hAnsi="Arial Unicode MS"/>
      <w:kern w:val="0"/>
      <w:sz w:val="22"/>
      <w:szCs w:val="22"/>
    </w:rPr>
  </w:style>
  <w:style w:type="paragraph" w:customStyle="1" w:styleId="362">
    <w:name w:val="xl51"/>
    <w:basedOn w:val="1"/>
    <w:qFormat/>
    <w:uiPriority w:val="0"/>
    <w:pPr>
      <w:widowControl/>
      <w:pBdr>
        <w:bottom w:val="single" w:color="auto" w:sz="4" w:space="0"/>
        <w:right w:val="single" w:color="auto" w:sz="4" w:space="0"/>
      </w:pBdr>
      <w:spacing w:before="100" w:beforeAutospacing="1" w:after="100" w:afterAutospacing="1" w:line="360" w:lineRule="auto"/>
      <w:jc w:val="left"/>
      <w:textAlignment w:val="center"/>
    </w:pPr>
    <w:rPr>
      <w:rFonts w:hint="eastAsia" w:ascii="仿宋_GB2312" w:hAnsi="Arial Unicode MS" w:eastAsia="仿宋_GB2312"/>
      <w:kern w:val="0"/>
      <w:sz w:val="20"/>
      <w:szCs w:val="20"/>
    </w:rPr>
  </w:style>
  <w:style w:type="paragraph" w:customStyle="1" w:styleId="363">
    <w:name w:val="小房1"/>
    <w:basedOn w:val="1"/>
    <w:qFormat/>
    <w:uiPriority w:val="0"/>
    <w:pPr>
      <w:adjustRightInd w:val="0"/>
      <w:snapToGrid w:val="0"/>
      <w:spacing w:before="60" w:line="276" w:lineRule="auto"/>
      <w:ind w:firstLine="482"/>
      <w:jc w:val="left"/>
      <w:textAlignment w:val="baseline"/>
    </w:pPr>
    <w:rPr>
      <w:rFonts w:eastAsia="仿宋_GB2312"/>
      <w:kern w:val="0"/>
      <w:sz w:val="28"/>
      <w:szCs w:val="20"/>
    </w:rPr>
  </w:style>
  <w:style w:type="paragraph" w:customStyle="1" w:styleId="364">
    <w:name w:val="font8"/>
    <w:basedOn w:val="1"/>
    <w:qFormat/>
    <w:uiPriority w:val="0"/>
    <w:pPr>
      <w:widowControl/>
      <w:spacing w:before="100" w:beforeAutospacing="1" w:after="100" w:afterAutospacing="1" w:line="360" w:lineRule="auto"/>
      <w:jc w:val="left"/>
    </w:pPr>
    <w:rPr>
      <w:rFonts w:ascii="宋体" w:hAnsi="宋体" w:cs="宋体"/>
      <w:color w:val="FF0000"/>
      <w:kern w:val="0"/>
      <w:sz w:val="20"/>
      <w:szCs w:val="20"/>
    </w:rPr>
  </w:style>
  <w:style w:type="paragraph" w:customStyle="1" w:styleId="365">
    <w:name w:val="样式6"/>
    <w:basedOn w:val="6"/>
    <w:next w:val="1"/>
    <w:qFormat/>
    <w:uiPriority w:val="0"/>
    <w:pPr>
      <w:adjustRightInd w:val="0"/>
      <w:snapToGrid w:val="0"/>
      <w:spacing w:beforeLines="100" w:line="500" w:lineRule="atLeast"/>
      <w:ind w:left="200" w:leftChars="200" w:firstLine="192" w:firstLineChars="192"/>
      <w:jc w:val="left"/>
    </w:pPr>
    <w:rPr>
      <w:snapToGrid w:val="0"/>
      <w:color w:val="000000"/>
      <w:kern w:val="0"/>
      <w:szCs w:val="24"/>
    </w:rPr>
  </w:style>
  <w:style w:type="paragraph" w:customStyle="1" w:styleId="366">
    <w:name w:val="Char1"/>
    <w:basedOn w:val="1"/>
    <w:qFormat/>
    <w:uiPriority w:val="0"/>
    <w:pPr>
      <w:spacing w:beforeLines="50" w:line="360" w:lineRule="auto"/>
      <w:ind w:firstLine="560" w:firstLineChars="200"/>
    </w:pPr>
    <w:rPr>
      <w:sz w:val="28"/>
      <w:szCs w:val="28"/>
    </w:rPr>
  </w:style>
  <w:style w:type="paragraph" w:customStyle="1" w:styleId="367">
    <w:name w:val="xl72"/>
    <w:basedOn w:val="1"/>
    <w:qFormat/>
    <w:uiPriority w:val="0"/>
    <w:pPr>
      <w:widowControl/>
      <w:pBdr>
        <w:left w:val="single" w:color="auto" w:sz="4" w:space="0"/>
        <w:right w:val="single" w:color="auto" w:sz="4" w:space="0"/>
      </w:pBdr>
      <w:spacing w:before="100" w:beforeAutospacing="1" w:after="100" w:afterAutospacing="1" w:line="360" w:lineRule="auto"/>
      <w:jc w:val="center"/>
      <w:textAlignment w:val="center"/>
    </w:pPr>
    <w:rPr>
      <w:rFonts w:ascii="Arial Unicode MS" w:hAnsi="Arial Unicode MS"/>
      <w:kern w:val="0"/>
      <w:sz w:val="24"/>
    </w:rPr>
  </w:style>
  <w:style w:type="paragraph" w:customStyle="1" w:styleId="368">
    <w:name w:val="HCH图(表)备注"/>
    <w:next w:val="1"/>
    <w:qFormat/>
    <w:uiPriority w:val="0"/>
    <w:pPr>
      <w:spacing w:line="0" w:lineRule="atLeast"/>
      <w:jc w:val="center"/>
    </w:pPr>
    <w:rPr>
      <w:rFonts w:ascii="Times New Roman" w:hAnsi="Times New Roman" w:eastAsia="宋体" w:cs="Times New Roman"/>
      <w:sz w:val="21"/>
      <w:szCs w:val="21"/>
      <w:lang w:val="en-US" w:eastAsia="zh-CN" w:bidi="ar-SA"/>
    </w:rPr>
  </w:style>
  <w:style w:type="paragraph" w:customStyle="1" w:styleId="369">
    <w:name w:val="HCH标题2"/>
    <w:next w:val="179"/>
    <w:qFormat/>
    <w:uiPriority w:val="0"/>
    <w:pPr>
      <w:tabs>
        <w:tab w:val="left" w:pos="756"/>
      </w:tabs>
      <w:spacing w:line="500" w:lineRule="exact"/>
      <w:ind w:left="756" w:hanging="576"/>
      <w:jc w:val="center"/>
      <w:outlineLvl w:val="1"/>
    </w:pPr>
    <w:rPr>
      <w:rFonts w:ascii="Times New Roman" w:hAnsi="Times New Roman" w:eastAsia="黑体" w:cs="Times New Roman"/>
      <w:bCs/>
      <w:kern w:val="2"/>
      <w:sz w:val="24"/>
      <w:szCs w:val="24"/>
      <w:lang w:val="en-US" w:eastAsia="zh-CN" w:bidi="ar-SA"/>
    </w:rPr>
  </w:style>
  <w:style w:type="paragraph" w:customStyle="1" w:styleId="370">
    <w:name w:val="_Style 328"/>
    <w:qFormat/>
    <w:uiPriority w:val="99"/>
    <w:rPr>
      <w:rFonts w:ascii="Times New Roman" w:hAnsi="Times New Roman" w:eastAsia="宋体" w:cs="Times New Roman"/>
      <w:kern w:val="2"/>
      <w:sz w:val="21"/>
      <w:szCs w:val="24"/>
      <w:lang w:val="en-US" w:eastAsia="zh-CN" w:bidi="ar-SA"/>
    </w:rPr>
  </w:style>
  <w:style w:type="paragraph" w:customStyle="1" w:styleId="371">
    <w:name w:val="标题 4+"/>
    <w:basedOn w:val="5"/>
    <w:qFormat/>
    <w:uiPriority w:val="0"/>
    <w:pPr>
      <w:adjustRightInd/>
      <w:spacing w:before="0" w:beforeLines="100" w:after="0" w:line="560" w:lineRule="exact"/>
      <w:contextualSpacing/>
      <w:textAlignment w:val="auto"/>
    </w:pPr>
    <w:rPr>
      <w:kern w:val="2"/>
      <w:lang w:val="en-US"/>
    </w:rPr>
  </w:style>
  <w:style w:type="paragraph" w:customStyle="1" w:styleId="372">
    <w:name w:val="标题2"/>
    <w:basedOn w:val="4"/>
    <w:next w:val="5"/>
    <w:qFormat/>
    <w:uiPriority w:val="0"/>
    <w:pPr>
      <w:adjustRightInd w:val="0"/>
      <w:snapToGrid w:val="0"/>
      <w:spacing w:before="0" w:beforeLines="100" w:after="0" w:line="360" w:lineRule="auto"/>
      <w:contextualSpacing/>
      <w:jc w:val="left"/>
    </w:pPr>
    <w:rPr>
      <w:rFonts w:ascii="Times New Roman" w:hAnsi="Times New Roman" w:eastAsia="黑体"/>
      <w:b w:val="0"/>
      <w:szCs w:val="20"/>
    </w:rPr>
  </w:style>
  <w:style w:type="paragraph" w:customStyle="1" w:styleId="373">
    <w:name w:val="xl59"/>
    <w:basedOn w:val="1"/>
    <w:qFormat/>
    <w:uiPriority w:val="0"/>
    <w:pPr>
      <w:widowControl/>
      <w:spacing w:before="100" w:beforeAutospacing="1" w:after="100" w:afterAutospacing="1" w:line="360" w:lineRule="auto"/>
      <w:jc w:val="center"/>
      <w:textAlignment w:val="center"/>
    </w:pPr>
    <w:rPr>
      <w:rFonts w:hint="eastAsia" w:ascii="仿宋_GB2312" w:hAnsi="Arial Unicode MS" w:eastAsia="仿宋_GB2312"/>
      <w:kern w:val="0"/>
      <w:sz w:val="20"/>
      <w:szCs w:val="20"/>
    </w:rPr>
  </w:style>
  <w:style w:type="paragraph" w:customStyle="1" w:styleId="374">
    <w:name w:val="正文中图名"/>
    <w:basedOn w:val="1"/>
    <w:next w:val="1"/>
    <w:qFormat/>
    <w:uiPriority w:val="0"/>
    <w:pPr>
      <w:spacing w:line="360" w:lineRule="auto"/>
      <w:jc w:val="center"/>
    </w:pPr>
    <w:rPr>
      <w:rFonts w:ascii="黑体" w:eastAsia="黑体"/>
      <w:sz w:val="24"/>
    </w:rPr>
  </w:style>
  <w:style w:type="paragraph" w:customStyle="1" w:styleId="375">
    <w:name w:val="font6"/>
    <w:basedOn w:val="1"/>
    <w:qFormat/>
    <w:uiPriority w:val="0"/>
    <w:pPr>
      <w:widowControl/>
      <w:spacing w:before="100" w:beforeAutospacing="1" w:after="100" w:afterAutospacing="1" w:line="360" w:lineRule="auto"/>
      <w:jc w:val="left"/>
    </w:pPr>
    <w:rPr>
      <w:kern w:val="0"/>
      <w:sz w:val="24"/>
    </w:rPr>
  </w:style>
  <w:style w:type="paragraph" w:customStyle="1" w:styleId="376">
    <w:name w:val="HCH图表2"/>
    <w:link w:val="856"/>
    <w:qFormat/>
    <w:uiPriority w:val="0"/>
    <w:pPr>
      <w:widowControl w:val="0"/>
      <w:spacing w:line="0" w:lineRule="atLeast"/>
      <w:jc w:val="center"/>
    </w:pPr>
    <w:rPr>
      <w:rFonts w:ascii="Times New Roman" w:hAnsi="Times New Roman" w:eastAsia="宋体" w:cs="Times New Roman"/>
      <w:bCs/>
      <w:szCs w:val="21"/>
      <w:lang w:val="en-US" w:eastAsia="zh-CN" w:bidi="ar-SA"/>
    </w:rPr>
  </w:style>
  <w:style w:type="paragraph" w:customStyle="1" w:styleId="377">
    <w:name w:val="二级标题"/>
    <w:basedOn w:val="4"/>
    <w:qFormat/>
    <w:uiPriority w:val="0"/>
    <w:pPr>
      <w:tabs>
        <w:tab w:val="left" w:pos="930"/>
      </w:tabs>
      <w:spacing w:before="0" w:beforeLines="50" w:after="0" w:afterLines="50"/>
      <w:ind w:left="210" w:leftChars="100" w:right="210" w:rightChars="100" w:firstLine="640" w:firstLineChars="200"/>
      <w:contextualSpacing/>
      <w:jc w:val="left"/>
    </w:pPr>
    <w:rPr>
      <w:rFonts w:ascii="宋体" w:hAnsi="宋体"/>
      <w:b w:val="0"/>
      <w:sz w:val="24"/>
    </w:rPr>
  </w:style>
  <w:style w:type="paragraph" w:customStyle="1" w:styleId="378">
    <w:name w:val="Char Char Char Char Char Char Char Char1 Char"/>
    <w:basedOn w:val="1"/>
    <w:qFormat/>
    <w:uiPriority w:val="0"/>
    <w:pPr>
      <w:spacing w:line="360" w:lineRule="auto"/>
      <w:jc w:val="left"/>
    </w:pPr>
    <w:rPr>
      <w:rFonts w:ascii="Tahoma" w:hAnsi="Tahoma"/>
      <w:sz w:val="24"/>
      <w:szCs w:val="20"/>
    </w:rPr>
  </w:style>
  <w:style w:type="paragraph" w:customStyle="1" w:styleId="379">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textAlignment w:val="center"/>
    </w:pPr>
    <w:rPr>
      <w:rFonts w:ascii="宋体" w:hAnsi="宋体"/>
      <w:kern w:val="0"/>
      <w:sz w:val="20"/>
      <w:szCs w:val="20"/>
    </w:rPr>
  </w:style>
  <w:style w:type="paragraph" w:customStyle="1" w:styleId="380">
    <w:name w:val="表头"/>
    <w:basedOn w:val="1"/>
    <w:link w:val="778"/>
    <w:qFormat/>
    <w:uiPriority w:val="0"/>
    <w:pPr>
      <w:spacing w:line="360" w:lineRule="auto"/>
      <w:jc w:val="center"/>
    </w:pPr>
    <w:rPr>
      <w:b/>
      <w:kern w:val="0"/>
      <w:sz w:val="20"/>
    </w:rPr>
  </w:style>
  <w:style w:type="paragraph" w:customStyle="1" w:styleId="381">
    <w:name w:val="一般强调"/>
    <w:basedOn w:val="1"/>
    <w:qFormat/>
    <w:uiPriority w:val="0"/>
    <w:pPr>
      <w:adjustRightInd w:val="0"/>
      <w:snapToGrid w:val="0"/>
      <w:spacing w:line="360" w:lineRule="auto"/>
      <w:jc w:val="left"/>
    </w:pPr>
    <w:rPr>
      <w:rFonts w:eastAsia="楷体_GB2312"/>
      <w:sz w:val="24"/>
      <w:szCs w:val="20"/>
    </w:rPr>
  </w:style>
  <w:style w:type="paragraph" w:customStyle="1" w:styleId="382">
    <w:name w:val="Char1 Char Char Char1 Char Char Char"/>
    <w:basedOn w:val="1"/>
    <w:qFormat/>
    <w:uiPriority w:val="0"/>
    <w:pPr>
      <w:spacing w:line="360" w:lineRule="auto"/>
      <w:ind w:firstLine="200" w:firstLineChars="200"/>
      <w:jc w:val="left"/>
    </w:pPr>
    <w:rPr>
      <w:rFonts w:ascii="宋体" w:hAnsi="宋体" w:cs="宋体"/>
      <w:sz w:val="24"/>
    </w:rPr>
  </w:style>
  <w:style w:type="paragraph" w:customStyle="1" w:styleId="383">
    <w:name w:val="正文样式"/>
    <w:basedOn w:val="1"/>
    <w:link w:val="872"/>
    <w:qFormat/>
    <w:uiPriority w:val="0"/>
    <w:pPr>
      <w:spacing w:line="312" w:lineRule="auto"/>
      <w:ind w:firstLine="230" w:firstLineChars="230"/>
      <w:jc w:val="left"/>
    </w:pPr>
    <w:rPr>
      <w:rFonts w:ascii="宋体"/>
      <w:kern w:val="0"/>
      <w:sz w:val="24"/>
      <w:szCs w:val="20"/>
      <w:lang w:val="en-GB"/>
    </w:rPr>
  </w:style>
  <w:style w:type="paragraph" w:customStyle="1" w:styleId="384">
    <w:name w:val="样式 标题 2 + 段后: 2 行"/>
    <w:basedOn w:val="4"/>
    <w:qFormat/>
    <w:uiPriority w:val="0"/>
    <w:pPr>
      <w:keepNext w:val="0"/>
      <w:keepLines w:val="0"/>
      <w:autoSpaceDE w:val="0"/>
      <w:autoSpaceDN w:val="0"/>
      <w:adjustRightInd w:val="0"/>
      <w:snapToGrid w:val="0"/>
      <w:spacing w:before="0" w:beforeLines="100" w:after="0" w:line="360" w:lineRule="auto"/>
      <w:ind w:right="-57"/>
      <w:contextualSpacing/>
      <w:jc w:val="left"/>
      <w:textAlignment w:val="baseline"/>
    </w:pPr>
    <w:rPr>
      <w:rFonts w:ascii="Times New Roman" w:hAnsi="Times New Roman" w:cs="宋体"/>
      <w:b w:val="0"/>
      <w:snapToGrid w:val="0"/>
      <w:kern w:val="0"/>
      <w:sz w:val="24"/>
      <w:szCs w:val="20"/>
    </w:rPr>
  </w:style>
  <w:style w:type="paragraph" w:customStyle="1" w:styleId="385">
    <w:name w:val="YB附图图头小四黑体-用于目录"/>
    <w:basedOn w:val="239"/>
    <w:next w:val="1"/>
    <w:qFormat/>
    <w:uiPriority w:val="0"/>
    <w:rPr>
      <w:rFonts w:ascii="Calibri" w:hAnsi="Calibri"/>
    </w:rPr>
  </w:style>
  <w:style w:type="paragraph" w:customStyle="1" w:styleId="386">
    <w:name w:val="font0"/>
    <w:basedOn w:val="1"/>
    <w:qFormat/>
    <w:uiPriority w:val="0"/>
    <w:pPr>
      <w:widowControl/>
      <w:spacing w:before="100" w:beforeAutospacing="1" w:after="100" w:afterAutospacing="1" w:line="360" w:lineRule="auto"/>
      <w:jc w:val="left"/>
    </w:pPr>
    <w:rPr>
      <w:rFonts w:hint="eastAsia" w:ascii="宋体" w:hAnsi="宋体"/>
      <w:kern w:val="0"/>
      <w:sz w:val="24"/>
    </w:rPr>
  </w:style>
  <w:style w:type="paragraph" w:customStyle="1" w:styleId="387">
    <w:name w:val="样式 zw正文 + 首行缩进:  2 字符 段前: 3.9 磅"/>
    <w:basedOn w:val="1"/>
    <w:qFormat/>
    <w:uiPriority w:val="0"/>
    <w:pPr>
      <w:spacing w:line="500" w:lineRule="exact"/>
      <w:ind w:firstLine="200" w:firstLineChars="200"/>
      <w:jc w:val="left"/>
    </w:pPr>
    <w:rPr>
      <w:rFonts w:eastAsia="华文中宋"/>
      <w:color w:val="000000"/>
      <w:sz w:val="24"/>
      <w:szCs w:val="20"/>
    </w:rPr>
  </w:style>
  <w:style w:type="paragraph" w:customStyle="1" w:styleId="388">
    <w:name w:val="YB目小四黑五"/>
    <w:basedOn w:val="176"/>
    <w:qFormat/>
    <w:uiPriority w:val="0"/>
    <w:pPr>
      <w:ind w:firstLine="0" w:firstLineChars="0"/>
      <w:outlineLvl w:val="4"/>
    </w:pPr>
    <w:rPr>
      <w:rFonts w:ascii="Calibri" w:hAnsi="Calibri" w:eastAsia="黑体"/>
    </w:rPr>
  </w:style>
  <w:style w:type="paragraph" w:customStyle="1" w:styleId="389">
    <w:name w:val="剖面4"/>
    <w:basedOn w:val="1"/>
    <w:qFormat/>
    <w:uiPriority w:val="0"/>
    <w:pPr>
      <w:spacing w:line="280" w:lineRule="exact"/>
      <w:ind w:left="400" w:leftChars="400" w:right="400" w:rightChars="400"/>
      <w:jc w:val="left"/>
    </w:pPr>
    <w:rPr>
      <w:sz w:val="18"/>
    </w:rPr>
  </w:style>
  <w:style w:type="paragraph" w:customStyle="1" w:styleId="390">
    <w:name w:val="框图sq"/>
    <w:basedOn w:val="1"/>
    <w:qFormat/>
    <w:uiPriority w:val="0"/>
    <w:pPr>
      <w:adjustRightInd w:val="0"/>
      <w:spacing w:line="0" w:lineRule="atLeast"/>
      <w:jc w:val="left"/>
      <w:textAlignment w:val="baseline"/>
    </w:pPr>
    <w:rPr>
      <w:rFonts w:ascii="宋体"/>
      <w:kern w:val="0"/>
      <w:sz w:val="24"/>
      <w:szCs w:val="20"/>
    </w:rPr>
  </w:style>
  <w:style w:type="paragraph" w:customStyle="1" w:styleId="391">
    <w:name w:val="font7"/>
    <w:basedOn w:val="1"/>
    <w:qFormat/>
    <w:uiPriority w:val="0"/>
    <w:pPr>
      <w:widowControl/>
      <w:spacing w:before="100" w:beforeAutospacing="1" w:after="100" w:afterAutospacing="1" w:line="360" w:lineRule="auto"/>
      <w:jc w:val="left"/>
    </w:pPr>
    <w:rPr>
      <w:rFonts w:hint="eastAsia" w:ascii="宋体" w:hAnsi="宋体"/>
      <w:b/>
      <w:bCs/>
      <w:kern w:val="0"/>
      <w:sz w:val="36"/>
      <w:szCs w:val="36"/>
    </w:rPr>
  </w:style>
  <w:style w:type="paragraph" w:customStyle="1" w:styleId="392">
    <w:name w:val="YB目小四黑四"/>
    <w:basedOn w:val="1"/>
    <w:next w:val="1"/>
    <w:qFormat/>
    <w:uiPriority w:val="0"/>
    <w:pPr>
      <w:autoSpaceDE w:val="0"/>
      <w:autoSpaceDN w:val="0"/>
      <w:spacing w:line="500" w:lineRule="exact"/>
      <w:jc w:val="left"/>
      <w:textAlignment w:val="bottom"/>
      <w:outlineLvl w:val="3"/>
    </w:pPr>
    <w:rPr>
      <w:rFonts w:eastAsia="黑体"/>
      <w:sz w:val="24"/>
      <w:szCs w:val="20"/>
    </w:rPr>
  </w:style>
  <w:style w:type="paragraph" w:customStyle="1" w:styleId="393">
    <w:name w:val="王超模板"/>
    <w:basedOn w:val="1"/>
    <w:qFormat/>
    <w:uiPriority w:val="0"/>
    <w:pPr>
      <w:spacing w:line="360" w:lineRule="auto"/>
      <w:jc w:val="left"/>
    </w:pPr>
    <w:rPr>
      <w:sz w:val="24"/>
    </w:rPr>
  </w:style>
  <w:style w:type="paragraph" w:customStyle="1" w:styleId="394">
    <w:name w:val="剖面2"/>
    <w:basedOn w:val="1"/>
    <w:qFormat/>
    <w:uiPriority w:val="0"/>
    <w:pPr>
      <w:spacing w:line="280" w:lineRule="exact"/>
      <w:ind w:left="250" w:leftChars="250" w:right="100" w:rightChars="100"/>
      <w:jc w:val="left"/>
    </w:pPr>
    <w:rPr>
      <w:sz w:val="18"/>
    </w:rPr>
  </w:style>
  <w:style w:type="paragraph" w:customStyle="1" w:styleId="395">
    <w:name w:val="Char Char Char Char Char Char Char Char Char Char1"/>
    <w:basedOn w:val="1"/>
    <w:qFormat/>
    <w:uiPriority w:val="0"/>
    <w:pPr>
      <w:spacing w:line="360" w:lineRule="auto"/>
      <w:ind w:firstLine="200" w:firstLineChars="200"/>
      <w:jc w:val="left"/>
    </w:pPr>
    <w:rPr>
      <w:rFonts w:ascii="宋体" w:hAnsi="宋体" w:cs="宋体"/>
      <w:sz w:val="24"/>
    </w:rPr>
  </w:style>
  <w:style w:type="paragraph" w:customStyle="1" w:styleId="396">
    <w:name w:val="Char Char Char Char Char Char Char Char Char1 Char Char Char Char Char Char Char Char Char Char Char Char Char"/>
    <w:basedOn w:val="3"/>
    <w:qFormat/>
    <w:uiPriority w:val="0"/>
    <w:pPr>
      <w:snapToGrid w:val="0"/>
      <w:spacing w:before="240" w:beforeLines="100" w:after="240" w:line="348" w:lineRule="auto"/>
      <w:contextualSpacing/>
      <w:jc w:val="left"/>
    </w:pPr>
    <w:rPr>
      <w:rFonts w:ascii="Tahoma" w:hAnsi="Tahoma" w:eastAsia="黑体"/>
      <w:b w:val="0"/>
      <w:bCs w:val="0"/>
      <w:kern w:val="2"/>
      <w:sz w:val="24"/>
      <w:szCs w:val="20"/>
    </w:rPr>
  </w:style>
  <w:style w:type="paragraph" w:customStyle="1" w:styleId="397">
    <w:name w:val="样式 标题 2 + 宋体"/>
    <w:basedOn w:val="4"/>
    <w:qFormat/>
    <w:uiPriority w:val="0"/>
    <w:pPr>
      <w:tabs>
        <w:tab w:val="left" w:pos="2019"/>
      </w:tabs>
      <w:adjustRightInd w:val="0"/>
      <w:spacing w:before="0" w:beforeLines="100" w:after="0" w:line="360" w:lineRule="auto"/>
      <w:ind w:left="2019" w:hanging="567"/>
      <w:contextualSpacing/>
      <w:jc w:val="left"/>
    </w:pPr>
    <w:rPr>
      <w:rFonts w:ascii="黑体" w:hAnsi="宋体" w:eastAsia="黑体"/>
      <w:b w:val="0"/>
      <w:kern w:val="0"/>
      <w:sz w:val="24"/>
    </w:rPr>
  </w:style>
  <w:style w:type="paragraph" w:customStyle="1" w:styleId="398">
    <w:name w:val="表中文字"/>
    <w:qFormat/>
    <w:uiPriority w:val="0"/>
    <w:pPr>
      <w:adjustRightInd w:val="0"/>
      <w:snapToGrid w:val="0"/>
      <w:spacing w:line="300" w:lineRule="exact"/>
      <w:jc w:val="center"/>
    </w:pPr>
    <w:rPr>
      <w:rFonts w:ascii="Times New Roman" w:hAnsi="Times New Roman" w:eastAsia="华文中宋" w:cs="Times New Roman"/>
      <w:sz w:val="18"/>
      <w:lang w:val="en-US" w:eastAsia="zh-CN" w:bidi="ar-SA"/>
    </w:rPr>
  </w:style>
  <w:style w:type="paragraph" w:customStyle="1" w:styleId="399">
    <w:name w:val="YB目小四黑二"/>
    <w:basedOn w:val="1"/>
    <w:next w:val="1"/>
    <w:qFormat/>
    <w:uiPriority w:val="0"/>
    <w:pPr>
      <w:autoSpaceDE w:val="0"/>
      <w:autoSpaceDN w:val="0"/>
      <w:spacing w:line="500" w:lineRule="exact"/>
      <w:jc w:val="left"/>
      <w:textAlignment w:val="bottom"/>
      <w:outlineLvl w:val="1"/>
    </w:pPr>
    <w:rPr>
      <w:rFonts w:eastAsia="黑体"/>
      <w:sz w:val="24"/>
      <w:szCs w:val="20"/>
    </w:rPr>
  </w:style>
  <w:style w:type="paragraph" w:customStyle="1" w:styleId="400">
    <w:name w:val="xl53"/>
    <w:basedOn w:val="1"/>
    <w:qFormat/>
    <w:uiPriority w:val="0"/>
    <w:pPr>
      <w:widowControl/>
      <w:pBdr>
        <w:top w:val="single" w:color="auto" w:sz="4" w:space="0"/>
        <w:bottom w:val="single" w:color="auto" w:sz="4" w:space="0"/>
      </w:pBdr>
      <w:spacing w:before="100" w:beforeAutospacing="1" w:after="100" w:afterAutospacing="1" w:line="360" w:lineRule="auto"/>
      <w:jc w:val="center"/>
    </w:pPr>
    <w:rPr>
      <w:kern w:val="0"/>
      <w:sz w:val="24"/>
    </w:rPr>
  </w:style>
  <w:style w:type="paragraph" w:customStyle="1" w:styleId="401">
    <w:name w:val="图表题"/>
    <w:next w:val="1"/>
    <w:qFormat/>
    <w:uiPriority w:val="0"/>
    <w:pPr>
      <w:widowControl w:val="0"/>
      <w:spacing w:beforeLines="50" w:afterLines="50" w:line="360" w:lineRule="exact"/>
      <w:jc w:val="center"/>
    </w:pPr>
    <w:rPr>
      <w:rFonts w:ascii="宋体" w:hAnsi="宋体" w:eastAsia="宋体" w:cs="Times New Roman"/>
      <w:b/>
      <w:kern w:val="2"/>
      <w:sz w:val="24"/>
      <w:lang w:val="en-US" w:eastAsia="zh-CN" w:bidi="ar-SA"/>
    </w:rPr>
  </w:style>
  <w:style w:type="paragraph" w:customStyle="1" w:styleId="402">
    <w:name w:val="公式"/>
    <w:basedOn w:val="1"/>
    <w:qFormat/>
    <w:uiPriority w:val="0"/>
    <w:pPr>
      <w:adjustRightInd w:val="0"/>
      <w:snapToGrid w:val="0"/>
      <w:spacing w:line="360" w:lineRule="auto"/>
      <w:ind w:firstLine="480" w:firstLineChars="200"/>
      <w:jc w:val="left"/>
    </w:pPr>
    <w:rPr>
      <w:rFonts w:eastAsia="华文中宋"/>
      <w:position w:val="-14"/>
      <w:sz w:val="24"/>
      <w:szCs w:val="20"/>
    </w:rPr>
  </w:style>
  <w:style w:type="paragraph" w:customStyle="1" w:styleId="403">
    <w:name w:val="Char6"/>
    <w:basedOn w:val="1"/>
    <w:qFormat/>
    <w:uiPriority w:val="0"/>
    <w:pPr>
      <w:spacing w:line="360" w:lineRule="auto"/>
      <w:jc w:val="left"/>
    </w:pPr>
    <w:rPr>
      <w:rFonts w:ascii="Tahoma" w:hAnsi="Tahoma"/>
      <w:sz w:val="24"/>
      <w:szCs w:val="20"/>
    </w:rPr>
  </w:style>
  <w:style w:type="paragraph" w:customStyle="1" w:styleId="404">
    <w:name w:val="xhr表格"/>
    <w:basedOn w:val="1"/>
    <w:next w:val="1"/>
    <w:qFormat/>
    <w:uiPriority w:val="0"/>
    <w:pPr>
      <w:spacing w:line="360" w:lineRule="auto"/>
      <w:jc w:val="center"/>
    </w:pPr>
    <w:rPr>
      <w:sz w:val="24"/>
    </w:rPr>
  </w:style>
  <w:style w:type="paragraph" w:customStyle="1" w:styleId="405">
    <w:name w:val="样式 表格 + Times New Roman"/>
    <w:basedOn w:val="1"/>
    <w:qFormat/>
    <w:uiPriority w:val="0"/>
    <w:pPr>
      <w:spacing w:line="500" w:lineRule="atLeast"/>
      <w:jc w:val="left"/>
    </w:pPr>
    <w:rPr>
      <w:rFonts w:ascii="黑体" w:eastAsia="黑体"/>
      <w:sz w:val="24"/>
    </w:rPr>
  </w:style>
  <w:style w:type="paragraph" w:customStyle="1" w:styleId="406">
    <w:name w:val="xl57"/>
    <w:basedOn w:val="1"/>
    <w:qFormat/>
    <w:uiPriority w:val="0"/>
    <w:pPr>
      <w:widowControl/>
      <w:pBdr>
        <w:top w:val="single" w:color="auto" w:sz="4" w:space="0"/>
        <w:right w:val="single" w:color="auto" w:sz="4" w:space="0"/>
      </w:pBdr>
      <w:spacing w:before="100" w:beforeAutospacing="1" w:after="100" w:afterAutospacing="1" w:line="360" w:lineRule="auto"/>
      <w:jc w:val="center"/>
      <w:textAlignment w:val="center"/>
    </w:pPr>
    <w:rPr>
      <w:rFonts w:hint="eastAsia" w:ascii="仿宋_GB2312" w:hAnsi="Arial Unicode MS" w:eastAsia="仿宋_GB2312"/>
      <w:kern w:val="0"/>
      <w:sz w:val="20"/>
      <w:szCs w:val="20"/>
    </w:rPr>
  </w:style>
  <w:style w:type="paragraph" w:customStyle="1" w:styleId="407">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jc w:val="center"/>
      <w:textAlignment w:val="top"/>
    </w:pPr>
    <w:rPr>
      <w:rFonts w:ascii="宋体" w:hAnsi="宋体" w:cs="宋体"/>
      <w:color w:val="FF0000"/>
      <w:kern w:val="0"/>
      <w:sz w:val="20"/>
      <w:szCs w:val="20"/>
    </w:rPr>
  </w:style>
  <w:style w:type="paragraph" w:customStyle="1" w:styleId="408">
    <w:name w:val="表注"/>
    <w:basedOn w:val="1"/>
    <w:qFormat/>
    <w:uiPriority w:val="0"/>
    <w:pPr>
      <w:adjustRightInd w:val="0"/>
      <w:snapToGrid w:val="0"/>
      <w:spacing w:line="360" w:lineRule="auto"/>
      <w:ind w:firstLine="410" w:firstLineChars="200"/>
      <w:jc w:val="left"/>
    </w:pPr>
    <w:rPr>
      <w:rFonts w:eastAsia="华文中宋"/>
      <w:sz w:val="18"/>
      <w:szCs w:val="20"/>
    </w:rPr>
  </w:style>
  <w:style w:type="paragraph" w:customStyle="1" w:styleId="409">
    <w:name w:val="xl60"/>
    <w:basedOn w:val="1"/>
    <w:qFormat/>
    <w:uiPriority w:val="0"/>
    <w:pPr>
      <w:widowControl/>
      <w:pBdr>
        <w:right w:val="single" w:color="auto" w:sz="4" w:space="0"/>
      </w:pBdr>
      <w:spacing w:before="100" w:beforeAutospacing="1" w:after="100" w:afterAutospacing="1" w:line="360" w:lineRule="auto"/>
      <w:jc w:val="center"/>
      <w:textAlignment w:val="center"/>
    </w:pPr>
    <w:rPr>
      <w:rFonts w:hint="eastAsia" w:ascii="仿宋_GB2312" w:hAnsi="Arial Unicode MS" w:eastAsia="仿宋_GB2312"/>
      <w:kern w:val="0"/>
      <w:sz w:val="20"/>
      <w:szCs w:val="20"/>
    </w:rPr>
  </w:style>
  <w:style w:type="paragraph" w:customStyle="1" w:styleId="410">
    <w:name w:val="zw标题1"/>
    <w:basedOn w:val="3"/>
    <w:qFormat/>
    <w:uiPriority w:val="0"/>
    <w:pPr>
      <w:tabs>
        <w:tab w:val="left" w:pos="620"/>
      </w:tabs>
      <w:spacing w:before="120" w:beforeLines="100" w:after="120"/>
      <w:ind w:left="620" w:hanging="420"/>
      <w:contextualSpacing/>
      <w:jc w:val="left"/>
    </w:pPr>
    <w:rPr>
      <w:rFonts w:eastAsia="华文中宋"/>
      <w:b w:val="0"/>
      <w:szCs w:val="44"/>
    </w:rPr>
  </w:style>
  <w:style w:type="paragraph" w:customStyle="1" w:styleId="411">
    <w:name w:val="表格样式"/>
    <w:basedOn w:val="1"/>
    <w:link w:val="759"/>
    <w:qFormat/>
    <w:uiPriority w:val="0"/>
    <w:pPr>
      <w:widowControl/>
      <w:adjustRightInd w:val="0"/>
      <w:snapToGrid w:val="0"/>
      <w:spacing w:line="140" w:lineRule="atLeast"/>
      <w:jc w:val="center"/>
    </w:pPr>
    <w:rPr>
      <w:rFonts w:eastAsia="Times New Roman"/>
      <w:kern w:val="0"/>
      <w:sz w:val="18"/>
      <w:szCs w:val="18"/>
    </w:rPr>
  </w:style>
  <w:style w:type="paragraph" w:customStyle="1" w:styleId="412">
    <w:name w:val="HCH图(表)头"/>
    <w:next w:val="1"/>
    <w:qFormat/>
    <w:uiPriority w:val="0"/>
    <w:pPr>
      <w:widowControl w:val="0"/>
      <w:spacing w:line="500" w:lineRule="exact"/>
      <w:jc w:val="center"/>
    </w:pPr>
    <w:rPr>
      <w:rFonts w:ascii="Times New Roman" w:hAnsi="Times New Roman" w:eastAsia="黑体" w:cs="Times New Roman"/>
      <w:kern w:val="2"/>
      <w:sz w:val="24"/>
      <w:szCs w:val="24"/>
      <w:lang w:val="en-US" w:eastAsia="zh-CN" w:bidi="ar-SA"/>
    </w:rPr>
  </w:style>
  <w:style w:type="paragraph" w:customStyle="1" w:styleId="413">
    <w:name w:val="样式 正文缩进 + 宋体 首行缩进:  2 字符"/>
    <w:basedOn w:val="21"/>
    <w:qFormat/>
    <w:uiPriority w:val="0"/>
    <w:pPr>
      <w:autoSpaceDE w:val="0"/>
      <w:autoSpaceDN w:val="0"/>
      <w:adjustRightInd w:val="0"/>
      <w:spacing w:line="360" w:lineRule="auto"/>
      <w:ind w:firstLine="200" w:firstLineChars="200"/>
      <w:jc w:val="left"/>
      <w:textAlignment w:val="baseline"/>
    </w:pPr>
    <w:rPr>
      <w:rFonts w:ascii="宋体" w:hAnsi="宋体" w:cs="宋体"/>
      <w:snapToGrid w:val="0"/>
      <w:kern w:val="0"/>
      <w:sz w:val="24"/>
      <w:szCs w:val="20"/>
    </w:rPr>
  </w:style>
  <w:style w:type="paragraph" w:customStyle="1" w:styleId="414">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jc w:val="left"/>
    </w:pPr>
    <w:rPr>
      <w:rFonts w:ascii="Arial Unicode MS" w:hAnsi="Arial Unicode MS"/>
      <w:kern w:val="0"/>
      <w:sz w:val="16"/>
      <w:szCs w:val="16"/>
    </w:rPr>
  </w:style>
  <w:style w:type="paragraph" w:customStyle="1" w:styleId="415">
    <w:name w:val="Char Char Char1 Char Char Char Char Char Char Char Char Char Char Char Char Char Char Char Char Char Char Char1"/>
    <w:basedOn w:val="1"/>
    <w:qFormat/>
    <w:uiPriority w:val="0"/>
    <w:pPr>
      <w:autoSpaceDE w:val="0"/>
      <w:autoSpaceDN w:val="0"/>
      <w:adjustRightInd w:val="0"/>
      <w:spacing w:line="360" w:lineRule="auto"/>
      <w:ind w:firstLine="200" w:firstLineChars="200"/>
      <w:jc w:val="left"/>
      <w:textAlignment w:val="baseline"/>
    </w:pPr>
    <w:rPr>
      <w:rFonts w:ascii="宋体" w:hAnsi="宋体" w:cs="宋体"/>
      <w:kern w:val="0"/>
      <w:sz w:val="24"/>
      <w:szCs w:val="20"/>
    </w:rPr>
  </w:style>
  <w:style w:type="paragraph" w:customStyle="1" w:styleId="416">
    <w:name w:val="列出段落1"/>
    <w:basedOn w:val="1"/>
    <w:next w:val="140"/>
    <w:link w:val="751"/>
    <w:qFormat/>
    <w:uiPriority w:val="34"/>
    <w:pPr>
      <w:ind w:firstLine="420" w:firstLineChars="200"/>
    </w:pPr>
    <w:rPr>
      <w:rFonts w:ascii="Calibri" w:hAnsi="Calibri"/>
      <w:sz w:val="24"/>
      <w:szCs w:val="22"/>
    </w:rPr>
  </w:style>
  <w:style w:type="paragraph" w:customStyle="1" w:styleId="417">
    <w:name w:val="CM33"/>
    <w:basedOn w:val="418"/>
    <w:next w:val="418"/>
    <w:qFormat/>
    <w:uiPriority w:val="0"/>
    <w:pPr>
      <w:spacing w:line="453" w:lineRule="atLeast"/>
    </w:pPr>
    <w:rPr>
      <w:rFonts w:ascii="Sim Hei" w:eastAsia="Sim Hei" w:cs="Times New Roman"/>
      <w:color w:val="auto"/>
    </w:rPr>
  </w:style>
  <w:style w:type="paragraph" w:customStyle="1" w:styleId="41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19">
    <w:name w:val="首行缩进（正文）"/>
    <w:basedOn w:val="1"/>
    <w:qFormat/>
    <w:uiPriority w:val="0"/>
    <w:pPr>
      <w:spacing w:line="300" w:lineRule="auto"/>
      <w:ind w:firstLine="521" w:firstLineChars="217"/>
    </w:pPr>
    <w:rPr>
      <w:rFonts w:ascii="宋体" w:hAnsi="宋体"/>
      <w:sz w:val="24"/>
    </w:rPr>
  </w:style>
  <w:style w:type="paragraph" w:customStyle="1" w:styleId="420">
    <w:name w:val="正文（首行进2"/>
    <w:basedOn w:val="1"/>
    <w:qFormat/>
    <w:uiPriority w:val="0"/>
    <w:pPr>
      <w:widowControl/>
      <w:spacing w:line="400" w:lineRule="exact"/>
      <w:ind w:firstLine="480" w:firstLineChars="200"/>
      <w:jc w:val="left"/>
    </w:pPr>
    <w:rPr>
      <w:rFonts w:ascii="Arial" w:hAnsi="Arial"/>
      <w:sz w:val="24"/>
    </w:rPr>
  </w:style>
  <w:style w:type="paragraph" w:customStyle="1" w:styleId="421">
    <w:name w:val="CM3"/>
    <w:basedOn w:val="418"/>
    <w:next w:val="418"/>
    <w:qFormat/>
    <w:uiPriority w:val="0"/>
    <w:pPr>
      <w:spacing w:line="471" w:lineRule="atLeast"/>
    </w:pPr>
    <w:rPr>
      <w:rFonts w:ascii="黑体" w:eastAsia="黑体" w:cs="Times New Roman"/>
      <w:color w:val="auto"/>
    </w:rPr>
  </w:style>
  <w:style w:type="paragraph" w:customStyle="1" w:styleId="422">
    <w:name w:val="样式 标题 4 + 非加粗 行距: 1.5 倍行距"/>
    <w:basedOn w:val="6"/>
    <w:qFormat/>
    <w:uiPriority w:val="0"/>
    <w:pPr>
      <w:adjustRightInd w:val="0"/>
      <w:snapToGrid w:val="0"/>
      <w:spacing w:after="60" w:line="360" w:lineRule="auto"/>
      <w:ind w:firstLine="480" w:firstLineChars="200"/>
      <w:textAlignment w:val="baseline"/>
    </w:pPr>
    <w:rPr>
      <w:rFonts w:eastAsia="楷体_GB2312" w:cs="宋体"/>
      <w:bCs w:val="0"/>
      <w:kern w:val="0"/>
      <w:szCs w:val="20"/>
    </w:rPr>
  </w:style>
  <w:style w:type="paragraph" w:customStyle="1" w:styleId="423">
    <w:name w:val="公式样式"/>
    <w:basedOn w:val="1"/>
    <w:qFormat/>
    <w:uiPriority w:val="0"/>
    <w:pPr>
      <w:widowControl/>
      <w:tabs>
        <w:tab w:val="center" w:pos="4080"/>
        <w:tab w:val="right" w:pos="8160"/>
      </w:tabs>
      <w:wordWrap w:val="0"/>
      <w:spacing w:line="360" w:lineRule="auto"/>
      <w:ind w:firstLine="200" w:firstLineChars="200"/>
      <w:jc w:val="right"/>
    </w:pPr>
    <w:rPr>
      <w:rFonts w:eastAsia="Times New Roman"/>
      <w:position w:val="-6"/>
      <w:sz w:val="24"/>
      <w:szCs w:val="21"/>
    </w:rPr>
  </w:style>
  <w:style w:type="paragraph" w:customStyle="1" w:styleId="424">
    <w:name w:val="样式 正文缩进 + 四号"/>
    <w:basedOn w:val="21"/>
    <w:qFormat/>
    <w:uiPriority w:val="0"/>
    <w:pPr>
      <w:spacing w:line="360" w:lineRule="auto"/>
      <w:ind w:firstLine="200" w:firstLineChars="200"/>
    </w:pPr>
    <w:rPr>
      <w:sz w:val="28"/>
      <w:szCs w:val="24"/>
    </w:rPr>
  </w:style>
  <w:style w:type="paragraph" w:customStyle="1" w:styleId="425">
    <w:name w:val="CM132"/>
    <w:basedOn w:val="418"/>
    <w:next w:val="418"/>
    <w:qFormat/>
    <w:uiPriority w:val="0"/>
    <w:pPr>
      <w:spacing w:after="75"/>
    </w:pPr>
    <w:rPr>
      <w:rFonts w:ascii="黑体" w:eastAsia="黑体" w:cs="Times New Roman"/>
      <w:color w:val="auto"/>
    </w:rPr>
  </w:style>
  <w:style w:type="paragraph" w:customStyle="1" w:styleId="426">
    <w:name w:val="默认段落字体 Para Char"/>
    <w:basedOn w:val="1"/>
    <w:qFormat/>
    <w:uiPriority w:val="0"/>
    <w:pPr>
      <w:spacing w:line="360" w:lineRule="auto"/>
      <w:jc w:val="center"/>
    </w:pPr>
    <w:rPr>
      <w:rFonts w:eastAsia="仿宋_GB2312"/>
      <w:b/>
      <w:sz w:val="32"/>
    </w:rPr>
  </w:style>
  <w:style w:type="paragraph" w:customStyle="1" w:styleId="427">
    <w:name w:val="表格样式1.0"/>
    <w:basedOn w:val="1"/>
    <w:qFormat/>
    <w:uiPriority w:val="0"/>
    <w:pPr>
      <w:widowControl/>
      <w:spacing w:before="20" w:after="20"/>
      <w:jc w:val="center"/>
    </w:pPr>
    <w:rPr>
      <w:rFonts w:ascii="宋体" w:hAnsi="宋体" w:cs="宋体"/>
      <w:kern w:val="0"/>
      <w:szCs w:val="18"/>
    </w:rPr>
  </w:style>
  <w:style w:type="paragraph" w:customStyle="1" w:styleId="428">
    <w:name w:val="样式 标题 3 + (中文) 黑体 非加粗 行距: 1.5 倍行距"/>
    <w:basedOn w:val="5"/>
    <w:qFormat/>
    <w:uiPriority w:val="0"/>
    <w:pPr>
      <w:spacing w:before="0" w:after="0" w:line="360" w:lineRule="auto"/>
    </w:pPr>
    <w:rPr>
      <w:rFonts w:cs="宋体"/>
      <w:bCs w:val="0"/>
      <w:szCs w:val="20"/>
      <w:lang w:val="en-US"/>
    </w:rPr>
  </w:style>
  <w:style w:type="paragraph" w:customStyle="1" w:styleId="429">
    <w:name w:val="纯文本2"/>
    <w:basedOn w:val="1"/>
    <w:qFormat/>
    <w:uiPriority w:val="0"/>
    <w:pPr>
      <w:adjustRightInd w:val="0"/>
      <w:textAlignment w:val="baseline"/>
    </w:pPr>
    <w:rPr>
      <w:rFonts w:ascii="宋体"/>
      <w:kern w:val="0"/>
      <w:szCs w:val="20"/>
    </w:rPr>
  </w:style>
  <w:style w:type="paragraph" w:customStyle="1" w:styleId="430">
    <w:name w:val="CM143"/>
    <w:basedOn w:val="1"/>
    <w:next w:val="1"/>
    <w:qFormat/>
    <w:uiPriority w:val="0"/>
    <w:pPr>
      <w:autoSpaceDE w:val="0"/>
      <w:autoSpaceDN w:val="0"/>
      <w:adjustRightInd w:val="0"/>
      <w:spacing w:after="250"/>
      <w:jc w:val="left"/>
    </w:pPr>
    <w:rPr>
      <w:rFonts w:ascii="黑体" w:eastAsia="黑体"/>
      <w:kern w:val="0"/>
      <w:sz w:val="24"/>
    </w:rPr>
  </w:style>
  <w:style w:type="paragraph" w:customStyle="1" w:styleId="431">
    <w:name w:val="CM7"/>
    <w:basedOn w:val="418"/>
    <w:next w:val="418"/>
    <w:qFormat/>
    <w:uiPriority w:val="0"/>
    <w:pPr>
      <w:spacing w:line="451" w:lineRule="atLeast"/>
    </w:pPr>
    <w:rPr>
      <w:rFonts w:ascii="Sim Hei" w:eastAsia="Sim Hei" w:cs="Times New Roman"/>
      <w:color w:val="auto"/>
    </w:rPr>
  </w:style>
  <w:style w:type="paragraph" w:customStyle="1" w:styleId="432">
    <w:name w:val="表格文字1"/>
    <w:basedOn w:val="1"/>
    <w:qFormat/>
    <w:uiPriority w:val="0"/>
    <w:pPr>
      <w:adjustRightInd w:val="0"/>
      <w:snapToGrid w:val="0"/>
      <w:spacing w:line="360" w:lineRule="auto"/>
    </w:pPr>
  </w:style>
  <w:style w:type="paragraph" w:customStyle="1" w:styleId="433">
    <w:name w:val="Char Char Char1 Char1"/>
    <w:basedOn w:val="1"/>
    <w:qFormat/>
    <w:uiPriority w:val="0"/>
    <w:pPr>
      <w:spacing w:line="500" w:lineRule="exact"/>
    </w:pPr>
  </w:style>
  <w:style w:type="paragraph" w:customStyle="1" w:styleId="434">
    <w:name w:val="样式 首行缩进:  0.85 厘米 行距: 1.5 倍行距"/>
    <w:basedOn w:val="1"/>
    <w:qFormat/>
    <w:uiPriority w:val="0"/>
    <w:pPr>
      <w:snapToGrid w:val="0"/>
      <w:ind w:firstLine="482"/>
    </w:pPr>
    <w:rPr>
      <w:rFonts w:cs="黑体"/>
      <w:kern w:val="0"/>
      <w:sz w:val="24"/>
    </w:rPr>
  </w:style>
  <w:style w:type="paragraph" w:customStyle="1" w:styleId="435">
    <w:name w:val="报告表中"/>
    <w:basedOn w:val="1"/>
    <w:link w:val="878"/>
    <w:qFormat/>
    <w:uiPriority w:val="0"/>
    <w:pPr>
      <w:jc w:val="center"/>
    </w:pPr>
    <w:rPr>
      <w:sz w:val="18"/>
      <w:szCs w:val="20"/>
    </w:rPr>
  </w:style>
  <w:style w:type="paragraph" w:customStyle="1" w:styleId="436">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37">
    <w:name w:val="5"/>
    <w:qFormat/>
    <w:uiPriority w:val="0"/>
    <w:pPr>
      <w:widowControl w:val="0"/>
      <w:spacing w:line="360" w:lineRule="auto"/>
    </w:pPr>
    <w:rPr>
      <w:rFonts w:ascii="Times New Roman" w:hAnsi="Times New Roman" w:eastAsia="宋体" w:cs="Times New Roman"/>
      <w:kern w:val="2"/>
      <w:sz w:val="24"/>
      <w:szCs w:val="24"/>
      <w:lang w:val="en-US" w:eastAsia="zh-CN" w:bidi="ar-SA"/>
    </w:rPr>
  </w:style>
  <w:style w:type="paragraph" w:customStyle="1" w:styleId="438">
    <w:name w:val="样式 标题 5 + 黑色"/>
    <w:basedOn w:val="7"/>
    <w:qFormat/>
    <w:uiPriority w:val="0"/>
    <w:pPr>
      <w:keepLines w:val="0"/>
      <w:spacing w:before="0" w:after="0" w:line="360" w:lineRule="auto"/>
      <w:ind w:right="-490" w:rightChars="-204" w:firstLine="480" w:firstLineChars="200"/>
      <w:jc w:val="left"/>
    </w:pPr>
    <w:rPr>
      <w:rFonts w:ascii="宋体" w:hAnsi="宋体"/>
      <w:b/>
      <w:bCs/>
      <w:i/>
      <w:iCs/>
      <w:color w:val="000000"/>
      <w:position w:val="0"/>
      <w:szCs w:val="28"/>
    </w:rPr>
  </w:style>
  <w:style w:type="paragraph" w:customStyle="1" w:styleId="439">
    <w:name w:val="样式 正文缩进正文（首行缩进两字） + 黑色"/>
    <w:basedOn w:val="21"/>
    <w:link w:val="788"/>
    <w:qFormat/>
    <w:uiPriority w:val="0"/>
    <w:pPr>
      <w:adjustRightInd w:val="0"/>
      <w:snapToGrid w:val="0"/>
      <w:spacing w:line="300" w:lineRule="auto"/>
      <w:ind w:firstLine="0"/>
      <w:jc w:val="left"/>
      <w:textAlignment w:val="baseline"/>
    </w:pPr>
    <w:rPr>
      <w:color w:val="000000"/>
      <w:kern w:val="0"/>
      <w:sz w:val="24"/>
      <w:szCs w:val="20"/>
    </w:rPr>
  </w:style>
  <w:style w:type="paragraph" w:customStyle="1" w:styleId="440">
    <w:name w:val="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441">
    <w:name w:val="CM1"/>
    <w:basedOn w:val="418"/>
    <w:next w:val="418"/>
    <w:qFormat/>
    <w:uiPriority w:val="0"/>
    <w:pPr>
      <w:spacing w:line="556" w:lineRule="atLeast"/>
    </w:pPr>
    <w:rPr>
      <w:rFonts w:ascii="..ì." w:eastAsia="..ì." w:cs="Times New Roman"/>
      <w:color w:val="auto"/>
    </w:rPr>
  </w:style>
  <w:style w:type="paragraph" w:customStyle="1" w:styleId="442">
    <w:name w:val="CM77"/>
    <w:basedOn w:val="418"/>
    <w:next w:val="418"/>
    <w:qFormat/>
    <w:uiPriority w:val="0"/>
    <w:pPr>
      <w:spacing w:after="228"/>
    </w:pPr>
    <w:rPr>
      <w:rFonts w:ascii="Sim Hei" w:eastAsia="Sim Hei" w:cs="Times New Roman"/>
      <w:color w:val="auto"/>
    </w:rPr>
  </w:style>
  <w:style w:type="paragraph" w:customStyle="1" w:styleId="443">
    <w:name w:val="紧凑表格文字"/>
    <w:basedOn w:val="1"/>
    <w:link w:val="770"/>
    <w:qFormat/>
    <w:uiPriority w:val="0"/>
    <w:pPr>
      <w:snapToGrid w:val="0"/>
      <w:spacing w:line="360" w:lineRule="exact"/>
      <w:jc w:val="center"/>
    </w:pPr>
    <w:rPr>
      <w:kern w:val="0"/>
      <w:sz w:val="20"/>
      <w:szCs w:val="21"/>
    </w:rPr>
  </w:style>
  <w:style w:type="paragraph" w:customStyle="1" w:styleId="444">
    <w:name w:val="字元 字元"/>
    <w:basedOn w:val="1"/>
    <w:qFormat/>
    <w:uiPriority w:val="0"/>
    <w:pPr>
      <w:spacing w:line="360" w:lineRule="auto"/>
      <w:ind w:firstLine="200" w:firstLineChars="200"/>
    </w:pPr>
    <w:rPr>
      <w:rFonts w:ascii="宋体" w:hAnsi="宋体" w:cs="宋体"/>
      <w:sz w:val="24"/>
    </w:rPr>
  </w:style>
  <w:style w:type="paragraph" w:customStyle="1" w:styleId="445">
    <w:name w:val="表中"/>
    <w:basedOn w:val="1"/>
    <w:qFormat/>
    <w:uiPriority w:val="0"/>
    <w:pPr>
      <w:adjustRightInd w:val="0"/>
      <w:spacing w:line="360" w:lineRule="atLeast"/>
      <w:jc w:val="center"/>
      <w:textAlignment w:val="baseline"/>
    </w:pPr>
    <w:rPr>
      <w:kern w:val="0"/>
      <w:szCs w:val="20"/>
    </w:rPr>
  </w:style>
  <w:style w:type="paragraph" w:customStyle="1" w:styleId="446">
    <w:name w:val="样式 居中"/>
    <w:basedOn w:val="1"/>
    <w:qFormat/>
    <w:uiPriority w:val="0"/>
    <w:pPr>
      <w:adjustRightInd w:val="0"/>
      <w:spacing w:line="300" w:lineRule="auto"/>
      <w:ind w:firstLine="480" w:firstLineChars="200"/>
      <w:jc w:val="center"/>
      <w:textAlignment w:val="baseline"/>
    </w:pPr>
    <w:rPr>
      <w:rFonts w:cs="宋体"/>
      <w:kern w:val="0"/>
      <w:szCs w:val="20"/>
    </w:rPr>
  </w:style>
  <w:style w:type="paragraph" w:customStyle="1" w:styleId="447">
    <w:name w:val="报告条标题"/>
    <w:basedOn w:val="1"/>
    <w:next w:val="1"/>
    <w:link w:val="800"/>
    <w:qFormat/>
    <w:uiPriority w:val="0"/>
    <w:pPr>
      <w:spacing w:before="120" w:after="120" w:line="400" w:lineRule="exact"/>
    </w:pPr>
    <w:rPr>
      <w:rFonts w:ascii="黑体" w:eastAsia="黑体"/>
      <w:kern w:val="0"/>
      <w:sz w:val="24"/>
      <w:szCs w:val="20"/>
    </w:rPr>
  </w:style>
  <w:style w:type="paragraph" w:customStyle="1" w:styleId="448">
    <w:name w:val="样式 正文文本缩进 2 + Arial 黑色 行距: 固定值 24 磅"/>
    <w:basedOn w:val="51"/>
    <w:qFormat/>
    <w:uiPriority w:val="0"/>
    <w:pPr>
      <w:autoSpaceDE/>
      <w:autoSpaceDN/>
      <w:adjustRightInd/>
      <w:snapToGrid w:val="0"/>
      <w:spacing w:before="0" w:beforeLines="0" w:line="480" w:lineRule="exact"/>
      <w:ind w:firstLine="200" w:firstLineChars="200"/>
      <w:textAlignment w:val="auto"/>
    </w:pPr>
    <w:rPr>
      <w:rFonts w:cs="宋体"/>
      <w:kern w:val="2"/>
      <w:szCs w:val="24"/>
      <w:lang w:val="en-US"/>
    </w:rPr>
  </w:style>
  <w:style w:type="paragraph" w:customStyle="1" w:styleId="449">
    <w:name w:val="样式 样式 正文缩进正文（首行缩进两字） + 两端对齐 段前: 7.8 磅 段后: 7.8 磅 行距: 最小值 25 磅 + 首..."/>
    <w:basedOn w:val="450"/>
    <w:qFormat/>
    <w:uiPriority w:val="0"/>
  </w:style>
  <w:style w:type="paragraph" w:customStyle="1" w:styleId="450">
    <w:name w:val="样式 正文缩进正文（首行缩进两字） + 两端对齐 段前: 7.8 磅 段后: 7.8 磅 行距: 最小值 25 磅"/>
    <w:basedOn w:val="21"/>
    <w:qFormat/>
    <w:uiPriority w:val="0"/>
    <w:pPr>
      <w:adjustRightInd w:val="0"/>
      <w:snapToGrid w:val="0"/>
      <w:spacing w:line="360" w:lineRule="auto"/>
      <w:ind w:firstLine="200" w:firstLineChars="200"/>
      <w:textAlignment w:val="baseline"/>
    </w:pPr>
    <w:rPr>
      <w:rFonts w:cs="宋体"/>
      <w:kern w:val="0"/>
      <w:sz w:val="24"/>
      <w:szCs w:val="20"/>
    </w:rPr>
  </w:style>
  <w:style w:type="paragraph" w:customStyle="1" w:styleId="451">
    <w:name w:val="样式 标题 4 + Times New Roman 非加粗"/>
    <w:basedOn w:val="6"/>
    <w:qFormat/>
    <w:uiPriority w:val="0"/>
    <w:pPr>
      <w:adjustRightInd w:val="0"/>
      <w:spacing w:after="120" w:line="376" w:lineRule="atLeast"/>
      <w:jc w:val="left"/>
      <w:textAlignment w:val="baseline"/>
    </w:pPr>
    <w:rPr>
      <w:rFonts w:eastAsia="楷体_GB2312"/>
      <w:bCs w:val="0"/>
      <w:kern w:val="0"/>
      <w:szCs w:val="20"/>
    </w:rPr>
  </w:style>
  <w:style w:type="paragraph" w:customStyle="1" w:styleId="452">
    <w:name w:val="样式 样式 样式1 + 首行缩进:  2 字符 + 倾斜 自动设置"/>
    <w:basedOn w:val="453"/>
    <w:link w:val="852"/>
    <w:qFormat/>
    <w:uiPriority w:val="0"/>
    <w:pPr>
      <w:ind w:firstLine="432"/>
    </w:pPr>
    <w:rPr>
      <w:bCs/>
      <w:i/>
      <w:iCs/>
    </w:rPr>
  </w:style>
  <w:style w:type="paragraph" w:customStyle="1" w:styleId="453">
    <w:name w:val="样式 样式1 + 首行缩进:  2 字符"/>
    <w:link w:val="838"/>
    <w:qFormat/>
    <w:uiPriority w:val="0"/>
    <w:pPr>
      <w:spacing w:line="360" w:lineRule="auto"/>
      <w:ind w:firstLine="480" w:firstLineChars="200"/>
    </w:pPr>
    <w:rPr>
      <w:rFonts w:ascii="Times New Roman" w:hAnsi="Times New Roman" w:eastAsia="宋体" w:cs="Times New Roman"/>
      <w:kern w:val="44"/>
      <w:sz w:val="24"/>
      <w:lang w:val="en-US" w:eastAsia="zh-CN" w:bidi="ar-SA"/>
    </w:rPr>
  </w:style>
  <w:style w:type="paragraph" w:customStyle="1" w:styleId="454">
    <w:name w:val="样式 正文缩进正文（首行缩进两字） + 两端对齐 段前: 7.8 磅 段后: 7.8 磅 行距: 最小值 25 磅1"/>
    <w:basedOn w:val="21"/>
    <w:qFormat/>
    <w:uiPriority w:val="0"/>
    <w:pPr>
      <w:adjustRightInd w:val="0"/>
      <w:spacing w:line="360" w:lineRule="auto"/>
      <w:ind w:firstLine="0"/>
      <w:textAlignment w:val="baseline"/>
    </w:pPr>
    <w:rPr>
      <w:rFonts w:cs="宋体"/>
      <w:kern w:val="0"/>
      <w:sz w:val="24"/>
      <w:szCs w:val="20"/>
    </w:rPr>
  </w:style>
  <w:style w:type="paragraph" w:customStyle="1" w:styleId="455">
    <w:name w:val="样式 标题 5 + 首行缩进:  0.85 厘米"/>
    <w:basedOn w:val="7"/>
    <w:qFormat/>
    <w:uiPriority w:val="0"/>
    <w:pPr>
      <w:keepLines w:val="0"/>
      <w:spacing w:before="0" w:after="0" w:line="360" w:lineRule="auto"/>
      <w:ind w:right="-490" w:rightChars="-204" w:firstLine="480" w:firstLineChars="200"/>
      <w:jc w:val="left"/>
    </w:pPr>
    <w:rPr>
      <w:rFonts w:ascii="宋体" w:hAnsi="宋体" w:cs="宋体"/>
      <w:b/>
      <w:bCs/>
      <w:i/>
      <w:iCs/>
      <w:position w:val="0"/>
      <w:szCs w:val="28"/>
    </w:rPr>
  </w:style>
  <w:style w:type="paragraph" w:customStyle="1" w:styleId="456">
    <w:name w:val="样式 标题 4 + 非加粗 首行缩进:  2 字符 行距: 1.5 倍行距"/>
    <w:basedOn w:val="6"/>
    <w:qFormat/>
    <w:uiPriority w:val="0"/>
    <w:pPr>
      <w:adjustRightInd w:val="0"/>
      <w:snapToGrid w:val="0"/>
      <w:spacing w:after="60" w:line="360" w:lineRule="auto"/>
      <w:ind w:firstLine="480" w:firstLineChars="200"/>
      <w:textAlignment w:val="baseline"/>
    </w:pPr>
    <w:rPr>
      <w:rFonts w:eastAsia="楷体_GB2312" w:cs="宋体"/>
      <w:bCs w:val="0"/>
      <w:szCs w:val="20"/>
    </w:rPr>
  </w:style>
  <w:style w:type="paragraph" w:customStyle="1" w:styleId="457">
    <w:name w:val="报告页眉"/>
    <w:basedOn w:val="1"/>
    <w:qFormat/>
    <w:uiPriority w:val="0"/>
    <w:rPr>
      <w:sz w:val="18"/>
      <w:szCs w:val="20"/>
    </w:rPr>
  </w:style>
  <w:style w:type="paragraph" w:customStyle="1" w:styleId="458">
    <w:name w:val="样式 本文正文001 + Times New Roman 五号"/>
    <w:basedOn w:val="1"/>
    <w:link w:val="837"/>
    <w:qFormat/>
    <w:uiPriority w:val="0"/>
    <w:pPr>
      <w:spacing w:line="360" w:lineRule="auto"/>
      <w:ind w:firstLine="200" w:firstLineChars="200"/>
    </w:pPr>
    <w:rPr>
      <w:kern w:val="0"/>
      <w:sz w:val="24"/>
    </w:rPr>
  </w:style>
  <w:style w:type="paragraph" w:customStyle="1" w:styleId="459">
    <w:name w:val="样式 样式 正文首行缩进 + 四号 首行缩进:  1 字符 + 红色"/>
    <w:basedOn w:val="460"/>
    <w:qFormat/>
    <w:uiPriority w:val="0"/>
    <w:rPr>
      <w:color w:val="FF0000"/>
    </w:rPr>
  </w:style>
  <w:style w:type="paragraph" w:customStyle="1" w:styleId="460">
    <w:name w:val="样式 正文首行缩进 + 四号 首行缩进:  1 字符 Char"/>
    <w:basedOn w:val="86"/>
    <w:qFormat/>
    <w:uiPriority w:val="0"/>
    <w:pPr>
      <w:spacing w:after="0" w:line="360" w:lineRule="auto"/>
      <w:ind w:firstLine="630" w:firstLineChars="350"/>
      <w:jc w:val="left"/>
    </w:pPr>
    <w:rPr>
      <w:rFonts w:ascii="黑体" w:eastAsia="黑体"/>
      <w:kern w:val="2"/>
      <w:sz w:val="18"/>
      <w:szCs w:val="18"/>
      <w:lang w:val="en-US"/>
    </w:rPr>
  </w:style>
  <w:style w:type="paragraph" w:customStyle="1" w:styleId="461">
    <w:name w:val="CM8"/>
    <w:basedOn w:val="418"/>
    <w:next w:val="418"/>
    <w:qFormat/>
    <w:uiPriority w:val="0"/>
    <w:pPr>
      <w:spacing w:line="453" w:lineRule="atLeast"/>
    </w:pPr>
    <w:rPr>
      <w:rFonts w:ascii="Sim Hei" w:eastAsia="Sim Hei" w:cs="Times New Roman"/>
      <w:color w:val="auto"/>
    </w:rPr>
  </w:style>
  <w:style w:type="paragraph" w:customStyle="1" w:styleId="462">
    <w:name w:val="样式1-1"/>
    <w:basedOn w:val="4"/>
    <w:link w:val="888"/>
    <w:qFormat/>
    <w:uiPriority w:val="0"/>
    <w:pPr>
      <w:spacing w:before="0" w:line="440" w:lineRule="exact"/>
      <w:ind w:right="118" w:rightChars="56" w:firstLine="602" w:firstLineChars="200"/>
      <w:jc w:val="center"/>
    </w:pPr>
    <w:rPr>
      <w:rFonts w:ascii="楷体_GB2312" w:hAnsi="宋体" w:eastAsia="楷体_GB2312"/>
      <w:kern w:val="0"/>
      <w:szCs w:val="30"/>
    </w:rPr>
  </w:style>
  <w:style w:type="paragraph" w:customStyle="1" w:styleId="463">
    <w:name w:val="样式 行距: 1.5 倍行距1"/>
    <w:basedOn w:val="1"/>
    <w:qFormat/>
    <w:uiPriority w:val="0"/>
    <w:pPr>
      <w:adjustRightInd w:val="0"/>
      <w:spacing w:line="360" w:lineRule="auto"/>
      <w:ind w:firstLine="200" w:firstLineChars="200"/>
      <w:textAlignment w:val="baseline"/>
    </w:pPr>
    <w:rPr>
      <w:rFonts w:cs="宋体"/>
      <w:kern w:val="0"/>
      <w:sz w:val="24"/>
      <w:szCs w:val="20"/>
    </w:rPr>
  </w:style>
  <w:style w:type="paragraph" w:customStyle="1" w:styleId="464">
    <w:name w:val="样式 首行缩进:  0.74 厘米 行距: 1.5 倍行距"/>
    <w:basedOn w:val="1"/>
    <w:qFormat/>
    <w:uiPriority w:val="0"/>
    <w:pPr>
      <w:adjustRightInd w:val="0"/>
      <w:spacing w:line="300" w:lineRule="auto"/>
      <w:ind w:firstLine="420"/>
      <w:textAlignment w:val="baseline"/>
    </w:pPr>
    <w:rPr>
      <w:rFonts w:cs="宋体"/>
      <w:kern w:val="0"/>
      <w:sz w:val="24"/>
      <w:szCs w:val="20"/>
    </w:rPr>
  </w:style>
  <w:style w:type="paragraph" w:customStyle="1" w:styleId="465">
    <w:name w:val="样式 正文缩进 + 楷体_GB2312 四号"/>
    <w:basedOn w:val="21"/>
    <w:link w:val="889"/>
    <w:qFormat/>
    <w:uiPriority w:val="0"/>
    <w:pPr>
      <w:adjustRightInd w:val="0"/>
      <w:spacing w:line="360" w:lineRule="auto"/>
      <w:ind w:firstLine="480" w:firstLineChars="200"/>
      <w:textAlignment w:val="baseline"/>
    </w:pPr>
    <w:rPr>
      <w:rFonts w:ascii="宋体" w:hAnsi="宋体"/>
      <w:kern w:val="0"/>
      <w:sz w:val="24"/>
      <w:szCs w:val="24"/>
    </w:rPr>
  </w:style>
  <w:style w:type="paragraph" w:customStyle="1" w:styleId="466">
    <w:name w:val="样式9"/>
    <w:basedOn w:val="5"/>
    <w:qFormat/>
    <w:uiPriority w:val="0"/>
    <w:pPr>
      <w:snapToGrid w:val="0"/>
      <w:spacing w:before="0" w:after="60" w:line="360" w:lineRule="auto"/>
      <w:ind w:firstLine="482"/>
    </w:pPr>
    <w:rPr>
      <w:bCs w:val="0"/>
      <w:szCs w:val="24"/>
      <w:lang w:val="en-US"/>
    </w:rPr>
  </w:style>
  <w:style w:type="paragraph" w:customStyle="1" w:styleId="467">
    <w:name w:val="紧凑表格表名"/>
    <w:basedOn w:val="1"/>
    <w:next w:val="1"/>
    <w:link w:val="768"/>
    <w:qFormat/>
    <w:uiPriority w:val="0"/>
    <w:pPr>
      <w:widowControl/>
      <w:spacing w:beforeLines="50" w:after="50" w:line="400" w:lineRule="exact"/>
      <w:ind w:firstLine="284"/>
      <w:jc w:val="left"/>
    </w:pPr>
    <w:rPr>
      <w:rFonts w:ascii="宋体" w:hAnsi="宋体"/>
      <w:kern w:val="0"/>
      <w:sz w:val="24"/>
    </w:rPr>
  </w:style>
  <w:style w:type="paragraph" w:customStyle="1" w:styleId="468">
    <w:name w:val="样式 标题 3 + (中文) 黑体 非加粗 段前: 0 磅 段后: 0 磅 行距: 1.5 倍行距"/>
    <w:basedOn w:val="5"/>
    <w:qFormat/>
    <w:uiPriority w:val="0"/>
    <w:pPr>
      <w:snapToGrid w:val="0"/>
      <w:spacing w:before="0" w:after="0" w:line="360" w:lineRule="auto"/>
    </w:pPr>
    <w:rPr>
      <w:rFonts w:cs="宋体"/>
      <w:bCs w:val="0"/>
      <w:szCs w:val="20"/>
      <w:lang w:val="en-US"/>
    </w:rPr>
  </w:style>
  <w:style w:type="paragraph" w:customStyle="1" w:styleId="469">
    <w:name w:val="样式 样式 标题 5 + 黑色 + Times New Roman"/>
    <w:basedOn w:val="1"/>
    <w:link w:val="753"/>
    <w:qFormat/>
    <w:uiPriority w:val="0"/>
    <w:pPr>
      <w:keepNext/>
      <w:adjustRightInd w:val="0"/>
      <w:snapToGrid w:val="0"/>
      <w:spacing w:beforeLines="50" w:line="360" w:lineRule="auto"/>
      <w:ind w:firstLine="482"/>
      <w:jc w:val="left"/>
      <w:textAlignment w:val="baseline"/>
      <w:outlineLvl w:val="4"/>
    </w:pPr>
    <w:rPr>
      <w:color w:val="000000"/>
      <w:kern w:val="0"/>
      <w:sz w:val="24"/>
    </w:rPr>
  </w:style>
  <w:style w:type="paragraph" w:customStyle="1" w:styleId="470">
    <w:name w:val="4正文"/>
    <w:basedOn w:val="1"/>
    <w:link w:val="898"/>
    <w:qFormat/>
    <w:uiPriority w:val="0"/>
    <w:pPr>
      <w:adjustRightInd w:val="0"/>
      <w:spacing w:before="120" w:after="120" w:line="400" w:lineRule="atLeast"/>
      <w:ind w:firstLine="200" w:firstLineChars="200"/>
      <w:jc w:val="left"/>
      <w:textAlignment w:val="baseline"/>
    </w:pPr>
    <w:rPr>
      <w:rFonts w:ascii="宋体" w:hAnsi="宋体"/>
      <w:kern w:val="0"/>
      <w:sz w:val="24"/>
    </w:rPr>
  </w:style>
  <w:style w:type="paragraph" w:customStyle="1" w:styleId="471">
    <w:name w:val="样式10"/>
    <w:basedOn w:val="472"/>
    <w:qFormat/>
    <w:uiPriority w:val="0"/>
    <w:pPr>
      <w:tabs>
        <w:tab w:val="left" w:pos="645"/>
        <w:tab w:val="left" w:pos="1305"/>
      </w:tabs>
      <w:adjustRightInd w:val="0"/>
      <w:snapToGrid/>
      <w:spacing w:beforeLines="50"/>
      <w:ind w:left="0" w:firstLine="200" w:firstLineChars="200"/>
      <w:jc w:val="left"/>
    </w:pPr>
  </w:style>
  <w:style w:type="paragraph" w:customStyle="1" w:styleId="472">
    <w:name w:val="报告小节标题"/>
    <w:basedOn w:val="5"/>
    <w:next w:val="265"/>
    <w:qFormat/>
    <w:uiPriority w:val="0"/>
    <w:pPr>
      <w:tabs>
        <w:tab w:val="left" w:pos="645"/>
        <w:tab w:val="left" w:pos="1305"/>
      </w:tabs>
      <w:adjustRightInd/>
      <w:snapToGrid w:val="0"/>
      <w:spacing w:before="0" w:after="120" w:line="400" w:lineRule="exact"/>
      <w:ind w:left="1305" w:hanging="720"/>
      <w:jc w:val="both"/>
      <w:textAlignment w:val="auto"/>
    </w:pPr>
    <w:rPr>
      <w:bCs w:val="0"/>
      <w:kern w:val="2"/>
      <w:szCs w:val="24"/>
      <w:lang w:val="en-US"/>
    </w:rPr>
  </w:style>
  <w:style w:type="paragraph" w:customStyle="1" w:styleId="473">
    <w:name w:val="标准原文-条"/>
    <w:basedOn w:val="1"/>
    <w:qFormat/>
    <w:uiPriority w:val="0"/>
    <w:pPr>
      <w:adjustRightInd w:val="0"/>
      <w:snapToGrid w:val="0"/>
      <w:spacing w:line="360" w:lineRule="auto"/>
    </w:pPr>
    <w:rPr>
      <w:rFonts w:ascii="黑体" w:eastAsia="黑体"/>
      <w:sz w:val="24"/>
    </w:rPr>
  </w:style>
  <w:style w:type="paragraph" w:customStyle="1" w:styleId="474">
    <w:name w:val="样式 样式1 + 宋体 小四 非加粗"/>
    <w:basedOn w:val="1"/>
    <w:link w:val="899"/>
    <w:qFormat/>
    <w:uiPriority w:val="0"/>
    <w:pPr>
      <w:keepNext/>
      <w:keepLines/>
      <w:adjustRightInd w:val="0"/>
      <w:spacing w:before="180" w:after="60" w:line="360" w:lineRule="auto"/>
      <w:ind w:firstLine="200" w:firstLineChars="200"/>
      <w:jc w:val="center"/>
      <w:textAlignment w:val="baseline"/>
      <w:outlineLvl w:val="0"/>
    </w:pPr>
    <w:rPr>
      <w:rFonts w:ascii="宋体" w:hAnsi="宋体"/>
      <w:b/>
      <w:color w:val="000000"/>
      <w:kern w:val="44"/>
      <w:sz w:val="24"/>
      <w:szCs w:val="32"/>
    </w:rPr>
  </w:style>
  <w:style w:type="paragraph" w:customStyle="1" w:styleId="475">
    <w:name w:val="样式 样式 标题 3 + 行距: 1.5 倍行距 + 首行缩进:  2 字符"/>
    <w:basedOn w:val="476"/>
    <w:qFormat/>
    <w:uiPriority w:val="0"/>
    <w:pPr>
      <w:spacing w:beforeLines="50" w:afterLines="50" w:line="300" w:lineRule="auto"/>
    </w:pPr>
  </w:style>
  <w:style w:type="paragraph" w:customStyle="1" w:styleId="476">
    <w:name w:val="样式 标题 3 + 行距: 1.5 倍行距"/>
    <w:basedOn w:val="5"/>
    <w:qFormat/>
    <w:uiPriority w:val="0"/>
    <w:pPr>
      <w:snapToGrid w:val="0"/>
      <w:spacing w:before="0" w:after="0" w:line="360" w:lineRule="auto"/>
      <w:jc w:val="both"/>
    </w:pPr>
    <w:rPr>
      <w:rFonts w:cs="宋体"/>
      <w:szCs w:val="24"/>
      <w:lang w:val="en-US"/>
    </w:rPr>
  </w:style>
  <w:style w:type="paragraph" w:customStyle="1" w:styleId="477">
    <w:name w:val="样式 标题 4 + Times New Roman"/>
    <w:basedOn w:val="6"/>
    <w:link w:val="809"/>
    <w:qFormat/>
    <w:uiPriority w:val="0"/>
    <w:pPr>
      <w:adjustRightInd w:val="0"/>
      <w:spacing w:line="360" w:lineRule="auto"/>
      <w:ind w:firstLine="480" w:firstLineChars="200"/>
      <w:jc w:val="left"/>
      <w:textAlignment w:val="baseline"/>
      <w:outlineLvl w:val="2"/>
    </w:pPr>
    <w:rPr>
      <w:rFonts w:eastAsia="楷体_GB2312"/>
      <w:bCs w:val="0"/>
      <w:kern w:val="0"/>
      <w:szCs w:val="20"/>
    </w:rPr>
  </w:style>
  <w:style w:type="paragraph" w:customStyle="1" w:styleId="478">
    <w:name w:val="MTDisplayEquation"/>
    <w:basedOn w:val="1"/>
    <w:next w:val="1"/>
    <w:qFormat/>
    <w:uiPriority w:val="0"/>
    <w:pPr>
      <w:tabs>
        <w:tab w:val="center" w:pos="4160"/>
        <w:tab w:val="right" w:pos="8300"/>
      </w:tabs>
      <w:autoSpaceDE w:val="0"/>
      <w:autoSpaceDN w:val="0"/>
      <w:adjustRightInd w:val="0"/>
    </w:pPr>
    <w:rPr>
      <w:rFonts w:ascii="宋体"/>
      <w:szCs w:val="20"/>
    </w:rPr>
  </w:style>
  <w:style w:type="paragraph" w:customStyle="1" w:styleId="479">
    <w:name w:val="Char Char Char Char Char"/>
    <w:basedOn w:val="1"/>
    <w:qFormat/>
    <w:uiPriority w:val="0"/>
  </w:style>
  <w:style w:type="paragraph" w:customStyle="1" w:styleId="480">
    <w:name w:val="报告图题"/>
    <w:basedOn w:val="1"/>
    <w:next w:val="1"/>
    <w:link w:val="817"/>
    <w:qFormat/>
    <w:uiPriority w:val="0"/>
    <w:pPr>
      <w:spacing w:before="120" w:after="120" w:line="400" w:lineRule="exact"/>
      <w:jc w:val="center"/>
    </w:pPr>
    <w:rPr>
      <w:rFonts w:ascii="黑体" w:eastAsia="黑体"/>
      <w:kern w:val="0"/>
      <w:sz w:val="20"/>
      <w:szCs w:val="20"/>
    </w:rPr>
  </w:style>
  <w:style w:type="paragraph" w:customStyle="1" w:styleId="481">
    <w:name w:val="字元 字元 Char Char"/>
    <w:basedOn w:val="26"/>
    <w:qFormat/>
    <w:uiPriority w:val="0"/>
    <w:pPr>
      <w:adjustRightInd w:val="0"/>
      <w:spacing w:line="436" w:lineRule="exact"/>
      <w:ind w:left="357"/>
      <w:jc w:val="left"/>
      <w:outlineLvl w:val="3"/>
    </w:pPr>
    <w:rPr>
      <w:rFonts w:ascii="Tahoma" w:hAnsi="Tahoma"/>
      <w:b/>
      <w:sz w:val="24"/>
    </w:rPr>
  </w:style>
  <w:style w:type="paragraph" w:customStyle="1" w:styleId="482">
    <w:name w:val="报告表头"/>
    <w:basedOn w:val="1"/>
    <w:next w:val="1"/>
    <w:qFormat/>
    <w:uiPriority w:val="0"/>
    <w:pPr>
      <w:widowControl/>
      <w:jc w:val="center"/>
    </w:pPr>
    <w:rPr>
      <w:rFonts w:eastAsia="黑体"/>
      <w:b/>
      <w:sz w:val="18"/>
      <w:szCs w:val="20"/>
    </w:rPr>
  </w:style>
  <w:style w:type="paragraph" w:customStyle="1" w:styleId="483">
    <w:name w:val="样式 小四 首行缩进:  0.85 厘米1"/>
    <w:basedOn w:val="1"/>
    <w:qFormat/>
    <w:uiPriority w:val="0"/>
    <w:pPr>
      <w:spacing w:line="360" w:lineRule="auto"/>
      <w:ind w:firstLine="482"/>
    </w:pPr>
    <w:rPr>
      <w:rFonts w:cs="宋体"/>
      <w:sz w:val="24"/>
      <w:szCs w:val="20"/>
    </w:rPr>
  </w:style>
  <w:style w:type="paragraph" w:customStyle="1" w:styleId="484">
    <w:name w:val="正文4"/>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485">
    <w:name w:val="CM12"/>
    <w:basedOn w:val="418"/>
    <w:next w:val="418"/>
    <w:qFormat/>
    <w:uiPriority w:val="0"/>
    <w:pPr>
      <w:spacing w:line="556" w:lineRule="atLeast"/>
    </w:pPr>
    <w:rPr>
      <w:rFonts w:ascii="..ì." w:eastAsia="..ì." w:cs="Times New Roman"/>
      <w:color w:val="auto"/>
    </w:rPr>
  </w:style>
  <w:style w:type="paragraph" w:customStyle="1" w:styleId="486">
    <w:name w:val="报告节标题"/>
    <w:basedOn w:val="4"/>
    <w:next w:val="265"/>
    <w:qFormat/>
    <w:uiPriority w:val="0"/>
    <w:pPr>
      <w:tabs>
        <w:tab w:val="left" w:pos="1305"/>
      </w:tabs>
      <w:adjustRightInd w:val="0"/>
      <w:spacing w:before="0" w:after="240" w:line="400" w:lineRule="exact"/>
      <w:ind w:left="1305" w:hanging="720"/>
      <w:jc w:val="center"/>
    </w:pPr>
    <w:rPr>
      <w:rFonts w:eastAsia="黑体"/>
      <w:b w:val="0"/>
      <w:bCs w:val="0"/>
      <w:szCs w:val="20"/>
    </w:rPr>
  </w:style>
  <w:style w:type="paragraph" w:customStyle="1" w:styleId="487">
    <w:name w:val="报告短公式"/>
    <w:basedOn w:val="1"/>
    <w:next w:val="265"/>
    <w:qFormat/>
    <w:uiPriority w:val="0"/>
    <w:pPr>
      <w:tabs>
        <w:tab w:val="left" w:pos="567"/>
        <w:tab w:val="left" w:pos="1134"/>
        <w:tab w:val="left" w:pos="1701"/>
        <w:tab w:val="left" w:pos="2268"/>
        <w:tab w:val="left" w:pos="2835"/>
        <w:tab w:val="left" w:pos="3402"/>
        <w:tab w:val="left" w:pos="3969"/>
        <w:tab w:val="left" w:pos="4536"/>
        <w:tab w:val="left" w:pos="7371"/>
      </w:tabs>
      <w:adjustRightInd w:val="0"/>
      <w:snapToGrid w:val="0"/>
      <w:spacing w:before="200" w:after="200" w:line="360" w:lineRule="auto"/>
    </w:pPr>
    <w:rPr>
      <w:sz w:val="18"/>
      <w:szCs w:val="20"/>
    </w:rPr>
  </w:style>
  <w:style w:type="paragraph" w:customStyle="1" w:styleId="488">
    <w:name w:val="正文 小四"/>
    <w:basedOn w:val="1"/>
    <w:qFormat/>
    <w:uiPriority w:val="0"/>
    <w:pPr>
      <w:spacing w:line="360" w:lineRule="auto"/>
      <w:ind w:firstLine="565" w:firstLineChars="175"/>
    </w:pPr>
    <w:rPr>
      <w:rFonts w:ascii="Arial" w:hAnsi="Arial"/>
      <w:snapToGrid w:val="0"/>
      <w:sz w:val="24"/>
    </w:rPr>
  </w:style>
  <w:style w:type="paragraph" w:customStyle="1" w:styleId="489">
    <w:name w:val="CM2"/>
    <w:basedOn w:val="418"/>
    <w:next w:val="418"/>
    <w:qFormat/>
    <w:uiPriority w:val="0"/>
    <w:pPr>
      <w:spacing w:line="468" w:lineRule="atLeast"/>
    </w:pPr>
    <w:rPr>
      <w:rFonts w:ascii="黑体" w:eastAsia="黑体" w:cs="Times New Roman"/>
      <w:color w:val="auto"/>
    </w:rPr>
  </w:style>
  <w:style w:type="paragraph" w:customStyle="1" w:styleId="490">
    <w:name w:val="Char22"/>
    <w:basedOn w:val="1"/>
    <w:qFormat/>
    <w:uiPriority w:val="0"/>
    <w:pPr>
      <w:jc w:val="left"/>
    </w:pPr>
    <w:rPr>
      <w:rFonts w:ascii="宋体" w:hAnsi="宋体"/>
      <w:b/>
      <w:sz w:val="24"/>
      <w:szCs w:val="20"/>
    </w:rPr>
  </w:style>
  <w:style w:type="paragraph" w:customStyle="1" w:styleId="491">
    <w:name w:val="Char Char Char Char Char Char1 Char4"/>
    <w:basedOn w:val="1"/>
    <w:qFormat/>
    <w:uiPriority w:val="0"/>
    <w:pPr>
      <w:spacing w:line="360" w:lineRule="auto"/>
      <w:ind w:firstLine="200" w:firstLineChars="200"/>
    </w:pPr>
    <w:rPr>
      <w:rFonts w:ascii="宋体" w:hAnsi="宋体" w:cs="宋体"/>
      <w:sz w:val="24"/>
    </w:rPr>
  </w:style>
  <w:style w:type="paragraph" w:customStyle="1" w:styleId="492">
    <w:name w:val="样式 黑色 首行缩进:  0.85 厘米 行距: 1.5 倍行距"/>
    <w:basedOn w:val="1"/>
    <w:qFormat/>
    <w:uiPriority w:val="0"/>
    <w:pPr>
      <w:adjustRightInd w:val="0"/>
      <w:snapToGrid w:val="0"/>
      <w:spacing w:line="300" w:lineRule="auto"/>
      <w:ind w:firstLine="482"/>
      <w:textAlignment w:val="baseline"/>
    </w:pPr>
    <w:rPr>
      <w:rFonts w:cs="宋体"/>
      <w:color w:val="000000"/>
      <w:kern w:val="0"/>
      <w:sz w:val="24"/>
      <w:szCs w:val="20"/>
    </w:rPr>
  </w:style>
  <w:style w:type="paragraph" w:customStyle="1" w:styleId="493">
    <w:name w:val="2.1区域"/>
    <w:basedOn w:val="1"/>
    <w:qFormat/>
    <w:uiPriority w:val="0"/>
    <w:pPr>
      <w:spacing w:line="300" w:lineRule="atLeast"/>
      <w:ind w:right="-1016"/>
    </w:pPr>
    <w:rPr>
      <w:rFonts w:ascii="黑体" w:eastAsia="黑体"/>
      <w:sz w:val="32"/>
    </w:rPr>
  </w:style>
  <w:style w:type="paragraph" w:customStyle="1" w:styleId="494">
    <w:name w:val="样式 标题 2 + Times New Roman 居中"/>
    <w:basedOn w:val="4"/>
    <w:qFormat/>
    <w:uiPriority w:val="0"/>
    <w:pPr>
      <w:adjustRightInd w:val="0"/>
      <w:spacing w:before="0" w:after="0" w:line="360" w:lineRule="auto"/>
      <w:jc w:val="center"/>
      <w:textAlignment w:val="baseline"/>
    </w:pPr>
    <w:rPr>
      <w:rFonts w:ascii="Times New Roman" w:hAnsi="Times New Roman" w:eastAsia="黑体" w:cs="宋体"/>
      <w:b w:val="0"/>
      <w:bCs w:val="0"/>
      <w:kern w:val="0"/>
      <w:sz w:val="28"/>
      <w:szCs w:val="20"/>
    </w:rPr>
  </w:style>
  <w:style w:type="paragraph" w:customStyle="1" w:styleId="495">
    <w:name w:val="样式 正文缩进 + 黑色 首行缩进:  0.85 厘米"/>
    <w:basedOn w:val="21"/>
    <w:qFormat/>
    <w:uiPriority w:val="0"/>
    <w:pPr>
      <w:adjustRightInd w:val="0"/>
      <w:spacing w:line="360" w:lineRule="auto"/>
      <w:ind w:firstLine="480" w:firstLineChars="200"/>
      <w:textAlignment w:val="baseline"/>
    </w:pPr>
    <w:rPr>
      <w:rFonts w:cs="宋体"/>
      <w:kern w:val="0"/>
      <w:sz w:val="24"/>
      <w:szCs w:val="20"/>
    </w:rPr>
  </w:style>
  <w:style w:type="paragraph" w:customStyle="1" w:styleId="496">
    <w:name w:val="字元 字元 Char Char Char"/>
    <w:basedOn w:val="1"/>
    <w:qFormat/>
    <w:uiPriority w:val="0"/>
    <w:pPr>
      <w:spacing w:line="360" w:lineRule="auto"/>
      <w:ind w:firstLine="200" w:firstLineChars="200"/>
    </w:pPr>
    <w:rPr>
      <w:rFonts w:ascii="宋体" w:hAnsi="宋体" w:cs="宋体"/>
      <w:sz w:val="24"/>
    </w:rPr>
  </w:style>
  <w:style w:type="paragraph" w:customStyle="1" w:styleId="497">
    <w:name w:val="Char11"/>
    <w:basedOn w:val="1"/>
    <w:qFormat/>
    <w:uiPriority w:val="0"/>
    <w:rPr>
      <w:rFonts w:ascii="宋体" w:hAnsi="宋体"/>
      <w:b/>
      <w:sz w:val="24"/>
    </w:rPr>
  </w:style>
  <w:style w:type="paragraph" w:customStyle="1" w:styleId="498">
    <w:name w:val="样式 黑体 橙色 左 段前: 5 磅"/>
    <w:basedOn w:val="1"/>
    <w:qFormat/>
    <w:uiPriority w:val="0"/>
    <w:pPr>
      <w:adjustRightInd w:val="0"/>
      <w:snapToGrid w:val="0"/>
      <w:spacing w:before="100" w:beforeAutospacing="1" w:line="300" w:lineRule="auto"/>
      <w:ind w:firstLine="482"/>
      <w:jc w:val="center"/>
      <w:textAlignment w:val="baseline"/>
    </w:pPr>
    <w:rPr>
      <w:rFonts w:ascii="黑体" w:hAnsi="黑体" w:eastAsia="黑体" w:cs="宋体"/>
      <w:color w:val="FF6600"/>
      <w:kern w:val="0"/>
      <w:sz w:val="24"/>
      <w:szCs w:val="20"/>
    </w:rPr>
  </w:style>
  <w:style w:type="paragraph" w:customStyle="1" w:styleId="499">
    <w:name w:val="样式 标题 4 + 首行缩进:  0.85 厘米"/>
    <w:basedOn w:val="6"/>
    <w:qFormat/>
    <w:uiPriority w:val="0"/>
    <w:pPr>
      <w:adjustRightInd w:val="0"/>
      <w:snapToGrid w:val="0"/>
      <w:spacing w:line="360" w:lineRule="auto"/>
      <w:ind w:firstLine="482"/>
      <w:textAlignment w:val="baseline"/>
    </w:pPr>
    <w:rPr>
      <w:rFonts w:eastAsia="楷体_GB2312" w:cs="宋体"/>
      <w:kern w:val="0"/>
      <w:szCs w:val="20"/>
    </w:rPr>
  </w:style>
  <w:style w:type="paragraph" w:customStyle="1" w:styleId="500">
    <w:name w:val="样式 宋体 左 首行缩进:  0.85 厘米 行距: 1.5 倍行距"/>
    <w:basedOn w:val="1"/>
    <w:qFormat/>
    <w:uiPriority w:val="0"/>
    <w:pPr>
      <w:autoSpaceDE w:val="0"/>
      <w:autoSpaceDN w:val="0"/>
      <w:adjustRightInd w:val="0"/>
      <w:spacing w:line="300" w:lineRule="auto"/>
      <w:ind w:firstLine="482"/>
      <w:jc w:val="left"/>
      <w:textAlignment w:val="baseline"/>
    </w:pPr>
    <w:rPr>
      <w:kern w:val="0"/>
      <w:sz w:val="24"/>
      <w:szCs w:val="20"/>
    </w:rPr>
  </w:style>
  <w:style w:type="paragraph" w:customStyle="1" w:styleId="501">
    <w:name w:val="reader-word-layer reader-word-s1-11"/>
    <w:basedOn w:val="1"/>
    <w:qFormat/>
    <w:uiPriority w:val="0"/>
    <w:pPr>
      <w:widowControl/>
      <w:spacing w:before="100" w:beforeAutospacing="1" w:after="100" w:afterAutospacing="1"/>
      <w:jc w:val="left"/>
    </w:pPr>
    <w:rPr>
      <w:rFonts w:ascii="宋体" w:hAnsi="宋体" w:cs="宋体"/>
      <w:kern w:val="0"/>
      <w:sz w:val="24"/>
    </w:rPr>
  </w:style>
  <w:style w:type="paragraph" w:customStyle="1" w:styleId="502">
    <w:name w:val="CM10"/>
    <w:basedOn w:val="418"/>
    <w:next w:val="418"/>
    <w:qFormat/>
    <w:uiPriority w:val="0"/>
    <w:rPr>
      <w:rFonts w:ascii="..ì." w:eastAsia="..ì." w:cs="Times New Roman"/>
      <w:color w:val="auto"/>
    </w:rPr>
  </w:style>
  <w:style w:type="paragraph" w:customStyle="1" w:styleId="503">
    <w:name w:val="Char1 Char Char Char3"/>
    <w:basedOn w:val="1"/>
    <w:qFormat/>
    <w:uiPriority w:val="0"/>
    <w:pPr>
      <w:spacing w:line="360" w:lineRule="auto"/>
      <w:ind w:firstLine="200" w:firstLineChars="200"/>
    </w:pPr>
    <w:rPr>
      <w:rFonts w:ascii="宋体" w:hAnsi="宋体" w:cs="宋体"/>
      <w:sz w:val="24"/>
    </w:rPr>
  </w:style>
  <w:style w:type="paragraph" w:customStyle="1" w:styleId="504">
    <w:name w:val="样式 标题 2 + Times New Roman"/>
    <w:basedOn w:val="4"/>
    <w:qFormat/>
    <w:uiPriority w:val="0"/>
    <w:pPr>
      <w:adjustRightInd w:val="0"/>
      <w:snapToGrid w:val="0"/>
      <w:spacing w:before="0" w:beforeLines="50" w:after="0" w:line="360" w:lineRule="auto"/>
      <w:ind w:firstLine="200" w:firstLineChars="200"/>
    </w:pPr>
    <w:rPr>
      <w:rFonts w:ascii="Times New Roman" w:hAnsi="Times New Roman" w:eastAsia="黑体"/>
      <w:b w:val="0"/>
      <w:bCs w:val="0"/>
      <w:color w:val="000000"/>
      <w:sz w:val="28"/>
      <w:szCs w:val="28"/>
    </w:rPr>
  </w:style>
  <w:style w:type="paragraph" w:customStyle="1" w:styleId="505">
    <w:name w:val="样式7"/>
    <w:basedOn w:val="5"/>
    <w:qFormat/>
    <w:uiPriority w:val="0"/>
    <w:pPr>
      <w:snapToGrid w:val="0"/>
      <w:spacing w:before="0" w:after="60" w:line="360" w:lineRule="auto"/>
      <w:ind w:firstLine="482"/>
      <w:jc w:val="both"/>
    </w:pPr>
    <w:rPr>
      <w:bCs w:val="0"/>
      <w:szCs w:val="24"/>
      <w:lang w:val="en-US"/>
    </w:rPr>
  </w:style>
  <w:style w:type="paragraph" w:customStyle="1" w:styleId="506">
    <w:name w:val="样式8"/>
    <w:basedOn w:val="5"/>
    <w:qFormat/>
    <w:uiPriority w:val="0"/>
    <w:pPr>
      <w:snapToGrid w:val="0"/>
      <w:spacing w:before="0" w:after="60" w:line="360" w:lineRule="auto"/>
      <w:ind w:firstLine="482"/>
      <w:jc w:val="both"/>
    </w:pPr>
    <w:rPr>
      <w:bCs w:val="0"/>
      <w:szCs w:val="24"/>
      <w:lang w:val="en-US"/>
    </w:rPr>
  </w:style>
  <w:style w:type="paragraph" w:customStyle="1" w:styleId="507">
    <w:name w:val="样式 小四 首行缩进:  0.85 厘米"/>
    <w:basedOn w:val="1"/>
    <w:qFormat/>
    <w:uiPriority w:val="0"/>
    <w:pPr>
      <w:spacing w:line="360" w:lineRule="auto"/>
      <w:ind w:firstLine="482"/>
    </w:pPr>
    <w:rPr>
      <w:rFonts w:cs="宋体"/>
      <w:sz w:val="24"/>
      <w:szCs w:val="20"/>
    </w:rPr>
  </w:style>
  <w:style w:type="paragraph" w:customStyle="1" w:styleId="508">
    <w:name w:val="样式 行距: 1.5 倍行距"/>
    <w:basedOn w:val="1"/>
    <w:qFormat/>
    <w:uiPriority w:val="0"/>
    <w:pPr>
      <w:adjustRightInd w:val="0"/>
      <w:spacing w:line="300" w:lineRule="auto"/>
      <w:textAlignment w:val="baseline"/>
    </w:pPr>
    <w:rPr>
      <w:rFonts w:cs="宋体"/>
      <w:kern w:val="0"/>
      <w:sz w:val="24"/>
      <w:szCs w:val="20"/>
    </w:rPr>
  </w:style>
  <w:style w:type="paragraph" w:customStyle="1" w:styleId="509">
    <w:name w:val="A3正文"/>
    <w:basedOn w:val="163"/>
    <w:qFormat/>
    <w:uiPriority w:val="0"/>
    <w:pPr>
      <w:ind w:firstLine="505"/>
    </w:pPr>
    <w:rPr>
      <w:sz w:val="28"/>
      <w:szCs w:val="20"/>
    </w:rPr>
  </w:style>
  <w:style w:type="paragraph" w:customStyle="1" w:styleId="510">
    <w:name w:val="样式 样式 标题 2 + (中文) 黑体 + (中文) 黑体"/>
    <w:basedOn w:val="1"/>
    <w:qFormat/>
    <w:uiPriority w:val="0"/>
    <w:pPr>
      <w:keepNext/>
      <w:keepLines/>
      <w:adjustRightInd w:val="0"/>
      <w:spacing w:before="50" w:after="50" w:line="300" w:lineRule="auto"/>
      <w:ind w:firstLine="420"/>
      <w:jc w:val="left"/>
      <w:textAlignment w:val="baseline"/>
      <w:outlineLvl w:val="1"/>
    </w:pPr>
    <w:rPr>
      <w:rFonts w:eastAsia="华文中宋"/>
      <w:kern w:val="0"/>
      <w:sz w:val="24"/>
      <w:szCs w:val="20"/>
    </w:rPr>
  </w:style>
  <w:style w:type="paragraph" w:customStyle="1" w:styleId="511">
    <w:name w:val="样式 楷体_GB2312 四号 首行缩进:  2 字符"/>
    <w:basedOn w:val="1"/>
    <w:qFormat/>
    <w:uiPriority w:val="0"/>
    <w:pPr>
      <w:adjustRightInd w:val="0"/>
      <w:spacing w:line="360" w:lineRule="auto"/>
      <w:ind w:firstLine="560" w:firstLineChars="200"/>
      <w:textAlignment w:val="baseline"/>
    </w:pPr>
    <w:rPr>
      <w:rFonts w:ascii="楷体_GB2312" w:cs="宋体"/>
      <w:kern w:val="0"/>
      <w:sz w:val="24"/>
      <w:szCs w:val="20"/>
    </w:rPr>
  </w:style>
  <w:style w:type="paragraph" w:customStyle="1" w:styleId="512">
    <w:name w:val="样式 样式 样式 标题 2 + 段前: 0.5 行 段后: 0.5 行 + + (中文) 黑体"/>
    <w:basedOn w:val="1"/>
    <w:qFormat/>
    <w:uiPriority w:val="0"/>
    <w:pPr>
      <w:keepNext/>
      <w:keepLines/>
      <w:adjustRightInd w:val="0"/>
      <w:spacing w:before="120" w:after="120" w:line="300" w:lineRule="auto"/>
      <w:ind w:firstLine="425"/>
      <w:jc w:val="left"/>
      <w:textAlignment w:val="baseline"/>
      <w:outlineLvl w:val="1"/>
    </w:pPr>
    <w:rPr>
      <w:rFonts w:eastAsia="华文中宋"/>
      <w:kern w:val="0"/>
      <w:sz w:val="30"/>
      <w:szCs w:val="20"/>
    </w:rPr>
  </w:style>
  <w:style w:type="paragraph" w:customStyle="1" w:styleId="513">
    <w:name w:val="reader-word-layer reader-word-s1-12"/>
    <w:basedOn w:val="1"/>
    <w:qFormat/>
    <w:uiPriority w:val="0"/>
    <w:pPr>
      <w:widowControl/>
      <w:spacing w:before="100" w:beforeAutospacing="1" w:after="100" w:afterAutospacing="1"/>
      <w:jc w:val="left"/>
    </w:pPr>
    <w:rPr>
      <w:rFonts w:ascii="宋体" w:hAnsi="宋体" w:cs="宋体"/>
      <w:kern w:val="0"/>
      <w:sz w:val="24"/>
    </w:rPr>
  </w:style>
  <w:style w:type="paragraph" w:customStyle="1" w:styleId="514">
    <w:name w:val="样式 标题 3 + 首行缩进:  0.85 厘米"/>
    <w:basedOn w:val="5"/>
    <w:qFormat/>
    <w:uiPriority w:val="0"/>
    <w:pPr>
      <w:snapToGrid w:val="0"/>
      <w:spacing w:before="0" w:after="0" w:line="360" w:lineRule="auto"/>
      <w:ind w:firstLine="480"/>
      <w:jc w:val="both"/>
    </w:pPr>
    <w:rPr>
      <w:rFonts w:cs="宋体"/>
      <w:szCs w:val="24"/>
      <w:lang w:val="en-US"/>
    </w:rPr>
  </w:style>
  <w:style w:type="paragraph" w:customStyle="1" w:styleId="515">
    <w:name w:val="样式 样式1 + 加粗"/>
    <w:basedOn w:val="264"/>
    <w:qFormat/>
    <w:uiPriority w:val="0"/>
    <w:pPr>
      <w:keepNext/>
      <w:keepLines/>
      <w:adjustRightInd w:val="0"/>
      <w:snapToGrid/>
      <w:spacing w:before="240"/>
      <w:ind w:firstLine="200" w:firstLineChars="200"/>
      <w:jc w:val="center"/>
      <w:textAlignment w:val="baseline"/>
      <w:outlineLvl w:val="0"/>
    </w:pPr>
    <w:rPr>
      <w:bCs/>
      <w:color w:val="000000"/>
      <w:kern w:val="44"/>
    </w:rPr>
  </w:style>
  <w:style w:type="paragraph" w:customStyle="1" w:styleId="516">
    <w:name w:val="样式 标题 4 + 非加粗"/>
    <w:basedOn w:val="6"/>
    <w:qFormat/>
    <w:uiPriority w:val="0"/>
    <w:pPr>
      <w:adjustRightInd w:val="0"/>
      <w:snapToGrid w:val="0"/>
      <w:spacing w:after="60" w:line="300" w:lineRule="auto"/>
      <w:ind w:firstLine="200" w:firstLineChars="200"/>
      <w:textAlignment w:val="baseline"/>
    </w:pPr>
    <w:rPr>
      <w:rFonts w:eastAsia="楷体_GB2312"/>
      <w:bCs w:val="0"/>
      <w:kern w:val="0"/>
      <w:szCs w:val="20"/>
    </w:rPr>
  </w:style>
  <w:style w:type="paragraph" w:customStyle="1" w:styleId="517">
    <w:name w:val="CM11"/>
    <w:basedOn w:val="418"/>
    <w:next w:val="418"/>
    <w:qFormat/>
    <w:uiPriority w:val="0"/>
    <w:pPr>
      <w:spacing w:line="568" w:lineRule="atLeast"/>
    </w:pPr>
    <w:rPr>
      <w:rFonts w:ascii="..ì." w:eastAsia="..ì." w:cs="Times New Roman"/>
      <w:color w:val="auto"/>
    </w:rPr>
  </w:style>
  <w:style w:type="paragraph" w:customStyle="1" w:styleId="518">
    <w:name w:val="报告章标题"/>
    <w:basedOn w:val="3"/>
    <w:next w:val="265"/>
    <w:qFormat/>
    <w:uiPriority w:val="0"/>
    <w:pPr>
      <w:tabs>
        <w:tab w:val="left" w:pos="1305"/>
      </w:tabs>
      <w:adjustRightInd w:val="0"/>
      <w:spacing w:before="0" w:after="360" w:line="400" w:lineRule="exact"/>
      <w:ind w:left="1305" w:hanging="720"/>
      <w:jc w:val="center"/>
    </w:pPr>
    <w:rPr>
      <w:rFonts w:eastAsia="黑体"/>
      <w:b w:val="0"/>
      <w:bCs w:val="0"/>
      <w:szCs w:val="20"/>
    </w:rPr>
  </w:style>
  <w:style w:type="paragraph" w:customStyle="1" w:styleId="519">
    <w:name w:val="样式3"/>
    <w:basedOn w:val="34"/>
    <w:qFormat/>
    <w:uiPriority w:val="0"/>
    <w:pPr>
      <w:spacing w:after="0" w:line="420" w:lineRule="exact"/>
      <w:ind w:firstLine="540"/>
    </w:pPr>
    <w:rPr>
      <w:rFonts w:ascii="Times New Roman" w:hAnsi="Times New Roman" w:eastAsia="宋体" w:cs="Times New Roman"/>
      <w:sz w:val="24"/>
      <w:szCs w:val="20"/>
    </w:rPr>
  </w:style>
  <w:style w:type="paragraph" w:customStyle="1" w:styleId="520">
    <w:name w:val="Char Char Char Char3"/>
    <w:basedOn w:val="1"/>
    <w:qFormat/>
    <w:uiPriority w:val="0"/>
    <w:rPr>
      <w:rFonts w:ascii="仿宋_GB2312" w:eastAsia="仿宋_GB2312"/>
      <w:b/>
      <w:sz w:val="32"/>
      <w:szCs w:val="32"/>
    </w:rPr>
  </w:style>
  <w:style w:type="paragraph" w:customStyle="1" w:styleId="521">
    <w:name w:val="样式5"/>
    <w:basedOn w:val="1"/>
    <w:qFormat/>
    <w:uiPriority w:val="0"/>
    <w:pPr>
      <w:autoSpaceDE w:val="0"/>
      <w:autoSpaceDN w:val="0"/>
      <w:spacing w:line="300" w:lineRule="auto"/>
      <w:textAlignment w:val="center"/>
    </w:pPr>
    <w:rPr>
      <w:szCs w:val="20"/>
    </w:rPr>
  </w:style>
  <w:style w:type="paragraph" w:customStyle="1" w:styleId="522">
    <w:name w:val="样式 报告章标题 + 行距: 单倍行距"/>
    <w:basedOn w:val="518"/>
    <w:qFormat/>
    <w:uiPriority w:val="0"/>
    <w:pPr>
      <w:tabs>
        <w:tab w:val="left" w:pos="225"/>
      </w:tabs>
      <w:spacing w:line="240" w:lineRule="auto"/>
      <w:ind w:left="225" w:hanging="225"/>
    </w:pPr>
  </w:style>
  <w:style w:type="paragraph" w:customStyle="1" w:styleId="523">
    <w:name w:val="样式 标题 3 + 右侧:  -0.86 厘米"/>
    <w:basedOn w:val="5"/>
    <w:qFormat/>
    <w:uiPriority w:val="0"/>
    <w:pPr>
      <w:snapToGrid w:val="0"/>
      <w:spacing w:before="0" w:after="0" w:line="360" w:lineRule="auto"/>
      <w:ind w:right="-488"/>
      <w:jc w:val="both"/>
    </w:pPr>
    <w:rPr>
      <w:rFonts w:cs="宋体"/>
      <w:szCs w:val="28"/>
      <w:lang w:val="en-US"/>
    </w:rPr>
  </w:style>
  <w:style w:type="paragraph" w:customStyle="1" w:styleId="524">
    <w:name w:val="标准原文-款"/>
    <w:basedOn w:val="1"/>
    <w:qFormat/>
    <w:uiPriority w:val="0"/>
    <w:pPr>
      <w:adjustRightInd w:val="0"/>
      <w:snapToGrid w:val="0"/>
      <w:spacing w:line="360" w:lineRule="auto"/>
      <w:ind w:firstLine="200" w:firstLineChars="200"/>
    </w:pPr>
    <w:rPr>
      <w:rFonts w:ascii="黑体" w:eastAsia="黑体"/>
      <w:sz w:val="24"/>
    </w:rPr>
  </w:style>
  <w:style w:type="paragraph" w:customStyle="1" w:styleId="525">
    <w:name w:val="论文表头"/>
    <w:basedOn w:val="1"/>
    <w:next w:val="1"/>
    <w:qFormat/>
    <w:uiPriority w:val="0"/>
    <w:pPr>
      <w:widowControl/>
      <w:jc w:val="center"/>
    </w:pPr>
    <w:rPr>
      <w:rFonts w:eastAsia="黑体"/>
      <w:b/>
      <w:sz w:val="18"/>
      <w:szCs w:val="20"/>
    </w:rPr>
  </w:style>
  <w:style w:type="paragraph" w:customStyle="1" w:styleId="526">
    <w:name w:val="样式 行距: 1.5 倍行距2"/>
    <w:basedOn w:val="1"/>
    <w:qFormat/>
    <w:uiPriority w:val="0"/>
    <w:pPr>
      <w:adjustRightInd w:val="0"/>
      <w:spacing w:line="360" w:lineRule="auto"/>
      <w:ind w:right="-104" w:rightChars="-104" w:firstLine="200" w:firstLineChars="200"/>
      <w:textAlignment w:val="baseline"/>
    </w:pPr>
    <w:rPr>
      <w:rFonts w:cs="宋体"/>
      <w:kern w:val="0"/>
      <w:sz w:val="24"/>
      <w:szCs w:val="20"/>
    </w:rPr>
  </w:style>
  <w:style w:type="paragraph" w:customStyle="1" w:styleId="527">
    <w:name w:val="样式 首行缩进:  0 字符"/>
    <w:basedOn w:val="1"/>
    <w:qFormat/>
    <w:uiPriority w:val="0"/>
    <w:pPr>
      <w:adjustRightInd w:val="0"/>
      <w:snapToGrid w:val="0"/>
      <w:spacing w:line="360" w:lineRule="auto"/>
      <w:ind w:firstLine="200" w:firstLineChars="200"/>
    </w:pPr>
    <w:rPr>
      <w:rFonts w:cs="宋体"/>
      <w:sz w:val="24"/>
      <w:szCs w:val="20"/>
    </w:rPr>
  </w:style>
  <w:style w:type="paragraph" w:customStyle="1" w:styleId="528">
    <w:name w:val="报告表注"/>
    <w:basedOn w:val="265"/>
    <w:next w:val="265"/>
    <w:qFormat/>
    <w:uiPriority w:val="0"/>
    <w:pPr>
      <w:adjustRightInd/>
      <w:spacing w:after="0" w:line="400" w:lineRule="exact"/>
      <w:ind w:firstLine="482"/>
    </w:pPr>
    <w:rPr>
      <w:rFonts w:ascii="Calibri" w:hAnsi="Calibri"/>
      <w:sz w:val="15"/>
      <w:szCs w:val="22"/>
    </w:rPr>
  </w:style>
  <w:style w:type="paragraph" w:customStyle="1" w:styleId="529">
    <w:name w:val="Char Char Char Char Char Char Char Char Char Char Char Char Char Char Char Char Char Char Char Char Char Char Char Char2 Char"/>
    <w:basedOn w:val="1"/>
    <w:qFormat/>
    <w:uiPriority w:val="0"/>
    <w:pPr>
      <w:widowControl/>
      <w:spacing w:after="160" w:line="240" w:lineRule="exact"/>
      <w:jc w:val="center"/>
    </w:pPr>
    <w:rPr>
      <w:rFonts w:ascii="黑体" w:hAnsi="Verdana" w:eastAsia="黑体"/>
      <w:kern w:val="0"/>
      <w:sz w:val="32"/>
      <w:szCs w:val="32"/>
      <w:lang w:eastAsia="en-US"/>
    </w:rPr>
  </w:style>
  <w:style w:type="paragraph" w:customStyle="1" w:styleId="530">
    <w:name w:val="Char1 Char Char Char"/>
    <w:basedOn w:val="1"/>
    <w:qFormat/>
    <w:uiPriority w:val="0"/>
    <w:pPr>
      <w:spacing w:line="360" w:lineRule="auto"/>
      <w:ind w:firstLine="200" w:firstLineChars="200"/>
    </w:pPr>
    <w:rPr>
      <w:rFonts w:ascii="宋体" w:hAnsi="宋体" w:cs="宋体"/>
      <w:sz w:val="24"/>
    </w:rPr>
  </w:style>
  <w:style w:type="paragraph" w:customStyle="1" w:styleId="531">
    <w:name w:val="Char31"/>
    <w:basedOn w:val="1"/>
    <w:qFormat/>
    <w:uiPriority w:val="0"/>
    <w:pPr>
      <w:spacing w:line="360" w:lineRule="auto"/>
      <w:ind w:firstLine="200" w:firstLineChars="200"/>
    </w:pPr>
    <w:rPr>
      <w:rFonts w:ascii="宋体" w:hAnsi="宋体" w:cs="宋体"/>
      <w:sz w:val="24"/>
    </w:rPr>
  </w:style>
  <w:style w:type="paragraph" w:customStyle="1" w:styleId="532">
    <w:name w:val="样式 标题 2 + Times New Roman 居中 段前: 0 磅 段后: 0 磅 行距: 1.5 倍行距"/>
    <w:basedOn w:val="4"/>
    <w:qFormat/>
    <w:uiPriority w:val="0"/>
    <w:pPr>
      <w:adjustRightInd w:val="0"/>
      <w:spacing w:before="0" w:after="0" w:line="360" w:lineRule="auto"/>
      <w:jc w:val="center"/>
      <w:textAlignment w:val="baseline"/>
    </w:pPr>
    <w:rPr>
      <w:rFonts w:ascii="Times New Roman" w:hAnsi="Times New Roman" w:eastAsia="黑体" w:cs="宋体"/>
      <w:b w:val="0"/>
      <w:bCs w:val="0"/>
      <w:kern w:val="0"/>
      <w:sz w:val="28"/>
      <w:szCs w:val="20"/>
    </w:rPr>
  </w:style>
  <w:style w:type="paragraph" w:customStyle="1" w:styleId="533">
    <w:name w:val="报告参考文献"/>
    <w:basedOn w:val="1"/>
    <w:qFormat/>
    <w:uiPriority w:val="0"/>
    <w:pPr>
      <w:spacing w:line="400" w:lineRule="exact"/>
      <w:ind w:left="425" w:hanging="425"/>
    </w:pPr>
    <w:rPr>
      <w:sz w:val="24"/>
      <w:szCs w:val="20"/>
    </w:rPr>
  </w:style>
  <w:style w:type="paragraph" w:customStyle="1" w:styleId="534">
    <w:name w:val="样式 黑色 行距: 1.5 倍行距"/>
    <w:basedOn w:val="1"/>
    <w:qFormat/>
    <w:uiPriority w:val="0"/>
    <w:pPr>
      <w:adjustRightInd w:val="0"/>
      <w:snapToGrid w:val="0"/>
      <w:spacing w:line="300" w:lineRule="auto"/>
      <w:ind w:firstLine="482"/>
      <w:textAlignment w:val="baseline"/>
    </w:pPr>
    <w:rPr>
      <w:rFonts w:cs="宋体"/>
      <w:color w:val="000000"/>
      <w:kern w:val="0"/>
      <w:sz w:val="24"/>
      <w:szCs w:val="20"/>
    </w:rPr>
  </w:style>
  <w:style w:type="paragraph" w:customStyle="1" w:styleId="535">
    <w:name w:val="CM20"/>
    <w:basedOn w:val="418"/>
    <w:next w:val="418"/>
    <w:qFormat/>
    <w:uiPriority w:val="0"/>
    <w:pPr>
      <w:spacing w:after="230"/>
    </w:pPr>
    <w:rPr>
      <w:rFonts w:ascii="..ì." w:eastAsia="..ì." w:cs="Times New Roman"/>
      <w:color w:val="auto"/>
    </w:rPr>
  </w:style>
  <w:style w:type="paragraph" w:customStyle="1" w:styleId="536">
    <w:name w:val="Char7"/>
    <w:basedOn w:val="1"/>
    <w:qFormat/>
    <w:uiPriority w:val="0"/>
    <w:rPr>
      <w:szCs w:val="21"/>
    </w:rPr>
  </w:style>
  <w:style w:type="paragraph" w:customStyle="1" w:styleId="537">
    <w:name w:val="1 Char Char Char Char"/>
    <w:basedOn w:val="1"/>
    <w:qFormat/>
    <w:uiPriority w:val="0"/>
    <w:pPr>
      <w:spacing w:line="360" w:lineRule="auto"/>
      <w:ind w:firstLine="200" w:firstLineChars="200"/>
    </w:pPr>
    <w:rPr>
      <w:rFonts w:ascii="宋体" w:hAnsi="宋体" w:cs="宋体"/>
      <w:sz w:val="24"/>
    </w:rPr>
  </w:style>
  <w:style w:type="paragraph" w:customStyle="1" w:styleId="538">
    <w:name w:val="CM9"/>
    <w:basedOn w:val="418"/>
    <w:next w:val="418"/>
    <w:qFormat/>
    <w:uiPriority w:val="0"/>
    <w:rPr>
      <w:rFonts w:ascii="..ì." w:eastAsia="..ì." w:cs="Times New Roman"/>
      <w:color w:val="auto"/>
    </w:rPr>
  </w:style>
  <w:style w:type="paragraph" w:customStyle="1" w:styleId="539">
    <w:name w:val="样式 正文缩进正文（首行缩进两字） + 黑色 两端对齐 段前: 7.8 磅 段后: 7.8 磅 行距: 最小值 25 磅"/>
    <w:basedOn w:val="21"/>
    <w:qFormat/>
    <w:uiPriority w:val="0"/>
    <w:pPr>
      <w:adjustRightInd w:val="0"/>
      <w:snapToGrid w:val="0"/>
      <w:spacing w:line="360" w:lineRule="auto"/>
      <w:ind w:firstLine="480" w:firstLineChars="200"/>
      <w:textAlignment w:val="baseline"/>
    </w:pPr>
    <w:rPr>
      <w:rFonts w:cs="宋体"/>
      <w:color w:val="000000"/>
      <w:kern w:val="0"/>
      <w:sz w:val="24"/>
      <w:szCs w:val="20"/>
    </w:rPr>
  </w:style>
  <w:style w:type="paragraph" w:customStyle="1" w:styleId="540">
    <w:name w:val="样式 样式 样式1 + 首行缩进:  2 字符 + 五号 首行缩进:  2 字符"/>
    <w:basedOn w:val="453"/>
    <w:qFormat/>
    <w:uiPriority w:val="0"/>
    <w:pPr>
      <w:adjustRightInd w:val="0"/>
      <w:snapToGrid w:val="0"/>
      <w:ind w:firstLine="420"/>
      <w:jc w:val="both"/>
    </w:pPr>
    <w:rPr>
      <w:rFonts w:eastAsia="黑体"/>
      <w:sz w:val="21"/>
    </w:rPr>
  </w:style>
  <w:style w:type="paragraph" w:customStyle="1" w:styleId="541">
    <w:name w:val="样式 样式 标题 5 + 黑色 + 自动设置 行距: 1.5 倍行距"/>
    <w:basedOn w:val="438"/>
    <w:qFormat/>
    <w:uiPriority w:val="0"/>
    <w:pPr>
      <w:ind w:right="0" w:rightChars="0"/>
    </w:pPr>
    <w:rPr>
      <w:rFonts w:ascii="Times New Roman" w:hAnsi="Times New Roman" w:cs="宋体"/>
      <w:b w:val="0"/>
      <w:i w:val="0"/>
      <w:iCs w:val="0"/>
      <w:color w:val="auto"/>
      <w:szCs w:val="20"/>
    </w:rPr>
  </w:style>
  <w:style w:type="paragraph" w:customStyle="1" w:styleId="542">
    <w:name w:val="5555"/>
    <w:basedOn w:val="1"/>
    <w:qFormat/>
    <w:uiPriority w:val="0"/>
    <w:pPr>
      <w:spacing w:line="360" w:lineRule="auto"/>
      <w:ind w:firstLine="922" w:firstLineChars="439"/>
    </w:pPr>
    <w:rPr>
      <w:rFonts w:ascii="宋体" w:cs="宋体"/>
      <w:sz w:val="24"/>
      <w:szCs w:val="20"/>
    </w:rPr>
  </w:style>
  <w:style w:type="paragraph" w:customStyle="1" w:styleId="543">
    <w:name w:val="样式 标题 4 + Times New Roman 非加粗 行距: 1.5 倍行距"/>
    <w:basedOn w:val="6"/>
    <w:qFormat/>
    <w:uiPriority w:val="0"/>
    <w:pPr>
      <w:adjustRightInd w:val="0"/>
      <w:snapToGrid w:val="0"/>
      <w:spacing w:after="120" w:line="360" w:lineRule="auto"/>
      <w:jc w:val="left"/>
      <w:textAlignment w:val="baseline"/>
    </w:pPr>
    <w:rPr>
      <w:rFonts w:eastAsia="楷体_GB2312" w:cs="宋体"/>
      <w:bCs w:val="0"/>
      <w:kern w:val="0"/>
      <w:szCs w:val="20"/>
    </w:rPr>
  </w:style>
  <w:style w:type="paragraph" w:customStyle="1" w:styleId="544">
    <w:name w:val="CM27"/>
    <w:basedOn w:val="418"/>
    <w:next w:val="418"/>
    <w:qFormat/>
    <w:uiPriority w:val="0"/>
    <w:pPr>
      <w:spacing w:line="451" w:lineRule="atLeast"/>
    </w:pPr>
    <w:rPr>
      <w:rFonts w:ascii="Sim Hei" w:eastAsia="Sim Hei" w:cs="Times New Roman"/>
      <w:color w:val="auto"/>
    </w:rPr>
  </w:style>
  <w:style w:type="paragraph" w:customStyle="1" w:styleId="545">
    <w:name w:val="样式 标题 4 + (西文) Times New Roman (中文) 宋体 小四 非加粗 段前: 0 磅 段后: 0..."/>
    <w:basedOn w:val="6"/>
    <w:qFormat/>
    <w:uiPriority w:val="0"/>
    <w:pPr>
      <w:snapToGrid w:val="0"/>
      <w:spacing w:line="360" w:lineRule="auto"/>
    </w:pPr>
    <w:rPr>
      <w:rFonts w:cs="宋体"/>
      <w:bCs w:val="0"/>
      <w:szCs w:val="20"/>
    </w:rPr>
  </w:style>
  <w:style w:type="paragraph" w:customStyle="1" w:styleId="546">
    <w:name w:val="图例说明"/>
    <w:basedOn w:val="1"/>
    <w:qFormat/>
    <w:uiPriority w:val="0"/>
    <w:pPr>
      <w:jc w:val="center"/>
    </w:pPr>
  </w:style>
  <w:style w:type="paragraph" w:customStyle="1" w:styleId="547">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548">
    <w:name w:val="xl114"/>
    <w:basedOn w:val="1"/>
    <w:qFormat/>
    <w:uiPriority w:val="0"/>
    <w:pPr>
      <w:widowControl/>
      <w:pBdr>
        <w:right w:val="single" w:color="auto" w:sz="4" w:space="0"/>
      </w:pBdr>
      <w:spacing w:before="100" w:after="100"/>
      <w:jc w:val="center"/>
    </w:pPr>
    <w:rPr>
      <w:rFonts w:ascii="Arial Unicode MS" w:hAnsi="Arial Unicode MS" w:eastAsia="Arial Unicode MS"/>
      <w:kern w:val="0"/>
      <w:sz w:val="24"/>
      <w:szCs w:val="20"/>
    </w:rPr>
  </w:style>
  <w:style w:type="paragraph" w:customStyle="1" w:styleId="549">
    <w:name w:val="样式4"/>
    <w:basedOn w:val="6"/>
    <w:link w:val="918"/>
    <w:qFormat/>
    <w:uiPriority w:val="0"/>
    <w:pPr>
      <w:adjustRightInd w:val="0"/>
      <w:snapToGrid w:val="0"/>
      <w:spacing w:after="60" w:line="300" w:lineRule="auto"/>
      <w:ind w:firstLine="482" w:firstLineChars="200"/>
      <w:textAlignment w:val="baseline"/>
    </w:pPr>
    <w:rPr>
      <w:rFonts w:eastAsia="楷体_GB2312"/>
      <w:bCs w:val="0"/>
      <w:i/>
      <w:snapToGrid w:val="0"/>
      <w:kern w:val="0"/>
      <w:szCs w:val="24"/>
    </w:rPr>
  </w:style>
  <w:style w:type="paragraph" w:customStyle="1" w:styleId="550">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51">
    <w:name w:val="CM5"/>
    <w:basedOn w:val="418"/>
    <w:next w:val="418"/>
    <w:qFormat/>
    <w:uiPriority w:val="0"/>
    <w:pPr>
      <w:spacing w:line="468" w:lineRule="atLeast"/>
    </w:pPr>
    <w:rPr>
      <w:rFonts w:ascii="黑体" w:eastAsia="黑体" w:cs="Times New Roman"/>
      <w:color w:val="auto"/>
    </w:rPr>
  </w:style>
  <w:style w:type="paragraph" w:customStyle="1" w:styleId="552">
    <w:name w:val="样式 样式 正文文本缩进 2 + Arial 黑色 行距: 固定值 24 磅 + 华文中宋 一号 居中"/>
    <w:basedOn w:val="1"/>
    <w:qFormat/>
    <w:uiPriority w:val="0"/>
    <w:pPr>
      <w:snapToGrid w:val="0"/>
      <w:jc w:val="center"/>
    </w:pPr>
    <w:rPr>
      <w:rFonts w:ascii="华文中宋" w:hAnsi="华文中宋" w:eastAsia="华文中宋" w:cs="宋体"/>
      <w:sz w:val="52"/>
      <w:szCs w:val="20"/>
    </w:rPr>
  </w:style>
  <w:style w:type="paragraph" w:customStyle="1" w:styleId="553">
    <w:name w:val="2.1.1.1 地"/>
    <w:basedOn w:val="1"/>
    <w:qFormat/>
    <w:uiPriority w:val="0"/>
    <w:pPr>
      <w:spacing w:line="300" w:lineRule="atLeast"/>
      <w:ind w:right="-1016"/>
    </w:pPr>
    <w:rPr>
      <w:rFonts w:ascii="黑体" w:eastAsia="黑体"/>
      <w:sz w:val="28"/>
    </w:rPr>
  </w:style>
  <w:style w:type="paragraph" w:customStyle="1" w:styleId="554">
    <w:name w:val="样式 标题 1 + (中文) 黑体 非加粗 居中 段前: 5 磅 段后: 5 磅 行距: 1.5 倍行距"/>
    <w:basedOn w:val="3"/>
    <w:qFormat/>
    <w:uiPriority w:val="0"/>
    <w:pPr>
      <w:autoSpaceDE w:val="0"/>
      <w:autoSpaceDN w:val="0"/>
      <w:adjustRightInd w:val="0"/>
      <w:spacing w:before="0" w:after="0" w:line="360" w:lineRule="auto"/>
      <w:jc w:val="center"/>
      <w:textAlignment w:val="center"/>
    </w:pPr>
    <w:rPr>
      <w:rFonts w:eastAsia="黑体" w:cs="宋体"/>
      <w:b w:val="0"/>
      <w:bCs w:val="0"/>
      <w:sz w:val="30"/>
      <w:szCs w:val="20"/>
    </w:rPr>
  </w:style>
  <w:style w:type="paragraph" w:customStyle="1" w:styleId="555">
    <w:name w:val="样式 标题 3 + (中文) 黑体 非加粗"/>
    <w:basedOn w:val="5"/>
    <w:qFormat/>
    <w:uiPriority w:val="0"/>
    <w:pPr>
      <w:spacing w:before="0" w:after="0" w:line="360" w:lineRule="auto"/>
    </w:pPr>
    <w:rPr>
      <w:bCs w:val="0"/>
      <w:szCs w:val="20"/>
      <w:lang w:val="en-US"/>
    </w:rPr>
  </w:style>
  <w:style w:type="paragraph" w:customStyle="1" w:styleId="556">
    <w:name w:val="Char Char Char1"/>
    <w:basedOn w:val="1"/>
    <w:qFormat/>
    <w:uiPriority w:val="0"/>
    <w:pPr>
      <w:spacing w:line="480" w:lineRule="exact"/>
    </w:pPr>
    <w:rPr>
      <w:sz w:val="24"/>
    </w:rPr>
  </w:style>
  <w:style w:type="paragraph" w:customStyle="1" w:styleId="557">
    <w:name w:val="Report Text"/>
    <w:qFormat/>
    <w:uiPriority w:val="0"/>
    <w:pPr>
      <w:spacing w:before="170" w:after="170" w:line="260" w:lineRule="exact"/>
    </w:pPr>
    <w:rPr>
      <w:rFonts w:ascii="Times New Roman" w:hAnsi="Times New Roman" w:eastAsia="MS PGothic" w:cs="Times New Roman"/>
      <w:sz w:val="22"/>
      <w:szCs w:val="22"/>
      <w:lang w:val="en-US" w:eastAsia="en-US" w:bidi="ar-SA"/>
    </w:rPr>
  </w:style>
  <w:style w:type="paragraph" w:customStyle="1" w:styleId="558">
    <w:name w:val="4"/>
    <w:basedOn w:val="1"/>
    <w:qFormat/>
    <w:uiPriority w:val="0"/>
    <w:pPr>
      <w:widowControl/>
      <w:spacing w:after="160" w:line="240" w:lineRule="exact"/>
      <w:jc w:val="center"/>
    </w:pPr>
    <w:rPr>
      <w:rFonts w:ascii="黑体" w:hAnsi="Verdana" w:eastAsia="黑体"/>
      <w:kern w:val="0"/>
      <w:sz w:val="32"/>
      <w:szCs w:val="32"/>
      <w:lang w:eastAsia="en-US"/>
    </w:rPr>
  </w:style>
  <w:style w:type="paragraph" w:customStyle="1" w:styleId="559">
    <w:name w:val="样式 标题 1 + 左侧:  1 字符 右侧:  1 字符"/>
    <w:basedOn w:val="3"/>
    <w:qFormat/>
    <w:uiPriority w:val="0"/>
    <w:pPr>
      <w:adjustRightInd w:val="0"/>
      <w:snapToGrid w:val="0"/>
      <w:spacing w:before="0" w:after="0" w:line="360" w:lineRule="auto"/>
      <w:ind w:left="240" w:leftChars="100" w:right="240" w:rightChars="100"/>
      <w:textAlignment w:val="baseline"/>
    </w:pPr>
    <w:rPr>
      <w:rFonts w:ascii="Arial" w:hAnsi="Arial" w:cs="宋体"/>
      <w:bCs w:val="0"/>
      <w:sz w:val="28"/>
      <w:szCs w:val="28"/>
    </w:rPr>
  </w:style>
  <w:style w:type="paragraph" w:customStyle="1" w:styleId="560">
    <w:name w:val="表格内容"/>
    <w:basedOn w:val="21"/>
    <w:next w:val="21"/>
    <w:qFormat/>
    <w:uiPriority w:val="0"/>
    <w:pPr>
      <w:autoSpaceDE w:val="0"/>
      <w:autoSpaceDN w:val="0"/>
      <w:adjustRightInd w:val="0"/>
      <w:snapToGrid w:val="0"/>
      <w:spacing w:line="360" w:lineRule="auto"/>
      <w:ind w:left="-57" w:right="-21" w:rightChars="-10" w:firstLine="0"/>
      <w:jc w:val="center"/>
    </w:pPr>
    <w:rPr>
      <w:rFonts w:ascii="宋体" w:hAnsi="宋体" w:eastAsia="仿宋_GB2312" w:cs="Arial"/>
      <w:color w:val="000000"/>
      <w:sz w:val="24"/>
      <w:szCs w:val="24"/>
    </w:rPr>
  </w:style>
  <w:style w:type="paragraph" w:customStyle="1" w:styleId="561">
    <w:name w:val="纯文本3"/>
    <w:basedOn w:val="1"/>
    <w:qFormat/>
    <w:uiPriority w:val="0"/>
    <w:pPr>
      <w:autoSpaceDE w:val="0"/>
      <w:autoSpaceDN w:val="0"/>
      <w:adjustRightInd w:val="0"/>
      <w:textAlignment w:val="baseline"/>
    </w:pPr>
    <w:rPr>
      <w:rFonts w:ascii="宋体"/>
      <w:sz w:val="28"/>
      <w:szCs w:val="20"/>
    </w:rPr>
  </w:style>
  <w:style w:type="paragraph" w:customStyle="1" w:styleId="562">
    <w:name w:val="报告参考文献标题"/>
    <w:basedOn w:val="265"/>
    <w:next w:val="533"/>
    <w:qFormat/>
    <w:uiPriority w:val="0"/>
    <w:pPr>
      <w:adjustRightInd/>
      <w:spacing w:after="0" w:line="400" w:lineRule="exact"/>
      <w:ind w:firstLine="0"/>
      <w:jc w:val="center"/>
    </w:pPr>
    <w:rPr>
      <w:rFonts w:ascii="Calibri" w:hAnsi="Calibri" w:eastAsia="黑体"/>
      <w:b/>
      <w:szCs w:val="22"/>
    </w:rPr>
  </w:style>
  <w:style w:type="paragraph" w:customStyle="1" w:styleId="563">
    <w:name w:val="样式框图"/>
    <w:basedOn w:val="1"/>
    <w:qFormat/>
    <w:uiPriority w:val="0"/>
    <w:pPr>
      <w:jc w:val="center"/>
    </w:pPr>
    <w:rPr>
      <w:sz w:val="24"/>
      <w:szCs w:val="20"/>
    </w:rPr>
  </w:style>
  <w:style w:type="paragraph" w:customStyle="1" w:styleId="564">
    <w:name w:val="0"/>
    <w:basedOn w:val="1"/>
    <w:qFormat/>
    <w:uiPriority w:val="0"/>
    <w:pPr>
      <w:widowControl/>
      <w:snapToGrid w:val="0"/>
    </w:pPr>
    <w:rPr>
      <w:kern w:val="0"/>
      <w:szCs w:val="21"/>
    </w:rPr>
  </w:style>
  <w:style w:type="paragraph" w:customStyle="1" w:styleId="565">
    <w:name w:val="我的样式"/>
    <w:basedOn w:val="1"/>
    <w:qFormat/>
    <w:uiPriority w:val="0"/>
    <w:pPr>
      <w:spacing w:line="360" w:lineRule="auto"/>
      <w:ind w:firstLine="230" w:firstLineChars="230"/>
    </w:pPr>
    <w:rPr>
      <w:rFonts w:ascii="宋体"/>
      <w:sz w:val="24"/>
      <w:szCs w:val="20"/>
      <w:lang w:val="en-GB"/>
    </w:rPr>
  </w:style>
  <w:style w:type="paragraph" w:customStyle="1" w:styleId="566">
    <w:name w:val="Char1 Char Char Char1"/>
    <w:basedOn w:val="1"/>
    <w:qFormat/>
    <w:uiPriority w:val="0"/>
    <w:pPr>
      <w:spacing w:line="360" w:lineRule="auto"/>
      <w:ind w:firstLine="200" w:firstLineChars="200"/>
    </w:pPr>
    <w:rPr>
      <w:rFonts w:ascii="宋体" w:hAnsi="宋体" w:cs="宋体"/>
      <w:sz w:val="24"/>
    </w:rPr>
  </w:style>
  <w:style w:type="paragraph" w:customStyle="1" w:styleId="567">
    <w:name w:val="Char1 Char Char Char2"/>
    <w:basedOn w:val="1"/>
    <w:qFormat/>
    <w:uiPriority w:val="0"/>
    <w:pPr>
      <w:spacing w:line="360" w:lineRule="auto"/>
      <w:ind w:firstLine="200" w:firstLineChars="200"/>
    </w:pPr>
    <w:rPr>
      <w:rFonts w:ascii="宋体" w:hAnsi="宋体" w:cs="宋体"/>
      <w:sz w:val="24"/>
    </w:rPr>
  </w:style>
  <w:style w:type="paragraph" w:customStyle="1" w:styleId="568">
    <w:name w:val="A正文"/>
    <w:basedOn w:val="1"/>
    <w:link w:val="798"/>
    <w:qFormat/>
    <w:uiPriority w:val="0"/>
    <w:pPr>
      <w:spacing w:line="360" w:lineRule="auto"/>
      <w:ind w:firstLine="200" w:firstLineChars="200"/>
    </w:pPr>
    <w:rPr>
      <w:rFonts w:eastAsia="仿宋_GB2312"/>
      <w:sz w:val="24"/>
    </w:rPr>
  </w:style>
  <w:style w:type="paragraph" w:customStyle="1" w:styleId="569">
    <w:name w:val="yiv1249500187msonormal"/>
    <w:basedOn w:val="1"/>
    <w:qFormat/>
    <w:uiPriority w:val="0"/>
    <w:pPr>
      <w:widowControl/>
      <w:spacing w:before="100" w:beforeAutospacing="1" w:after="100" w:afterAutospacing="1"/>
      <w:jc w:val="left"/>
    </w:pPr>
    <w:rPr>
      <w:rFonts w:ascii="宋体" w:hAnsi="宋体" w:cs="宋体"/>
      <w:kern w:val="0"/>
      <w:sz w:val="24"/>
      <w:lang w:bidi="hi-IN"/>
    </w:rPr>
  </w:style>
  <w:style w:type="paragraph" w:customStyle="1" w:styleId="570">
    <w:name w:val="yiv1088191443msonormal"/>
    <w:basedOn w:val="1"/>
    <w:qFormat/>
    <w:uiPriority w:val="0"/>
    <w:pPr>
      <w:widowControl/>
      <w:spacing w:before="100" w:beforeAutospacing="1" w:after="100" w:afterAutospacing="1"/>
      <w:jc w:val="left"/>
    </w:pPr>
    <w:rPr>
      <w:rFonts w:ascii="宋体" w:hAnsi="宋体" w:cs="宋体"/>
      <w:kern w:val="0"/>
      <w:sz w:val="24"/>
      <w:lang w:bidi="hi-IN"/>
    </w:rPr>
  </w:style>
  <w:style w:type="paragraph" w:customStyle="1" w:styleId="571">
    <w:name w:val="yiv1865318329msonormal"/>
    <w:basedOn w:val="1"/>
    <w:qFormat/>
    <w:uiPriority w:val="0"/>
    <w:pPr>
      <w:widowControl/>
      <w:spacing w:before="100" w:beforeAutospacing="1" w:after="100" w:afterAutospacing="1"/>
      <w:jc w:val="left"/>
    </w:pPr>
    <w:rPr>
      <w:rFonts w:ascii="宋体" w:hAnsi="宋体" w:cs="宋体"/>
      <w:kern w:val="0"/>
      <w:sz w:val="24"/>
      <w:lang w:bidi="hi-IN"/>
    </w:rPr>
  </w:style>
  <w:style w:type="paragraph" w:customStyle="1" w:styleId="572">
    <w:name w:val="xl7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73">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74">
    <w:name w:val="xl79"/>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575">
    <w:name w:val="xl80"/>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576">
    <w:name w:val="xl81"/>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577">
    <w:name w:val="xl82"/>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78">
    <w:name w:val="xl83"/>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79">
    <w:name w:val="xl84"/>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80">
    <w:name w:val="xl85"/>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81">
    <w:name w:val="xl86"/>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82">
    <w:name w:val="xl87"/>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83">
    <w:name w:val="xl8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584">
    <w:name w:val="xl8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585">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586">
    <w:name w:val="xl91"/>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87">
    <w:name w:val="xl92"/>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88">
    <w:name w:val="xl9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89">
    <w:name w:val="xl9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90">
    <w:name w:val="Char Char Char Char2"/>
    <w:basedOn w:val="1"/>
    <w:qFormat/>
    <w:uiPriority w:val="0"/>
    <w:pPr>
      <w:widowControl/>
      <w:spacing w:beforeLines="50" w:line="480" w:lineRule="exact"/>
      <w:jc w:val="left"/>
    </w:pPr>
  </w:style>
  <w:style w:type="paragraph" w:customStyle="1" w:styleId="591">
    <w:name w:val="Char1 Char Char Char Char Char Char Char Char Char1"/>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592">
    <w:name w:val="4 Char"/>
    <w:basedOn w:val="1"/>
    <w:qFormat/>
    <w:uiPriority w:val="0"/>
    <w:pPr>
      <w:tabs>
        <w:tab w:val="left" w:pos="432"/>
      </w:tabs>
      <w:ind w:left="432" w:hanging="432"/>
      <w:jc w:val="center"/>
    </w:pPr>
    <w:rPr>
      <w:b/>
      <w:spacing w:val="20"/>
      <w:sz w:val="24"/>
    </w:rPr>
  </w:style>
  <w:style w:type="paragraph" w:customStyle="1" w:styleId="593">
    <w:name w:val="Char Char Char Char Char Char Char Char Char Char Char Char Char Char Char Char Char Char Char Char Char Char Char Char2 Char1"/>
    <w:basedOn w:val="1"/>
    <w:qFormat/>
    <w:uiPriority w:val="0"/>
    <w:pPr>
      <w:widowControl/>
      <w:spacing w:after="160" w:line="240" w:lineRule="exact"/>
      <w:jc w:val="center"/>
    </w:pPr>
    <w:rPr>
      <w:rFonts w:ascii="黑体" w:hAnsi="Verdana" w:eastAsia="黑体"/>
      <w:kern w:val="0"/>
      <w:sz w:val="32"/>
      <w:szCs w:val="32"/>
      <w:lang w:eastAsia="en-US"/>
    </w:rPr>
  </w:style>
  <w:style w:type="paragraph" w:customStyle="1" w:styleId="594">
    <w:name w:val="Char Char Char Char Char1"/>
    <w:basedOn w:val="1"/>
    <w:qFormat/>
    <w:uiPriority w:val="0"/>
  </w:style>
  <w:style w:type="paragraph" w:customStyle="1" w:styleId="595">
    <w:name w:val="Char Char Char Char Char Char2 Char1"/>
    <w:basedOn w:val="1"/>
    <w:qFormat/>
    <w:uiPriority w:val="0"/>
    <w:pPr>
      <w:spacing w:line="360" w:lineRule="auto"/>
      <w:ind w:firstLine="200" w:firstLineChars="200"/>
    </w:pPr>
    <w:rPr>
      <w:rFonts w:ascii="宋体" w:hAnsi="宋体" w:cs="宋体"/>
      <w:sz w:val="24"/>
    </w:rPr>
  </w:style>
  <w:style w:type="paragraph" w:customStyle="1" w:styleId="596">
    <w:name w:val="Char Char Char1 Char Char Char Char Char Char Char Char Char Char Char Char Char Char Char Char Char Char Char11"/>
    <w:basedOn w:val="1"/>
    <w:qFormat/>
    <w:uiPriority w:val="0"/>
    <w:pPr>
      <w:autoSpaceDE w:val="0"/>
      <w:autoSpaceDN w:val="0"/>
      <w:adjustRightInd w:val="0"/>
      <w:spacing w:line="360" w:lineRule="auto"/>
      <w:ind w:firstLine="200" w:firstLineChars="200"/>
      <w:jc w:val="left"/>
      <w:textAlignment w:val="baseline"/>
    </w:pPr>
    <w:rPr>
      <w:rFonts w:ascii="宋体" w:hAnsi="宋体" w:cs="宋体"/>
      <w:kern w:val="0"/>
      <w:sz w:val="24"/>
      <w:szCs w:val="20"/>
    </w:rPr>
  </w:style>
  <w:style w:type="paragraph" w:customStyle="1" w:styleId="597">
    <w:name w:val="字元 字元1"/>
    <w:basedOn w:val="1"/>
    <w:qFormat/>
    <w:uiPriority w:val="0"/>
    <w:pPr>
      <w:spacing w:line="360" w:lineRule="auto"/>
      <w:ind w:firstLine="200" w:firstLineChars="200"/>
    </w:pPr>
    <w:rPr>
      <w:rFonts w:ascii="宋体" w:hAnsi="宋体" w:cs="宋体"/>
      <w:sz w:val="24"/>
    </w:rPr>
  </w:style>
  <w:style w:type="paragraph" w:customStyle="1" w:styleId="598">
    <w:name w:val="字元 字元 Char Char Char1"/>
    <w:basedOn w:val="1"/>
    <w:qFormat/>
    <w:uiPriority w:val="0"/>
    <w:pPr>
      <w:spacing w:line="360" w:lineRule="auto"/>
      <w:ind w:firstLine="200" w:firstLineChars="200"/>
    </w:pPr>
    <w:rPr>
      <w:rFonts w:ascii="宋体" w:hAnsi="宋体" w:cs="宋体"/>
      <w:sz w:val="24"/>
    </w:rPr>
  </w:style>
  <w:style w:type="paragraph" w:customStyle="1" w:styleId="599">
    <w:name w:val="00新正文"/>
    <w:basedOn w:val="1"/>
    <w:link w:val="813"/>
    <w:qFormat/>
    <w:uiPriority w:val="0"/>
    <w:pPr>
      <w:tabs>
        <w:tab w:val="center" w:pos="0"/>
      </w:tabs>
      <w:spacing w:line="360" w:lineRule="auto"/>
      <w:ind w:firstLine="600" w:firstLineChars="250"/>
    </w:pPr>
    <w:rPr>
      <w:rFonts w:ascii="宋体" w:hAnsi="宋体"/>
      <w:kern w:val="0"/>
      <w:sz w:val="24"/>
      <w:szCs w:val="20"/>
    </w:rPr>
  </w:style>
  <w:style w:type="paragraph" w:customStyle="1" w:styleId="600">
    <w:name w:val="样式11"/>
    <w:basedOn w:val="3"/>
    <w:qFormat/>
    <w:uiPriority w:val="0"/>
    <w:pPr>
      <w:adjustRightInd w:val="0"/>
      <w:spacing w:before="0" w:after="0" w:line="500" w:lineRule="atLeast"/>
      <w:ind w:firstLine="480" w:firstLineChars="200"/>
      <w:jc w:val="center"/>
      <w:textAlignment w:val="baseline"/>
    </w:pPr>
    <w:rPr>
      <w:rFonts w:eastAsia="黑体"/>
      <w:b w:val="0"/>
      <w:bCs w:val="0"/>
      <w:color w:val="000000"/>
      <w:szCs w:val="24"/>
    </w:rPr>
  </w:style>
  <w:style w:type="paragraph" w:styleId="601">
    <w:name w:val="Quote"/>
    <w:basedOn w:val="1"/>
    <w:next w:val="1"/>
    <w:link w:val="602"/>
    <w:qFormat/>
    <w:uiPriority w:val="29"/>
    <w:rPr>
      <w:rFonts w:ascii="Calibri" w:hAnsi="Calibri"/>
      <w:i/>
      <w:iCs/>
      <w:color w:val="000000"/>
      <w:sz w:val="24"/>
      <w:szCs w:val="22"/>
    </w:rPr>
  </w:style>
  <w:style w:type="character" w:customStyle="1" w:styleId="602">
    <w:name w:val="引用 字符"/>
    <w:basedOn w:val="93"/>
    <w:link w:val="601"/>
    <w:qFormat/>
    <w:uiPriority w:val="29"/>
    <w:rPr>
      <w:rFonts w:ascii="Calibri" w:hAnsi="Calibri" w:eastAsia="宋体" w:cs="Times New Roman"/>
      <w:i/>
      <w:iCs/>
      <w:color w:val="000000"/>
      <w:sz w:val="24"/>
    </w:rPr>
  </w:style>
  <w:style w:type="paragraph" w:styleId="603">
    <w:name w:val="Intense Quote"/>
    <w:basedOn w:val="1"/>
    <w:next w:val="1"/>
    <w:link w:val="604"/>
    <w:qFormat/>
    <w:uiPriority w:val="30"/>
    <w:pPr>
      <w:pBdr>
        <w:bottom w:val="single" w:color="4F81BD" w:sz="4" w:space="4"/>
      </w:pBdr>
      <w:spacing w:before="200" w:after="280"/>
      <w:ind w:left="936" w:right="936"/>
    </w:pPr>
    <w:rPr>
      <w:rFonts w:ascii="Calibri" w:hAnsi="Calibri"/>
      <w:b/>
      <w:bCs/>
      <w:i/>
      <w:iCs/>
      <w:color w:val="4F81BD"/>
      <w:sz w:val="24"/>
      <w:szCs w:val="22"/>
    </w:rPr>
  </w:style>
  <w:style w:type="character" w:customStyle="1" w:styleId="604">
    <w:name w:val="明显引用 字符"/>
    <w:basedOn w:val="93"/>
    <w:link w:val="603"/>
    <w:qFormat/>
    <w:uiPriority w:val="30"/>
    <w:rPr>
      <w:rFonts w:ascii="Calibri" w:hAnsi="Calibri" w:eastAsia="宋体" w:cs="Times New Roman"/>
      <w:b/>
      <w:bCs/>
      <w:i/>
      <w:iCs/>
      <w:color w:val="4F81BD"/>
      <w:sz w:val="24"/>
    </w:rPr>
  </w:style>
  <w:style w:type="paragraph" w:customStyle="1" w:styleId="605">
    <w:name w:val="样式12"/>
    <w:basedOn w:val="1"/>
    <w:link w:val="913"/>
    <w:qFormat/>
    <w:uiPriority w:val="0"/>
    <w:pPr>
      <w:keepNext/>
      <w:keepLines/>
      <w:overflowPunct w:val="0"/>
      <w:spacing w:line="500" w:lineRule="atLeast"/>
      <w:ind w:firstLine="480" w:firstLineChars="200"/>
      <w:outlineLvl w:val="3"/>
    </w:pPr>
    <w:rPr>
      <w:bCs/>
      <w:sz w:val="24"/>
    </w:rPr>
  </w:style>
  <w:style w:type="paragraph" w:customStyle="1" w:styleId="606">
    <w:name w:val="样式13"/>
    <w:basedOn w:val="1"/>
    <w:link w:val="914"/>
    <w:qFormat/>
    <w:uiPriority w:val="0"/>
    <w:pPr>
      <w:overflowPunct w:val="0"/>
      <w:autoSpaceDE w:val="0"/>
      <w:autoSpaceDN w:val="0"/>
      <w:adjustRightInd w:val="0"/>
      <w:snapToGrid w:val="0"/>
      <w:spacing w:line="500" w:lineRule="atLeast"/>
      <w:ind w:firstLine="480" w:firstLineChars="200"/>
      <w:textAlignment w:val="bottom"/>
    </w:pPr>
    <w:rPr>
      <w:sz w:val="24"/>
    </w:rPr>
  </w:style>
  <w:style w:type="paragraph" w:customStyle="1" w:styleId="607">
    <w:name w:val="样式14"/>
    <w:basedOn w:val="1"/>
    <w:link w:val="777"/>
    <w:qFormat/>
    <w:uiPriority w:val="0"/>
    <w:pPr>
      <w:overflowPunct w:val="0"/>
      <w:spacing w:line="500" w:lineRule="atLeast"/>
      <w:ind w:firstLine="480" w:firstLineChars="200"/>
    </w:pPr>
    <w:rPr>
      <w:sz w:val="24"/>
    </w:rPr>
  </w:style>
  <w:style w:type="paragraph" w:customStyle="1" w:styleId="608">
    <w:name w:val="Char Char46"/>
    <w:basedOn w:val="1"/>
    <w:qFormat/>
    <w:uiPriority w:val="0"/>
  </w:style>
  <w:style w:type="paragraph" w:customStyle="1" w:styleId="609">
    <w:name w:val="_Style 13"/>
    <w:basedOn w:val="1"/>
    <w:qFormat/>
    <w:uiPriority w:val="0"/>
    <w:pPr>
      <w:spacing w:line="360" w:lineRule="auto"/>
      <w:ind w:firstLine="200" w:firstLineChars="200"/>
    </w:pPr>
    <w:rPr>
      <w:spacing w:val="8"/>
      <w:sz w:val="24"/>
      <w:szCs w:val="20"/>
    </w:rPr>
  </w:style>
  <w:style w:type="paragraph" w:customStyle="1" w:styleId="610">
    <w:name w:val="索引标题1"/>
    <w:basedOn w:val="1"/>
    <w:next w:val="63"/>
    <w:unhideWhenUsed/>
    <w:qFormat/>
    <w:uiPriority w:val="99"/>
    <w:pPr>
      <w:spacing w:line="360" w:lineRule="auto"/>
    </w:pPr>
    <w:rPr>
      <w:rFonts w:ascii="等线 Light" w:hAnsi="等线 Light" w:eastAsia="等线 Light"/>
      <w:b/>
      <w:bCs/>
      <w:sz w:val="24"/>
      <w:szCs w:val="22"/>
    </w:rPr>
  </w:style>
  <w:style w:type="paragraph" w:customStyle="1" w:styleId="611">
    <w:name w:val="列出段落2"/>
    <w:basedOn w:val="1"/>
    <w:qFormat/>
    <w:uiPriority w:val="34"/>
    <w:pPr>
      <w:spacing w:line="500" w:lineRule="atLeast"/>
      <w:ind w:firstLine="200" w:firstLineChars="200"/>
    </w:pPr>
    <w:rPr>
      <w:sz w:val="24"/>
      <w:lang w:val="zh-CN"/>
    </w:rPr>
  </w:style>
  <w:style w:type="paragraph" w:customStyle="1" w:styleId="612">
    <w:name w:val="*正文"/>
    <w:basedOn w:val="1"/>
    <w:link w:val="915"/>
    <w:qFormat/>
    <w:uiPriority w:val="0"/>
    <w:pPr>
      <w:spacing w:line="500" w:lineRule="atLeast"/>
      <w:ind w:firstLine="482"/>
    </w:pPr>
    <w:rPr>
      <w:rFonts w:ascii="宋体" w:hAnsi="宋体"/>
      <w:kern w:val="0"/>
      <w:sz w:val="24"/>
      <w:szCs w:val="20"/>
    </w:rPr>
  </w:style>
  <w:style w:type="paragraph" w:customStyle="1" w:styleId="613">
    <w:name w:val="_Style 550"/>
    <w:basedOn w:val="1"/>
    <w:next w:val="140"/>
    <w:qFormat/>
    <w:uiPriority w:val="34"/>
    <w:pPr>
      <w:ind w:firstLine="420" w:firstLineChars="200"/>
    </w:pPr>
  </w:style>
  <w:style w:type="paragraph" w:customStyle="1" w:styleId="614">
    <w:name w:val="_Style 551"/>
    <w:basedOn w:val="1"/>
    <w:next w:val="140"/>
    <w:qFormat/>
    <w:uiPriority w:val="34"/>
    <w:pPr>
      <w:ind w:firstLine="420" w:firstLineChars="200"/>
    </w:pPr>
  </w:style>
  <w:style w:type="paragraph" w:customStyle="1" w:styleId="615">
    <w:name w:val="_Style 552"/>
    <w:basedOn w:val="1"/>
    <w:next w:val="140"/>
    <w:qFormat/>
    <w:uiPriority w:val="34"/>
    <w:pPr>
      <w:ind w:firstLine="420" w:firstLineChars="200"/>
    </w:pPr>
  </w:style>
  <w:style w:type="paragraph" w:customStyle="1" w:styleId="616">
    <w:name w:val="_Style 553"/>
    <w:basedOn w:val="1"/>
    <w:next w:val="140"/>
    <w:qFormat/>
    <w:uiPriority w:val="34"/>
    <w:pPr>
      <w:ind w:firstLine="420" w:firstLineChars="200"/>
    </w:pPr>
  </w:style>
  <w:style w:type="paragraph" w:customStyle="1" w:styleId="617">
    <w:name w:val="_Style 554"/>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18">
    <w:name w:val="BT2"/>
    <w:basedOn w:val="4"/>
    <w:qFormat/>
    <w:uiPriority w:val="1"/>
    <w:pPr>
      <w:spacing w:before="120" w:after="120" w:line="360" w:lineRule="auto"/>
      <w:jc w:val="left"/>
    </w:pPr>
    <w:rPr>
      <w:rFonts w:ascii="Times New Roman" w:hAnsi="Times New Roman" w:eastAsia="黑体"/>
      <w:b w:val="0"/>
      <w:kern w:val="44"/>
      <w:szCs w:val="44"/>
    </w:rPr>
  </w:style>
  <w:style w:type="paragraph" w:customStyle="1" w:styleId="619">
    <w:name w:val="正文(1)"/>
    <w:basedOn w:val="1"/>
    <w:qFormat/>
    <w:uiPriority w:val="0"/>
    <w:pPr>
      <w:numPr>
        <w:ilvl w:val="1"/>
        <w:numId w:val="1"/>
      </w:numPr>
      <w:tabs>
        <w:tab w:val="left" w:pos="1120"/>
      </w:tabs>
      <w:autoSpaceDE w:val="0"/>
      <w:autoSpaceDN w:val="0"/>
      <w:spacing w:line="360" w:lineRule="auto"/>
      <w:ind w:firstLine="200" w:firstLineChars="200"/>
    </w:pPr>
    <w:rPr>
      <w:spacing w:val="-2"/>
      <w:sz w:val="24"/>
      <w:szCs w:val="28"/>
    </w:rPr>
  </w:style>
  <w:style w:type="paragraph" w:customStyle="1" w:styleId="620">
    <w:name w:val="表格5号字体"/>
    <w:basedOn w:val="1"/>
    <w:next w:val="34"/>
    <w:qFormat/>
    <w:uiPriority w:val="0"/>
    <w:pPr>
      <w:spacing w:line="360" w:lineRule="auto"/>
      <w:jc w:val="center"/>
    </w:pPr>
    <w:rPr>
      <w:snapToGrid w:val="0"/>
      <w:kern w:val="0"/>
      <w:position w:val="6"/>
      <w:szCs w:val="21"/>
      <w:lang w:val="zh-CN"/>
    </w:rPr>
  </w:style>
  <w:style w:type="paragraph" w:customStyle="1" w:styleId="621">
    <w:name w:val="标题 11"/>
    <w:basedOn w:val="1"/>
    <w:next w:val="1"/>
    <w:qFormat/>
    <w:uiPriority w:val="0"/>
    <w:pPr>
      <w:keepNext/>
      <w:keepLines/>
      <w:adjustRightInd w:val="0"/>
      <w:snapToGrid w:val="0"/>
      <w:spacing w:before="150" w:beforeLines="150" w:after="100" w:afterLines="100" w:line="360" w:lineRule="auto"/>
      <w:jc w:val="center"/>
      <w:outlineLvl w:val="0"/>
    </w:pPr>
    <w:rPr>
      <w:rFonts w:eastAsia="黑体"/>
      <w:bCs/>
      <w:kern w:val="44"/>
      <w:sz w:val="32"/>
      <w:szCs w:val="32"/>
    </w:rPr>
  </w:style>
  <w:style w:type="paragraph" w:customStyle="1" w:styleId="622">
    <w:name w:val="文本1首行缩2"/>
    <w:basedOn w:val="1"/>
    <w:link w:val="921"/>
    <w:qFormat/>
    <w:uiPriority w:val="0"/>
    <w:pPr>
      <w:spacing w:line="360" w:lineRule="auto"/>
      <w:ind w:firstLine="482"/>
    </w:pPr>
    <w:rPr>
      <w:sz w:val="24"/>
    </w:rPr>
  </w:style>
  <w:style w:type="paragraph" w:customStyle="1" w:styleId="623">
    <w:name w:val="论文"/>
    <w:basedOn w:val="1"/>
    <w:qFormat/>
    <w:uiPriority w:val="0"/>
    <w:pPr>
      <w:ind w:firstLine="200" w:firstLineChars="200"/>
    </w:pPr>
    <w:rPr>
      <w:kern w:val="0"/>
    </w:rPr>
  </w:style>
  <w:style w:type="paragraph" w:customStyle="1" w:styleId="624">
    <w:name w:val="表格文字 Char Char"/>
    <w:basedOn w:val="1"/>
    <w:qFormat/>
    <w:uiPriority w:val="0"/>
    <w:pPr>
      <w:widowControl/>
      <w:spacing w:line="220" w:lineRule="exact"/>
      <w:jc w:val="center"/>
    </w:pPr>
    <w:rPr>
      <w:spacing w:val="-8"/>
      <w:kern w:val="0"/>
      <w:sz w:val="18"/>
      <w:szCs w:val="20"/>
    </w:rPr>
  </w:style>
  <w:style w:type="paragraph" w:customStyle="1" w:styleId="625">
    <w:name w:val="图1"/>
    <w:basedOn w:val="1"/>
    <w:next w:val="1"/>
    <w:qFormat/>
    <w:uiPriority w:val="0"/>
    <w:pPr>
      <w:widowControl/>
      <w:tabs>
        <w:tab w:val="left" w:pos="777"/>
      </w:tabs>
      <w:spacing w:before="156" w:beforeLines="50" w:after="312" w:afterLines="100" w:line="360" w:lineRule="auto"/>
      <w:ind w:left="2210" w:hanging="748"/>
      <w:jc w:val="center"/>
    </w:pPr>
    <w:rPr>
      <w:rFonts w:ascii="宋体" w:hAnsi="宋体" w:cs="宋体"/>
      <w:kern w:val="0"/>
      <w:sz w:val="24"/>
    </w:rPr>
  </w:style>
  <w:style w:type="paragraph" w:customStyle="1" w:styleId="626">
    <w:name w:val="样式 (西文) 黑体 (中文) 黑体 小四"/>
    <w:basedOn w:val="1"/>
    <w:qFormat/>
    <w:uiPriority w:val="0"/>
    <w:pPr>
      <w:jc w:val="center"/>
    </w:pPr>
    <w:rPr>
      <w:rFonts w:ascii="黑体" w:eastAsia="黑体" w:cs="宋体"/>
      <w:sz w:val="24"/>
      <w:szCs w:val="20"/>
    </w:rPr>
  </w:style>
  <w:style w:type="paragraph" w:customStyle="1" w:styleId="627">
    <w:name w:val="样式 首行缩进:  0.85 厘米"/>
    <w:basedOn w:val="1"/>
    <w:qFormat/>
    <w:uiPriority w:val="0"/>
    <w:pPr>
      <w:ind w:firstLine="200" w:firstLineChars="200"/>
    </w:pPr>
    <w:rPr>
      <w:rFonts w:cs="宋体"/>
      <w:szCs w:val="20"/>
    </w:rPr>
  </w:style>
  <w:style w:type="paragraph" w:customStyle="1" w:styleId="628">
    <w:name w:val="报告 5"/>
    <w:basedOn w:val="140"/>
    <w:link w:val="784"/>
    <w:qFormat/>
    <w:uiPriority w:val="0"/>
    <w:pPr>
      <w:spacing w:line="500" w:lineRule="atLeast"/>
      <w:ind w:firstLine="0" w:firstLineChars="0"/>
      <w:outlineLvl w:val="4"/>
    </w:pPr>
    <w:rPr>
      <w:sz w:val="24"/>
      <w:shd w:val="clear" w:color="auto" w:fill="FFFFFF"/>
    </w:rPr>
  </w:style>
  <w:style w:type="paragraph" w:customStyle="1" w:styleId="629">
    <w:name w:val="样式 标题 2节节标题 1.1b2标题 2 Char Char Char Char标题 2 Char Char Cha..."/>
    <w:basedOn w:val="4"/>
    <w:qFormat/>
    <w:uiPriority w:val="0"/>
    <w:pPr>
      <w:keepNext w:val="0"/>
      <w:keepLines w:val="0"/>
      <w:overflowPunct w:val="0"/>
      <w:spacing w:before="120" w:beforeLines="50" w:after="0" w:line="360" w:lineRule="auto"/>
      <w:ind w:left="540"/>
    </w:pPr>
    <w:rPr>
      <w:rFonts w:ascii="宋体" w:hAnsi="宋体"/>
      <w:color w:val="000000"/>
      <w:sz w:val="24"/>
      <w:szCs w:val="28"/>
    </w:rPr>
  </w:style>
  <w:style w:type="paragraph" w:customStyle="1" w:styleId="630">
    <w:name w:val="样式 标题 3条标题1.1.1 Char标题 31h33rd levelH3cbBOD 0HeadingLev..."/>
    <w:basedOn w:val="5"/>
    <w:qFormat/>
    <w:uiPriority w:val="0"/>
    <w:pPr>
      <w:keepNext w:val="0"/>
      <w:keepLines w:val="0"/>
      <w:overflowPunct w:val="0"/>
      <w:adjustRightInd/>
      <w:spacing w:before="120" w:beforeLines="50" w:after="0" w:line="360" w:lineRule="auto"/>
      <w:ind w:left="1800" w:hanging="720"/>
      <w:jc w:val="both"/>
      <w:textAlignment w:val="auto"/>
    </w:pPr>
    <w:rPr>
      <w:rFonts w:ascii="宋体" w:hAnsi="宋体"/>
      <w:color w:val="000000"/>
      <w:kern w:val="2"/>
      <w:szCs w:val="28"/>
      <w:lang w:val="en-US"/>
    </w:rPr>
  </w:style>
  <w:style w:type="paragraph" w:customStyle="1" w:styleId="631">
    <w:name w:val="样式 标题 4 + 宋体"/>
    <w:basedOn w:val="6"/>
    <w:qFormat/>
    <w:uiPriority w:val="0"/>
    <w:pPr>
      <w:keepNext w:val="0"/>
      <w:keepLines w:val="0"/>
      <w:snapToGrid w:val="0"/>
      <w:spacing w:line="360" w:lineRule="auto"/>
      <w:ind w:left="864" w:hanging="864"/>
    </w:pPr>
    <w:rPr>
      <w:rFonts w:ascii="宋体" w:hAnsi="宋体" w:cs="宋体"/>
      <w:kern w:val="0"/>
      <w:szCs w:val="24"/>
    </w:rPr>
  </w:style>
  <w:style w:type="paragraph" w:customStyle="1" w:styleId="632">
    <w:name w:val="样式 标题 2标题 1.1编号标题2 + 行距: 固定值 24 磅"/>
    <w:basedOn w:val="4"/>
    <w:qFormat/>
    <w:uiPriority w:val="0"/>
    <w:pPr>
      <w:keepNext w:val="0"/>
      <w:keepLines w:val="0"/>
      <w:tabs>
        <w:tab w:val="left" w:pos="1123"/>
      </w:tabs>
      <w:spacing w:before="100" w:beforeLines="100" w:after="0" w:line="480" w:lineRule="exact"/>
      <w:ind w:left="1123" w:hanging="1123"/>
    </w:pPr>
    <w:rPr>
      <w:rFonts w:ascii="Times New Roman" w:hAnsi="Times New Roman" w:cs="宋体"/>
      <w:color w:val="000000"/>
      <w:sz w:val="28"/>
      <w:szCs w:val="20"/>
    </w:rPr>
  </w:style>
  <w:style w:type="paragraph" w:customStyle="1" w:styleId="633">
    <w:name w:val="一级条标题"/>
    <w:basedOn w:val="3"/>
    <w:next w:val="347"/>
    <w:qFormat/>
    <w:uiPriority w:val="0"/>
    <w:pPr>
      <w:keepNext w:val="0"/>
      <w:keepLines w:val="0"/>
      <w:widowControl/>
      <w:spacing w:before="0" w:after="0"/>
      <w:ind w:left="1800" w:hanging="720"/>
      <w:jc w:val="center"/>
      <w:outlineLvl w:val="2"/>
    </w:pPr>
    <w:rPr>
      <w:rFonts w:ascii="黑体" w:eastAsia="黑体"/>
      <w:b w:val="0"/>
      <w:bCs w:val="0"/>
      <w:kern w:val="0"/>
      <w:sz w:val="21"/>
      <w:szCs w:val="20"/>
    </w:rPr>
  </w:style>
  <w:style w:type="paragraph" w:customStyle="1" w:styleId="634">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635">
    <w:name w:val="二级条标题"/>
    <w:basedOn w:val="633"/>
    <w:next w:val="347"/>
    <w:qFormat/>
    <w:uiPriority w:val="0"/>
    <w:pPr>
      <w:ind w:left="864" w:hanging="864"/>
      <w:outlineLvl w:val="3"/>
    </w:pPr>
  </w:style>
  <w:style w:type="paragraph" w:customStyle="1" w:styleId="636">
    <w:name w:val="正文表标题"/>
    <w:next w:val="347"/>
    <w:qFormat/>
    <w:uiPriority w:val="0"/>
    <w:pPr>
      <w:numPr>
        <w:ilvl w:val="0"/>
        <w:numId w:val="2"/>
      </w:numPr>
      <w:jc w:val="center"/>
    </w:pPr>
    <w:rPr>
      <w:rFonts w:ascii="黑体" w:hAnsi="Times New Roman" w:eastAsia="黑体" w:cs="Times New Roman"/>
      <w:sz w:val="21"/>
      <w:lang w:val="en-US" w:eastAsia="zh-CN" w:bidi="ar-SA"/>
    </w:rPr>
  </w:style>
  <w:style w:type="paragraph" w:customStyle="1" w:styleId="637">
    <w:name w:val="二级无标题条"/>
    <w:basedOn w:val="1"/>
    <w:qFormat/>
    <w:uiPriority w:val="0"/>
    <w:pPr>
      <w:numPr>
        <w:ilvl w:val="3"/>
        <w:numId w:val="3"/>
      </w:numPr>
    </w:pPr>
  </w:style>
  <w:style w:type="paragraph" w:customStyle="1" w:styleId="63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639">
    <w:name w:val="三级无标题条"/>
    <w:basedOn w:val="1"/>
    <w:qFormat/>
    <w:uiPriority w:val="0"/>
    <w:pPr>
      <w:numPr>
        <w:ilvl w:val="4"/>
        <w:numId w:val="3"/>
      </w:numPr>
    </w:pPr>
  </w:style>
  <w:style w:type="paragraph" w:customStyle="1" w:styleId="640">
    <w:name w:val="四级无标题条"/>
    <w:basedOn w:val="1"/>
    <w:qFormat/>
    <w:uiPriority w:val="0"/>
    <w:pPr>
      <w:numPr>
        <w:ilvl w:val="5"/>
        <w:numId w:val="3"/>
      </w:numPr>
    </w:pPr>
  </w:style>
  <w:style w:type="paragraph" w:customStyle="1" w:styleId="641">
    <w:name w:val="五级无标题条"/>
    <w:basedOn w:val="1"/>
    <w:qFormat/>
    <w:uiPriority w:val="0"/>
    <w:pPr>
      <w:numPr>
        <w:ilvl w:val="6"/>
        <w:numId w:val="3"/>
      </w:numPr>
    </w:pPr>
  </w:style>
  <w:style w:type="paragraph" w:customStyle="1" w:styleId="642">
    <w:name w:val="一级无标题条"/>
    <w:basedOn w:val="1"/>
    <w:qFormat/>
    <w:uiPriority w:val="0"/>
    <w:pPr>
      <w:numPr>
        <w:ilvl w:val="2"/>
        <w:numId w:val="3"/>
      </w:numPr>
    </w:pPr>
  </w:style>
  <w:style w:type="paragraph" w:customStyle="1" w:styleId="643">
    <w:name w:val="Char Char3"/>
    <w:basedOn w:val="1"/>
    <w:qFormat/>
    <w:uiPriority w:val="0"/>
    <w:rPr>
      <w:szCs w:val="21"/>
    </w:rPr>
  </w:style>
  <w:style w:type="paragraph" w:customStyle="1" w:styleId="644">
    <w:name w:val="Char Char13"/>
    <w:basedOn w:val="1"/>
    <w:qFormat/>
    <w:uiPriority w:val="0"/>
    <w:pPr>
      <w:snapToGrid w:val="0"/>
    </w:pPr>
    <w:rPr>
      <w:rFonts w:ascii="Arial" w:hAnsi="Arial"/>
      <w:szCs w:val="21"/>
    </w:rPr>
  </w:style>
  <w:style w:type="paragraph" w:customStyle="1" w:styleId="645">
    <w:name w:val="Char Char13 Char Char"/>
    <w:basedOn w:val="1"/>
    <w:qFormat/>
    <w:uiPriority w:val="0"/>
    <w:pPr>
      <w:snapToGrid w:val="0"/>
    </w:pPr>
    <w:rPr>
      <w:rFonts w:ascii="Arial" w:hAnsi="Arial"/>
      <w:szCs w:val="21"/>
    </w:rPr>
  </w:style>
  <w:style w:type="paragraph" w:customStyle="1" w:styleId="646">
    <w:name w:val="Char Char1 Char Char"/>
    <w:basedOn w:val="1"/>
    <w:qFormat/>
    <w:uiPriority w:val="0"/>
  </w:style>
  <w:style w:type="paragraph" w:customStyle="1" w:styleId="647">
    <w:name w:val="Char Char4"/>
    <w:basedOn w:val="1"/>
    <w:qFormat/>
    <w:uiPriority w:val="0"/>
    <w:pPr>
      <w:spacing w:line="360" w:lineRule="auto"/>
      <w:ind w:firstLine="200" w:firstLineChars="200"/>
    </w:pPr>
    <w:rPr>
      <w:rFonts w:ascii="宋体" w:hAnsi="宋体" w:cs="宋体"/>
      <w:sz w:val="24"/>
    </w:rPr>
  </w:style>
  <w:style w:type="paragraph" w:customStyle="1" w:styleId="648">
    <w:name w:val="Char Char Char Char Char Char Char Char Char Char Char Char"/>
    <w:basedOn w:val="1"/>
    <w:qFormat/>
    <w:uiPriority w:val="0"/>
    <w:pPr>
      <w:widowControl/>
      <w:spacing w:after="80" w:line="520" w:lineRule="exact"/>
      <w:ind w:firstLine="567"/>
      <w:jc w:val="left"/>
    </w:pPr>
    <w:rPr>
      <w:rFonts w:eastAsia="仿宋_GB2312" w:cs="Verdana"/>
      <w:kern w:val="0"/>
      <w:sz w:val="28"/>
      <w:szCs w:val="28"/>
      <w:lang w:eastAsia="en-US"/>
    </w:rPr>
  </w:style>
  <w:style w:type="paragraph" w:customStyle="1" w:styleId="649">
    <w:name w:val="目录"/>
    <w:basedOn w:val="1"/>
    <w:next w:val="1"/>
    <w:qFormat/>
    <w:uiPriority w:val="0"/>
    <w:pPr>
      <w:adjustRightInd w:val="0"/>
      <w:snapToGrid w:val="0"/>
      <w:spacing w:before="100" w:beforeLines="100" w:after="100" w:afterLines="100" w:line="500" w:lineRule="atLeast"/>
      <w:ind w:firstLine="480" w:firstLineChars="200"/>
      <w:jc w:val="center"/>
    </w:pPr>
    <w:rPr>
      <w:b/>
      <w:bCs/>
      <w:kern w:val="0"/>
      <w:sz w:val="32"/>
      <w:szCs w:val="32"/>
    </w:rPr>
  </w:style>
  <w:style w:type="paragraph" w:customStyle="1" w:styleId="650">
    <w:name w:val="样式 样式 样式 宋体 小四 行距: 1.5 倍行距 + 首行缩进:  2 字符 + 首行缩进:  2 字符"/>
    <w:basedOn w:val="1"/>
    <w:qFormat/>
    <w:uiPriority w:val="0"/>
    <w:pPr>
      <w:adjustRightInd w:val="0"/>
      <w:snapToGrid w:val="0"/>
      <w:spacing w:line="500" w:lineRule="atLeast"/>
      <w:ind w:firstLine="200" w:firstLineChars="200"/>
    </w:pPr>
    <w:rPr>
      <w:sz w:val="24"/>
      <w:szCs w:val="20"/>
    </w:rPr>
  </w:style>
  <w:style w:type="paragraph" w:customStyle="1" w:styleId="651">
    <w:name w:val="正文小标题"/>
    <w:basedOn w:val="1"/>
    <w:next w:val="34"/>
    <w:qFormat/>
    <w:uiPriority w:val="0"/>
    <w:pPr>
      <w:tabs>
        <w:tab w:val="left" w:pos="735"/>
      </w:tabs>
      <w:overflowPunct w:val="0"/>
      <w:autoSpaceDE w:val="0"/>
      <w:autoSpaceDN w:val="0"/>
      <w:adjustRightInd w:val="0"/>
      <w:spacing w:after="60"/>
      <w:textAlignment w:val="baseline"/>
    </w:pPr>
    <w:rPr>
      <w:kern w:val="0"/>
      <w:szCs w:val="20"/>
    </w:rPr>
  </w:style>
  <w:style w:type="paragraph" w:customStyle="1" w:styleId="652">
    <w:name w:val="特殊格式"/>
    <w:basedOn w:val="21"/>
    <w:qFormat/>
    <w:uiPriority w:val="0"/>
    <w:pPr>
      <w:adjustRightInd w:val="0"/>
      <w:snapToGrid w:val="0"/>
      <w:spacing w:line="500" w:lineRule="atLeast"/>
      <w:ind w:firstLine="0"/>
    </w:pPr>
    <w:rPr>
      <w:sz w:val="24"/>
      <w:szCs w:val="20"/>
    </w:rPr>
  </w:style>
  <w:style w:type="paragraph" w:customStyle="1" w:styleId="653">
    <w:name w:val="标题 31"/>
    <w:basedOn w:val="1"/>
    <w:qFormat/>
    <w:uiPriority w:val="0"/>
    <w:pPr>
      <w:spacing w:line="360" w:lineRule="auto"/>
    </w:pPr>
    <w:rPr>
      <w:sz w:val="24"/>
    </w:rPr>
  </w:style>
  <w:style w:type="paragraph" w:customStyle="1" w:styleId="654">
    <w:name w:val="节"/>
    <w:basedOn w:val="84"/>
    <w:qFormat/>
    <w:uiPriority w:val="0"/>
    <w:pPr>
      <w:pageBreakBefore/>
      <w:widowControl/>
      <w:numPr>
        <w:ilvl w:val="0"/>
        <w:numId w:val="4"/>
      </w:numPr>
      <w:pBdr>
        <w:bottom w:val="single" w:color="4F81BD" w:sz="8" w:space="4"/>
      </w:pBdr>
      <w:spacing w:before="100" w:beforeAutospacing="1" w:after="100" w:afterAutospacing="1" w:line="360" w:lineRule="auto"/>
      <w:contextualSpacing/>
      <w:jc w:val="left"/>
      <w:outlineLvl w:val="9"/>
    </w:pPr>
    <w:rPr>
      <w:rFonts w:ascii="Arial" w:hAnsi="Arial" w:eastAsia="黑体" w:cs="Arial"/>
      <w:bCs w:val="0"/>
      <w:color w:val="0000FF"/>
      <w:spacing w:val="5"/>
      <w:kern w:val="28"/>
      <w:sz w:val="28"/>
      <w:szCs w:val="28"/>
    </w:rPr>
  </w:style>
  <w:style w:type="paragraph" w:customStyle="1" w:styleId="655">
    <w:name w:val="正文缩进 + Arial"/>
    <w:basedOn w:val="21"/>
    <w:qFormat/>
    <w:uiPriority w:val="0"/>
    <w:pPr>
      <w:spacing w:line="360" w:lineRule="auto"/>
    </w:pPr>
    <w:rPr>
      <w:rFonts w:ascii="Arial" w:hAnsi="Arial"/>
      <w:sz w:val="24"/>
      <w:szCs w:val="24"/>
    </w:rPr>
  </w:style>
  <w:style w:type="paragraph" w:customStyle="1" w:styleId="656">
    <w:name w:val="bf"/>
    <w:basedOn w:val="1"/>
    <w:qFormat/>
    <w:uiPriority w:val="0"/>
    <w:pPr>
      <w:tabs>
        <w:tab w:val="left" w:pos="0"/>
        <w:tab w:val="left" w:pos="2269"/>
      </w:tabs>
      <w:adjustRightInd w:val="0"/>
      <w:spacing w:before="480" w:after="240" w:line="360" w:lineRule="atLeast"/>
      <w:ind w:left="1134" w:hanging="1134"/>
      <w:jc w:val="center"/>
      <w:textAlignment w:val="baseline"/>
    </w:pPr>
    <w:rPr>
      <w:rFonts w:ascii="Arial" w:hAnsi="Arial" w:eastAsia="黑体"/>
      <w:kern w:val="0"/>
      <w:sz w:val="32"/>
      <w:szCs w:val="20"/>
    </w:rPr>
  </w:style>
  <w:style w:type="paragraph" w:customStyle="1" w:styleId="657">
    <w:name w:val="1."/>
    <w:basedOn w:val="1"/>
    <w:qFormat/>
    <w:uiPriority w:val="0"/>
    <w:pPr>
      <w:tabs>
        <w:tab w:val="left" w:pos="0"/>
        <w:tab w:val="left" w:pos="426"/>
      </w:tabs>
      <w:adjustRightInd w:val="0"/>
      <w:spacing w:before="60" w:after="60" w:line="360" w:lineRule="atLeast"/>
      <w:ind w:left="426" w:hanging="426"/>
      <w:textAlignment w:val="baseline"/>
    </w:pPr>
    <w:rPr>
      <w:rFonts w:ascii="Arial" w:hAnsi="Arial"/>
      <w:kern w:val="0"/>
      <w:szCs w:val="20"/>
    </w:rPr>
  </w:style>
  <w:style w:type="paragraph" w:customStyle="1" w:styleId="658">
    <w:name w:val="1.1"/>
    <w:basedOn w:val="1"/>
    <w:qFormat/>
    <w:uiPriority w:val="0"/>
    <w:pPr>
      <w:tabs>
        <w:tab w:val="left" w:pos="851"/>
      </w:tabs>
      <w:adjustRightInd w:val="0"/>
      <w:spacing w:after="120"/>
      <w:ind w:left="851" w:hanging="851"/>
      <w:textAlignment w:val="baseline"/>
    </w:pPr>
    <w:rPr>
      <w:rFonts w:eastAsia="黑体"/>
      <w:sz w:val="28"/>
      <w:szCs w:val="20"/>
    </w:rPr>
  </w:style>
  <w:style w:type="paragraph" w:customStyle="1" w:styleId="659">
    <w:name w:val="1.1.1"/>
    <w:basedOn w:val="1"/>
    <w:qFormat/>
    <w:uiPriority w:val="0"/>
    <w:pPr>
      <w:tabs>
        <w:tab w:val="left" w:pos="851"/>
      </w:tabs>
      <w:adjustRightInd w:val="0"/>
      <w:spacing w:before="60" w:after="60" w:line="360" w:lineRule="exact"/>
      <w:ind w:left="1134" w:hanging="851"/>
      <w:textAlignment w:val="baseline"/>
    </w:pPr>
    <w:rPr>
      <w:rFonts w:eastAsia="黑体"/>
      <w:b/>
      <w:sz w:val="24"/>
      <w:szCs w:val="20"/>
    </w:rPr>
  </w:style>
  <w:style w:type="paragraph" w:customStyle="1" w:styleId="660">
    <w:name w:val="1.1.1.1"/>
    <w:basedOn w:val="1"/>
    <w:qFormat/>
    <w:uiPriority w:val="0"/>
    <w:pPr>
      <w:tabs>
        <w:tab w:val="left" w:pos="1134"/>
      </w:tabs>
      <w:adjustRightInd w:val="0"/>
      <w:spacing w:before="60" w:after="60" w:line="360" w:lineRule="atLeast"/>
      <w:ind w:left="1134" w:hanging="1134"/>
      <w:textAlignment w:val="baseline"/>
    </w:pPr>
    <w:rPr>
      <w:rFonts w:ascii="Arial" w:hAnsi="Arial"/>
      <w:kern w:val="0"/>
      <w:szCs w:val="20"/>
    </w:rPr>
  </w:style>
  <w:style w:type="paragraph" w:customStyle="1" w:styleId="661">
    <w:name w:val="1.1.1.1A"/>
    <w:basedOn w:val="660"/>
    <w:qFormat/>
    <w:uiPriority w:val="0"/>
    <w:pPr>
      <w:tabs>
        <w:tab w:val="left" w:pos="1843"/>
        <w:tab w:val="left" w:pos="26875"/>
        <w:tab w:val="clear" w:pos="1134"/>
      </w:tabs>
      <w:autoSpaceDE w:val="0"/>
      <w:autoSpaceDN w:val="0"/>
      <w:ind w:left="1560" w:hanging="426"/>
      <w:textAlignment w:val="auto"/>
    </w:pPr>
    <w:rPr>
      <w:rFonts w:ascii="宋体" w:hAnsi="Times New Roman"/>
      <w:sz w:val="24"/>
    </w:rPr>
  </w:style>
  <w:style w:type="paragraph" w:customStyle="1" w:styleId="662">
    <w:name w:val="1.1.1.1N"/>
    <w:basedOn w:val="660"/>
    <w:qFormat/>
    <w:uiPriority w:val="0"/>
    <w:pPr>
      <w:tabs>
        <w:tab w:val="clear" w:pos="1134"/>
      </w:tabs>
      <w:autoSpaceDE w:val="0"/>
      <w:autoSpaceDN w:val="0"/>
      <w:ind w:firstLine="0"/>
      <w:textAlignment w:val="auto"/>
    </w:pPr>
    <w:rPr>
      <w:rFonts w:ascii="宋体" w:hAnsi="Times New Roman"/>
      <w:sz w:val="24"/>
    </w:rPr>
  </w:style>
  <w:style w:type="paragraph" w:customStyle="1" w:styleId="663">
    <w:name w:val="MM"/>
    <w:basedOn w:val="1"/>
    <w:qFormat/>
    <w:uiPriority w:val="0"/>
    <w:pPr>
      <w:adjustRightInd w:val="0"/>
      <w:spacing w:before="60" w:after="60" w:line="360" w:lineRule="atLeast"/>
      <w:ind w:left="1560" w:hanging="426"/>
      <w:textAlignment w:val="baseline"/>
    </w:pPr>
    <w:rPr>
      <w:rFonts w:ascii="宋体"/>
      <w:spacing w:val="5"/>
      <w:kern w:val="0"/>
      <w:sz w:val="24"/>
      <w:szCs w:val="20"/>
    </w:rPr>
  </w:style>
  <w:style w:type="paragraph" w:customStyle="1" w:styleId="664">
    <w:name w:val="2"/>
    <w:next w:v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65">
    <w:name w:val="ml"/>
    <w:basedOn w:val="1"/>
    <w:qFormat/>
    <w:uiPriority w:val="0"/>
    <w:pPr>
      <w:tabs>
        <w:tab w:val="left" w:pos="0"/>
      </w:tabs>
      <w:autoSpaceDE w:val="0"/>
      <w:autoSpaceDN w:val="0"/>
      <w:adjustRightInd w:val="0"/>
      <w:spacing w:before="240" w:after="120" w:line="360" w:lineRule="atLeast"/>
      <w:jc w:val="center"/>
    </w:pPr>
    <w:rPr>
      <w:rFonts w:ascii="黑体" w:eastAsia="黑体"/>
      <w:kern w:val="0"/>
      <w:sz w:val="32"/>
      <w:szCs w:val="20"/>
    </w:rPr>
  </w:style>
  <w:style w:type="paragraph" w:customStyle="1" w:styleId="666">
    <w:name w:val="1.1.1.1A-1"/>
    <w:basedOn w:val="661"/>
    <w:qFormat/>
    <w:uiPriority w:val="0"/>
    <w:pPr>
      <w:tabs>
        <w:tab w:val="left" w:pos="1985"/>
        <w:tab w:val="clear" w:pos="1843"/>
      </w:tabs>
      <w:ind w:left="1985" w:hanging="425"/>
    </w:pPr>
    <w:rPr>
      <w:rFonts w:ascii="Arial" w:hAnsi="Arial"/>
    </w:rPr>
  </w:style>
  <w:style w:type="paragraph" w:customStyle="1" w:styleId="667">
    <w:name w:val="A.aa"/>
    <w:basedOn w:val="1"/>
    <w:qFormat/>
    <w:uiPriority w:val="0"/>
    <w:pPr>
      <w:tabs>
        <w:tab w:val="left" w:pos="0"/>
        <w:tab w:val="left" w:pos="1560"/>
        <w:tab w:val="left" w:pos="8505"/>
      </w:tabs>
      <w:autoSpaceDE w:val="0"/>
      <w:autoSpaceDN w:val="0"/>
      <w:adjustRightInd w:val="0"/>
      <w:spacing w:before="60" w:after="60" w:line="360" w:lineRule="atLeast"/>
      <w:ind w:left="1560" w:right="-194" w:hanging="1560"/>
    </w:pPr>
    <w:rPr>
      <w:rFonts w:ascii="Arial" w:hAnsi="Arial"/>
      <w:kern w:val="0"/>
      <w:sz w:val="24"/>
      <w:szCs w:val="20"/>
    </w:rPr>
  </w:style>
  <w:style w:type="paragraph" w:customStyle="1" w:styleId="668">
    <w:name w:val="Normalfa"/>
    <w:basedOn w:val="1"/>
    <w:qFormat/>
    <w:uiPriority w:val="0"/>
    <w:pPr>
      <w:tabs>
        <w:tab w:val="left" w:pos="0"/>
        <w:tab w:val="left" w:pos="1843"/>
        <w:tab w:val="left" w:pos="8505"/>
      </w:tabs>
      <w:autoSpaceDE w:val="0"/>
      <w:autoSpaceDN w:val="0"/>
      <w:adjustRightInd w:val="0"/>
      <w:spacing w:before="60" w:after="60" w:line="360" w:lineRule="atLeast"/>
      <w:ind w:left="1814" w:hanging="1134"/>
    </w:pPr>
    <w:rPr>
      <w:rFonts w:ascii="Arial" w:hAnsi="Arial"/>
      <w:kern w:val="0"/>
      <w:sz w:val="24"/>
      <w:szCs w:val="20"/>
    </w:rPr>
  </w:style>
  <w:style w:type="paragraph" w:customStyle="1" w:styleId="669">
    <w:name w:val="Normalab"/>
    <w:basedOn w:val="1"/>
    <w:qFormat/>
    <w:uiPriority w:val="0"/>
    <w:pPr>
      <w:tabs>
        <w:tab w:val="left" w:pos="0"/>
        <w:tab w:val="left" w:pos="1134"/>
        <w:tab w:val="left" w:pos="8505"/>
      </w:tabs>
      <w:autoSpaceDE w:val="0"/>
      <w:autoSpaceDN w:val="0"/>
      <w:adjustRightInd w:val="0"/>
      <w:spacing w:before="60" w:after="60" w:line="360" w:lineRule="atLeast"/>
      <w:ind w:left="1843" w:hanging="1134"/>
    </w:pPr>
    <w:rPr>
      <w:rFonts w:ascii="Arial" w:hAnsi="Arial"/>
      <w:kern w:val="0"/>
      <w:sz w:val="24"/>
      <w:szCs w:val="20"/>
    </w:rPr>
  </w:style>
  <w:style w:type="paragraph" w:customStyle="1" w:styleId="670">
    <w:name w:val="Normal1"/>
    <w:basedOn w:val="1"/>
    <w:qFormat/>
    <w:uiPriority w:val="0"/>
    <w:pPr>
      <w:tabs>
        <w:tab w:val="left" w:pos="851"/>
        <w:tab w:val="left" w:pos="8505"/>
      </w:tabs>
      <w:autoSpaceDE w:val="0"/>
      <w:autoSpaceDN w:val="0"/>
      <w:adjustRightInd w:val="0"/>
      <w:spacing w:before="60" w:after="60" w:line="360" w:lineRule="atLeast"/>
      <w:ind w:left="851" w:hanging="851"/>
    </w:pPr>
    <w:rPr>
      <w:rFonts w:ascii="宋体"/>
      <w:kern w:val="0"/>
      <w:sz w:val="24"/>
      <w:szCs w:val="20"/>
    </w:rPr>
  </w:style>
  <w:style w:type="paragraph" w:customStyle="1" w:styleId="671">
    <w:name w:val="Normalk"/>
    <w:basedOn w:val="1"/>
    <w:qFormat/>
    <w:uiPriority w:val="0"/>
    <w:pPr>
      <w:tabs>
        <w:tab w:val="left" w:pos="1985"/>
      </w:tabs>
      <w:autoSpaceDE w:val="0"/>
      <w:autoSpaceDN w:val="0"/>
      <w:adjustRightInd w:val="0"/>
      <w:spacing w:before="60" w:after="60" w:line="360" w:lineRule="atLeast"/>
      <w:ind w:left="1985" w:hanging="851"/>
    </w:pPr>
    <w:rPr>
      <w:rFonts w:ascii="宋体"/>
      <w:kern w:val="0"/>
      <w:sz w:val="24"/>
      <w:szCs w:val="20"/>
    </w:rPr>
  </w:style>
  <w:style w:type="paragraph" w:customStyle="1" w:styleId="672">
    <w:name w:val="Normalka"/>
    <w:basedOn w:val="671"/>
    <w:qFormat/>
    <w:uiPriority w:val="0"/>
    <w:pPr>
      <w:tabs>
        <w:tab w:val="left" w:pos="2041"/>
      </w:tabs>
      <w:ind w:left="2268" w:hanging="284"/>
    </w:pPr>
  </w:style>
  <w:style w:type="paragraph" w:customStyle="1" w:styleId="673">
    <w:name w:val="标题 3m"/>
    <w:basedOn w:val="5"/>
    <w:qFormat/>
    <w:uiPriority w:val="0"/>
    <w:pPr>
      <w:keepNext w:val="0"/>
      <w:keepLines w:val="0"/>
      <w:autoSpaceDE w:val="0"/>
      <w:autoSpaceDN w:val="0"/>
      <w:spacing w:before="60" w:after="60" w:line="360" w:lineRule="atLeast"/>
      <w:ind w:left="1560" w:hanging="426"/>
      <w:jc w:val="both"/>
      <w:textAlignment w:val="auto"/>
      <w:outlineLvl w:val="9"/>
    </w:pPr>
    <w:rPr>
      <w:rFonts w:ascii="宋体"/>
      <w:bCs w:val="0"/>
      <w:color w:val="000000"/>
      <w:szCs w:val="20"/>
      <w:lang w:val="en-US"/>
    </w:rPr>
  </w:style>
  <w:style w:type="paragraph" w:customStyle="1" w:styleId="674">
    <w:name w:val="标题 3n"/>
    <w:basedOn w:val="5"/>
    <w:next w:val="5"/>
    <w:qFormat/>
    <w:uiPriority w:val="0"/>
    <w:pPr>
      <w:keepNext w:val="0"/>
      <w:keepLines w:val="0"/>
      <w:autoSpaceDE w:val="0"/>
      <w:autoSpaceDN w:val="0"/>
      <w:spacing w:before="60" w:after="60" w:line="360" w:lineRule="atLeast"/>
      <w:ind w:left="360"/>
      <w:jc w:val="both"/>
      <w:textAlignment w:val="auto"/>
      <w:outlineLvl w:val="9"/>
    </w:pPr>
    <w:rPr>
      <w:rFonts w:ascii="宋体"/>
      <w:bCs w:val="0"/>
      <w:color w:val="000000"/>
      <w:szCs w:val="20"/>
      <w:lang w:val="en-US"/>
    </w:rPr>
  </w:style>
  <w:style w:type="paragraph" w:customStyle="1" w:styleId="675">
    <w:name w:val="标题 3m1"/>
    <w:basedOn w:val="673"/>
    <w:qFormat/>
    <w:uiPriority w:val="0"/>
    <w:pPr>
      <w:ind w:left="1985" w:hanging="567"/>
    </w:pPr>
  </w:style>
  <w:style w:type="paragraph" w:customStyle="1" w:styleId="676">
    <w:name w:val="标题 3m-"/>
    <w:basedOn w:val="673"/>
    <w:qFormat/>
    <w:uiPriority w:val="0"/>
    <w:pPr>
      <w:ind w:firstLine="0"/>
    </w:pPr>
  </w:style>
  <w:style w:type="paragraph" w:customStyle="1" w:styleId="677">
    <w:name w:val="1.1.1.1A-n"/>
    <w:basedOn w:val="660"/>
    <w:qFormat/>
    <w:uiPriority w:val="0"/>
    <w:pPr>
      <w:tabs>
        <w:tab w:val="left" w:pos="26875"/>
        <w:tab w:val="clear" w:pos="1134"/>
      </w:tabs>
      <w:autoSpaceDE w:val="0"/>
      <w:autoSpaceDN w:val="0"/>
      <w:ind w:left="1560"/>
      <w:textAlignment w:val="auto"/>
    </w:pPr>
    <w:rPr>
      <w:sz w:val="24"/>
    </w:rPr>
  </w:style>
  <w:style w:type="paragraph" w:customStyle="1" w:styleId="678">
    <w:name w:val="BT"/>
    <w:basedOn w:val="1"/>
    <w:qFormat/>
    <w:uiPriority w:val="0"/>
    <w:pPr>
      <w:autoSpaceDE w:val="0"/>
      <w:autoSpaceDN w:val="0"/>
      <w:adjustRightInd w:val="0"/>
      <w:spacing w:before="360" w:after="360"/>
      <w:jc w:val="center"/>
    </w:pPr>
    <w:rPr>
      <w:rFonts w:ascii="宋体"/>
      <w:b/>
      <w:kern w:val="0"/>
      <w:sz w:val="36"/>
      <w:szCs w:val="20"/>
    </w:rPr>
  </w:style>
  <w:style w:type="paragraph" w:customStyle="1" w:styleId="679">
    <w:name w:val="BT1"/>
    <w:basedOn w:val="1"/>
    <w:qFormat/>
    <w:uiPriority w:val="0"/>
    <w:pPr>
      <w:tabs>
        <w:tab w:val="left" w:pos="1134"/>
      </w:tabs>
      <w:autoSpaceDE w:val="0"/>
      <w:autoSpaceDN w:val="0"/>
      <w:adjustRightInd w:val="0"/>
      <w:spacing w:before="240" w:after="240" w:line="360" w:lineRule="atLeast"/>
      <w:ind w:left="1134" w:hanging="1134"/>
      <w:jc w:val="left"/>
    </w:pPr>
    <w:rPr>
      <w:rFonts w:ascii="黑体" w:eastAsia="黑体"/>
      <w:kern w:val="0"/>
      <w:sz w:val="28"/>
      <w:szCs w:val="20"/>
    </w:rPr>
  </w:style>
  <w:style w:type="paragraph" w:customStyle="1" w:styleId="680">
    <w:name w:val="NN"/>
    <w:basedOn w:val="1"/>
    <w:qFormat/>
    <w:uiPriority w:val="0"/>
    <w:pPr>
      <w:autoSpaceDE w:val="0"/>
      <w:autoSpaceDN w:val="0"/>
      <w:adjustRightInd w:val="0"/>
      <w:spacing w:line="360" w:lineRule="atLeast"/>
      <w:ind w:left="1134"/>
    </w:pPr>
    <w:rPr>
      <w:rFonts w:ascii="宋体"/>
      <w:spacing w:val="5"/>
      <w:kern w:val="0"/>
      <w:sz w:val="24"/>
      <w:szCs w:val="20"/>
    </w:rPr>
  </w:style>
  <w:style w:type="paragraph" w:customStyle="1" w:styleId="681">
    <w:name w:val="BT3"/>
    <w:basedOn w:val="1"/>
    <w:qFormat/>
    <w:uiPriority w:val="0"/>
    <w:pPr>
      <w:tabs>
        <w:tab w:val="left" w:pos="1134"/>
      </w:tabs>
      <w:autoSpaceDE w:val="0"/>
      <w:autoSpaceDN w:val="0"/>
      <w:adjustRightInd w:val="0"/>
      <w:spacing w:before="60" w:after="60" w:line="360" w:lineRule="atLeast"/>
      <w:ind w:left="1134" w:hanging="1134"/>
    </w:pPr>
    <w:rPr>
      <w:rFonts w:ascii="宋体"/>
      <w:spacing w:val="5"/>
      <w:kern w:val="0"/>
      <w:sz w:val="24"/>
      <w:szCs w:val="20"/>
    </w:rPr>
  </w:style>
  <w:style w:type="paragraph" w:customStyle="1" w:styleId="682">
    <w:name w:val="LL"/>
    <w:basedOn w:val="1"/>
    <w:qFormat/>
    <w:uiPriority w:val="0"/>
    <w:pPr>
      <w:autoSpaceDE w:val="0"/>
      <w:autoSpaceDN w:val="0"/>
      <w:adjustRightInd w:val="0"/>
      <w:spacing w:before="60" w:after="60" w:line="360" w:lineRule="atLeast"/>
      <w:ind w:left="1560"/>
    </w:pPr>
    <w:rPr>
      <w:rFonts w:ascii="宋体"/>
      <w:spacing w:val="5"/>
      <w:kern w:val="0"/>
      <w:sz w:val="24"/>
      <w:szCs w:val="20"/>
    </w:rPr>
  </w:style>
  <w:style w:type="paragraph" w:customStyle="1" w:styleId="683">
    <w:name w:val="LL1"/>
    <w:basedOn w:val="1"/>
    <w:qFormat/>
    <w:uiPriority w:val="0"/>
    <w:pPr>
      <w:autoSpaceDE w:val="0"/>
      <w:autoSpaceDN w:val="0"/>
      <w:adjustRightInd w:val="0"/>
      <w:spacing w:before="60" w:after="60" w:line="360" w:lineRule="atLeast"/>
      <w:ind w:left="1843"/>
    </w:pPr>
    <w:rPr>
      <w:rFonts w:ascii="宋体"/>
      <w:spacing w:val="5"/>
      <w:kern w:val="0"/>
      <w:sz w:val="24"/>
      <w:szCs w:val="20"/>
    </w:rPr>
  </w:style>
  <w:style w:type="paragraph" w:customStyle="1" w:styleId="684">
    <w:name w:val="LL2"/>
    <w:basedOn w:val="682"/>
    <w:qFormat/>
    <w:uiPriority w:val="0"/>
    <w:pPr>
      <w:ind w:left="1985" w:hanging="425"/>
    </w:pPr>
  </w:style>
  <w:style w:type="paragraph" w:customStyle="1" w:styleId="685">
    <w:name w:val="list1"/>
    <w:basedOn w:val="1"/>
    <w:qFormat/>
    <w:uiPriority w:val="0"/>
    <w:pPr>
      <w:tabs>
        <w:tab w:val="left" w:pos="1134"/>
      </w:tabs>
      <w:autoSpaceDE w:val="0"/>
      <w:autoSpaceDN w:val="0"/>
      <w:adjustRightInd w:val="0"/>
      <w:spacing w:before="60" w:after="60" w:line="480" w:lineRule="atLeast"/>
      <w:ind w:left="1134" w:hanging="284"/>
    </w:pPr>
    <w:rPr>
      <w:rFonts w:ascii="Arial" w:hAnsi="Arial"/>
      <w:spacing w:val="5"/>
      <w:kern w:val="0"/>
      <w:sz w:val="28"/>
      <w:szCs w:val="20"/>
    </w:rPr>
  </w:style>
  <w:style w:type="paragraph" w:customStyle="1" w:styleId="686">
    <w:name w:val="list2"/>
    <w:basedOn w:val="685"/>
    <w:qFormat/>
    <w:uiPriority w:val="0"/>
    <w:pPr>
      <w:tabs>
        <w:tab w:val="left" w:pos="993"/>
        <w:tab w:val="clear" w:pos="1134"/>
      </w:tabs>
      <w:spacing w:line="360" w:lineRule="atLeast"/>
      <w:ind w:hanging="340"/>
    </w:pPr>
    <w:rPr>
      <w:sz w:val="24"/>
    </w:rPr>
  </w:style>
  <w:style w:type="paragraph" w:customStyle="1" w:styleId="687">
    <w:name w:val="BB"/>
    <w:basedOn w:val="681"/>
    <w:qFormat/>
    <w:uiPriority w:val="0"/>
    <w:pPr>
      <w:tabs>
        <w:tab w:val="left" w:pos="993"/>
        <w:tab w:val="clear" w:pos="1134"/>
      </w:tabs>
      <w:ind w:firstLine="0"/>
    </w:pPr>
    <w:rPr>
      <w:spacing w:val="0"/>
    </w:rPr>
  </w:style>
  <w:style w:type="paragraph" w:customStyle="1" w:styleId="688">
    <w:name w:val="NNN"/>
    <w:basedOn w:val="680"/>
    <w:qFormat/>
    <w:uiPriority w:val="0"/>
    <w:pPr>
      <w:tabs>
        <w:tab w:val="left" w:pos="1134"/>
      </w:tabs>
      <w:spacing w:before="60" w:after="60"/>
      <w:ind w:left="1361" w:hanging="227"/>
    </w:pPr>
    <w:rPr>
      <w:rFonts w:ascii="Arial" w:hAnsi="Arial"/>
    </w:rPr>
  </w:style>
  <w:style w:type="paragraph" w:customStyle="1" w:styleId="689">
    <w:name w:val="biao"/>
    <w:basedOn w:val="681"/>
    <w:qFormat/>
    <w:uiPriority w:val="0"/>
    <w:pPr>
      <w:ind w:left="0" w:firstLine="0"/>
    </w:pPr>
    <w:rPr>
      <w:spacing w:val="0"/>
    </w:rPr>
  </w:style>
  <w:style w:type="paragraph" w:customStyle="1" w:styleId="690">
    <w:name w:val="h4"/>
    <w:basedOn w:val="1"/>
    <w:qFormat/>
    <w:uiPriority w:val="0"/>
    <w:pPr>
      <w:tabs>
        <w:tab w:val="left" w:pos="1134"/>
      </w:tabs>
      <w:autoSpaceDE w:val="0"/>
      <w:autoSpaceDN w:val="0"/>
      <w:adjustRightInd w:val="0"/>
      <w:spacing w:before="60" w:after="60" w:line="227" w:lineRule="atLeast"/>
      <w:ind w:left="1134" w:hanging="1134"/>
      <w:jc w:val="left"/>
    </w:pPr>
    <w:rPr>
      <w:rFonts w:ascii="黑体" w:eastAsia="黑体"/>
      <w:spacing w:val="5"/>
      <w:kern w:val="0"/>
      <w:sz w:val="28"/>
      <w:szCs w:val="20"/>
    </w:rPr>
  </w:style>
  <w:style w:type="paragraph" w:customStyle="1" w:styleId="691">
    <w:name w:val="mml"/>
    <w:basedOn w:val="1"/>
    <w:qFormat/>
    <w:uiPriority w:val="0"/>
    <w:pPr>
      <w:tabs>
        <w:tab w:val="left" w:pos="1134"/>
      </w:tabs>
      <w:autoSpaceDE w:val="0"/>
      <w:autoSpaceDN w:val="0"/>
      <w:adjustRightInd w:val="0"/>
      <w:spacing w:before="240" w:after="240" w:line="227" w:lineRule="atLeast"/>
      <w:ind w:left="1134" w:hanging="1134"/>
      <w:jc w:val="center"/>
    </w:pPr>
    <w:rPr>
      <w:rFonts w:ascii="黑体" w:eastAsia="黑体"/>
      <w:spacing w:val="5"/>
      <w:kern w:val="0"/>
      <w:sz w:val="36"/>
      <w:szCs w:val="20"/>
    </w:rPr>
  </w:style>
  <w:style w:type="paragraph" w:customStyle="1" w:styleId="692">
    <w:name w:val="list22"/>
    <w:basedOn w:val="686"/>
    <w:qFormat/>
    <w:uiPriority w:val="0"/>
    <w:rPr>
      <w:rFonts w:ascii="宋体" w:hAnsi="Times New Roman"/>
    </w:rPr>
  </w:style>
  <w:style w:type="paragraph" w:customStyle="1" w:styleId="693">
    <w:name w:val="NNNN"/>
    <w:basedOn w:val="688"/>
    <w:qFormat/>
    <w:uiPriority w:val="0"/>
    <w:pPr>
      <w:tabs>
        <w:tab w:val="clear" w:pos="1134"/>
      </w:tabs>
      <w:ind w:left="1843" w:firstLine="0"/>
    </w:pPr>
    <w:rPr>
      <w:rFonts w:ascii="宋体" w:hAnsi="Times New Roman"/>
    </w:rPr>
  </w:style>
  <w:style w:type="paragraph" w:customStyle="1" w:styleId="694">
    <w:name w:val="biao内"/>
    <w:basedOn w:val="689"/>
    <w:qFormat/>
    <w:uiPriority w:val="0"/>
    <w:pPr>
      <w:spacing w:line="240" w:lineRule="atLeast"/>
      <w:ind w:left="57"/>
    </w:pPr>
  </w:style>
  <w:style w:type="paragraph" w:customStyle="1" w:styleId="695">
    <w:name w:val="n"/>
    <w:basedOn w:val="1"/>
    <w:qFormat/>
    <w:uiPriority w:val="0"/>
    <w:pPr>
      <w:adjustRightInd w:val="0"/>
      <w:spacing w:line="400" w:lineRule="atLeast"/>
      <w:textAlignment w:val="baseline"/>
    </w:pPr>
    <w:rPr>
      <w:rFonts w:ascii="Arial" w:hAnsi="Arial"/>
      <w:kern w:val="0"/>
      <w:sz w:val="24"/>
      <w:szCs w:val="20"/>
    </w:rPr>
  </w:style>
  <w:style w:type="paragraph" w:customStyle="1" w:styleId="696">
    <w:name w:val="fi-1560li1560ri-194sb60s"/>
    <w:qFormat/>
    <w:uiPriority w:val="0"/>
    <w:pPr>
      <w:widowControl w:val="0"/>
      <w:autoSpaceDE w:val="0"/>
      <w:autoSpaceDN w:val="0"/>
      <w:adjustRightInd w:val="0"/>
      <w:jc w:val="both"/>
    </w:pPr>
    <w:rPr>
      <w:rFonts w:ascii="楷体_GB2312" w:hAnsi="Times New Roman" w:eastAsia="楷体_GB2312" w:cs="Times New Roman"/>
      <w:lang w:val="en-US" w:eastAsia="zh-CN" w:bidi="ar-SA"/>
    </w:rPr>
  </w:style>
  <w:style w:type="paragraph" w:customStyle="1" w:styleId="697">
    <w:name w:val="2.1"/>
    <w:basedOn w:val="660"/>
    <w:qFormat/>
    <w:uiPriority w:val="0"/>
    <w:pPr>
      <w:autoSpaceDE w:val="0"/>
      <w:autoSpaceDN w:val="0"/>
      <w:textAlignment w:val="auto"/>
    </w:pPr>
    <w:rPr>
      <w:rFonts w:cs="Arial"/>
      <w:sz w:val="20"/>
      <w:szCs w:val="24"/>
    </w:rPr>
  </w:style>
  <w:style w:type="paragraph" w:customStyle="1" w:styleId="698">
    <w:name w:val="1.1.1.1A-1-n"/>
    <w:basedOn w:val="666"/>
    <w:qFormat/>
    <w:uiPriority w:val="0"/>
    <w:pPr>
      <w:tabs>
        <w:tab w:val="clear" w:pos="1985"/>
        <w:tab w:val="clear" w:pos="26875"/>
      </w:tabs>
      <w:ind w:left="1418" w:hanging="284"/>
    </w:pPr>
    <w:rPr>
      <w:rFonts w:cs="Arial"/>
      <w:sz w:val="20"/>
      <w:szCs w:val="24"/>
    </w:rPr>
  </w:style>
  <w:style w:type="paragraph" w:customStyle="1" w:styleId="699">
    <w:name w:val="tj"/>
    <w:basedOn w:val="660"/>
    <w:qFormat/>
    <w:uiPriority w:val="0"/>
    <w:pPr>
      <w:tabs>
        <w:tab w:val="clear" w:pos="1134"/>
      </w:tabs>
      <w:autoSpaceDE w:val="0"/>
      <w:autoSpaceDN w:val="0"/>
      <w:ind w:left="0" w:right="170" w:firstLine="0"/>
      <w:textAlignment w:val="auto"/>
    </w:pPr>
    <w:rPr>
      <w:rFonts w:ascii="宋体" w:hAnsi="Times New Roman"/>
      <w:sz w:val="20"/>
      <w:szCs w:val="24"/>
    </w:rPr>
  </w:style>
  <w:style w:type="paragraph" w:customStyle="1" w:styleId="700">
    <w:name w:val="1.1.1.1A-1-a"/>
    <w:basedOn w:val="666"/>
    <w:qFormat/>
    <w:uiPriority w:val="0"/>
    <w:pPr>
      <w:tabs>
        <w:tab w:val="clear" w:pos="1985"/>
        <w:tab w:val="clear" w:pos="26875"/>
      </w:tabs>
      <w:ind w:left="2410" w:hanging="567"/>
    </w:pPr>
  </w:style>
  <w:style w:type="paragraph" w:customStyle="1" w:styleId="701">
    <w:name w:val="正文2"/>
    <w:qFormat/>
    <w:uiPriority w:val="0"/>
    <w:pPr>
      <w:widowControl w:val="0"/>
      <w:adjustRightInd w:val="0"/>
      <w:spacing w:line="312" w:lineRule="atLeast"/>
      <w:jc w:val="both"/>
    </w:pPr>
    <w:rPr>
      <w:rFonts w:hint="eastAsia" w:ascii="宋体" w:hAnsi="Times New Roman" w:eastAsia="宋体" w:cs="Times New Roman"/>
      <w:sz w:val="34"/>
      <w:lang w:val="en-US" w:eastAsia="zh-CN" w:bidi="ar-SA"/>
    </w:rPr>
  </w:style>
  <w:style w:type="paragraph" w:customStyle="1" w:styleId="702">
    <w:name w:val="f17hichaf0dbchaf17cgridl"/>
    <w:qFormat/>
    <w:uiPriority w:val="0"/>
    <w:pPr>
      <w:widowControl w:val="0"/>
      <w:autoSpaceDE w:val="0"/>
      <w:autoSpaceDN w:val="0"/>
      <w:adjustRightInd w:val="0"/>
      <w:spacing w:line="240" w:lineRule="atLeast"/>
    </w:pPr>
    <w:rPr>
      <w:rFonts w:hint="eastAsia" w:ascii="宋体" w:hAnsi="Times New Roman" w:eastAsia="宋体" w:cs="Times New Roman"/>
      <w:sz w:val="34"/>
      <w:szCs w:val="34"/>
      <w:lang w:val="zh-CN" w:eastAsia="zh-CN" w:bidi="ar-SA"/>
    </w:rPr>
  </w:style>
  <w:style w:type="paragraph" w:customStyle="1" w:styleId="703">
    <w:name w:val="1.1.1.1a"/>
    <w:basedOn w:val="1"/>
    <w:qFormat/>
    <w:uiPriority w:val="0"/>
    <w:pPr>
      <w:adjustRightInd w:val="0"/>
      <w:spacing w:before="60" w:after="60" w:line="360" w:lineRule="atLeast"/>
      <w:ind w:left="1134" w:hanging="567"/>
      <w:textAlignment w:val="baseline"/>
    </w:pPr>
    <w:rPr>
      <w:rFonts w:ascii="Arial" w:hAnsi="Arial"/>
      <w:kern w:val="0"/>
      <w:sz w:val="24"/>
      <w:szCs w:val="20"/>
    </w:rPr>
  </w:style>
  <w:style w:type="paragraph" w:customStyle="1" w:styleId="704">
    <w:name w:val="--"/>
    <w:basedOn w:val="682"/>
    <w:qFormat/>
    <w:uiPriority w:val="0"/>
    <w:pPr>
      <w:ind w:left="2041" w:hanging="227"/>
    </w:pPr>
  </w:style>
  <w:style w:type="paragraph" w:customStyle="1" w:styleId="705">
    <w:name w:val="样式3.1"/>
    <w:basedOn w:val="5"/>
    <w:qFormat/>
    <w:uiPriority w:val="0"/>
    <w:pPr>
      <w:tabs>
        <w:tab w:val="left" w:pos="420"/>
      </w:tabs>
      <w:snapToGrid w:val="0"/>
      <w:spacing w:before="0" w:after="0"/>
      <w:jc w:val="center"/>
      <w:textAlignment w:val="auto"/>
    </w:pPr>
    <w:rPr>
      <w:rFonts w:ascii="黑体"/>
      <w:color w:val="000000"/>
      <w:kern w:val="2"/>
      <w:sz w:val="30"/>
      <w:szCs w:val="20"/>
      <w:lang w:val="en-US"/>
    </w:rPr>
  </w:style>
  <w:style w:type="paragraph" w:customStyle="1" w:styleId="706">
    <w:name w:val="标书表格"/>
    <w:basedOn w:val="1"/>
    <w:qFormat/>
    <w:uiPriority w:val="0"/>
    <w:pPr>
      <w:tabs>
        <w:tab w:val="left" w:pos="425"/>
      </w:tabs>
      <w:adjustRightInd w:val="0"/>
      <w:snapToGrid w:val="0"/>
      <w:spacing w:before="20" w:after="20" w:line="280" w:lineRule="exact"/>
      <w:jc w:val="center"/>
    </w:pPr>
    <w:rPr>
      <w:rFonts w:ascii="Arial" w:hAnsi="Arial" w:eastAsia="Arial"/>
      <w:kern w:val="0"/>
      <w:sz w:val="24"/>
      <w:szCs w:val="20"/>
    </w:rPr>
  </w:style>
  <w:style w:type="paragraph" w:customStyle="1" w:styleId="707">
    <w:name w:val="Char1 Char Char Char Char Char1 Char Char Char Char Char Char Char Char Char Char Char Char Char Char Char Char Char Char Char Char Char Char Char Char Char"/>
    <w:basedOn w:val="1"/>
    <w:qFormat/>
    <w:uiPriority w:val="0"/>
    <w:pPr>
      <w:spacing w:line="360" w:lineRule="auto"/>
    </w:pPr>
    <w:rPr>
      <w:rFonts w:ascii="华文楷体" w:hAnsi="华文楷体" w:eastAsia="华文楷体"/>
      <w:b/>
      <w:sz w:val="24"/>
      <w:szCs w:val="21"/>
    </w:rPr>
  </w:style>
  <w:style w:type="paragraph" w:customStyle="1" w:styleId="708">
    <w:name w:val="1.1.1节"/>
    <w:basedOn w:val="5"/>
    <w:link w:val="933"/>
    <w:qFormat/>
    <w:uiPriority w:val="0"/>
    <w:pPr>
      <w:adjustRightInd/>
      <w:spacing w:after="0" w:line="416" w:lineRule="auto"/>
      <w:jc w:val="both"/>
      <w:textAlignment w:val="auto"/>
    </w:pPr>
    <w:rPr>
      <w:color w:val="000000"/>
      <w:kern w:val="2"/>
      <w:lang w:val="en-US"/>
    </w:rPr>
  </w:style>
  <w:style w:type="paragraph" w:customStyle="1" w:styleId="709">
    <w:name w:val="1.1.1.1.(1).1)"/>
    <w:basedOn w:val="1"/>
    <w:link w:val="935"/>
    <w:qFormat/>
    <w:uiPriority w:val="0"/>
    <w:pPr>
      <w:numPr>
        <w:ilvl w:val="0"/>
        <w:numId w:val="5"/>
      </w:numPr>
      <w:spacing w:line="500" w:lineRule="atLeast"/>
    </w:pPr>
    <w:rPr>
      <w:sz w:val="24"/>
    </w:rPr>
  </w:style>
  <w:style w:type="paragraph" w:customStyle="1" w:styleId="710">
    <w:name w:val="默认段落字体 Para Char Char Char Char Char Char Char Char Char1 Char Char Char Char Char Char Char"/>
    <w:basedOn w:val="26"/>
    <w:qFormat/>
    <w:uiPriority w:val="0"/>
    <w:rPr>
      <w:rFonts w:ascii="Tahoma" w:hAnsi="Tahoma" w:cs="Tahoma"/>
      <w:sz w:val="24"/>
    </w:rPr>
  </w:style>
  <w:style w:type="paragraph" w:customStyle="1" w:styleId="711">
    <w:name w:val="Date1"/>
    <w:basedOn w:val="1"/>
    <w:next w:val="1"/>
    <w:qFormat/>
    <w:uiPriority w:val="0"/>
    <w:pPr>
      <w:adjustRightInd w:val="0"/>
      <w:textAlignment w:val="baseline"/>
    </w:pPr>
    <w:rPr>
      <w:rFonts w:ascii="宋体"/>
      <w:kern w:val="0"/>
      <w:sz w:val="30"/>
      <w:szCs w:val="20"/>
    </w:rPr>
  </w:style>
  <w:style w:type="paragraph" w:customStyle="1" w:styleId="712">
    <w:name w:val="Body Text 21"/>
    <w:basedOn w:val="1"/>
    <w:qFormat/>
    <w:uiPriority w:val="0"/>
    <w:pPr>
      <w:adjustRightInd w:val="0"/>
      <w:spacing w:line="360" w:lineRule="auto"/>
      <w:ind w:firstLine="525"/>
      <w:textAlignment w:val="baseline"/>
    </w:pPr>
    <w:rPr>
      <w:rFonts w:ascii="宋体"/>
      <w:kern w:val="0"/>
      <w:sz w:val="28"/>
      <w:szCs w:val="20"/>
    </w:rPr>
  </w:style>
  <w:style w:type="paragraph" w:customStyle="1" w:styleId="713">
    <w:name w:val="Body Text Indent 21"/>
    <w:basedOn w:val="1"/>
    <w:qFormat/>
    <w:uiPriority w:val="0"/>
    <w:pPr>
      <w:adjustRightInd w:val="0"/>
      <w:spacing w:line="360" w:lineRule="auto"/>
      <w:ind w:firstLine="855"/>
      <w:textAlignment w:val="baseline"/>
    </w:pPr>
    <w:rPr>
      <w:rFonts w:ascii="宋体"/>
      <w:kern w:val="0"/>
      <w:sz w:val="28"/>
      <w:szCs w:val="20"/>
    </w:rPr>
  </w:style>
  <w:style w:type="paragraph" w:customStyle="1" w:styleId="714">
    <w:name w:val="Plain Text1"/>
    <w:basedOn w:val="1"/>
    <w:qFormat/>
    <w:uiPriority w:val="0"/>
    <w:pPr>
      <w:adjustRightInd w:val="0"/>
      <w:textAlignment w:val="baseline"/>
    </w:pPr>
    <w:rPr>
      <w:rFonts w:ascii="宋体"/>
      <w:kern w:val="0"/>
      <w:sz w:val="24"/>
      <w:szCs w:val="20"/>
    </w:rPr>
  </w:style>
  <w:style w:type="paragraph" w:customStyle="1" w:styleId="715">
    <w:name w:val="Body Text Indent 31"/>
    <w:basedOn w:val="1"/>
    <w:qFormat/>
    <w:uiPriority w:val="0"/>
    <w:pPr>
      <w:adjustRightInd w:val="0"/>
      <w:spacing w:line="360" w:lineRule="auto"/>
      <w:ind w:firstLine="555"/>
      <w:textAlignment w:val="baseline"/>
    </w:pPr>
    <w:rPr>
      <w:rFonts w:ascii="宋体"/>
      <w:color w:val="000000"/>
      <w:kern w:val="0"/>
      <w:sz w:val="24"/>
      <w:szCs w:val="20"/>
    </w:rPr>
  </w:style>
  <w:style w:type="paragraph" w:customStyle="1" w:styleId="716">
    <w:name w:val="标题 2 + 左"/>
    <w:basedOn w:val="1"/>
    <w:qFormat/>
    <w:uiPriority w:val="0"/>
    <w:pPr>
      <w:spacing w:before="100" w:beforeAutospacing="1" w:after="100" w:afterAutospacing="1" w:line="360" w:lineRule="auto"/>
      <w:ind w:right="31" w:rightChars="15"/>
      <w:jc w:val="left"/>
      <w:outlineLvl w:val="1"/>
    </w:pPr>
    <w:rPr>
      <w:rFonts w:ascii="Arial" w:hAnsi="Arial" w:eastAsia="黑体" w:cs="宋体"/>
      <w:color w:val="0000FF"/>
      <w:spacing w:val="10"/>
      <w:sz w:val="24"/>
    </w:rPr>
  </w:style>
  <w:style w:type="paragraph" w:customStyle="1" w:styleId="717">
    <w:name w:val="样式 正文（首行缩进两字） + 首行缩进:  2 字符"/>
    <w:basedOn w:val="21"/>
    <w:qFormat/>
    <w:uiPriority w:val="0"/>
    <w:pPr>
      <w:tabs>
        <w:tab w:val="left" w:pos="10546"/>
      </w:tabs>
      <w:adjustRightInd w:val="0"/>
      <w:spacing w:line="360" w:lineRule="auto"/>
      <w:ind w:firstLine="480" w:firstLineChars="200"/>
    </w:pPr>
    <w:rPr>
      <w:rFonts w:ascii="宋体" w:hAnsi="宋体"/>
      <w:sz w:val="24"/>
      <w:szCs w:val="24"/>
    </w:rPr>
  </w:style>
  <w:style w:type="paragraph" w:customStyle="1" w:styleId="718">
    <w:name w:val="正文标题"/>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19">
    <w:name w:val="Char Char2 Char Char Char Char"/>
    <w:basedOn w:val="1"/>
    <w:qFormat/>
    <w:uiPriority w:val="0"/>
    <w:rPr>
      <w:sz w:val="24"/>
      <w:szCs w:val="20"/>
    </w:rPr>
  </w:style>
  <w:style w:type="paragraph" w:customStyle="1" w:styleId="720">
    <w:name w:val="样式 标题 2 + 加粗"/>
    <w:basedOn w:val="4"/>
    <w:next w:val="1"/>
    <w:qFormat/>
    <w:uiPriority w:val="0"/>
    <w:pPr>
      <w:tabs>
        <w:tab w:val="left" w:pos="360"/>
      </w:tabs>
      <w:adjustRightInd w:val="0"/>
      <w:spacing w:before="100" w:beforeAutospacing="1" w:after="0" w:line="360" w:lineRule="auto"/>
      <w:ind w:left="360"/>
      <w:jc w:val="left"/>
      <w:textAlignment w:val="baseline"/>
    </w:pPr>
    <w:rPr>
      <w:rFonts w:ascii="Times New Roman" w:hAnsi="Times New Roman"/>
      <w:b w:val="0"/>
      <w:kern w:val="0"/>
      <w:sz w:val="24"/>
      <w:szCs w:val="20"/>
    </w:rPr>
  </w:style>
  <w:style w:type="paragraph" w:customStyle="1" w:styleId="721">
    <w:name w:val="样式 标题 1 + Arial 加粗 段前: 5 磅 段后: 5 磅"/>
    <w:basedOn w:val="3"/>
    <w:qFormat/>
    <w:uiPriority w:val="0"/>
    <w:pPr>
      <w:keepNext w:val="0"/>
      <w:keepLines w:val="0"/>
      <w:tabs>
        <w:tab w:val="left" w:pos="0"/>
      </w:tabs>
      <w:adjustRightInd w:val="0"/>
      <w:spacing w:before="0" w:after="0" w:line="360" w:lineRule="auto"/>
      <w:jc w:val="left"/>
      <w:textAlignment w:val="baseline"/>
    </w:pPr>
    <w:rPr>
      <w:rFonts w:ascii="Arial" w:hAnsi="Arial" w:eastAsia="黑体" w:cs="宋体"/>
      <w:b w:val="0"/>
      <w:color w:val="0000FF"/>
      <w:sz w:val="24"/>
      <w:szCs w:val="20"/>
    </w:rPr>
  </w:style>
  <w:style w:type="paragraph" w:customStyle="1" w:styleId="722">
    <w:name w:val="样式 标题 1 + Arial 加粗 段前: 5 磅 段后: 5 磅1"/>
    <w:basedOn w:val="3"/>
    <w:qFormat/>
    <w:uiPriority w:val="0"/>
    <w:pPr>
      <w:keepNext w:val="0"/>
      <w:keepLines w:val="0"/>
      <w:tabs>
        <w:tab w:val="left" w:pos="0"/>
      </w:tabs>
      <w:adjustRightInd w:val="0"/>
      <w:spacing w:before="0" w:after="0" w:line="360" w:lineRule="auto"/>
      <w:jc w:val="left"/>
      <w:textAlignment w:val="baseline"/>
    </w:pPr>
    <w:rPr>
      <w:rFonts w:ascii="Arial" w:hAnsi="Arial" w:eastAsia="黑体" w:cs="宋体"/>
      <w:b w:val="0"/>
      <w:color w:val="0000FF"/>
      <w:kern w:val="2"/>
      <w:sz w:val="24"/>
      <w:szCs w:val="20"/>
    </w:rPr>
  </w:style>
  <w:style w:type="paragraph" w:customStyle="1" w:styleId="723">
    <w:name w:val="样式 标题 1 + Arial 加粗"/>
    <w:basedOn w:val="3"/>
    <w:qFormat/>
    <w:uiPriority w:val="0"/>
    <w:pPr>
      <w:keepNext w:val="0"/>
      <w:keepLines w:val="0"/>
      <w:tabs>
        <w:tab w:val="left" w:pos="0"/>
      </w:tabs>
      <w:adjustRightInd w:val="0"/>
      <w:spacing w:before="0" w:after="0" w:line="360" w:lineRule="auto"/>
      <w:jc w:val="left"/>
      <w:textAlignment w:val="baseline"/>
    </w:pPr>
    <w:rPr>
      <w:rFonts w:ascii="Arial" w:hAnsi="Arial" w:eastAsia="黑体"/>
      <w:b w:val="0"/>
      <w:color w:val="0000FF"/>
      <w:sz w:val="24"/>
      <w:szCs w:val="24"/>
    </w:rPr>
  </w:style>
  <w:style w:type="paragraph" w:customStyle="1" w:styleId="724">
    <w:name w:val="样式 标题 1 +"/>
    <w:basedOn w:val="3"/>
    <w:qFormat/>
    <w:uiPriority w:val="0"/>
    <w:pPr>
      <w:keepNext w:val="0"/>
      <w:keepLines w:val="0"/>
      <w:tabs>
        <w:tab w:val="left" w:pos="0"/>
      </w:tabs>
      <w:adjustRightInd w:val="0"/>
      <w:spacing w:before="100" w:beforeAutospacing="1" w:after="100" w:afterAutospacing="1" w:line="360" w:lineRule="auto"/>
      <w:jc w:val="left"/>
      <w:textAlignment w:val="baseline"/>
    </w:pPr>
    <w:rPr>
      <w:rFonts w:ascii="MS Sans Serif" w:hAnsi="MS Sans Serif" w:eastAsia="黑体"/>
      <w:b w:val="0"/>
      <w:bCs w:val="0"/>
      <w:color w:val="0000FF"/>
      <w:kern w:val="2"/>
      <w:sz w:val="24"/>
      <w:szCs w:val="24"/>
    </w:rPr>
  </w:style>
  <w:style w:type="paragraph" w:customStyle="1" w:styleId="725">
    <w:name w:val="样式 标题 2 + 小四 非加粗"/>
    <w:basedOn w:val="4"/>
    <w:qFormat/>
    <w:uiPriority w:val="0"/>
    <w:pPr>
      <w:tabs>
        <w:tab w:val="left" w:pos="360"/>
      </w:tabs>
      <w:adjustRightInd w:val="0"/>
      <w:spacing w:before="0" w:after="0" w:line="360" w:lineRule="auto"/>
      <w:ind w:left="360"/>
      <w:jc w:val="left"/>
      <w:textAlignment w:val="baseline"/>
    </w:pPr>
    <w:rPr>
      <w:b w:val="0"/>
      <w:bCs w:val="0"/>
      <w:kern w:val="0"/>
      <w:sz w:val="24"/>
      <w:szCs w:val="24"/>
    </w:rPr>
  </w:style>
  <w:style w:type="paragraph" w:customStyle="1" w:styleId="726">
    <w:name w:val="yyy"/>
    <w:basedOn w:val="21"/>
    <w:qFormat/>
    <w:uiPriority w:val="0"/>
    <w:pPr>
      <w:keepNext/>
      <w:tabs>
        <w:tab w:val="left" w:pos="0"/>
        <w:tab w:val="left" w:leader="underscore" w:pos="851"/>
        <w:tab w:val="left" w:pos="2340"/>
        <w:tab w:val="left" w:pos="5220"/>
        <w:tab w:val="left" w:leader="underscore" w:pos="7655"/>
      </w:tabs>
      <w:snapToGrid w:val="0"/>
      <w:spacing w:line="360" w:lineRule="auto"/>
      <w:ind w:firstLine="360" w:firstLineChars="200"/>
      <w:jc w:val="left"/>
    </w:pPr>
    <w:rPr>
      <w:color w:val="0000FF"/>
      <w:kern w:val="0"/>
      <w:sz w:val="24"/>
      <w:szCs w:val="20"/>
    </w:rPr>
  </w:style>
  <w:style w:type="paragraph" w:customStyle="1" w:styleId="727">
    <w:name w:val="章"/>
    <w:basedOn w:val="1"/>
    <w:qFormat/>
    <w:uiPriority w:val="0"/>
    <w:pPr>
      <w:tabs>
        <w:tab w:val="left" w:pos="0"/>
      </w:tabs>
      <w:jc w:val="center"/>
    </w:pPr>
    <w:rPr>
      <w:sz w:val="28"/>
    </w:rPr>
  </w:style>
  <w:style w:type="paragraph" w:customStyle="1" w:styleId="728">
    <w:name w:val="标题 2 + 两端对齐 段前: 0 磅 段后: 0 磅 行距: 1.5 倍行距"/>
    <w:basedOn w:val="4"/>
    <w:qFormat/>
    <w:uiPriority w:val="0"/>
    <w:pPr>
      <w:keepNext w:val="0"/>
      <w:keepLines w:val="0"/>
      <w:numPr>
        <w:ilvl w:val="0"/>
        <w:numId w:val="6"/>
      </w:numPr>
      <w:tabs>
        <w:tab w:val="left" w:pos="180"/>
        <w:tab w:val="clear" w:pos="2340"/>
      </w:tabs>
      <w:adjustRightInd w:val="0"/>
      <w:spacing w:before="0" w:after="0" w:line="360" w:lineRule="auto"/>
      <w:ind w:left="180"/>
      <w:textAlignment w:val="baseline"/>
    </w:pPr>
    <w:rPr>
      <w:rFonts w:cs="宋体"/>
      <w:b w:val="0"/>
      <w:kern w:val="0"/>
      <w:sz w:val="24"/>
      <w:szCs w:val="24"/>
    </w:rPr>
  </w:style>
  <w:style w:type="paragraph" w:customStyle="1" w:styleId="729">
    <w:name w:val="正文缩进 + Arial 加粗 首行缩进:  0.85 厘米 行距: 1.5 倍行距"/>
    <w:basedOn w:val="21"/>
    <w:qFormat/>
    <w:uiPriority w:val="0"/>
    <w:pPr>
      <w:spacing w:line="360" w:lineRule="auto"/>
      <w:ind w:firstLine="482"/>
    </w:pPr>
    <w:rPr>
      <w:rFonts w:ascii="Arial" w:cs="宋体"/>
      <w:bCs/>
      <w:sz w:val="24"/>
      <w:szCs w:val="20"/>
    </w:rPr>
  </w:style>
  <w:style w:type="paragraph" w:customStyle="1" w:styleId="730">
    <w:name w:val="正文缩进 + Arial 加粗"/>
    <w:basedOn w:val="21"/>
    <w:qFormat/>
    <w:uiPriority w:val="0"/>
    <w:rPr>
      <w:rFonts w:ascii="Arial" w:hAnsi="Arial"/>
      <w:bCs/>
      <w:sz w:val="24"/>
      <w:szCs w:val="20"/>
    </w:rPr>
  </w:style>
  <w:style w:type="paragraph" w:customStyle="1" w:styleId="731">
    <w:name w:val="标题 2 + (中文) 新宋体 非加粗 段前: 0 磅 段后: 0 磅 行距: 1.5 倍行距"/>
    <w:basedOn w:val="4"/>
    <w:qFormat/>
    <w:uiPriority w:val="0"/>
    <w:pPr>
      <w:keepNext w:val="0"/>
      <w:keepLines w:val="0"/>
      <w:tabs>
        <w:tab w:val="left" w:pos="360"/>
      </w:tabs>
      <w:adjustRightInd w:val="0"/>
      <w:spacing w:before="0" w:after="0" w:line="360" w:lineRule="auto"/>
      <w:ind w:left="360"/>
      <w:jc w:val="left"/>
      <w:textAlignment w:val="baseline"/>
    </w:pPr>
    <w:rPr>
      <w:rFonts w:eastAsia="新宋体" w:cs="宋体"/>
      <w:b w:val="0"/>
      <w:bCs w:val="0"/>
      <w:kern w:val="0"/>
      <w:sz w:val="24"/>
      <w:szCs w:val="24"/>
    </w:rPr>
  </w:style>
  <w:style w:type="paragraph" w:customStyle="1" w:styleId="732">
    <w:name w:val="正文缩进 + 居中 首行缩进:  0 厘米"/>
    <w:basedOn w:val="21"/>
    <w:qFormat/>
    <w:uiPriority w:val="0"/>
    <w:pPr>
      <w:spacing w:line="360" w:lineRule="auto"/>
      <w:ind w:firstLine="0"/>
      <w:jc w:val="center"/>
    </w:pPr>
    <w:rPr>
      <w:rFonts w:cs="宋体"/>
      <w:sz w:val="24"/>
      <w:szCs w:val="24"/>
    </w:rPr>
  </w:style>
  <w:style w:type="paragraph" w:customStyle="1" w:styleId="733">
    <w:name w:val="正文缩进 + Arial 首行缩进:  1.28 厘米 行距: 1.5 倍行距"/>
    <w:basedOn w:val="21"/>
    <w:qFormat/>
    <w:uiPriority w:val="0"/>
    <w:pPr>
      <w:numPr>
        <w:ilvl w:val="0"/>
        <w:numId w:val="7"/>
      </w:numPr>
      <w:spacing w:line="360" w:lineRule="auto"/>
      <w:ind w:firstLine="726"/>
    </w:pPr>
    <w:rPr>
      <w:rFonts w:ascii="Arial" w:hAnsi="Arial" w:cs="宋体"/>
      <w:sz w:val="24"/>
      <w:szCs w:val="24"/>
    </w:rPr>
  </w:style>
  <w:style w:type="paragraph" w:customStyle="1" w:styleId="734">
    <w:name w:val="册"/>
    <w:basedOn w:val="1"/>
    <w:qFormat/>
    <w:uiPriority w:val="0"/>
    <w:pPr>
      <w:numPr>
        <w:ilvl w:val="0"/>
        <w:numId w:val="8"/>
      </w:numPr>
      <w:tabs>
        <w:tab w:val="clear" w:pos="0"/>
      </w:tabs>
      <w:adjustRightInd w:val="0"/>
      <w:snapToGrid w:val="0"/>
      <w:spacing w:line="360" w:lineRule="auto"/>
      <w:jc w:val="center"/>
    </w:pPr>
    <w:rPr>
      <w:rFonts w:ascii="Century Gothic" w:hAnsi="Century Gothic" w:eastAsia="黑体" w:cs="Arial"/>
      <w:snapToGrid w:val="0"/>
      <w:color w:val="333399"/>
      <w:kern w:val="0"/>
      <w:sz w:val="32"/>
      <w:szCs w:val="32"/>
    </w:rPr>
  </w:style>
  <w:style w:type="paragraph" w:customStyle="1" w:styleId="735">
    <w:name w:val="标准_项"/>
    <w:basedOn w:val="1"/>
    <w:qFormat/>
    <w:uiPriority w:val="0"/>
    <w:pPr>
      <w:adjustRightInd w:val="0"/>
      <w:snapToGrid w:val="0"/>
      <w:spacing w:before="156" w:beforeLines="50"/>
    </w:pPr>
    <w:rPr>
      <w:rFonts w:ascii="宋体" w:hAnsi="宋体"/>
      <w:sz w:val="24"/>
      <w:szCs w:val="20"/>
    </w:rPr>
  </w:style>
  <w:style w:type="paragraph" w:customStyle="1" w:styleId="736">
    <w:name w:val="(1)"/>
    <w:basedOn w:val="1"/>
    <w:qFormat/>
    <w:uiPriority w:val="0"/>
    <w:pPr>
      <w:adjustRightInd w:val="0"/>
      <w:snapToGrid w:val="0"/>
      <w:spacing w:line="360" w:lineRule="auto"/>
      <w:ind w:left="1134" w:hanging="567"/>
    </w:pPr>
    <w:rPr>
      <w:rFonts w:ascii="Arial" w:hAnsi="Arial"/>
      <w:sz w:val="24"/>
    </w:rPr>
  </w:style>
  <w:style w:type="paragraph" w:customStyle="1" w:styleId="737">
    <w:name w:val="Czy正文"/>
    <w:basedOn w:val="1"/>
    <w:qFormat/>
    <w:uiPriority w:val="0"/>
    <w:pPr>
      <w:spacing w:line="360" w:lineRule="auto"/>
      <w:ind w:firstLine="200" w:firstLineChars="200"/>
      <w:textAlignment w:val="baseline"/>
    </w:pPr>
    <w:rPr>
      <w:kern w:val="20"/>
      <w:sz w:val="24"/>
    </w:rPr>
  </w:style>
  <w:style w:type="paragraph" w:customStyle="1" w:styleId="738">
    <w:name w:val="13"/>
    <w:basedOn w:val="1"/>
    <w:next w:val="70"/>
    <w:qFormat/>
    <w:uiPriority w:val="0"/>
    <w:pPr>
      <w:adjustRightInd w:val="0"/>
      <w:snapToGrid w:val="0"/>
      <w:spacing w:line="500" w:lineRule="atLeast"/>
      <w:ind w:firstLine="567"/>
    </w:pPr>
    <w:rPr>
      <w:snapToGrid w:val="0"/>
      <w:color w:val="000000"/>
      <w:kern w:val="0"/>
      <w:sz w:val="28"/>
    </w:rPr>
  </w:style>
  <w:style w:type="paragraph" w:customStyle="1" w:styleId="739">
    <w:name w:val="正文改"/>
    <w:basedOn w:val="1"/>
    <w:qFormat/>
    <w:uiPriority w:val="0"/>
    <w:pPr>
      <w:spacing w:line="360" w:lineRule="auto"/>
      <w:ind w:firstLine="200" w:firstLineChars="200"/>
    </w:pPr>
    <w:rPr>
      <w:rFonts w:ascii="宋体" w:hAnsi="宋体" w:cs="宋体"/>
      <w:sz w:val="24"/>
    </w:rPr>
  </w:style>
  <w:style w:type="paragraph" w:customStyle="1" w:styleId="740">
    <w:name w:val="标书正文"/>
    <w:qFormat/>
    <w:uiPriority w:val="0"/>
    <w:pPr>
      <w:widowControl w:val="0"/>
      <w:overflowPunct w:val="0"/>
      <w:autoSpaceDE w:val="0"/>
      <w:autoSpaceDN w:val="0"/>
      <w:adjustRightInd w:val="0"/>
      <w:snapToGrid w:val="0"/>
      <w:spacing w:line="360" w:lineRule="auto"/>
      <w:ind w:firstLine="200" w:firstLineChars="200"/>
      <w:jc w:val="both"/>
    </w:pPr>
    <w:rPr>
      <w:rFonts w:ascii="仿宋_GB2312" w:hAnsi="Calibri" w:eastAsia="Times New Roman" w:cs="Times New Roman"/>
      <w:snapToGrid w:val="0"/>
      <w:sz w:val="24"/>
      <w:szCs w:val="22"/>
      <w:lang w:val="en-US" w:eastAsia="zh-CN" w:bidi="ar-SA"/>
    </w:rPr>
  </w:style>
  <w:style w:type="paragraph" w:customStyle="1" w:styleId="741">
    <w:name w:val="正文文本1"/>
    <w:basedOn w:val="1"/>
    <w:qFormat/>
    <w:uiPriority w:val="0"/>
    <w:pPr>
      <w:autoSpaceDE w:val="0"/>
      <w:autoSpaceDN w:val="0"/>
      <w:jc w:val="left"/>
    </w:pPr>
    <w:rPr>
      <w:kern w:val="0"/>
      <w:sz w:val="24"/>
      <w:szCs w:val="20"/>
      <w:lang w:eastAsia="en-US"/>
    </w:rPr>
  </w:style>
  <w:style w:type="character" w:customStyle="1" w:styleId="742">
    <w:name w:val="Char Char1"/>
    <w:qFormat/>
    <w:uiPriority w:val="0"/>
    <w:rPr>
      <w:rFonts w:eastAsia="黑体"/>
      <w:kern w:val="44"/>
      <w:sz w:val="32"/>
      <w:lang w:val="en-US" w:eastAsia="zh-CN" w:bidi="ar-SA"/>
    </w:rPr>
  </w:style>
  <w:style w:type="character" w:customStyle="1" w:styleId="743">
    <w:name w:val="Char Char71"/>
    <w:qFormat/>
    <w:uiPriority w:val="0"/>
    <w:rPr>
      <w:rFonts w:eastAsia="楷体_GB2312"/>
      <w:sz w:val="24"/>
    </w:rPr>
  </w:style>
  <w:style w:type="character" w:customStyle="1" w:styleId="744">
    <w:name w:val="Char Char231"/>
    <w:qFormat/>
    <w:uiPriority w:val="0"/>
    <w:rPr>
      <w:rFonts w:ascii="楷体_GB2312" w:eastAsia="楷体_GB2312"/>
      <w:b/>
      <w:sz w:val="24"/>
    </w:rPr>
  </w:style>
  <w:style w:type="character" w:customStyle="1" w:styleId="745">
    <w:name w:val="正文1 Char"/>
    <w:link w:val="331"/>
    <w:qFormat/>
    <w:uiPriority w:val="0"/>
    <w:rPr>
      <w:rFonts w:ascii="宋体" w:hAnsi="Times New Roman" w:eastAsia="宋体" w:cs="Times New Roman"/>
      <w:kern w:val="0"/>
      <w:sz w:val="36"/>
      <w:szCs w:val="20"/>
    </w:rPr>
  </w:style>
  <w:style w:type="character" w:customStyle="1" w:styleId="746">
    <w:name w:val="Char Char91"/>
    <w:qFormat/>
    <w:uiPriority w:val="0"/>
    <w:rPr>
      <w:rFonts w:eastAsia="宋体"/>
      <w:color w:val="000000"/>
      <w:spacing w:val="6"/>
      <w:sz w:val="24"/>
      <w:szCs w:val="24"/>
      <w:lang w:val="en-US" w:eastAsia="zh-CN" w:bidi="ar-SA"/>
    </w:rPr>
  </w:style>
  <w:style w:type="character" w:customStyle="1" w:styleId="747">
    <w:name w:val="YB正文小四宋体 Char"/>
    <w:link w:val="176"/>
    <w:qFormat/>
    <w:uiPriority w:val="0"/>
    <w:rPr>
      <w:rFonts w:ascii="Times New Roman" w:hAnsi="Times New Roman" w:eastAsia="宋体" w:cs="Times New Roman"/>
      <w:kern w:val="0"/>
      <w:sz w:val="24"/>
      <w:szCs w:val="20"/>
    </w:rPr>
  </w:style>
  <w:style w:type="character" w:customStyle="1" w:styleId="748">
    <w:name w:val="标题 3 字符"/>
    <w:qFormat/>
    <w:uiPriority w:val="9"/>
    <w:rPr>
      <w:b/>
      <w:bCs/>
      <w:sz w:val="28"/>
      <w:szCs w:val="28"/>
    </w:rPr>
  </w:style>
  <w:style w:type="character" w:customStyle="1" w:styleId="749">
    <w:name w:val="标题 3 Char Char Char Char1"/>
    <w:qFormat/>
    <w:uiPriority w:val="0"/>
    <w:rPr>
      <w:rFonts w:ascii="Times New Roman" w:hAnsi="Times New Roman" w:eastAsia="宋体" w:cs="Times New Roman"/>
      <w:b/>
      <w:kern w:val="0"/>
      <w:position w:val="16"/>
      <w:sz w:val="24"/>
      <w:szCs w:val="20"/>
    </w:rPr>
  </w:style>
  <w:style w:type="character" w:customStyle="1" w:styleId="750">
    <w:name w:val="标题 4 Char Char Char"/>
    <w:qFormat/>
    <w:uiPriority w:val="0"/>
    <w:rPr>
      <w:rFonts w:ascii="Arial" w:hAnsi="Arial" w:eastAsia="宋体"/>
      <w:b/>
      <w:kern w:val="2"/>
      <w:sz w:val="24"/>
      <w:szCs w:val="24"/>
      <w:lang w:val="en-US" w:eastAsia="zh-CN" w:bidi="ar-SA"/>
    </w:rPr>
  </w:style>
  <w:style w:type="character" w:customStyle="1" w:styleId="751">
    <w:name w:val="列表段落 字符"/>
    <w:link w:val="416"/>
    <w:qFormat/>
    <w:uiPriority w:val="34"/>
    <w:rPr>
      <w:rFonts w:ascii="Calibri" w:hAnsi="Calibri" w:eastAsia="宋体" w:cs="Times New Roman"/>
      <w:sz w:val="24"/>
    </w:rPr>
  </w:style>
  <w:style w:type="character" w:customStyle="1" w:styleId="752">
    <w:name w:val="标题yjm1 Char Char1"/>
    <w:qFormat/>
    <w:uiPriority w:val="0"/>
    <w:rPr>
      <w:rFonts w:eastAsia="宋体"/>
      <w:b/>
      <w:kern w:val="44"/>
      <w:sz w:val="30"/>
      <w:lang w:val="en-US" w:eastAsia="zh-CN" w:bidi="ar-SA"/>
    </w:rPr>
  </w:style>
  <w:style w:type="character" w:customStyle="1" w:styleId="753">
    <w:name w:val="样式 样式 标题 5 + 黑色 + Times New Roman Char"/>
    <w:link w:val="469"/>
    <w:qFormat/>
    <w:uiPriority w:val="0"/>
    <w:rPr>
      <w:rFonts w:ascii="Times New Roman" w:hAnsi="Times New Roman" w:eastAsia="宋体" w:cs="Times New Roman"/>
      <w:color w:val="000000"/>
      <w:kern w:val="0"/>
      <w:sz w:val="24"/>
      <w:szCs w:val="24"/>
    </w:rPr>
  </w:style>
  <w:style w:type="character" w:customStyle="1" w:styleId="754">
    <w:name w:val="标题yjm1 Char Char"/>
    <w:qFormat/>
    <w:uiPriority w:val="0"/>
    <w:rPr>
      <w:rFonts w:eastAsia="宋体"/>
      <w:b/>
      <w:kern w:val="44"/>
      <w:sz w:val="30"/>
      <w:lang w:val="en-US" w:eastAsia="zh-CN" w:bidi="ar-SA"/>
    </w:rPr>
  </w:style>
  <w:style w:type="character" w:customStyle="1" w:styleId="755">
    <w:name w:val="正文文本缩进 3 Char2"/>
    <w:qFormat/>
    <w:uiPriority w:val="0"/>
    <w:rPr>
      <w:kern w:val="2"/>
      <w:sz w:val="16"/>
      <w:szCs w:val="16"/>
    </w:rPr>
  </w:style>
  <w:style w:type="character" w:customStyle="1" w:styleId="756">
    <w:name w:val="flname7"/>
    <w:qFormat/>
    <w:uiPriority w:val="0"/>
  </w:style>
  <w:style w:type="character" w:customStyle="1" w:styleId="757">
    <w:name w:val="style3"/>
    <w:qFormat/>
    <w:uiPriority w:val="0"/>
    <w:rPr>
      <w:rFonts w:eastAsia="宋体"/>
      <w:kern w:val="2"/>
      <w:sz w:val="24"/>
      <w:szCs w:val="24"/>
      <w:lang w:val="en-US" w:eastAsia="zh-CN" w:bidi="ar-SA"/>
    </w:rPr>
  </w:style>
  <w:style w:type="character" w:customStyle="1" w:styleId="758">
    <w:name w:val="textcontents"/>
    <w:qFormat/>
    <w:uiPriority w:val="0"/>
  </w:style>
  <w:style w:type="character" w:customStyle="1" w:styleId="759">
    <w:name w:val="表格样式 Char"/>
    <w:link w:val="411"/>
    <w:qFormat/>
    <w:uiPriority w:val="0"/>
    <w:rPr>
      <w:rFonts w:ascii="Times New Roman" w:hAnsi="Times New Roman" w:eastAsia="Times New Roman" w:cs="Times New Roman"/>
      <w:kern w:val="0"/>
      <w:sz w:val="18"/>
      <w:szCs w:val="18"/>
    </w:rPr>
  </w:style>
  <w:style w:type="character" w:customStyle="1" w:styleId="760">
    <w:name w:val="纯文本 Char1"/>
    <w:qFormat/>
    <w:uiPriority w:val="0"/>
    <w:rPr>
      <w:rFonts w:ascii="宋体" w:hAnsi="Courier New" w:cs="Courier New"/>
      <w:kern w:val="2"/>
      <w:sz w:val="21"/>
      <w:szCs w:val="21"/>
    </w:rPr>
  </w:style>
  <w:style w:type="character" w:customStyle="1" w:styleId="761">
    <w:name w:val="正文缩进 Char Char Char"/>
    <w:qFormat/>
    <w:locked/>
    <w:uiPriority w:val="0"/>
    <w:rPr>
      <w:rFonts w:eastAsia="宋体"/>
      <w:sz w:val="24"/>
      <w:lang w:val="en-US" w:eastAsia="zh-CN" w:bidi="ar-SA"/>
    </w:rPr>
  </w:style>
  <w:style w:type="character" w:customStyle="1" w:styleId="762">
    <w:name w:val="正文首行缩进 Char1"/>
    <w:basedOn w:val="128"/>
    <w:qFormat/>
    <w:uiPriority w:val="0"/>
    <w:rPr>
      <w:rFonts w:ascii="Times New Roman" w:hAnsi="Times New Roman" w:eastAsia="宋体" w:cs="Times New Roman"/>
      <w:kern w:val="2"/>
      <w:sz w:val="21"/>
      <w:szCs w:val="24"/>
    </w:rPr>
  </w:style>
  <w:style w:type="character" w:customStyle="1" w:styleId="763">
    <w:name w:val="注释标题 Char1"/>
    <w:qFormat/>
    <w:uiPriority w:val="0"/>
    <w:rPr>
      <w:kern w:val="2"/>
      <w:sz w:val="21"/>
      <w:szCs w:val="24"/>
    </w:rPr>
  </w:style>
  <w:style w:type="character" w:customStyle="1" w:styleId="764">
    <w:name w:val="文档结构图 Char1"/>
    <w:qFormat/>
    <w:uiPriority w:val="0"/>
    <w:rPr>
      <w:rFonts w:ascii="宋体"/>
      <w:kern w:val="2"/>
      <w:sz w:val="18"/>
      <w:szCs w:val="18"/>
    </w:rPr>
  </w:style>
  <w:style w:type="character" w:customStyle="1" w:styleId="765">
    <w:name w:val="段 Char"/>
    <w:link w:val="347"/>
    <w:qFormat/>
    <w:uiPriority w:val="0"/>
    <w:rPr>
      <w:rFonts w:ascii="宋体" w:hAnsi="Times New Roman" w:eastAsia="宋体" w:cs="Times New Roman"/>
      <w:kern w:val="0"/>
      <w:szCs w:val="20"/>
    </w:rPr>
  </w:style>
  <w:style w:type="character" w:customStyle="1" w:styleId="766">
    <w:name w:val="电子邮件签名 Char1"/>
    <w:qFormat/>
    <w:uiPriority w:val="0"/>
    <w:rPr>
      <w:kern w:val="2"/>
      <w:sz w:val="24"/>
      <w:szCs w:val="24"/>
    </w:rPr>
  </w:style>
  <w:style w:type="character" w:customStyle="1" w:styleId="767">
    <w:name w:val="标题 3 Char1"/>
    <w:qFormat/>
    <w:uiPriority w:val="0"/>
    <w:rPr>
      <w:rFonts w:ascii="Times New Roman" w:hAnsi="Times New Roman" w:eastAsia="黑体" w:cs="Times New Roman"/>
      <w:bCs/>
      <w:sz w:val="24"/>
      <w:szCs w:val="32"/>
    </w:rPr>
  </w:style>
  <w:style w:type="character" w:customStyle="1" w:styleId="768">
    <w:name w:val="紧凑表格表名 Char"/>
    <w:link w:val="467"/>
    <w:qFormat/>
    <w:uiPriority w:val="0"/>
    <w:rPr>
      <w:rFonts w:ascii="宋体" w:hAnsi="宋体" w:eastAsia="宋体" w:cs="Times New Roman"/>
      <w:kern w:val="0"/>
      <w:sz w:val="24"/>
      <w:szCs w:val="24"/>
    </w:rPr>
  </w:style>
  <w:style w:type="character" w:customStyle="1" w:styleId="769">
    <w:name w:val="d11"/>
    <w:qFormat/>
    <w:uiPriority w:val="0"/>
    <w:rPr>
      <w:spacing w:val="300"/>
      <w:sz w:val="18"/>
      <w:szCs w:val="18"/>
    </w:rPr>
  </w:style>
  <w:style w:type="character" w:customStyle="1" w:styleId="770">
    <w:name w:val="紧凑表格文字 Char"/>
    <w:link w:val="443"/>
    <w:qFormat/>
    <w:uiPriority w:val="0"/>
    <w:rPr>
      <w:rFonts w:ascii="Times New Roman" w:hAnsi="Times New Roman" w:eastAsia="宋体" w:cs="Times New Roman"/>
      <w:kern w:val="0"/>
      <w:sz w:val="20"/>
      <w:szCs w:val="21"/>
    </w:rPr>
  </w:style>
  <w:style w:type="character" w:customStyle="1" w:styleId="771">
    <w:name w:val="样式 正文缩进 + 宋体 Char Char"/>
    <w:qFormat/>
    <w:uiPriority w:val="0"/>
    <w:rPr>
      <w:rFonts w:ascii="宋体" w:hAnsi="宋体" w:eastAsia="宋体"/>
      <w:snapToGrid/>
      <w:kern w:val="2"/>
      <w:sz w:val="24"/>
      <w:szCs w:val="24"/>
      <w:lang w:val="en-US" w:eastAsia="zh-CN" w:bidi="ar-SA"/>
    </w:rPr>
  </w:style>
  <w:style w:type="character" w:customStyle="1" w:styleId="772">
    <w:name w:val="标题 5 Char Char"/>
    <w:qFormat/>
    <w:uiPriority w:val="0"/>
    <w:rPr>
      <w:rFonts w:ascii="宋体" w:hAnsi="宋体" w:eastAsia="宋体"/>
      <w:iCs/>
      <w:sz w:val="24"/>
      <w:szCs w:val="24"/>
      <w:lang w:val="en-US" w:eastAsia="zh-CN" w:bidi="ar-SA"/>
    </w:rPr>
  </w:style>
  <w:style w:type="character" w:customStyle="1" w:styleId="773">
    <w:name w:val="email"/>
    <w:qFormat/>
    <w:uiPriority w:val="0"/>
  </w:style>
  <w:style w:type="character" w:customStyle="1" w:styleId="774">
    <w:name w:val="Char Char41"/>
    <w:qFormat/>
    <w:uiPriority w:val="0"/>
    <w:rPr>
      <w:rFonts w:eastAsia="黑体"/>
      <w:kern w:val="44"/>
      <w:sz w:val="32"/>
      <w:lang w:val="en-US" w:eastAsia="zh-CN" w:bidi="ar-SA"/>
    </w:rPr>
  </w:style>
  <w:style w:type="character" w:customStyle="1" w:styleId="775">
    <w:name w:val="样式 正文缩进 + 宋体 小四 加粗 黑色 Char Char Char"/>
    <w:link w:val="313"/>
    <w:qFormat/>
    <w:uiPriority w:val="0"/>
    <w:rPr>
      <w:rFonts w:ascii="宋体" w:hAnsi="宋体" w:eastAsia="宋体" w:cs="Times New Roman"/>
      <w:b/>
      <w:bCs/>
      <w:color w:val="000000"/>
      <w:kern w:val="0"/>
      <w:sz w:val="24"/>
      <w:szCs w:val="24"/>
    </w:rPr>
  </w:style>
  <w:style w:type="character" w:customStyle="1" w:styleId="776">
    <w:name w:val="B正文小四宋体 Char"/>
    <w:link w:val="234"/>
    <w:qFormat/>
    <w:uiPriority w:val="0"/>
    <w:rPr>
      <w:rFonts w:ascii="Times New Roman" w:hAnsi="Times New Roman" w:eastAsia="宋体" w:cs="Times New Roman"/>
      <w:color w:val="000000"/>
      <w:kern w:val="0"/>
      <w:sz w:val="24"/>
      <w:szCs w:val="24"/>
    </w:rPr>
  </w:style>
  <w:style w:type="character" w:customStyle="1" w:styleId="777">
    <w:name w:val="样式14 Char"/>
    <w:link w:val="607"/>
    <w:qFormat/>
    <w:uiPriority w:val="0"/>
    <w:rPr>
      <w:rFonts w:ascii="Times New Roman" w:hAnsi="Times New Roman" w:eastAsia="宋体" w:cs="Times New Roman"/>
      <w:sz w:val="24"/>
      <w:szCs w:val="24"/>
    </w:rPr>
  </w:style>
  <w:style w:type="character" w:customStyle="1" w:styleId="778">
    <w:name w:val="表头 Char"/>
    <w:link w:val="380"/>
    <w:qFormat/>
    <w:uiPriority w:val="0"/>
    <w:rPr>
      <w:rFonts w:ascii="Times New Roman" w:hAnsi="Times New Roman" w:eastAsia="宋体" w:cs="Times New Roman"/>
      <w:b/>
      <w:kern w:val="0"/>
      <w:sz w:val="20"/>
      <w:szCs w:val="24"/>
    </w:rPr>
  </w:style>
  <w:style w:type="character" w:customStyle="1" w:styleId="779">
    <w:name w:val="unnamed11"/>
    <w:qFormat/>
    <w:uiPriority w:val="0"/>
    <w:rPr>
      <w:rFonts w:eastAsia="宋体"/>
      <w:spacing w:val="454"/>
      <w:kern w:val="2"/>
      <w:sz w:val="24"/>
      <w:szCs w:val="24"/>
      <w:lang w:val="en-US" w:eastAsia="zh-CN" w:bidi="ar-SA"/>
    </w:rPr>
  </w:style>
  <w:style w:type="character" w:customStyle="1" w:styleId="780">
    <w:name w:val="批注框文本 字符"/>
    <w:semiHidden/>
    <w:qFormat/>
    <w:uiPriority w:val="99"/>
    <w:rPr>
      <w:sz w:val="18"/>
      <w:szCs w:val="18"/>
    </w:rPr>
  </w:style>
  <w:style w:type="character" w:customStyle="1" w:styleId="781">
    <w:name w:val="样式 标2 + Times New Roman Char"/>
    <w:link w:val="306"/>
    <w:qFormat/>
    <w:uiPriority w:val="0"/>
    <w:rPr>
      <w:rFonts w:ascii="黑体" w:hAnsi="黑体" w:eastAsia="黑体" w:cs="Times New Roman"/>
      <w:bCs/>
      <w:kern w:val="44"/>
      <w:sz w:val="32"/>
      <w:szCs w:val="44"/>
    </w:rPr>
  </w:style>
  <w:style w:type="character" w:customStyle="1" w:styleId="782">
    <w:name w:val="无间隔 字符"/>
    <w:link w:val="341"/>
    <w:qFormat/>
    <w:uiPriority w:val="1"/>
    <w:rPr>
      <w:rFonts w:ascii="Times New Roman" w:hAnsi="Times New Roman" w:eastAsia="宋体" w:cs="Times New Roman"/>
      <w:kern w:val="0"/>
      <w:sz w:val="24"/>
      <w:szCs w:val="20"/>
      <w:lang w:val="en-GB"/>
    </w:rPr>
  </w:style>
  <w:style w:type="character" w:customStyle="1" w:styleId="783">
    <w:name w:val="fontstyle01"/>
    <w:qFormat/>
    <w:uiPriority w:val="0"/>
    <w:rPr>
      <w:rFonts w:hint="eastAsia" w:ascii="宋体" w:hAnsi="宋体" w:eastAsia="宋体"/>
      <w:color w:val="000000"/>
      <w:sz w:val="32"/>
      <w:szCs w:val="32"/>
    </w:rPr>
  </w:style>
  <w:style w:type="character" w:customStyle="1" w:styleId="784">
    <w:name w:val="报告 5 Char"/>
    <w:link w:val="628"/>
    <w:qFormat/>
    <w:uiPriority w:val="0"/>
    <w:rPr>
      <w:rFonts w:ascii="Times New Roman" w:hAnsi="Times New Roman" w:eastAsia="宋体" w:cs="Times New Roman"/>
      <w:sz w:val="24"/>
      <w:szCs w:val="24"/>
    </w:rPr>
  </w:style>
  <w:style w:type="character" w:customStyle="1" w:styleId="785">
    <w:name w:val="样式 黑色"/>
    <w:qFormat/>
    <w:uiPriority w:val="0"/>
    <w:rPr>
      <w:rFonts w:eastAsia="宋体"/>
      <w:color w:val="000000"/>
      <w:sz w:val="24"/>
    </w:rPr>
  </w:style>
  <w:style w:type="character" w:customStyle="1" w:styleId="786">
    <w:name w:val="正文（首行缩进两字） Char1"/>
    <w:qFormat/>
    <w:uiPriority w:val="99"/>
    <w:rPr>
      <w:rFonts w:eastAsia="宋体"/>
      <w:kern w:val="2"/>
      <w:sz w:val="24"/>
      <w:szCs w:val="24"/>
      <w:lang w:val="en-US" w:eastAsia="zh-CN" w:bidi="ar-SA"/>
    </w:rPr>
  </w:style>
  <w:style w:type="character" w:customStyle="1" w:styleId="787">
    <w:name w:val="标题 2 Char2"/>
    <w:qFormat/>
    <w:uiPriority w:val="9"/>
    <w:rPr>
      <w:rFonts w:eastAsia="黑体"/>
      <w:sz w:val="28"/>
      <w:lang w:val="en-US" w:eastAsia="zh-CN" w:bidi="ar-SA"/>
    </w:rPr>
  </w:style>
  <w:style w:type="character" w:customStyle="1" w:styleId="788">
    <w:name w:val="样式 正文缩进正文（首行缩进两字） + 黑色 Char"/>
    <w:link w:val="439"/>
    <w:qFormat/>
    <w:uiPriority w:val="0"/>
    <w:rPr>
      <w:rFonts w:ascii="Times New Roman" w:hAnsi="Times New Roman" w:eastAsia="宋体" w:cs="Times New Roman"/>
      <w:color w:val="000000"/>
      <w:kern w:val="0"/>
      <w:sz w:val="24"/>
      <w:szCs w:val="20"/>
    </w:rPr>
  </w:style>
  <w:style w:type="character" w:customStyle="1" w:styleId="789">
    <w:name w:val="author-p-144115212715071526"/>
    <w:qFormat/>
    <w:uiPriority w:val="0"/>
  </w:style>
  <w:style w:type="character" w:customStyle="1" w:styleId="790">
    <w:name w:val="fontstyle31"/>
    <w:qFormat/>
    <w:uiPriority w:val="0"/>
    <w:rPr>
      <w:rFonts w:hint="default" w:ascii="TimesNewRoman" w:hAnsi="TimesNewRoman"/>
      <w:color w:val="000000"/>
      <w:sz w:val="32"/>
      <w:szCs w:val="32"/>
    </w:rPr>
  </w:style>
  <w:style w:type="character" w:customStyle="1" w:styleId="791">
    <w:name w:val="样式 样式 样式 (中文) 宋体 行距: 最小值 20 磅 + 华文仿宋 小三 + Times New Roman Char"/>
    <w:qFormat/>
    <w:uiPriority w:val="0"/>
    <w:rPr>
      <w:rFonts w:ascii="华文仿宋" w:hAnsi="华文仿宋" w:eastAsia="华文仿宋" w:cs="宋体"/>
      <w:kern w:val="2"/>
      <w:sz w:val="30"/>
      <w:lang w:val="en-US" w:eastAsia="zh-CN" w:bidi="ar-SA"/>
    </w:rPr>
  </w:style>
  <w:style w:type="character" w:customStyle="1" w:styleId="792">
    <w:name w:val="信息标题 Char1"/>
    <w:qFormat/>
    <w:uiPriority w:val="0"/>
    <w:rPr>
      <w:rFonts w:ascii="Cambria" w:hAnsi="Cambria" w:eastAsia="宋体" w:cs="Times New Roman"/>
      <w:kern w:val="2"/>
      <w:sz w:val="24"/>
      <w:szCs w:val="24"/>
      <w:shd w:val="pct20" w:color="auto" w:fill="auto"/>
    </w:rPr>
  </w:style>
  <w:style w:type="character" w:customStyle="1" w:styleId="793">
    <w:name w:val="Char Char7"/>
    <w:qFormat/>
    <w:uiPriority w:val="0"/>
    <w:rPr>
      <w:rFonts w:eastAsia="楷体_GB2312"/>
      <w:sz w:val="24"/>
    </w:rPr>
  </w:style>
  <w:style w:type="character" w:customStyle="1" w:styleId="794">
    <w:name w:val="Char Char23"/>
    <w:qFormat/>
    <w:uiPriority w:val="0"/>
    <w:rPr>
      <w:rFonts w:ascii="楷体_GB2312" w:eastAsia="楷体_GB2312"/>
      <w:b/>
      <w:sz w:val="24"/>
    </w:rPr>
  </w:style>
  <w:style w:type="character" w:customStyle="1" w:styleId="795">
    <w:name w:val="apple-style-span"/>
    <w:qFormat/>
    <w:uiPriority w:val="0"/>
  </w:style>
  <w:style w:type="character" w:customStyle="1" w:styleId="796">
    <w:name w:val="Title3 Char Char2"/>
    <w:qFormat/>
    <w:uiPriority w:val="0"/>
    <w:rPr>
      <w:rFonts w:eastAsia="黑体"/>
      <w:sz w:val="28"/>
      <w:lang w:val="en-US" w:eastAsia="zh-CN" w:bidi="ar-SA"/>
    </w:rPr>
  </w:style>
  <w:style w:type="character" w:customStyle="1" w:styleId="797">
    <w:name w:val="Char Char2"/>
    <w:qFormat/>
    <w:uiPriority w:val="0"/>
    <w:rPr>
      <w:rFonts w:ascii="宋体" w:hAnsi="宋体" w:eastAsia="宋体"/>
      <w:bCs/>
      <w:sz w:val="24"/>
      <w:szCs w:val="28"/>
      <w:lang w:val="en-US" w:eastAsia="zh-CN" w:bidi="ar-SA"/>
    </w:rPr>
  </w:style>
  <w:style w:type="character" w:customStyle="1" w:styleId="798">
    <w:name w:val="A正文 Char"/>
    <w:link w:val="568"/>
    <w:qFormat/>
    <w:uiPriority w:val="0"/>
    <w:rPr>
      <w:rFonts w:ascii="Times New Roman" w:hAnsi="Times New Roman" w:eastAsia="仿宋_GB2312" w:cs="Times New Roman"/>
      <w:sz w:val="24"/>
      <w:szCs w:val="24"/>
    </w:rPr>
  </w:style>
  <w:style w:type="character" w:customStyle="1" w:styleId="799">
    <w:name w:val="Char Char11"/>
    <w:qFormat/>
    <w:locked/>
    <w:uiPriority w:val="0"/>
    <w:rPr>
      <w:rFonts w:ascii="宋体" w:hAnsi="宋体" w:eastAsia="宋体"/>
      <w:sz w:val="18"/>
      <w:lang w:val="en-US" w:eastAsia="zh-CN" w:bidi="ar-SA"/>
    </w:rPr>
  </w:style>
  <w:style w:type="character" w:customStyle="1" w:styleId="800">
    <w:name w:val="报告条标题 Char"/>
    <w:link w:val="447"/>
    <w:qFormat/>
    <w:uiPriority w:val="0"/>
    <w:rPr>
      <w:rFonts w:ascii="黑体" w:hAnsi="Times New Roman" w:eastAsia="黑体" w:cs="Times New Roman"/>
      <w:kern w:val="0"/>
      <w:sz w:val="24"/>
      <w:szCs w:val="20"/>
    </w:rPr>
  </w:style>
  <w:style w:type="character" w:customStyle="1" w:styleId="801">
    <w:name w:val="HTML 地址 Char1"/>
    <w:qFormat/>
    <w:uiPriority w:val="0"/>
    <w:rPr>
      <w:i/>
      <w:iCs/>
      <w:kern w:val="2"/>
      <w:sz w:val="24"/>
      <w:szCs w:val="24"/>
    </w:rPr>
  </w:style>
  <w:style w:type="character" w:customStyle="1" w:styleId="802">
    <w:name w:val="标题 2 Char1"/>
    <w:qFormat/>
    <w:uiPriority w:val="0"/>
    <w:rPr>
      <w:rFonts w:ascii="Arial" w:hAnsi="Arial" w:eastAsia="黑体" w:cs="Times New Roman"/>
      <w:bCs/>
      <w:sz w:val="24"/>
      <w:szCs w:val="32"/>
    </w:rPr>
  </w:style>
  <w:style w:type="character" w:customStyle="1" w:styleId="803">
    <w:name w:val="正文文本缩进 Char2"/>
    <w:qFormat/>
    <w:uiPriority w:val="0"/>
    <w:rPr>
      <w:kern w:val="2"/>
      <w:sz w:val="21"/>
      <w:szCs w:val="24"/>
    </w:rPr>
  </w:style>
  <w:style w:type="character" w:customStyle="1" w:styleId="804">
    <w:name w:val="style41"/>
    <w:qFormat/>
    <w:uiPriority w:val="0"/>
    <w:rPr>
      <w:sz w:val="20"/>
    </w:rPr>
  </w:style>
  <w:style w:type="character" w:customStyle="1" w:styleId="805">
    <w:name w:val="标准正文 Char"/>
    <w:qFormat/>
    <w:uiPriority w:val="0"/>
    <w:rPr>
      <w:rFonts w:cs="宋体"/>
      <w:kern w:val="2"/>
      <w:sz w:val="24"/>
    </w:rPr>
  </w:style>
  <w:style w:type="character" w:customStyle="1" w:styleId="806">
    <w:name w:val="rsdesckey1"/>
    <w:qFormat/>
    <w:uiPriority w:val="0"/>
  </w:style>
  <w:style w:type="character" w:customStyle="1" w:styleId="807">
    <w:name w:val="样式2 Char"/>
    <w:link w:val="207"/>
    <w:qFormat/>
    <w:uiPriority w:val="0"/>
    <w:rPr>
      <w:rFonts w:ascii="Times New Roman" w:hAnsi="Times New Roman" w:eastAsia="宋体" w:cs="Times New Roman"/>
      <w:sz w:val="24"/>
      <w:szCs w:val="20"/>
    </w:rPr>
  </w:style>
  <w:style w:type="character" w:customStyle="1" w:styleId="808">
    <w:name w:val="Char Char"/>
    <w:qFormat/>
    <w:uiPriority w:val="0"/>
    <w:rPr>
      <w:rFonts w:ascii="宋体" w:hAnsi="宋体" w:eastAsia="宋体"/>
      <w:bCs/>
      <w:sz w:val="24"/>
      <w:szCs w:val="28"/>
      <w:lang w:val="en-US" w:eastAsia="zh-CN" w:bidi="ar-SA"/>
    </w:rPr>
  </w:style>
  <w:style w:type="character" w:customStyle="1" w:styleId="809">
    <w:name w:val="样式 标题 4 + Times New Roman Char"/>
    <w:link w:val="477"/>
    <w:qFormat/>
    <w:uiPriority w:val="0"/>
    <w:rPr>
      <w:rFonts w:ascii="Times New Roman" w:hAnsi="Times New Roman" w:eastAsia="楷体_GB2312" w:cs="Times New Roman"/>
      <w:kern w:val="0"/>
      <w:sz w:val="24"/>
      <w:szCs w:val="20"/>
    </w:rPr>
  </w:style>
  <w:style w:type="character" w:customStyle="1" w:styleId="810">
    <w:name w:val="样式 正文缩进正文（首行缩进两字） + 黑色 Char Char"/>
    <w:qFormat/>
    <w:uiPriority w:val="0"/>
    <w:rPr>
      <w:rFonts w:eastAsia="宋体"/>
      <w:color w:val="000000"/>
      <w:sz w:val="24"/>
      <w:lang w:val="en-US" w:eastAsia="zh-CN" w:bidi="ar-SA"/>
    </w:rPr>
  </w:style>
  <w:style w:type="character" w:customStyle="1" w:styleId="811">
    <w:name w:val="报告正文 Char Char"/>
    <w:qFormat/>
    <w:uiPriority w:val="0"/>
    <w:rPr>
      <w:rFonts w:eastAsia="宋体"/>
      <w:kern w:val="2"/>
      <w:sz w:val="24"/>
      <w:lang w:val="en-US" w:eastAsia="zh-CN" w:bidi="ar-SA"/>
    </w:rPr>
  </w:style>
  <w:style w:type="character" w:customStyle="1" w:styleId="812">
    <w:name w:val="批注文字 字符1"/>
    <w:qFormat/>
    <w:uiPriority w:val="0"/>
    <w:rPr>
      <w:rFonts w:ascii="Times New Roman" w:hAnsi="Times New Roman" w:eastAsia="宋体" w:cs="Times New Roman"/>
      <w:kern w:val="0"/>
      <w:sz w:val="24"/>
      <w:szCs w:val="24"/>
    </w:rPr>
  </w:style>
  <w:style w:type="character" w:customStyle="1" w:styleId="813">
    <w:name w:val="00新正文 Char"/>
    <w:link w:val="599"/>
    <w:qFormat/>
    <w:uiPriority w:val="0"/>
    <w:rPr>
      <w:rFonts w:ascii="宋体" w:hAnsi="宋体" w:eastAsia="宋体" w:cs="Times New Roman"/>
      <w:kern w:val="0"/>
      <w:sz w:val="24"/>
      <w:szCs w:val="20"/>
    </w:rPr>
  </w:style>
  <w:style w:type="character" w:customStyle="1" w:styleId="814">
    <w:name w:val="标题 3 Char2"/>
    <w:qFormat/>
    <w:uiPriority w:val="0"/>
    <w:rPr>
      <w:rFonts w:eastAsia="宋体"/>
      <w:b/>
      <w:bCs/>
      <w:kern w:val="2"/>
      <w:sz w:val="32"/>
      <w:szCs w:val="32"/>
      <w:lang w:val="en-US" w:eastAsia="zh-CN" w:bidi="ar-SA"/>
    </w:rPr>
  </w:style>
  <w:style w:type="character" w:customStyle="1" w:styleId="815">
    <w:name w:val="批注文字 字符"/>
    <w:semiHidden/>
    <w:qFormat/>
    <w:uiPriority w:val="99"/>
  </w:style>
  <w:style w:type="character" w:customStyle="1" w:styleId="816">
    <w:name w:val="Char Char9"/>
    <w:qFormat/>
    <w:uiPriority w:val="0"/>
    <w:rPr>
      <w:rFonts w:eastAsia="宋体"/>
      <w:color w:val="000000"/>
      <w:spacing w:val="6"/>
      <w:sz w:val="24"/>
      <w:szCs w:val="24"/>
      <w:lang w:val="en-US" w:eastAsia="zh-CN" w:bidi="ar-SA"/>
    </w:rPr>
  </w:style>
  <w:style w:type="character" w:customStyle="1" w:styleId="817">
    <w:name w:val="报告图题 Char"/>
    <w:link w:val="480"/>
    <w:qFormat/>
    <w:uiPriority w:val="0"/>
    <w:rPr>
      <w:rFonts w:ascii="黑体" w:hAnsi="Times New Roman" w:eastAsia="黑体" w:cs="Times New Roman"/>
      <w:kern w:val="0"/>
      <w:sz w:val="20"/>
      <w:szCs w:val="20"/>
    </w:rPr>
  </w:style>
  <w:style w:type="character" w:customStyle="1" w:styleId="818">
    <w:name w:val="引用 Char1"/>
    <w:qFormat/>
    <w:uiPriority w:val="29"/>
    <w:rPr>
      <w:i/>
      <w:iCs/>
      <w:color w:val="000000"/>
      <w:kern w:val="2"/>
      <w:sz w:val="21"/>
      <w:szCs w:val="24"/>
    </w:rPr>
  </w:style>
  <w:style w:type="character" w:customStyle="1" w:styleId="819">
    <w:name w:val="Char Char10"/>
    <w:qFormat/>
    <w:uiPriority w:val="0"/>
    <w:rPr>
      <w:rFonts w:eastAsia="宋体"/>
      <w:sz w:val="18"/>
      <w:lang w:val="en-GB" w:bidi="ar-SA"/>
    </w:rPr>
  </w:style>
  <w:style w:type="character" w:customStyle="1" w:styleId="820">
    <w:name w:val="样式 仿宋_GB2312"/>
    <w:qFormat/>
    <w:uiPriority w:val="0"/>
    <w:rPr>
      <w:rFonts w:ascii="仿宋_GB2312" w:hAnsi="仿宋_GB2312" w:eastAsia="仿宋_GB2312"/>
      <w:kern w:val="21"/>
      <w:sz w:val="28"/>
    </w:rPr>
  </w:style>
  <w:style w:type="character" w:customStyle="1" w:styleId="821">
    <w:name w:val="A标题6 Char Char"/>
    <w:link w:val="249"/>
    <w:qFormat/>
    <w:uiPriority w:val="0"/>
    <w:rPr>
      <w:rFonts w:ascii="Times New Roman" w:hAnsi="Times New Roman" w:eastAsia="宋体" w:cs="Times New Roman"/>
      <w:kern w:val="0"/>
      <w:sz w:val="24"/>
      <w:szCs w:val="20"/>
    </w:rPr>
  </w:style>
  <w:style w:type="character" w:customStyle="1" w:styleId="822">
    <w:name w:val="样式 样式 正文首行缩进 + 四号 首行缩进:  1 字符 + 红色 Char"/>
    <w:qFormat/>
    <w:uiPriority w:val="0"/>
    <w:rPr>
      <w:rFonts w:eastAsia="宋体" w:cs="宋体"/>
      <w:color w:val="FF0000"/>
      <w:kern w:val="2"/>
      <w:sz w:val="28"/>
      <w:szCs w:val="24"/>
      <w:lang w:val="en-US" w:eastAsia="zh-CN" w:bidi="ar-SA"/>
    </w:rPr>
  </w:style>
  <w:style w:type="character" w:customStyle="1" w:styleId="823">
    <w:name w:val="批注主题 字符"/>
    <w:semiHidden/>
    <w:qFormat/>
    <w:uiPriority w:val="99"/>
    <w:rPr>
      <w:rFonts w:ascii="Times New Roman" w:hAnsi="Times New Roman" w:eastAsia="宋体" w:cs="Times New Roman"/>
      <w:b/>
      <w:bCs/>
      <w:kern w:val="0"/>
      <w:sz w:val="24"/>
      <w:szCs w:val="24"/>
    </w:rPr>
  </w:style>
  <w:style w:type="character" w:customStyle="1" w:styleId="824">
    <w:name w:val="样式 粉红"/>
    <w:qFormat/>
    <w:uiPriority w:val="0"/>
    <w:rPr>
      <w:color w:val="auto"/>
      <w:u w:val="none"/>
    </w:rPr>
  </w:style>
  <w:style w:type="character" w:customStyle="1" w:styleId="825">
    <w:name w:val="页脚 字符"/>
    <w:qFormat/>
    <w:uiPriority w:val="99"/>
    <w:rPr>
      <w:sz w:val="18"/>
      <w:szCs w:val="18"/>
    </w:rPr>
  </w:style>
  <w:style w:type="character" w:customStyle="1" w:styleId="826">
    <w:name w:val="样式 样式1 + 加粗 Char"/>
    <w:qFormat/>
    <w:uiPriority w:val="0"/>
    <w:rPr>
      <w:rFonts w:eastAsia="宋体"/>
      <w:b/>
      <w:bCs/>
      <w:color w:val="000000"/>
      <w:kern w:val="44"/>
      <w:sz w:val="24"/>
      <w:szCs w:val="32"/>
      <w:lang w:val="en-US" w:eastAsia="zh-CN" w:bidi="ar-SA"/>
    </w:rPr>
  </w:style>
  <w:style w:type="character" w:customStyle="1" w:styleId="827">
    <w:name w:val="报告图题 Char1"/>
    <w:qFormat/>
    <w:uiPriority w:val="0"/>
    <w:rPr>
      <w:rFonts w:ascii="黑体" w:eastAsia="黑体"/>
      <w:kern w:val="2"/>
      <w:sz w:val="21"/>
      <w:lang w:val="en-US" w:eastAsia="zh-CN" w:bidi="ar-SA"/>
    </w:rPr>
  </w:style>
  <w:style w:type="character" w:customStyle="1" w:styleId="828">
    <w:name w:val="正文文本缩进 Char1"/>
    <w:qFormat/>
    <w:uiPriority w:val="0"/>
    <w:rPr>
      <w:rFonts w:ascii="Times New Roman" w:hAnsi="Times New Roman" w:eastAsia="宋体" w:cs="Times New Roman"/>
      <w:kern w:val="0"/>
      <w:sz w:val="24"/>
      <w:szCs w:val="20"/>
      <w:lang w:val="en-GB"/>
    </w:rPr>
  </w:style>
  <w:style w:type="character" w:customStyle="1" w:styleId="829">
    <w:name w:val="标题 5 字符"/>
    <w:qFormat/>
    <w:uiPriority w:val="9"/>
    <w:rPr>
      <w:b/>
      <w:bCs/>
      <w:sz w:val="28"/>
      <w:szCs w:val="28"/>
    </w:rPr>
  </w:style>
  <w:style w:type="character" w:customStyle="1" w:styleId="830">
    <w:name w:val="样式 粉红 下划线"/>
    <w:qFormat/>
    <w:uiPriority w:val="0"/>
    <w:rPr>
      <w:color w:val="auto"/>
      <w:u w:val="none"/>
    </w:rPr>
  </w:style>
  <w:style w:type="character" w:customStyle="1" w:styleId="831">
    <w:name w:val="标题 3 Char4"/>
    <w:qFormat/>
    <w:uiPriority w:val="9"/>
    <w:rPr>
      <w:rFonts w:ascii="Times New Roman" w:hAnsi="Times New Roman" w:eastAsia="宋体" w:cs="Times New Roman"/>
      <w:b/>
      <w:bCs/>
      <w:sz w:val="32"/>
      <w:szCs w:val="32"/>
    </w:rPr>
  </w:style>
  <w:style w:type="character" w:customStyle="1" w:styleId="832">
    <w:name w:val="标准正文 Char5"/>
    <w:link w:val="198"/>
    <w:qFormat/>
    <w:uiPriority w:val="0"/>
    <w:rPr>
      <w:rFonts w:ascii="Times New Roman" w:hAnsi="宋体" w:eastAsia="宋体" w:cs="Times New Roman"/>
      <w:color w:val="000000"/>
      <w:kern w:val="0"/>
      <w:sz w:val="24"/>
      <w:szCs w:val="24"/>
    </w:rPr>
  </w:style>
  <w:style w:type="character" w:customStyle="1" w:styleId="833">
    <w:name w:val="页眉 字符"/>
    <w:qFormat/>
    <w:uiPriority w:val="99"/>
    <w:rPr>
      <w:sz w:val="18"/>
      <w:szCs w:val="18"/>
    </w:rPr>
  </w:style>
  <w:style w:type="character" w:customStyle="1" w:styleId="834">
    <w:name w:val="正文（首行缩进） Char Char"/>
    <w:qFormat/>
    <w:uiPriority w:val="0"/>
    <w:rPr>
      <w:rFonts w:ascii="Arial" w:hAnsi="Arial" w:eastAsia="宋体" w:cs="宋体"/>
      <w:color w:val="000000"/>
      <w:kern w:val="2"/>
      <w:sz w:val="24"/>
      <w:szCs w:val="24"/>
      <w:lang w:val="en-US" w:eastAsia="zh-CN" w:bidi="ar-SA"/>
    </w:rPr>
  </w:style>
  <w:style w:type="character" w:customStyle="1" w:styleId="835">
    <w:name w:val="标题4 Char Char"/>
    <w:qFormat/>
    <w:uiPriority w:val="0"/>
    <w:rPr>
      <w:rFonts w:ascii="宋体" w:hAnsi="Courier New" w:eastAsia="宋体"/>
      <w:color w:val="000000"/>
      <w:spacing w:val="10"/>
      <w:kern w:val="2"/>
      <w:position w:val="-9"/>
      <w:sz w:val="21"/>
      <w:lang w:val="en-US" w:eastAsia="zh-CN" w:bidi="ar-SA"/>
    </w:rPr>
  </w:style>
  <w:style w:type="character" w:customStyle="1" w:styleId="836">
    <w:name w:val="A标题5 Char Char"/>
    <w:link w:val="314"/>
    <w:qFormat/>
    <w:uiPriority w:val="0"/>
    <w:rPr>
      <w:rFonts w:ascii="Times New Roman" w:hAnsi="Times New Roman" w:eastAsia="宋体" w:cs="Times New Roman"/>
      <w:color w:val="000000"/>
      <w:kern w:val="0"/>
      <w:sz w:val="24"/>
      <w:szCs w:val="24"/>
    </w:rPr>
  </w:style>
  <w:style w:type="character" w:customStyle="1" w:styleId="837">
    <w:name w:val="样式 本文正文001 + Times New Roman 五号 Char"/>
    <w:link w:val="458"/>
    <w:qFormat/>
    <w:uiPriority w:val="0"/>
    <w:rPr>
      <w:rFonts w:ascii="Times New Roman" w:hAnsi="Times New Roman" w:eastAsia="宋体" w:cs="Times New Roman"/>
      <w:kern w:val="0"/>
      <w:sz w:val="24"/>
      <w:szCs w:val="24"/>
    </w:rPr>
  </w:style>
  <w:style w:type="character" w:customStyle="1" w:styleId="838">
    <w:name w:val="样式 样式1 + 首行缩进:  2 字符 Char"/>
    <w:link w:val="453"/>
    <w:qFormat/>
    <w:uiPriority w:val="0"/>
    <w:rPr>
      <w:rFonts w:ascii="Times New Roman" w:hAnsi="Times New Roman" w:eastAsia="宋体" w:cs="Times New Roman"/>
      <w:kern w:val="44"/>
      <w:sz w:val="24"/>
      <w:szCs w:val="20"/>
    </w:rPr>
  </w:style>
  <w:style w:type="character" w:customStyle="1" w:styleId="839">
    <w:name w:val="报告表中 Char"/>
    <w:qFormat/>
    <w:uiPriority w:val="0"/>
    <w:rPr>
      <w:rFonts w:eastAsia="宋体"/>
      <w:kern w:val="2"/>
      <w:sz w:val="18"/>
      <w:lang w:val="en-US" w:eastAsia="zh-CN" w:bidi="ar-SA"/>
    </w:rPr>
  </w:style>
  <w:style w:type="character" w:customStyle="1" w:styleId="840">
    <w:name w:val="样式 标题3 + 黑色 Char Char"/>
    <w:link w:val="270"/>
    <w:qFormat/>
    <w:uiPriority w:val="0"/>
    <w:rPr>
      <w:rFonts w:ascii="Times New Roman" w:hAnsi="Times New Roman" w:eastAsia="黑体" w:cs="Times New Roman"/>
      <w:color w:val="000000"/>
      <w:kern w:val="0"/>
      <w:sz w:val="24"/>
      <w:szCs w:val="20"/>
    </w:rPr>
  </w:style>
  <w:style w:type="character" w:customStyle="1" w:styleId="841">
    <w:name w:val="标题 3 Char Char Char Char"/>
    <w:qFormat/>
    <w:uiPriority w:val="0"/>
    <w:rPr>
      <w:rFonts w:eastAsia="宋体"/>
      <w:b/>
      <w:bCs/>
      <w:sz w:val="32"/>
      <w:szCs w:val="32"/>
      <w:lang w:val="en-GB" w:eastAsia="zh-CN" w:bidi="ar-SA"/>
    </w:rPr>
  </w:style>
  <w:style w:type="character" w:customStyle="1" w:styleId="842">
    <w:name w:val="报告正文 Char1"/>
    <w:link w:val="265"/>
    <w:qFormat/>
    <w:uiPriority w:val="0"/>
    <w:rPr>
      <w:rFonts w:ascii="宋体" w:hAnsi="Courier New" w:eastAsia="宋体" w:cs="Times New Roman"/>
      <w:sz w:val="24"/>
      <w:szCs w:val="20"/>
    </w:rPr>
  </w:style>
  <w:style w:type="character" w:customStyle="1" w:styleId="843">
    <w:name w:val="normaltel"/>
    <w:qFormat/>
    <w:uiPriority w:val="0"/>
  </w:style>
  <w:style w:type="character" w:customStyle="1" w:styleId="844">
    <w:name w:val="批注框文本 Char1"/>
    <w:qFormat/>
    <w:uiPriority w:val="0"/>
    <w:rPr>
      <w:kern w:val="2"/>
      <w:sz w:val="18"/>
      <w:szCs w:val="18"/>
    </w:rPr>
  </w:style>
  <w:style w:type="character" w:customStyle="1" w:styleId="845">
    <w:name w:val="日期 Char1"/>
    <w:qFormat/>
    <w:uiPriority w:val="0"/>
    <w:rPr>
      <w:kern w:val="2"/>
      <w:sz w:val="21"/>
      <w:szCs w:val="24"/>
    </w:rPr>
  </w:style>
  <w:style w:type="character" w:customStyle="1" w:styleId="846">
    <w:name w:val="正文文本缩进 2 Char1"/>
    <w:qFormat/>
    <w:uiPriority w:val="0"/>
    <w:rPr>
      <w:kern w:val="2"/>
      <w:sz w:val="21"/>
      <w:szCs w:val="24"/>
    </w:rPr>
  </w:style>
  <w:style w:type="character" w:customStyle="1" w:styleId="847">
    <w:name w:val="批注文字 Char1"/>
    <w:qFormat/>
    <w:uiPriority w:val="99"/>
    <w:rPr>
      <w:kern w:val="2"/>
      <w:sz w:val="21"/>
      <w:szCs w:val="24"/>
    </w:rPr>
  </w:style>
  <w:style w:type="character" w:customStyle="1" w:styleId="848">
    <w:name w:val="ca-1"/>
    <w:qFormat/>
    <w:uiPriority w:val="0"/>
  </w:style>
  <w:style w:type="character" w:customStyle="1" w:styleId="849">
    <w:name w:val="批注主题 Char1"/>
    <w:qFormat/>
    <w:uiPriority w:val="0"/>
    <w:rPr>
      <w:b/>
      <w:bCs/>
      <w:kern w:val="2"/>
      <w:sz w:val="21"/>
      <w:szCs w:val="24"/>
    </w:rPr>
  </w:style>
  <w:style w:type="character" w:customStyle="1" w:styleId="850">
    <w:name w:val="标题 1 Char Char"/>
    <w:qFormat/>
    <w:uiPriority w:val="0"/>
    <w:rPr>
      <w:rFonts w:eastAsia="宋体"/>
      <w:b/>
      <w:kern w:val="44"/>
      <w:sz w:val="30"/>
      <w:lang w:val="en-US" w:eastAsia="zh-CN" w:bidi="ar-SA"/>
    </w:rPr>
  </w:style>
  <w:style w:type="character" w:customStyle="1" w:styleId="851">
    <w:name w:val="正文文本 2 Char1"/>
    <w:qFormat/>
    <w:uiPriority w:val="0"/>
    <w:rPr>
      <w:kern w:val="2"/>
      <w:sz w:val="21"/>
      <w:szCs w:val="24"/>
    </w:rPr>
  </w:style>
  <w:style w:type="character" w:customStyle="1" w:styleId="852">
    <w:name w:val="样式 样式 样式1 + 首行缩进:  2 字符 + 倾斜 自动设置 Char"/>
    <w:link w:val="452"/>
    <w:qFormat/>
    <w:uiPriority w:val="0"/>
    <w:rPr>
      <w:rFonts w:ascii="Times New Roman" w:hAnsi="Times New Roman" w:eastAsia="宋体" w:cs="Times New Roman"/>
      <w:bCs/>
      <w:i/>
      <w:iCs/>
      <w:kern w:val="44"/>
      <w:sz w:val="24"/>
      <w:szCs w:val="20"/>
    </w:rPr>
  </w:style>
  <w:style w:type="character" w:customStyle="1" w:styleId="853">
    <w:name w:val="XW正文 Char1"/>
    <w:link w:val="254"/>
    <w:qFormat/>
    <w:locked/>
    <w:uiPriority w:val="0"/>
    <w:rPr>
      <w:rFonts w:ascii="Times New Roman" w:hAnsi="Times New Roman" w:eastAsia="宋体" w:cs="Times New Roman"/>
      <w:kern w:val="24"/>
      <w:sz w:val="24"/>
      <w:szCs w:val="24"/>
    </w:rPr>
  </w:style>
  <w:style w:type="character" w:customStyle="1" w:styleId="854">
    <w:name w:val="333333 Char"/>
    <w:link w:val="345"/>
    <w:qFormat/>
    <w:uiPriority w:val="0"/>
    <w:rPr>
      <w:rFonts w:ascii="Times New Roman" w:hAnsi="Times New Roman" w:eastAsia="宋体" w:cs="Times New Roman"/>
      <w:kern w:val="0"/>
      <w:sz w:val="24"/>
      <w:szCs w:val="24"/>
    </w:rPr>
  </w:style>
  <w:style w:type="character" w:customStyle="1" w:styleId="855">
    <w:name w:val="样式 题注 + Char"/>
    <w:qFormat/>
    <w:uiPriority w:val="0"/>
    <w:rPr>
      <w:rFonts w:ascii="Arial" w:hAnsi="Arial" w:eastAsia="黑体" w:cs="Arial"/>
      <w:kern w:val="2"/>
      <w:sz w:val="24"/>
      <w:szCs w:val="24"/>
      <w:lang w:val="en-US" w:eastAsia="zh-CN" w:bidi="ar-SA"/>
    </w:rPr>
  </w:style>
  <w:style w:type="character" w:customStyle="1" w:styleId="856">
    <w:name w:val="HCH图表2 Char"/>
    <w:link w:val="376"/>
    <w:qFormat/>
    <w:uiPriority w:val="0"/>
    <w:rPr>
      <w:rFonts w:ascii="Times New Roman" w:hAnsi="Times New Roman" w:eastAsia="宋体" w:cs="Times New Roman"/>
      <w:bCs/>
      <w:kern w:val="0"/>
      <w:sz w:val="20"/>
      <w:szCs w:val="21"/>
    </w:rPr>
  </w:style>
  <w:style w:type="character" w:customStyle="1" w:styleId="857">
    <w:name w:val="p21"/>
    <w:qFormat/>
    <w:uiPriority w:val="0"/>
    <w:rPr>
      <w:rFonts w:hint="eastAsia" w:ascii="宋体" w:hAnsi="宋体" w:eastAsia="宋体"/>
      <w:spacing w:val="320"/>
      <w:kern w:val="2"/>
      <w:sz w:val="18"/>
      <w:szCs w:val="18"/>
      <w:lang w:val="en-US" w:eastAsia="zh-CN" w:bidi="ar-SA"/>
    </w:rPr>
  </w:style>
  <w:style w:type="character" w:customStyle="1" w:styleId="858">
    <w:name w:val="YB表头小四黑体 Char"/>
    <w:link w:val="239"/>
    <w:qFormat/>
    <w:uiPriority w:val="0"/>
    <w:rPr>
      <w:rFonts w:ascii="Times New Roman" w:hAnsi="Times New Roman" w:eastAsia="黑体" w:cs="Times New Roman"/>
      <w:kern w:val="0"/>
      <w:sz w:val="24"/>
      <w:szCs w:val="20"/>
    </w:rPr>
  </w:style>
  <w:style w:type="character" w:customStyle="1" w:styleId="859">
    <w:name w:val="javascript1"/>
    <w:qFormat/>
    <w:uiPriority w:val="0"/>
    <w:rPr>
      <w:rFonts w:hint="default" w:ascii="Tahoma" w:hAnsi="Tahoma" w:eastAsia="宋体" w:cs="Tahoma"/>
      <w:kern w:val="2"/>
      <w:sz w:val="18"/>
      <w:szCs w:val="18"/>
      <w:lang w:val="en-US" w:eastAsia="zh-CN" w:bidi="ar-SA"/>
    </w:rPr>
  </w:style>
  <w:style w:type="character" w:customStyle="1" w:styleId="860">
    <w:name w:val="标2 Char"/>
    <w:link w:val="307"/>
    <w:qFormat/>
    <w:uiPriority w:val="0"/>
    <w:rPr>
      <w:rFonts w:ascii="黑体" w:hAnsi="Times New Roman" w:eastAsia="黑体" w:cs="Times New Roman"/>
      <w:bCs/>
      <w:kern w:val="44"/>
      <w:sz w:val="32"/>
      <w:szCs w:val="44"/>
    </w:rPr>
  </w:style>
  <w:style w:type="character" w:customStyle="1" w:styleId="861">
    <w:name w:val="样式 样式 正文文本缩进 2 + Times New Roman 首行缩进:  1.06 厘米 行距: 固定值 30 磅 + 行... Char"/>
    <w:link w:val="247"/>
    <w:qFormat/>
    <w:uiPriority w:val="0"/>
    <w:rPr>
      <w:rFonts w:ascii="Times New Roman" w:hAnsi="Times New Roman" w:eastAsia="宋体" w:cs="Times New Roman"/>
      <w:kern w:val="0"/>
      <w:sz w:val="28"/>
      <w:szCs w:val="28"/>
      <w:lang w:val="zh-CN"/>
    </w:rPr>
  </w:style>
  <w:style w:type="character" w:customStyle="1" w:styleId="862">
    <w:name w:val="3zw1"/>
    <w:qFormat/>
    <w:uiPriority w:val="0"/>
    <w:rPr>
      <w:rFonts w:eastAsia="宋体"/>
      <w:color w:val="000000"/>
      <w:spacing w:val="360"/>
      <w:kern w:val="2"/>
      <w:sz w:val="21"/>
      <w:szCs w:val="21"/>
      <w:lang w:val="en-US" w:eastAsia="zh-CN" w:bidi="ar-SA"/>
    </w:rPr>
  </w:style>
  <w:style w:type="character" w:customStyle="1" w:styleId="863">
    <w:name w:val="YB表格五号宋体 Char"/>
    <w:link w:val="330"/>
    <w:qFormat/>
    <w:uiPriority w:val="0"/>
    <w:rPr>
      <w:rFonts w:ascii="Times New Roman" w:hAnsi="Times New Roman" w:eastAsia="宋体" w:cs="Times New Roman"/>
      <w:kern w:val="0"/>
      <w:sz w:val="20"/>
      <w:szCs w:val="21"/>
    </w:rPr>
  </w:style>
  <w:style w:type="character" w:customStyle="1" w:styleId="864">
    <w:name w:val="B目小四黑三 Char"/>
    <w:link w:val="344"/>
    <w:qFormat/>
    <w:uiPriority w:val="0"/>
    <w:rPr>
      <w:rFonts w:ascii="Times New Roman" w:hAnsi="Times New Roman" w:eastAsia="黑体" w:cs="Times New Roman"/>
      <w:b/>
      <w:bCs/>
      <w:kern w:val="0"/>
      <w:sz w:val="24"/>
      <w:szCs w:val="24"/>
    </w:rPr>
  </w:style>
  <w:style w:type="character" w:customStyle="1" w:styleId="865">
    <w:name w:val="HCH正文 Char"/>
    <w:link w:val="179"/>
    <w:qFormat/>
    <w:uiPriority w:val="0"/>
    <w:rPr>
      <w:rFonts w:ascii="Times New Roman" w:hAnsi="Times New Roman" w:eastAsia="宋体" w:cs="Times New Roman"/>
      <w:bCs/>
      <w:kern w:val="0"/>
      <w:sz w:val="24"/>
      <w:szCs w:val="24"/>
    </w:rPr>
  </w:style>
  <w:style w:type="character" w:customStyle="1" w:styleId="866">
    <w:name w:val="HCH图表1 Char"/>
    <w:link w:val="353"/>
    <w:qFormat/>
    <w:uiPriority w:val="0"/>
    <w:rPr>
      <w:rFonts w:ascii="Times New Roman" w:hAnsi="Times New Roman" w:eastAsia="黑体" w:cs="Times New Roman"/>
      <w:kern w:val="0"/>
      <w:sz w:val="24"/>
      <w:szCs w:val="24"/>
    </w:rPr>
  </w:style>
  <w:style w:type="character" w:customStyle="1" w:styleId="867">
    <w:name w:val="正文缩进 Char Char"/>
    <w:qFormat/>
    <w:uiPriority w:val="0"/>
    <w:rPr>
      <w:rFonts w:eastAsia="宋体"/>
      <w:kern w:val="2"/>
      <w:sz w:val="21"/>
      <w:szCs w:val="24"/>
      <w:lang w:val="en-US" w:eastAsia="zh-CN" w:bidi="ar-SA"/>
    </w:rPr>
  </w:style>
  <w:style w:type="character" w:customStyle="1" w:styleId="868">
    <w:name w:val="正文-海洋 Char Char"/>
    <w:link w:val="275"/>
    <w:qFormat/>
    <w:uiPriority w:val="0"/>
    <w:rPr>
      <w:rFonts w:ascii="Times New Roman" w:hAnsi="Times New Roman" w:eastAsia="宋体" w:cs="Times New Roman"/>
      <w:kern w:val="0"/>
      <w:sz w:val="24"/>
      <w:szCs w:val="24"/>
    </w:rPr>
  </w:style>
  <w:style w:type="character" w:customStyle="1" w:styleId="869">
    <w:name w:val="text1"/>
    <w:qFormat/>
    <w:uiPriority w:val="0"/>
    <w:rPr>
      <w:rFonts w:eastAsia="宋体"/>
      <w:color w:val="000000"/>
      <w:spacing w:val="280"/>
      <w:kern w:val="2"/>
      <w:sz w:val="20"/>
      <w:szCs w:val="20"/>
      <w:lang w:val="en-US" w:eastAsia="zh-CN" w:bidi="ar-SA"/>
    </w:rPr>
  </w:style>
  <w:style w:type="character" w:customStyle="1" w:styleId="870">
    <w:name w:val="正文-叙述 Char2"/>
    <w:link w:val="327"/>
    <w:qFormat/>
    <w:uiPriority w:val="0"/>
    <w:rPr>
      <w:rFonts w:ascii="Times New Roman" w:hAnsi="Times New Roman" w:eastAsia="宋体" w:cs="Times New Roman"/>
      <w:kern w:val="0"/>
      <w:sz w:val="24"/>
      <w:szCs w:val="24"/>
    </w:rPr>
  </w:style>
  <w:style w:type="character" w:customStyle="1" w:styleId="871">
    <w:name w:val="样式 标题 6 + Times New Roman 四号 Char Char Char"/>
    <w:qFormat/>
    <w:uiPriority w:val="0"/>
    <w:rPr>
      <w:rFonts w:eastAsia="宋体"/>
      <w:b/>
      <w:bCs/>
      <w:kern w:val="2"/>
      <w:sz w:val="28"/>
      <w:szCs w:val="24"/>
      <w:lang w:val="en-US" w:eastAsia="zh-CN" w:bidi="ar-SA"/>
    </w:rPr>
  </w:style>
  <w:style w:type="character" w:customStyle="1" w:styleId="872">
    <w:name w:val="正文样式 Char"/>
    <w:link w:val="383"/>
    <w:qFormat/>
    <w:uiPriority w:val="0"/>
    <w:rPr>
      <w:rFonts w:ascii="宋体" w:hAnsi="Times New Roman" w:eastAsia="宋体" w:cs="Times New Roman"/>
      <w:kern w:val="0"/>
      <w:sz w:val="24"/>
      <w:szCs w:val="20"/>
      <w:lang w:val="en-GB"/>
    </w:rPr>
  </w:style>
  <w:style w:type="character" w:customStyle="1" w:styleId="873">
    <w:name w:val="样式1 Char"/>
    <w:link w:val="264"/>
    <w:qFormat/>
    <w:uiPriority w:val="0"/>
    <w:rPr>
      <w:rFonts w:ascii="Times New Roman" w:hAnsi="Times New Roman" w:eastAsia="宋体" w:cs="Times New Roman"/>
      <w:sz w:val="24"/>
      <w:szCs w:val="20"/>
    </w:rPr>
  </w:style>
  <w:style w:type="character" w:customStyle="1" w:styleId="874">
    <w:name w:val="fontstyle21"/>
    <w:qFormat/>
    <w:uiPriority w:val="0"/>
    <w:rPr>
      <w:rFonts w:hint="default" w:ascii="Arial" w:hAnsi="Arial" w:cs="Arial"/>
      <w:color w:val="000000"/>
      <w:sz w:val="30"/>
      <w:szCs w:val="30"/>
    </w:rPr>
  </w:style>
  <w:style w:type="character" w:customStyle="1" w:styleId="875">
    <w:name w:val="fontstyle41"/>
    <w:qFormat/>
    <w:uiPriority w:val="0"/>
    <w:rPr>
      <w:rFonts w:hint="default" w:ascii="TimesNewRoman" w:hAnsi="TimesNewRoman"/>
      <w:b/>
      <w:bCs/>
      <w:color w:val="000000"/>
      <w:sz w:val="24"/>
      <w:szCs w:val="24"/>
    </w:rPr>
  </w:style>
  <w:style w:type="character" w:customStyle="1" w:styleId="876">
    <w:name w:val="fontstyle11"/>
    <w:qFormat/>
    <w:uiPriority w:val="0"/>
    <w:rPr>
      <w:rFonts w:hint="default" w:ascii="Times New Roman" w:hAnsi="Times New Roman" w:cs="Times New Roman"/>
      <w:color w:val="000000"/>
      <w:sz w:val="24"/>
      <w:szCs w:val="24"/>
    </w:rPr>
  </w:style>
  <w:style w:type="character" w:customStyle="1" w:styleId="877">
    <w:name w:val="报告正文 Char"/>
    <w:qFormat/>
    <w:uiPriority w:val="0"/>
    <w:rPr>
      <w:sz w:val="24"/>
    </w:rPr>
  </w:style>
  <w:style w:type="character" w:customStyle="1" w:styleId="878">
    <w:name w:val="报告表中 Char Char"/>
    <w:link w:val="435"/>
    <w:qFormat/>
    <w:uiPriority w:val="0"/>
    <w:rPr>
      <w:rFonts w:ascii="Times New Roman" w:hAnsi="Times New Roman" w:eastAsia="宋体" w:cs="Times New Roman"/>
      <w:sz w:val="18"/>
      <w:szCs w:val="20"/>
    </w:rPr>
  </w:style>
  <w:style w:type="character" w:customStyle="1" w:styleId="879">
    <w:name w:val="Title3 Char Char1"/>
    <w:qFormat/>
    <w:uiPriority w:val="0"/>
    <w:rPr>
      <w:rFonts w:eastAsia="黑体"/>
      <w:sz w:val="28"/>
      <w:lang w:val="en-US" w:eastAsia="zh-CN" w:bidi="ar-SA"/>
    </w:rPr>
  </w:style>
  <w:style w:type="character" w:customStyle="1" w:styleId="880">
    <w:name w:val="样式 标题 5 + 黑色 Char"/>
    <w:qFormat/>
    <w:uiPriority w:val="0"/>
    <w:rPr>
      <w:rFonts w:ascii="宋体" w:hAnsi="宋体" w:eastAsia="宋体"/>
      <w:bCs/>
      <w:iCs/>
      <w:color w:val="000000"/>
      <w:sz w:val="24"/>
      <w:szCs w:val="24"/>
      <w:lang w:val="en-US" w:eastAsia="zh-CN" w:bidi="ar-SA"/>
    </w:rPr>
  </w:style>
  <w:style w:type="character" w:customStyle="1" w:styleId="881">
    <w:name w:val="Char Char22"/>
    <w:qFormat/>
    <w:uiPriority w:val="0"/>
    <w:rPr>
      <w:rFonts w:ascii="楷体_GB2312" w:hAnsi="Arial" w:eastAsia="楷体_GB2312"/>
      <w:b/>
      <w:sz w:val="24"/>
    </w:rPr>
  </w:style>
  <w:style w:type="character" w:customStyle="1" w:styleId="882">
    <w:name w:val="标题 5 Char1"/>
    <w:qFormat/>
    <w:uiPriority w:val="0"/>
    <w:rPr>
      <w:rFonts w:eastAsia="宋体"/>
      <w:b/>
      <w:sz w:val="28"/>
      <w:lang w:val="en-US" w:eastAsia="zh-CN" w:bidi="ar-SA"/>
    </w:rPr>
  </w:style>
  <w:style w:type="character" w:customStyle="1" w:styleId="883">
    <w:name w:val="样式 五号"/>
    <w:qFormat/>
    <w:uiPriority w:val="0"/>
    <w:rPr>
      <w:sz w:val="24"/>
    </w:rPr>
  </w:style>
  <w:style w:type="character" w:customStyle="1" w:styleId="884">
    <w:name w:val="style11"/>
    <w:qFormat/>
    <w:uiPriority w:val="0"/>
    <w:rPr>
      <w:b/>
      <w:bCs/>
      <w:color w:val="3366CC"/>
      <w:sz w:val="24"/>
      <w:szCs w:val="24"/>
    </w:rPr>
  </w:style>
  <w:style w:type="character" w:customStyle="1" w:styleId="885">
    <w:name w:val="样式 小四 首行缩进:  0.85 厘米 Char"/>
    <w:qFormat/>
    <w:uiPriority w:val="0"/>
    <w:rPr>
      <w:rFonts w:eastAsia="宋体" w:cs="宋体"/>
      <w:kern w:val="2"/>
      <w:sz w:val="24"/>
      <w:lang w:val="en-US" w:eastAsia="zh-CN" w:bidi="ar-SA"/>
    </w:rPr>
  </w:style>
  <w:style w:type="character" w:customStyle="1" w:styleId="886">
    <w:name w:val="标题4 Char1"/>
    <w:qFormat/>
    <w:uiPriority w:val="0"/>
    <w:rPr>
      <w:rFonts w:ascii="宋体" w:hAnsi="Courier New" w:eastAsia="宋体"/>
      <w:color w:val="000000"/>
      <w:spacing w:val="10"/>
      <w:kern w:val="2"/>
      <w:position w:val="-9"/>
      <w:sz w:val="21"/>
      <w:lang w:val="en-US" w:eastAsia="zh-CN" w:bidi="ar-SA"/>
    </w:rPr>
  </w:style>
  <w:style w:type="character" w:customStyle="1" w:styleId="887">
    <w:name w:val="标题 1 Char2"/>
    <w:qFormat/>
    <w:uiPriority w:val="0"/>
    <w:rPr>
      <w:rFonts w:eastAsia="黑体"/>
      <w:kern w:val="44"/>
      <w:sz w:val="32"/>
      <w:lang w:val="en-US" w:eastAsia="zh-CN" w:bidi="ar-SA"/>
    </w:rPr>
  </w:style>
  <w:style w:type="character" w:customStyle="1" w:styleId="888">
    <w:name w:val="样式1-1 Char"/>
    <w:link w:val="462"/>
    <w:qFormat/>
    <w:uiPriority w:val="0"/>
    <w:rPr>
      <w:rFonts w:ascii="楷体_GB2312" w:hAnsi="宋体" w:eastAsia="楷体_GB2312" w:cs="Times New Roman"/>
      <w:b/>
      <w:bCs/>
      <w:kern w:val="0"/>
      <w:sz w:val="30"/>
      <w:szCs w:val="30"/>
    </w:rPr>
  </w:style>
  <w:style w:type="character" w:customStyle="1" w:styleId="889">
    <w:name w:val="样式 正文缩进 + 楷体_GB2312 四号 Char"/>
    <w:link w:val="465"/>
    <w:qFormat/>
    <w:uiPriority w:val="0"/>
    <w:rPr>
      <w:rFonts w:ascii="宋体" w:hAnsi="宋体" w:eastAsia="宋体" w:cs="Times New Roman"/>
      <w:kern w:val="0"/>
      <w:sz w:val="24"/>
      <w:szCs w:val="24"/>
    </w:rPr>
  </w:style>
  <w:style w:type="character" w:customStyle="1" w:styleId="890">
    <w:name w:val="Char Char31"/>
    <w:qFormat/>
    <w:uiPriority w:val="0"/>
    <w:rPr>
      <w:rFonts w:ascii="宋体" w:hAnsi="宋体" w:eastAsia="宋体"/>
      <w:bCs/>
      <w:sz w:val="24"/>
      <w:szCs w:val="28"/>
      <w:lang w:val="en-US" w:eastAsia="zh-CN" w:bidi="ar-SA"/>
    </w:rPr>
  </w:style>
  <w:style w:type="character" w:customStyle="1" w:styleId="891">
    <w:name w:val="Title3 Char Char"/>
    <w:qFormat/>
    <w:uiPriority w:val="0"/>
    <w:rPr>
      <w:rFonts w:eastAsia="黑体"/>
      <w:sz w:val="28"/>
      <w:lang w:val="en-US" w:eastAsia="zh-CN" w:bidi="ar-SA"/>
    </w:rPr>
  </w:style>
  <w:style w:type="character" w:customStyle="1" w:styleId="892">
    <w:name w:val="样式 正文首行缩进 + 四号 首行缩进:  1 字符 Char Char"/>
    <w:qFormat/>
    <w:uiPriority w:val="0"/>
    <w:rPr>
      <w:rFonts w:ascii="宋体" w:hAnsi="宋体" w:eastAsia="宋体" w:cs="宋体"/>
      <w:b/>
      <w:bCs/>
      <w:kern w:val="2"/>
      <w:sz w:val="28"/>
      <w:szCs w:val="24"/>
      <w:lang w:val="en-US" w:eastAsia="zh-CN" w:bidi="ar-SA"/>
    </w:rPr>
  </w:style>
  <w:style w:type="character" w:customStyle="1" w:styleId="893">
    <w:name w:val="样式 标题 4 + 黑色 Char"/>
    <w:link w:val="165"/>
    <w:qFormat/>
    <w:uiPriority w:val="0"/>
    <w:rPr>
      <w:rFonts w:ascii="Times New Roman" w:hAnsi="Times New Roman" w:eastAsia="楷体_GB2312" w:cs="Times New Roman"/>
      <w:b/>
      <w:bCs/>
      <w:color w:val="000000"/>
      <w:kern w:val="0"/>
      <w:sz w:val="28"/>
      <w:szCs w:val="20"/>
    </w:rPr>
  </w:style>
  <w:style w:type="character" w:customStyle="1" w:styleId="894">
    <w:name w:val="标题 1 Char1"/>
    <w:qFormat/>
    <w:uiPriority w:val="0"/>
    <w:rPr>
      <w:rFonts w:eastAsia="宋体"/>
      <w:b/>
      <w:kern w:val="44"/>
      <w:sz w:val="30"/>
      <w:lang w:val="en-US" w:eastAsia="zh-CN" w:bidi="ar-SA"/>
    </w:rPr>
  </w:style>
  <w:style w:type="character" w:customStyle="1" w:styleId="895">
    <w:name w:val="identication Char1"/>
    <w:qFormat/>
    <w:uiPriority w:val="0"/>
    <w:rPr>
      <w:rFonts w:eastAsia="宋体"/>
      <w:sz w:val="24"/>
      <w:szCs w:val="24"/>
      <w:lang w:val="en-US" w:eastAsia="zh-CN" w:bidi="ar-SA"/>
    </w:rPr>
  </w:style>
  <w:style w:type="character" w:customStyle="1" w:styleId="896">
    <w:name w:val="标题 5 Char2"/>
    <w:qFormat/>
    <w:uiPriority w:val="0"/>
    <w:rPr>
      <w:rFonts w:eastAsia="宋体"/>
      <w:b/>
      <w:sz w:val="28"/>
      <w:lang w:val="en-US" w:eastAsia="zh-CN" w:bidi="ar-SA"/>
    </w:rPr>
  </w:style>
  <w:style w:type="character" w:customStyle="1" w:styleId="897">
    <w:name w:val="标题 5 Char3"/>
    <w:qFormat/>
    <w:uiPriority w:val="0"/>
    <w:rPr>
      <w:rFonts w:ascii="宋体" w:hAnsi="宋体" w:eastAsia="宋体"/>
      <w:bCs/>
      <w:sz w:val="24"/>
      <w:szCs w:val="28"/>
      <w:lang w:val="en-US" w:eastAsia="zh-CN" w:bidi="ar-SA"/>
    </w:rPr>
  </w:style>
  <w:style w:type="character" w:customStyle="1" w:styleId="898">
    <w:name w:val="4正文 Char"/>
    <w:link w:val="470"/>
    <w:qFormat/>
    <w:uiPriority w:val="0"/>
    <w:rPr>
      <w:rFonts w:ascii="宋体" w:hAnsi="宋体" w:eastAsia="宋体" w:cs="Times New Roman"/>
      <w:kern w:val="0"/>
      <w:sz w:val="24"/>
      <w:szCs w:val="24"/>
    </w:rPr>
  </w:style>
  <w:style w:type="character" w:customStyle="1" w:styleId="899">
    <w:name w:val="样式 样式1 + 宋体 小四 非加粗 Char"/>
    <w:link w:val="474"/>
    <w:qFormat/>
    <w:uiPriority w:val="0"/>
    <w:rPr>
      <w:rFonts w:ascii="宋体" w:hAnsi="宋体" w:eastAsia="宋体" w:cs="Times New Roman"/>
      <w:b/>
      <w:color w:val="000000"/>
      <w:kern w:val="44"/>
      <w:sz w:val="24"/>
      <w:szCs w:val="32"/>
    </w:rPr>
  </w:style>
  <w:style w:type="character" w:customStyle="1" w:styleId="900">
    <w:name w:val="ca-2"/>
    <w:qFormat/>
    <w:uiPriority w:val="0"/>
  </w:style>
  <w:style w:type="character" w:customStyle="1" w:styleId="901">
    <w:name w:val="签名 Char1"/>
    <w:qFormat/>
    <w:uiPriority w:val="0"/>
    <w:rPr>
      <w:kern w:val="2"/>
      <w:sz w:val="24"/>
      <w:szCs w:val="24"/>
    </w:rPr>
  </w:style>
  <w:style w:type="character" w:customStyle="1" w:styleId="902">
    <w:name w:val="结束语 Char1"/>
    <w:qFormat/>
    <w:uiPriority w:val="0"/>
    <w:rPr>
      <w:kern w:val="2"/>
      <w:sz w:val="24"/>
      <w:szCs w:val="24"/>
    </w:rPr>
  </w:style>
  <w:style w:type="character" w:customStyle="1" w:styleId="903">
    <w:name w:val="HTML 预设格式 Char1"/>
    <w:qFormat/>
    <w:uiPriority w:val="0"/>
    <w:rPr>
      <w:rFonts w:ascii="Courier New" w:hAnsi="Courier New" w:cs="Courier New"/>
      <w:kern w:val="2"/>
    </w:rPr>
  </w:style>
  <w:style w:type="character" w:customStyle="1" w:styleId="904">
    <w:name w:val="style131"/>
    <w:qFormat/>
    <w:uiPriority w:val="0"/>
  </w:style>
  <w:style w:type="character" w:customStyle="1" w:styleId="905">
    <w:name w:val="Char Char36"/>
    <w:qFormat/>
    <w:uiPriority w:val="0"/>
    <w:rPr>
      <w:rFonts w:eastAsia="黑体"/>
      <w:sz w:val="24"/>
      <w:szCs w:val="24"/>
    </w:rPr>
  </w:style>
  <w:style w:type="character" w:customStyle="1" w:styleId="906">
    <w:name w:val="样式 样式 标题 5 + 黑色 + Times New Roman Char Char"/>
    <w:qFormat/>
    <w:uiPriority w:val="0"/>
    <w:rPr>
      <w:rFonts w:ascii="宋体" w:hAnsi="宋体" w:eastAsia="宋体"/>
      <w:iCs/>
      <w:color w:val="000000"/>
      <w:sz w:val="24"/>
      <w:szCs w:val="24"/>
      <w:lang w:val="en-US" w:eastAsia="zh-CN" w:bidi="ar-SA"/>
    </w:rPr>
  </w:style>
  <w:style w:type="character" w:customStyle="1" w:styleId="907">
    <w:name w:val="样式 标题 5 + 黑色 Char Char"/>
    <w:qFormat/>
    <w:uiPriority w:val="0"/>
    <w:rPr>
      <w:rFonts w:ascii="宋体" w:hAnsi="宋体" w:eastAsia="宋体"/>
      <w:iCs/>
      <w:color w:val="000000"/>
      <w:sz w:val="24"/>
      <w:szCs w:val="24"/>
      <w:lang w:val="en-US" w:eastAsia="zh-CN" w:bidi="ar-SA"/>
    </w:rPr>
  </w:style>
  <w:style w:type="character" w:customStyle="1" w:styleId="908">
    <w:name w:val="Char Char5"/>
    <w:qFormat/>
    <w:uiPriority w:val="0"/>
    <w:rPr>
      <w:rFonts w:ascii="宋体" w:hAnsi="宋体" w:eastAsia="宋体"/>
      <w:bCs/>
      <w:sz w:val="24"/>
      <w:szCs w:val="28"/>
      <w:lang w:val="en-US" w:eastAsia="zh-CN" w:bidi="ar-SA"/>
    </w:rPr>
  </w:style>
  <w:style w:type="character" w:customStyle="1" w:styleId="909">
    <w:name w:val="Char Char21"/>
    <w:qFormat/>
    <w:uiPriority w:val="0"/>
    <w:rPr>
      <w:rFonts w:ascii="宋体" w:hAnsi="宋体" w:eastAsia="宋体"/>
      <w:bCs/>
      <w:sz w:val="24"/>
      <w:szCs w:val="28"/>
      <w:lang w:val="en-US" w:eastAsia="zh-CN" w:bidi="ar-SA"/>
    </w:rPr>
  </w:style>
  <w:style w:type="character" w:customStyle="1" w:styleId="910">
    <w:name w:val="Char Char221"/>
    <w:qFormat/>
    <w:uiPriority w:val="0"/>
    <w:rPr>
      <w:rFonts w:ascii="楷体_GB2312" w:hAnsi="Arial" w:eastAsia="楷体_GB2312"/>
      <w:b/>
      <w:sz w:val="24"/>
    </w:rPr>
  </w:style>
  <w:style w:type="character" w:customStyle="1" w:styleId="911">
    <w:name w:val="Char Char361"/>
    <w:qFormat/>
    <w:uiPriority w:val="0"/>
    <w:rPr>
      <w:rFonts w:eastAsia="黑体"/>
      <w:sz w:val="24"/>
      <w:szCs w:val="24"/>
    </w:rPr>
  </w:style>
  <w:style w:type="character" w:customStyle="1" w:styleId="912">
    <w:name w:val="明显引用 Char1"/>
    <w:qFormat/>
    <w:uiPriority w:val="30"/>
    <w:rPr>
      <w:b/>
      <w:bCs/>
      <w:i/>
      <w:iCs/>
      <w:color w:val="4F81BD"/>
      <w:kern w:val="2"/>
      <w:sz w:val="21"/>
      <w:szCs w:val="24"/>
    </w:rPr>
  </w:style>
  <w:style w:type="character" w:customStyle="1" w:styleId="913">
    <w:name w:val="样式12 Char"/>
    <w:link w:val="605"/>
    <w:qFormat/>
    <w:uiPriority w:val="0"/>
    <w:rPr>
      <w:rFonts w:ascii="Times New Roman" w:hAnsi="Times New Roman" w:eastAsia="宋体" w:cs="Times New Roman"/>
      <w:bCs/>
      <w:sz w:val="24"/>
      <w:szCs w:val="24"/>
    </w:rPr>
  </w:style>
  <w:style w:type="character" w:customStyle="1" w:styleId="914">
    <w:name w:val="样式13 Char"/>
    <w:link w:val="606"/>
    <w:qFormat/>
    <w:uiPriority w:val="0"/>
    <w:rPr>
      <w:rFonts w:ascii="Times New Roman" w:hAnsi="Times New Roman" w:eastAsia="宋体" w:cs="Times New Roman"/>
      <w:sz w:val="24"/>
      <w:szCs w:val="24"/>
    </w:rPr>
  </w:style>
  <w:style w:type="character" w:customStyle="1" w:styleId="915">
    <w:name w:val="*正文 Char"/>
    <w:link w:val="612"/>
    <w:qFormat/>
    <w:uiPriority w:val="0"/>
    <w:rPr>
      <w:rFonts w:ascii="宋体" w:hAnsi="宋体" w:eastAsia="宋体" w:cs="Times New Roman"/>
      <w:kern w:val="0"/>
      <w:sz w:val="24"/>
      <w:szCs w:val="20"/>
    </w:rPr>
  </w:style>
  <w:style w:type="character" w:customStyle="1" w:styleId="916">
    <w:name w:val="标题 2 字符"/>
    <w:qFormat/>
    <w:uiPriority w:val="9"/>
    <w:rPr>
      <w:rFonts w:ascii="等线 Light" w:hAnsi="等线 Light" w:eastAsia="等线 Light" w:cs="Times New Roman"/>
      <w:b/>
      <w:bCs/>
      <w:sz w:val="30"/>
      <w:szCs w:val="30"/>
    </w:rPr>
  </w:style>
  <w:style w:type="character" w:customStyle="1" w:styleId="917">
    <w:name w:val="标题 4 字符"/>
    <w:qFormat/>
    <w:uiPriority w:val="9"/>
    <w:rPr>
      <w:rFonts w:ascii="等线 Light" w:hAnsi="等线 Light" w:eastAsia="等线 Light" w:cs="Times New Roman"/>
      <w:b/>
      <w:bCs/>
      <w:sz w:val="24"/>
      <w:szCs w:val="28"/>
    </w:rPr>
  </w:style>
  <w:style w:type="character" w:customStyle="1" w:styleId="918">
    <w:name w:val="样式4 Char Char"/>
    <w:link w:val="549"/>
    <w:qFormat/>
    <w:uiPriority w:val="0"/>
    <w:rPr>
      <w:rFonts w:ascii="Times New Roman" w:hAnsi="Times New Roman" w:eastAsia="楷体_GB2312" w:cs="Times New Roman"/>
      <w:i/>
      <w:snapToGrid w:val="0"/>
      <w:kern w:val="0"/>
      <w:sz w:val="24"/>
      <w:szCs w:val="24"/>
    </w:rPr>
  </w:style>
  <w:style w:type="character" w:customStyle="1" w:styleId="919">
    <w:name w:val="normaladdress1"/>
    <w:qFormat/>
    <w:uiPriority w:val="0"/>
    <w:rPr>
      <w:color w:val="000000"/>
      <w:sz w:val="18"/>
      <w:szCs w:val="18"/>
    </w:rPr>
  </w:style>
  <w:style w:type="character" w:customStyle="1" w:styleId="920">
    <w:name w:val="lh22px1"/>
    <w:qFormat/>
    <w:uiPriority w:val="0"/>
    <w:rPr>
      <w:rFonts w:hint="eastAsia" w:ascii="宋体" w:hAnsi="宋体" w:eastAsia="宋体"/>
      <w:sz w:val="21"/>
      <w:szCs w:val="21"/>
    </w:rPr>
  </w:style>
  <w:style w:type="character" w:customStyle="1" w:styleId="921">
    <w:name w:val="文本1首行缩2 Char"/>
    <w:link w:val="622"/>
    <w:qFormat/>
    <w:uiPriority w:val="0"/>
    <w:rPr>
      <w:rFonts w:ascii="Times New Roman" w:hAnsi="Times New Roman" w:eastAsia="宋体" w:cs="Times New Roman"/>
      <w:sz w:val="24"/>
      <w:szCs w:val="24"/>
    </w:rPr>
  </w:style>
  <w:style w:type="character" w:customStyle="1" w:styleId="922">
    <w:name w:val="列表段落 字符1"/>
    <w:link w:val="140"/>
    <w:qFormat/>
    <w:uiPriority w:val="34"/>
    <w:rPr>
      <w:rFonts w:ascii="Times New Roman" w:hAnsi="Times New Roman" w:eastAsia="宋体" w:cs="Times New Roman"/>
      <w:szCs w:val="24"/>
    </w:rPr>
  </w:style>
  <w:style w:type="character" w:customStyle="1" w:styleId="923">
    <w:name w:val="标题1 Char"/>
    <w:qFormat/>
    <w:uiPriority w:val="0"/>
    <w:rPr>
      <w:rFonts w:ascii="宋体" w:hAnsi="Courier New" w:eastAsia="宋体"/>
      <w:kern w:val="2"/>
      <w:sz w:val="21"/>
      <w:lang w:val="en-US" w:eastAsia="zh-CN" w:bidi="ar-SA"/>
    </w:rPr>
  </w:style>
  <w:style w:type="character" w:customStyle="1" w:styleId="924">
    <w:name w:val="标题 3 Char Char"/>
    <w:qFormat/>
    <w:uiPriority w:val="0"/>
    <w:rPr>
      <w:b/>
      <w:kern w:val="2"/>
      <w:sz w:val="24"/>
      <w:szCs w:val="24"/>
    </w:rPr>
  </w:style>
  <w:style w:type="character" w:customStyle="1" w:styleId="925">
    <w:name w:val="标题 1 字符"/>
    <w:qFormat/>
    <w:uiPriority w:val="0"/>
    <w:rPr>
      <w:rFonts w:hAnsi="宋体"/>
      <w:b/>
      <w:snapToGrid/>
      <w:kern w:val="2"/>
      <w:sz w:val="28"/>
      <w:szCs w:val="28"/>
    </w:rPr>
  </w:style>
  <w:style w:type="character" w:customStyle="1" w:styleId="926">
    <w:name w:val="标题 6 字符"/>
    <w:qFormat/>
    <w:uiPriority w:val="0"/>
    <w:rPr>
      <w:kern w:val="2"/>
      <w:sz w:val="24"/>
      <w:szCs w:val="24"/>
    </w:rPr>
  </w:style>
  <w:style w:type="character" w:customStyle="1" w:styleId="927">
    <w:name w:val="_Style 943"/>
    <w:qFormat/>
    <w:uiPriority w:val="19"/>
    <w:rPr>
      <w:i/>
      <w:iCs/>
      <w:color w:val="808080"/>
    </w:rPr>
  </w:style>
  <w:style w:type="character" w:customStyle="1" w:styleId="928">
    <w:name w:val="_Style 944"/>
    <w:qFormat/>
    <w:uiPriority w:val="21"/>
    <w:rPr>
      <w:b/>
      <w:bCs/>
      <w:i/>
      <w:iCs/>
      <w:color w:val="4F81BD"/>
    </w:rPr>
  </w:style>
  <w:style w:type="character" w:customStyle="1" w:styleId="929">
    <w:name w:val="_Style 945"/>
    <w:qFormat/>
    <w:uiPriority w:val="31"/>
    <w:rPr>
      <w:smallCaps/>
      <w:color w:val="C0504D"/>
      <w:u w:val="single"/>
    </w:rPr>
  </w:style>
  <w:style w:type="character" w:customStyle="1" w:styleId="930">
    <w:name w:val="_Style 946"/>
    <w:qFormat/>
    <w:uiPriority w:val="32"/>
    <w:rPr>
      <w:b/>
      <w:bCs/>
      <w:smallCaps/>
      <w:color w:val="C0504D"/>
      <w:spacing w:val="5"/>
      <w:u w:val="single"/>
    </w:rPr>
  </w:style>
  <w:style w:type="character" w:customStyle="1" w:styleId="931">
    <w:name w:val="_Style 947"/>
    <w:qFormat/>
    <w:uiPriority w:val="33"/>
    <w:rPr>
      <w:b/>
      <w:bCs/>
      <w:smallCaps/>
      <w:spacing w:val="5"/>
    </w:rPr>
  </w:style>
  <w:style w:type="character" w:customStyle="1" w:styleId="932">
    <w:name w:val="msoins"/>
    <w:qFormat/>
    <w:uiPriority w:val="0"/>
  </w:style>
  <w:style w:type="character" w:customStyle="1" w:styleId="933">
    <w:name w:val="1.1.1节 字符"/>
    <w:link w:val="708"/>
    <w:qFormat/>
    <w:uiPriority w:val="0"/>
    <w:rPr>
      <w:rFonts w:ascii="Times New Roman" w:hAnsi="Times New Roman" w:eastAsia="宋体" w:cs="Times New Roman"/>
      <w:bCs/>
      <w:color w:val="000000"/>
      <w:sz w:val="24"/>
      <w:szCs w:val="32"/>
    </w:rPr>
  </w:style>
  <w:style w:type="character" w:customStyle="1" w:styleId="934">
    <w:name w:val="表格 Char"/>
    <w:link w:val="193"/>
    <w:qFormat/>
    <w:uiPriority w:val="0"/>
    <w:rPr>
      <w:rFonts w:ascii="Times New Roman" w:hAnsi="Times New Roman" w:eastAsia="宋体" w:cs="Times New Roman"/>
      <w:kern w:val="0"/>
      <w:szCs w:val="20"/>
    </w:rPr>
  </w:style>
  <w:style w:type="character" w:customStyle="1" w:styleId="935">
    <w:name w:val="1.1.1.1.(1).1) 字符"/>
    <w:link w:val="709"/>
    <w:qFormat/>
    <w:uiPriority w:val="0"/>
    <w:rPr>
      <w:rFonts w:ascii="Times New Roman" w:hAnsi="Times New Roman" w:eastAsia="宋体" w:cs="Times New Roman"/>
      <w:sz w:val="24"/>
      <w:szCs w:val="24"/>
    </w:rPr>
  </w:style>
  <w:style w:type="character" w:customStyle="1" w:styleId="936">
    <w:name w:val="Char Char12"/>
    <w:qFormat/>
    <w:locked/>
    <w:uiPriority w:val="0"/>
    <w:rPr>
      <w:rFonts w:ascii="Times New Roman" w:hAnsi="Times New Roman" w:eastAsia="宋体" w:cs="Times New Roman"/>
      <w:kern w:val="0"/>
      <w:sz w:val="20"/>
      <w:szCs w:val="20"/>
      <w:lang w:val="en-GB"/>
    </w:rPr>
  </w:style>
  <w:style w:type="character" w:customStyle="1" w:styleId="937">
    <w:name w:val="表格 Char Char"/>
    <w:qFormat/>
    <w:uiPriority w:val="0"/>
    <w:rPr>
      <w:kern w:val="2"/>
      <w:sz w:val="18"/>
      <w:szCs w:val="24"/>
    </w:rPr>
  </w:style>
  <w:style w:type="character" w:customStyle="1" w:styleId="938">
    <w:name w:val="标题 4 Char1"/>
    <w:semiHidden/>
    <w:qFormat/>
    <w:uiPriority w:val="0"/>
    <w:rPr>
      <w:rFonts w:ascii="Arial" w:hAnsi="Arial" w:eastAsia="黑体"/>
      <w:b/>
      <w:position w:val="16"/>
      <w:sz w:val="28"/>
      <w:lang w:val="en-US" w:eastAsia="zh-CN" w:bidi="ar-SA"/>
    </w:rPr>
  </w:style>
  <w:style w:type="character" w:customStyle="1" w:styleId="939">
    <w:name w:val="正文 + 宋体 Char"/>
    <w:qFormat/>
    <w:uiPriority w:val="0"/>
    <w:rPr>
      <w:rFonts w:ascii="Arial" w:hAnsi="Arial" w:eastAsia="宋体" w:cs="Arial"/>
      <w:color w:val="000000"/>
      <w:kern w:val="2"/>
      <w:sz w:val="21"/>
      <w:szCs w:val="21"/>
      <w:lang w:val="en-US" w:eastAsia="zh-CN" w:bidi="ar-SA"/>
    </w:rPr>
  </w:style>
  <w:style w:type="character" w:customStyle="1" w:styleId="940">
    <w:name w:val="样式 标题 2 + 小四 非加粗 Char"/>
    <w:qFormat/>
    <w:uiPriority w:val="0"/>
    <w:rPr>
      <w:rFonts w:ascii="Arial" w:hAnsi="Arial" w:eastAsia="宋体"/>
      <w:b/>
      <w:bCs/>
      <w:kern w:val="2"/>
      <w:sz w:val="24"/>
      <w:lang w:val="en-US" w:eastAsia="zh-CN" w:bidi="ar-SA"/>
    </w:rPr>
  </w:style>
  <w:style w:type="character" w:customStyle="1" w:styleId="941">
    <w:name w:val="正文缩进 + Arial 加粗 Char"/>
    <w:qFormat/>
    <w:uiPriority w:val="0"/>
    <w:rPr>
      <w:rFonts w:ascii="Arial" w:hAnsi="Arial" w:eastAsia="宋体"/>
      <w:bCs/>
      <w:kern w:val="2"/>
      <w:sz w:val="24"/>
      <w:lang w:val="en-US" w:eastAsia="zh-CN" w:bidi="ar-SA"/>
    </w:rPr>
  </w:style>
  <w:style w:type="character" w:customStyle="1" w:styleId="942">
    <w:name w:val="正文缩进 + Arial Char"/>
    <w:qFormat/>
    <w:uiPriority w:val="0"/>
    <w:rPr>
      <w:rFonts w:ascii="Arial" w:hAnsi="Arial" w:eastAsia="宋体"/>
      <w:kern w:val="2"/>
      <w:sz w:val="24"/>
      <w:szCs w:val="24"/>
      <w:lang w:val="en-US" w:eastAsia="zh-CN" w:bidi="ar-SA"/>
    </w:rPr>
  </w:style>
  <w:style w:type="character" w:customStyle="1" w:styleId="943">
    <w:name w:val="Char Char8"/>
    <w:qFormat/>
    <w:uiPriority w:val="0"/>
    <w:rPr>
      <w:rFonts w:ascii="Times New Roman" w:hAnsi="Times New Roman" w:eastAsia="宋体" w:cs="Times New Roman"/>
      <w:sz w:val="18"/>
      <w:szCs w:val="18"/>
    </w:rPr>
  </w:style>
  <w:style w:type="character" w:customStyle="1" w:styleId="944">
    <w:name w:val="样式 (符号) 宋体 四号"/>
    <w:qFormat/>
    <w:uiPriority w:val="0"/>
    <w:rPr>
      <w:sz w:val="24"/>
    </w:rPr>
  </w:style>
  <w:style w:type="character" w:customStyle="1" w:styleId="945">
    <w:name w:val="标题 7 字符"/>
    <w:semiHidden/>
    <w:qFormat/>
    <w:uiPriority w:val="9"/>
    <w:rPr>
      <w:b/>
      <w:bCs/>
      <w:kern w:val="2"/>
      <w:sz w:val="24"/>
      <w:szCs w:val="24"/>
    </w:rPr>
  </w:style>
  <w:style w:type="character" w:customStyle="1" w:styleId="946">
    <w:name w:val="标题 8 字符"/>
    <w:semiHidden/>
    <w:qFormat/>
    <w:uiPriority w:val="9"/>
    <w:rPr>
      <w:rFonts w:ascii="等线 Light" w:hAnsi="等线 Light" w:eastAsia="等线 Light" w:cs="Times New Roman"/>
      <w:kern w:val="2"/>
      <w:sz w:val="24"/>
      <w:szCs w:val="24"/>
    </w:rPr>
  </w:style>
  <w:style w:type="character" w:customStyle="1" w:styleId="947">
    <w:name w:val="标题 9 字符"/>
    <w:semiHidden/>
    <w:qFormat/>
    <w:uiPriority w:val="9"/>
    <w:rPr>
      <w:rFonts w:ascii="等线 Light" w:hAnsi="等线 Light" w:eastAsia="等线 Light" w:cs="Times New Roman"/>
      <w:kern w:val="2"/>
      <w:sz w:val="21"/>
      <w:szCs w:val="21"/>
    </w:rPr>
  </w:style>
  <w:style w:type="character" w:customStyle="1" w:styleId="948">
    <w:name w:val="正文文本缩进 3 字符"/>
    <w:semiHidden/>
    <w:qFormat/>
    <w:uiPriority w:val="99"/>
    <w:rPr>
      <w:kern w:val="2"/>
      <w:sz w:val="16"/>
      <w:szCs w:val="16"/>
    </w:rPr>
  </w:style>
  <w:style w:type="character" w:customStyle="1" w:styleId="949">
    <w:name w:val="日期 字符"/>
    <w:semiHidden/>
    <w:qFormat/>
    <w:uiPriority w:val="99"/>
    <w:rPr>
      <w:kern w:val="2"/>
      <w:sz w:val="21"/>
      <w:szCs w:val="24"/>
    </w:rPr>
  </w:style>
  <w:style w:type="character" w:customStyle="1" w:styleId="950">
    <w:name w:val="正文文本缩进 字符"/>
    <w:semiHidden/>
    <w:qFormat/>
    <w:uiPriority w:val="99"/>
    <w:rPr>
      <w:kern w:val="2"/>
      <w:sz w:val="21"/>
      <w:szCs w:val="24"/>
    </w:rPr>
  </w:style>
  <w:style w:type="character" w:customStyle="1" w:styleId="951">
    <w:name w:val="正文文本缩进 2 字符"/>
    <w:semiHidden/>
    <w:qFormat/>
    <w:uiPriority w:val="99"/>
    <w:rPr>
      <w:kern w:val="2"/>
      <w:sz w:val="21"/>
      <w:szCs w:val="24"/>
    </w:rPr>
  </w:style>
  <w:style w:type="character" w:customStyle="1" w:styleId="952">
    <w:name w:val="正文文本 2 字符"/>
    <w:semiHidden/>
    <w:qFormat/>
    <w:uiPriority w:val="99"/>
    <w:rPr>
      <w:kern w:val="2"/>
      <w:sz w:val="21"/>
      <w:szCs w:val="24"/>
    </w:rPr>
  </w:style>
  <w:style w:type="character" w:customStyle="1" w:styleId="953">
    <w:name w:val="正文首行缩进 2 字符"/>
    <w:semiHidden/>
    <w:qFormat/>
    <w:uiPriority w:val="99"/>
  </w:style>
  <w:style w:type="character" w:customStyle="1" w:styleId="954">
    <w:name w:val="纯文本 字符"/>
    <w:semiHidden/>
    <w:qFormat/>
    <w:uiPriority w:val="99"/>
    <w:rPr>
      <w:rFonts w:ascii="等线" w:hAnsi="Courier New" w:eastAsia="等线" w:cs="Courier New"/>
      <w:kern w:val="2"/>
      <w:sz w:val="21"/>
      <w:szCs w:val="24"/>
    </w:rPr>
  </w:style>
  <w:style w:type="character" w:customStyle="1" w:styleId="955">
    <w:name w:val="正文文本 字符"/>
    <w:semiHidden/>
    <w:qFormat/>
    <w:uiPriority w:val="99"/>
    <w:rPr>
      <w:kern w:val="2"/>
      <w:sz w:val="21"/>
      <w:szCs w:val="24"/>
    </w:rPr>
  </w:style>
  <w:style w:type="character" w:customStyle="1" w:styleId="956">
    <w:name w:val="注释标题 字符"/>
    <w:semiHidden/>
    <w:qFormat/>
    <w:uiPriority w:val="99"/>
    <w:rPr>
      <w:kern w:val="2"/>
      <w:sz w:val="21"/>
      <w:szCs w:val="24"/>
    </w:rPr>
  </w:style>
  <w:style w:type="character" w:customStyle="1" w:styleId="957">
    <w:name w:val="正文首行缩进 字符"/>
    <w:semiHidden/>
    <w:qFormat/>
    <w:uiPriority w:val="99"/>
  </w:style>
  <w:style w:type="character" w:customStyle="1" w:styleId="958">
    <w:name w:val="文档结构图 字符"/>
    <w:semiHidden/>
    <w:qFormat/>
    <w:uiPriority w:val="99"/>
    <w:rPr>
      <w:rFonts w:ascii="Microsoft YaHei UI" w:eastAsia="Microsoft YaHei UI"/>
      <w:kern w:val="2"/>
      <w:sz w:val="18"/>
      <w:szCs w:val="18"/>
    </w:rPr>
  </w:style>
  <w:style w:type="character" w:customStyle="1" w:styleId="959">
    <w:name w:val="副标题 字符"/>
    <w:qFormat/>
    <w:uiPriority w:val="11"/>
    <w:rPr>
      <w:rFonts w:ascii="等线" w:hAnsi="等线" w:eastAsia="等线" w:cs="Times New Roman"/>
      <w:b/>
      <w:bCs/>
      <w:kern w:val="28"/>
      <w:sz w:val="32"/>
      <w:szCs w:val="32"/>
    </w:rPr>
  </w:style>
  <w:style w:type="character" w:customStyle="1" w:styleId="960">
    <w:name w:val="标题 字符"/>
    <w:qFormat/>
    <w:uiPriority w:val="10"/>
    <w:rPr>
      <w:rFonts w:ascii="等线 Light" w:hAnsi="等线 Light" w:eastAsia="等线 Light" w:cs="Times New Roman"/>
      <w:b/>
      <w:bCs/>
      <w:kern w:val="2"/>
      <w:sz w:val="32"/>
      <w:szCs w:val="32"/>
    </w:rPr>
  </w:style>
  <w:style w:type="character" w:customStyle="1" w:styleId="961">
    <w:name w:val="YB图表标题 Char"/>
    <w:link w:val="175"/>
    <w:qFormat/>
    <w:uiPriority w:val="0"/>
    <w:rPr>
      <w:rFonts w:ascii="Times New Roman" w:hAnsi="Times New Roman" w:eastAsia="黑体" w:cs="Times New Roman"/>
      <w:sz w:val="24"/>
      <w:szCs w:val="20"/>
    </w:rPr>
  </w:style>
  <w:style w:type="table" w:customStyle="1" w:styleId="962">
    <w:name w:val="网格型1"/>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3">
    <w:name w:val="网格型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4">
    <w:name w:val="网格型3"/>
    <w:basedOn w:val="8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网格型4"/>
    <w:basedOn w:val="88"/>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网格型11"/>
    <w:basedOn w:val="8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网格型21"/>
    <w:basedOn w:val="8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huibian_表格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9">
    <w:name w:val="huibian_表格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0">
    <w:name w:val="网格型31"/>
    <w:basedOn w:val="88"/>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1">
    <w:name w:val="网格型41"/>
    <w:basedOn w:val="88"/>
    <w:qFormat/>
    <w:uiPriority w:val="0"/>
    <w:pPr>
      <w:widowControl w:val="0"/>
      <w:adjustRightInd w:val="0"/>
      <w:snapToGrid w:val="0"/>
      <w:spacing w:line="300" w:lineRule="auto"/>
      <w:ind w:firstLine="482"/>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2">
    <w:name w:val="网格型5"/>
    <w:basedOn w:val="88"/>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3">
    <w:name w:val="网格型6"/>
    <w:basedOn w:val="88"/>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4">
    <w:name w:val="网格型7"/>
    <w:basedOn w:val="88"/>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网格型8"/>
    <w:basedOn w:val="88"/>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网格型9"/>
    <w:basedOn w:val="88"/>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网格型10"/>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网格型12"/>
    <w:basedOn w:val="88"/>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网格型22"/>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0">
    <w:name w:val="网格型32"/>
    <w:basedOn w:val="8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网格型13"/>
    <w:basedOn w:val="88"/>
    <w:qFormat/>
    <w:uiPriority w:val="59"/>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表格主题1"/>
    <w:basedOn w:val="88"/>
    <w:qFormat/>
    <w:uiPriority w:val="0"/>
    <w:pPr>
      <w:widowControl w:val="0"/>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table" w:customStyle="1" w:styleId="983">
    <w:name w:val="古典型 11"/>
    <w:basedOn w:val="88"/>
    <w:qFormat/>
    <w:uiPriority w:val="0"/>
    <w:pPr>
      <w:widowControl w:val="0"/>
      <w:spacing w:line="300" w:lineRule="auto"/>
      <w:ind w:firstLine="200" w:firstLineChars="200"/>
      <w:jc w:val="both"/>
    </w:pPr>
    <w:tblPr>
      <w:tblBorders>
        <w:top w:val="single" w:color="000000" w:sz="12" w:space="0"/>
        <w:bottom w:val="single" w:color="000000" w:sz="12" w:space="0"/>
      </w:tblBorders>
    </w:tblPr>
    <w:tcPr>
      <w:shd w:val="clear" w:color="auto" w:fill="auto"/>
    </w:tcPr>
    <w:tblStylePr w:type="firstRow">
      <w:rPr>
        <w:i/>
        <w:iCs/>
      </w:rPr>
      <w:tcPr>
        <w:tcBorders>
          <w:top w:val="nil"/>
          <w:left w:val="single" w:color="000000" w:sz="6" w:space="0"/>
          <w:bottom w:val="nil"/>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984">
    <w:name w:val="网格型14"/>
    <w:basedOn w:val="8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网格型23"/>
    <w:basedOn w:val="8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huibian_表格1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7">
    <w:name w:val="huibian_表格21"/>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8">
    <w:name w:val="网格型33"/>
    <w:basedOn w:val="88"/>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9">
    <w:name w:val="网格型42"/>
    <w:basedOn w:val="88"/>
    <w:qFormat/>
    <w:uiPriority w:val="0"/>
    <w:pPr>
      <w:widowControl w:val="0"/>
      <w:adjustRightInd w:val="0"/>
      <w:snapToGrid w:val="0"/>
      <w:spacing w:line="300" w:lineRule="auto"/>
      <w:ind w:firstLine="482"/>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0">
    <w:name w:val="网格型51"/>
    <w:basedOn w:val="88"/>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1">
    <w:name w:val="网格型61"/>
    <w:basedOn w:val="88"/>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2">
    <w:name w:val="网格型71"/>
    <w:basedOn w:val="88"/>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3">
    <w:name w:val="网格型81"/>
    <w:basedOn w:val="88"/>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4">
    <w:name w:val="网格型111"/>
    <w:basedOn w:val="8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5">
    <w:name w:val="网格型211"/>
    <w:basedOn w:val="8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6">
    <w:name w:val="网格型311"/>
    <w:basedOn w:val="88"/>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7">
    <w:name w:val="网格型411"/>
    <w:basedOn w:val="88"/>
    <w:qFormat/>
    <w:uiPriority w:val="0"/>
    <w:pPr>
      <w:widowControl w:val="0"/>
      <w:adjustRightInd w:val="0"/>
      <w:snapToGrid w:val="0"/>
      <w:spacing w:line="300" w:lineRule="auto"/>
      <w:ind w:firstLine="482"/>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8">
    <w:name w:val="网格型91"/>
    <w:basedOn w:val="88"/>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9">
    <w:name w:val="正文123"/>
    <w:basedOn w:val="1"/>
    <w:qFormat/>
    <w:uiPriority w:val="0"/>
    <w:pPr>
      <w:spacing w:line="360" w:lineRule="auto"/>
      <w:ind w:firstLine="200" w:firstLineChars="200"/>
    </w:pPr>
    <w:rPr>
      <w:sz w:val="24"/>
    </w:rPr>
  </w:style>
  <w:style w:type="character" w:customStyle="1" w:styleId="1000">
    <w:name w:val="正文缩进 字符"/>
    <w:link w:val="21"/>
    <w:qFormat/>
    <w:uiPriority w:val="0"/>
    <w:rPr>
      <w:rFonts w:ascii="Times New Roman" w:hAnsi="Times New Roman" w:eastAsia="宋体" w:cs="Times New Roman"/>
      <w:szCs w:val="21"/>
    </w:rPr>
  </w:style>
  <w:style w:type="paragraph" w:customStyle="1" w:styleId="1001">
    <w:name w:val="正文文本2"/>
    <w:basedOn w:val="1"/>
    <w:qFormat/>
    <w:uiPriority w:val="0"/>
    <w:pPr>
      <w:autoSpaceDE w:val="0"/>
      <w:autoSpaceDN w:val="0"/>
      <w:jc w:val="left"/>
    </w:pPr>
    <w:rPr>
      <w:kern w:val="0"/>
      <w:sz w:val="24"/>
      <w:szCs w:val="20"/>
      <w:lang w:eastAsia="en-US"/>
    </w:rPr>
  </w:style>
  <w:style w:type="paragraph" w:customStyle="1" w:styleId="1002">
    <w:name w:val="正文文本3"/>
    <w:basedOn w:val="1"/>
    <w:qFormat/>
    <w:uiPriority w:val="0"/>
    <w:pPr>
      <w:autoSpaceDE w:val="0"/>
      <w:autoSpaceDN w:val="0"/>
      <w:jc w:val="left"/>
    </w:pPr>
    <w:rPr>
      <w:kern w:val="0"/>
      <w:sz w:val="24"/>
      <w:szCs w:val="20"/>
      <w:lang w:eastAsia="en-US"/>
    </w:rPr>
  </w:style>
  <w:style w:type="paragraph" w:customStyle="1" w:styleId="1003">
    <w:name w:val="正文（成都地铁2号线土建9标实施性施工组织设计辛松鹤）小四 行距: 1.5 倍行距 + 首行缩进:  2 字符"/>
    <w:basedOn w:val="1"/>
    <w:qFormat/>
    <w:uiPriority w:val="0"/>
    <w:pPr>
      <w:spacing w:line="360" w:lineRule="auto"/>
      <w:ind w:firstLine="200" w:firstLineChars="200"/>
    </w:pPr>
    <w:rPr>
      <w:rFonts w:cs="宋体"/>
      <w:sz w:val="24"/>
      <w:szCs w:val="20"/>
    </w:rPr>
  </w:style>
  <w:style w:type="paragraph" w:customStyle="1" w:styleId="1004">
    <w:name w:val="！正文"/>
    <w:basedOn w:val="1"/>
    <w:qFormat/>
    <w:uiPriority w:val="0"/>
    <w:pPr>
      <w:spacing w:line="500" w:lineRule="atLeast"/>
    </w:pPr>
    <w:rPr>
      <w:sz w:val="24"/>
    </w:rPr>
  </w:style>
  <w:style w:type="paragraph" w:customStyle="1" w:styleId="1005">
    <w:name w:val="6级标题"/>
    <w:basedOn w:val="1"/>
    <w:qFormat/>
    <w:uiPriority w:val="0"/>
    <w:pPr>
      <w:spacing w:line="500" w:lineRule="atLeast"/>
      <w:jc w:val="center"/>
    </w:pPr>
    <w:rPr>
      <w:rFonts w:eastAsia="黑体" w:cs="宋体"/>
      <w:sz w:val="24"/>
    </w:rPr>
  </w:style>
  <w:style w:type="character" w:customStyle="1" w:styleId="1006">
    <w:name w:val="font01"/>
    <w:basedOn w:val="93"/>
    <w:qFormat/>
    <w:uiPriority w:val="0"/>
    <w:rPr>
      <w:rFonts w:hint="eastAsia" w:ascii="宋体" w:hAnsi="宋体" w:eastAsia="宋体" w:cs="宋体"/>
      <w:color w:val="000000"/>
      <w:sz w:val="22"/>
      <w:szCs w:val="22"/>
      <w:u w:val="none"/>
    </w:rPr>
  </w:style>
  <w:style w:type="character" w:customStyle="1" w:styleId="1007">
    <w:name w:val="font61"/>
    <w:basedOn w:val="93"/>
    <w:qFormat/>
    <w:uiPriority w:val="0"/>
    <w:rPr>
      <w:rFonts w:hint="default" w:ascii="Times New Roman" w:hAnsi="Times New Roman" w:cs="Times New Roman"/>
      <w:color w:val="000000"/>
      <w:sz w:val="22"/>
      <w:szCs w:val="22"/>
      <w:u w:val="none"/>
    </w:rPr>
  </w:style>
  <w:style w:type="character" w:customStyle="1" w:styleId="1008">
    <w:name w:val="font81"/>
    <w:basedOn w:val="93"/>
    <w:qFormat/>
    <w:uiPriority w:val="0"/>
    <w:rPr>
      <w:rFonts w:hint="default" w:ascii="Times New Roman" w:hAnsi="Times New Roman" w:cs="Times New Roman"/>
      <w:color w:val="000000"/>
      <w:sz w:val="22"/>
      <w:szCs w:val="22"/>
      <w:u w:val="none"/>
    </w:rPr>
  </w:style>
  <w:style w:type="character" w:customStyle="1" w:styleId="1009">
    <w:name w:val="font91"/>
    <w:basedOn w:val="93"/>
    <w:qFormat/>
    <w:uiPriority w:val="0"/>
    <w:rPr>
      <w:rFonts w:hint="eastAsia" w:ascii="宋体" w:hAnsi="宋体" w:eastAsia="宋体" w:cs="宋体"/>
      <w:color w:val="000000"/>
      <w:sz w:val="22"/>
      <w:szCs w:val="22"/>
      <w:u w:val="none"/>
    </w:rPr>
  </w:style>
  <w:style w:type="character" w:customStyle="1" w:styleId="1010">
    <w:name w:val="font31"/>
    <w:basedOn w:val="93"/>
    <w:qFormat/>
    <w:uiPriority w:val="0"/>
    <w:rPr>
      <w:rFonts w:hint="default" w:ascii="Times New Roman" w:hAnsi="Times New Roman" w:cs="Times New Roman"/>
      <w:color w:val="000000"/>
      <w:sz w:val="21"/>
      <w:szCs w:val="21"/>
      <w:u w:val="none"/>
    </w:rPr>
  </w:style>
  <w:style w:type="character" w:customStyle="1" w:styleId="1011">
    <w:name w:val="font41"/>
    <w:basedOn w:val="93"/>
    <w:qFormat/>
    <w:uiPriority w:val="0"/>
    <w:rPr>
      <w:rFonts w:hint="default" w:ascii="Times New Roman" w:hAnsi="Times New Roman" w:cs="Times New Roman"/>
      <w:color w:val="000000"/>
      <w:sz w:val="22"/>
      <w:szCs w:val="22"/>
      <w:u w:val="none"/>
    </w:rPr>
  </w:style>
  <w:style w:type="character" w:customStyle="1" w:styleId="1012">
    <w:name w:val="font71"/>
    <w:basedOn w:val="93"/>
    <w:qFormat/>
    <w:uiPriority w:val="0"/>
    <w:rPr>
      <w:rFonts w:hint="eastAsia" w:ascii="宋体" w:hAnsi="宋体" w:eastAsia="宋体" w:cs="宋体"/>
      <w:color w:val="000000"/>
      <w:sz w:val="22"/>
      <w:szCs w:val="22"/>
      <w:u w:val="none"/>
    </w:rPr>
  </w:style>
  <w:style w:type="character" w:customStyle="1" w:styleId="1013">
    <w:name w:val="font21"/>
    <w:basedOn w:val="93"/>
    <w:qFormat/>
    <w:uiPriority w:val="0"/>
    <w:rPr>
      <w:rFonts w:hint="default" w:ascii="Times New Roman" w:hAnsi="Times New Roman" w:cs="Times New Roman"/>
      <w:color w:val="000000"/>
      <w:sz w:val="22"/>
      <w:szCs w:val="22"/>
      <w:u w:val="none"/>
    </w:rPr>
  </w:style>
  <w:style w:type="character" w:customStyle="1" w:styleId="1014">
    <w:name w:val="font51"/>
    <w:basedOn w:val="93"/>
    <w:qFormat/>
    <w:uiPriority w:val="0"/>
    <w:rPr>
      <w:rFonts w:hint="default" w:ascii="Times New Roman" w:hAnsi="Times New Roman" w:cs="Times New Roman"/>
      <w:color w:val="000000"/>
      <w:sz w:val="22"/>
      <w:szCs w:val="22"/>
      <w:u w:val="none"/>
    </w:rPr>
  </w:style>
  <w:style w:type="paragraph" w:customStyle="1" w:styleId="1015">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1016">
    <w:name w:val="未处理的提及1"/>
    <w:basedOn w:val="93"/>
    <w:semiHidden/>
    <w:unhideWhenUsed/>
    <w:qFormat/>
    <w:uiPriority w:val="99"/>
    <w:rPr>
      <w:color w:val="605E5C"/>
      <w:shd w:val="clear" w:color="auto" w:fill="E1DFDD"/>
    </w:rPr>
  </w:style>
  <w:style w:type="character" w:customStyle="1" w:styleId="1017">
    <w:name w:val="未处理的提及2"/>
    <w:basedOn w:val="93"/>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87A144-568D-4553-9468-F3AC2BAED87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120</Pages>
  <Words>74302</Words>
  <Characters>82596</Characters>
  <Lines>727</Lines>
  <Paragraphs>204</Paragraphs>
  <TotalTime>189</TotalTime>
  <ScaleCrop>false</ScaleCrop>
  <LinksUpToDate>false</LinksUpToDate>
  <CharactersWithSpaces>84726</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2020-03-02T02:32:00Z</dcterms:created>
  <dc:creator>个人用户</dc:creator>
  <cp:lastModifiedBy>黎阳</cp:lastModifiedBy>
  <cp:lastPrinted>2022-09-09T08:57:00Z</cp:lastPrinted>
  <dcterms:modified xsi:type="dcterms:W3CDTF">2022-11-18T02:15:44Z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AF2E24C2C50F4C7BBE1548CBDB407DAE</vt:lpwstr>
  </property>
</Properties>
</file>