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4AD0E2">
      <w:pPr>
        <w:spacing w:before="120" w:beforeLines="50" w:after="120" w:afterLines="50" w:line="560" w:lineRule="exact"/>
        <w:ind w:firstLine="0" w:firstLineChars="0"/>
        <w:jc w:val="center"/>
        <w:rPr>
          <w:rFonts w:hint="eastAsia" w:cs="宋体"/>
          <w:b/>
          <w:bCs/>
          <w:spacing w:val="13"/>
          <w:sz w:val="44"/>
          <w:szCs w:val="44"/>
          <w:highlight w:val="none"/>
        </w:rPr>
      </w:pPr>
      <w:bookmarkStart w:id="1193" w:name="_GoBack"/>
      <w:bookmarkEnd w:id="1193"/>
      <w:bookmarkStart w:id="0" w:name="_Toc16356"/>
      <w:bookmarkStart w:id="1" w:name="_Toc17247"/>
      <w:bookmarkStart w:id="2" w:name="_Toc28419"/>
      <w:bookmarkStart w:id="3" w:name="_Toc29558"/>
      <w:bookmarkStart w:id="4" w:name="_Toc29100"/>
      <w:bookmarkStart w:id="5" w:name="_Toc27926"/>
      <w:bookmarkStart w:id="6" w:name="_Toc24679"/>
      <w:bookmarkStart w:id="7" w:name="_Toc20178"/>
      <w:bookmarkStart w:id="8" w:name="_Toc19141"/>
      <w:bookmarkStart w:id="9" w:name="_Toc30175"/>
      <w:r>
        <w:rPr>
          <w:rFonts w:hint="eastAsia" w:cs="宋体"/>
          <w:b/>
          <w:bCs/>
          <w:spacing w:val="13"/>
          <w:sz w:val="44"/>
          <w:szCs w:val="44"/>
          <w:highlight w:val="none"/>
        </w:rPr>
        <w:t>荔湾区葵蓬南保障性住房项目综合体工程</w:t>
      </w:r>
    </w:p>
    <w:p w14:paraId="5F957926">
      <w:pPr>
        <w:spacing w:before="120" w:beforeLines="50" w:after="120" w:afterLines="50" w:line="560" w:lineRule="exact"/>
        <w:ind w:firstLine="0" w:firstLineChars="0"/>
        <w:jc w:val="center"/>
        <w:rPr>
          <w:rFonts w:hint="default" w:eastAsia="宋体" w:cs="宋体"/>
          <w:b/>
          <w:bCs/>
          <w:spacing w:val="13"/>
          <w:sz w:val="44"/>
          <w:szCs w:val="44"/>
          <w:highlight w:val="none"/>
          <w:lang w:val="en-US" w:eastAsia="zh-CN"/>
        </w:rPr>
      </w:pPr>
      <w:r>
        <w:rPr>
          <w:rFonts w:hint="eastAsia" w:cs="宋体"/>
          <w:b/>
          <w:bCs/>
          <w:spacing w:val="13"/>
          <w:sz w:val="44"/>
          <w:szCs w:val="44"/>
          <w:highlight w:val="none"/>
          <w:lang w:val="en-US" w:eastAsia="zh-CN"/>
        </w:rPr>
        <w:t>施工图设计施工总承包</w:t>
      </w:r>
    </w:p>
    <w:p w14:paraId="233C6E9B">
      <w:pPr>
        <w:spacing w:before="120" w:beforeLines="50" w:after="120" w:afterLines="50" w:line="560" w:lineRule="exact"/>
        <w:ind w:firstLine="0" w:firstLineChars="0"/>
        <w:jc w:val="center"/>
        <w:rPr>
          <w:rFonts w:hint="eastAsia" w:cs="宋体"/>
          <w:b/>
          <w:bCs/>
          <w:spacing w:val="13"/>
          <w:sz w:val="44"/>
          <w:szCs w:val="44"/>
          <w:highlight w:val="none"/>
        </w:rPr>
      </w:pPr>
      <w:r>
        <w:rPr>
          <w:rFonts w:hint="eastAsia" w:cs="宋体"/>
          <w:b/>
          <w:bCs/>
          <w:spacing w:val="13"/>
          <w:sz w:val="44"/>
          <w:szCs w:val="44"/>
          <w:highlight w:val="none"/>
        </w:rPr>
        <w:t>发包人技术要求</w:t>
      </w:r>
    </w:p>
    <w:p w14:paraId="606BF790">
      <w:pPr>
        <w:pStyle w:val="24"/>
        <w:ind w:firstLine="482"/>
        <w:rPr>
          <w:rFonts w:hint="eastAsia"/>
          <w:highlight w:val="none"/>
        </w:rPr>
      </w:pPr>
    </w:p>
    <w:p w14:paraId="2905458D">
      <w:pPr>
        <w:pStyle w:val="12"/>
        <w:spacing w:before="117" w:line="219" w:lineRule="auto"/>
        <w:outlineLvl w:val="0"/>
        <w:rPr>
          <w:rFonts w:hint="eastAsia"/>
          <w:sz w:val="36"/>
          <w:szCs w:val="36"/>
          <w:highlight w:val="none"/>
          <w:lang w:eastAsia="zh-CN"/>
        </w:rPr>
      </w:pPr>
      <w:r>
        <w:rPr>
          <w:b/>
          <w:bCs/>
          <w:spacing w:val="-9"/>
          <w:sz w:val="36"/>
          <w:szCs w:val="36"/>
          <w:highlight w:val="none"/>
          <w:lang w:eastAsia="zh-CN"/>
        </w:rPr>
        <w:t>第</w:t>
      </w:r>
      <w:r>
        <w:rPr>
          <w:rFonts w:hint="eastAsia"/>
          <w:b/>
          <w:bCs/>
          <w:spacing w:val="-9"/>
          <w:sz w:val="36"/>
          <w:szCs w:val="36"/>
          <w:highlight w:val="none"/>
          <w:lang w:eastAsia="zh-CN"/>
        </w:rPr>
        <w:t>一</w:t>
      </w:r>
      <w:r>
        <w:rPr>
          <w:b/>
          <w:bCs/>
          <w:spacing w:val="-9"/>
          <w:sz w:val="36"/>
          <w:szCs w:val="36"/>
          <w:highlight w:val="none"/>
          <w:lang w:eastAsia="zh-CN"/>
        </w:rPr>
        <w:t>部分</w:t>
      </w:r>
      <w:r>
        <w:rPr>
          <w:spacing w:val="37"/>
          <w:sz w:val="36"/>
          <w:szCs w:val="36"/>
          <w:highlight w:val="none"/>
          <w:lang w:eastAsia="zh-CN"/>
        </w:rPr>
        <w:t xml:space="preserve"> </w:t>
      </w:r>
      <w:r>
        <w:rPr>
          <w:rFonts w:hint="eastAsia"/>
          <w:b/>
          <w:bCs/>
          <w:spacing w:val="-9"/>
          <w:sz w:val="36"/>
          <w:szCs w:val="36"/>
          <w:highlight w:val="none"/>
          <w:lang w:eastAsia="zh-CN"/>
        </w:rPr>
        <w:t>设计任务书</w:t>
      </w:r>
    </w:p>
    <w:p w14:paraId="4A49FDD3">
      <w:pPr>
        <w:ind w:firstLine="482"/>
        <w:rPr>
          <w:rFonts w:hint="eastAsia" w:cs="宋体"/>
          <w:b/>
          <w:bCs/>
          <w:highlight w:val="none"/>
        </w:rPr>
      </w:pPr>
    </w:p>
    <w:p w14:paraId="139B6C0F">
      <w:pPr>
        <w:ind w:firstLine="482"/>
        <w:rPr>
          <w:rFonts w:hint="eastAsia" w:cs="宋体"/>
          <w:b/>
          <w:bCs/>
          <w:highlight w:val="none"/>
        </w:rPr>
      </w:pPr>
      <w:r>
        <w:rPr>
          <w:rFonts w:hint="eastAsia" w:cs="宋体"/>
          <w:b/>
          <w:bCs/>
          <w:highlight w:val="none"/>
        </w:rPr>
        <w:t>1.1项目概况</w:t>
      </w:r>
    </w:p>
    <w:p w14:paraId="4C8D3E36">
      <w:pPr>
        <w:autoSpaceDE w:val="0"/>
        <w:autoSpaceDN w:val="0"/>
        <w:adjustRightInd w:val="0"/>
        <w:ind w:firstLine="480"/>
        <w:rPr>
          <w:rFonts w:hint="eastAsia" w:cs="宋体"/>
          <w:highlight w:val="none"/>
        </w:rPr>
      </w:pPr>
      <w:r>
        <w:rPr>
          <w:rFonts w:hint="eastAsia" w:cs="宋体"/>
          <w:highlight w:val="none"/>
        </w:rPr>
        <w:t>1.1.1.建设单位:</w:t>
      </w:r>
      <w:r>
        <w:rPr>
          <w:rFonts w:hint="eastAsia" w:cs="宋体"/>
          <w:highlight w:val="none"/>
          <w:u w:val="single"/>
        </w:rPr>
        <w:t>广州珠江住房租赁发展投资有限</w:t>
      </w:r>
      <w:r>
        <w:rPr>
          <w:rFonts w:hint="eastAsia" w:cs="宋体"/>
          <w:highlight w:val="none"/>
        </w:rPr>
        <w:t>公司。</w:t>
      </w:r>
    </w:p>
    <w:p w14:paraId="61987163">
      <w:pPr>
        <w:autoSpaceDE w:val="0"/>
        <w:autoSpaceDN w:val="0"/>
        <w:adjustRightInd w:val="0"/>
        <w:ind w:firstLine="480"/>
        <w:rPr>
          <w:rFonts w:hint="eastAsia" w:cs="宋体"/>
          <w:highlight w:val="none"/>
        </w:rPr>
      </w:pPr>
      <w:r>
        <w:rPr>
          <w:rFonts w:hint="eastAsia" w:cs="宋体"/>
          <w:highlight w:val="none"/>
        </w:rPr>
        <w:t>1.1.2工程地点:</w:t>
      </w:r>
      <w:r>
        <w:rPr>
          <w:rFonts w:hint="eastAsia" w:cs="宋体"/>
          <w:bCs/>
          <w:spacing w:val="-6"/>
          <w:kern w:val="0"/>
          <w:highlight w:val="none"/>
          <w:u w:val="single"/>
        </w:rPr>
        <w:t>广州市荔湾区茶滘街道牛肚湾涌以东，嵘都南街以南、广佛河以北</w:t>
      </w:r>
      <w:r>
        <w:rPr>
          <w:rFonts w:hint="eastAsia" w:cs="宋体"/>
          <w:highlight w:val="none"/>
        </w:rPr>
        <w:t>。</w:t>
      </w:r>
    </w:p>
    <w:p w14:paraId="41C49876">
      <w:pPr>
        <w:autoSpaceDE w:val="0"/>
        <w:autoSpaceDN w:val="0"/>
        <w:adjustRightInd w:val="0"/>
        <w:ind w:firstLine="480"/>
        <w:rPr>
          <w:rFonts w:hint="eastAsia" w:cs="宋体"/>
          <w:highlight w:val="none"/>
        </w:rPr>
      </w:pPr>
      <w:r>
        <w:rPr>
          <w:rFonts w:hint="eastAsia" w:cs="宋体"/>
          <w:highlight w:val="none"/>
        </w:rPr>
        <w:t>1.1.3建设规模：</w:t>
      </w:r>
      <w:r>
        <w:rPr>
          <w:rFonts w:hint="eastAsia" w:ascii="宋体" w:hAnsi="宋体" w:eastAsia="宋体" w:cs="宋体"/>
          <w:bCs/>
          <w:spacing w:val="-6"/>
          <w:kern w:val="0"/>
          <w:sz w:val="24"/>
          <w:szCs w:val="24"/>
          <w:highlight w:val="none"/>
          <w:u w:val="single"/>
          <w:lang w:val="en-US" w:eastAsia="zh-CN"/>
        </w:rPr>
        <w:t>本项目拟设置一栋独立综合体，主要用于配建公建配套、商业服务设施及档案馆，</w:t>
      </w:r>
      <w:r>
        <w:rPr>
          <w:rFonts w:hint="eastAsia" w:ascii="宋体" w:hAnsi="宋体" w:eastAsia="宋体" w:cs="宋体"/>
          <w:bCs/>
          <w:color w:val="auto"/>
          <w:spacing w:val="-6"/>
          <w:kern w:val="0"/>
          <w:sz w:val="24"/>
          <w:szCs w:val="24"/>
          <w:highlight w:val="none"/>
          <w:u w:val="single"/>
          <w:lang w:val="en-US" w:eastAsia="zh-CN"/>
        </w:rPr>
        <w:t>建筑面积约5500㎡</w:t>
      </w:r>
      <w:r>
        <w:rPr>
          <w:rFonts w:hint="eastAsia" w:ascii="宋体" w:hAnsi="宋体" w:eastAsia="宋体" w:cs="宋体"/>
          <w:bCs/>
          <w:spacing w:val="-6"/>
          <w:kern w:val="0"/>
          <w:sz w:val="24"/>
          <w:szCs w:val="24"/>
          <w:highlight w:val="none"/>
          <w:u w:val="single"/>
          <w:lang w:val="en-US" w:eastAsia="zh-CN"/>
        </w:rPr>
        <w:t>，建筑高度约18.15m，共4层，不设置地下室。本项目涉及广南联络线，线路全长16.077公里，其中隧道13.21km，桥梁 1.093km，铁路等级为时速200km/h的II级城际铁路。铁路隧道埋深40-60米，隧道结构宽度约12.4米。广南铁路盾构隧道经东西向下穿过项目地块，穿越长度197.47m。根据铁路有关规定，项目涉及铁路保护区。</w:t>
      </w:r>
      <w:r>
        <w:rPr>
          <w:rFonts w:hint="eastAsia" w:cs="宋体"/>
          <w:highlight w:val="none"/>
        </w:rPr>
        <w:t>1.1.4该项目的建设规模及指标最终以政府相关部门的批复及发包人选定方案为准，发包人有权根据批复意见进行调整，承包人应给予修改。</w:t>
      </w:r>
    </w:p>
    <w:p w14:paraId="2E19C355">
      <w:pPr>
        <w:autoSpaceDE w:val="0"/>
        <w:autoSpaceDN w:val="0"/>
        <w:adjustRightInd w:val="0"/>
        <w:ind w:firstLine="480"/>
        <w:rPr>
          <w:rFonts w:hint="eastAsia" w:cs="宋体"/>
          <w:highlight w:val="none"/>
          <w:u w:val="single"/>
        </w:rPr>
      </w:pPr>
      <w:r>
        <w:rPr>
          <w:rFonts w:hint="eastAsia" w:cs="宋体"/>
          <w:highlight w:val="none"/>
        </w:rPr>
        <w:t>1.1.5本项目分为 1 个标段。</w:t>
      </w:r>
    </w:p>
    <w:p w14:paraId="2D674CE7">
      <w:pPr>
        <w:ind w:firstLine="482"/>
        <w:rPr>
          <w:rFonts w:hint="eastAsia" w:cs="宋体"/>
          <w:b/>
          <w:bCs/>
          <w:highlight w:val="none"/>
        </w:rPr>
      </w:pPr>
      <w:r>
        <w:rPr>
          <w:rFonts w:hint="eastAsia" w:cs="宋体"/>
          <w:b/>
          <w:bCs/>
          <w:highlight w:val="none"/>
        </w:rPr>
        <w:t>1.2主要设计依据</w:t>
      </w:r>
    </w:p>
    <w:p w14:paraId="6EFDF628">
      <w:pPr>
        <w:ind w:firstLine="480"/>
        <w:rPr>
          <w:rFonts w:hint="eastAsia" w:cs="宋体"/>
          <w:highlight w:val="none"/>
        </w:rPr>
      </w:pPr>
      <w:r>
        <w:rPr>
          <w:rFonts w:hint="eastAsia" w:cs="宋体"/>
          <w:highlight w:val="none"/>
        </w:rPr>
        <w:t>1.2.1中华人民共和国的法律、行政法规、司法解释、部门规章、地方性法规、广东省及广州市现行有效的法规和相关的工程设计技术规范、规定及标准等；如上述法律法规及有关文件进行修改或补充并提出新要求，双方均应按新的规定执行，必要时另行签订补充合同。</w:t>
      </w:r>
    </w:p>
    <w:p w14:paraId="1FD95E3C">
      <w:pPr>
        <w:ind w:firstLine="480"/>
        <w:rPr>
          <w:rFonts w:hint="eastAsia" w:cs="宋体"/>
          <w:highlight w:val="none"/>
        </w:rPr>
      </w:pPr>
      <w:r>
        <w:rPr>
          <w:rFonts w:hint="eastAsia" w:cs="宋体"/>
          <w:highlight w:val="none"/>
        </w:rPr>
        <w:t>1.2.2参考《广州市配售型保障性住房规划建设工作导则》（穗建住办﹝2024﹞285号），在招标文件发出之日起至全部合同执行期间，如果所引用的标准和规范有局部的修订或新颁，经发包人批准后，设计人应执行新的标准或规范，但不得以此为理由要求增加合同费用。</w:t>
      </w:r>
    </w:p>
    <w:p w14:paraId="7100E774">
      <w:pPr>
        <w:ind w:firstLine="480"/>
        <w:rPr>
          <w:rFonts w:hint="eastAsia" w:cs="宋体"/>
          <w:highlight w:val="none"/>
        </w:rPr>
      </w:pPr>
      <w:r>
        <w:rPr>
          <w:rFonts w:hint="eastAsia" w:cs="宋体"/>
          <w:highlight w:val="none"/>
        </w:rPr>
        <w:t>1.2.3发包人提供的该项目基础资料等。</w:t>
      </w:r>
    </w:p>
    <w:p w14:paraId="4ABC4E2B">
      <w:pPr>
        <w:ind w:firstLine="480"/>
        <w:rPr>
          <w:rFonts w:hint="eastAsia" w:cs="宋体"/>
          <w:highlight w:val="none"/>
        </w:rPr>
      </w:pPr>
      <w:r>
        <w:rPr>
          <w:rFonts w:hint="eastAsia" w:cs="宋体"/>
          <w:highlight w:val="none"/>
        </w:rPr>
        <w:t>1.2.4设计和建设过程中的政府审批意见，政府或发包人委托或组织的评审机构（会议）提出的及发包人发出的阶段性书面意见，双方来往的各类书面文件、会议纪要等。</w:t>
      </w:r>
    </w:p>
    <w:p w14:paraId="350F995E">
      <w:pPr>
        <w:ind w:firstLine="480"/>
        <w:rPr>
          <w:rFonts w:hint="eastAsia" w:cs="宋体"/>
          <w:b/>
          <w:bCs/>
          <w:highlight w:val="none"/>
        </w:rPr>
      </w:pPr>
      <w:r>
        <w:rPr>
          <w:rFonts w:hint="eastAsia" w:cs="宋体"/>
          <w:highlight w:val="none"/>
        </w:rPr>
        <w:t>1.2.5发包人的《安居“好房子”项目绿化苗木选用及种植技术指引》《安居“好房子”项目小区道路及园林景观设计指引》等相关技术文件及要求。在招标文件发出之日起至全部合同执行期间，如果发包人对相关的技术文件及要求有局部的修订或新颁，经发包人批准后，设计人应按要求执行，但不得以此为理由要求增加合同费用。</w:t>
      </w:r>
    </w:p>
    <w:p w14:paraId="327B8B82">
      <w:pPr>
        <w:ind w:firstLine="482"/>
        <w:rPr>
          <w:rFonts w:hint="eastAsia" w:cs="宋体"/>
          <w:b/>
          <w:bCs/>
          <w:highlight w:val="none"/>
        </w:rPr>
      </w:pPr>
      <w:r>
        <w:rPr>
          <w:rFonts w:hint="eastAsia" w:cs="宋体"/>
          <w:b/>
          <w:bCs/>
          <w:highlight w:val="none"/>
        </w:rPr>
        <w:t>1.3设计原则及要求</w:t>
      </w:r>
    </w:p>
    <w:p w14:paraId="48A3C455">
      <w:pPr>
        <w:ind w:firstLine="480"/>
        <w:rPr>
          <w:rFonts w:hint="eastAsia" w:cs="宋体"/>
          <w:highlight w:val="none"/>
        </w:rPr>
      </w:pPr>
      <w:r>
        <w:rPr>
          <w:rFonts w:hint="eastAsia" w:cs="宋体"/>
          <w:highlight w:val="none"/>
        </w:rPr>
        <w:t>1、满足国家关于建筑设计的规范标准的要求及设计行业相关技术规范条文的要求，严格执行国家工程建设标准强制性条文。</w:t>
      </w:r>
    </w:p>
    <w:p w14:paraId="4DAFBD01">
      <w:pPr>
        <w:ind w:firstLine="480"/>
        <w:rPr>
          <w:rFonts w:hint="eastAsia" w:cs="宋体"/>
          <w:highlight w:val="none"/>
        </w:rPr>
      </w:pPr>
      <w:r>
        <w:rPr>
          <w:rFonts w:hint="eastAsia" w:cs="宋体"/>
          <w:highlight w:val="none"/>
        </w:rPr>
        <w:t>2、项目设计应符合城市总体规划要求，满足规划部门的规划设计要点，同时满足发包人关于项目投资控制的目标。</w:t>
      </w:r>
    </w:p>
    <w:p w14:paraId="69F2BE2E">
      <w:pPr>
        <w:ind w:firstLine="480"/>
        <w:rPr>
          <w:rFonts w:hint="eastAsia" w:cs="宋体"/>
          <w:highlight w:val="none"/>
        </w:rPr>
      </w:pPr>
      <w:r>
        <w:rPr>
          <w:rFonts w:hint="eastAsia" w:cs="宋体"/>
          <w:highlight w:val="none"/>
        </w:rPr>
        <w:t>3、合理利用土地，确保满足功能使用需求，对城市景观、邻里空间，商业价值、节约用地。做到认真深入细致研究，设计思路清晰，规划布局合理。</w:t>
      </w:r>
    </w:p>
    <w:p w14:paraId="2076DD5A">
      <w:pPr>
        <w:ind w:firstLine="480"/>
        <w:rPr>
          <w:rFonts w:hint="eastAsia" w:cs="宋体"/>
          <w:highlight w:val="none"/>
        </w:rPr>
      </w:pPr>
      <w:r>
        <w:rPr>
          <w:rFonts w:hint="eastAsia" w:cs="宋体"/>
          <w:highlight w:val="none"/>
        </w:rPr>
        <w:t>4、正确处理使用、辅助、交通三大部分关系，对建筑空间进行合理组合，优化设计。</w:t>
      </w:r>
    </w:p>
    <w:p w14:paraId="0B169C17">
      <w:pPr>
        <w:ind w:firstLine="480"/>
        <w:rPr>
          <w:rFonts w:hint="eastAsia" w:cs="宋体"/>
          <w:highlight w:val="none"/>
        </w:rPr>
      </w:pPr>
      <w:r>
        <w:rPr>
          <w:rFonts w:hint="eastAsia" w:cs="宋体"/>
          <w:highlight w:val="none"/>
        </w:rPr>
        <w:t>5、建筑设计考虑节能要求，建筑单体平面控制建筑的体型系数，建筑立面设计应考虑工程造价及施工难度。</w:t>
      </w:r>
    </w:p>
    <w:p w14:paraId="7D6EE263">
      <w:pPr>
        <w:ind w:firstLine="480"/>
        <w:rPr>
          <w:rFonts w:hint="eastAsia" w:cs="宋体"/>
          <w:highlight w:val="none"/>
        </w:rPr>
      </w:pPr>
      <w:r>
        <w:rPr>
          <w:rFonts w:hint="eastAsia" w:cs="宋体"/>
          <w:highlight w:val="none"/>
        </w:rPr>
        <w:t>6、规划与建筑设计应满足建筑功能的要求，在使用上应具有较大的适应性和灵活性，各功能分区既要相对独立，又要有机联系，便于统一管理。</w:t>
      </w:r>
    </w:p>
    <w:p w14:paraId="21EFED79">
      <w:pPr>
        <w:ind w:firstLine="480"/>
        <w:rPr>
          <w:rFonts w:hint="eastAsia" w:cs="宋体"/>
          <w:highlight w:val="none"/>
        </w:rPr>
      </w:pPr>
      <w:bookmarkStart w:id="10" w:name="_Toc6153"/>
      <w:bookmarkStart w:id="11" w:name="_Toc28436"/>
      <w:bookmarkStart w:id="12" w:name="_Toc8926"/>
      <w:bookmarkStart w:id="13" w:name="_Toc10517"/>
      <w:bookmarkStart w:id="14" w:name="_Toc5889"/>
      <w:r>
        <w:rPr>
          <w:rFonts w:hint="eastAsia" w:cs="宋体"/>
          <w:highlight w:val="none"/>
        </w:rPr>
        <w:t>7、对设计与法律、法规、规章、规范、标准的符合性要求</w:t>
      </w:r>
      <w:bookmarkEnd w:id="10"/>
      <w:bookmarkEnd w:id="11"/>
      <w:bookmarkEnd w:id="12"/>
      <w:bookmarkEnd w:id="13"/>
      <w:bookmarkEnd w:id="14"/>
    </w:p>
    <w:p w14:paraId="0C75F807">
      <w:pPr>
        <w:ind w:firstLine="480"/>
        <w:rPr>
          <w:rFonts w:hint="eastAsia" w:cs="宋体"/>
          <w:highlight w:val="none"/>
        </w:rPr>
      </w:pPr>
      <w:r>
        <w:rPr>
          <w:rFonts w:hint="eastAsia" w:cs="宋体"/>
          <w:highlight w:val="none"/>
        </w:rPr>
        <w:t>（1）设计人交付的设计文件应符合中华人民共和国现行的有关法律、行政法规和相关的工程设计技术规范、规定及标准，必须执行国家规定的工程建设标准强制性条文要求。在项目设计、建设期间，若有由国家、省、市有关部门颁发的新规范、标准、规定等，设计人必须按要求落实到设计和设计变更中。</w:t>
      </w:r>
    </w:p>
    <w:p w14:paraId="24B8D972">
      <w:pPr>
        <w:ind w:firstLine="480"/>
        <w:rPr>
          <w:rFonts w:hint="eastAsia" w:cs="宋体"/>
          <w:highlight w:val="none"/>
        </w:rPr>
      </w:pPr>
      <w:r>
        <w:rPr>
          <w:rFonts w:hint="eastAsia" w:cs="宋体"/>
          <w:highlight w:val="none"/>
        </w:rPr>
        <w:t>（2）设计人应在设计文件中列出设计采用的主要技术标准名称、编号与版本。如引用标准图集，除标明出处外，要求将引用图绘制在施工图中。</w:t>
      </w:r>
    </w:p>
    <w:p w14:paraId="627AA707">
      <w:pPr>
        <w:ind w:firstLine="480"/>
        <w:rPr>
          <w:rFonts w:hint="eastAsia" w:cs="宋体"/>
          <w:highlight w:val="none"/>
        </w:rPr>
      </w:pPr>
      <w:r>
        <w:rPr>
          <w:rFonts w:hint="eastAsia" w:cs="宋体"/>
          <w:highlight w:val="none"/>
        </w:rPr>
        <w:t>（3）由于工程设计的特殊需要对设计规范、规程中非强制性的条文，允许稍有选择和突破，但设计人必须提出充分的理由，提交充分的质量保证措施，并经发包人同意后以文件形式认可。</w:t>
      </w:r>
    </w:p>
    <w:p w14:paraId="1666B5BA">
      <w:pPr>
        <w:ind w:firstLine="480"/>
        <w:rPr>
          <w:rFonts w:hint="eastAsia" w:cs="宋体"/>
          <w:highlight w:val="none"/>
        </w:rPr>
      </w:pPr>
      <w:r>
        <w:rPr>
          <w:rFonts w:hint="eastAsia" w:cs="宋体"/>
          <w:highlight w:val="none"/>
        </w:rPr>
        <w:t>（4）项目选用的工程材料、工程构配件和设备，其质量标准必须符合中华人民共和国国家规范、标准要求。</w:t>
      </w:r>
    </w:p>
    <w:p w14:paraId="7D564F8C">
      <w:pPr>
        <w:ind w:firstLine="480"/>
        <w:rPr>
          <w:rFonts w:hint="eastAsia" w:cs="宋体"/>
          <w:highlight w:val="none"/>
        </w:rPr>
      </w:pPr>
      <w:bookmarkStart w:id="15" w:name="_Toc10879"/>
      <w:bookmarkStart w:id="16" w:name="_Toc8785"/>
      <w:bookmarkStart w:id="17" w:name="_Toc23494"/>
      <w:bookmarkStart w:id="18" w:name="_Toc4593"/>
      <w:bookmarkStart w:id="19" w:name="_Toc6587"/>
      <w:r>
        <w:rPr>
          <w:rFonts w:hint="eastAsia" w:cs="宋体"/>
          <w:highlight w:val="none"/>
        </w:rPr>
        <w:t>8、规划设计要求</w:t>
      </w:r>
      <w:bookmarkEnd w:id="15"/>
      <w:bookmarkEnd w:id="16"/>
      <w:bookmarkEnd w:id="17"/>
      <w:bookmarkEnd w:id="18"/>
      <w:bookmarkEnd w:id="19"/>
    </w:p>
    <w:p w14:paraId="7336A9CA">
      <w:pPr>
        <w:ind w:firstLine="480"/>
        <w:rPr>
          <w:rFonts w:hint="eastAsia" w:cs="宋体"/>
          <w:highlight w:val="none"/>
        </w:rPr>
      </w:pPr>
      <w:r>
        <w:rPr>
          <w:rFonts w:hint="eastAsia" w:cs="宋体"/>
          <w:highlight w:val="none"/>
        </w:rPr>
        <w:t>（1）符合城市规划的要求，综合考虑建筑性质、建筑造型、建筑立面特征等与周边环境的关系，在满足安全与功能的前提下，应符合国家有关节约用地、节能节水节材和保护环境等规定。</w:t>
      </w:r>
    </w:p>
    <w:p w14:paraId="131C9502">
      <w:pPr>
        <w:ind w:firstLine="480"/>
        <w:rPr>
          <w:rFonts w:hint="eastAsia" w:cs="宋体"/>
          <w:highlight w:val="none"/>
        </w:rPr>
      </w:pPr>
      <w:r>
        <w:rPr>
          <w:rFonts w:hint="eastAsia" w:cs="宋体"/>
          <w:highlight w:val="none"/>
        </w:rPr>
        <w:t>（2）符合现有地形特征，尽量利用地形，以充分考虑经济性为基础，合理确定建筑的总体布局与功能设置。</w:t>
      </w:r>
    </w:p>
    <w:p w14:paraId="4A8D337C">
      <w:pPr>
        <w:ind w:firstLine="480"/>
        <w:rPr>
          <w:rFonts w:hint="eastAsia" w:cs="宋体"/>
          <w:highlight w:val="none"/>
        </w:rPr>
      </w:pPr>
      <w:r>
        <w:rPr>
          <w:rFonts w:hint="eastAsia" w:cs="宋体"/>
          <w:highlight w:val="none"/>
        </w:rPr>
        <w:t>（3）整体性强。建筑组合应紧凑、集中，主要建筑之间有联系。</w:t>
      </w:r>
    </w:p>
    <w:p w14:paraId="25FCFA02">
      <w:pPr>
        <w:ind w:firstLine="480"/>
        <w:rPr>
          <w:rFonts w:hint="eastAsia" w:cs="宋体"/>
          <w:highlight w:val="none"/>
        </w:rPr>
      </w:pPr>
      <w:r>
        <w:rPr>
          <w:rFonts w:hint="eastAsia" w:cs="宋体"/>
          <w:highlight w:val="none"/>
        </w:rPr>
        <w:t>（4）总体规划要求功能齐全、分区明确，满足基本功能要求及规模需求，并充分考虑其所处地理位置的特点及其他配套功能设置。</w:t>
      </w:r>
    </w:p>
    <w:p w14:paraId="750FF005">
      <w:pPr>
        <w:ind w:firstLine="480"/>
        <w:rPr>
          <w:rFonts w:hint="eastAsia" w:cs="宋体"/>
          <w:highlight w:val="none"/>
        </w:rPr>
      </w:pPr>
      <w:r>
        <w:rPr>
          <w:rFonts w:hint="eastAsia" w:cs="宋体"/>
          <w:highlight w:val="none"/>
        </w:rPr>
        <w:t>（5）凸显项目的地方特色，符合大片区的功能定位与要求，并充分体现对用地规划和配售型住房的理解。</w:t>
      </w:r>
    </w:p>
    <w:p w14:paraId="7F77F316">
      <w:pPr>
        <w:ind w:firstLine="480"/>
        <w:rPr>
          <w:rFonts w:hint="eastAsia" w:cs="宋体"/>
          <w:highlight w:val="none"/>
        </w:rPr>
      </w:pPr>
      <w:bookmarkStart w:id="20" w:name="_Toc23359"/>
      <w:bookmarkStart w:id="21" w:name="_Toc8584"/>
      <w:bookmarkStart w:id="22" w:name="_Toc12218"/>
      <w:bookmarkStart w:id="23" w:name="_Toc5672"/>
      <w:bookmarkStart w:id="24" w:name="_Toc1143"/>
      <w:r>
        <w:rPr>
          <w:rFonts w:hint="eastAsia" w:cs="宋体"/>
          <w:highlight w:val="none"/>
        </w:rPr>
        <w:t>×</w:t>
      </w:r>
      <w:r>
        <w:rPr>
          <w:rFonts w:hint="eastAsia" w:cs="宋体"/>
          <w:highlight w:val="none"/>
        </w:rPr>
        <w:t>9、户型设计要求</w:t>
      </w:r>
      <w:bookmarkEnd w:id="20"/>
      <w:bookmarkEnd w:id="21"/>
      <w:bookmarkEnd w:id="22"/>
      <w:bookmarkEnd w:id="23"/>
      <w:bookmarkEnd w:id="24"/>
    </w:p>
    <w:p w14:paraId="37B59C30">
      <w:pPr>
        <w:ind w:firstLine="480"/>
        <w:rPr>
          <w:rFonts w:hint="eastAsia" w:cs="宋体"/>
          <w:highlight w:val="none"/>
        </w:rPr>
      </w:pPr>
      <w:r>
        <w:rPr>
          <w:rFonts w:hint="eastAsia" w:cs="宋体"/>
          <w:highlight w:val="none"/>
        </w:rPr>
        <w:t>在符合用地规划设计文件的前提下，本项目设计还应满足以下要求：</w:t>
      </w:r>
    </w:p>
    <w:p w14:paraId="4D35A764">
      <w:pPr>
        <w:ind w:firstLine="480"/>
        <w:rPr>
          <w:rFonts w:hint="eastAsia" w:cs="宋体"/>
          <w:highlight w:val="none"/>
        </w:rPr>
      </w:pPr>
      <w:r>
        <w:rPr>
          <w:rFonts w:hint="eastAsia" w:cs="宋体"/>
          <w:highlight w:val="none"/>
        </w:rPr>
        <w:t>户型设计方案应满足配售型住房项目使用要求，确保设计方案具有充分的可实施性。如果所引用的标准和规范有局部的修订或新颁，经发包人批准后，设计人应执行新的标准或规范。</w:t>
      </w:r>
    </w:p>
    <w:p w14:paraId="1E638BE2">
      <w:pPr>
        <w:ind w:firstLine="480"/>
        <w:rPr>
          <w:rFonts w:hint="eastAsia" w:cs="宋体"/>
          <w:highlight w:val="none"/>
        </w:rPr>
      </w:pPr>
      <w:bookmarkStart w:id="25" w:name="_Toc17613"/>
      <w:bookmarkStart w:id="26" w:name="_Toc4446"/>
      <w:bookmarkStart w:id="27" w:name="_Toc1607"/>
      <w:bookmarkStart w:id="28" w:name="_Toc8004"/>
      <w:bookmarkStart w:id="29" w:name="_Toc11349"/>
      <w:r>
        <w:rPr>
          <w:rFonts w:hint="eastAsia" w:cs="宋体"/>
          <w:highlight w:val="none"/>
        </w:rPr>
        <w:t>10、公共配套要求</w:t>
      </w:r>
      <w:bookmarkEnd w:id="25"/>
      <w:bookmarkEnd w:id="26"/>
      <w:bookmarkEnd w:id="27"/>
      <w:bookmarkEnd w:id="28"/>
      <w:bookmarkEnd w:id="29"/>
    </w:p>
    <w:p w14:paraId="6BFA2DCC">
      <w:pPr>
        <w:ind w:firstLine="480"/>
        <w:rPr>
          <w:rFonts w:hint="eastAsia" w:cs="宋体"/>
          <w:highlight w:val="none"/>
        </w:rPr>
      </w:pPr>
      <w:r>
        <w:rPr>
          <w:rFonts w:hint="eastAsia" w:cs="宋体"/>
          <w:highlight w:val="none"/>
        </w:rPr>
        <w:t>须满足相关要求，按照同步开发建设观念设计建设商业及公共配套设施。</w:t>
      </w:r>
    </w:p>
    <w:p w14:paraId="77BBDCFF">
      <w:pPr>
        <w:ind w:firstLine="480"/>
        <w:rPr>
          <w:rFonts w:hint="eastAsia" w:cs="宋体"/>
          <w:highlight w:val="none"/>
        </w:rPr>
      </w:pPr>
      <w:r>
        <w:rPr>
          <w:rFonts w:hint="eastAsia" w:cs="宋体"/>
          <w:highlight w:val="none"/>
        </w:rPr>
        <w:t>公共配套设施必须充分考虑人、车分流并考虑景观要求。关于配套设施建议要注重审美个性与独特品味的创新设计及与周围建筑景观的协调性。</w:t>
      </w:r>
    </w:p>
    <w:p w14:paraId="7D1A266F">
      <w:pPr>
        <w:ind w:firstLine="480"/>
        <w:rPr>
          <w:rFonts w:hint="eastAsia" w:cs="宋体"/>
          <w:highlight w:val="none"/>
        </w:rPr>
      </w:pPr>
      <w:r>
        <w:rPr>
          <w:rFonts w:hint="eastAsia" w:cs="宋体"/>
          <w:highlight w:val="none"/>
        </w:rPr>
        <w:t>室外运动设施应方便住户运动，保证住户既能运动，又能达到共享环境空间，建设阳光健康的社区文化。</w:t>
      </w:r>
    </w:p>
    <w:p w14:paraId="6F415DA4">
      <w:pPr>
        <w:ind w:firstLine="480"/>
        <w:rPr>
          <w:rFonts w:hint="eastAsia" w:cs="宋体"/>
          <w:highlight w:val="none"/>
        </w:rPr>
      </w:pPr>
      <w:r>
        <w:rPr>
          <w:rFonts w:hint="eastAsia" w:cs="宋体"/>
          <w:highlight w:val="none"/>
        </w:rPr>
        <w:t>总配建车位（包括室内、室外）符合国家及省市相关城乡技术规定。</w:t>
      </w:r>
    </w:p>
    <w:p w14:paraId="39B25D61">
      <w:pPr>
        <w:ind w:firstLine="480"/>
        <w:rPr>
          <w:rFonts w:hint="eastAsia" w:cs="宋体"/>
          <w:highlight w:val="none"/>
        </w:rPr>
      </w:pPr>
      <w:bookmarkStart w:id="30" w:name="_Toc16372"/>
      <w:bookmarkStart w:id="31" w:name="_Toc14940"/>
      <w:bookmarkStart w:id="32" w:name="_Toc27093"/>
      <w:bookmarkStart w:id="33" w:name="_Toc21531"/>
      <w:bookmarkStart w:id="34" w:name="_Toc4911"/>
      <w:r>
        <w:rPr>
          <w:rFonts w:hint="eastAsia" w:cs="宋体"/>
          <w:highlight w:val="none"/>
        </w:rPr>
        <w:t>11、建筑设计要求</w:t>
      </w:r>
      <w:bookmarkEnd w:id="30"/>
      <w:bookmarkEnd w:id="31"/>
      <w:bookmarkEnd w:id="32"/>
      <w:bookmarkEnd w:id="33"/>
      <w:bookmarkEnd w:id="34"/>
    </w:p>
    <w:p w14:paraId="0AB5355F">
      <w:pPr>
        <w:ind w:firstLine="480"/>
        <w:rPr>
          <w:rFonts w:hint="eastAsia" w:cs="宋体"/>
          <w:highlight w:val="none"/>
        </w:rPr>
      </w:pPr>
      <w:r>
        <w:rPr>
          <w:rFonts w:hint="eastAsia" w:cs="宋体"/>
          <w:highlight w:val="none"/>
        </w:rPr>
        <w:t>建筑形态设计应符合项目整体定位，建筑形态与周边环境要紧密结合，形态上除满足基本功能外还要打破传统并富有创新。建筑立面采用简约现代的风格，凸显现代感和都市形象。建筑屋面要打造优美的天际线且富有韵律感，注重屋面空间的开发利用。</w:t>
      </w:r>
    </w:p>
    <w:p w14:paraId="64CD3CE6">
      <w:pPr>
        <w:ind w:firstLine="480"/>
        <w:rPr>
          <w:rFonts w:hint="eastAsia" w:cs="宋体"/>
          <w:highlight w:val="none"/>
        </w:rPr>
      </w:pPr>
      <w:r>
        <w:rPr>
          <w:rFonts w:hint="eastAsia" w:cs="宋体"/>
          <w:highlight w:val="none"/>
        </w:rPr>
        <w:t>建筑设计方案应有利于周边地区环境价值的提升，体现品质化、精细化设计。空调器、排水、通风管道应作遮饰，不应直接裸露建筑外墙。建筑单体风貌应服从群体风貌要求，与建筑群体风貌协调。多栋建筑组成建筑群时应高低错落。</w:t>
      </w:r>
    </w:p>
    <w:p w14:paraId="30A63705">
      <w:pPr>
        <w:ind w:firstLine="480"/>
        <w:rPr>
          <w:rFonts w:hint="eastAsia" w:cs="宋体"/>
          <w:highlight w:val="none"/>
        </w:rPr>
      </w:pPr>
      <w:r>
        <w:rPr>
          <w:rFonts w:hint="eastAsia" w:cs="宋体"/>
          <w:highlight w:val="none"/>
        </w:rPr>
        <w:t>原则上临湖泊河涌等自然水面、绿地、广场、山体等开敞空间的建筑单体应按前低后高原则控制建筑高度，其中一线建筑高度原则上应少于建筑退让开敞空间和保护建筑的距离，并严格控制建筑物的面宽。</w:t>
      </w:r>
    </w:p>
    <w:p w14:paraId="73999122">
      <w:pPr>
        <w:ind w:firstLine="480"/>
        <w:rPr>
          <w:rFonts w:hint="eastAsia" w:cs="宋体"/>
          <w:highlight w:val="none"/>
        </w:rPr>
      </w:pPr>
      <w:r>
        <w:rPr>
          <w:rFonts w:hint="eastAsia" w:cs="宋体"/>
          <w:highlight w:val="none"/>
        </w:rPr>
        <w:t>鼓励通过建筑拼接、建筑屋顶一体化设计等方式，形成界面连续、立面风貌、色彩、材质协调的街道界面，打造尺度适宜、富有活力、设计精致、具有人情味的街道。</w:t>
      </w:r>
    </w:p>
    <w:p w14:paraId="6561A8C8">
      <w:pPr>
        <w:ind w:firstLine="480"/>
        <w:rPr>
          <w:rFonts w:hint="eastAsia" w:cs="宋体"/>
          <w:highlight w:val="none"/>
        </w:rPr>
      </w:pPr>
      <w:r>
        <w:rPr>
          <w:rFonts w:hint="eastAsia" w:cs="宋体"/>
          <w:highlight w:val="none"/>
        </w:rPr>
        <w:t>鼓励通过设置骑楼、底层架空以及通透玻璃等设计手法，适当提高首层临街立面的通透性和视觉连续性，提升行人公共空间体验。</w:t>
      </w:r>
    </w:p>
    <w:p w14:paraId="6E94DBFE">
      <w:pPr>
        <w:ind w:firstLine="480"/>
        <w:rPr>
          <w:rFonts w:hint="eastAsia" w:cs="宋体"/>
          <w:highlight w:val="none"/>
        </w:rPr>
      </w:pPr>
      <w:r>
        <w:rPr>
          <w:rFonts w:hint="eastAsia" w:cs="宋体"/>
          <w:highlight w:val="none"/>
        </w:rPr>
        <w:t>户外广告和招牌不得在建筑屋顶轮廓线以上（含裙楼轮廓线）设置。</w:t>
      </w:r>
    </w:p>
    <w:p w14:paraId="5FC88938">
      <w:pPr>
        <w:ind w:firstLine="480"/>
        <w:rPr>
          <w:rFonts w:hint="eastAsia" w:cs="宋体"/>
          <w:highlight w:val="none"/>
        </w:rPr>
      </w:pPr>
      <w:r>
        <w:rPr>
          <w:rFonts w:hint="eastAsia" w:cs="宋体"/>
          <w:highlight w:val="none"/>
        </w:rPr>
        <w:t>建筑屋顶应统筹考虑消防疏散、屋顶绿化、室外活动、太阳能利用等功能需求，鼓励以苗圃开花植物为主进行屋顶景观设计。住宅屋顶要和建筑立面一体化设计，避免出现屋顶水箱等构筑物突兀、裸露的情况。</w:t>
      </w:r>
    </w:p>
    <w:p w14:paraId="2B45238E">
      <w:pPr>
        <w:ind w:firstLine="480"/>
        <w:rPr>
          <w:rFonts w:hint="eastAsia" w:cs="宋体"/>
          <w:highlight w:val="none"/>
        </w:rPr>
      </w:pPr>
      <w:r>
        <w:rPr>
          <w:rFonts w:hint="eastAsia" w:cs="宋体"/>
          <w:highlight w:val="none"/>
        </w:rPr>
        <w:t>鼓励整体化、艺术化的附属设施设计，建筑设备、管道等附属设施与人行道、公共活动场所宜保持一定距离。</w:t>
      </w:r>
    </w:p>
    <w:p w14:paraId="1671BBE1">
      <w:pPr>
        <w:ind w:firstLine="480"/>
        <w:rPr>
          <w:rFonts w:hint="eastAsia" w:cs="宋体"/>
          <w:highlight w:val="none"/>
        </w:rPr>
      </w:pPr>
      <w:r>
        <w:rPr>
          <w:rFonts w:hint="eastAsia" w:cs="宋体"/>
          <w:highlight w:val="none"/>
        </w:rPr>
        <w:t>围墙如需设置，应符合低矮、通透、美观的原则，上报方案时应同时提供围墙效果图、大样图，方案批复后先行报批建设永久围墙。</w:t>
      </w:r>
    </w:p>
    <w:p w14:paraId="2441708B">
      <w:pPr>
        <w:ind w:firstLine="480"/>
        <w:rPr>
          <w:rFonts w:hint="eastAsia" w:cs="宋体"/>
          <w:highlight w:val="none"/>
        </w:rPr>
      </w:pPr>
      <w:r>
        <w:rPr>
          <w:rFonts w:hint="eastAsia" w:cs="宋体"/>
          <w:highlight w:val="none"/>
        </w:rPr>
        <w:t>建筑色彩应符合区域城市设计或色彩规划要求，并应与周边建筑相协调，避免大面积采用高彩度、低明度色彩；建筑立面鼓励采用新型材料以体现创新形象。</w:t>
      </w:r>
    </w:p>
    <w:p w14:paraId="7D875B1C">
      <w:pPr>
        <w:ind w:firstLine="480"/>
        <w:rPr>
          <w:rFonts w:hint="eastAsia" w:cs="宋体"/>
          <w:highlight w:val="none"/>
        </w:rPr>
      </w:pPr>
      <w:bookmarkStart w:id="35" w:name="_Toc28324"/>
      <w:bookmarkStart w:id="36" w:name="_Toc1590"/>
      <w:bookmarkStart w:id="37" w:name="_Toc31673"/>
      <w:bookmarkStart w:id="38" w:name="_Toc13208"/>
      <w:bookmarkStart w:id="39" w:name="_Toc17482"/>
      <w:r>
        <w:rPr>
          <w:rFonts w:hint="eastAsia" w:cs="宋体"/>
          <w:highlight w:val="none"/>
        </w:rPr>
        <w:t>12、交通组织</w:t>
      </w:r>
      <w:bookmarkEnd w:id="35"/>
      <w:bookmarkEnd w:id="36"/>
      <w:bookmarkEnd w:id="37"/>
      <w:bookmarkEnd w:id="38"/>
      <w:bookmarkEnd w:id="39"/>
    </w:p>
    <w:p w14:paraId="4CBF4079">
      <w:pPr>
        <w:ind w:firstLine="480"/>
        <w:rPr>
          <w:rFonts w:hint="eastAsia" w:cs="宋体"/>
          <w:highlight w:val="none"/>
        </w:rPr>
      </w:pPr>
      <w:r>
        <w:rPr>
          <w:rFonts w:hint="eastAsia" w:cs="宋体"/>
          <w:highlight w:val="none"/>
        </w:rPr>
        <w:t>建筑应与外围的城市道路交通合理衔接，合理组织人流及车流出入口，实现人车分流，根据规划条件要求还需充分考虑车辆的临时停靠要求，交通流线要求便捷，清晰明确，既满足日常运行的安全通畅，又保证紧急情况的安全疏散。</w:t>
      </w:r>
    </w:p>
    <w:p w14:paraId="6019532C">
      <w:pPr>
        <w:ind w:firstLine="480"/>
        <w:rPr>
          <w:rFonts w:hint="eastAsia" w:cs="宋体"/>
          <w:highlight w:val="none"/>
        </w:rPr>
      </w:pPr>
      <w:bookmarkStart w:id="40" w:name="_Toc31389"/>
      <w:bookmarkStart w:id="41" w:name="_Toc29899"/>
      <w:bookmarkStart w:id="42" w:name="_Toc31464"/>
      <w:bookmarkStart w:id="43" w:name="_Toc348"/>
      <w:bookmarkStart w:id="44" w:name="_Toc31193"/>
      <w:r>
        <w:rPr>
          <w:rFonts w:hint="eastAsia" w:cs="宋体"/>
          <w:highlight w:val="none"/>
        </w:rPr>
        <w:t>13、场地设计与外环境设计</w:t>
      </w:r>
      <w:bookmarkEnd w:id="40"/>
      <w:bookmarkEnd w:id="41"/>
      <w:bookmarkEnd w:id="42"/>
      <w:bookmarkEnd w:id="43"/>
      <w:bookmarkEnd w:id="44"/>
    </w:p>
    <w:p w14:paraId="4698AA6E">
      <w:pPr>
        <w:ind w:firstLine="480"/>
        <w:rPr>
          <w:rFonts w:hint="eastAsia" w:cs="宋体"/>
          <w:highlight w:val="none"/>
        </w:rPr>
      </w:pPr>
      <w:r>
        <w:rPr>
          <w:rFonts w:hint="eastAsia" w:cs="宋体"/>
          <w:highlight w:val="none"/>
        </w:rPr>
        <w:t>建筑工程方案审查时，应开展场地设计（含首层平面）、道路（渠化）设计、步行系统设计。竖向设计应遵循自然地形，控制建筑室外地坪标高，建筑室外地坪和周边道路人行道应持平或平缓对接。室外地坪标高满足防洪及管线设置要求，与周边道路协调，地块与周边市政用地之间的高差应在本地块内通过绿化护坡相衔接。建筑红线内应与红线外场地设计协调，保证地块红线内外场地一体化。</w:t>
      </w:r>
    </w:p>
    <w:p w14:paraId="69CF29EE">
      <w:pPr>
        <w:ind w:firstLine="480"/>
        <w:rPr>
          <w:rFonts w:hint="eastAsia" w:cs="宋体"/>
          <w:highlight w:val="none"/>
        </w:rPr>
      </w:pPr>
      <w:r>
        <w:rPr>
          <w:rFonts w:hint="eastAsia" w:cs="宋体"/>
          <w:highlight w:val="none"/>
        </w:rPr>
        <w:t>鼓励设置建筑公共开放空间；鼓励商场、办公等公共设施之间增加公共连廊；鼓励住宅、商场、办公等建筑与公共服务设施、市政交通设施、城市公共空间之间增加公共连廊；鼓励建筑物人行入口增设雨蓬；鼓励在建筑场地内设置公共艺术环境小品；鼓励在地块内设置集中的低势绿地或雨水湿地作为透水区。鼓励设置互连互通的立体公共空间。</w:t>
      </w:r>
    </w:p>
    <w:p w14:paraId="4B8885D9">
      <w:pPr>
        <w:ind w:firstLine="480"/>
        <w:rPr>
          <w:rFonts w:hint="eastAsia" w:cs="宋体"/>
          <w:highlight w:val="none"/>
        </w:rPr>
      </w:pPr>
      <w:r>
        <w:rPr>
          <w:rFonts w:hint="eastAsia" w:cs="宋体"/>
          <w:highlight w:val="none"/>
        </w:rPr>
        <w:t>应开展精细无障碍设计、满足安全、舒适的运行要求。场地与建筑的无障碍设计须满足《无障碍设计规范》（GB50763-2012）与《建筑与市政工程无障碍通用规范》（GB55019-2021）的相关要求。</w:t>
      </w:r>
    </w:p>
    <w:p w14:paraId="4F83AF5F">
      <w:pPr>
        <w:ind w:firstLine="480"/>
        <w:rPr>
          <w:rFonts w:hint="eastAsia" w:cs="宋体"/>
          <w:highlight w:val="none"/>
        </w:rPr>
      </w:pPr>
      <w:r>
        <w:rPr>
          <w:rFonts w:hint="eastAsia" w:cs="宋体"/>
          <w:highlight w:val="none"/>
        </w:rPr>
        <w:t>建筑景观照明设施应结合建筑立面、招牌、景观系统进行设置，应控制外溢光和杂散光，合理控制照度，避免对室内活动干扰，减少环境光污染。避免使用探照灯柱，避免过多使用高彩度灯光。</w:t>
      </w:r>
    </w:p>
    <w:p w14:paraId="09EBABAD">
      <w:pPr>
        <w:ind w:firstLine="480"/>
        <w:rPr>
          <w:rFonts w:hint="eastAsia" w:cs="宋体"/>
          <w:highlight w:val="none"/>
        </w:rPr>
      </w:pPr>
      <w:r>
        <w:rPr>
          <w:rFonts w:hint="eastAsia" w:cs="宋体"/>
          <w:highlight w:val="none"/>
        </w:rPr>
        <w:t>鼓励在建筑场地内设置公共艺术环境小品；应符合已批准的城市设计关于公共艺术的要求。建筑红线内应与红线外场地设计协调，保证地块红线内外场地一体化。</w:t>
      </w:r>
    </w:p>
    <w:p w14:paraId="3125CF5C">
      <w:pPr>
        <w:ind w:firstLine="480"/>
        <w:rPr>
          <w:rFonts w:hint="eastAsia" w:cs="宋体"/>
          <w:highlight w:val="none"/>
        </w:rPr>
      </w:pPr>
      <w:bookmarkStart w:id="45" w:name="_Toc26561"/>
      <w:bookmarkStart w:id="46" w:name="_Toc16725"/>
      <w:bookmarkStart w:id="47" w:name="_Toc20528"/>
      <w:bookmarkStart w:id="48" w:name="_Toc25315"/>
      <w:bookmarkStart w:id="49" w:name="_Toc6318"/>
      <w:r>
        <w:rPr>
          <w:rFonts w:hint="eastAsia" w:cs="宋体"/>
          <w:highlight w:val="none"/>
        </w:rPr>
        <w:t>×14、基坑支护工程设计要求</w:t>
      </w:r>
    </w:p>
    <w:p w14:paraId="1290C927">
      <w:pPr>
        <w:ind w:firstLine="480"/>
        <w:rPr>
          <w:rFonts w:hint="eastAsia" w:cs="宋体"/>
          <w:highlight w:val="none"/>
        </w:rPr>
      </w:pPr>
      <w:r>
        <w:rPr>
          <w:rFonts w:hint="eastAsia" w:cs="宋体"/>
          <w:highlight w:val="none"/>
        </w:rPr>
        <w:t>1）本项目基坑支护工程的设计，应当严格执行国家及省市现行的法律、规范、规程和标准，保证岩土开挖、地下结构施工的安全，并确保基坑周边建筑、构筑物、道路、管线等市政设施的安全和正常使用。</w:t>
      </w:r>
    </w:p>
    <w:p w14:paraId="578190A5">
      <w:pPr>
        <w:ind w:firstLine="480"/>
        <w:rPr>
          <w:rFonts w:hint="eastAsia" w:cs="宋体"/>
          <w:highlight w:val="none"/>
        </w:rPr>
      </w:pPr>
      <w:r>
        <w:rPr>
          <w:rFonts w:hint="eastAsia" w:cs="宋体"/>
          <w:highlight w:val="none"/>
        </w:rPr>
        <w:t>2）设计应本着“因地制宜、安全可靠、经济适用、便于施工”的原则，认真分析工程现场的岩土工程特点、水文地质条件，结合基坑开挖深度、基坑周边荷载、周边环境，以及基坑安全等级、基坑位移对主体结构的周围环境的影响程度来选择经济、安全、合理的基坑支护方案，方案结构分析全面、模型正确、计算无误、图纸质量高、预案措施简单有效。</w:t>
      </w:r>
    </w:p>
    <w:p w14:paraId="2096DB9E">
      <w:pPr>
        <w:ind w:firstLine="480"/>
        <w:rPr>
          <w:rFonts w:hint="eastAsia" w:cs="宋体"/>
          <w:highlight w:val="none"/>
        </w:rPr>
      </w:pPr>
      <w:r>
        <w:rPr>
          <w:rFonts w:hint="eastAsia" w:cs="宋体"/>
          <w:highlight w:val="none"/>
        </w:rPr>
        <w:t>3）本项目基坑支护体系的平面布置应规则简单，除非有特殊考虑，否则基坑平面的布置不应有过多的转折或转角，以避免造成受力薄弱部位。</w:t>
      </w:r>
    </w:p>
    <w:p w14:paraId="5673EF6C">
      <w:pPr>
        <w:ind w:firstLine="480"/>
        <w:rPr>
          <w:rFonts w:hint="eastAsia" w:cs="宋体"/>
          <w:highlight w:val="none"/>
        </w:rPr>
      </w:pPr>
      <w:r>
        <w:rPr>
          <w:rFonts w:hint="eastAsia" w:cs="宋体"/>
          <w:highlight w:val="none"/>
        </w:rPr>
        <w:t>4）支护结构体系计算分析时，应充分考虑施工时场地布置需要，支护结构与地下外墙间应考虑留有一定的满足施工要求的操作空间，必要时考虑相应的基坑边部堆载（并注明堆载量限额）。</w:t>
      </w:r>
    </w:p>
    <w:p w14:paraId="38B4F6D3">
      <w:pPr>
        <w:ind w:firstLine="480"/>
        <w:rPr>
          <w:rFonts w:hint="eastAsia" w:cs="宋体"/>
          <w:highlight w:val="none"/>
        </w:rPr>
      </w:pPr>
      <w:r>
        <w:rPr>
          <w:rFonts w:hint="eastAsia" w:cs="宋体"/>
          <w:highlight w:val="none"/>
        </w:rPr>
        <w:t>5）基坑开挖与支护计算时，应根据场地的实际土层分布、地下水条件、环境控制条件等，按基坑开挖施工过程的实际工况进行设计。</w:t>
      </w:r>
    </w:p>
    <w:p w14:paraId="116DC868">
      <w:pPr>
        <w:ind w:firstLine="480"/>
        <w:rPr>
          <w:rFonts w:hint="eastAsia" w:cs="宋体"/>
          <w:highlight w:val="none"/>
        </w:rPr>
      </w:pPr>
      <w:r>
        <w:rPr>
          <w:rFonts w:hint="eastAsia" w:cs="宋体"/>
          <w:highlight w:val="none"/>
        </w:rPr>
        <w:t>6）基坑开挖与支护应进行稳定性验算，基坑稳定安全系数取值应结合本工程实际情况、项目所在地经验值以及相关标准规范的规定等综合确定。</w:t>
      </w:r>
    </w:p>
    <w:p w14:paraId="3BAE09C2">
      <w:pPr>
        <w:ind w:firstLine="480"/>
        <w:rPr>
          <w:rFonts w:hint="eastAsia" w:cs="宋体"/>
          <w:highlight w:val="none"/>
        </w:rPr>
      </w:pPr>
      <w:r>
        <w:rPr>
          <w:rFonts w:hint="eastAsia" w:cs="宋体"/>
          <w:highlight w:val="none"/>
        </w:rPr>
        <w:t>7）因支护结构变形、岩土开挖及地下水条件引起的基坑内外土体变形，应以支护体系安全、不影响地下结构尺寸形状和正常施工、对周边既有建（构）筑物引起的沉降控制在现行相关标准规的规定以内等条件进行控制。</w:t>
      </w:r>
    </w:p>
    <w:p w14:paraId="1EB9385C">
      <w:pPr>
        <w:ind w:firstLine="480"/>
        <w:rPr>
          <w:rFonts w:hint="eastAsia" w:cs="宋体"/>
          <w:highlight w:val="none"/>
        </w:rPr>
      </w:pPr>
      <w:r>
        <w:rPr>
          <w:rFonts w:hint="eastAsia" w:cs="宋体"/>
          <w:highlight w:val="none"/>
        </w:rPr>
        <w:t>8）应根据工程周边环境及水文地质条件等，采用必要的坑内明排或组合排水方法等措施，地表应设有明沟排（截）水措施，以防地表水流向基坑内。</w:t>
      </w:r>
    </w:p>
    <w:p w14:paraId="42B3F5F1">
      <w:pPr>
        <w:ind w:firstLine="480"/>
        <w:rPr>
          <w:rFonts w:hint="eastAsia" w:cs="宋体"/>
          <w:highlight w:val="none"/>
        </w:rPr>
      </w:pPr>
      <w:r>
        <w:rPr>
          <w:rFonts w:hint="eastAsia" w:cs="宋体"/>
          <w:highlight w:val="none"/>
        </w:rPr>
        <w:t>9）应充分考虑基坑支护体系的监测措施，明确支护体系结构内力与变形、地面沉降（位移）、地下水位（水压力）变化以及相邻建（构）筑物或市政管网设施沉降（位移）等监测项目的预警值。</w:t>
      </w:r>
    </w:p>
    <w:p w14:paraId="0CEEF432">
      <w:pPr>
        <w:ind w:firstLine="480"/>
        <w:rPr>
          <w:rFonts w:hint="eastAsia" w:cs="宋体"/>
          <w:highlight w:val="none"/>
        </w:rPr>
      </w:pPr>
      <w:r>
        <w:rPr>
          <w:rFonts w:hint="eastAsia" w:cs="宋体"/>
          <w:highlight w:val="none"/>
        </w:rPr>
        <w:t>10）应对基坑开挖及支护施工提出相应的施工要求，并充分考虑基坑开挖及支护工程施工顺序及方案。</w:t>
      </w:r>
    </w:p>
    <w:p w14:paraId="461AED3E">
      <w:pPr>
        <w:ind w:firstLine="480"/>
        <w:rPr>
          <w:rFonts w:hint="eastAsia" w:cs="宋体"/>
          <w:highlight w:val="none"/>
        </w:rPr>
      </w:pPr>
      <w:r>
        <w:rPr>
          <w:rFonts w:hint="eastAsia" w:cs="宋体"/>
          <w:highlight w:val="none"/>
        </w:rPr>
        <w:t>15、停车配建要求</w:t>
      </w:r>
      <w:bookmarkEnd w:id="45"/>
      <w:bookmarkEnd w:id="46"/>
      <w:bookmarkEnd w:id="47"/>
      <w:bookmarkEnd w:id="48"/>
      <w:bookmarkEnd w:id="49"/>
    </w:p>
    <w:p w14:paraId="120C3D84">
      <w:pPr>
        <w:ind w:firstLine="480"/>
        <w:rPr>
          <w:rFonts w:hint="eastAsia" w:cs="宋体"/>
          <w:highlight w:val="none"/>
        </w:rPr>
      </w:pPr>
      <w:r>
        <w:rPr>
          <w:rFonts w:hint="eastAsia" w:cs="宋体"/>
          <w:highlight w:val="none"/>
        </w:rPr>
        <w:t>参照《广州市建设项目停车泊位配建指标规定》，结合配售型保障性住房项目特性，进行项目停车泊位配建设计。具体的配建指标最终以政府相关部门的批复及发包人选定方案为准。</w:t>
      </w:r>
    </w:p>
    <w:p w14:paraId="7AA0AA32">
      <w:pPr>
        <w:ind w:firstLine="480"/>
        <w:rPr>
          <w:rFonts w:hint="eastAsia" w:cs="宋体"/>
          <w:highlight w:val="none"/>
        </w:rPr>
      </w:pPr>
      <w:bookmarkStart w:id="50" w:name="_Toc32336"/>
      <w:bookmarkStart w:id="51" w:name="_Toc767"/>
      <w:bookmarkStart w:id="52" w:name="_Toc17551"/>
      <w:bookmarkStart w:id="53" w:name="_Toc2697"/>
      <w:bookmarkStart w:id="54" w:name="_Toc6687"/>
      <w:r>
        <w:rPr>
          <w:rFonts w:hint="eastAsia" w:cs="宋体"/>
          <w:highlight w:val="none"/>
        </w:rPr>
        <w:t>16、充电桩设置要求</w:t>
      </w:r>
      <w:bookmarkEnd w:id="50"/>
      <w:bookmarkEnd w:id="51"/>
      <w:bookmarkEnd w:id="52"/>
      <w:bookmarkEnd w:id="53"/>
      <w:bookmarkEnd w:id="54"/>
      <w:r>
        <w:rPr>
          <w:rFonts w:hint="eastAsia" w:cs="宋体"/>
          <w:highlight w:val="none"/>
        </w:rPr>
        <w:t xml:space="preserve"> </w:t>
      </w:r>
    </w:p>
    <w:p w14:paraId="00AE37AE">
      <w:pPr>
        <w:ind w:firstLine="480"/>
        <w:rPr>
          <w:rFonts w:hint="eastAsia" w:cs="宋体"/>
          <w:highlight w:val="none"/>
        </w:rPr>
      </w:pPr>
      <w:r>
        <w:rPr>
          <w:rFonts w:hint="eastAsia" w:cs="宋体"/>
          <w:highlight w:val="none"/>
        </w:rPr>
        <w:t>新建住宅小区配建停车位必须 100%建设充电设施或预留建设安装条件。充分考虑电动自行车的充电与集中停放场地。</w:t>
      </w:r>
    </w:p>
    <w:p w14:paraId="369AB6E6">
      <w:pPr>
        <w:ind w:firstLine="480"/>
        <w:rPr>
          <w:rFonts w:hint="eastAsia" w:cs="宋体"/>
          <w:highlight w:val="none"/>
        </w:rPr>
      </w:pPr>
      <w:bookmarkStart w:id="55" w:name="_Toc20953"/>
      <w:bookmarkStart w:id="56" w:name="_Toc8082"/>
      <w:bookmarkStart w:id="57" w:name="_Toc29852"/>
      <w:bookmarkStart w:id="58" w:name="_Toc8965"/>
      <w:bookmarkStart w:id="59" w:name="_Toc12273"/>
      <w:r>
        <w:rPr>
          <w:rFonts w:hint="eastAsia" w:cs="宋体"/>
          <w:highlight w:val="none"/>
        </w:rPr>
        <w:t>17、绿色建筑</w:t>
      </w:r>
      <w:bookmarkEnd w:id="55"/>
      <w:bookmarkEnd w:id="56"/>
      <w:bookmarkEnd w:id="57"/>
      <w:bookmarkEnd w:id="58"/>
      <w:bookmarkEnd w:id="59"/>
    </w:p>
    <w:p w14:paraId="6867613B">
      <w:pPr>
        <w:ind w:firstLine="480"/>
        <w:rPr>
          <w:rFonts w:hint="eastAsia" w:cs="宋体"/>
          <w:highlight w:val="none"/>
        </w:rPr>
      </w:pPr>
      <w:r>
        <w:rPr>
          <w:rFonts w:hint="eastAsia" w:cs="宋体"/>
          <w:highlight w:val="none"/>
        </w:rPr>
        <w:t>设计应遵循循环经济理念，尽可能参照绿色建筑要求应用新技术，采用新型节能环保材料，暂定实施绿色建筑二星级，绿色建筑有关要求最终以政府相关部门的批复为准。</w:t>
      </w:r>
    </w:p>
    <w:p w14:paraId="610A0B45">
      <w:pPr>
        <w:ind w:firstLine="480"/>
        <w:rPr>
          <w:rFonts w:hint="eastAsia" w:cs="宋体"/>
          <w:highlight w:val="none"/>
        </w:rPr>
      </w:pPr>
      <w:bookmarkStart w:id="60" w:name="_Toc24759"/>
      <w:bookmarkStart w:id="61" w:name="_Toc15923"/>
      <w:bookmarkStart w:id="62" w:name="_Toc24310"/>
      <w:bookmarkStart w:id="63" w:name="_Toc28086"/>
      <w:bookmarkStart w:id="64" w:name="_Toc17447"/>
      <w:r>
        <w:rPr>
          <w:rFonts w:hint="eastAsia" w:cs="宋体"/>
          <w:highlight w:val="none"/>
        </w:rPr>
        <w:t>18、海绵城市</w:t>
      </w:r>
      <w:bookmarkEnd w:id="60"/>
      <w:bookmarkEnd w:id="61"/>
      <w:bookmarkEnd w:id="62"/>
      <w:bookmarkEnd w:id="63"/>
      <w:bookmarkEnd w:id="64"/>
    </w:p>
    <w:p w14:paraId="595F330D">
      <w:pPr>
        <w:ind w:firstLine="480"/>
        <w:rPr>
          <w:rFonts w:hint="eastAsia" w:cs="宋体"/>
          <w:highlight w:val="none"/>
        </w:rPr>
      </w:pPr>
      <w:r>
        <w:rPr>
          <w:rFonts w:hint="eastAsia" w:cs="宋体"/>
          <w:highlight w:val="none"/>
        </w:rPr>
        <w:t>海绵城市是指通过加强城市规划建设管理，充分发挥建筑、道路、排水设施和绿地等生态系统对雨水的吸纳、蓄渗和缓释作用，有效控制雨水径流，实现自然积存、自然渗透、自然净化的发展方式。应遵循“生态优先、因地制宜、协调统筹、经济适用、安全美观”的原则，源头减排、过程控制、系统治理相协调，降低与修复开发建设对自然水循环的不利影响，有效改善生态环境、提升防灾减灾能力。</w:t>
      </w:r>
    </w:p>
    <w:p w14:paraId="34366386">
      <w:pPr>
        <w:ind w:firstLine="480"/>
        <w:rPr>
          <w:rFonts w:hint="eastAsia" w:cs="宋体"/>
          <w:highlight w:val="none"/>
        </w:rPr>
      </w:pPr>
      <w:r>
        <w:rPr>
          <w:rFonts w:hint="eastAsia" w:cs="宋体"/>
          <w:highlight w:val="none"/>
        </w:rPr>
        <w:t>规划方案阶段要有海绵城市设计专篇，对汇水单元划分、项目竖向和场地排水系统进行统筹设计，并通过计算确定 LID 设施的规模、主要参数及平面布置方案。应设置相应的海绵监测设施，在建设工程施工图审查、 施工许可等环节，海绵城市相关工程措施将作为重点审查内容；工程竣工验收报告中， 应当写明海绵城市相关工程措施的落实情况，提交审批机关备案。</w:t>
      </w:r>
    </w:p>
    <w:p w14:paraId="2594D171">
      <w:pPr>
        <w:ind w:firstLine="480"/>
        <w:rPr>
          <w:rFonts w:hint="eastAsia" w:cs="宋体"/>
          <w:highlight w:val="none"/>
        </w:rPr>
      </w:pPr>
      <w:bookmarkStart w:id="65" w:name="_Toc12771"/>
      <w:bookmarkStart w:id="66" w:name="_Toc858"/>
      <w:bookmarkStart w:id="67" w:name="_Toc12597"/>
      <w:bookmarkStart w:id="68" w:name="_Toc560"/>
      <w:bookmarkStart w:id="69" w:name="_Toc10851"/>
      <w:r>
        <w:rPr>
          <w:rFonts w:hint="eastAsia" w:cs="宋体"/>
          <w:highlight w:val="none"/>
        </w:rPr>
        <w:t>19、装配式建筑</w:t>
      </w:r>
      <w:bookmarkEnd w:id="65"/>
      <w:bookmarkEnd w:id="66"/>
      <w:bookmarkEnd w:id="67"/>
      <w:bookmarkEnd w:id="68"/>
      <w:bookmarkEnd w:id="69"/>
      <w:r>
        <w:rPr>
          <w:rFonts w:hint="eastAsia" w:cs="宋体"/>
          <w:highlight w:val="none"/>
        </w:rPr>
        <w:t xml:space="preserve"> </w:t>
      </w:r>
    </w:p>
    <w:p w14:paraId="593393A5">
      <w:pPr>
        <w:numPr>
          <w:ilvl w:val="0"/>
          <w:numId w:val="1"/>
        </w:numPr>
        <w:tabs>
          <w:tab w:val="clear" w:pos="0"/>
        </w:tabs>
        <w:ind w:firstLine="480"/>
        <w:rPr>
          <w:rFonts w:hint="eastAsia" w:cs="宋体"/>
          <w:highlight w:val="none"/>
        </w:rPr>
      </w:pPr>
      <w:r>
        <w:rPr>
          <w:rFonts w:hint="eastAsia" w:cs="宋体"/>
          <w:highlight w:val="none"/>
        </w:rPr>
        <w:t>满足《装配式保障性住房及人才公寓设计规程》(广州市标准)</w:t>
      </w:r>
      <w:r>
        <w:rPr>
          <w:rFonts w:hint="eastAsia" w:cs="宋体"/>
          <w:highlight w:val="none"/>
        </w:rPr>
        <w:t>、</w:t>
      </w:r>
      <w:r>
        <w:rPr>
          <w:rFonts w:cs="宋体"/>
          <w:highlight w:val="none"/>
        </w:rPr>
        <w:t>《装配式建筑评价标准》DBJ/T 15-163-2019</w:t>
      </w:r>
      <w:r>
        <w:rPr>
          <w:rFonts w:hint="eastAsia" w:cs="宋体"/>
          <w:highlight w:val="none"/>
        </w:rPr>
        <w:t>、</w:t>
      </w:r>
      <w:r>
        <w:rPr>
          <w:rFonts w:cs="宋体"/>
          <w:highlight w:val="none"/>
        </w:rPr>
        <w:t>《装配式建筑评价标准》GB/T 51129-2017</w:t>
      </w:r>
      <w:r>
        <w:rPr>
          <w:rFonts w:hint="eastAsia" w:cs="宋体"/>
          <w:highlight w:val="none"/>
        </w:rPr>
        <w:t>、《装配式建筑评价标准》DB4401/T 151—2022</w:t>
      </w:r>
      <w:r>
        <w:rPr>
          <w:rFonts w:hint="eastAsia" w:cs="宋体"/>
          <w:strike/>
          <w:highlight w:val="none"/>
        </w:rPr>
        <w:t>国标）</w:t>
      </w:r>
      <w:r>
        <w:rPr>
          <w:rFonts w:hint="eastAsia" w:cs="宋体"/>
          <w:highlight w:val="none"/>
        </w:rPr>
        <w:t>，以及广州市住房和城乡建设局、广州市规划和自然资源局关于优化装配式建筑实施范围的各项通知及相关部门要求。</w:t>
      </w:r>
    </w:p>
    <w:p w14:paraId="2AB4189A">
      <w:pPr>
        <w:ind w:firstLine="480"/>
        <w:rPr>
          <w:rFonts w:hint="eastAsia" w:cs="宋体"/>
          <w:highlight w:val="none"/>
        </w:rPr>
      </w:pPr>
      <w:bookmarkStart w:id="70" w:name="_Toc11501"/>
      <w:bookmarkStart w:id="71" w:name="_Toc4229"/>
      <w:bookmarkStart w:id="72" w:name="_Toc132"/>
      <w:bookmarkStart w:id="73" w:name="_Toc10631"/>
      <w:bookmarkStart w:id="74" w:name="_Toc8519"/>
      <w:r>
        <w:rPr>
          <w:rFonts w:hint="eastAsia" w:cs="宋体"/>
          <w:highlight w:val="none"/>
        </w:rPr>
        <w:t>20、抗震支吊架设计</w:t>
      </w:r>
      <w:bookmarkEnd w:id="70"/>
      <w:bookmarkEnd w:id="71"/>
      <w:bookmarkEnd w:id="72"/>
      <w:bookmarkEnd w:id="73"/>
      <w:bookmarkEnd w:id="74"/>
    </w:p>
    <w:p w14:paraId="5A20A8DB">
      <w:pPr>
        <w:ind w:firstLine="480"/>
        <w:rPr>
          <w:rFonts w:hint="eastAsia" w:cs="宋体"/>
          <w:highlight w:val="none"/>
        </w:rPr>
      </w:pPr>
      <w:r>
        <w:rPr>
          <w:rFonts w:hint="eastAsia" w:cs="宋体"/>
          <w:highlight w:val="none"/>
        </w:rPr>
        <w:t>依据《建筑抗震设计规范》GB50011-2010（2016年版）3.7.1（强条）非结构构件，包括建筑非结构构件和建筑附属机电设备，自身与结构主体的连接应进行抗震设计；抗震设防烈度为6度及6度以上地区的建筑机电工程必须进行抗震设计。</w:t>
      </w:r>
    </w:p>
    <w:p w14:paraId="31FABC64">
      <w:pPr>
        <w:ind w:firstLine="480"/>
        <w:rPr>
          <w:rFonts w:hint="eastAsia" w:cs="宋体"/>
          <w:highlight w:val="none"/>
        </w:rPr>
      </w:pPr>
      <w:bookmarkStart w:id="75" w:name="_Toc29004"/>
      <w:bookmarkStart w:id="76" w:name="_Toc992"/>
      <w:bookmarkStart w:id="77" w:name="_Toc12366"/>
      <w:bookmarkStart w:id="78" w:name="_Toc5457"/>
      <w:bookmarkStart w:id="79" w:name="_Toc27490"/>
      <w:r>
        <w:rPr>
          <w:rFonts w:hint="eastAsia" w:cs="宋体"/>
          <w:highlight w:val="none"/>
        </w:rPr>
        <w:t>21、装修标准</w:t>
      </w:r>
      <w:bookmarkEnd w:id="75"/>
      <w:bookmarkEnd w:id="76"/>
      <w:bookmarkEnd w:id="77"/>
      <w:bookmarkEnd w:id="78"/>
      <w:bookmarkEnd w:id="79"/>
    </w:p>
    <w:p w14:paraId="7B1A1234">
      <w:pPr>
        <w:ind w:firstLine="480"/>
        <w:rPr>
          <w:rFonts w:hint="eastAsia" w:cs="宋体"/>
          <w:highlight w:val="none"/>
        </w:rPr>
      </w:pPr>
      <w:r>
        <w:rPr>
          <w:rFonts w:hint="eastAsia" w:cs="宋体"/>
          <w:highlight w:val="none"/>
        </w:rPr>
        <w:t>参考《广州市配售型保障性住房规划建设工作导则》（穗建住办﹝2024﹞285号）及发包人的相关要求，如果所引用的标准和规范有局部的修订或新颁，经发包人批准后，设计人应执行新的标准或规范。</w:t>
      </w:r>
    </w:p>
    <w:p w14:paraId="323958D7">
      <w:pPr>
        <w:ind w:firstLine="480"/>
        <w:rPr>
          <w:rFonts w:hint="eastAsia" w:cs="宋体"/>
          <w:highlight w:val="none"/>
        </w:rPr>
      </w:pPr>
      <w:bookmarkStart w:id="80" w:name="_Toc18344"/>
      <w:bookmarkStart w:id="81" w:name="_Toc30218"/>
      <w:bookmarkStart w:id="82" w:name="_Toc15620"/>
      <w:bookmarkStart w:id="83" w:name="_Toc3834"/>
      <w:bookmarkStart w:id="84" w:name="_Toc28673"/>
      <w:r>
        <w:rPr>
          <w:rFonts w:hint="eastAsia" w:cs="宋体"/>
          <w:highlight w:val="none"/>
        </w:rPr>
        <w:t>22、其他设计要求</w:t>
      </w:r>
      <w:bookmarkEnd w:id="80"/>
      <w:bookmarkEnd w:id="81"/>
      <w:bookmarkEnd w:id="82"/>
      <w:bookmarkEnd w:id="83"/>
      <w:bookmarkEnd w:id="84"/>
    </w:p>
    <w:p w14:paraId="5D1204FF">
      <w:pPr>
        <w:ind w:firstLine="480"/>
        <w:rPr>
          <w:rFonts w:hint="eastAsia" w:cs="宋体"/>
          <w:highlight w:val="none"/>
        </w:rPr>
      </w:pPr>
      <w:r>
        <w:rPr>
          <w:rFonts w:hint="eastAsia" w:cs="宋体"/>
          <w:highlight w:val="none"/>
        </w:rPr>
        <w:t>22.1、结构：要求依据建设和技术资料合理选择、确定建筑结构形式和基础类型，高层建筑平面应尽量考虑均衡的结构形式，尽量减少造价的增加。</w:t>
      </w:r>
    </w:p>
    <w:p w14:paraId="1756A320">
      <w:pPr>
        <w:ind w:firstLine="480"/>
        <w:rPr>
          <w:rFonts w:hint="eastAsia" w:cs="宋体"/>
          <w:highlight w:val="none"/>
        </w:rPr>
      </w:pPr>
      <w:r>
        <w:rPr>
          <w:rFonts w:hint="eastAsia" w:cs="宋体"/>
          <w:highlight w:val="none"/>
        </w:rPr>
        <w:t>22.2、项目结构、电气、给排水、空调与通风、弱电（含智能化、有线电视）、燃气、电梯及其他配套设施建设应符合相关设计要求。</w:t>
      </w:r>
    </w:p>
    <w:p w14:paraId="71BCB918">
      <w:pPr>
        <w:ind w:firstLine="480"/>
        <w:rPr>
          <w:rFonts w:hint="eastAsia" w:cs="宋体"/>
          <w:highlight w:val="none"/>
        </w:rPr>
      </w:pPr>
      <w:r>
        <w:rPr>
          <w:rFonts w:hint="eastAsia" w:cs="宋体"/>
          <w:highlight w:val="none"/>
        </w:rPr>
        <w:t>22.3、红线范围内市政道路按相关规范并满足消防要求和无障碍通行的要求。</w:t>
      </w:r>
    </w:p>
    <w:p w14:paraId="7015CFF1">
      <w:pPr>
        <w:ind w:firstLine="480"/>
        <w:rPr>
          <w:rFonts w:hint="eastAsia" w:cs="宋体"/>
          <w:highlight w:val="none"/>
        </w:rPr>
      </w:pPr>
      <w:r>
        <w:rPr>
          <w:rFonts w:hint="eastAsia" w:cs="宋体"/>
          <w:highlight w:val="none"/>
        </w:rPr>
        <w:t>22.4、供水、供电系统及线路走向要求经济合理。</w:t>
      </w:r>
    </w:p>
    <w:p w14:paraId="0FD74511">
      <w:pPr>
        <w:ind w:firstLine="480"/>
        <w:rPr>
          <w:rFonts w:hint="eastAsia" w:cs="宋体"/>
          <w:highlight w:val="none"/>
        </w:rPr>
      </w:pPr>
      <w:bookmarkStart w:id="85" w:name="_Toc14503"/>
      <w:bookmarkStart w:id="86" w:name="_Toc6027"/>
      <w:bookmarkStart w:id="87" w:name="_Toc32330"/>
      <w:bookmarkStart w:id="88" w:name="_Toc4367"/>
      <w:bookmarkStart w:id="89" w:name="_Toc25937"/>
      <w:r>
        <w:rPr>
          <w:rFonts w:hint="eastAsia" w:cs="宋体"/>
          <w:highlight w:val="none"/>
        </w:rPr>
        <w:t>23、项目涉及铁路保护区域时，应符合以下要求：</w:t>
      </w:r>
      <w:bookmarkEnd w:id="85"/>
      <w:bookmarkEnd w:id="86"/>
      <w:bookmarkEnd w:id="87"/>
      <w:bookmarkEnd w:id="88"/>
      <w:bookmarkEnd w:id="89"/>
    </w:p>
    <w:p w14:paraId="50816209">
      <w:pPr>
        <w:ind w:firstLine="480"/>
        <w:rPr>
          <w:rFonts w:hint="eastAsia" w:cs="宋体"/>
          <w:highlight w:val="none"/>
        </w:rPr>
      </w:pPr>
      <w:r>
        <w:rPr>
          <w:rFonts w:hint="eastAsia" w:cs="宋体"/>
          <w:highlight w:val="none"/>
        </w:rPr>
        <w:t>22.1、该项目涉及广州铁路枢纽广州站至广州南站联络线工程西塱隧道保护区范围，设计时须充分考虑并论证铁路工程的施工与轨道运营期间的安全及功能要求等。</w:t>
      </w:r>
    </w:p>
    <w:p w14:paraId="0E9ACA57">
      <w:pPr>
        <w:ind w:firstLine="480"/>
        <w:rPr>
          <w:rFonts w:hint="eastAsia" w:cs="宋体"/>
          <w:highlight w:val="none"/>
        </w:rPr>
      </w:pPr>
      <w:r>
        <w:rPr>
          <w:rFonts w:hint="eastAsia" w:cs="宋体"/>
          <w:highlight w:val="none"/>
        </w:rPr>
        <w:t>22.2、结合保护区范围，充分考虑项目总平布置与地下空间等布局，须提供多方案比选。</w:t>
      </w:r>
    </w:p>
    <w:p w14:paraId="635121A0">
      <w:pPr>
        <w:ind w:firstLine="480"/>
        <w:rPr>
          <w:rFonts w:hint="eastAsia" w:cs="宋体"/>
          <w:highlight w:val="none"/>
        </w:rPr>
      </w:pPr>
      <w:r>
        <w:rPr>
          <w:rFonts w:hint="eastAsia" w:cs="宋体"/>
          <w:highlight w:val="none"/>
        </w:rPr>
        <w:t>22.3、充分考虑铁路施工、运行期等所带来的振动、噪音等特殊因素所产生的不利影响，并采取应对措施，确保满足环保要求。</w:t>
      </w:r>
    </w:p>
    <w:p w14:paraId="3A83F5E8">
      <w:pPr>
        <w:ind w:firstLine="480"/>
        <w:rPr>
          <w:rFonts w:hint="eastAsia" w:cs="宋体"/>
          <w:highlight w:val="none"/>
        </w:rPr>
      </w:pPr>
      <w:r>
        <w:rPr>
          <w:rFonts w:hint="eastAsia" w:cs="宋体"/>
          <w:highlight w:val="none"/>
        </w:rPr>
        <w:t>24、第五立面设计要求：在办理建设工程规划许可证核发时，第五立面的规划报建图纸应达到施工图设计深度，并落实规划设计方案阶段提出的第五立面功能分区及立面处理方式。</w:t>
      </w:r>
    </w:p>
    <w:p w14:paraId="737D85A4">
      <w:pPr>
        <w:ind w:firstLine="480"/>
        <w:rPr>
          <w:rFonts w:hint="eastAsia" w:cs="宋体"/>
          <w:highlight w:val="none"/>
        </w:rPr>
      </w:pPr>
      <w:r>
        <w:rPr>
          <w:rFonts w:hint="eastAsia" w:cs="宋体"/>
          <w:highlight w:val="none"/>
        </w:rPr>
        <w:t>25、应按《智能建筑设计标准(GB50314-2015)》等相关要求，在规划、设计、验收阶段采用 BIM 技术，其中经论证不适合应用BIM 技术的除外。</w:t>
      </w:r>
    </w:p>
    <w:p w14:paraId="317CE5E8">
      <w:pPr>
        <w:tabs>
          <w:tab w:val="left" w:pos="8640"/>
        </w:tabs>
        <w:ind w:firstLine="480"/>
        <w:rPr>
          <w:rFonts w:hint="eastAsia" w:cs="宋体"/>
          <w:highlight w:val="none"/>
        </w:rPr>
      </w:pPr>
      <w:r>
        <w:rPr>
          <w:rFonts w:hint="eastAsia" w:cs="宋体"/>
          <w:highlight w:val="none"/>
        </w:rPr>
        <w:t>26、满足</w:t>
      </w:r>
      <w:r>
        <w:rPr>
          <w:rFonts w:hint="eastAsia" w:cs="宋体"/>
          <w:b/>
          <w:bCs/>
          <w:highlight w:val="none"/>
        </w:rPr>
        <w:t>《广州安居集团有限公司建设工程设计管理办法》（试行）》</w:t>
      </w:r>
      <w:r>
        <w:rPr>
          <w:rFonts w:hint="eastAsia" w:cs="宋体"/>
          <w:b w:val="0"/>
          <w:bCs w:val="0"/>
          <w:highlight w:val="none"/>
          <w:lang w:eastAsia="zh-CN"/>
        </w:rPr>
        <w:t>（合同附件</w:t>
      </w:r>
      <w:r>
        <w:rPr>
          <w:rFonts w:hint="eastAsia" w:cs="宋体"/>
          <w:b w:val="0"/>
          <w:bCs w:val="0"/>
          <w:highlight w:val="none"/>
          <w:lang w:val="en-US" w:eastAsia="zh-CN"/>
        </w:rPr>
        <w:t>17</w:t>
      </w:r>
      <w:r>
        <w:rPr>
          <w:rFonts w:hint="eastAsia" w:cs="宋体"/>
          <w:b w:val="0"/>
          <w:bCs w:val="0"/>
          <w:highlight w:val="none"/>
          <w:lang w:eastAsia="zh-CN"/>
        </w:rPr>
        <w:t>）</w:t>
      </w:r>
      <w:r>
        <w:rPr>
          <w:rFonts w:hint="eastAsia" w:cs="宋体"/>
          <w:highlight w:val="none"/>
        </w:rPr>
        <w:t>的要求。</w:t>
      </w:r>
    </w:p>
    <w:p w14:paraId="1F8CBC8A">
      <w:pPr>
        <w:pStyle w:val="24"/>
        <w:ind w:firstLine="480"/>
        <w:jc w:val="both"/>
        <w:rPr>
          <w:rFonts w:hint="eastAsia" w:cs="宋体"/>
          <w:b w:val="0"/>
          <w:bCs w:val="0"/>
          <w:highlight w:val="none"/>
        </w:rPr>
      </w:pPr>
      <w:r>
        <w:rPr>
          <w:rFonts w:hint="eastAsia" w:cs="宋体"/>
          <w:b w:val="0"/>
          <w:bCs w:val="0"/>
          <w:highlight w:val="none"/>
        </w:rPr>
        <w:t>27、按照《中国铁路广州局集团有限公司地方涉铁工程建设管理办法（试行）》（广铁科信发〔2021〕72号）的相关要求，承担本综合体项目的设计单位须具有高速铁路经验及业绩。</w:t>
      </w:r>
    </w:p>
    <w:p w14:paraId="7529CA01">
      <w:pPr>
        <w:ind w:firstLine="482"/>
        <w:rPr>
          <w:rFonts w:hint="eastAsia" w:cs="宋体"/>
          <w:b/>
          <w:bCs/>
          <w:highlight w:val="none"/>
        </w:rPr>
      </w:pPr>
      <w:r>
        <w:rPr>
          <w:rFonts w:hint="eastAsia" w:cs="宋体"/>
          <w:b/>
          <w:bCs/>
          <w:highlight w:val="none"/>
        </w:rPr>
        <w:t>1.4设计范围</w:t>
      </w:r>
    </w:p>
    <w:p w14:paraId="5F377A54">
      <w:pPr>
        <w:ind w:firstLine="480"/>
        <w:rPr>
          <w:rFonts w:hint="eastAsia" w:cs="宋体"/>
          <w:highlight w:val="none"/>
        </w:rPr>
      </w:pPr>
      <w:r>
        <w:rPr>
          <w:rFonts w:hint="eastAsia" w:cs="宋体"/>
          <w:highlight w:val="none"/>
        </w:rPr>
        <w:t>根据项目基础资料、设计任务书及工程管理要求，负责与前期设计单位工作街接，承担本项目综合体范围内的各专业工程施工图设计、设计变更(含其造价变化分析)及现场技术指导等，范围包括:各专业工程施工图设计、施工过程中的方案优化及设计变更、竣工图编制、审核及盖章、现场服务及专业工程师驻场服务、各项设计协调服务、各专业报审报建报验、施工及验收过程的配合、BIM 技术应用（施工图设计阶段）、配合上级部门审批相关工作、验收后升级改造等。设计工作范围包括：</w:t>
      </w:r>
    </w:p>
    <w:p w14:paraId="6E5CCCFE">
      <w:pPr>
        <w:ind w:firstLine="482"/>
        <w:rPr>
          <w:rFonts w:hint="eastAsia" w:cs="宋体"/>
          <w:b/>
          <w:bCs/>
          <w:highlight w:val="none"/>
          <w:u w:val="single"/>
        </w:rPr>
      </w:pPr>
      <w:r>
        <w:rPr>
          <w:rFonts w:hint="eastAsia" w:cs="宋体"/>
          <w:b/>
          <w:bCs/>
          <w:highlight w:val="none"/>
          <w:u w:val="single"/>
        </w:rPr>
        <w:t>1.4.1设计工作：</w:t>
      </w:r>
    </w:p>
    <w:p w14:paraId="79311C5D">
      <w:pPr>
        <w:ind w:firstLine="480"/>
        <w:rPr>
          <w:rFonts w:hint="eastAsia" w:cs="宋体"/>
          <w:highlight w:val="none"/>
        </w:rPr>
      </w:pPr>
      <w:r>
        <w:rPr>
          <w:rFonts w:hint="eastAsia" w:cs="宋体"/>
          <w:highlight w:val="none"/>
        </w:rPr>
        <w:t>负责本项目规划用地红线范围内（或项目建设影响范围内）所涉及建设内容的全部施工图设计工作，包括但不限于：</w:t>
      </w:r>
    </w:p>
    <w:p w14:paraId="6C1A11CB">
      <w:pPr>
        <w:ind w:firstLine="480"/>
        <w:rPr>
          <w:rFonts w:hint="eastAsia" w:cs="宋体"/>
          <w:highlight w:val="none"/>
        </w:rPr>
      </w:pPr>
      <w:r>
        <w:rPr>
          <w:rFonts w:hint="eastAsia" w:cs="宋体"/>
          <w:highlight w:val="none"/>
        </w:rPr>
        <w:t>（1）负责综合体所有专业工程施工图设计、深化设计或审核深化设计（包括但不限于）：基础工程、溶（土）洞处理、建筑工程、装饰装修工程（含室内外精装修、建筑内所有绿化、苗木）、装配式工程、绿色建筑、节能工程、人防工程、电气工程、幕墙工程、钢结构工程、充电桩工程、智能化工程（含通讯网络、光纤入户、信号覆盖、有线电视、门禁对讲系统、电梯五方对讲、车库出入口管理、视频监控系统、市政接驳等工程）、暖通工程、给排水工程、燃气工程（满足燃气公司审核要求）、消防工程、电梯工程、防雷工程、二次机电、永久用水工程（满足供水部门审核要求）、永久用电工程（满足供电部门审核要求）、智能停车（如有）、标识标牌（如有）、体育场地及相关设施工程（如有）、桥梁工程（含人行天桥、风雨连廊等，如有）、机械停车设备（如有）、泛光照明工程（如有）</w:t>
      </w:r>
      <w:r>
        <w:rPr>
          <w:rFonts w:hint="eastAsia" w:cs="宋体"/>
          <w:highlight w:val="none"/>
        </w:rPr>
        <w:t>、光伏系统（如有）</w:t>
      </w:r>
      <w:r>
        <w:rPr>
          <w:rFonts w:hint="eastAsia" w:cs="宋体"/>
          <w:highlight w:val="none"/>
        </w:rPr>
        <w:t>及零星工程（包括但不限于安装或吊装构件的预埋件和连接件、楼宇门牌及无障碍标识、信报箱等附属配套工程）、竣工图纸编制、验收后升级改造等。</w:t>
      </w:r>
    </w:p>
    <w:p w14:paraId="3F299C3F">
      <w:pPr>
        <w:ind w:firstLine="480"/>
        <w:rPr>
          <w:rFonts w:hint="eastAsia" w:cs="宋体"/>
          <w:highlight w:val="none"/>
        </w:rPr>
      </w:pPr>
      <w:r>
        <w:rPr>
          <w:rFonts w:hint="eastAsia" w:cs="宋体"/>
          <w:highlight w:val="none"/>
        </w:rPr>
        <w:t>（2）如项目涉及需进行超限高层建筑工程抗震设防专项审查的建筑，设计人应根据有关部门及发包人要求组织各类专家评审和验收，负责编制结构超限设计送审技术材料，并承担相应的专家评审费用。</w:t>
      </w:r>
    </w:p>
    <w:p w14:paraId="3A5BEE56">
      <w:pPr>
        <w:ind w:firstLine="480"/>
        <w:rPr>
          <w:rFonts w:hint="eastAsia" w:cs="宋体"/>
          <w:highlight w:val="none"/>
        </w:rPr>
      </w:pPr>
      <w:r>
        <w:rPr>
          <w:rFonts w:hint="eastAsia" w:cs="宋体"/>
          <w:highlight w:val="none"/>
        </w:rPr>
        <w:t>（3）如项目涉及铁路保护区范围，设计人应根据铁路等有关部门及发包人要求配合编制安全性影响评估工作（如有）、铁路环境影响评估工作（如有）、负责编制铁路对综合体的震动及噪音分析报告和相关措施（如有），包括但不限于：分析位于铁路安全保护区范围，铁路隧道对项目的安全性影响（如有），建筑结构加固、隔音、抗震措施等，提出合理的施工安全控制措施及相关建议，并承担相应的（专家评审）费用（如有）。</w:t>
      </w:r>
    </w:p>
    <w:p w14:paraId="73D31DB9">
      <w:pPr>
        <w:ind w:firstLine="480"/>
        <w:rPr>
          <w:rFonts w:hint="eastAsia" w:cs="宋体"/>
          <w:highlight w:val="none"/>
        </w:rPr>
      </w:pPr>
      <w:r>
        <w:rPr>
          <w:rFonts w:hint="eastAsia" w:cs="宋体"/>
          <w:highlight w:val="none"/>
        </w:rPr>
        <w:t>负责该项目设计阶段（红线范围及红线影响范围内的）所需的涉铁报审报建报批，以及沟通工作，并确保通过铁路有关部门的批复。</w:t>
      </w:r>
    </w:p>
    <w:p w14:paraId="0528432A">
      <w:pPr>
        <w:ind w:firstLine="480"/>
        <w:rPr>
          <w:rFonts w:hint="eastAsia"/>
          <w:highlight w:val="none"/>
        </w:rPr>
      </w:pPr>
      <w:r>
        <w:rPr>
          <w:rFonts w:hint="eastAsia" w:cs="宋体"/>
          <w:highlight w:val="none"/>
        </w:rPr>
        <w:t>如设计人不具备相关专业资质，经发包人同意，将安全性影响评估工作（如有）发包给具有相应资质的分包方。</w:t>
      </w:r>
    </w:p>
    <w:p w14:paraId="74A54698">
      <w:pPr>
        <w:ind w:firstLine="480"/>
        <w:rPr>
          <w:rFonts w:hint="eastAsia" w:cs="宋体"/>
          <w:highlight w:val="none"/>
        </w:rPr>
      </w:pPr>
      <w:r>
        <w:rPr>
          <w:rFonts w:hint="eastAsia" w:cs="宋体"/>
          <w:highlight w:val="none"/>
        </w:rPr>
        <w:t>（4）配合综合体所需的建筑图、户型图、效果图及销售合同附图的制作。</w:t>
      </w:r>
    </w:p>
    <w:p w14:paraId="03923919">
      <w:pPr>
        <w:ind w:firstLine="480"/>
        <w:rPr>
          <w:rFonts w:hint="eastAsia" w:cs="宋体"/>
          <w:highlight w:val="none"/>
        </w:rPr>
      </w:pPr>
      <w:r>
        <w:rPr>
          <w:rFonts w:hint="eastAsia" w:cs="宋体"/>
          <w:highlight w:val="none"/>
        </w:rPr>
        <w:t>（5）驻场服务：设计人承诺为本项目指定的驻场设计代表总负责人为本项目设计负责人之一，中级职称，其设计经历在5年以上，担任过房屋建筑工程项目（含类似工程）的设计负责人。设计人保证驻场设计代表总负责人能够全权代表设计人，并向发包人出具相应的授权文件。</w:t>
      </w:r>
    </w:p>
    <w:p w14:paraId="1BA51B92">
      <w:pPr>
        <w:ind w:firstLine="480"/>
        <w:rPr>
          <w:rFonts w:hint="eastAsia" w:cs="宋体"/>
          <w:highlight w:val="none"/>
        </w:rPr>
      </w:pPr>
      <w:r>
        <w:rPr>
          <w:rFonts w:hint="eastAsia" w:cs="宋体"/>
          <w:highlight w:val="none"/>
        </w:rPr>
        <w:t>（6）与前期工程，及项目其他设计单位的对接、设计协调，以及不在本设计任务书范围内的设计工作需提供相关服务咨询以及配合协调工作。</w:t>
      </w:r>
    </w:p>
    <w:p w14:paraId="281F7F51">
      <w:pPr>
        <w:ind w:firstLine="480"/>
        <w:rPr>
          <w:rFonts w:hint="eastAsia" w:cs="宋体"/>
          <w:highlight w:val="none"/>
        </w:rPr>
      </w:pPr>
      <w:r>
        <w:rPr>
          <w:rFonts w:hint="eastAsia" w:cs="宋体"/>
          <w:highlight w:val="none"/>
        </w:rPr>
        <w:t>×（7）基坑支护工程设计</w:t>
      </w:r>
    </w:p>
    <w:p w14:paraId="5B6400A5">
      <w:pPr>
        <w:ind w:firstLine="480"/>
        <w:rPr>
          <w:rFonts w:hint="eastAsia" w:cs="宋体"/>
          <w:highlight w:val="none"/>
        </w:rPr>
      </w:pPr>
      <w:r>
        <w:rPr>
          <w:rFonts w:hint="eastAsia" w:cs="宋体"/>
          <w:highlight w:val="none"/>
        </w:rPr>
        <w:t>负责本项目基坑支护工程的设计工作（包含施工图设计、竣工图等阶段），负责上述相对应的造价文件的编制工作。确保满足国家、省、市现行有效规范的要求，满足施工进度及施工安全要求，满足周围建筑物及构造物的安全要求，并保证通过各项技术评审。具体设计工作包括但不限于以下：</w:t>
      </w:r>
    </w:p>
    <w:p w14:paraId="267998F4">
      <w:pPr>
        <w:ind w:firstLine="480"/>
        <w:rPr>
          <w:rFonts w:hint="eastAsia" w:cs="宋体"/>
          <w:highlight w:val="none"/>
        </w:rPr>
      </w:pPr>
      <w:r>
        <w:rPr>
          <w:rFonts w:hint="eastAsia" w:cs="宋体"/>
          <w:highlight w:val="none"/>
        </w:rPr>
        <w:t>a)基于安全、可靠、经济、方便施工的原则，选择合理的基坑支护体系；</w:t>
      </w:r>
    </w:p>
    <w:p w14:paraId="21ED8868">
      <w:pPr>
        <w:ind w:firstLine="480"/>
        <w:rPr>
          <w:rFonts w:hint="eastAsia" w:cs="宋体"/>
          <w:highlight w:val="none"/>
        </w:rPr>
      </w:pPr>
      <w:r>
        <w:rPr>
          <w:rFonts w:hint="eastAsia" w:cs="宋体"/>
          <w:highlight w:val="none"/>
        </w:rPr>
        <w:t>b)完成基坑支护体系的分析计算（包括支护体系的强度、稳定性、变形等计算）以及基坑内外土体的稳定性验算（关键支护构件尚应进行承载力验算）。计算书的编制应达到国家或行业现行规定的深度并满足施工图审的要求；</w:t>
      </w:r>
    </w:p>
    <w:p w14:paraId="3096C75D">
      <w:pPr>
        <w:ind w:firstLine="480"/>
        <w:rPr>
          <w:rFonts w:hint="eastAsia" w:cs="宋体"/>
          <w:highlight w:val="none"/>
        </w:rPr>
      </w:pPr>
      <w:r>
        <w:rPr>
          <w:rFonts w:hint="eastAsia" w:cs="宋体"/>
          <w:highlight w:val="none"/>
        </w:rPr>
        <w:t>c)绘制支护工程施工图纸（包括设计说明、基坑平面图纸图、配筋图、基坑监测点位图纸、节点大样等详图），系统地明确施工应急预案（措施）和相应的施工要求等。</w:t>
      </w:r>
    </w:p>
    <w:p w14:paraId="236AFC80">
      <w:pPr>
        <w:ind w:firstLine="480"/>
        <w:rPr>
          <w:rFonts w:hint="eastAsia" w:cs="宋体"/>
          <w:highlight w:val="none"/>
        </w:rPr>
      </w:pPr>
      <w:r>
        <w:rPr>
          <w:rFonts w:hint="eastAsia" w:cs="宋体"/>
          <w:highlight w:val="none"/>
        </w:rPr>
        <w:t>此外，设计人还应系统地对基坑开挖过程引起的基坑内外土体的变形及其对邻近建筑物和周边环境的影响进行分析，论证基坑开挖施工方法的可行性，并在设计成果中系统地提出基坑监测要求以及施工注意事项等。</w:t>
      </w:r>
    </w:p>
    <w:p w14:paraId="5A657970">
      <w:pPr>
        <w:ind w:firstLine="480"/>
        <w:rPr>
          <w:rFonts w:hint="eastAsia" w:cs="宋体"/>
          <w:highlight w:val="none"/>
        </w:rPr>
      </w:pPr>
      <w:r>
        <w:rPr>
          <w:rFonts w:hint="eastAsia" w:cs="宋体"/>
          <w:highlight w:val="none"/>
        </w:rPr>
        <w:t>×</w:t>
      </w:r>
      <w:r>
        <w:rPr>
          <w:rFonts w:hint="eastAsia" w:cs="宋体"/>
          <w:highlight w:val="none"/>
        </w:rPr>
        <w:t>（8）效果图设计及管理</w:t>
      </w:r>
    </w:p>
    <w:p w14:paraId="01F0ADB6">
      <w:pPr>
        <w:ind w:firstLine="480"/>
        <w:rPr>
          <w:rFonts w:hint="eastAsia" w:cs="宋体"/>
          <w:highlight w:val="none"/>
        </w:rPr>
      </w:pPr>
      <w:r>
        <w:rPr>
          <w:rFonts w:hint="eastAsia" w:cs="宋体"/>
          <w:highlight w:val="none"/>
        </w:rPr>
        <w:t>a)设计人须按发包人要求补充提交建筑、景观、室内等专业或专项的设计效果图，该费用已包含在本次设计服务费中。</w:t>
      </w:r>
    </w:p>
    <w:p w14:paraId="0944C170">
      <w:pPr>
        <w:ind w:firstLine="480"/>
        <w:rPr>
          <w:rFonts w:hint="eastAsia" w:cs="宋体"/>
          <w:highlight w:val="none"/>
        </w:rPr>
      </w:pPr>
      <w:r>
        <w:rPr>
          <w:rFonts w:hint="eastAsia" w:cs="宋体"/>
          <w:highlight w:val="none"/>
        </w:rPr>
        <w:t>b)在施工图设计成果评审前、以及终版施工图全部确认后，设计人需针对建筑、室内、景观、幕墙、泛光、标识方案阶段效果图完成更新替换，包括但不限于：建筑效果图按最新的平面、层高、开窗、幕墙分格以及景观设计等的最新成果交圈后如实反应；室内效果图按最新的机电点位设计、建筑内外门窗形式以及标识设计等的最新成果交圈后如实反应；等等。</w:t>
      </w:r>
    </w:p>
    <w:p w14:paraId="2DBDA083">
      <w:pPr>
        <w:ind w:firstLine="480"/>
        <w:rPr>
          <w:rFonts w:hint="eastAsia" w:cs="宋体"/>
          <w:highlight w:val="none"/>
        </w:rPr>
      </w:pPr>
      <w:r>
        <w:rPr>
          <w:rFonts w:hint="eastAsia" w:cs="宋体"/>
          <w:highlight w:val="none"/>
        </w:rPr>
        <w:t>c)终版施工图全部确认后设计人更新完成全部设计效果图，经发包人及业主方评审通过后，该套设计效果图作为签确实施版，系施工过程中重点检查以及工程验收的重要依据文件。</w:t>
      </w:r>
    </w:p>
    <w:p w14:paraId="5EC37C3F">
      <w:pPr>
        <w:ind w:firstLine="480"/>
        <w:rPr>
          <w:rFonts w:hint="eastAsia" w:cs="宋体"/>
          <w:highlight w:val="none"/>
        </w:rPr>
      </w:pPr>
      <w:r>
        <w:rPr>
          <w:rFonts w:hint="eastAsia" w:cs="宋体"/>
          <w:highlight w:val="none"/>
        </w:rPr>
        <w:t>d)施工过程中的选材认样、苗木小品、部品选型时，设计人及代表均应严格按照签确实施版设计效果图进行管理决策。</w:t>
      </w:r>
    </w:p>
    <w:p w14:paraId="0C827676">
      <w:pPr>
        <w:ind w:firstLine="480"/>
        <w:rPr>
          <w:rFonts w:hint="eastAsia" w:cs="宋体"/>
          <w:highlight w:val="none"/>
        </w:rPr>
      </w:pPr>
      <w:r>
        <w:rPr>
          <w:rFonts w:hint="eastAsia" w:cs="宋体"/>
          <w:highlight w:val="none"/>
        </w:rPr>
        <w:t>e)工程巡检时应重点关注同视角实景与效果图的差异，存在差异及时整改，工程实现度情况在周报中进行重点介绍。同视角实景与效果图存在明显差异时，如已无法整改到位、或整改带来额外造价提高的，设计人需赔偿发包人全部损失。</w:t>
      </w:r>
    </w:p>
    <w:p w14:paraId="04074884">
      <w:pPr>
        <w:ind w:firstLine="480"/>
        <w:rPr>
          <w:rFonts w:hint="eastAsia" w:cs="宋体"/>
          <w:highlight w:val="none"/>
        </w:rPr>
      </w:pPr>
      <w:r>
        <w:rPr>
          <w:rFonts w:hint="eastAsia" w:cs="宋体"/>
          <w:highlight w:val="none"/>
        </w:rPr>
        <w:t>（9）设计巡场及工作报告</w:t>
      </w:r>
    </w:p>
    <w:p w14:paraId="2675938C">
      <w:pPr>
        <w:ind w:firstLine="480"/>
        <w:rPr>
          <w:rFonts w:hint="eastAsia" w:cs="宋体"/>
          <w:highlight w:val="none"/>
        </w:rPr>
      </w:pPr>
      <w:r>
        <w:rPr>
          <w:rFonts w:hint="eastAsia" w:cs="宋体"/>
          <w:highlight w:val="none"/>
        </w:rPr>
        <w:t>a)施工单位进场后，设计人驻场代表每日至少巡场一次、发现问题立即通报到工作群，每日形成文字描述简报，巡场简报19点发至工作群；设计人每周至少组织一次项目联合巡场，施工过程涉及到的全专业及全专项的专业负责人必须亲自到场，并形成PDF格式巡场报告，每周二19点发到工作群。</w:t>
      </w:r>
    </w:p>
    <w:p w14:paraId="07AA200E">
      <w:pPr>
        <w:ind w:firstLine="480"/>
        <w:rPr>
          <w:rFonts w:hint="eastAsia" w:cs="宋体"/>
          <w:highlight w:val="none"/>
        </w:rPr>
      </w:pPr>
      <w:r>
        <w:rPr>
          <w:rFonts w:hint="eastAsia" w:cs="宋体"/>
          <w:highlight w:val="none"/>
        </w:rPr>
        <w:t>b)当出现设计人未巡场或巡场不负责的情况（发包人发现上周以前本应发现的明显问题）时，发包人有权对设计人进行警告或处罚，形式包括：约谈设计人项目负责人/总经理/董事长、处以罚金。</w:t>
      </w:r>
    </w:p>
    <w:p w14:paraId="249C636C">
      <w:pPr>
        <w:ind w:firstLine="480"/>
        <w:rPr>
          <w:rFonts w:hint="eastAsia" w:cs="宋体"/>
          <w:highlight w:val="none"/>
        </w:rPr>
      </w:pPr>
      <w:r>
        <w:rPr>
          <w:rFonts w:hint="eastAsia" w:cs="宋体"/>
          <w:highlight w:val="none"/>
        </w:rPr>
        <w:t>c)设计巡场重点工作包括但不限于：防渗漏专项、同视角效果图实景进展、各专业的重点专项等。</w:t>
      </w:r>
    </w:p>
    <w:p w14:paraId="1E9EF1C4">
      <w:pPr>
        <w:ind w:firstLine="480"/>
        <w:rPr>
          <w:rFonts w:hint="eastAsia" w:cs="宋体"/>
          <w:highlight w:val="none"/>
        </w:rPr>
      </w:pPr>
      <w:r>
        <w:rPr>
          <w:rFonts w:hint="eastAsia" w:cs="宋体"/>
          <w:highlight w:val="none"/>
        </w:rPr>
        <w:t>（10）限额设计</w:t>
      </w:r>
    </w:p>
    <w:p w14:paraId="52ADA346">
      <w:pPr>
        <w:ind w:firstLine="480"/>
        <w:rPr>
          <w:rFonts w:hint="eastAsia" w:cs="宋体"/>
          <w:highlight w:val="none"/>
        </w:rPr>
      </w:pPr>
      <w:r>
        <w:rPr>
          <w:rFonts w:hint="eastAsia" w:cs="宋体"/>
          <w:highlight w:val="none"/>
        </w:rPr>
        <w:t>设计人需严格遵守发包人提供的限额设计文件，对有关造价、成本控制的意见、以及设计控制类指标给以充分考虑，并进行相应设计，满足发包人要求。</w:t>
      </w:r>
    </w:p>
    <w:p w14:paraId="6A5DA1AC">
      <w:pPr>
        <w:ind w:firstLine="480"/>
        <w:rPr>
          <w:rFonts w:hint="eastAsia" w:cs="宋体"/>
          <w:highlight w:val="none"/>
        </w:rPr>
      </w:pPr>
      <w:r>
        <w:rPr>
          <w:rFonts w:hint="eastAsia" w:cs="宋体"/>
          <w:highlight w:val="none"/>
        </w:rPr>
        <w:t>（11）材料样板管理</w:t>
      </w:r>
    </w:p>
    <w:p w14:paraId="25103D3F">
      <w:pPr>
        <w:ind w:firstLine="480"/>
        <w:rPr>
          <w:rFonts w:hint="eastAsia" w:cs="宋体"/>
          <w:highlight w:val="none"/>
        </w:rPr>
      </w:pPr>
      <w:r>
        <w:rPr>
          <w:rFonts w:hint="eastAsia" w:cs="宋体"/>
          <w:highlight w:val="none"/>
        </w:rPr>
        <w:t>a)样板管理原则：满足《广州安居集团保障性住房项目选样定板管理办法(试行)》，实行全过程总建筑师责任制，要求做到“设计早定、交底及时、确认迅速、存档清晰、台账完备”，并在施工过程中紧跟材料、小样、加工各个环节的效果确认。合同签订后向发包人提供项目总建筑师人员名单。</w:t>
      </w:r>
    </w:p>
    <w:p w14:paraId="7B0A53BA">
      <w:pPr>
        <w:ind w:firstLine="480"/>
        <w:rPr>
          <w:rFonts w:hint="eastAsia" w:cs="宋体"/>
          <w:highlight w:val="none"/>
        </w:rPr>
      </w:pPr>
      <w:r>
        <w:rPr>
          <w:rFonts w:hint="eastAsia" w:cs="宋体"/>
          <w:highlight w:val="none"/>
        </w:rPr>
        <w:t>b)小样管理：负责提供设计材料样板表，明确需要设计单位提供的设计小样清单及制作施工样板的材料或部位；编制送样计划，按计划提供对应设计样板；设置样板室，所有样板封存在独立、安全的样品室中，贴好签字标签，专人管理；样板比对，及时比对样板与施工现场材料的差异，发现不合格材料，立即更换；样板变更，因设计调整需更换材料，及时更换样板，并重新组织观样确认。</w:t>
      </w:r>
    </w:p>
    <w:p w14:paraId="563B0F77">
      <w:pPr>
        <w:ind w:firstLine="480"/>
        <w:rPr>
          <w:rFonts w:hint="eastAsia" w:cs="宋体"/>
          <w:highlight w:val="none"/>
        </w:rPr>
      </w:pPr>
      <w:r>
        <w:rPr>
          <w:rFonts w:hint="eastAsia" w:cs="宋体"/>
          <w:highlight w:val="none"/>
        </w:rPr>
        <w:t>c)封样流程：设计人提供材料小样；设计人组织定板定样会议；样板经各方共同评审后，由总建筑师最终确认设计样板，并签字确认并封存；样板成果上报发包人。</w:t>
      </w:r>
    </w:p>
    <w:p w14:paraId="32CD1CAD">
      <w:pPr>
        <w:ind w:firstLine="480"/>
        <w:rPr>
          <w:rFonts w:hint="eastAsia"/>
          <w:highlight w:val="none"/>
        </w:rPr>
      </w:pPr>
      <w:r>
        <w:rPr>
          <w:rFonts w:hint="eastAsia" w:cs="宋体"/>
          <w:highlight w:val="none"/>
        </w:rPr>
        <w:t>d)按最终签确样板另打1套流转至发包人及现场。</w:t>
      </w:r>
    </w:p>
    <w:p w14:paraId="01D1E787">
      <w:pPr>
        <w:ind w:firstLine="480"/>
        <w:rPr>
          <w:rFonts w:hint="eastAsia" w:cs="宋体"/>
          <w:highlight w:val="none"/>
        </w:rPr>
      </w:pPr>
      <w:r>
        <w:rPr>
          <w:rFonts w:hint="eastAsia" w:cs="宋体"/>
          <w:highlight w:val="none"/>
        </w:rPr>
        <w:t>e)实体样板验收：提前规划样板区域，现场实施打样，配合发包人、监理单位等参与施工样板验收，与设计样板对比是否一致，查验外观、质量和功能能满足设计要求后，各方共同签字确认。根据会签的设计样板，总建筑师会签确认最终施工样板，由发包人存档，现场组织排产、实施。如发现设计缺陷或施工问题，应及时整改后再次验收，直至合格。</w:t>
      </w:r>
    </w:p>
    <w:p w14:paraId="6CABCEE0">
      <w:pPr>
        <w:ind w:firstLine="480"/>
        <w:rPr>
          <w:rFonts w:hint="eastAsia" w:cs="宋体"/>
          <w:highlight w:val="none"/>
        </w:rPr>
      </w:pPr>
      <w:r>
        <w:rPr>
          <w:rFonts w:hint="eastAsia" w:cs="宋体"/>
          <w:highlight w:val="none"/>
        </w:rPr>
        <w:t>f)样板先行：提前打样，样板范围涵盖幕墙、室内、景观、标识等。通过实体样板明确颜色、质感，施工工艺等，精益管理工作消除浪费的同时提高工程品质，保证实施效果。校园建设分期进行，相应样板分批制作。</w:t>
      </w:r>
    </w:p>
    <w:p w14:paraId="162C675C">
      <w:pPr>
        <w:ind w:firstLine="480"/>
        <w:rPr>
          <w:rFonts w:hint="eastAsia" w:cs="宋体"/>
          <w:highlight w:val="none"/>
        </w:rPr>
      </w:pPr>
      <w:r>
        <w:rPr>
          <w:rFonts w:hint="eastAsia" w:cs="宋体"/>
          <w:highlight w:val="none"/>
        </w:rPr>
        <w:t>g)样板策划：建筑外立面样板策划，设计人负责策划案编制，业主方与发包人联合评审，设计人组织实施；室内样板策划：设计人负责策划案编制，业主方与发包人联合评审，设计人组织实施；景观样板策划：设计人负责策划案编制，业主方与发包人联合评审，设计人组织实施。</w:t>
      </w:r>
    </w:p>
    <w:p w14:paraId="4085E1E7">
      <w:pPr>
        <w:ind w:firstLine="480"/>
        <w:rPr>
          <w:rFonts w:hint="eastAsia" w:cs="宋体"/>
          <w:highlight w:val="none"/>
        </w:rPr>
      </w:pPr>
      <w:r>
        <w:rPr>
          <w:rFonts w:hint="eastAsia" w:cs="宋体"/>
          <w:highlight w:val="none"/>
        </w:rPr>
        <w:t>（12）设计变更</w:t>
      </w:r>
    </w:p>
    <w:p w14:paraId="6B383E92">
      <w:pPr>
        <w:ind w:firstLine="480"/>
        <w:rPr>
          <w:rFonts w:hint="eastAsia" w:cs="宋体"/>
          <w:highlight w:val="none"/>
        </w:rPr>
      </w:pPr>
      <w:r>
        <w:rPr>
          <w:rFonts w:hint="eastAsia" w:cs="宋体"/>
          <w:highlight w:val="none"/>
        </w:rPr>
        <w:t>a)设计人应就“无设计原因导致拆改及产生无效成本的管控办法”进行研究策划，结合自身设计质量管理架构及能力，形成管理体系方案，经发包人评审确认后，进行设计全过程的质量管理，以实现“零变更”的设计目标。</w:t>
      </w:r>
    </w:p>
    <w:p w14:paraId="67C55734">
      <w:pPr>
        <w:ind w:firstLine="480"/>
        <w:rPr>
          <w:rFonts w:hint="eastAsia" w:cs="宋体"/>
          <w:highlight w:val="none"/>
        </w:rPr>
      </w:pPr>
      <w:r>
        <w:rPr>
          <w:rFonts w:hint="eastAsia" w:cs="宋体"/>
          <w:highlight w:val="none"/>
        </w:rPr>
        <w:t>b)变更设计时，应同时明确变更图纸的目录、变更图纸的日期（精确到日）、变更图纸的原因、修改图的修改图号、位置应统一，且标明修改项目及部位。变更单必须进行专业会签才可出图，变更部分须圈圈标注本次修改部分，原则上变更图图幅不超过A3。每次变更须在历次变更的最新图纸上修改，除提供变更图纸外一并提供最新图纸。</w:t>
      </w:r>
    </w:p>
    <w:p w14:paraId="18AF62F3">
      <w:pPr>
        <w:ind w:firstLine="480"/>
        <w:rPr>
          <w:rFonts w:hint="eastAsia" w:cs="宋体"/>
          <w:highlight w:val="none"/>
        </w:rPr>
      </w:pPr>
      <w:r>
        <w:rPr>
          <w:rFonts w:hint="eastAsia" w:cs="宋体"/>
          <w:highlight w:val="none"/>
        </w:rPr>
        <w:t>c)满足《广州安居集团有限公司建设工程设计变更管理办法(试行)》的要求。</w:t>
      </w:r>
    </w:p>
    <w:p w14:paraId="1B73BDD3">
      <w:pPr>
        <w:ind w:firstLine="480"/>
        <w:rPr>
          <w:rFonts w:hint="eastAsia" w:cs="宋体"/>
          <w:b/>
          <w:bCs/>
          <w:highlight w:val="none"/>
          <w:u w:val="single"/>
        </w:rPr>
      </w:pPr>
      <w:r>
        <w:rPr>
          <w:rFonts w:hint="eastAsia" w:cs="宋体"/>
          <w:highlight w:val="none"/>
        </w:rPr>
        <w:t>因设计人工作失误导致变拆改等情况产生无效成本的，按照比例扣除设计费，金额巨大的视为设计事故由发包人决定处罚金额。</w:t>
      </w:r>
    </w:p>
    <w:p w14:paraId="42460E4F">
      <w:pPr>
        <w:ind w:firstLine="482"/>
        <w:rPr>
          <w:rFonts w:hint="eastAsia" w:cs="宋体"/>
          <w:b/>
          <w:bCs/>
          <w:highlight w:val="none"/>
          <w:u w:val="single"/>
        </w:rPr>
      </w:pPr>
      <w:r>
        <w:rPr>
          <w:rFonts w:hint="eastAsia" w:cs="宋体"/>
          <w:b/>
          <w:bCs/>
          <w:highlight w:val="none"/>
          <w:u w:val="single"/>
        </w:rPr>
        <w:t>1.4.2专业报审报建报验工作：</w:t>
      </w:r>
    </w:p>
    <w:p w14:paraId="149FD18E">
      <w:pPr>
        <w:ind w:firstLine="480"/>
        <w:rPr>
          <w:rFonts w:hint="eastAsia" w:cs="宋体"/>
          <w:highlight w:val="none"/>
        </w:rPr>
      </w:pPr>
      <w:r>
        <w:rPr>
          <w:rFonts w:hint="eastAsia" w:cs="宋体"/>
          <w:highlight w:val="none"/>
        </w:rPr>
        <w:t>配合办理包括本项目所有开发设计及施工阶段所需的各项报审报建和验收、包括但不限于消防报建、人防报建、施工图审查、装配式预评价、防洪评价（含第三方技术审查）、节能备案及验收、绿建备案及验收、施工图三维数字化审查、CIM平台报审、卫生防疫及验收、装配式建筑报审及验收、超限高层建筑报审及验收（如有）、规划验收（含市政道路、设施）、环保评价及验收（包括环保验收检测报告），水土保持监测及验收（含监测报告及验收报告），完成海绵城市建设评估报告、小区开永久路口，包括交通影响评估报告，新增永久出入口报批阶段的施工图设计，施工期交通疏导方案图等一切与本项目有关的所有报建报审报验工作。根据有关部门及发包人要求组织各类专家评审和验收，并承担相应的专家评审费用。协调规划、水务、人防、住建等部门完成报建报验工作，同时指派一名报建报验对接人员负责开展相关工作。</w:t>
      </w:r>
    </w:p>
    <w:p w14:paraId="5236FACB">
      <w:pPr>
        <w:ind w:firstLine="482"/>
        <w:rPr>
          <w:rFonts w:hint="eastAsia" w:cs="宋体"/>
          <w:b/>
          <w:bCs/>
          <w:highlight w:val="none"/>
          <w:u w:val="single"/>
        </w:rPr>
      </w:pPr>
      <w:r>
        <w:rPr>
          <w:rFonts w:hint="eastAsia" w:cs="宋体"/>
          <w:b/>
          <w:bCs/>
          <w:highlight w:val="none"/>
          <w:u w:val="single"/>
        </w:rPr>
        <w:t>1.4.3完成本项目所需的其他设计服务工作，包括：</w:t>
      </w:r>
    </w:p>
    <w:p w14:paraId="22401F28">
      <w:pPr>
        <w:ind w:firstLine="480"/>
        <w:rPr>
          <w:rFonts w:hint="eastAsia" w:cs="宋体"/>
          <w:highlight w:val="none"/>
        </w:rPr>
      </w:pPr>
      <w:r>
        <w:rPr>
          <w:rFonts w:hint="eastAsia" w:cs="宋体"/>
          <w:highlight w:val="none"/>
        </w:rPr>
        <w:t>（1）要求全专业采用BIM正向设计并完成工作，包括但不限于：施工图设计阶段的应用，与前期设计单位的工作街接，按要求提供BIM设计模型并通过审查（住建部门三维数字化审查），竣工验收阶段需完成上传验收系统、通过竣工验收及备案。</w:t>
      </w:r>
    </w:p>
    <w:p w14:paraId="10F7FA1B">
      <w:pPr>
        <w:ind w:firstLine="480"/>
        <w:rPr>
          <w:rFonts w:hint="eastAsia" w:cs="宋体"/>
          <w:highlight w:val="none"/>
        </w:rPr>
      </w:pPr>
      <w:r>
        <w:rPr>
          <w:rFonts w:hint="eastAsia" w:cs="宋体"/>
          <w:highlight w:val="none"/>
        </w:rPr>
        <w:t>（2）建筑产业化设计工作。</w:t>
      </w:r>
    </w:p>
    <w:p w14:paraId="1442969B">
      <w:pPr>
        <w:ind w:firstLine="480"/>
        <w:rPr>
          <w:rFonts w:hint="eastAsia" w:cs="宋体"/>
          <w:highlight w:val="none"/>
        </w:rPr>
      </w:pPr>
      <w:r>
        <w:rPr>
          <w:rFonts w:hint="eastAsia" w:cs="宋体"/>
          <w:highlight w:val="none"/>
        </w:rPr>
        <w:t>（3）本项目范围内所涉及其他专项内容的设计工作。</w:t>
      </w:r>
    </w:p>
    <w:p w14:paraId="59988602">
      <w:pPr>
        <w:ind w:firstLine="480"/>
        <w:rPr>
          <w:rFonts w:hint="eastAsia" w:cs="宋体"/>
          <w:highlight w:val="none"/>
        </w:rPr>
      </w:pPr>
      <w:r>
        <w:rPr>
          <w:rFonts w:hint="eastAsia" w:cs="宋体"/>
          <w:highlight w:val="none"/>
        </w:rPr>
        <w:t>（4）工程投资控制等的设计总协调与设计分包管理。</w:t>
      </w:r>
    </w:p>
    <w:p w14:paraId="4B59E26D">
      <w:pPr>
        <w:ind w:firstLine="480"/>
        <w:rPr>
          <w:rFonts w:hint="eastAsia" w:cs="宋体"/>
          <w:highlight w:val="none"/>
        </w:rPr>
      </w:pPr>
      <w:r>
        <w:rPr>
          <w:rFonts w:hint="eastAsia" w:cs="宋体"/>
          <w:highlight w:val="none"/>
        </w:rPr>
        <w:t>（5）与规划用地涉及的周边市政道路等配套工程的设计协调工作。</w:t>
      </w:r>
    </w:p>
    <w:p w14:paraId="5250586C">
      <w:pPr>
        <w:ind w:firstLine="480"/>
        <w:rPr>
          <w:rFonts w:hint="eastAsia" w:cs="宋体"/>
          <w:highlight w:val="none"/>
        </w:rPr>
      </w:pPr>
      <w:r>
        <w:rPr>
          <w:rFonts w:hint="eastAsia" w:cs="宋体"/>
          <w:highlight w:val="none"/>
        </w:rPr>
        <w:t>（6）提供大宗材料设备采购时采购清单、技术参数要求及设备选型意见。</w:t>
      </w:r>
    </w:p>
    <w:p w14:paraId="6F5D057E">
      <w:pPr>
        <w:ind w:firstLine="480"/>
        <w:rPr>
          <w:rFonts w:hint="eastAsia" w:cs="宋体"/>
          <w:highlight w:val="none"/>
        </w:rPr>
      </w:pPr>
      <w:r>
        <w:rPr>
          <w:rFonts w:hint="eastAsia" w:cs="宋体"/>
          <w:highlight w:val="none"/>
        </w:rPr>
        <w:t>（7）公共资源（如集中供冷、供热、直供水等）系统的设计和协调工作。</w:t>
      </w:r>
    </w:p>
    <w:p w14:paraId="5EA89FF1">
      <w:pPr>
        <w:ind w:firstLine="480"/>
        <w:rPr>
          <w:rFonts w:hint="eastAsia" w:cs="宋体"/>
          <w:highlight w:val="none"/>
        </w:rPr>
      </w:pPr>
      <w:r>
        <w:rPr>
          <w:rFonts w:hint="eastAsia" w:cs="宋体"/>
          <w:highlight w:val="none"/>
        </w:rPr>
        <w:t>（8）限额设计及装配式建筑运用：根据发包人、设计任务书、技术需求书等要求进行限额设计；负责装配式施工图设计和施工阶段装配式构件深化设计。</w:t>
      </w:r>
    </w:p>
    <w:p w14:paraId="060CD36B">
      <w:pPr>
        <w:ind w:firstLine="480"/>
        <w:rPr>
          <w:rFonts w:hint="eastAsia" w:cs="宋体"/>
          <w:highlight w:val="none"/>
        </w:rPr>
      </w:pPr>
      <w:r>
        <w:rPr>
          <w:rFonts w:hint="eastAsia" w:cs="宋体"/>
          <w:highlight w:val="none"/>
        </w:rPr>
        <w:t>（9）建筑节能新技术的应用及设计，必须满足项目规划条件和广州市行发包人管部门或发包人有关绿色星级建筑评价标准的规定要求。</w:t>
      </w:r>
    </w:p>
    <w:p w14:paraId="351774CE">
      <w:pPr>
        <w:ind w:firstLine="480"/>
        <w:rPr>
          <w:rFonts w:hint="eastAsia" w:cs="宋体"/>
          <w:highlight w:val="none"/>
        </w:rPr>
      </w:pPr>
      <w:r>
        <w:rPr>
          <w:rFonts w:hint="eastAsia" w:cs="宋体"/>
          <w:highlight w:val="none"/>
        </w:rPr>
        <w:t>（10）除按合同规定的时间和要求向发包人提交设计成果文件外，还应承担工程施工过程直至竣工验收的设计服务（包含设计变更）等工作，保证设计服务满足施工进度要求。</w:t>
      </w:r>
    </w:p>
    <w:p w14:paraId="5FE8E0DF">
      <w:pPr>
        <w:ind w:firstLine="480"/>
        <w:rPr>
          <w:rFonts w:hint="eastAsia" w:cs="宋体"/>
          <w:highlight w:val="none"/>
        </w:rPr>
      </w:pPr>
      <w:r>
        <w:rPr>
          <w:rFonts w:hint="eastAsia" w:cs="宋体"/>
          <w:highlight w:val="none"/>
        </w:rPr>
        <w:t>（11）如设计人不具备项目中部分专业工程相应设计资质，设计人应在征得发包人同意且满足相关法律法规的前提下，将该专业工程分包给具备相关资质的设计人并签订分包合同。分包不免除设计人对其承包的全部建设工程所负的质量责任。</w:t>
      </w:r>
    </w:p>
    <w:p w14:paraId="0407A348">
      <w:pPr>
        <w:ind w:firstLine="480"/>
        <w:rPr>
          <w:rFonts w:hint="eastAsia" w:cs="宋体"/>
          <w:highlight w:val="none"/>
        </w:rPr>
      </w:pPr>
      <w:r>
        <w:rPr>
          <w:rFonts w:hint="eastAsia" w:cs="宋体"/>
          <w:highlight w:val="none"/>
        </w:rPr>
        <w:t>（12）其他工作：在单位工程完成后，编制与现场相符的图纸，并对所涉及的设计变更进行归集整理；施工配合、销售配合，以及负责设计范围内协调工作，并负责与其他由发包人另行聘请的专业设计顾问/专业设计人/各种二次深化设计人/施工方协调及配合等阶段的所有设计工作；设计统筹及其他相关服务工作。</w:t>
      </w:r>
    </w:p>
    <w:p w14:paraId="340FB396">
      <w:pPr>
        <w:ind w:firstLine="482"/>
        <w:rPr>
          <w:rFonts w:hint="eastAsia" w:cs="宋体"/>
          <w:highlight w:val="none"/>
        </w:rPr>
      </w:pPr>
      <w:r>
        <w:rPr>
          <w:rFonts w:hint="eastAsia" w:cs="宋体"/>
          <w:b/>
          <w:bCs/>
          <w:highlight w:val="none"/>
          <w:u w:val="single"/>
        </w:rPr>
        <w:t>1.4.4负责办理和配合咨询、评价、论证工作：</w:t>
      </w:r>
      <w:r>
        <w:rPr>
          <w:rFonts w:hint="eastAsia" w:cs="宋体"/>
          <w:highlight w:val="none"/>
        </w:rPr>
        <w:t>包括且不限于交通影响评价、防洪评价等所有咨询、评价、论证，并确保通过。</w:t>
      </w:r>
    </w:p>
    <w:p w14:paraId="59693E55">
      <w:pPr>
        <w:ind w:firstLine="482"/>
        <w:rPr>
          <w:rFonts w:hint="eastAsia" w:cs="宋体"/>
          <w:highlight w:val="none"/>
        </w:rPr>
      </w:pPr>
      <w:r>
        <w:rPr>
          <w:rFonts w:hint="eastAsia" w:cs="宋体"/>
          <w:b/>
          <w:bCs/>
          <w:highlight w:val="none"/>
          <w:u w:val="single"/>
        </w:rPr>
        <w:t>1.4.5驻场服务工作：</w:t>
      </w:r>
      <w:r>
        <w:rPr>
          <w:rFonts w:hint="eastAsia" w:cs="宋体"/>
          <w:highlight w:val="none"/>
        </w:rPr>
        <w:t>在合同履行期间，根据发包人及本设计任务书的要求，安排相关专业工程师代表在施工现场或者发包人办公地点驻场办公。</w:t>
      </w:r>
    </w:p>
    <w:p w14:paraId="35892F9A">
      <w:pPr>
        <w:ind w:firstLine="482"/>
        <w:rPr>
          <w:rFonts w:hint="eastAsia" w:cs="宋体"/>
          <w:highlight w:val="none"/>
        </w:rPr>
      </w:pPr>
      <w:r>
        <w:rPr>
          <w:rFonts w:hint="eastAsia" w:cs="宋体"/>
          <w:b/>
          <w:bCs/>
          <w:highlight w:val="none"/>
          <w:u w:val="single"/>
        </w:rPr>
        <w:t>注：在项目设计及实施过程中，发包人有权根据项目实际情况及相关行政审批部门意见及要求对本设计服务内容进行调整。</w:t>
      </w:r>
    </w:p>
    <w:p w14:paraId="6AF3EFEC">
      <w:pPr>
        <w:ind w:firstLine="482"/>
        <w:rPr>
          <w:rFonts w:hint="eastAsia" w:cs="宋体"/>
          <w:b/>
          <w:bCs/>
          <w:highlight w:val="none"/>
        </w:rPr>
      </w:pPr>
      <w:r>
        <w:rPr>
          <w:rFonts w:hint="eastAsia" w:cs="宋体"/>
          <w:b/>
          <w:bCs/>
          <w:highlight w:val="none"/>
        </w:rPr>
        <w:t>2.1设计内容（具体细则）</w:t>
      </w:r>
    </w:p>
    <w:p w14:paraId="2B482DCB">
      <w:pPr>
        <w:ind w:firstLine="480"/>
        <w:rPr>
          <w:rFonts w:hint="eastAsia" w:cs="宋体"/>
          <w:highlight w:val="none"/>
        </w:rPr>
      </w:pPr>
      <w:r>
        <w:rPr>
          <w:rFonts w:hint="eastAsia" w:cs="宋体"/>
          <w:highlight w:val="none"/>
        </w:rPr>
        <w:t>此部分内容设选项按标准化模式设置，标注“√”的选项即为本项目采用，标注“×”的选项为本项目不采用。</w:t>
      </w:r>
      <w:r>
        <w:rPr>
          <w:rFonts w:hint="eastAsia" w:cs="宋体"/>
          <w:snapToGrid w:val="0"/>
          <w:kern w:val="0"/>
          <w:highlight w:val="none"/>
        </w:rPr>
        <w:t>包括但不限于以下内容：</w:t>
      </w:r>
    </w:p>
    <w:p w14:paraId="0B117E5F">
      <w:pPr>
        <w:ind w:firstLine="480"/>
        <w:rPr>
          <w:rFonts w:hint="eastAsia" w:cs="宋体"/>
          <w:highlight w:val="none"/>
        </w:rPr>
      </w:pPr>
      <w:r>
        <w:rPr>
          <w:rFonts w:hint="eastAsia" w:cs="宋体"/>
          <w:highlight w:val="none"/>
        </w:rPr>
        <w:t>×2.1.1本项目规划用地红线范围内（或项目建设影响范围内）所涉及建设内容的全部工程工作：设计人应按国家技术规范、标准、规程和发包人的任务委托书、技术要求及经发包人审定的方案开展用地范围红线内（或项目建设影响范围内）的全部和工程测量工作，收集并摸查周边地下、地上管线、建筑物、构筑物相关资料，完成地下、地上管线物探成果报告，编制项目前期摸查报告；进行初步、详细和方格网测量、土方平衡、地形地貌测量（地形测量1:500）等测量及出图工作等实施工作，编制勘探、测量技术文件，编制勘探、土洞溶洞探测等相关总图；按阶段完成岩土工程初步报告、岩土工程详细报告；负责协调和配合相关主管部门对相关工作成果进行审批，直至获得批复。</w:t>
      </w:r>
    </w:p>
    <w:p w14:paraId="3929A9C6">
      <w:pPr>
        <w:adjustRightInd w:val="0"/>
        <w:ind w:firstLine="566" w:firstLineChars="236"/>
        <w:jc w:val="left"/>
        <w:rPr>
          <w:rFonts w:hint="eastAsia" w:cs="宋体"/>
          <w:b/>
          <w:bCs/>
          <w:highlight w:val="none"/>
        </w:rPr>
      </w:pPr>
      <w:r>
        <w:rPr>
          <w:rFonts w:hint="eastAsia" w:cs="宋体"/>
          <w:highlight w:val="none"/>
        </w:rPr>
        <w:t>×</w:t>
      </w:r>
      <w:r>
        <w:rPr>
          <w:rFonts w:hint="eastAsia" w:cs="宋体"/>
          <w:snapToGrid w:val="0"/>
          <w:kern w:val="0"/>
          <w:highlight w:val="none"/>
        </w:rPr>
        <w:t>2.1.2方案设计工作：根据项目特点、策划定位报告、技术要点、规划条件、广州市配售型住房等要求，进行方案设计。形成的技术方案应能满足国土、规划、消防、人防、环保等政府行政部门要求的稳定方案。要求符合《建筑工程设计文件编制深度规定（2016版）》中关于方案设计应达到的设计深度要求。</w:t>
      </w:r>
    </w:p>
    <w:p w14:paraId="0E62F1AA">
      <w:pPr>
        <w:adjustRightInd w:val="0"/>
        <w:ind w:firstLine="566" w:firstLineChars="236"/>
        <w:rPr>
          <w:rFonts w:hint="eastAsia" w:cs="宋体"/>
          <w:snapToGrid w:val="0"/>
          <w:kern w:val="0"/>
          <w:highlight w:val="none"/>
        </w:rPr>
      </w:pPr>
      <w:r>
        <w:rPr>
          <w:rFonts w:hint="eastAsia" w:cs="宋体"/>
          <w:highlight w:val="none"/>
        </w:rPr>
        <w:t>×</w:t>
      </w:r>
      <w:r>
        <w:rPr>
          <w:rFonts w:hint="eastAsia" w:cs="宋体"/>
          <w:snapToGrid w:val="0"/>
          <w:kern w:val="0"/>
          <w:highlight w:val="none"/>
        </w:rPr>
        <w:t>2.1.3本项目的修建性详细规划的设计(总平面设计)：本项目范围内总平面及竖向规划设计、管线综合设计、建筑布局、交通组织、景观绿化、环境节能保护等。</w:t>
      </w:r>
    </w:p>
    <w:p w14:paraId="04DDCD58">
      <w:pPr>
        <w:adjustRightInd w:val="0"/>
        <w:ind w:firstLine="566" w:firstLineChars="236"/>
        <w:rPr>
          <w:rFonts w:hint="eastAsia" w:cs="宋体"/>
          <w:snapToGrid w:val="0"/>
          <w:kern w:val="0"/>
          <w:highlight w:val="none"/>
        </w:rPr>
      </w:pPr>
      <w:r>
        <w:rPr>
          <w:rFonts w:hint="eastAsia" w:cs="宋体"/>
          <w:highlight w:val="none"/>
        </w:rPr>
        <w:t>×</w:t>
      </w:r>
      <w:r>
        <w:rPr>
          <w:rFonts w:hint="eastAsia" w:cs="宋体"/>
          <w:snapToGrid w:val="0"/>
          <w:kern w:val="0"/>
          <w:highlight w:val="none"/>
        </w:rPr>
        <w:t>2.1.4室外市政、园林绿化工程设计：本项目范围内的道路、园林绿化（含园建）、室外广场、停车场、桥梁（含跨河涌的桥梁、人行天桥、风雨连廊、防洪评价等）、涵洞（如有）、箱涵（如有）及隧道（如有）等的设计，以及室外各种管线综合平衡设计。</w:t>
      </w:r>
    </w:p>
    <w:p w14:paraId="4C1B607D">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2.1.5.人防设计。</w:t>
      </w:r>
    </w:p>
    <w:p w14:paraId="51518C1A">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2.1.6建筑设计（含室内外精装修）：本项目范围内主体建筑和附属建筑的设计。</w:t>
      </w:r>
    </w:p>
    <w:p w14:paraId="4078A27A">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2.1.7结构设计：本项目范围内主体和附属的结构设计、装饰装修工程的结构设计与验算、其它专项工程的结构设计及验算。</w:t>
      </w:r>
    </w:p>
    <w:p w14:paraId="6EFE04C6">
      <w:pPr>
        <w:adjustRightInd w:val="0"/>
        <w:ind w:firstLine="566" w:firstLineChars="236"/>
        <w:rPr>
          <w:rFonts w:hint="eastAsia" w:cs="宋体"/>
          <w:snapToGrid w:val="0"/>
          <w:kern w:val="0"/>
          <w:highlight w:val="none"/>
        </w:rPr>
      </w:pPr>
      <w:r>
        <w:rPr>
          <w:rFonts w:hint="eastAsia" w:cs="宋体"/>
          <w:highlight w:val="none"/>
        </w:rPr>
        <w:t>×</w:t>
      </w:r>
      <w:r>
        <w:rPr>
          <w:rFonts w:hint="eastAsia" w:cs="宋体"/>
          <w:snapToGrid w:val="0"/>
          <w:kern w:val="0"/>
          <w:highlight w:val="none"/>
        </w:rPr>
        <w:t>2.1.8基坑设计：负责本项目红线范围内（或红线外建设影响范围内）的基坑支护工程所涉及的全部涉及工作，包括但不限于溶土洞处理（如有）、地基处理（如有）等设计工作。</w:t>
      </w:r>
    </w:p>
    <w:p w14:paraId="220A13B2">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2.1.9电气设计：高低压变配电系统（含报当地供电部门审批的图纸）、UPS不间断电源、备用电源系统、动力供电系统、室内外照明系统（含夜景设计）、防雷接地系统、消防自动报警系统、机动车充电桩预留等。</w:t>
      </w:r>
    </w:p>
    <w:p w14:paraId="77A25F90">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2.1.10建筑智能化（弱电）设计：含通讯网络、光纤入户、有线电视、门禁对讲系统、视频监控系统、车库管理系统等的设计。</w:t>
      </w:r>
    </w:p>
    <w:p w14:paraId="2B391797">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2.1.11给排水设计（含外水接入、接出部分，需设计接至主管部门指定接口）：建筑给水、排水系统设计、红线范围内给水排水系统设计、雨水收集、处理与回用系统。</w:t>
      </w:r>
    </w:p>
    <w:p w14:paraId="484AD47F">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2.1.12暖通设计：建筑物内部通风系统、防排烟系统等的设计。</w:t>
      </w:r>
    </w:p>
    <w:p w14:paraId="79C6E167">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2.1.13消防设计：消火栓系统、自动喷淋系统、气体灭火系统、防排烟系统、火灾自动报警及联动控制系统。</w:t>
      </w:r>
    </w:p>
    <w:p w14:paraId="5DC22161">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2.1.14电梯工程设计与相关配合。</w:t>
      </w:r>
    </w:p>
    <w:p w14:paraId="7B8774E7">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2.1.15永久用水工程设计（含影响建设范围内的）。</w:t>
      </w:r>
    </w:p>
    <w:p w14:paraId="169CCCFD">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2.1.16永久用电工程设计（含影响建设范围内的）。</w:t>
      </w:r>
    </w:p>
    <w:p w14:paraId="1870BE2F">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2.1.17燃气工程设计（含影响建设范围内的）。</w:t>
      </w:r>
    </w:p>
    <w:p w14:paraId="383CD45C">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2.1.18综合体内所需的交通设施和标识。</w:t>
      </w:r>
    </w:p>
    <w:p w14:paraId="10ABAB9C">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2.1.19管线综合平衡设计：各种专业设备、系统的管线在建筑物内、外的路由平衡设计。</w:t>
      </w:r>
    </w:p>
    <w:p w14:paraId="24E33F83">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2.1.20 BIM正向设计：BIM设计内容需按照设计合同及任务书要求执行。按照不同设计阶段，全专业采用BIM正向设计，并按要求提供BIM设计模型进行审查，要求满足《广东省建筑信息模型应用统一标准》（DBJ／T15-142-2018）规定的深度要求及符合地方性相关文件规定、发包人的工作要求。并充分利用BIM技术提高项目设计效率和图纸质量。包括但不限于以下内容：</w:t>
      </w:r>
    </w:p>
    <w:p w14:paraId="3D085523">
      <w:pPr>
        <w:adjustRightInd w:val="0"/>
        <w:ind w:firstLine="566" w:firstLineChars="236"/>
        <w:rPr>
          <w:rFonts w:hint="eastAsia" w:cs="宋体"/>
          <w:snapToGrid w:val="0"/>
          <w:kern w:val="0"/>
          <w:highlight w:val="none"/>
        </w:rPr>
      </w:pPr>
      <w:r>
        <w:rPr>
          <w:rFonts w:hint="eastAsia" w:cs="宋体"/>
          <w:snapToGrid w:val="0"/>
          <w:kern w:val="0"/>
          <w:highlight w:val="none"/>
        </w:rPr>
        <w:t>（1)全专业三维参数化设计</w:t>
      </w:r>
    </w:p>
    <w:p w14:paraId="03B703AC">
      <w:pPr>
        <w:adjustRightInd w:val="0"/>
        <w:ind w:firstLine="566" w:firstLineChars="236"/>
        <w:rPr>
          <w:rFonts w:hint="eastAsia" w:cs="宋体"/>
          <w:snapToGrid w:val="0"/>
          <w:kern w:val="0"/>
          <w:highlight w:val="none"/>
        </w:rPr>
      </w:pPr>
      <w:r>
        <w:rPr>
          <w:rFonts w:hint="eastAsia" w:cs="宋体"/>
          <w:snapToGrid w:val="0"/>
          <w:kern w:val="0"/>
          <w:highlight w:val="none"/>
        </w:rPr>
        <w:t>各专业设计师基于BIM在三维可视化的环境下完成各专业的设计工作，通过参数驱动实现各专业之间的有效协同，确保图模一致，数模一致，并通过三维模型导出满足各阶段需求的二维图纸。</w:t>
      </w:r>
    </w:p>
    <w:p w14:paraId="1F149CCD">
      <w:pPr>
        <w:adjustRightInd w:val="0"/>
        <w:ind w:firstLine="566" w:firstLineChars="236"/>
        <w:rPr>
          <w:rFonts w:hint="eastAsia" w:cs="宋体"/>
          <w:snapToGrid w:val="0"/>
          <w:kern w:val="0"/>
          <w:highlight w:val="none"/>
        </w:rPr>
      </w:pPr>
      <w:r>
        <w:rPr>
          <w:rFonts w:hint="eastAsia" w:cs="宋体"/>
          <w:snapToGrid w:val="0"/>
          <w:kern w:val="0"/>
          <w:highlight w:val="none"/>
        </w:rPr>
        <w:t>（2)全程三维可视化成果汇报</w:t>
      </w:r>
    </w:p>
    <w:p w14:paraId="74D02A9A">
      <w:pPr>
        <w:adjustRightInd w:val="0"/>
        <w:ind w:firstLine="566" w:firstLineChars="236"/>
        <w:rPr>
          <w:rFonts w:hint="eastAsia" w:cs="宋体"/>
          <w:snapToGrid w:val="0"/>
          <w:kern w:val="0"/>
          <w:highlight w:val="none"/>
        </w:rPr>
      </w:pPr>
      <w:r>
        <w:rPr>
          <w:rFonts w:hint="eastAsia" w:cs="宋体"/>
          <w:snapToGrid w:val="0"/>
          <w:kern w:val="0"/>
          <w:highlight w:val="none"/>
        </w:rPr>
        <w:t>基于BIM模型的设计全过程成果展示和汇报，让发包人更直观的理解设计成果，更快捷的作出决策。</w:t>
      </w:r>
    </w:p>
    <w:p w14:paraId="70FF56BF">
      <w:pPr>
        <w:adjustRightInd w:val="0"/>
        <w:ind w:firstLine="566" w:firstLineChars="236"/>
        <w:rPr>
          <w:rFonts w:hint="eastAsia" w:cs="宋体"/>
          <w:snapToGrid w:val="0"/>
          <w:kern w:val="0"/>
          <w:highlight w:val="none"/>
        </w:rPr>
      </w:pPr>
      <w:r>
        <w:rPr>
          <w:rFonts w:hint="eastAsia" w:cs="宋体"/>
          <w:snapToGrid w:val="0"/>
          <w:kern w:val="0"/>
          <w:highlight w:val="none"/>
        </w:rPr>
        <w:t>（3)三维深化设计</w:t>
      </w:r>
    </w:p>
    <w:p w14:paraId="0EAFC085">
      <w:pPr>
        <w:adjustRightInd w:val="0"/>
        <w:ind w:firstLine="566" w:firstLineChars="236"/>
        <w:rPr>
          <w:rFonts w:hint="eastAsia" w:cs="宋体"/>
          <w:snapToGrid w:val="0"/>
          <w:kern w:val="0"/>
          <w:highlight w:val="none"/>
        </w:rPr>
      </w:pPr>
      <w:r>
        <w:rPr>
          <w:rFonts w:hint="eastAsia" w:cs="宋体"/>
          <w:snapToGrid w:val="0"/>
          <w:kern w:val="0"/>
          <w:highlight w:val="none"/>
        </w:rPr>
        <w:t>基于BIM模型进行各专业协同，针对复杂节点进行深化，提高设计深度和设计质量。</w:t>
      </w:r>
    </w:p>
    <w:p w14:paraId="07796DC9">
      <w:pPr>
        <w:adjustRightInd w:val="0"/>
        <w:ind w:firstLine="566" w:firstLineChars="236"/>
        <w:rPr>
          <w:rFonts w:hint="eastAsia" w:cs="宋体"/>
          <w:snapToGrid w:val="0"/>
          <w:kern w:val="0"/>
          <w:highlight w:val="none"/>
        </w:rPr>
      </w:pPr>
      <w:r>
        <w:rPr>
          <w:rFonts w:hint="eastAsia" w:cs="宋体"/>
          <w:snapToGrid w:val="0"/>
          <w:kern w:val="0"/>
          <w:highlight w:val="none"/>
        </w:rPr>
        <w:t>（4)空间净高分析</w:t>
      </w:r>
    </w:p>
    <w:p w14:paraId="587565BA">
      <w:pPr>
        <w:adjustRightInd w:val="0"/>
        <w:ind w:firstLine="566" w:firstLineChars="236"/>
        <w:rPr>
          <w:rFonts w:hint="eastAsia" w:cs="宋体"/>
          <w:snapToGrid w:val="0"/>
          <w:kern w:val="0"/>
          <w:highlight w:val="none"/>
        </w:rPr>
      </w:pPr>
      <w:r>
        <w:rPr>
          <w:rFonts w:hint="eastAsia" w:cs="宋体"/>
          <w:snapToGrid w:val="0"/>
          <w:kern w:val="0"/>
          <w:highlight w:val="none"/>
        </w:rPr>
        <w:t>通过BIM模型进行三维管线综合优化后，准确分析室内安装施工完成的净高情况。在整个设计过程中通过BIM模型持续复核各个区域的净高情况。</w:t>
      </w:r>
    </w:p>
    <w:p w14:paraId="2ACC62C5">
      <w:pPr>
        <w:adjustRightInd w:val="0"/>
        <w:ind w:firstLine="566" w:firstLineChars="236"/>
        <w:rPr>
          <w:rFonts w:hint="eastAsia" w:cs="宋体"/>
          <w:snapToGrid w:val="0"/>
          <w:kern w:val="0"/>
          <w:highlight w:val="none"/>
        </w:rPr>
      </w:pPr>
      <w:r>
        <w:rPr>
          <w:rFonts w:hint="eastAsia" w:cs="宋体"/>
          <w:snapToGrid w:val="0"/>
          <w:kern w:val="0"/>
          <w:highlight w:val="none"/>
        </w:rPr>
        <w:t>（5)结构预留预埋图纸导出</w:t>
      </w:r>
    </w:p>
    <w:p w14:paraId="7DF5DD01">
      <w:pPr>
        <w:adjustRightInd w:val="0"/>
        <w:ind w:firstLine="566" w:firstLineChars="236"/>
        <w:rPr>
          <w:rFonts w:hint="eastAsia" w:cs="宋体"/>
          <w:snapToGrid w:val="0"/>
          <w:kern w:val="0"/>
          <w:highlight w:val="none"/>
        </w:rPr>
      </w:pPr>
      <w:r>
        <w:rPr>
          <w:rFonts w:hint="eastAsia" w:cs="宋体"/>
          <w:snapToGrid w:val="0"/>
          <w:kern w:val="0"/>
          <w:highlight w:val="none"/>
        </w:rPr>
        <w:t>通过BIM模型对预留预埋进行准确定位，并从模型导出点位洞位图。</w:t>
      </w:r>
    </w:p>
    <w:p w14:paraId="5C2C6D77">
      <w:pPr>
        <w:adjustRightInd w:val="0"/>
        <w:ind w:firstLine="566" w:firstLineChars="236"/>
        <w:rPr>
          <w:rFonts w:hint="eastAsia" w:cs="宋体"/>
          <w:snapToGrid w:val="0"/>
          <w:kern w:val="0"/>
          <w:highlight w:val="none"/>
        </w:rPr>
      </w:pPr>
      <w:r>
        <w:rPr>
          <w:rFonts w:hint="eastAsia" w:cs="宋体"/>
          <w:snapToGrid w:val="0"/>
          <w:kern w:val="0"/>
          <w:highlight w:val="none"/>
        </w:rPr>
        <w:t>（6)三维管线综合设计</w:t>
      </w:r>
    </w:p>
    <w:p w14:paraId="2F70630C">
      <w:pPr>
        <w:adjustRightInd w:val="0"/>
        <w:ind w:firstLine="566" w:firstLineChars="236"/>
        <w:rPr>
          <w:rFonts w:hint="eastAsia" w:cs="宋体"/>
          <w:snapToGrid w:val="0"/>
          <w:kern w:val="0"/>
          <w:highlight w:val="none"/>
        </w:rPr>
      </w:pPr>
      <w:r>
        <w:rPr>
          <w:rFonts w:hint="eastAsia" w:cs="宋体"/>
          <w:snapToGrid w:val="0"/>
          <w:kern w:val="0"/>
          <w:highlight w:val="none"/>
        </w:rPr>
        <w:t>在施工图阶段对BIM模型进行管线综合优化，在保证净高并考虑施工可行性、后期维护等因素使BIM模型达到可辅助指导施工的精度。</w:t>
      </w:r>
    </w:p>
    <w:p w14:paraId="05947DA8">
      <w:pPr>
        <w:adjustRightInd w:val="0"/>
        <w:ind w:firstLine="566" w:firstLineChars="236"/>
        <w:rPr>
          <w:rFonts w:hint="eastAsia" w:cs="宋体"/>
          <w:snapToGrid w:val="0"/>
          <w:kern w:val="0"/>
          <w:highlight w:val="none"/>
        </w:rPr>
      </w:pPr>
      <w:r>
        <w:rPr>
          <w:rFonts w:hint="eastAsia" w:cs="宋体"/>
          <w:snapToGrid w:val="0"/>
          <w:kern w:val="0"/>
          <w:highlight w:val="none"/>
        </w:rPr>
        <w:t>（7)施工图设计阶段BIM设计深度简述：</w:t>
      </w:r>
    </w:p>
    <w:p w14:paraId="2CA555A6">
      <w:pPr>
        <w:adjustRightInd w:val="0"/>
        <w:ind w:firstLine="566" w:firstLineChars="236"/>
        <w:rPr>
          <w:rFonts w:hint="eastAsia" w:cs="宋体"/>
          <w:snapToGrid w:val="0"/>
          <w:kern w:val="0"/>
          <w:highlight w:val="none"/>
        </w:rPr>
      </w:pPr>
      <w:r>
        <w:rPr>
          <w:rFonts w:hint="eastAsia" w:cs="宋体"/>
          <w:snapToGrid w:val="0"/>
          <w:kern w:val="0"/>
          <w:highlight w:val="none"/>
        </w:rPr>
        <w:t>1）建筑专业(外墙、内墙、楼梯、门、窗、构造)。</w:t>
      </w:r>
    </w:p>
    <w:p w14:paraId="5DD37CF2">
      <w:pPr>
        <w:adjustRightInd w:val="0"/>
        <w:ind w:firstLine="566" w:firstLineChars="236"/>
        <w:rPr>
          <w:rFonts w:hint="eastAsia" w:cs="宋体"/>
          <w:snapToGrid w:val="0"/>
          <w:kern w:val="0"/>
          <w:highlight w:val="none"/>
        </w:rPr>
      </w:pPr>
      <w:r>
        <w:rPr>
          <w:rFonts w:hint="eastAsia" w:cs="宋体"/>
          <w:snapToGrid w:val="0"/>
          <w:kern w:val="0"/>
          <w:highlight w:val="none"/>
        </w:rPr>
        <w:t>2）结构专业(结构柱、结构梁、剪力墙、板、配筋(标注))。</w:t>
      </w:r>
    </w:p>
    <w:p w14:paraId="156D403C">
      <w:pPr>
        <w:adjustRightInd w:val="0"/>
        <w:ind w:firstLine="566" w:firstLineChars="236"/>
        <w:rPr>
          <w:rFonts w:hint="eastAsia" w:cs="宋体"/>
          <w:snapToGrid w:val="0"/>
          <w:kern w:val="0"/>
          <w:highlight w:val="none"/>
        </w:rPr>
      </w:pPr>
      <w:r>
        <w:rPr>
          <w:rFonts w:hint="eastAsia" w:cs="宋体"/>
          <w:snapToGrid w:val="0"/>
          <w:kern w:val="0"/>
          <w:highlight w:val="none"/>
        </w:rPr>
        <w:t>3）暖通专业(空调系统，排风系统，防排烟系统，相关机械设备，设备表)。</w:t>
      </w:r>
    </w:p>
    <w:p w14:paraId="1B45FBFD">
      <w:pPr>
        <w:adjustRightInd w:val="0"/>
        <w:ind w:firstLine="566" w:firstLineChars="236"/>
        <w:rPr>
          <w:rFonts w:hint="eastAsia" w:cs="宋体"/>
          <w:snapToGrid w:val="0"/>
          <w:kern w:val="0"/>
          <w:highlight w:val="none"/>
        </w:rPr>
      </w:pPr>
      <w:r>
        <w:rPr>
          <w:rFonts w:hint="eastAsia" w:cs="宋体"/>
          <w:snapToGrid w:val="0"/>
          <w:kern w:val="0"/>
          <w:highlight w:val="none"/>
        </w:rPr>
        <w:t>4）给排水专业(生活给水系统，污、废水系统，雨水系统，室内消火栓系统，喷淋系 统，相关机械设备。)</w:t>
      </w:r>
    </w:p>
    <w:p w14:paraId="66E0E99B">
      <w:pPr>
        <w:adjustRightInd w:val="0"/>
        <w:ind w:firstLine="566" w:firstLineChars="236"/>
        <w:rPr>
          <w:rFonts w:hint="eastAsia" w:cs="宋体"/>
          <w:snapToGrid w:val="0"/>
          <w:kern w:val="0"/>
          <w:highlight w:val="none"/>
        </w:rPr>
      </w:pPr>
      <w:r>
        <w:rPr>
          <w:rFonts w:hint="eastAsia" w:cs="宋体"/>
          <w:snapToGrid w:val="0"/>
          <w:kern w:val="0"/>
          <w:highlight w:val="none"/>
        </w:rPr>
        <w:t>5）电气专业(强弱电线槽，桥架，相关机械设备)。</w:t>
      </w:r>
    </w:p>
    <w:p w14:paraId="5D6ED133">
      <w:pPr>
        <w:adjustRightInd w:val="0"/>
        <w:ind w:firstLine="566" w:firstLineChars="236"/>
        <w:rPr>
          <w:rFonts w:hint="eastAsia" w:cs="宋体"/>
          <w:snapToGrid w:val="0"/>
          <w:kern w:val="0"/>
          <w:highlight w:val="none"/>
        </w:rPr>
      </w:pPr>
      <w:r>
        <w:rPr>
          <w:rFonts w:hint="eastAsia" w:cs="宋体"/>
          <w:highlight w:val="none"/>
        </w:rPr>
        <w:t>×</w:t>
      </w:r>
      <w:r>
        <w:rPr>
          <w:rFonts w:hint="eastAsia" w:cs="宋体"/>
          <w:snapToGrid w:val="0"/>
          <w:kern w:val="0"/>
          <w:highlight w:val="none"/>
        </w:rPr>
        <w:t>（8)施工阶段BIM技术要求：</w:t>
      </w:r>
    </w:p>
    <w:p w14:paraId="7F5C6EF6">
      <w:pPr>
        <w:adjustRightInd w:val="0"/>
        <w:ind w:firstLine="566" w:firstLineChars="236"/>
        <w:rPr>
          <w:rFonts w:hint="eastAsia" w:cs="宋体"/>
          <w:snapToGrid w:val="0"/>
          <w:kern w:val="0"/>
          <w:highlight w:val="none"/>
        </w:rPr>
      </w:pPr>
      <w:r>
        <w:rPr>
          <w:rFonts w:hint="eastAsia" w:cs="宋体"/>
          <w:snapToGrid w:val="0"/>
          <w:kern w:val="0"/>
          <w:highlight w:val="none"/>
        </w:rPr>
        <w:t>施工阶段中加强各专业深化设计内容、开工准备阶段在BIM模型中的应用，施工管理过程中加强进度管理、预算与成本管理、质量与安全管理的应用。</w:t>
      </w:r>
    </w:p>
    <w:p w14:paraId="1819C09E">
      <w:pPr>
        <w:adjustRightInd w:val="0"/>
        <w:ind w:firstLine="480"/>
        <w:rPr>
          <w:rFonts w:hint="eastAsia" w:cs="宋体"/>
          <w:snapToGrid w:val="0"/>
          <w:kern w:val="0"/>
          <w:highlight w:val="none"/>
        </w:rPr>
      </w:pPr>
      <w:r>
        <w:rPr>
          <w:rFonts w:hint="eastAsia" w:cs="宋体"/>
          <w:snapToGrid w:val="0"/>
          <w:kern w:val="0"/>
          <w:highlight w:val="none"/>
        </w:rPr>
        <w:t>（9）竣工阶段BIM技术要求：</w:t>
      </w:r>
    </w:p>
    <w:p w14:paraId="2EFF1A95">
      <w:pPr>
        <w:adjustRightInd w:val="0"/>
        <w:ind w:firstLine="566" w:firstLineChars="236"/>
        <w:rPr>
          <w:rFonts w:hint="eastAsia" w:cs="宋体"/>
          <w:snapToGrid w:val="0"/>
          <w:kern w:val="0"/>
          <w:highlight w:val="none"/>
        </w:rPr>
      </w:pPr>
      <w:r>
        <w:rPr>
          <w:rFonts w:hint="eastAsia" w:cs="宋体"/>
          <w:snapToGrid w:val="0"/>
          <w:kern w:val="0"/>
          <w:highlight w:val="none"/>
        </w:rPr>
        <w:t>满足竣工验收要求，配合施工单位上传验收系统并通过BIM审查和CIM系统管理，满足建设主管部门CIM平台要求（如有）。</w:t>
      </w:r>
    </w:p>
    <w:p w14:paraId="0BAB8DEA">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2.1.21装配式建筑设计。</w:t>
      </w:r>
    </w:p>
    <w:p w14:paraId="4F6FFDEF">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2.1.22环保工程设计。</w:t>
      </w:r>
    </w:p>
    <w:p w14:paraId="166D8EF2">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2.1.23防雷设计。</w:t>
      </w:r>
    </w:p>
    <w:p w14:paraId="04119A95">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2.1.24本项目实施过程中所涉及的现有设施拆除、管线迁改等内容的设计，编制深基坑、主体沉降观测、高支模及管线位移等监测方案和清单及工程检测方案和清单。</w:t>
      </w:r>
    </w:p>
    <w:p w14:paraId="3263F03D">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2.1.25幕墙工程、钢结构设计（如有）。</w:t>
      </w:r>
    </w:p>
    <w:p w14:paraId="3F043126">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2.1.26机械停车设计（如有）。</w:t>
      </w:r>
    </w:p>
    <w:p w14:paraId="1EDE423E">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2.1.27设计模型，按发包人要求提供。包括：每种户型各一个（组合或单元）模型比例1:30；主体建筑标准层平面模型比例1:100一个；总体沙盘模型1:200一个。</w:t>
      </w:r>
    </w:p>
    <w:p w14:paraId="4FA00A48">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2.1.28提供大宗材料设备采购时采购清单、技术参数要求及设备选型意见：就拟采用的专用机电设备、专用电子设备的选型于施工图设计开始前向发包人提出书面意见并提供相关设备的技术参数规格书，但不设计专用设备。</w:t>
      </w:r>
    </w:p>
    <w:p w14:paraId="49B74A1E">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2.1.29建筑节能、绿色建筑设计及申报、验收，海绵城市设计及申报。</w:t>
      </w:r>
    </w:p>
    <w:p w14:paraId="17A33233">
      <w:pPr>
        <w:adjustRightInd w:val="0"/>
        <w:ind w:firstLine="566" w:firstLineChars="236"/>
        <w:rPr>
          <w:rFonts w:hint="eastAsia" w:cs="宋体"/>
          <w:snapToGrid w:val="0"/>
          <w:kern w:val="0"/>
          <w:highlight w:val="none"/>
        </w:rPr>
      </w:pPr>
      <w:r>
        <w:rPr>
          <w:rFonts w:hint="eastAsia" w:cs="宋体"/>
          <w:highlight w:val="none"/>
        </w:rPr>
        <w:t>×</w:t>
      </w:r>
      <w:r>
        <w:rPr>
          <w:rFonts w:hint="eastAsia" w:cs="宋体"/>
          <w:snapToGrid w:val="0"/>
          <w:kern w:val="0"/>
          <w:highlight w:val="none"/>
        </w:rPr>
        <w:t>2.1.30编制方案设计投资估算、初步设计概算。</w:t>
      </w:r>
    </w:p>
    <w:p w14:paraId="6AC98513">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2.1.31在规划红线范围内，设计人应保证按规划及建筑功能要求、配套设施要求完成本项目工程造价中包含的全部项目的专业专项设计。</w:t>
      </w:r>
    </w:p>
    <w:p w14:paraId="50030CBB">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2.1.32地震灾害评估、地震评估、环境评估、防雷评估、风洞试验、振动台试验、点试验、消防性能化分析及有关专项试验、研究与论证。</w:t>
      </w:r>
    </w:p>
    <w:p w14:paraId="200C5241">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2.1.33不在设计人设计范畴内，但设计人应配合发包人工作及时提出有关技术要求。</w:t>
      </w:r>
    </w:p>
    <w:p w14:paraId="13BC45CF">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2.1.34如设计人不具备相关专业设计资质，应当自行完成本资质专业的设计业务，并在保证整个建筑工程项目完整性的前提下，经发包人同意，将其他部分专业设计业务发包给具有相应资质的分包方。</w:t>
      </w:r>
    </w:p>
    <w:p w14:paraId="38CEC089">
      <w:pPr>
        <w:adjustRightInd w:val="0"/>
        <w:ind w:firstLine="566" w:firstLineChars="236"/>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2.1.35装配式建筑需要提供相对应的施工图纸，不得以深化构件图纸代替施工图纸。</w:t>
      </w:r>
    </w:p>
    <w:p w14:paraId="6EBD134B">
      <w:pPr>
        <w:adjustRightInd w:val="0"/>
        <w:ind w:firstLine="566" w:firstLineChars="236"/>
        <w:rPr>
          <w:rFonts w:hint="eastAsia" w:cs="宋体"/>
          <w:b/>
          <w:bCs/>
          <w:highlight w:val="none"/>
        </w:rPr>
      </w:pPr>
      <w:r>
        <w:rPr>
          <w:rFonts w:hint="eastAsia" w:cs="宋体"/>
          <w:bCs/>
          <w:snapToGrid w:val="0"/>
          <w:kern w:val="0"/>
          <w:highlight w:val="none"/>
          <w:bdr w:val="single" w:color="auto" w:sz="4" w:space="0"/>
        </w:rPr>
        <w:t>√</w:t>
      </w:r>
      <w:r>
        <w:rPr>
          <w:rFonts w:hint="eastAsia" w:cs="宋体"/>
          <w:snapToGrid w:val="0"/>
          <w:kern w:val="0"/>
          <w:highlight w:val="none"/>
        </w:rPr>
        <w:t>2.1.36配合所有上级部门审批相关工作，包括征求水务、人防、消防、铁路、地铁、机场等相关部门的意见与审批工作等。</w:t>
      </w:r>
    </w:p>
    <w:p w14:paraId="669A280B">
      <w:pPr>
        <w:ind w:firstLine="482"/>
        <w:rPr>
          <w:rFonts w:hint="eastAsia" w:cs="宋体"/>
          <w:b/>
          <w:bCs/>
          <w:highlight w:val="none"/>
        </w:rPr>
      </w:pPr>
      <w:r>
        <w:rPr>
          <w:rFonts w:hint="eastAsia" w:cs="宋体"/>
          <w:b/>
          <w:bCs/>
          <w:highlight w:val="none"/>
        </w:rPr>
        <w:t>2.2各阶段主要工作内容</w:t>
      </w:r>
    </w:p>
    <w:p w14:paraId="42FF1B51">
      <w:pPr>
        <w:ind w:firstLine="424" w:firstLineChars="177"/>
        <w:rPr>
          <w:rFonts w:hint="eastAsia" w:cs="宋体"/>
          <w:highlight w:val="none"/>
        </w:rPr>
      </w:pPr>
      <w:r>
        <w:rPr>
          <w:rFonts w:hint="eastAsia" w:cs="宋体"/>
          <w:highlight w:val="none"/>
        </w:rPr>
        <w:t>×</w:t>
      </w:r>
      <w:r>
        <w:rPr>
          <w:rFonts w:hint="eastAsia" w:cs="宋体"/>
          <w:b/>
          <w:bCs/>
          <w:highlight w:val="none"/>
        </w:rPr>
        <w:t>2.2.1勘探阶段的主要工作：</w:t>
      </w:r>
      <w:r>
        <w:rPr>
          <w:rFonts w:hint="eastAsia" w:cs="宋体"/>
          <w:highlight w:val="none"/>
        </w:rPr>
        <w:t>须针对本项目设计方案、设计的要求及发包人要求开展用地范围红线内的全部工作，项目前期摸查报告须在初步设计阶段前进行并根据设计方案的深化情况不断完善，初勘原则上在初步设计阶段前完成，详勘原则上在施工图设计阶段前完成。</w:t>
      </w:r>
    </w:p>
    <w:p w14:paraId="4FC7CCCA">
      <w:pPr>
        <w:adjustRightInd w:val="0"/>
        <w:ind w:firstLine="566" w:firstLineChars="236"/>
        <w:rPr>
          <w:rFonts w:hint="eastAsia" w:cs="宋体"/>
          <w:highlight w:val="none"/>
        </w:rPr>
      </w:pPr>
      <w:r>
        <w:rPr>
          <w:rFonts w:hint="eastAsia" w:cs="宋体"/>
          <w:highlight w:val="none"/>
        </w:rPr>
        <w:t>×</w:t>
      </w:r>
      <w:r>
        <w:rPr>
          <w:rFonts w:hint="eastAsia" w:cs="宋体"/>
          <w:b/>
          <w:bCs/>
          <w:highlight w:val="none"/>
        </w:rPr>
        <w:t>2.2.2方案设计阶段的主要工作：</w:t>
      </w:r>
      <w:r>
        <w:rPr>
          <w:rFonts w:hint="eastAsia" w:cs="宋体"/>
          <w:highlight w:val="none"/>
        </w:rPr>
        <w:t>根据项目特点、策划定位报告、技术要点、规划条件等要求，进行方案设计。形成的技术方案应能满足国土、规划、消防、人防、环保等政府行政部门要求的稳定方案。要求符合《建筑工程设计文件编制深度规定》（2016版）中关于方案设计应达到的设计深度要求，符合合同规定及审图要求，满足下阶段设计工作的需要，并能通过相关政府主管部门批准，包括但不限于下列方面：</w:t>
      </w:r>
    </w:p>
    <w:p w14:paraId="3F083D78">
      <w:pPr>
        <w:ind w:firstLine="480"/>
        <w:rPr>
          <w:rFonts w:hint="eastAsia" w:cs="宋体"/>
          <w:highlight w:val="none"/>
        </w:rPr>
      </w:pPr>
      <w:r>
        <w:rPr>
          <w:rFonts w:hint="eastAsia" w:cs="宋体"/>
          <w:highlight w:val="none"/>
        </w:rPr>
        <w:t>（1）设计说明书，包括设计总说明、各专业设计说明、技术经济指标、装配式建筑技术设计、节能设计、绿色建筑设计、海绵城市、消防设计专项内容等；</w:t>
      </w:r>
    </w:p>
    <w:p w14:paraId="3A2B0780">
      <w:pPr>
        <w:ind w:firstLine="480"/>
        <w:rPr>
          <w:rFonts w:hint="eastAsia" w:cs="宋体"/>
          <w:highlight w:val="none"/>
        </w:rPr>
      </w:pPr>
      <w:r>
        <w:rPr>
          <w:rFonts w:hint="eastAsia" w:cs="宋体"/>
          <w:highlight w:val="none"/>
        </w:rPr>
        <w:t>（2）编制科学、规范、完整、准确的投资估算；</w:t>
      </w:r>
    </w:p>
    <w:p w14:paraId="1FCB8A5A">
      <w:pPr>
        <w:ind w:firstLine="480"/>
        <w:rPr>
          <w:rFonts w:hint="eastAsia" w:cs="宋体"/>
          <w:highlight w:val="none"/>
        </w:rPr>
      </w:pPr>
      <w:r>
        <w:rPr>
          <w:rFonts w:hint="eastAsia" w:cs="宋体"/>
          <w:highlight w:val="none"/>
        </w:rPr>
        <w:t>（3）各种效果图，包括透视图（沿街商业及楼栋透视、中庭透视、住宅单元入口透视，能完整表达设计意图）、鸟瞰图、模型等；</w:t>
      </w:r>
    </w:p>
    <w:p w14:paraId="5E8751CB">
      <w:pPr>
        <w:ind w:firstLine="480"/>
        <w:rPr>
          <w:rFonts w:hint="eastAsia" w:cs="宋体"/>
          <w:highlight w:val="none"/>
        </w:rPr>
      </w:pPr>
      <w:r>
        <w:rPr>
          <w:rFonts w:hint="eastAsia" w:cs="宋体"/>
          <w:highlight w:val="none"/>
        </w:rPr>
        <w:t>（4）总平面设计图纸，包括场地的区域位置、场地的范围、场地内及四邻环境的反映、场地内总平面设计、功能分区、空间组合及景观分析、交通分析(人流及车流的组织、停车泊位数量等)、商业动线分析（项目是否具有）、消防分析、地形分析、绿地布置、日照分析、技术经济指标等；</w:t>
      </w:r>
    </w:p>
    <w:p w14:paraId="0859D44E">
      <w:pPr>
        <w:ind w:firstLine="480"/>
        <w:rPr>
          <w:rFonts w:hint="eastAsia" w:cs="宋体"/>
          <w:highlight w:val="none"/>
        </w:rPr>
      </w:pPr>
      <w:r>
        <w:rPr>
          <w:rFonts w:hint="eastAsia" w:cs="宋体"/>
          <w:highlight w:val="none"/>
        </w:rPr>
        <w:t>（5）建筑方案设计图纸，包括平面图、立面图、剖面图等。结构体系应进行初步的计算，保证结构方案的可行性；</w:t>
      </w:r>
    </w:p>
    <w:p w14:paraId="79327BF7">
      <w:pPr>
        <w:ind w:firstLine="480"/>
        <w:rPr>
          <w:rFonts w:hint="eastAsia" w:cs="宋体"/>
          <w:highlight w:val="none"/>
        </w:rPr>
      </w:pPr>
      <w:r>
        <w:rPr>
          <w:rFonts w:hint="eastAsia" w:cs="宋体"/>
          <w:highlight w:val="none"/>
        </w:rPr>
        <w:t>（6）接口设计内容，包括场地及四邻与市政道路等周边市政设施的接口等；</w:t>
      </w:r>
    </w:p>
    <w:p w14:paraId="20CAA573">
      <w:pPr>
        <w:ind w:firstLine="480"/>
        <w:rPr>
          <w:rFonts w:hint="eastAsia" w:cs="宋体"/>
          <w:highlight w:val="none"/>
        </w:rPr>
      </w:pPr>
      <w:r>
        <w:rPr>
          <w:rFonts w:hint="eastAsia" w:cs="宋体"/>
          <w:highlight w:val="none"/>
        </w:rPr>
        <w:t>（7）公共部位精装修概念设计效果图、园林景观概念设计效果图及相关分析示意和说明；</w:t>
      </w:r>
    </w:p>
    <w:p w14:paraId="1939E3DA">
      <w:pPr>
        <w:ind w:firstLine="480"/>
        <w:rPr>
          <w:rFonts w:hint="eastAsia" w:cs="宋体"/>
          <w:highlight w:val="none"/>
        </w:rPr>
      </w:pPr>
      <w:r>
        <w:rPr>
          <w:rFonts w:hint="eastAsia" w:cs="宋体"/>
          <w:highlight w:val="none"/>
        </w:rPr>
        <w:t>（8）装配式建筑设计内容；</w:t>
      </w:r>
    </w:p>
    <w:p w14:paraId="5CE6E913">
      <w:pPr>
        <w:ind w:firstLine="480"/>
        <w:rPr>
          <w:rFonts w:hint="eastAsia" w:cs="宋体"/>
          <w:highlight w:val="none"/>
        </w:rPr>
      </w:pPr>
      <w:r>
        <w:rPr>
          <w:rFonts w:hint="eastAsia" w:cs="宋体"/>
          <w:highlight w:val="none"/>
        </w:rPr>
        <w:t>1）考虑立面外形对装配式的影响，确定建筑风格造型；</w:t>
      </w:r>
    </w:p>
    <w:p w14:paraId="218877AA">
      <w:pPr>
        <w:ind w:firstLine="480"/>
        <w:rPr>
          <w:rFonts w:hint="eastAsia" w:cs="宋体"/>
          <w:highlight w:val="none"/>
        </w:rPr>
      </w:pPr>
      <w:r>
        <w:rPr>
          <w:rFonts w:hint="eastAsia" w:cs="宋体"/>
          <w:highlight w:val="none"/>
        </w:rPr>
        <w:t>2）考虑装配式的影响，确定建筑高度；</w:t>
      </w:r>
    </w:p>
    <w:p w14:paraId="0B636E9B">
      <w:pPr>
        <w:ind w:firstLine="480"/>
        <w:rPr>
          <w:rFonts w:hint="eastAsia" w:cs="宋体"/>
          <w:highlight w:val="none"/>
        </w:rPr>
      </w:pPr>
      <w:r>
        <w:rPr>
          <w:rFonts w:hint="eastAsia" w:cs="宋体"/>
          <w:highlight w:val="none"/>
        </w:rPr>
        <w:t>3）考虑装配式的影响，确定建筑平面形体；</w:t>
      </w:r>
    </w:p>
    <w:p w14:paraId="0096EC7B">
      <w:pPr>
        <w:ind w:firstLine="480"/>
        <w:rPr>
          <w:rFonts w:hint="eastAsia" w:cs="宋体"/>
          <w:highlight w:val="none"/>
        </w:rPr>
      </w:pPr>
      <w:r>
        <w:rPr>
          <w:rFonts w:hint="eastAsia" w:cs="宋体"/>
          <w:highlight w:val="none"/>
        </w:rPr>
        <w:t>4）确定装配式结构体系选型、预制构件选配方案、装配率等；</w:t>
      </w:r>
    </w:p>
    <w:p w14:paraId="38FAD8B1">
      <w:pPr>
        <w:ind w:firstLine="480"/>
        <w:rPr>
          <w:rFonts w:hint="eastAsia" w:cs="宋体"/>
          <w:highlight w:val="none"/>
        </w:rPr>
      </w:pPr>
      <w:r>
        <w:rPr>
          <w:rFonts w:hint="eastAsia" w:cs="宋体"/>
          <w:highlight w:val="none"/>
        </w:rPr>
        <w:t>5）方案应满足本任务书设定的装配率的要求，设计时须考虑实现这些要求的做法，应对装配式方案进行技术分析及经济比较。</w:t>
      </w:r>
    </w:p>
    <w:p w14:paraId="0A57C603">
      <w:pPr>
        <w:numPr>
          <w:ilvl w:val="0"/>
          <w:numId w:val="2"/>
        </w:numPr>
        <w:ind w:firstLine="480"/>
        <w:rPr>
          <w:rFonts w:hint="eastAsia" w:cs="宋体"/>
          <w:highlight w:val="none"/>
        </w:rPr>
      </w:pPr>
      <w:r>
        <w:rPr>
          <w:rFonts w:hint="eastAsia" w:cs="宋体"/>
          <w:highlight w:val="none"/>
        </w:rPr>
        <w:t>满足报批报建相关要求，提供满足报建要求的图纸和文件；协助与政府相关部门沟通直至方案报批通过等相关事宜;</w:t>
      </w:r>
    </w:p>
    <w:p w14:paraId="64541982">
      <w:pPr>
        <w:numPr>
          <w:ilvl w:val="0"/>
          <w:numId w:val="3"/>
        </w:numPr>
        <w:ind w:firstLine="480"/>
        <w:rPr>
          <w:rFonts w:hint="eastAsia" w:cs="宋体"/>
          <w:highlight w:val="none"/>
        </w:rPr>
      </w:pPr>
      <w:r>
        <w:rPr>
          <w:rFonts w:hint="eastAsia" w:cs="宋体"/>
          <w:highlight w:val="none"/>
        </w:rPr>
        <w:t>招标和设计等所需的技术要求和说明等相关文件的编制；以及报批报建所需的评审资料、会务及与政府相关部门的协调工作等；</w:t>
      </w:r>
    </w:p>
    <w:p w14:paraId="096387D1">
      <w:pPr>
        <w:numPr>
          <w:ilvl w:val="0"/>
          <w:numId w:val="4"/>
        </w:numPr>
        <w:ind w:firstLine="480"/>
        <w:rPr>
          <w:rFonts w:hint="eastAsia" w:cs="宋体"/>
          <w:highlight w:val="none"/>
        </w:rPr>
      </w:pPr>
      <w:r>
        <w:rPr>
          <w:rFonts w:hint="eastAsia" w:cs="宋体"/>
          <w:highlight w:val="none"/>
        </w:rPr>
        <w:t>满足与本阶段设计有关的绿色建筑、人防、消防和海绵城市等的设计研究工作;</w:t>
      </w:r>
    </w:p>
    <w:p w14:paraId="4A5E0C81">
      <w:pPr>
        <w:numPr>
          <w:ilvl w:val="0"/>
          <w:numId w:val="5"/>
        </w:numPr>
        <w:ind w:firstLine="480"/>
        <w:rPr>
          <w:rFonts w:hint="eastAsia" w:cs="宋体"/>
          <w:highlight w:val="none"/>
        </w:rPr>
      </w:pPr>
      <w:r>
        <w:rPr>
          <w:rFonts w:hint="eastAsia" w:cs="宋体"/>
          <w:highlight w:val="none"/>
        </w:rPr>
        <w:t>其他与本项目有关的设计工作。</w:t>
      </w:r>
    </w:p>
    <w:p w14:paraId="151297D1">
      <w:pPr>
        <w:ind w:firstLine="480"/>
        <w:rPr>
          <w:rFonts w:hint="eastAsia" w:cs="宋体"/>
          <w:highlight w:val="none"/>
        </w:rPr>
      </w:pPr>
      <w:r>
        <w:rPr>
          <w:rFonts w:hint="eastAsia" w:cs="宋体"/>
          <w:highlight w:val="none"/>
        </w:rPr>
        <w:t>（13）BIM设计工作内容。</w:t>
      </w:r>
    </w:p>
    <w:p w14:paraId="0556F66F">
      <w:pPr>
        <w:ind w:firstLine="480"/>
        <w:rPr>
          <w:rFonts w:hint="eastAsia" w:cs="宋体"/>
          <w:highlight w:val="none"/>
        </w:rPr>
      </w:pPr>
      <w:r>
        <w:rPr>
          <w:rFonts w:hint="eastAsia" w:cs="宋体"/>
          <w:highlight w:val="none"/>
        </w:rPr>
        <w:t>利用BIM对建筑项目所处的场地环境进行必要的分析，如坡度、坡向、高程、纵横断面、填挖量、等高线、流域等，作为方案设计的依据。进一步利用BIM建立建筑模型，输入场地环境相应的信息，进而对建筑物的物理环境（如气候、风速、地表热辐射、采光、通风等）、出入口、人车流动、结构、节能排放等方面进行模拟分析，选择最优的工程设计方案。</w:t>
      </w:r>
    </w:p>
    <w:p w14:paraId="7438BB11">
      <w:pPr>
        <w:ind w:firstLine="480"/>
        <w:rPr>
          <w:rFonts w:hint="eastAsia" w:cs="宋体"/>
          <w:highlight w:val="none"/>
        </w:rPr>
      </w:pPr>
      <w:r>
        <w:rPr>
          <w:rFonts w:hint="eastAsia" w:cs="宋体"/>
          <w:highlight w:val="none"/>
        </w:rPr>
        <w:t>由方案设计阶段建筑模型内的建筑信息进行统计、计算、分析模拟而生成的其他BIM成果文件有：</w:t>
      </w:r>
    </w:p>
    <w:p w14:paraId="3F6D649A">
      <w:pPr>
        <w:ind w:firstLine="480"/>
        <w:rPr>
          <w:rFonts w:hint="eastAsia" w:cs="宋体"/>
          <w:highlight w:val="none"/>
        </w:rPr>
      </w:pPr>
      <w:r>
        <w:rPr>
          <w:rFonts w:hint="eastAsia" w:cs="宋体"/>
          <w:highlight w:val="none"/>
        </w:rPr>
        <w:t>1）方案设计阶段建筑专业视图，包括建筑平面视图、立面视图和剖面视图等；</w:t>
      </w:r>
    </w:p>
    <w:p w14:paraId="62B9314C">
      <w:pPr>
        <w:ind w:firstLine="480"/>
        <w:rPr>
          <w:rFonts w:hint="eastAsia" w:cs="宋体"/>
          <w:highlight w:val="none"/>
        </w:rPr>
      </w:pPr>
      <w:r>
        <w:rPr>
          <w:rFonts w:hint="eastAsia" w:cs="宋体"/>
          <w:highlight w:val="none"/>
        </w:rPr>
        <w:t>2）基于模型的三维可视化成果，包含但不限于：渲染图、三维漫游等；</w:t>
      </w:r>
    </w:p>
    <w:p w14:paraId="75A52A24">
      <w:pPr>
        <w:ind w:firstLine="480"/>
        <w:rPr>
          <w:rFonts w:hint="eastAsia" w:cs="宋体"/>
          <w:snapToGrid w:val="0"/>
          <w:kern w:val="0"/>
          <w:highlight w:val="none"/>
        </w:rPr>
      </w:pPr>
      <w:r>
        <w:rPr>
          <w:rFonts w:hint="eastAsia" w:cs="宋体"/>
          <w:highlight w:val="none"/>
        </w:rPr>
        <w:t>3）基于模型的建筑节能分析评估文件，包含但不限于：日照采光分析、通风模拟、热工和能耗模拟等；</w:t>
      </w:r>
    </w:p>
    <w:p w14:paraId="5C4E98BE">
      <w:pPr>
        <w:ind w:firstLine="424" w:firstLineChars="177"/>
        <w:rPr>
          <w:rFonts w:hint="eastAsia" w:cs="宋体"/>
          <w:b/>
          <w:bCs/>
          <w:highlight w:val="none"/>
        </w:rPr>
      </w:pPr>
      <w:r>
        <w:rPr>
          <w:rFonts w:hint="eastAsia" w:cs="宋体"/>
          <w:highlight w:val="none"/>
        </w:rPr>
        <w:t>×</w:t>
      </w:r>
      <w:r>
        <w:rPr>
          <w:rFonts w:hint="eastAsia" w:cs="宋体"/>
          <w:b/>
          <w:bCs/>
          <w:highlight w:val="none"/>
        </w:rPr>
        <w:t>2.2.3初步设计阶段的主要工作：</w:t>
      </w:r>
    </w:p>
    <w:p w14:paraId="4E469FFE">
      <w:pPr>
        <w:ind w:firstLine="424" w:firstLineChars="177"/>
        <w:rPr>
          <w:rFonts w:hint="eastAsia" w:cs="宋体"/>
          <w:highlight w:val="none"/>
        </w:rPr>
      </w:pPr>
      <w:r>
        <w:rPr>
          <w:rFonts w:hint="eastAsia" w:cs="宋体"/>
          <w:highlight w:val="none"/>
        </w:rPr>
        <w:t>初步设计文件由设计说明书（包括设计总说明和各专业的设计说明书），设计图纸、主要设备及材料表和采用清单计价模式编制的工程概算书等四部分内容组成。包括但不限于以下要求：</w:t>
      </w:r>
    </w:p>
    <w:p w14:paraId="0674AD7E">
      <w:pPr>
        <w:ind w:firstLine="424" w:firstLineChars="177"/>
        <w:rPr>
          <w:rFonts w:hint="eastAsia" w:cs="宋体"/>
          <w:highlight w:val="none"/>
        </w:rPr>
      </w:pPr>
      <w:r>
        <w:rPr>
          <w:rFonts w:hint="eastAsia" w:cs="宋体"/>
          <w:highlight w:val="none"/>
        </w:rPr>
        <w:t>（1）在设计方案的基础上，进行各专业的初步设计深化（如结构设计中，明确结构选型、布置、截面尺寸、材料用量等），并在经过综合技术经济分析后，明确设计方案所涉及的重大技术问题的解决方案和须要进行专项深化设计的内容，体现在初步设计图纸与各专业设计说明中。</w:t>
      </w:r>
    </w:p>
    <w:p w14:paraId="4530628F">
      <w:pPr>
        <w:ind w:firstLine="424" w:firstLineChars="177"/>
        <w:rPr>
          <w:rFonts w:hint="eastAsia" w:cs="宋体"/>
          <w:highlight w:val="none"/>
        </w:rPr>
      </w:pPr>
      <w:r>
        <w:rPr>
          <w:rFonts w:hint="eastAsia" w:cs="宋体"/>
          <w:highlight w:val="none"/>
        </w:rPr>
        <w:t>（2）编制初步设计概算文件，概算文件中的开项须齐全完整，造价指标准确，满足工程投资控制、限额设计的要求。</w:t>
      </w:r>
    </w:p>
    <w:p w14:paraId="6C41F318">
      <w:pPr>
        <w:ind w:firstLine="424" w:firstLineChars="177"/>
        <w:rPr>
          <w:rFonts w:hint="eastAsia" w:cs="宋体"/>
          <w:highlight w:val="none"/>
        </w:rPr>
      </w:pPr>
      <w:r>
        <w:rPr>
          <w:rFonts w:hint="eastAsia" w:cs="宋体"/>
          <w:highlight w:val="none"/>
        </w:rPr>
        <w:t>（3）在明确需要进行专项研究及深化设计的内容后，设计人须在初步设计阶段做好专项研究及深化设计的组织工作，原则上在施工图设计前明确各专项工程的深化设计方案，并确保相关的初步设计成果文件深度能够有效满足专项施工图设计工程投资控制的要求。</w:t>
      </w:r>
    </w:p>
    <w:p w14:paraId="3917D62E">
      <w:pPr>
        <w:ind w:firstLine="424" w:firstLineChars="177"/>
        <w:rPr>
          <w:rFonts w:hint="eastAsia" w:cs="宋体"/>
          <w:highlight w:val="none"/>
        </w:rPr>
      </w:pPr>
      <w:r>
        <w:rPr>
          <w:rFonts w:hint="eastAsia" w:cs="宋体"/>
          <w:highlight w:val="none"/>
        </w:rPr>
        <w:t>（4）针对本项目的建设标准，进行具体的绿色建筑技术措施应用方案的设计与深化。</w:t>
      </w:r>
    </w:p>
    <w:p w14:paraId="6280834B">
      <w:pPr>
        <w:ind w:firstLine="424" w:firstLineChars="177"/>
        <w:rPr>
          <w:rFonts w:hint="eastAsia" w:cs="宋体"/>
          <w:highlight w:val="none"/>
        </w:rPr>
      </w:pPr>
      <w:r>
        <w:rPr>
          <w:rFonts w:hint="eastAsia" w:cs="宋体"/>
          <w:highlight w:val="none"/>
        </w:rPr>
        <w:t>（5）须对结构体系（包括幕墙、钢结构）、机电设备安装、室内装修方案、新技术及绿色建筑技术的应用进行两个以上方案的综合技术经济比较，使设计具备先进性、可靠性和经济合理性，并满足以下要求：</w:t>
      </w:r>
    </w:p>
    <w:p w14:paraId="7739B341">
      <w:pPr>
        <w:ind w:firstLine="424" w:firstLineChars="177"/>
        <w:rPr>
          <w:rFonts w:hint="eastAsia" w:cs="宋体"/>
          <w:highlight w:val="none"/>
        </w:rPr>
      </w:pPr>
      <w:r>
        <w:rPr>
          <w:rFonts w:hint="eastAsia" w:cs="宋体"/>
          <w:highlight w:val="none"/>
        </w:rPr>
        <w:t>1)应符合发包人批准的设计方案和实施性方案；</w:t>
      </w:r>
    </w:p>
    <w:p w14:paraId="7B9EAABD">
      <w:pPr>
        <w:ind w:firstLine="424" w:firstLineChars="177"/>
        <w:rPr>
          <w:rFonts w:hint="eastAsia" w:cs="宋体"/>
          <w:highlight w:val="none"/>
        </w:rPr>
      </w:pPr>
      <w:r>
        <w:rPr>
          <w:rFonts w:hint="eastAsia" w:cs="宋体"/>
          <w:highlight w:val="none"/>
        </w:rPr>
        <w:t>2)能据以准备各主要设备、材料及饰面材料（送板）；</w:t>
      </w:r>
    </w:p>
    <w:p w14:paraId="110904AE">
      <w:pPr>
        <w:ind w:firstLine="424" w:firstLineChars="177"/>
        <w:rPr>
          <w:rFonts w:hint="eastAsia" w:cs="宋体"/>
          <w:highlight w:val="none"/>
        </w:rPr>
      </w:pPr>
      <w:r>
        <w:rPr>
          <w:rFonts w:hint="eastAsia" w:cs="宋体"/>
          <w:highlight w:val="none"/>
        </w:rPr>
        <w:t>3)能据以编制、审核工程设计概算；</w:t>
      </w:r>
    </w:p>
    <w:p w14:paraId="22054FF8">
      <w:pPr>
        <w:ind w:firstLine="424" w:firstLineChars="177"/>
        <w:rPr>
          <w:rFonts w:hint="eastAsia" w:cs="宋体"/>
          <w:highlight w:val="none"/>
        </w:rPr>
      </w:pPr>
      <w:r>
        <w:rPr>
          <w:rFonts w:hint="eastAsia" w:cs="宋体"/>
          <w:highlight w:val="none"/>
        </w:rPr>
        <w:t>4)能据以进行施工准备；</w:t>
      </w:r>
    </w:p>
    <w:p w14:paraId="40D99EE2">
      <w:pPr>
        <w:ind w:firstLine="424" w:firstLineChars="177"/>
        <w:rPr>
          <w:rFonts w:hint="eastAsia" w:cs="宋体"/>
          <w:highlight w:val="none"/>
        </w:rPr>
      </w:pPr>
      <w:r>
        <w:rPr>
          <w:rFonts w:hint="eastAsia" w:cs="宋体"/>
          <w:highlight w:val="none"/>
        </w:rPr>
        <w:t>5)能作为各专业施工图设计的依据。</w:t>
      </w:r>
    </w:p>
    <w:p w14:paraId="77B10A02">
      <w:pPr>
        <w:ind w:firstLine="424" w:firstLineChars="177"/>
        <w:rPr>
          <w:rFonts w:hint="eastAsia" w:cs="宋体"/>
          <w:highlight w:val="none"/>
        </w:rPr>
      </w:pPr>
      <w:r>
        <w:rPr>
          <w:rFonts w:hint="eastAsia" w:cs="宋体"/>
          <w:highlight w:val="none"/>
        </w:rPr>
        <w:t>（6）根据设计方案各专业、各专项技术要求，搜集并研究各相关设备、材料等国内外产品资料，进行综合经济技术分析后，编制设备、材料、构配件清单并提交至发包人，明确各项机电设备、建筑材料、构配件等的规格、品质、种类、数量、要求等，原则上在初步设计审查时同步完成。</w:t>
      </w:r>
    </w:p>
    <w:p w14:paraId="5DD9DA9F">
      <w:pPr>
        <w:ind w:firstLine="424" w:firstLineChars="177"/>
        <w:rPr>
          <w:rFonts w:hint="eastAsia" w:cs="宋体"/>
          <w:highlight w:val="none"/>
        </w:rPr>
      </w:pPr>
      <w:r>
        <w:rPr>
          <w:rFonts w:hint="eastAsia" w:cs="宋体"/>
          <w:highlight w:val="none"/>
        </w:rPr>
        <w:t>（7）须针对建筑方面研究装配式建筑的标准与实施方式，进行装配式建筑设计深化，明确装配式实施方式、实施方案、装配率，并在设计深化过程中，及时主动与方案设计方进行设计沟通与协调，完成装配式预评价评审工作。</w:t>
      </w:r>
    </w:p>
    <w:p w14:paraId="09A4F52F">
      <w:pPr>
        <w:ind w:firstLine="424" w:firstLineChars="177"/>
        <w:rPr>
          <w:rFonts w:hint="eastAsia" w:cs="宋体"/>
          <w:highlight w:val="none"/>
        </w:rPr>
      </w:pPr>
      <w:r>
        <w:rPr>
          <w:rFonts w:hint="eastAsia" w:cs="宋体"/>
          <w:highlight w:val="none"/>
        </w:rPr>
        <w:t>（8）总承包方须在各专业的初步设计深化过程中，搭建BIM各专业模型，运用BIM技术对建筑方案进行可视化设计、性能模拟、功能分析、空间分析、流线分析、全专业进行统筹与方案检测等，进行BIM文件的方案深化设计工作。</w:t>
      </w:r>
    </w:p>
    <w:p w14:paraId="185EC360">
      <w:pPr>
        <w:ind w:firstLine="424" w:firstLineChars="177"/>
        <w:rPr>
          <w:rFonts w:hint="eastAsia" w:cs="宋体"/>
          <w:highlight w:val="none"/>
        </w:rPr>
      </w:pPr>
      <w:r>
        <w:rPr>
          <w:rFonts w:hint="eastAsia" w:cs="宋体"/>
          <w:highlight w:val="none"/>
        </w:rPr>
        <w:t>（9）提供满足要求的初步设计成果文件，配合完成初步设计审查及概算审查工作。</w:t>
      </w:r>
    </w:p>
    <w:p w14:paraId="0679EF4D">
      <w:pPr>
        <w:ind w:firstLine="424" w:firstLineChars="177"/>
        <w:rPr>
          <w:rFonts w:hint="eastAsia" w:cs="宋体"/>
          <w:b/>
          <w:bCs/>
          <w:highlight w:val="none"/>
        </w:rPr>
      </w:pPr>
      <w:r>
        <w:rPr>
          <w:rFonts w:hint="eastAsia" w:cs="宋体"/>
          <w:bCs/>
          <w:snapToGrid w:val="0"/>
          <w:kern w:val="0"/>
          <w:highlight w:val="none"/>
          <w:bdr w:val="single" w:color="auto" w:sz="4" w:space="0"/>
        </w:rPr>
        <w:t>√</w:t>
      </w:r>
      <w:r>
        <w:rPr>
          <w:rFonts w:hint="eastAsia" w:cs="宋体"/>
          <w:b/>
          <w:bCs/>
          <w:highlight w:val="none"/>
        </w:rPr>
        <w:t>2.2.4施工图设计阶段的主要工作：</w:t>
      </w:r>
    </w:p>
    <w:p w14:paraId="0EDE2402">
      <w:pPr>
        <w:ind w:firstLine="424" w:firstLineChars="177"/>
        <w:rPr>
          <w:rFonts w:hint="eastAsia" w:cs="宋体"/>
          <w:highlight w:val="none"/>
        </w:rPr>
      </w:pPr>
      <w:r>
        <w:rPr>
          <w:rFonts w:hint="eastAsia" w:cs="宋体"/>
          <w:highlight w:val="none"/>
        </w:rPr>
        <w:t>施工图设计内容以图纸为主，应包括说明、图纸等。</w:t>
      </w:r>
    </w:p>
    <w:p w14:paraId="7B181BB1">
      <w:pPr>
        <w:ind w:firstLine="424" w:firstLineChars="177"/>
        <w:rPr>
          <w:rFonts w:hint="eastAsia" w:cs="宋体"/>
          <w:highlight w:val="none"/>
        </w:rPr>
      </w:pPr>
      <w:r>
        <w:rPr>
          <w:rFonts w:hint="eastAsia" w:cs="宋体"/>
          <w:highlight w:val="none"/>
        </w:rPr>
        <w:t>（1）在初步设计图纸的基础上，进行各专业的施工图设计，并在施工图设计过程中，对报告进行检查与核对，缺漏的地方及时报告。</w:t>
      </w:r>
    </w:p>
    <w:p w14:paraId="66EB53A1">
      <w:pPr>
        <w:ind w:firstLine="424" w:firstLineChars="177"/>
        <w:rPr>
          <w:rFonts w:hint="eastAsia" w:cs="宋体"/>
          <w:highlight w:val="none"/>
        </w:rPr>
      </w:pPr>
      <w:r>
        <w:rPr>
          <w:rFonts w:hint="eastAsia" w:cs="宋体"/>
          <w:highlight w:val="none"/>
        </w:rPr>
        <w:t>（2）施工图设计按发包人要求，制定详细的供图计划，以保证项目进度按发包人的总控计划实施。</w:t>
      </w:r>
    </w:p>
    <w:p w14:paraId="6CF42AEA">
      <w:pPr>
        <w:ind w:firstLine="424" w:firstLineChars="177"/>
        <w:rPr>
          <w:rFonts w:hint="eastAsia" w:cs="宋体"/>
          <w:highlight w:val="none"/>
        </w:rPr>
      </w:pPr>
      <w:r>
        <w:rPr>
          <w:rFonts w:hint="eastAsia" w:cs="宋体"/>
          <w:highlight w:val="none"/>
        </w:rPr>
        <w:t>（3）须在施工图设计阶段，同步完成各专项设计的施工图设计工作（含施工图深化设计），并落实建筑方案所涉及的绿色建筑技术等在方案实施阶段的技术应用，体现在施工图图纸中。</w:t>
      </w:r>
    </w:p>
    <w:p w14:paraId="6E1F54A2">
      <w:pPr>
        <w:ind w:firstLine="424" w:firstLineChars="177"/>
        <w:rPr>
          <w:rFonts w:hint="eastAsia" w:cs="宋体"/>
          <w:highlight w:val="none"/>
        </w:rPr>
      </w:pPr>
      <w:r>
        <w:rPr>
          <w:rFonts w:hint="eastAsia" w:cs="宋体"/>
          <w:highlight w:val="none"/>
        </w:rPr>
        <w:t>（4）在初步设计文件的基础上，进行装配式部分的施工图设计工作（含装配式预制构件深化设计）。</w:t>
      </w:r>
    </w:p>
    <w:p w14:paraId="42FEADFB">
      <w:pPr>
        <w:ind w:firstLine="424" w:firstLineChars="177"/>
        <w:rPr>
          <w:rFonts w:hint="eastAsia" w:cs="宋体"/>
          <w:highlight w:val="none"/>
        </w:rPr>
      </w:pPr>
      <w:r>
        <w:rPr>
          <w:rFonts w:hint="eastAsia" w:cs="宋体"/>
          <w:highlight w:val="none"/>
        </w:rPr>
        <w:t>（5）在施工图设计阶段，对建筑场地、建筑单体室内外给水、排水、电气、采暖通风、空调、动力等管线进行专业综合分析，并提供相关的成果文件(包括但不限于室内外管线综合平衡图，场外管线综合总图和相关专业图纸及说明书)，搭建相应的BIM模型，基于BIM模型对施工方案进行可视化设计、管线防撞检测、室内空间优化、性能模拟、造价控制等，并满足指导施工的要求。</w:t>
      </w:r>
    </w:p>
    <w:p w14:paraId="3F655C03">
      <w:pPr>
        <w:ind w:firstLine="424" w:firstLineChars="177"/>
        <w:rPr>
          <w:rFonts w:hint="eastAsia" w:cs="宋体"/>
          <w:b/>
          <w:bCs/>
          <w:highlight w:val="none"/>
        </w:rPr>
      </w:pPr>
      <w:r>
        <w:rPr>
          <w:rFonts w:hint="eastAsia" w:cs="宋体"/>
          <w:highlight w:val="none"/>
        </w:rPr>
        <w:t>（6）通过施工图审查至取得合格书。</w:t>
      </w:r>
    </w:p>
    <w:p w14:paraId="2E87B329">
      <w:pPr>
        <w:ind w:firstLine="482"/>
        <w:rPr>
          <w:rFonts w:hint="eastAsia" w:cs="宋体"/>
          <w:b/>
          <w:bCs/>
          <w:highlight w:val="none"/>
        </w:rPr>
      </w:pPr>
      <w:r>
        <w:rPr>
          <w:rFonts w:hint="eastAsia" w:cs="宋体"/>
          <w:b/>
          <w:bCs/>
          <w:highlight w:val="none"/>
        </w:rPr>
        <w:t>3.1总体设计要求</w:t>
      </w:r>
    </w:p>
    <w:p w14:paraId="26F0FE18">
      <w:pPr>
        <w:ind w:firstLine="482"/>
        <w:rPr>
          <w:rFonts w:hint="eastAsia" w:cs="宋体"/>
          <w:b/>
          <w:highlight w:val="none"/>
        </w:rPr>
      </w:pPr>
      <w:r>
        <w:rPr>
          <w:rFonts w:hint="eastAsia" w:cs="宋体"/>
          <w:b/>
          <w:highlight w:val="none"/>
        </w:rPr>
        <w:t>3.1.1建设标准要求</w:t>
      </w:r>
    </w:p>
    <w:p w14:paraId="06509C2A">
      <w:pPr>
        <w:ind w:firstLine="480"/>
        <w:rPr>
          <w:rFonts w:hint="eastAsia" w:cs="宋体"/>
          <w:highlight w:val="none"/>
        </w:rPr>
      </w:pPr>
      <w:r>
        <w:rPr>
          <w:rFonts w:hint="eastAsia" w:cs="宋体"/>
          <w:highlight w:val="none"/>
        </w:rPr>
        <w:t>（1）设计精细，定位专业。</w:t>
      </w:r>
    </w:p>
    <w:p w14:paraId="5D83A8A2">
      <w:pPr>
        <w:ind w:firstLine="480"/>
        <w:rPr>
          <w:rFonts w:hint="eastAsia" w:cs="宋体"/>
          <w:highlight w:val="none"/>
        </w:rPr>
      </w:pPr>
      <w:r>
        <w:rPr>
          <w:rFonts w:hint="eastAsia" w:cs="宋体"/>
          <w:highlight w:val="none"/>
        </w:rPr>
        <w:t>（2）建筑设计应充分研究绿色建筑设计内容，建筑及场地设计应对日照、风环境、建筑材料、建筑节能等绿色建筑技术进行充分回应，包括但不限于在集成使用可再生能源、水资源利用、绿色建材、通风采光等方面，遵循被动优先、主动优化的原则，体现生态思想和节能观念以及可持续发展和低碳、环保的理念，必须满足项目规划条件和广州市行发包人管部门或发包人有关绿色星级建筑评价标准的规定要求。</w:t>
      </w:r>
    </w:p>
    <w:p w14:paraId="1EE94398">
      <w:pPr>
        <w:ind w:firstLine="480"/>
        <w:rPr>
          <w:rFonts w:hint="eastAsia" w:cs="宋体"/>
          <w:highlight w:val="none"/>
        </w:rPr>
      </w:pPr>
      <w:r>
        <w:rPr>
          <w:rFonts w:hint="eastAsia" w:cs="宋体"/>
          <w:highlight w:val="none"/>
        </w:rPr>
        <w:t>（3）建筑结构设计应结合装配式建筑考虑。</w:t>
      </w:r>
    </w:p>
    <w:p w14:paraId="75D2D18B">
      <w:pPr>
        <w:ind w:firstLine="480"/>
        <w:rPr>
          <w:rFonts w:hint="eastAsia" w:cs="宋体"/>
          <w:highlight w:val="none"/>
        </w:rPr>
      </w:pPr>
      <w:r>
        <w:rPr>
          <w:rFonts w:hint="eastAsia" w:cs="宋体"/>
          <w:highlight w:val="none"/>
        </w:rPr>
        <w:t>（4）在施工图设计阶段应用BIM技术。</w:t>
      </w:r>
    </w:p>
    <w:p w14:paraId="33BDAB98">
      <w:pPr>
        <w:ind w:firstLine="482"/>
        <w:rPr>
          <w:rFonts w:hint="eastAsia" w:cs="宋体"/>
          <w:b/>
          <w:highlight w:val="none"/>
        </w:rPr>
      </w:pPr>
      <w:r>
        <w:rPr>
          <w:rFonts w:hint="eastAsia" w:cs="宋体"/>
          <w:b/>
          <w:highlight w:val="none"/>
        </w:rPr>
        <w:t>3.1.2设计投资控制</w:t>
      </w:r>
    </w:p>
    <w:p w14:paraId="0E6CC7DB">
      <w:pPr>
        <w:numPr>
          <w:ilvl w:val="0"/>
          <w:numId w:val="6"/>
        </w:numPr>
        <w:tabs>
          <w:tab w:val="left" w:pos="900"/>
          <w:tab w:val="left" w:pos="1128"/>
        </w:tabs>
        <w:ind w:right="29" w:rightChars="12" w:firstLine="480"/>
        <w:rPr>
          <w:rFonts w:hint="eastAsia" w:cs="宋体"/>
          <w:highlight w:val="none"/>
        </w:rPr>
      </w:pPr>
      <w:r>
        <w:rPr>
          <w:rFonts w:hint="eastAsia" w:cs="宋体"/>
          <w:highlight w:val="none"/>
        </w:rPr>
        <w:t>本项目投资必须按照合同约定的投资限额要求严格控制。发包人据此制定投资分解目标，实行限额设计，确保工程造价不突破限额目标：根据配售型住房最新的建设指引或发包人上级主管部门批复立项投资估算中的经济指标设定，以发包人书面通知为准。</w:t>
      </w:r>
    </w:p>
    <w:p w14:paraId="7E3BC3AB">
      <w:pPr>
        <w:tabs>
          <w:tab w:val="left" w:pos="900"/>
          <w:tab w:val="left" w:pos="1128"/>
        </w:tabs>
        <w:ind w:right="29" w:rightChars="12" w:firstLine="480"/>
        <w:rPr>
          <w:rFonts w:hint="eastAsia" w:cs="宋体"/>
          <w:highlight w:val="none"/>
        </w:rPr>
      </w:pPr>
      <w:r>
        <w:rPr>
          <w:rFonts w:hint="eastAsia" w:cs="宋体"/>
          <w:highlight w:val="none"/>
        </w:rPr>
        <w:t>1）设计人应遵循功能适用、标准合理、经济合理的原则开展设计，在投资限额目标的基础上结合项目设计内容进一步分解投资，明确投资控制主要目标，在编制设计概算时逐步细化落实。</w:t>
      </w:r>
    </w:p>
    <w:p w14:paraId="55CE7047">
      <w:pPr>
        <w:tabs>
          <w:tab w:val="left" w:pos="900"/>
          <w:tab w:val="left" w:pos="1128"/>
        </w:tabs>
        <w:ind w:right="29" w:rightChars="12" w:firstLine="480"/>
        <w:rPr>
          <w:rFonts w:hint="eastAsia" w:cs="宋体"/>
          <w:highlight w:val="none"/>
        </w:rPr>
      </w:pPr>
      <w:r>
        <w:rPr>
          <w:rFonts w:hint="eastAsia" w:cs="宋体"/>
          <w:highlight w:val="none"/>
        </w:rPr>
        <w:t>2）设计要在限额设计范围内应充分运用性价比分析、多方案（不少于2个）技术经济比较等技术手段，对设计方案进行优化。在所有方案比较的过程中，必须进行相应深度的投资估算比较，确保方案的可比性，并提供相应的工程数量表、主要材料表、主要设备清单等，在确保工程质量的前提下，降低工程投资。</w:t>
      </w:r>
    </w:p>
    <w:p w14:paraId="6BB6490E">
      <w:pPr>
        <w:tabs>
          <w:tab w:val="left" w:pos="900"/>
          <w:tab w:val="left" w:pos="1128"/>
        </w:tabs>
        <w:ind w:right="29" w:rightChars="12" w:firstLine="480"/>
        <w:rPr>
          <w:rFonts w:hint="eastAsia" w:cs="宋体"/>
          <w:highlight w:val="none"/>
        </w:rPr>
      </w:pPr>
      <w:r>
        <w:rPr>
          <w:rFonts w:hint="eastAsia" w:cs="宋体"/>
          <w:highlight w:val="none"/>
        </w:rPr>
        <w:t>3）设计人有关设计的任何修改、变动或由于修改设计所引起的工艺、技术、材料、设备的变更，如引起投资限额的突破均须经过发包人书面审批同意。</w:t>
      </w:r>
    </w:p>
    <w:p w14:paraId="4B1D8231">
      <w:pPr>
        <w:tabs>
          <w:tab w:val="left" w:pos="900"/>
          <w:tab w:val="left" w:pos="1128"/>
        </w:tabs>
        <w:ind w:right="29" w:rightChars="12" w:firstLine="480"/>
        <w:rPr>
          <w:rFonts w:hint="eastAsia" w:cs="宋体"/>
          <w:highlight w:val="none"/>
        </w:rPr>
      </w:pPr>
      <w:r>
        <w:rPr>
          <w:rFonts w:hint="eastAsia" w:cs="宋体"/>
          <w:highlight w:val="none"/>
        </w:rPr>
        <w:t>4）发包人就本项目设计实施情况对设计人进行考核，具体考核办法按照发包人的《广州安居集团有限公司建设工程设计管理办法》（试行）执行，如有修订或新颁，设计人应按发包人要求执行。</w:t>
      </w:r>
    </w:p>
    <w:p w14:paraId="46185F0D">
      <w:pPr>
        <w:ind w:firstLine="480"/>
        <w:rPr>
          <w:rFonts w:hint="eastAsia" w:cs="宋体"/>
          <w:highlight w:val="none"/>
        </w:rPr>
      </w:pPr>
      <w:r>
        <w:rPr>
          <w:rFonts w:hint="eastAsia" w:cs="宋体"/>
          <w:highlight w:val="none"/>
        </w:rPr>
        <w:t>（2）在保证设计质量的前提下，应遵循功能适用、标准合理、经济合理的原则开展设计工作，必要时进行设计优化和技术经济分析论证：</w:t>
      </w:r>
    </w:p>
    <w:p w14:paraId="300359FA">
      <w:pPr>
        <w:tabs>
          <w:tab w:val="left" w:pos="900"/>
          <w:tab w:val="left" w:pos="1128"/>
        </w:tabs>
        <w:ind w:right="29" w:rightChars="12" w:firstLine="480"/>
        <w:rPr>
          <w:rFonts w:hint="eastAsia" w:cs="宋体"/>
          <w:highlight w:val="none"/>
        </w:rPr>
      </w:pPr>
      <w:r>
        <w:rPr>
          <w:rFonts w:hint="eastAsia" w:cs="宋体"/>
          <w:highlight w:val="none"/>
        </w:rPr>
        <w:t>1）设计方案必须进行技术经济分析。通过对设计方案、工艺、设备等进行全面的评价，在满足功能要求的前提下，采用技术经济优化、可以有效控制设计限额的方案。</w:t>
      </w:r>
    </w:p>
    <w:p w14:paraId="0B9FA703">
      <w:pPr>
        <w:tabs>
          <w:tab w:val="left" w:pos="900"/>
          <w:tab w:val="left" w:pos="1128"/>
        </w:tabs>
        <w:ind w:right="29" w:rightChars="12" w:firstLine="480"/>
        <w:rPr>
          <w:rFonts w:hint="eastAsia" w:cs="宋体"/>
          <w:highlight w:val="none"/>
        </w:rPr>
      </w:pPr>
      <w:r>
        <w:rPr>
          <w:rFonts w:hint="eastAsia" w:cs="宋体"/>
          <w:highlight w:val="none"/>
        </w:rPr>
        <w:t>2）在保证方案的可实施和可操作性前提下，设计中凡能进行定量分析的设计内容，应通过计算，用数据说明其技术经济的合理性。同时向发包人提供各阶段技术经济分析资料，以力求各阶段设计成果能充分体现设计优化的原则。</w:t>
      </w:r>
    </w:p>
    <w:p w14:paraId="06D6D3BE">
      <w:pPr>
        <w:tabs>
          <w:tab w:val="left" w:pos="900"/>
          <w:tab w:val="left" w:pos="1128"/>
        </w:tabs>
        <w:ind w:right="29" w:rightChars="12" w:firstLine="480"/>
        <w:rPr>
          <w:rFonts w:hint="eastAsia" w:cs="宋体"/>
          <w:highlight w:val="none"/>
        </w:rPr>
      </w:pPr>
      <w:r>
        <w:rPr>
          <w:rFonts w:hint="eastAsia" w:cs="宋体"/>
          <w:highlight w:val="none"/>
        </w:rPr>
        <w:t>3）对于超设计限额的，应在保证设计质量的前提下自行修改，如确实需要增加的，必须报发包人审查，取得发包人书面同意后，方可修正。</w:t>
      </w:r>
    </w:p>
    <w:p w14:paraId="7A85D598">
      <w:pPr>
        <w:tabs>
          <w:tab w:val="left" w:pos="900"/>
          <w:tab w:val="left" w:pos="1128"/>
        </w:tabs>
        <w:ind w:right="29" w:rightChars="12" w:firstLine="480"/>
        <w:rPr>
          <w:rFonts w:hint="eastAsia" w:cs="宋体"/>
          <w:highlight w:val="none"/>
        </w:rPr>
      </w:pPr>
      <w:r>
        <w:rPr>
          <w:rFonts w:hint="eastAsia" w:cs="宋体"/>
          <w:highlight w:val="none"/>
        </w:rPr>
        <w:t>4）为确保设计优化和投资控制，设计人必须对整体设计方案、主要基础形式、主体结构选型、建筑装修方案、大宗建材（单项总投资额50万元以上）使用、主要设备（单价投资额10万元以上或总投资额50万元以上）选型等对建成使用和建设投资有重大影响的因素进行经济技术多方案比选和性价比分析，并提交正式的书面报告报发包人确认。</w:t>
      </w:r>
    </w:p>
    <w:p w14:paraId="7B60238C">
      <w:pPr>
        <w:tabs>
          <w:tab w:val="left" w:pos="900"/>
          <w:tab w:val="left" w:pos="1128"/>
        </w:tabs>
        <w:ind w:right="29" w:rightChars="12" w:firstLine="480"/>
        <w:rPr>
          <w:rFonts w:hint="eastAsia" w:cs="宋体"/>
          <w:highlight w:val="none"/>
        </w:rPr>
      </w:pPr>
      <w:r>
        <w:rPr>
          <w:rFonts w:hint="eastAsia" w:cs="宋体"/>
          <w:highlight w:val="none"/>
        </w:rPr>
        <w:t>5）设计人进行经济指标分析时，应提出所采用经济分析的单项指标、综合指标及相应的依据、理由，对主要设备、材料的选用，应经过充分的询价、分析，积累技术经济资料；推荐选用的设备、材料，应注明规格、型号、性能、技术指标等，并提出质量、功能方面的要求，确保投资概算的合理与稳定。对特殊情况需追加投资的，应遵循合理、经济、科学、有效的原则，严格控制。无确切、合理理由，并未经发包人审批的，不得随意突破限额。</w:t>
      </w:r>
    </w:p>
    <w:p w14:paraId="3240B177">
      <w:pPr>
        <w:ind w:firstLine="482"/>
        <w:rPr>
          <w:rFonts w:hint="eastAsia" w:cs="宋体"/>
          <w:b/>
          <w:highlight w:val="none"/>
        </w:rPr>
      </w:pPr>
      <w:r>
        <w:rPr>
          <w:rFonts w:hint="eastAsia" w:cs="宋体"/>
          <w:b/>
          <w:highlight w:val="none"/>
        </w:rPr>
        <w:t>3.1.3过程控制</w:t>
      </w:r>
    </w:p>
    <w:p w14:paraId="76E4E297">
      <w:pPr>
        <w:widowControl/>
        <w:wordWrap w:val="0"/>
        <w:topLinePunct/>
        <w:adjustRightInd w:val="0"/>
        <w:ind w:firstLine="480"/>
        <w:rPr>
          <w:rFonts w:hint="eastAsia" w:cs="宋体"/>
          <w:highlight w:val="none"/>
        </w:rPr>
      </w:pPr>
      <w:r>
        <w:rPr>
          <w:rFonts w:hint="eastAsia" w:cs="宋体"/>
          <w:highlight w:val="none"/>
        </w:rPr>
        <w:t>（1）本工程实行全过程限额设计；设计投资限额为经批准的项目可行性研究报告投资额（按规定不需要编制项目可行性研究报告的项目，则为项目立项投资额）及经批准的初步设计概算。发包人据此制定投资分解目标，实行限额设计。在保证设计质量及产品品质的前提下，设计人应按投资限额进行设计，严格控制设计变更，确保工程项目不突破限额目标。</w:t>
      </w:r>
    </w:p>
    <w:p w14:paraId="45D5BC2F">
      <w:pPr>
        <w:ind w:firstLine="480"/>
        <w:rPr>
          <w:rFonts w:hint="eastAsia" w:cs="宋体"/>
          <w:highlight w:val="none"/>
        </w:rPr>
      </w:pPr>
      <w:r>
        <w:rPr>
          <w:rFonts w:hint="eastAsia" w:cs="宋体"/>
          <w:highlight w:val="none"/>
        </w:rPr>
        <w:t>（2）施工图设计阶段，应结合设计任务书、项目管理要求中的主要设计指标开展设计工作，确保工程预算能满足发包人对工程投资的控制要求。如各单体、各专业的</w:t>
      </w:r>
      <w:r>
        <w:rPr>
          <w:rFonts w:hint="eastAsia" w:cs="宋体"/>
          <w:highlight w:val="none"/>
        </w:rPr>
        <w:t>施工图</w:t>
      </w:r>
      <w:r>
        <w:rPr>
          <w:rFonts w:hint="eastAsia" w:cs="宋体"/>
          <w:highlight w:val="none"/>
        </w:rPr>
        <w:t>预算超出相应限额设计指标的，启动预警机制，允许设计人在满足或优于设计任务书、确保建筑功能且不突破中标建安工程费合同价总体造价指标的前提下，经发包人书面同意，调整各单体、各专业的限额设计指标。</w:t>
      </w:r>
    </w:p>
    <w:p w14:paraId="33A11E55">
      <w:pPr>
        <w:ind w:firstLine="480"/>
        <w:rPr>
          <w:rFonts w:hint="eastAsia" w:cs="宋体"/>
          <w:highlight w:val="none"/>
        </w:rPr>
      </w:pPr>
      <w:r>
        <w:rPr>
          <w:rFonts w:hint="eastAsia" w:cs="宋体"/>
          <w:highlight w:val="none"/>
        </w:rPr>
        <w:t>（3）施工图审查合格并进入施工阶段，允许设计人在满足或优于设计任务书、确保建筑功能且不突破经发包人审定的施工图预算价总体造价指标的前提下，在相应限额设计指标5%范围内调整各单体、各专业之间的限额设计指标，但须报发包人审批同意；设计人设计缺陷等原因造成工程变更的，设计人自行承担工程变更造成的额外费用损失。</w:t>
      </w:r>
    </w:p>
    <w:p w14:paraId="471572C1">
      <w:pPr>
        <w:ind w:firstLine="480"/>
        <w:rPr>
          <w:rFonts w:hint="eastAsia" w:cs="宋体"/>
          <w:highlight w:val="none"/>
        </w:rPr>
      </w:pPr>
      <w:r>
        <w:rPr>
          <w:rFonts w:hint="eastAsia" w:cs="宋体"/>
          <w:highlight w:val="none"/>
        </w:rPr>
        <w:t>（4）多方案比选。对地基基础工程、市政道路路基工程、装修工程、机电工程等专业工程（包括设计人或发包人提出有需要进行多方案比选的专业工程），设计人应进行多方案比选，由发包人组织专家论证，综合选择最优方案。</w:t>
      </w:r>
    </w:p>
    <w:p w14:paraId="1CE021B8">
      <w:pPr>
        <w:ind w:firstLine="480"/>
        <w:rPr>
          <w:rFonts w:hint="eastAsia" w:cs="宋体"/>
          <w:highlight w:val="none"/>
        </w:rPr>
      </w:pPr>
      <w:r>
        <w:rPr>
          <w:rFonts w:hint="eastAsia" w:cs="宋体"/>
          <w:highlight w:val="none"/>
        </w:rPr>
        <w:t>（5）设计人承诺在不降低本设计任务书、初步设计文件、材料设备技术需求书中的主要设计指标（建筑高度、建筑面积等）、材料设备品牌档次的前提下进行施工图设计。</w:t>
      </w:r>
    </w:p>
    <w:p w14:paraId="5D7A4DE2">
      <w:pPr>
        <w:ind w:firstLine="480"/>
        <w:rPr>
          <w:rFonts w:hint="eastAsia" w:cs="宋体"/>
          <w:highlight w:val="none"/>
        </w:rPr>
      </w:pPr>
      <w:r>
        <w:rPr>
          <w:rFonts w:hint="eastAsia" w:cs="宋体"/>
          <w:highlight w:val="none"/>
        </w:rPr>
        <w:t>（6）设计变更的提出必须经过深入调查研究并充分论证，充分体现实事求是、节约投资的原则，避免对工程安全、造价、建设进度造成重大影响。设计人应根据工程实际需要提出变更设计，并按发包人有关设计变更管理规定进行报批报审，对所承担项目设计的完整性负责，不允许分解变更，且设计变更完成时限应满足工程建设需要。</w:t>
      </w:r>
    </w:p>
    <w:p w14:paraId="380AC03A">
      <w:pPr>
        <w:ind w:firstLine="480"/>
        <w:rPr>
          <w:rFonts w:hint="eastAsia" w:cs="宋体"/>
          <w:highlight w:val="none"/>
        </w:rPr>
      </w:pPr>
      <w:r>
        <w:rPr>
          <w:rFonts w:hint="eastAsia" w:cs="宋体"/>
          <w:highlight w:val="none"/>
        </w:rPr>
        <w:t>（7）承包人应满足</w:t>
      </w:r>
      <w:r>
        <w:rPr>
          <w:rFonts w:hint="eastAsia" w:cs="宋体"/>
          <w:b/>
          <w:bCs/>
          <w:highlight w:val="none"/>
        </w:rPr>
        <w:t>附件【A-</w:t>
      </w:r>
      <w:r>
        <w:rPr>
          <w:rFonts w:hint="eastAsia" w:cs="宋体"/>
          <w:b/>
          <w:bCs/>
          <w:highlight w:val="none"/>
          <w:lang w:val="en-US" w:eastAsia="zh-CN"/>
        </w:rPr>
        <w:t>1</w:t>
      </w:r>
      <w:r>
        <w:rPr>
          <w:rFonts w:hint="eastAsia" w:cs="宋体"/>
          <w:b/>
          <w:bCs/>
          <w:highlight w:val="none"/>
        </w:rPr>
        <w:t>】《广州安居集团保障性住房项目设计巡场管理办法（试行）》</w:t>
      </w:r>
      <w:r>
        <w:rPr>
          <w:rFonts w:hint="eastAsia" w:cs="宋体"/>
          <w:highlight w:val="none"/>
        </w:rPr>
        <w:t>的相关要求。</w:t>
      </w:r>
    </w:p>
    <w:p w14:paraId="0F7D44D8">
      <w:pPr>
        <w:ind w:firstLine="482"/>
        <w:rPr>
          <w:rFonts w:hint="eastAsia" w:cs="宋体"/>
          <w:b/>
          <w:highlight w:val="none"/>
        </w:rPr>
      </w:pPr>
      <w:r>
        <w:rPr>
          <w:rFonts w:hint="eastAsia" w:cs="宋体"/>
          <w:b/>
          <w:highlight w:val="none"/>
        </w:rPr>
        <w:t>3.1.4设计变更</w:t>
      </w:r>
    </w:p>
    <w:p w14:paraId="53C6C8CA">
      <w:pPr>
        <w:widowControl/>
        <w:wordWrap w:val="0"/>
        <w:topLinePunct/>
        <w:adjustRightInd w:val="0"/>
        <w:ind w:firstLine="480"/>
        <w:rPr>
          <w:rFonts w:hint="eastAsia" w:cs="宋体"/>
          <w:highlight w:val="none"/>
        </w:rPr>
      </w:pPr>
      <w:r>
        <w:rPr>
          <w:rFonts w:hint="eastAsia" w:cs="宋体"/>
          <w:highlight w:val="none"/>
        </w:rPr>
        <w:t>（1）本条所称设计变更是指施工图设计文件经过审图机构审查后，对已通过审查后的施工图及设计文件所进行的修改、调整、补充、完善。工程建设过程中因各种原因所发生的设计变更，按相关行业主管部门及发包人相关规定执行。设计人在办理设计变更手续时，应明确设计变更的原因、种类、责任认定等。</w:t>
      </w:r>
    </w:p>
    <w:p w14:paraId="0C11E1AD">
      <w:pPr>
        <w:ind w:right="29" w:rightChars="12" w:firstLine="480"/>
        <w:rPr>
          <w:rFonts w:hint="eastAsia" w:cs="宋体"/>
          <w:highlight w:val="none"/>
        </w:rPr>
      </w:pPr>
      <w:r>
        <w:rPr>
          <w:rFonts w:hint="eastAsia" w:cs="宋体"/>
          <w:highlight w:val="none"/>
        </w:rPr>
        <w:t>（2）未经发包人书面同意，设计人不得直接向发包人以外的第三方出具设计变更文件。因设计人本身设计考虑不周或设计不当需要设计变更而产生的工作时间和费用由设计人自行承担，造成发包人损失的，设计人应按合同约定给予赔偿。</w:t>
      </w:r>
    </w:p>
    <w:p w14:paraId="250B59BB">
      <w:pPr>
        <w:ind w:right="29" w:rightChars="12" w:firstLine="480"/>
        <w:rPr>
          <w:rFonts w:hint="eastAsia" w:cs="宋体"/>
          <w:highlight w:val="none"/>
        </w:rPr>
      </w:pPr>
      <w:r>
        <w:rPr>
          <w:rFonts w:hint="eastAsia" w:cs="宋体"/>
          <w:highlight w:val="none"/>
        </w:rPr>
        <w:t>（3）设计人不得直接接受施工单位提出的设计变更要求。施工单位提出的设计变更要求的，经发包人征询设计顾问人、监理人意见后，发包人书面通知设计人，设计人方可出具设计变更文件。</w:t>
      </w:r>
    </w:p>
    <w:p w14:paraId="3F7E1108">
      <w:pPr>
        <w:ind w:right="29" w:rightChars="12" w:firstLine="480"/>
        <w:rPr>
          <w:rFonts w:hint="eastAsia" w:cs="宋体"/>
          <w:highlight w:val="none"/>
        </w:rPr>
      </w:pPr>
      <w:r>
        <w:rPr>
          <w:rFonts w:hint="eastAsia" w:cs="宋体"/>
          <w:highlight w:val="none"/>
        </w:rPr>
        <w:t>（4）工程建设过程中因各种原因发生的设计变更，设计人应以书面或图纸进行设计变更并盖印和签字确认，还须按发包人制定的有关设计变更管理办法进行规范，明确设计变更的原因、种类、责任认定和编制增减预算。所有设计变更均需报发包人进行盖印和签字确认。</w:t>
      </w:r>
    </w:p>
    <w:p w14:paraId="62603F4A">
      <w:pPr>
        <w:ind w:right="29" w:rightChars="12" w:firstLine="480"/>
        <w:rPr>
          <w:rFonts w:hint="eastAsia" w:cs="宋体"/>
          <w:highlight w:val="none"/>
        </w:rPr>
      </w:pPr>
      <w:r>
        <w:rPr>
          <w:rFonts w:hint="eastAsia" w:cs="宋体"/>
          <w:highlight w:val="none"/>
        </w:rPr>
        <w:t>（5）设计人承诺能够根据工程需要修改设计，对所承担项目设计的完整性负责，且修改设计完成时限满足工程建设需要并符合本合同要求。</w:t>
      </w:r>
    </w:p>
    <w:p w14:paraId="2168DC7E">
      <w:pPr>
        <w:ind w:firstLine="482"/>
        <w:rPr>
          <w:rFonts w:hint="eastAsia" w:cs="宋体"/>
          <w:b/>
          <w:highlight w:val="none"/>
        </w:rPr>
      </w:pPr>
      <w:r>
        <w:rPr>
          <w:rFonts w:hint="eastAsia" w:cs="宋体"/>
          <w:b/>
          <w:highlight w:val="none"/>
        </w:rPr>
        <w:t>3.1.5设计质量控制</w:t>
      </w:r>
    </w:p>
    <w:p w14:paraId="4EDF82BF">
      <w:pPr>
        <w:ind w:firstLine="480"/>
        <w:rPr>
          <w:rFonts w:hint="eastAsia" w:cs="宋体"/>
          <w:highlight w:val="none"/>
        </w:rPr>
      </w:pPr>
      <w:r>
        <w:rPr>
          <w:rFonts w:hint="eastAsia" w:cs="宋体"/>
          <w:highlight w:val="none"/>
        </w:rPr>
        <w:t>设计人应根据设计任务建立项目组，从组织上保证投入的人力、物力能满足设计开展的需要；并建立完善的人员管理制度，确保设计人员的稳定性，加强设计人员职业操守的教育。具体要求如下：</w:t>
      </w:r>
    </w:p>
    <w:p w14:paraId="6FA7C355">
      <w:pPr>
        <w:ind w:right="29" w:rightChars="12" w:firstLine="480"/>
        <w:rPr>
          <w:rFonts w:hint="eastAsia" w:cs="宋体"/>
          <w:highlight w:val="none"/>
        </w:rPr>
      </w:pPr>
      <w:r>
        <w:rPr>
          <w:rFonts w:hint="eastAsia" w:cs="宋体"/>
          <w:highlight w:val="none"/>
        </w:rPr>
        <w:t>（1）设计人应根据设计任务建立项目组，从组织上保证投入的人力、物力能满足设计开展的需要，保证不同设计时段、阶段设计工作的连续性和外部条件接口衔接的连贯性。</w:t>
      </w:r>
    </w:p>
    <w:p w14:paraId="11FD8DF1">
      <w:pPr>
        <w:ind w:right="29" w:rightChars="12" w:firstLine="480"/>
        <w:rPr>
          <w:rFonts w:hint="eastAsia" w:cs="宋体"/>
          <w:highlight w:val="none"/>
        </w:rPr>
      </w:pPr>
      <w:r>
        <w:rPr>
          <w:rFonts w:hint="eastAsia" w:cs="宋体"/>
          <w:highlight w:val="none"/>
        </w:rPr>
        <w:t>（2）在设计高峰或发包人认为有必要时，设计人必须集中设计人员确保设计进度。</w:t>
      </w:r>
    </w:p>
    <w:p w14:paraId="473B05FB">
      <w:pPr>
        <w:ind w:right="29" w:rightChars="12" w:firstLine="480"/>
        <w:rPr>
          <w:rFonts w:hint="eastAsia" w:cs="宋体"/>
          <w:highlight w:val="none"/>
        </w:rPr>
      </w:pPr>
      <w:r>
        <w:rPr>
          <w:rFonts w:hint="eastAsia" w:cs="宋体"/>
          <w:highlight w:val="none"/>
        </w:rPr>
        <w:t>（3）设计人承诺为本项目指定的各专业设计负责人为</w:t>
      </w:r>
      <w:r>
        <w:rPr>
          <w:rFonts w:hint="eastAsia" w:cs="宋体"/>
          <w:highlight w:val="none"/>
          <w:u w:val="single"/>
        </w:rPr>
        <w:t>高级</w:t>
      </w:r>
      <w:r>
        <w:rPr>
          <w:rFonts w:hint="eastAsia" w:cs="宋体"/>
          <w:highlight w:val="none"/>
        </w:rPr>
        <w:t>职称，建筑专业负</w:t>
      </w:r>
      <w:r>
        <w:rPr>
          <w:rFonts w:hint="eastAsia" w:cs="宋体"/>
          <w:highlight w:val="none"/>
          <w:u w:val="single"/>
        </w:rPr>
        <w:t>责人（总建筑师）为一级注册建筑师、</w:t>
      </w:r>
      <w:r>
        <w:rPr>
          <w:rFonts w:hint="eastAsia" w:cs="宋体"/>
          <w:highlight w:val="none"/>
        </w:rPr>
        <w:t>结构专业负责人</w:t>
      </w:r>
      <w:r>
        <w:rPr>
          <w:rFonts w:hint="eastAsia" w:cs="宋体"/>
          <w:highlight w:val="none"/>
          <w:u w:val="single"/>
        </w:rPr>
        <w:t>为一级注册结构工程师</w:t>
      </w:r>
      <w:r>
        <w:rPr>
          <w:rFonts w:hint="eastAsia" w:cs="宋体"/>
          <w:highlight w:val="none"/>
        </w:rPr>
        <w:t>资格，设计造价专业负责人经验在</w:t>
      </w:r>
      <w:r>
        <w:rPr>
          <w:rFonts w:hint="eastAsia" w:cs="宋体"/>
          <w:highlight w:val="none"/>
          <w:u w:val="single"/>
        </w:rPr>
        <w:t>10</w:t>
      </w:r>
      <w:r>
        <w:rPr>
          <w:rFonts w:hint="eastAsia" w:cs="宋体"/>
          <w:highlight w:val="none"/>
        </w:rPr>
        <w:t>年以上（该条款不作为否决投标的要求）。</w:t>
      </w:r>
    </w:p>
    <w:p w14:paraId="3E614733">
      <w:pPr>
        <w:adjustRightInd w:val="0"/>
        <w:ind w:firstLine="480"/>
        <w:rPr>
          <w:rFonts w:hint="eastAsia" w:cs="宋体"/>
          <w:highlight w:val="none"/>
        </w:rPr>
      </w:pPr>
      <w:r>
        <w:rPr>
          <w:rFonts w:hint="eastAsia" w:cs="宋体"/>
          <w:highlight w:val="none"/>
        </w:rPr>
        <w:t>（4）设计人承诺派出设计代表，具体要求详1.4.1第十条，常驻施工现场办公（每周不得少于4个工作日）。发包人有权根据实际情况要求设计人对驻场设计代表进行适当调整或更换。设计人应保证驻场设计代表的稳定性，在驻场期间不得更换，确须更换的应向发包人提出书面报告且征得同意后方可更换。</w:t>
      </w:r>
    </w:p>
    <w:p w14:paraId="34F54146">
      <w:pPr>
        <w:adjustRightInd w:val="0"/>
        <w:ind w:firstLine="480"/>
        <w:rPr>
          <w:rFonts w:hint="eastAsia" w:cs="宋体"/>
          <w:highlight w:val="none"/>
        </w:rPr>
      </w:pPr>
      <w:r>
        <w:rPr>
          <w:rFonts w:hint="eastAsia" w:cs="宋体"/>
          <w:highlight w:val="none"/>
        </w:rPr>
        <w:t>（5）设计人承诺将根据项目工程建设进展情况和发包人的要求提供现场服务，及时派出各专业工程师解决工程中涉及到的设计问题。主要工作如下（包括但不限于）：</w:t>
      </w:r>
    </w:p>
    <w:p w14:paraId="3FD5FACA">
      <w:pPr>
        <w:adjustRightInd w:val="0"/>
        <w:ind w:firstLine="480"/>
        <w:rPr>
          <w:rFonts w:hint="eastAsia" w:cs="宋体"/>
          <w:highlight w:val="none"/>
        </w:rPr>
      </w:pPr>
      <w:r>
        <w:rPr>
          <w:rFonts w:hint="eastAsia" w:cs="宋体"/>
          <w:highlight w:val="none"/>
        </w:rPr>
        <w:t>1）参与设计的技术协调会，做好设计交底工作。</w:t>
      </w:r>
    </w:p>
    <w:p w14:paraId="0F02E17D">
      <w:pPr>
        <w:adjustRightInd w:val="0"/>
        <w:ind w:firstLine="480"/>
        <w:rPr>
          <w:rFonts w:hint="eastAsia" w:cs="宋体"/>
          <w:highlight w:val="none"/>
        </w:rPr>
      </w:pPr>
      <w:r>
        <w:rPr>
          <w:rFonts w:hint="eastAsia" w:cs="宋体"/>
          <w:highlight w:val="none"/>
        </w:rPr>
        <w:t>2）各施工阶段开始前，按设计人的设计分工，参与图纸会审，解答有关设计问题，并按规定及时出具相应的修改图纸、补充图纸及技术文件。</w:t>
      </w:r>
    </w:p>
    <w:p w14:paraId="7C914489">
      <w:pPr>
        <w:adjustRightInd w:val="0"/>
        <w:ind w:firstLine="480"/>
        <w:rPr>
          <w:rFonts w:hint="eastAsia" w:cs="宋体"/>
          <w:highlight w:val="none"/>
        </w:rPr>
      </w:pPr>
      <w:r>
        <w:rPr>
          <w:rFonts w:hint="eastAsia" w:cs="宋体"/>
          <w:highlight w:val="none"/>
        </w:rPr>
        <w:t>3）若建设过程中有关当事人对设计文件有疑问，设计人在接到通知后，应及时派出专业工程师解决。属于一般设计问题，若无特殊情况，应在1天内解决。属于重大设计问题，应在5天内书面提出解决意见。对设计图纸与现场不符之处，应及时提出解决办法。</w:t>
      </w:r>
    </w:p>
    <w:p w14:paraId="6BFF2A96">
      <w:pPr>
        <w:adjustRightInd w:val="0"/>
        <w:ind w:firstLine="480"/>
        <w:rPr>
          <w:rFonts w:hint="eastAsia" w:cs="宋体"/>
          <w:highlight w:val="none"/>
        </w:rPr>
      </w:pPr>
      <w:r>
        <w:rPr>
          <w:rFonts w:hint="eastAsia" w:cs="宋体"/>
          <w:highlight w:val="none"/>
        </w:rPr>
        <w:t>4）设计人应参加项本项目工程的每周监理例会，并及时解决例会提出的应由设计人解决的技术问题。</w:t>
      </w:r>
    </w:p>
    <w:p w14:paraId="3711AF35">
      <w:pPr>
        <w:adjustRightInd w:val="0"/>
        <w:ind w:firstLine="480"/>
        <w:rPr>
          <w:rFonts w:hint="eastAsia" w:cs="宋体"/>
          <w:highlight w:val="none"/>
        </w:rPr>
      </w:pPr>
      <w:r>
        <w:rPr>
          <w:rFonts w:hint="eastAsia" w:cs="宋体"/>
          <w:highlight w:val="none"/>
        </w:rPr>
        <w:t>5）设计人应指导施工单位按照设计文件施工；参加工程地基基础、主体结构（含主要隐蔽工程）和竣工质量验收；及时派出能独立解决现场问题的技术人员进行现场服务，处理现场问题；参加工程质量事故调查并提出技术处理方案，不得因为技术人员人为拖延到现场时间而使工程质量事故发生或加重。</w:t>
      </w:r>
    </w:p>
    <w:p w14:paraId="3C7B61B1">
      <w:pPr>
        <w:adjustRightInd w:val="0"/>
        <w:ind w:firstLine="480"/>
        <w:rPr>
          <w:rFonts w:hint="eastAsia" w:cs="宋体"/>
          <w:highlight w:val="none"/>
        </w:rPr>
      </w:pPr>
      <w:r>
        <w:rPr>
          <w:rFonts w:hint="eastAsia" w:cs="宋体"/>
          <w:highlight w:val="none"/>
        </w:rPr>
        <w:t>6）设计人应在设备、材料采购订货前对有关性能、参数、规格及主要设备数量进行确认，按发包人要求对已订购的主要设备、材料的进行到货验收。</w:t>
      </w:r>
    </w:p>
    <w:p w14:paraId="645F8A2E">
      <w:pPr>
        <w:adjustRightInd w:val="0"/>
        <w:ind w:firstLine="480"/>
        <w:rPr>
          <w:rFonts w:hint="eastAsia" w:cs="宋体"/>
          <w:highlight w:val="none"/>
        </w:rPr>
      </w:pPr>
      <w:r>
        <w:rPr>
          <w:rFonts w:hint="eastAsia" w:cs="宋体"/>
          <w:highlight w:val="none"/>
        </w:rPr>
        <w:t>7）设计人应协助制订设备系统的调试计划。</w:t>
      </w:r>
    </w:p>
    <w:p w14:paraId="40450078">
      <w:pPr>
        <w:adjustRightInd w:val="0"/>
        <w:ind w:firstLine="480"/>
        <w:rPr>
          <w:rFonts w:hint="eastAsia" w:cs="宋体"/>
          <w:highlight w:val="none"/>
        </w:rPr>
      </w:pPr>
      <w:r>
        <w:rPr>
          <w:rFonts w:hint="eastAsia" w:cs="宋体"/>
          <w:highlight w:val="none"/>
        </w:rPr>
        <w:t>8）设计人应参与工程的报建与竣工验收，参与编写工程总结。</w:t>
      </w:r>
    </w:p>
    <w:p w14:paraId="322FDBCE">
      <w:pPr>
        <w:adjustRightInd w:val="0"/>
        <w:ind w:firstLine="480"/>
        <w:rPr>
          <w:rFonts w:hint="eastAsia" w:cs="宋体"/>
          <w:highlight w:val="none"/>
        </w:rPr>
      </w:pPr>
      <w:r>
        <w:rPr>
          <w:rFonts w:hint="eastAsia" w:cs="宋体"/>
          <w:highlight w:val="none"/>
        </w:rPr>
        <w:t>9）设计人项目负责人应参加发包人召开的协调会、调度会。</w:t>
      </w:r>
    </w:p>
    <w:p w14:paraId="71102A00">
      <w:pPr>
        <w:ind w:right="29" w:rightChars="12" w:firstLine="480"/>
        <w:rPr>
          <w:rFonts w:hint="eastAsia" w:cs="宋体"/>
          <w:highlight w:val="none"/>
        </w:rPr>
      </w:pPr>
      <w:r>
        <w:rPr>
          <w:rFonts w:hint="eastAsia" w:cs="宋体"/>
          <w:highlight w:val="none"/>
        </w:rPr>
        <w:t>（6）设计人承诺应发包人要求，在必要时委派承担本项目设计的其他专业的设计负责人作为设计代表驻现场服务，提供专业齐全的配套服务。</w:t>
      </w:r>
    </w:p>
    <w:p w14:paraId="14283CBC">
      <w:pPr>
        <w:ind w:right="29" w:rightChars="12" w:firstLine="480"/>
        <w:rPr>
          <w:rFonts w:hint="eastAsia" w:cs="宋体"/>
          <w:highlight w:val="none"/>
        </w:rPr>
      </w:pPr>
      <w:r>
        <w:rPr>
          <w:rFonts w:hint="eastAsia" w:cs="宋体"/>
          <w:highlight w:val="none"/>
        </w:rPr>
        <w:t>（7）项目负责人，各专业设计负责人，驻场设计代表的经验、能力和健康状况应能够胜任所承担任务的设计、组织、计划、协调工作。</w:t>
      </w:r>
    </w:p>
    <w:p w14:paraId="66AEC027">
      <w:pPr>
        <w:ind w:right="29" w:rightChars="12" w:firstLine="480"/>
        <w:rPr>
          <w:rFonts w:hint="eastAsia" w:cs="宋体"/>
          <w:highlight w:val="none"/>
        </w:rPr>
      </w:pPr>
      <w:r>
        <w:rPr>
          <w:rFonts w:hint="eastAsia" w:cs="宋体"/>
          <w:highlight w:val="none"/>
        </w:rPr>
        <w:t>（8）设计人须报送项目设计总负责人、项目负责人、各专业设计负责人和其他参与设计工作的人员姓名、年龄、学历、专业、职称、职务、相关经验和主要技术成果以及在本项目中负责的设计任务等资料（设计合同签订时作为必须附件）。</w:t>
      </w:r>
    </w:p>
    <w:p w14:paraId="590E796C">
      <w:pPr>
        <w:adjustRightInd w:val="0"/>
        <w:ind w:firstLine="480"/>
        <w:rPr>
          <w:rFonts w:hint="eastAsia" w:cs="宋体"/>
          <w:highlight w:val="none"/>
        </w:rPr>
      </w:pPr>
      <w:r>
        <w:rPr>
          <w:rFonts w:hint="eastAsia" w:cs="宋体"/>
          <w:highlight w:val="none"/>
        </w:rPr>
        <w:t>（9）设计人须报送驻场设计代表总负责人、驻场设计代表人员的姓名、年龄、学历、专业、职称、职务、相关经验和主要技术成果以及其驻场授权工作范围、驻场时间安排等资料（设计合同签订时作为必须附件）。</w:t>
      </w:r>
    </w:p>
    <w:p w14:paraId="1B551B99">
      <w:pPr>
        <w:ind w:firstLine="480"/>
        <w:rPr>
          <w:rFonts w:hint="eastAsia" w:cs="宋体"/>
          <w:highlight w:val="none"/>
        </w:rPr>
      </w:pPr>
      <w:r>
        <w:rPr>
          <w:rFonts w:hint="eastAsia" w:cs="宋体"/>
          <w:highlight w:val="none"/>
        </w:rPr>
        <w:t>（10）设计人所完成的各阶段设计成果，必须经发包人审核确认后方可进行下一步工作。在设计过程中须考虑工程实施时的实际可操作性，注重设计标准化工作，交付的设计成果符合本设计任务书的要求。</w:t>
      </w:r>
    </w:p>
    <w:p w14:paraId="2B107D9F">
      <w:pPr>
        <w:ind w:firstLine="482"/>
        <w:rPr>
          <w:rFonts w:hint="eastAsia" w:cs="宋体"/>
          <w:b/>
          <w:highlight w:val="none"/>
        </w:rPr>
      </w:pPr>
      <w:r>
        <w:rPr>
          <w:rFonts w:hint="eastAsia" w:cs="宋体"/>
          <w:b/>
          <w:highlight w:val="none"/>
        </w:rPr>
        <w:t>3.1.6设计进度控制</w:t>
      </w:r>
    </w:p>
    <w:p w14:paraId="32B009B7">
      <w:pPr>
        <w:ind w:firstLine="480"/>
        <w:rPr>
          <w:rFonts w:hint="eastAsia" w:cs="宋体"/>
          <w:highlight w:val="none"/>
        </w:rPr>
      </w:pPr>
      <w:r>
        <w:rPr>
          <w:rFonts w:hint="eastAsia" w:cs="宋体"/>
          <w:highlight w:val="none"/>
        </w:rPr>
        <w:t>（1）设计人应根据发包人的要求编制设计进度计划，计划经发包人审核确认后方可执行。设计人编制的设计进度计划应确定项目总进度目标与详细的分项进度目标。根据合同约定及项目工期总体策划的要求编制各阶段设计进度计划和各专业的出图计划。</w:t>
      </w:r>
    </w:p>
    <w:p w14:paraId="267179DD">
      <w:pPr>
        <w:ind w:firstLine="480"/>
        <w:rPr>
          <w:rFonts w:hint="eastAsia" w:cs="宋体"/>
          <w:highlight w:val="none"/>
        </w:rPr>
      </w:pPr>
      <w:r>
        <w:rPr>
          <w:rFonts w:hint="eastAsia" w:cs="宋体"/>
          <w:highlight w:val="none"/>
        </w:rPr>
        <w:t>（2）设计人应根据设计实际进展变化，及时编制设计调整计划，以使设计进度在受控状态下进行，同时便于发包人及时调整相应计划。</w:t>
      </w:r>
    </w:p>
    <w:p w14:paraId="6A5CD897">
      <w:pPr>
        <w:ind w:firstLine="480"/>
        <w:rPr>
          <w:rFonts w:hint="eastAsia" w:cs="宋体"/>
          <w:highlight w:val="none"/>
        </w:rPr>
      </w:pPr>
      <w:r>
        <w:rPr>
          <w:rFonts w:hint="eastAsia" w:cs="宋体"/>
          <w:highlight w:val="none"/>
        </w:rPr>
        <w:t>（3）设计人严格按照进度计划开展和组织设计工作，接受发包人根据合同和进度计划进行的各种设计跟踪、工作检查和协调要求。</w:t>
      </w:r>
    </w:p>
    <w:p w14:paraId="06EE19BC">
      <w:pPr>
        <w:ind w:firstLine="480"/>
        <w:rPr>
          <w:rFonts w:hint="eastAsia" w:cs="宋体"/>
          <w:highlight w:val="none"/>
        </w:rPr>
      </w:pPr>
      <w:r>
        <w:rPr>
          <w:rFonts w:hint="eastAsia" w:cs="宋体"/>
          <w:highlight w:val="none"/>
        </w:rPr>
        <w:t>（4）发包人按进度计划检查设计完成情况，并对关键点的设计工作进行重点检查，如发现偏离或问题，有权督促设计人采取组织、经济及技术措施予以纠正。</w:t>
      </w:r>
    </w:p>
    <w:p w14:paraId="775E04F4">
      <w:pPr>
        <w:ind w:firstLine="482"/>
        <w:rPr>
          <w:rFonts w:hint="eastAsia" w:cs="宋体"/>
          <w:b/>
          <w:bCs/>
          <w:highlight w:val="none"/>
        </w:rPr>
      </w:pPr>
      <w:r>
        <w:rPr>
          <w:rFonts w:hint="eastAsia" w:cs="宋体"/>
          <w:b/>
          <w:bCs/>
          <w:highlight w:val="none"/>
        </w:rPr>
        <w:t>3.2各阶段要求</w:t>
      </w:r>
    </w:p>
    <w:p w14:paraId="6CF105AA">
      <w:pPr>
        <w:ind w:firstLine="424" w:firstLineChars="177"/>
        <w:rPr>
          <w:rFonts w:hint="eastAsia" w:cs="宋体"/>
          <w:bCs/>
          <w:highlight w:val="none"/>
        </w:rPr>
      </w:pPr>
      <w:r>
        <w:rPr>
          <w:rFonts w:hint="eastAsia" w:cs="宋体"/>
          <w:bCs/>
          <w:highlight w:val="none"/>
        </w:rPr>
        <w:t xml:space="preserve"> </w:t>
      </w:r>
      <w:r>
        <w:rPr>
          <w:rFonts w:hint="eastAsia" w:cs="宋体"/>
          <w:highlight w:val="none"/>
        </w:rPr>
        <w:t>×</w:t>
      </w:r>
      <w:r>
        <w:rPr>
          <w:rFonts w:hint="eastAsia" w:cs="宋体"/>
          <w:b/>
          <w:bCs/>
          <w:highlight w:val="none"/>
        </w:rPr>
        <w:t>1.方案设计阶段的要求</w:t>
      </w:r>
    </w:p>
    <w:p w14:paraId="757342DD">
      <w:pPr>
        <w:ind w:firstLine="424" w:firstLineChars="177"/>
        <w:rPr>
          <w:rFonts w:hint="eastAsia" w:cs="宋体"/>
          <w:bCs/>
          <w:highlight w:val="none"/>
        </w:rPr>
      </w:pPr>
      <w:r>
        <w:rPr>
          <w:rFonts w:hint="eastAsia" w:cs="宋体"/>
          <w:bCs/>
          <w:highlight w:val="none"/>
        </w:rPr>
        <w:t>（1）设计人应在发包人选定方案的基础上，按专家意见和发包人要求进行完善，达到报建送审方案要求，并根据规划部门提出的设计条件进行调整。</w:t>
      </w:r>
    </w:p>
    <w:p w14:paraId="61D91F14">
      <w:pPr>
        <w:ind w:firstLine="424" w:firstLineChars="177"/>
        <w:rPr>
          <w:rFonts w:hint="eastAsia" w:cs="宋体"/>
          <w:bCs/>
          <w:highlight w:val="none"/>
        </w:rPr>
      </w:pPr>
      <w:r>
        <w:rPr>
          <w:rFonts w:hint="eastAsia" w:cs="宋体"/>
          <w:bCs/>
          <w:highlight w:val="none"/>
        </w:rPr>
        <w:t>（2）方案设计应对建筑、结构、机电系统进行两个以上方案技术经济比较，实施性方案应达到和满足进行初步设计的要求。</w:t>
      </w:r>
    </w:p>
    <w:p w14:paraId="618A39C6">
      <w:pPr>
        <w:ind w:firstLine="424" w:firstLineChars="177"/>
        <w:rPr>
          <w:rFonts w:hint="eastAsia" w:cs="宋体"/>
          <w:bCs/>
          <w:highlight w:val="none"/>
        </w:rPr>
      </w:pPr>
      <w:r>
        <w:rPr>
          <w:rFonts w:hint="eastAsia" w:cs="宋体"/>
          <w:bCs/>
          <w:highlight w:val="none"/>
        </w:rPr>
        <w:t>（3）设计人应尽可能在其设计方案中采用节能环保的新技术、新工艺。方案设计应对设计中采用的新技术及节能技术的应用进行两个以上方案技术经济比较，提出比较分析报告和推荐方案。</w:t>
      </w:r>
    </w:p>
    <w:p w14:paraId="0ED75645">
      <w:pPr>
        <w:ind w:firstLine="424" w:firstLineChars="177"/>
        <w:rPr>
          <w:rFonts w:hint="eastAsia" w:cs="宋体"/>
          <w:bCs/>
          <w:highlight w:val="none"/>
        </w:rPr>
      </w:pPr>
      <w:r>
        <w:rPr>
          <w:rFonts w:hint="eastAsia" w:cs="宋体"/>
          <w:bCs/>
          <w:highlight w:val="none"/>
        </w:rPr>
        <w:t>（4）设计人应根据实施方案提交工程投资估算编制说明及投资估算表(具体要求按合同约定)。</w:t>
      </w:r>
    </w:p>
    <w:p w14:paraId="761559C6">
      <w:pPr>
        <w:ind w:firstLine="424" w:firstLineChars="177"/>
        <w:rPr>
          <w:rFonts w:hint="eastAsia" w:cs="宋体"/>
          <w:bCs/>
          <w:highlight w:val="none"/>
        </w:rPr>
      </w:pPr>
      <w:r>
        <w:rPr>
          <w:rFonts w:hint="eastAsia" w:cs="宋体"/>
          <w:bCs/>
          <w:highlight w:val="none"/>
        </w:rPr>
        <w:t>（5）结构体系应进行初步的计算，保证结构方案是可行的。</w:t>
      </w:r>
    </w:p>
    <w:p w14:paraId="2C21F06D">
      <w:pPr>
        <w:ind w:firstLine="424" w:firstLineChars="177"/>
        <w:rPr>
          <w:rFonts w:hint="eastAsia" w:cs="宋体"/>
          <w:bCs/>
          <w:snapToGrid w:val="0"/>
          <w:kern w:val="0"/>
          <w:highlight w:val="none"/>
          <w:bdr w:val="single" w:color="auto" w:sz="4" w:space="0"/>
        </w:rPr>
      </w:pPr>
      <w:r>
        <w:rPr>
          <w:rFonts w:hint="eastAsia" w:cs="宋体"/>
          <w:bCs/>
          <w:highlight w:val="none"/>
        </w:rPr>
        <w:t>（6）设计人对各专业采用的新技术应作详细的介绍，以便进行评审和进行下一步的设计。</w:t>
      </w:r>
    </w:p>
    <w:p w14:paraId="2D1143DD">
      <w:pPr>
        <w:ind w:firstLine="424" w:firstLineChars="177"/>
        <w:rPr>
          <w:rFonts w:hint="eastAsia" w:cs="宋体"/>
          <w:b/>
          <w:bCs/>
          <w:highlight w:val="none"/>
        </w:rPr>
      </w:pPr>
      <w:r>
        <w:rPr>
          <w:rFonts w:hint="eastAsia" w:cs="宋体"/>
          <w:highlight w:val="none"/>
        </w:rPr>
        <w:t>×</w:t>
      </w:r>
      <w:r>
        <w:rPr>
          <w:rFonts w:hint="eastAsia" w:cs="宋体"/>
          <w:b/>
          <w:bCs/>
          <w:highlight w:val="none"/>
        </w:rPr>
        <w:t>2.初步设计阶段的要求</w:t>
      </w:r>
    </w:p>
    <w:p w14:paraId="0A654CF4">
      <w:pPr>
        <w:ind w:firstLine="424" w:firstLineChars="177"/>
        <w:rPr>
          <w:rFonts w:hint="eastAsia" w:cs="宋体"/>
          <w:bCs/>
          <w:highlight w:val="none"/>
        </w:rPr>
      </w:pPr>
      <w:r>
        <w:rPr>
          <w:rFonts w:hint="eastAsia" w:cs="宋体"/>
          <w:bCs/>
          <w:highlight w:val="none"/>
        </w:rPr>
        <w:t>（1）初步设计文件均以各工程子项为编制单位。</w:t>
      </w:r>
    </w:p>
    <w:p w14:paraId="6B45F40C">
      <w:pPr>
        <w:ind w:firstLine="424" w:firstLineChars="177"/>
        <w:rPr>
          <w:rFonts w:hint="eastAsia" w:cs="宋体"/>
          <w:bCs/>
          <w:highlight w:val="none"/>
        </w:rPr>
      </w:pPr>
      <w:r>
        <w:rPr>
          <w:rFonts w:hint="eastAsia" w:cs="宋体"/>
          <w:bCs/>
          <w:highlight w:val="none"/>
        </w:rPr>
        <w:t>（2）初步设计阶段须对结构体系、机电设备安装（包括主要设备选型）、室内装修方案、新技术及节能技术的应用进行两个以上方案的综合技术经济比较（其主要内容含于本专业初步设计说明书中），使设计具备先进性、可靠性和经济合理性，并满足以下要求：</w:t>
      </w:r>
    </w:p>
    <w:p w14:paraId="75B04E2B">
      <w:pPr>
        <w:numPr>
          <w:ilvl w:val="0"/>
          <w:numId w:val="7"/>
        </w:numPr>
        <w:ind w:firstLine="480"/>
        <w:rPr>
          <w:rFonts w:hint="eastAsia" w:cs="宋体"/>
          <w:bCs/>
          <w:highlight w:val="none"/>
        </w:rPr>
      </w:pPr>
      <w:r>
        <w:rPr>
          <w:rFonts w:hint="eastAsia" w:cs="宋体"/>
          <w:bCs/>
          <w:highlight w:val="none"/>
        </w:rPr>
        <w:t>应符合发包人批准的设计方案和实施性方案；</w:t>
      </w:r>
    </w:p>
    <w:p w14:paraId="07B3B159">
      <w:pPr>
        <w:numPr>
          <w:ilvl w:val="0"/>
          <w:numId w:val="7"/>
        </w:numPr>
        <w:ind w:firstLine="480"/>
        <w:rPr>
          <w:rFonts w:hint="eastAsia" w:cs="宋体"/>
          <w:bCs/>
          <w:highlight w:val="none"/>
        </w:rPr>
      </w:pPr>
      <w:r>
        <w:rPr>
          <w:rFonts w:hint="eastAsia" w:cs="宋体"/>
          <w:bCs/>
          <w:highlight w:val="none"/>
        </w:rPr>
        <w:t>能据此准备各主要设备、材料及饰面材料（送板）；</w:t>
      </w:r>
    </w:p>
    <w:p w14:paraId="13A76233">
      <w:pPr>
        <w:numPr>
          <w:ilvl w:val="0"/>
          <w:numId w:val="7"/>
        </w:numPr>
        <w:ind w:firstLine="480"/>
        <w:rPr>
          <w:rFonts w:hint="eastAsia" w:cs="宋体"/>
          <w:bCs/>
          <w:highlight w:val="none"/>
        </w:rPr>
      </w:pPr>
      <w:r>
        <w:rPr>
          <w:rFonts w:hint="eastAsia" w:cs="宋体"/>
          <w:bCs/>
          <w:highlight w:val="none"/>
        </w:rPr>
        <w:t>能据此编制初步设计概算；</w:t>
      </w:r>
    </w:p>
    <w:p w14:paraId="176F0137">
      <w:pPr>
        <w:numPr>
          <w:ilvl w:val="0"/>
          <w:numId w:val="7"/>
        </w:numPr>
        <w:ind w:firstLine="480"/>
        <w:rPr>
          <w:rFonts w:hint="eastAsia" w:cs="宋体"/>
          <w:bCs/>
          <w:highlight w:val="none"/>
        </w:rPr>
      </w:pPr>
      <w:r>
        <w:rPr>
          <w:rFonts w:hint="eastAsia" w:cs="宋体"/>
          <w:bCs/>
          <w:highlight w:val="none"/>
        </w:rPr>
        <w:t>能据此进行施工准备；</w:t>
      </w:r>
    </w:p>
    <w:p w14:paraId="188E67C9">
      <w:pPr>
        <w:numPr>
          <w:ilvl w:val="0"/>
          <w:numId w:val="7"/>
        </w:numPr>
        <w:ind w:firstLine="480"/>
        <w:rPr>
          <w:rFonts w:hint="eastAsia" w:cs="宋体"/>
          <w:bCs/>
          <w:highlight w:val="none"/>
        </w:rPr>
      </w:pPr>
      <w:r>
        <w:rPr>
          <w:rFonts w:hint="eastAsia" w:cs="宋体"/>
          <w:bCs/>
          <w:highlight w:val="none"/>
        </w:rPr>
        <w:t>要求各专业设计深度达到施工图设计深度（含园林、市政等）。</w:t>
      </w:r>
    </w:p>
    <w:p w14:paraId="2A304477">
      <w:pPr>
        <w:ind w:firstLine="424" w:firstLineChars="177"/>
        <w:rPr>
          <w:rFonts w:hint="eastAsia" w:cs="宋体"/>
          <w:bCs/>
          <w:highlight w:val="none"/>
        </w:rPr>
      </w:pPr>
      <w:r>
        <w:rPr>
          <w:rFonts w:hint="eastAsia" w:cs="宋体"/>
          <w:bCs/>
          <w:highlight w:val="none"/>
        </w:rPr>
        <w:t>（3）初步设计中的结构设计文件，应对结构的选型、布置、截面尺寸、材料用量等予以明确。</w:t>
      </w:r>
    </w:p>
    <w:p w14:paraId="18BF56C9">
      <w:pPr>
        <w:ind w:firstLine="424" w:firstLineChars="177"/>
        <w:rPr>
          <w:rFonts w:hint="eastAsia" w:cs="宋体"/>
          <w:bCs/>
          <w:highlight w:val="none"/>
        </w:rPr>
      </w:pPr>
      <w:r>
        <w:rPr>
          <w:rFonts w:hint="eastAsia" w:cs="宋体"/>
          <w:bCs/>
          <w:highlight w:val="none"/>
        </w:rPr>
        <w:t>（4）设计人须根据发包人的限额设计相关要求进行初步设计概算的编制，概算文件中的开项必须齐全完整，须满足工程投资控制的要求。设计人编制的初步设计概算须同时满足的发包人信息化管理的相关要求。</w:t>
      </w:r>
    </w:p>
    <w:p w14:paraId="7F71106B">
      <w:pPr>
        <w:ind w:firstLine="424" w:firstLineChars="177"/>
        <w:rPr>
          <w:rFonts w:hint="eastAsia" w:cs="宋体"/>
          <w:bCs/>
          <w:highlight w:val="none"/>
        </w:rPr>
      </w:pPr>
      <w:r>
        <w:rPr>
          <w:rFonts w:hint="eastAsia" w:cs="宋体"/>
          <w:bCs/>
          <w:highlight w:val="none"/>
        </w:rPr>
        <w:t>（5）设计人应重点对建筑单体室内外给水、给排水、电气、采暖通风、空调、动力等管线进行专业综合分析,协调并解决其中矛盾,成果包括室内外管线综合平衡图、场外管线综合总图和相关专业图纸及说明书。</w:t>
      </w:r>
    </w:p>
    <w:p w14:paraId="2F8FC9F0">
      <w:pPr>
        <w:ind w:firstLine="424" w:firstLineChars="177"/>
        <w:rPr>
          <w:rFonts w:hint="eastAsia" w:cs="宋体"/>
          <w:bCs/>
          <w:highlight w:val="none"/>
        </w:rPr>
      </w:pPr>
      <w:r>
        <w:rPr>
          <w:rFonts w:hint="eastAsia" w:cs="宋体"/>
          <w:bCs/>
          <w:highlight w:val="none"/>
        </w:rPr>
        <w:t>（6）设计人必须准确计算建筑单体的建筑面积，完善建设规模及经济指标说明。</w:t>
      </w:r>
    </w:p>
    <w:p w14:paraId="3A42D9C6">
      <w:pPr>
        <w:ind w:firstLine="424" w:firstLineChars="177"/>
        <w:rPr>
          <w:rFonts w:hint="eastAsia" w:cs="宋体"/>
          <w:b/>
          <w:bCs/>
          <w:highlight w:val="none"/>
        </w:rPr>
      </w:pPr>
      <w:r>
        <w:rPr>
          <w:rFonts w:hint="eastAsia" w:cs="宋体"/>
          <w:bCs/>
          <w:snapToGrid w:val="0"/>
          <w:kern w:val="0"/>
          <w:highlight w:val="none"/>
          <w:bdr w:val="single" w:color="auto" w:sz="4" w:space="0"/>
        </w:rPr>
        <w:t>√</w:t>
      </w:r>
      <w:r>
        <w:rPr>
          <w:rFonts w:hint="eastAsia" w:cs="宋体"/>
          <w:b/>
          <w:bCs/>
          <w:highlight w:val="none"/>
        </w:rPr>
        <w:t>3.施工图设计阶段的要求</w:t>
      </w:r>
    </w:p>
    <w:p w14:paraId="31A955C0">
      <w:pPr>
        <w:ind w:firstLine="424" w:firstLineChars="177"/>
        <w:rPr>
          <w:rFonts w:hint="eastAsia" w:cs="宋体"/>
          <w:bCs/>
          <w:highlight w:val="none"/>
        </w:rPr>
      </w:pPr>
      <w:r>
        <w:rPr>
          <w:rFonts w:hint="eastAsia" w:cs="宋体"/>
          <w:bCs/>
          <w:highlight w:val="none"/>
        </w:rPr>
        <w:t>（1）施工图设计文件均以各工程子项为编制单位。</w:t>
      </w:r>
    </w:p>
    <w:p w14:paraId="484B71E7">
      <w:pPr>
        <w:ind w:firstLine="424" w:firstLineChars="177"/>
        <w:rPr>
          <w:rFonts w:hint="eastAsia" w:cs="宋体"/>
          <w:bCs/>
          <w:highlight w:val="none"/>
        </w:rPr>
      </w:pPr>
      <w:r>
        <w:rPr>
          <w:rFonts w:hint="eastAsia" w:cs="宋体"/>
          <w:bCs/>
          <w:highlight w:val="none"/>
        </w:rPr>
        <w:t>（2）施工图设计文件的深度要满足以下要求：</w:t>
      </w:r>
    </w:p>
    <w:p w14:paraId="115D8BE1">
      <w:pPr>
        <w:numPr>
          <w:ilvl w:val="0"/>
          <w:numId w:val="8"/>
        </w:numPr>
        <w:ind w:firstLine="480"/>
        <w:rPr>
          <w:rFonts w:hint="eastAsia" w:cs="宋体"/>
          <w:bCs/>
          <w:highlight w:val="none"/>
        </w:rPr>
      </w:pPr>
      <w:r>
        <w:rPr>
          <w:rFonts w:hint="eastAsia" w:cs="宋体"/>
          <w:bCs/>
          <w:highlight w:val="none"/>
        </w:rPr>
        <w:t>应根据政府有关主管部门批准的初步设计进行编制；</w:t>
      </w:r>
    </w:p>
    <w:p w14:paraId="4CCBEBDD">
      <w:pPr>
        <w:numPr>
          <w:ilvl w:val="0"/>
          <w:numId w:val="8"/>
        </w:numPr>
        <w:ind w:firstLine="480"/>
        <w:rPr>
          <w:rFonts w:hint="eastAsia" w:cs="宋体"/>
          <w:bCs/>
          <w:highlight w:val="none"/>
        </w:rPr>
      </w:pPr>
      <w:r>
        <w:rPr>
          <w:rFonts w:hint="eastAsia" w:cs="宋体"/>
          <w:bCs/>
          <w:highlight w:val="none"/>
        </w:rPr>
        <w:t>满足建设部批准的《建筑工程设计文件编制深度规定》（2016版）施工图设计阶段的要求；</w:t>
      </w:r>
    </w:p>
    <w:p w14:paraId="46244ECF">
      <w:pPr>
        <w:numPr>
          <w:ilvl w:val="0"/>
          <w:numId w:val="8"/>
        </w:numPr>
        <w:ind w:firstLine="480"/>
        <w:jc w:val="left"/>
        <w:rPr>
          <w:rFonts w:hint="eastAsia" w:cs="宋体"/>
          <w:bCs/>
          <w:highlight w:val="none"/>
        </w:rPr>
      </w:pPr>
      <w:r>
        <w:rPr>
          <w:rFonts w:hint="eastAsia" w:cs="宋体"/>
          <w:bCs/>
          <w:highlight w:val="none"/>
        </w:rPr>
        <w:t>供水和供气设计图纸需经供水和供气主管部门审核通过以及发包人同意。</w:t>
      </w:r>
    </w:p>
    <w:p w14:paraId="79F026A6">
      <w:pPr>
        <w:ind w:firstLine="482"/>
        <w:rPr>
          <w:rFonts w:hint="eastAsia" w:cs="宋体"/>
          <w:b/>
          <w:bCs/>
          <w:highlight w:val="none"/>
        </w:rPr>
      </w:pPr>
      <w:r>
        <w:rPr>
          <w:rFonts w:hint="eastAsia" w:cs="宋体"/>
          <w:b/>
          <w:bCs/>
          <w:highlight w:val="none"/>
        </w:rPr>
        <w:t>3.3BIM技术应用设计要求</w:t>
      </w:r>
    </w:p>
    <w:p w14:paraId="0D07AB23">
      <w:pPr>
        <w:numPr>
          <w:ilvl w:val="0"/>
          <w:numId w:val="9"/>
        </w:numPr>
        <w:ind w:firstLine="424" w:firstLineChars="177"/>
        <w:rPr>
          <w:rFonts w:hint="eastAsia" w:cs="宋体"/>
          <w:highlight w:val="none"/>
        </w:rPr>
      </w:pPr>
      <w:r>
        <w:rPr>
          <w:rFonts w:hint="eastAsia" w:cs="宋体"/>
          <w:highlight w:val="none"/>
        </w:rPr>
        <w:t>采用BIM正向设计，与前期设计单位的工作街接，按要求提供施工图阶段BIM设计模型并通过审查（住建部门三维数字化审查），要求满足《广东省建筑信息模型应用统一标准》（DBJ／T15-142-2018）规定的深度要求及符合地方性相关文件规定、发包人的工作要求。</w:t>
      </w:r>
    </w:p>
    <w:p w14:paraId="7A3D28DD">
      <w:pPr>
        <w:numPr>
          <w:ilvl w:val="0"/>
          <w:numId w:val="9"/>
        </w:numPr>
        <w:ind w:firstLine="424" w:firstLineChars="177"/>
        <w:rPr>
          <w:rFonts w:hint="eastAsia" w:cs="宋体"/>
          <w:highlight w:val="none"/>
        </w:rPr>
      </w:pPr>
      <w:r>
        <w:rPr>
          <w:rFonts w:hint="eastAsia" w:cs="宋体"/>
          <w:highlight w:val="none"/>
        </w:rPr>
        <w:t>符合国家、地方及行业现行设计施工规范、规程、质量验收标准及工程建设标准等强制性条文。</w:t>
      </w:r>
    </w:p>
    <w:p w14:paraId="1755AD9C">
      <w:pPr>
        <w:ind w:firstLine="424" w:firstLineChars="177"/>
        <w:rPr>
          <w:rFonts w:hint="eastAsia" w:cs="宋体"/>
          <w:highlight w:val="none"/>
        </w:rPr>
      </w:pPr>
      <w:r>
        <w:rPr>
          <w:rFonts w:hint="eastAsia" w:cs="宋体"/>
          <w:highlight w:val="none"/>
        </w:rPr>
        <w:t>×（3）施工阶段的所有BIM模型应满足施工需要的精度要求。</w:t>
      </w:r>
    </w:p>
    <w:p w14:paraId="4CF1EEF2">
      <w:pPr>
        <w:ind w:firstLine="424" w:firstLineChars="177"/>
        <w:rPr>
          <w:rFonts w:hint="eastAsia" w:cs="宋体"/>
          <w:highlight w:val="none"/>
        </w:rPr>
      </w:pPr>
      <w:r>
        <w:rPr>
          <w:rFonts w:hint="eastAsia" w:cs="宋体"/>
          <w:highlight w:val="none"/>
        </w:rPr>
        <w:t>（4）配合发包人完成BIM相关的其他工作。</w:t>
      </w:r>
    </w:p>
    <w:p w14:paraId="7868995F">
      <w:pPr>
        <w:ind w:firstLine="482"/>
        <w:rPr>
          <w:rFonts w:hint="eastAsia" w:cs="宋体"/>
          <w:b/>
          <w:bCs/>
          <w:highlight w:val="none"/>
        </w:rPr>
      </w:pPr>
      <w:r>
        <w:rPr>
          <w:rFonts w:hint="eastAsia" w:cs="宋体"/>
          <w:b/>
          <w:bCs/>
          <w:highlight w:val="none"/>
        </w:rPr>
        <w:t>3.4装配式建筑设计要求</w:t>
      </w:r>
    </w:p>
    <w:p w14:paraId="5FD0BB16">
      <w:pPr>
        <w:ind w:firstLine="480"/>
        <w:rPr>
          <w:rFonts w:hint="eastAsia" w:cs="宋体"/>
          <w:highlight w:val="none"/>
        </w:rPr>
      </w:pPr>
      <w:r>
        <w:rPr>
          <w:rFonts w:hint="eastAsia" w:cs="宋体"/>
          <w:highlight w:val="none"/>
        </w:rPr>
        <w:t>按照国家、广东省及广州市有关装配式技术标准与规范进行设计。</w:t>
      </w:r>
    </w:p>
    <w:p w14:paraId="65A61248">
      <w:pPr>
        <w:keepNext/>
        <w:keepLines/>
        <w:tabs>
          <w:tab w:val="left" w:pos="576"/>
        </w:tabs>
        <w:spacing w:before="240" w:beforeLines="100" w:after="240" w:afterLines="100"/>
        <w:ind w:firstLine="480"/>
        <w:contextualSpacing/>
        <w:jc w:val="left"/>
        <w:rPr>
          <w:rFonts w:hint="eastAsia" w:cs="宋体"/>
          <w:b/>
          <w:bCs/>
          <w:kern w:val="0"/>
          <w:highlight w:val="none"/>
        </w:rPr>
      </w:pPr>
      <w:r>
        <w:rPr>
          <w:rFonts w:hint="eastAsia" w:cs="宋体"/>
          <w:highlight w:val="none"/>
        </w:rPr>
        <w:t>×</w:t>
      </w:r>
      <w:r>
        <w:rPr>
          <w:rFonts w:hint="eastAsia" w:cs="宋体"/>
          <w:b/>
          <w:bCs/>
          <w:kern w:val="0"/>
          <w:highlight w:val="none"/>
        </w:rPr>
        <w:t>3.5初步设计文件的概算编制要求</w:t>
      </w:r>
    </w:p>
    <w:p w14:paraId="2F184573">
      <w:pPr>
        <w:ind w:firstLine="424" w:firstLineChars="177"/>
        <w:rPr>
          <w:rFonts w:hint="eastAsia" w:cs="宋体"/>
          <w:highlight w:val="none"/>
        </w:rPr>
      </w:pPr>
      <w:r>
        <w:rPr>
          <w:rFonts w:hint="eastAsia" w:cs="宋体"/>
          <w:highlight w:val="none"/>
        </w:rPr>
        <w:t>设计人应严格按照国家、省、市有关</w:t>
      </w:r>
      <w:r>
        <w:rPr>
          <w:rFonts w:hint="eastAsia" w:cs="宋体"/>
          <w:highlight w:val="none"/>
          <w:lang w:val="zh-CN"/>
        </w:rPr>
        <w:t>财政、基建、</w:t>
      </w:r>
      <w:r>
        <w:rPr>
          <w:rFonts w:hint="eastAsia" w:cs="宋体"/>
          <w:highlight w:val="none"/>
        </w:rPr>
        <w:t>工程造价方面的法律、法规，以及发包人工程造价管理业务制度要求，本着有依有据、合法合规的原则，科学、客观、公正地编制项目概算，满足发包人投资、审核要求。</w:t>
      </w:r>
    </w:p>
    <w:p w14:paraId="512D18D4">
      <w:pPr>
        <w:ind w:firstLine="424" w:firstLineChars="177"/>
        <w:rPr>
          <w:rFonts w:hint="eastAsia" w:cs="宋体"/>
          <w:highlight w:val="none"/>
        </w:rPr>
      </w:pPr>
      <w:r>
        <w:rPr>
          <w:rFonts w:hint="eastAsia" w:cs="宋体"/>
          <w:highlight w:val="none"/>
        </w:rPr>
        <w:t>设计人应当按照住房设计规范和标准进行设计，不得擅自调整建设标准和内容，除下列四种情况外，如本项目出现超概算情况，按合同约定处罚，如发现有设计缺陷或其他设计问题的，发包人保留进一步追索权利。</w:t>
      </w:r>
    </w:p>
    <w:p w14:paraId="4A1E64DE">
      <w:pPr>
        <w:ind w:firstLine="424" w:firstLineChars="177"/>
        <w:rPr>
          <w:rFonts w:hint="eastAsia" w:cs="宋体"/>
          <w:highlight w:val="none"/>
        </w:rPr>
      </w:pPr>
      <w:r>
        <w:rPr>
          <w:rFonts w:hint="eastAsia" w:cs="宋体"/>
          <w:highlight w:val="none"/>
        </w:rPr>
        <w:t>（1）因自然灾害等不可抗力造成项目建设条件发生重大变化的；</w:t>
      </w:r>
    </w:p>
    <w:p w14:paraId="0B10690D">
      <w:pPr>
        <w:ind w:firstLine="424" w:firstLineChars="177"/>
        <w:rPr>
          <w:rFonts w:hint="eastAsia" w:cs="宋体"/>
          <w:highlight w:val="none"/>
        </w:rPr>
      </w:pPr>
      <w:r>
        <w:rPr>
          <w:rFonts w:hint="eastAsia" w:cs="宋体"/>
          <w:highlight w:val="none"/>
        </w:rPr>
        <w:t>（2）因资源、水文地质、工程地质、考古及调查、等情况有重大变化，需要调整建设方案，造成投资较大变化的；</w:t>
      </w:r>
    </w:p>
    <w:p w14:paraId="0F9AC761">
      <w:pPr>
        <w:ind w:firstLine="424" w:firstLineChars="177"/>
        <w:rPr>
          <w:rFonts w:hint="eastAsia" w:cs="宋体"/>
          <w:highlight w:val="none"/>
        </w:rPr>
      </w:pPr>
      <w:r>
        <w:rPr>
          <w:rFonts w:hint="eastAsia" w:cs="宋体"/>
          <w:highlight w:val="none"/>
        </w:rPr>
        <w:t>（3）因国家和省、市重大政策变化或者材料价格波动超过行政主管部门规定的风险包干幅度，对项目造价影响较大的；</w:t>
      </w:r>
    </w:p>
    <w:p w14:paraId="3FDF9BCC">
      <w:pPr>
        <w:ind w:firstLine="424" w:firstLineChars="177"/>
        <w:rPr>
          <w:rFonts w:hint="eastAsia" w:cs="宋体"/>
          <w:highlight w:val="none"/>
        </w:rPr>
      </w:pPr>
      <w:r>
        <w:rPr>
          <w:rFonts w:hint="eastAsia" w:cs="宋体"/>
          <w:highlight w:val="none"/>
        </w:rPr>
        <w:t>（4）其他经市委、市政府批准调整的。</w:t>
      </w:r>
    </w:p>
    <w:p w14:paraId="0068A67F">
      <w:pPr>
        <w:keepNext/>
        <w:keepLines/>
        <w:tabs>
          <w:tab w:val="left" w:pos="576"/>
        </w:tabs>
        <w:spacing w:before="240" w:beforeLines="100" w:after="240" w:afterLines="100"/>
        <w:ind w:firstLine="482"/>
        <w:contextualSpacing/>
        <w:jc w:val="left"/>
        <w:rPr>
          <w:rFonts w:hint="eastAsia" w:cs="宋体"/>
          <w:b/>
          <w:bCs/>
          <w:kern w:val="0"/>
          <w:highlight w:val="none"/>
        </w:rPr>
      </w:pPr>
      <w:r>
        <w:rPr>
          <w:rFonts w:hint="eastAsia" w:cs="宋体"/>
          <w:b/>
          <w:bCs/>
          <w:kern w:val="0"/>
          <w:highlight w:val="none"/>
        </w:rPr>
        <w:t>3.6其它要求</w:t>
      </w:r>
    </w:p>
    <w:p w14:paraId="49C81141">
      <w:pPr>
        <w:ind w:firstLine="482"/>
        <w:rPr>
          <w:rFonts w:hint="eastAsia" w:cs="宋体"/>
          <w:b/>
          <w:highlight w:val="none"/>
        </w:rPr>
      </w:pPr>
      <w:r>
        <w:rPr>
          <w:rFonts w:hint="eastAsia" w:cs="宋体"/>
          <w:b/>
          <w:highlight w:val="none"/>
        </w:rPr>
        <w:t>3.6.1材料、设备选型的设计配合</w:t>
      </w:r>
    </w:p>
    <w:p w14:paraId="1B4AD085">
      <w:pPr>
        <w:ind w:firstLine="424" w:firstLineChars="177"/>
        <w:rPr>
          <w:rFonts w:hint="eastAsia" w:cs="宋体"/>
          <w:bCs/>
          <w:highlight w:val="none"/>
        </w:rPr>
      </w:pPr>
      <w:r>
        <w:rPr>
          <w:rFonts w:hint="eastAsia" w:cs="宋体"/>
          <w:bCs/>
          <w:highlight w:val="none"/>
        </w:rPr>
        <w:t>（1）设计成果文件中选用的建筑材料、建筑构配件和设备，其质量标准必须符合国家规范、标准要求。</w:t>
      </w:r>
    </w:p>
    <w:p w14:paraId="202E4161">
      <w:pPr>
        <w:ind w:firstLine="424" w:firstLineChars="177"/>
        <w:rPr>
          <w:rFonts w:hint="eastAsia" w:cs="宋体"/>
          <w:bCs/>
          <w:highlight w:val="none"/>
        </w:rPr>
      </w:pPr>
      <w:r>
        <w:rPr>
          <w:rFonts w:hint="eastAsia" w:cs="宋体"/>
          <w:bCs/>
          <w:highlight w:val="none"/>
        </w:rPr>
        <w:t>（2）设计人应负责编制设备、材料采购的技术文件，内容包括设备、材料采购清单、技术规格书、必要的附图、技术参数表、采购说明和采购时间表等，并包含施工要求、安装说明，并对国内规范以外设计文件所涉及的内容提出验收标准。</w:t>
      </w:r>
    </w:p>
    <w:p w14:paraId="298EEF85">
      <w:pPr>
        <w:ind w:firstLine="424" w:firstLineChars="177"/>
        <w:rPr>
          <w:rFonts w:hint="eastAsia" w:cs="宋体"/>
          <w:bCs/>
          <w:highlight w:val="none"/>
        </w:rPr>
      </w:pPr>
      <w:r>
        <w:rPr>
          <w:rFonts w:hint="eastAsia" w:cs="宋体"/>
          <w:bCs/>
          <w:highlight w:val="none"/>
        </w:rPr>
        <w:t>（3）设计文件对于工艺、技术、材料、设备的选用应该满足施工工期的要求，充分考虑设计的可实施性，重视和吸收施工单位对施工安装提出的意见，并充分考虑国内承建商的施工能力。</w:t>
      </w:r>
    </w:p>
    <w:p w14:paraId="6B878D84">
      <w:pPr>
        <w:ind w:firstLine="424" w:firstLineChars="177"/>
        <w:rPr>
          <w:rFonts w:hint="eastAsia" w:cs="宋体"/>
          <w:bCs/>
          <w:highlight w:val="none"/>
        </w:rPr>
      </w:pPr>
      <w:r>
        <w:rPr>
          <w:rFonts w:hint="eastAsia" w:cs="宋体"/>
          <w:bCs/>
          <w:highlight w:val="none"/>
        </w:rPr>
        <w:t>（4）设计所选用的建筑材料及设备（包括各专业采用的材料、设备），应提交进行性能价格的分析比较报告，不应选用不节能或已淘汰的产品；设备的选用必须考虑相关的系统配套，原则上应优先采用国内产品。国内没有的建筑材料和设备或国内材料和设备性能无法达到设计要求或其价格高于进口价格时，才采用进口材料和设备。设计中采用的材料和设备均须按中国、广东省、广州市有关法律、行政法规和规章的要求，提供明确的技术资料（包括性能指标、规格、型号等方面的资料）。</w:t>
      </w:r>
    </w:p>
    <w:p w14:paraId="4A4CF6BD">
      <w:pPr>
        <w:ind w:firstLine="424" w:firstLineChars="177"/>
        <w:rPr>
          <w:rFonts w:hint="eastAsia" w:cs="宋体"/>
          <w:bCs/>
          <w:highlight w:val="none"/>
        </w:rPr>
      </w:pPr>
      <w:r>
        <w:rPr>
          <w:rFonts w:hint="eastAsia" w:cs="宋体"/>
          <w:bCs/>
          <w:highlight w:val="none"/>
        </w:rPr>
        <w:t>（5）设计人应及时提供工程的各主要建筑材料和设备的生产厂商及价格等资料，供发包人选择时参考。</w:t>
      </w:r>
    </w:p>
    <w:p w14:paraId="05A29F2F">
      <w:pPr>
        <w:ind w:firstLine="424" w:firstLineChars="177"/>
        <w:rPr>
          <w:rFonts w:hint="eastAsia" w:cs="宋体"/>
          <w:bCs/>
          <w:highlight w:val="none"/>
        </w:rPr>
      </w:pPr>
      <w:r>
        <w:rPr>
          <w:rFonts w:hint="eastAsia" w:cs="宋体"/>
          <w:bCs/>
          <w:highlight w:val="none"/>
        </w:rPr>
        <w:t>（6）设计人的设计文件中对于本设计项目中的设备材料的技术要求进行描述时不得带有倾向性、排它性、指向某一特定厂商品牌或指向某一具有独一性的材料设备。如根据项目的定位、功能等的要求必须选用某种品牌或某一具有独一性的材料、设备时，设计人应事前书面详细报告发包人并获得发包人批准。</w:t>
      </w:r>
    </w:p>
    <w:p w14:paraId="4AC17E7A">
      <w:pPr>
        <w:ind w:firstLine="424" w:firstLineChars="177"/>
        <w:rPr>
          <w:rFonts w:hint="eastAsia" w:cs="宋体"/>
          <w:bCs/>
          <w:highlight w:val="none"/>
        </w:rPr>
      </w:pPr>
      <w:r>
        <w:rPr>
          <w:rFonts w:hint="eastAsia" w:cs="宋体"/>
          <w:bCs/>
          <w:highlight w:val="none"/>
        </w:rPr>
        <w:t>（7）对于由发包人拟定的候选建筑材料和设备，在厂商提供符合设计要求的技术资料后，设计人须协助发包人鉴别其优劣并提供相关咨询意见。</w:t>
      </w:r>
    </w:p>
    <w:p w14:paraId="7C1DF532">
      <w:pPr>
        <w:ind w:firstLine="424" w:firstLineChars="177"/>
        <w:rPr>
          <w:rFonts w:hint="eastAsia" w:cs="宋体"/>
          <w:bCs/>
          <w:highlight w:val="none"/>
        </w:rPr>
      </w:pPr>
      <w:r>
        <w:rPr>
          <w:rFonts w:hint="eastAsia" w:cs="宋体"/>
          <w:bCs/>
          <w:highlight w:val="none"/>
        </w:rPr>
        <w:t>（8）由于本项目设计中采用新工艺而导致需要采用的新材料、新设备的，设计人原则上须在项目档次定位的基础上向发包人推荐三家以上可供货的国内或国外厂商名称、以往业绩、产品质量标准、价格资料及样板等，所推荐的三家单位的材料、设备应该在价格水平上处于同一档次。</w:t>
      </w:r>
    </w:p>
    <w:p w14:paraId="24546811">
      <w:pPr>
        <w:ind w:firstLine="424" w:firstLineChars="177"/>
        <w:rPr>
          <w:rFonts w:hint="eastAsia" w:cs="宋体"/>
          <w:bCs/>
          <w:highlight w:val="none"/>
        </w:rPr>
      </w:pPr>
      <w:r>
        <w:rPr>
          <w:rFonts w:hint="eastAsia" w:cs="宋体"/>
          <w:bCs/>
          <w:highlight w:val="none"/>
        </w:rPr>
        <w:t>（9）设计人应对本设计项目中可能采用的特殊设备和材料进行分析，若在设计过程中需要预先选定相关的材料、设备供应商，以便为设计过程提供必要的技术支持，设计人应提前向发包人提出选定材料设备供应商的建议（包括国产和国外进口的）。</w:t>
      </w:r>
    </w:p>
    <w:p w14:paraId="5529130A">
      <w:pPr>
        <w:ind w:firstLine="424" w:firstLineChars="177"/>
        <w:rPr>
          <w:rFonts w:hint="eastAsia" w:cs="宋体"/>
          <w:bCs/>
          <w:highlight w:val="none"/>
        </w:rPr>
      </w:pPr>
      <w:r>
        <w:rPr>
          <w:rFonts w:hint="eastAsia" w:cs="宋体"/>
          <w:bCs/>
          <w:highlight w:val="none"/>
        </w:rPr>
        <w:t>（10）设计人应详细了解市场上本合同工程的主要材料和设备生产商的供货能力和供货周期（包括生产时间和运输时间），并据此向发包人提出各种主要材料和设备（包括国产和国外进口的）的提前订货时间的建议。</w:t>
      </w:r>
    </w:p>
    <w:p w14:paraId="23CC4FAF">
      <w:pPr>
        <w:ind w:firstLine="482"/>
        <w:rPr>
          <w:rFonts w:hint="eastAsia" w:cs="宋体"/>
          <w:b/>
          <w:highlight w:val="none"/>
        </w:rPr>
      </w:pPr>
      <w:r>
        <w:rPr>
          <w:rFonts w:hint="eastAsia" w:cs="宋体"/>
          <w:b/>
          <w:highlight w:val="none"/>
        </w:rPr>
        <w:t>3.6.2设计服务</w:t>
      </w:r>
    </w:p>
    <w:p w14:paraId="7019B960">
      <w:pPr>
        <w:ind w:firstLine="424" w:firstLineChars="177"/>
        <w:rPr>
          <w:rFonts w:hint="eastAsia" w:cs="宋体"/>
          <w:bCs/>
          <w:highlight w:val="none"/>
        </w:rPr>
      </w:pPr>
      <w:r>
        <w:rPr>
          <w:rFonts w:hint="eastAsia" w:cs="宋体"/>
          <w:bCs/>
          <w:highlight w:val="none"/>
        </w:rPr>
        <w:t>设计人的服务应符合国际通用的ISO9000质量管理体系对于工程设计所规定的标准及质量要求。设计人应及时地提供服务，满足发包人要求。</w:t>
      </w:r>
    </w:p>
    <w:p w14:paraId="25E978AF">
      <w:pPr>
        <w:ind w:firstLine="424" w:firstLineChars="177"/>
        <w:rPr>
          <w:rFonts w:hint="eastAsia" w:cs="宋体"/>
          <w:bCs/>
          <w:highlight w:val="none"/>
        </w:rPr>
      </w:pPr>
      <w:r>
        <w:rPr>
          <w:rFonts w:hint="eastAsia" w:cs="宋体"/>
          <w:bCs/>
          <w:highlight w:val="none"/>
        </w:rPr>
        <w:t>（1）报审报建服务</w:t>
      </w:r>
    </w:p>
    <w:p w14:paraId="08C79F21">
      <w:pPr>
        <w:ind w:firstLine="480"/>
        <w:rPr>
          <w:rFonts w:hint="eastAsia" w:cs="宋体"/>
          <w:bCs/>
          <w:highlight w:val="none"/>
        </w:rPr>
      </w:pPr>
      <w:r>
        <w:rPr>
          <w:rFonts w:hint="eastAsia" w:cs="宋体"/>
          <w:bCs/>
          <w:highlight w:val="none"/>
        </w:rPr>
        <w:t>1）设计人应在设计过程各阶段按照本项目报审报建的要求，提交所有必需的文件、图纸及其相应的电子文件（刻制成光盘），并办理报审报建工作，直至完成所有审批手续。</w:t>
      </w:r>
    </w:p>
    <w:p w14:paraId="6D306863">
      <w:pPr>
        <w:ind w:firstLine="480"/>
        <w:rPr>
          <w:rFonts w:hint="eastAsia" w:cs="宋体"/>
          <w:bCs/>
          <w:highlight w:val="none"/>
        </w:rPr>
      </w:pPr>
      <w:r>
        <w:rPr>
          <w:rFonts w:hint="eastAsia" w:cs="宋体"/>
          <w:bCs/>
          <w:highlight w:val="none"/>
        </w:rPr>
        <w:t>2）设计人应提交报审报建资料要求：提交的文件、图纸及其相应的电子文件按照相关报审报建职能部门或主管部门的提交要求和份数要求。</w:t>
      </w:r>
    </w:p>
    <w:p w14:paraId="75218F07">
      <w:pPr>
        <w:ind w:firstLine="424" w:firstLineChars="177"/>
        <w:rPr>
          <w:rFonts w:hint="eastAsia" w:cs="宋体"/>
          <w:bCs/>
          <w:highlight w:val="none"/>
        </w:rPr>
      </w:pPr>
      <w:r>
        <w:rPr>
          <w:rFonts w:hint="eastAsia" w:cs="宋体"/>
          <w:bCs/>
          <w:highlight w:val="none"/>
        </w:rPr>
        <w:t>（2）招标配合服务</w:t>
      </w:r>
    </w:p>
    <w:p w14:paraId="2379037E">
      <w:pPr>
        <w:ind w:firstLine="424" w:firstLineChars="177"/>
        <w:rPr>
          <w:rFonts w:hint="eastAsia" w:cs="宋体"/>
          <w:bCs/>
          <w:highlight w:val="none"/>
        </w:rPr>
      </w:pPr>
      <w:r>
        <w:rPr>
          <w:rFonts w:hint="eastAsia" w:cs="宋体"/>
          <w:bCs/>
          <w:highlight w:val="none"/>
        </w:rPr>
        <w:t>1）设计人应在发包人进行的工程施工招标、设备材料采购招标过程中提供技术指导，配合发包人编制用户需求书，制定技术文件（包括主要材料设备清单、技术规格书等），根据发包人的要求参加招投标答疑会，审核答疑文件，审核及签署设备、材料供货合同技术附件，并根据发包人的要求配合发包人进行合同技术条款的谈判工作。</w:t>
      </w:r>
    </w:p>
    <w:p w14:paraId="7487CDAA">
      <w:pPr>
        <w:ind w:firstLine="424" w:firstLineChars="177"/>
        <w:rPr>
          <w:rFonts w:hint="eastAsia" w:cs="宋体"/>
          <w:bCs/>
          <w:highlight w:val="none"/>
        </w:rPr>
      </w:pPr>
      <w:r>
        <w:rPr>
          <w:rFonts w:hint="eastAsia" w:cs="宋体"/>
          <w:bCs/>
          <w:highlight w:val="none"/>
        </w:rPr>
        <w:t>2）对于发包人召开的招标相关会议（如招投标答疑会、预算会议等）设计人应根据发包人的要求派出相关专业人员参与，并积极配合发包人投标答疑文件、招标澄清文件等的编制工作。</w:t>
      </w:r>
    </w:p>
    <w:p w14:paraId="18E9EB3F">
      <w:pPr>
        <w:ind w:firstLine="424" w:firstLineChars="177"/>
        <w:rPr>
          <w:rFonts w:hint="eastAsia" w:cs="宋体"/>
          <w:bCs/>
          <w:highlight w:val="none"/>
        </w:rPr>
      </w:pPr>
      <w:r>
        <w:rPr>
          <w:rFonts w:hint="eastAsia" w:cs="宋体"/>
          <w:bCs/>
          <w:highlight w:val="none"/>
        </w:rPr>
        <w:t>3）设计人根据发包人要求（包括时间要求、深度要求等）提供本合同工程进行招标所需的设计成果文件。</w:t>
      </w:r>
    </w:p>
    <w:p w14:paraId="60F2865C">
      <w:pPr>
        <w:ind w:firstLine="424" w:firstLineChars="177"/>
        <w:rPr>
          <w:rFonts w:hint="eastAsia" w:cs="宋体"/>
          <w:bCs/>
          <w:highlight w:val="none"/>
        </w:rPr>
      </w:pPr>
      <w:r>
        <w:rPr>
          <w:rFonts w:hint="eastAsia" w:cs="宋体"/>
          <w:bCs/>
          <w:highlight w:val="none"/>
        </w:rPr>
        <w:t>4）设计人应负责协调各专业设计人编写工程施工、材料设备等招标文件中的技术和质量标准。</w:t>
      </w:r>
    </w:p>
    <w:p w14:paraId="53195348">
      <w:pPr>
        <w:ind w:firstLine="424" w:firstLineChars="177"/>
        <w:rPr>
          <w:rFonts w:hint="eastAsia" w:cs="宋体"/>
          <w:bCs/>
          <w:highlight w:val="none"/>
        </w:rPr>
      </w:pPr>
      <w:r>
        <w:rPr>
          <w:rFonts w:hint="eastAsia" w:cs="宋体"/>
          <w:bCs/>
          <w:highlight w:val="none"/>
        </w:rPr>
        <w:t>（3）施工阶段的驻场设计及现场服务</w:t>
      </w:r>
    </w:p>
    <w:p w14:paraId="0D9CE586">
      <w:pPr>
        <w:ind w:firstLine="424" w:firstLineChars="177"/>
        <w:rPr>
          <w:rFonts w:hint="eastAsia" w:cs="宋体"/>
          <w:bCs/>
          <w:highlight w:val="none"/>
        </w:rPr>
      </w:pPr>
      <w:r>
        <w:rPr>
          <w:rFonts w:hint="eastAsia" w:cs="宋体"/>
          <w:bCs/>
          <w:highlight w:val="none"/>
        </w:rPr>
        <w:t>1）为便于发包人与设计人及时沟通及协调，以保证设计人的设计成果文件能更好地体现发包人的建设意图，设计人应按合同约定派出驻场设计代表常驻施工现场办公直到工程竣工验收，主要负责现场设计联络工作。</w:t>
      </w:r>
    </w:p>
    <w:p w14:paraId="571DFC87">
      <w:pPr>
        <w:ind w:firstLine="424" w:firstLineChars="177"/>
        <w:rPr>
          <w:rFonts w:hint="eastAsia" w:cs="宋体"/>
          <w:bCs/>
          <w:highlight w:val="none"/>
        </w:rPr>
      </w:pPr>
      <w:r>
        <w:rPr>
          <w:rFonts w:hint="eastAsia" w:cs="宋体"/>
          <w:bCs/>
          <w:highlight w:val="none"/>
        </w:rPr>
        <w:t>2）根据工程进展情况和需要，对一些特殊工程，设计人应向发包人提供施工组织设计的书面建议，配合编写工程施工技术标准（施工作业指导书），对设计各部分所应满足的规范、标准进行总说明，对各条文进行摘录汇编。对超规范（标准）之处，应初拟技术标准，以供专家论证后执行。</w:t>
      </w:r>
    </w:p>
    <w:p w14:paraId="346D9F62">
      <w:pPr>
        <w:ind w:firstLine="424" w:firstLineChars="177"/>
        <w:rPr>
          <w:rFonts w:hint="eastAsia" w:cs="宋体"/>
          <w:bCs/>
          <w:highlight w:val="none"/>
        </w:rPr>
      </w:pPr>
      <w:r>
        <w:rPr>
          <w:rFonts w:hint="eastAsia" w:cs="宋体"/>
          <w:bCs/>
          <w:highlight w:val="none"/>
        </w:rPr>
        <w:t>3）参加各类隐蔽工程验收和工程竣工验收，并根据有关规定出具隐蔽工程验收和工程竣工验收意见。</w:t>
      </w:r>
    </w:p>
    <w:p w14:paraId="6C88525C">
      <w:pPr>
        <w:ind w:firstLine="424" w:firstLineChars="177"/>
        <w:rPr>
          <w:rFonts w:hint="eastAsia" w:cs="宋体"/>
          <w:bCs/>
          <w:highlight w:val="none"/>
        </w:rPr>
      </w:pPr>
      <w:r>
        <w:rPr>
          <w:rFonts w:hint="eastAsia" w:cs="宋体"/>
          <w:bCs/>
          <w:highlight w:val="none"/>
        </w:rPr>
        <w:t>（4）工程结算配合服务</w:t>
      </w:r>
    </w:p>
    <w:p w14:paraId="44CC7282">
      <w:pPr>
        <w:ind w:firstLine="424" w:firstLineChars="177"/>
        <w:rPr>
          <w:rFonts w:hint="eastAsia" w:cs="宋体"/>
          <w:bCs/>
          <w:highlight w:val="none"/>
        </w:rPr>
      </w:pPr>
      <w:r>
        <w:rPr>
          <w:rFonts w:hint="eastAsia" w:cs="宋体"/>
          <w:bCs/>
          <w:highlight w:val="none"/>
        </w:rPr>
        <w:t>1）设计人应根据发包人指令提交本合同工程的结算配合服务工作计划，根据经批准的工作计划积极参与并配合发包人或发包人委托的第三方组织的本合同工程设计人设计范围内的工程结算工作，及时提交设计变更确认资料，确保其有效性、准确性及时性，以保证工程结算工作的顺利推进。</w:t>
      </w:r>
    </w:p>
    <w:p w14:paraId="7251AC08">
      <w:pPr>
        <w:ind w:firstLine="424" w:firstLineChars="177"/>
        <w:rPr>
          <w:rFonts w:hint="eastAsia" w:cs="宋体"/>
          <w:bCs/>
          <w:highlight w:val="none"/>
        </w:rPr>
      </w:pPr>
      <w:r>
        <w:rPr>
          <w:rFonts w:hint="eastAsia" w:cs="宋体"/>
          <w:bCs/>
          <w:highlight w:val="none"/>
        </w:rPr>
        <w:t>2）设计人应根据发包人的要求提供结算工作所涉及的设计变更的相关设计文件（如设计变更预估算书等）。</w:t>
      </w:r>
    </w:p>
    <w:p w14:paraId="4241A1B2">
      <w:pPr>
        <w:ind w:firstLine="424" w:firstLineChars="177"/>
        <w:rPr>
          <w:rFonts w:hint="eastAsia" w:cs="宋体"/>
          <w:bCs/>
          <w:highlight w:val="none"/>
        </w:rPr>
      </w:pPr>
      <w:r>
        <w:rPr>
          <w:rFonts w:hint="eastAsia" w:cs="宋体"/>
          <w:bCs/>
          <w:highlight w:val="none"/>
        </w:rPr>
        <w:t>3）设计人应根据发包人要求在工程结算过程中提供相关的技术支持。</w:t>
      </w:r>
    </w:p>
    <w:p w14:paraId="6AE50DFE">
      <w:pPr>
        <w:ind w:firstLine="424" w:firstLineChars="177"/>
        <w:rPr>
          <w:rFonts w:hint="eastAsia" w:cs="宋体"/>
          <w:bCs/>
          <w:highlight w:val="none"/>
        </w:rPr>
      </w:pPr>
      <w:r>
        <w:rPr>
          <w:rFonts w:hint="eastAsia" w:cs="宋体"/>
          <w:bCs/>
          <w:highlight w:val="none"/>
        </w:rPr>
        <w:t>4）为确保本合同工程结算的顺利进行，发包人可能对本合同工程按分部分项或单位工程进行分段结算，设计人在接到发包人关于分段结算配合工作的指令后7天内向发包人提交相关的分段结算配合服务工作计划。</w:t>
      </w:r>
    </w:p>
    <w:p w14:paraId="7056AB6D">
      <w:pPr>
        <w:ind w:firstLine="424" w:firstLineChars="177"/>
        <w:rPr>
          <w:rFonts w:hint="eastAsia" w:cs="宋体"/>
          <w:bCs/>
          <w:highlight w:val="none"/>
        </w:rPr>
      </w:pPr>
      <w:r>
        <w:rPr>
          <w:rFonts w:hint="eastAsia" w:cs="宋体"/>
          <w:bCs/>
          <w:highlight w:val="none"/>
        </w:rPr>
        <w:t>设计人应根据经过发包人批准的分段结算配合服务工作计划积极配合相关的分段结算工作。</w:t>
      </w:r>
    </w:p>
    <w:p w14:paraId="47FB7300">
      <w:pPr>
        <w:ind w:firstLine="424" w:firstLineChars="177"/>
        <w:rPr>
          <w:rFonts w:hint="eastAsia" w:cs="宋体"/>
          <w:highlight w:val="none"/>
        </w:rPr>
      </w:pPr>
      <w:r>
        <w:rPr>
          <w:rFonts w:hint="eastAsia" w:cs="宋体"/>
          <w:bCs/>
          <w:highlight w:val="none"/>
        </w:rPr>
        <w:t>5）设计人应将结算配合服务工作计划（包括分段结算配合服务工作计划）录入发包人的计算机工程信息管理系统，并根据实际工作进度情况及时更新。</w:t>
      </w:r>
    </w:p>
    <w:p w14:paraId="1477B154">
      <w:pPr>
        <w:ind w:firstLine="482"/>
        <w:rPr>
          <w:rFonts w:hint="eastAsia" w:cs="宋体"/>
          <w:b/>
          <w:bCs/>
          <w:kern w:val="44"/>
          <w:highlight w:val="none"/>
        </w:rPr>
      </w:pPr>
      <w:r>
        <w:rPr>
          <w:rFonts w:hint="eastAsia" w:cs="宋体"/>
          <w:b/>
          <w:bCs/>
          <w:kern w:val="44"/>
          <w:highlight w:val="none"/>
        </w:rPr>
        <w:t>4.1 项目设计成果提交要求</w:t>
      </w:r>
    </w:p>
    <w:p w14:paraId="4EDA8D53">
      <w:pPr>
        <w:ind w:firstLine="480"/>
        <w:rPr>
          <w:rFonts w:hint="eastAsia" w:cs="宋体"/>
          <w:highlight w:val="none"/>
        </w:rPr>
      </w:pPr>
      <w:r>
        <w:rPr>
          <w:rFonts w:hint="eastAsia" w:cs="宋体"/>
          <w:highlight w:val="none"/>
        </w:rPr>
        <w:t>4.1.1设计文件包括设计资料、设计文件、设计图纸、造价文件及其电子版本，提交的时间及份数如下（此部分内容设选项按标准化模式设置，标注“√”的选项即为本项目采用，标注“×”的选项为本项目不采用。）:</w:t>
      </w:r>
    </w:p>
    <w:tbl>
      <w:tblPr>
        <w:tblStyle w:val="20"/>
        <w:tblW w:w="9306" w:type="dxa"/>
        <w:tblInd w:w="93" w:type="dxa"/>
        <w:tblLayout w:type="fixed"/>
        <w:tblCellMar>
          <w:top w:w="0" w:type="dxa"/>
          <w:left w:w="108" w:type="dxa"/>
          <w:bottom w:w="0" w:type="dxa"/>
          <w:right w:w="108" w:type="dxa"/>
        </w:tblCellMar>
      </w:tblPr>
      <w:tblGrid>
        <w:gridCol w:w="915"/>
        <w:gridCol w:w="1800"/>
        <w:gridCol w:w="1716"/>
        <w:gridCol w:w="1884"/>
        <w:gridCol w:w="1086"/>
        <w:gridCol w:w="1905"/>
      </w:tblGrid>
      <w:tr w14:paraId="4E5B5320">
        <w:tblPrEx>
          <w:tblCellMar>
            <w:top w:w="0" w:type="dxa"/>
            <w:left w:w="108" w:type="dxa"/>
            <w:bottom w:w="0" w:type="dxa"/>
            <w:right w:w="108" w:type="dxa"/>
          </w:tblCellMar>
        </w:tblPrEx>
        <w:trPr>
          <w:trHeight w:val="280" w:hRule="atLeast"/>
          <w:tblHeader/>
        </w:trPr>
        <w:tc>
          <w:tcPr>
            <w:tcW w:w="915" w:type="dxa"/>
            <w:tcBorders>
              <w:top w:val="single" w:color="auto" w:sz="4" w:space="0"/>
              <w:left w:val="single" w:color="auto" w:sz="4" w:space="0"/>
              <w:bottom w:val="single" w:color="auto" w:sz="6" w:space="0"/>
              <w:right w:val="single" w:color="auto" w:sz="6" w:space="0"/>
            </w:tcBorders>
            <w:vAlign w:val="center"/>
          </w:tcPr>
          <w:p w14:paraId="316C90A1">
            <w:pPr>
              <w:ind w:firstLine="0" w:firstLineChars="0"/>
              <w:rPr>
                <w:rFonts w:hint="eastAsia" w:cs="宋体"/>
                <w:kern w:val="0"/>
                <w:highlight w:val="none"/>
              </w:rPr>
            </w:pPr>
            <w:r>
              <w:rPr>
                <w:rFonts w:hint="eastAsia" w:cs="宋体"/>
                <w:kern w:val="0"/>
                <w:highlight w:val="none"/>
              </w:rPr>
              <w:t>序号</w:t>
            </w:r>
          </w:p>
        </w:tc>
        <w:tc>
          <w:tcPr>
            <w:tcW w:w="3516" w:type="dxa"/>
            <w:gridSpan w:val="2"/>
            <w:tcBorders>
              <w:top w:val="single" w:color="auto" w:sz="4" w:space="0"/>
              <w:left w:val="single" w:color="auto" w:sz="6" w:space="0"/>
              <w:bottom w:val="single" w:color="auto" w:sz="6" w:space="0"/>
              <w:right w:val="single" w:color="auto" w:sz="6" w:space="0"/>
            </w:tcBorders>
            <w:vAlign w:val="center"/>
          </w:tcPr>
          <w:p w14:paraId="2CF54469">
            <w:pPr>
              <w:ind w:firstLine="480"/>
              <w:rPr>
                <w:rFonts w:hint="eastAsia" w:cs="宋体"/>
                <w:kern w:val="0"/>
                <w:highlight w:val="none"/>
              </w:rPr>
            </w:pPr>
            <w:r>
              <w:rPr>
                <w:rFonts w:hint="eastAsia" w:cs="宋体"/>
                <w:kern w:val="0"/>
                <w:highlight w:val="none"/>
              </w:rPr>
              <w:t>资料及文件名称</w:t>
            </w:r>
          </w:p>
        </w:tc>
        <w:tc>
          <w:tcPr>
            <w:tcW w:w="1884" w:type="dxa"/>
            <w:tcBorders>
              <w:top w:val="single" w:color="auto" w:sz="4" w:space="0"/>
              <w:left w:val="single" w:color="auto" w:sz="6" w:space="0"/>
              <w:bottom w:val="single" w:color="auto" w:sz="6" w:space="0"/>
              <w:right w:val="single" w:color="auto" w:sz="6" w:space="0"/>
            </w:tcBorders>
            <w:vAlign w:val="center"/>
          </w:tcPr>
          <w:p w14:paraId="584E3467">
            <w:pPr>
              <w:ind w:firstLine="0" w:firstLineChars="0"/>
              <w:rPr>
                <w:rFonts w:hint="eastAsia" w:cs="宋体"/>
                <w:kern w:val="0"/>
                <w:highlight w:val="none"/>
              </w:rPr>
            </w:pPr>
            <w:r>
              <w:rPr>
                <w:rFonts w:hint="eastAsia" w:cs="宋体"/>
                <w:kern w:val="0"/>
                <w:highlight w:val="none"/>
              </w:rPr>
              <w:t>提交日期</w:t>
            </w:r>
          </w:p>
        </w:tc>
        <w:tc>
          <w:tcPr>
            <w:tcW w:w="1086" w:type="dxa"/>
            <w:tcBorders>
              <w:top w:val="single" w:color="auto" w:sz="4" w:space="0"/>
              <w:left w:val="single" w:color="auto" w:sz="6" w:space="0"/>
              <w:bottom w:val="single" w:color="auto" w:sz="6" w:space="0"/>
              <w:right w:val="single" w:color="auto" w:sz="6" w:space="0"/>
            </w:tcBorders>
            <w:vAlign w:val="center"/>
          </w:tcPr>
          <w:p w14:paraId="4B3D3F77">
            <w:pPr>
              <w:ind w:firstLine="0" w:firstLineChars="0"/>
              <w:rPr>
                <w:rFonts w:hint="eastAsia" w:cs="宋体"/>
                <w:kern w:val="0"/>
                <w:highlight w:val="none"/>
              </w:rPr>
            </w:pPr>
            <w:r>
              <w:rPr>
                <w:rFonts w:hint="eastAsia" w:cs="宋体"/>
                <w:kern w:val="0"/>
                <w:highlight w:val="none"/>
              </w:rPr>
              <w:t>纸质文件份数</w:t>
            </w:r>
          </w:p>
        </w:tc>
        <w:tc>
          <w:tcPr>
            <w:tcW w:w="1905" w:type="dxa"/>
            <w:tcBorders>
              <w:top w:val="single" w:color="auto" w:sz="4" w:space="0"/>
              <w:left w:val="single" w:color="auto" w:sz="6" w:space="0"/>
              <w:bottom w:val="single" w:color="auto" w:sz="6" w:space="0"/>
              <w:right w:val="single" w:color="auto" w:sz="4" w:space="0"/>
            </w:tcBorders>
            <w:vAlign w:val="center"/>
          </w:tcPr>
          <w:p w14:paraId="07B88F3A">
            <w:pPr>
              <w:ind w:firstLine="480"/>
              <w:rPr>
                <w:rFonts w:hint="eastAsia" w:cs="宋体"/>
                <w:kern w:val="0"/>
                <w:highlight w:val="none"/>
              </w:rPr>
            </w:pPr>
            <w:r>
              <w:rPr>
                <w:rFonts w:hint="eastAsia" w:cs="宋体"/>
                <w:kern w:val="0"/>
                <w:highlight w:val="none"/>
              </w:rPr>
              <w:t>备注</w:t>
            </w:r>
          </w:p>
        </w:tc>
      </w:tr>
      <w:tr w14:paraId="261A75B2">
        <w:tblPrEx>
          <w:tblCellMar>
            <w:top w:w="0" w:type="dxa"/>
            <w:left w:w="108" w:type="dxa"/>
            <w:bottom w:w="0" w:type="dxa"/>
            <w:right w:w="108" w:type="dxa"/>
          </w:tblCellMar>
        </w:tblPrEx>
        <w:trPr>
          <w:trHeight w:val="279" w:hRule="atLeast"/>
        </w:trPr>
        <w:tc>
          <w:tcPr>
            <w:tcW w:w="915" w:type="dxa"/>
            <w:tcBorders>
              <w:top w:val="single" w:color="auto" w:sz="6" w:space="0"/>
              <w:left w:val="single" w:color="auto" w:sz="4" w:space="0"/>
              <w:bottom w:val="single" w:color="auto" w:sz="6" w:space="0"/>
              <w:right w:val="single" w:color="auto" w:sz="6" w:space="0"/>
            </w:tcBorders>
            <w:vAlign w:val="center"/>
          </w:tcPr>
          <w:p w14:paraId="2090CF2A">
            <w:pPr>
              <w:ind w:firstLine="0" w:firstLineChars="0"/>
              <w:rPr>
                <w:rFonts w:hint="eastAsia" w:cs="宋体"/>
                <w:kern w:val="0"/>
                <w:highlight w:val="none"/>
              </w:rPr>
            </w:pPr>
            <w:r>
              <w:rPr>
                <w:rFonts w:hint="eastAsia" w:cs="宋体"/>
                <w:highlight w:val="none"/>
              </w:rPr>
              <w:t>×</w:t>
            </w:r>
            <w:r>
              <w:rPr>
                <w:rFonts w:hint="eastAsia" w:cs="宋体"/>
                <w:kern w:val="0"/>
                <w:highlight w:val="none"/>
              </w:rPr>
              <w:t>1</w:t>
            </w:r>
          </w:p>
        </w:tc>
        <w:tc>
          <w:tcPr>
            <w:tcW w:w="3516" w:type="dxa"/>
            <w:gridSpan w:val="2"/>
            <w:tcBorders>
              <w:top w:val="single" w:color="auto" w:sz="6" w:space="0"/>
              <w:left w:val="single" w:color="auto" w:sz="6" w:space="0"/>
              <w:bottom w:val="single" w:color="auto" w:sz="6" w:space="0"/>
              <w:right w:val="single" w:color="auto" w:sz="6" w:space="0"/>
            </w:tcBorders>
            <w:vAlign w:val="center"/>
          </w:tcPr>
          <w:p w14:paraId="6E683E3E">
            <w:pPr>
              <w:ind w:firstLine="480"/>
              <w:rPr>
                <w:rFonts w:hint="eastAsia" w:cs="宋体"/>
                <w:kern w:val="0"/>
                <w:highlight w:val="none"/>
              </w:rPr>
            </w:pPr>
            <w:r>
              <w:rPr>
                <w:rFonts w:hint="eastAsia" w:cs="宋体"/>
                <w:kern w:val="0"/>
                <w:highlight w:val="none"/>
              </w:rPr>
              <w:t>总体规划方案设计</w:t>
            </w:r>
          </w:p>
        </w:tc>
        <w:tc>
          <w:tcPr>
            <w:tcW w:w="1884" w:type="dxa"/>
            <w:tcBorders>
              <w:top w:val="single" w:color="auto" w:sz="6" w:space="0"/>
              <w:left w:val="single" w:color="auto" w:sz="6" w:space="0"/>
              <w:bottom w:val="single" w:color="auto" w:sz="6" w:space="0"/>
              <w:right w:val="single" w:color="auto" w:sz="6" w:space="0"/>
            </w:tcBorders>
            <w:vAlign w:val="center"/>
          </w:tcPr>
          <w:p w14:paraId="3028D55F">
            <w:pPr>
              <w:ind w:firstLine="0" w:firstLineChars="0"/>
              <w:rPr>
                <w:rFonts w:hint="eastAsia" w:cs="宋体"/>
                <w:kern w:val="0"/>
                <w:highlight w:val="none"/>
              </w:rPr>
            </w:pPr>
            <w:r>
              <w:rPr>
                <w:rFonts w:hint="eastAsia" w:cs="宋体"/>
                <w:kern w:val="0"/>
                <w:highlight w:val="none"/>
              </w:rPr>
              <w:t>中标后6天内</w:t>
            </w:r>
          </w:p>
        </w:tc>
        <w:tc>
          <w:tcPr>
            <w:tcW w:w="1086" w:type="dxa"/>
            <w:tcBorders>
              <w:top w:val="single" w:color="auto" w:sz="6" w:space="0"/>
              <w:left w:val="single" w:color="auto" w:sz="6" w:space="0"/>
              <w:bottom w:val="single" w:color="auto" w:sz="6" w:space="0"/>
              <w:right w:val="single" w:color="auto" w:sz="6" w:space="0"/>
            </w:tcBorders>
            <w:vAlign w:val="center"/>
          </w:tcPr>
          <w:p w14:paraId="298E794D">
            <w:pPr>
              <w:ind w:firstLine="480"/>
              <w:rPr>
                <w:rFonts w:hint="eastAsia" w:cs="宋体"/>
                <w:kern w:val="0"/>
                <w:highlight w:val="none"/>
              </w:rPr>
            </w:pPr>
            <w:r>
              <w:rPr>
                <w:rFonts w:hint="eastAsia" w:cs="宋体"/>
                <w:highlight w:val="none"/>
              </w:rPr>
              <w:t>15</w:t>
            </w:r>
          </w:p>
        </w:tc>
        <w:tc>
          <w:tcPr>
            <w:tcW w:w="1905" w:type="dxa"/>
            <w:tcBorders>
              <w:top w:val="single" w:color="auto" w:sz="6" w:space="0"/>
              <w:left w:val="single" w:color="auto" w:sz="6" w:space="0"/>
              <w:bottom w:val="single" w:color="auto" w:sz="6" w:space="0"/>
              <w:right w:val="single" w:color="auto" w:sz="4" w:space="0"/>
            </w:tcBorders>
            <w:vAlign w:val="center"/>
          </w:tcPr>
          <w:p w14:paraId="59D04601">
            <w:pPr>
              <w:ind w:firstLine="480"/>
              <w:rPr>
                <w:rFonts w:hint="eastAsia" w:cs="宋体"/>
                <w:kern w:val="0"/>
                <w:highlight w:val="none"/>
              </w:rPr>
            </w:pPr>
          </w:p>
        </w:tc>
      </w:tr>
      <w:tr w14:paraId="520696C8">
        <w:tblPrEx>
          <w:tblCellMar>
            <w:top w:w="0" w:type="dxa"/>
            <w:left w:w="108" w:type="dxa"/>
            <w:bottom w:w="0" w:type="dxa"/>
            <w:right w:w="108" w:type="dxa"/>
          </w:tblCellMar>
        </w:tblPrEx>
        <w:trPr>
          <w:trHeight w:val="613" w:hRule="atLeast"/>
        </w:trPr>
        <w:tc>
          <w:tcPr>
            <w:tcW w:w="915" w:type="dxa"/>
            <w:vMerge w:val="restart"/>
            <w:tcBorders>
              <w:top w:val="single" w:color="auto" w:sz="6" w:space="0"/>
              <w:left w:val="single" w:color="auto" w:sz="4" w:space="0"/>
              <w:right w:val="single" w:color="auto" w:sz="6" w:space="0"/>
            </w:tcBorders>
            <w:vAlign w:val="center"/>
          </w:tcPr>
          <w:p w14:paraId="602205A1">
            <w:pPr>
              <w:ind w:firstLine="0" w:firstLineChars="0"/>
              <w:rPr>
                <w:rFonts w:hint="eastAsia" w:cs="宋体"/>
                <w:snapToGrid w:val="0"/>
                <w:kern w:val="0"/>
                <w:highlight w:val="none"/>
              </w:rPr>
            </w:pPr>
            <w:r>
              <w:rPr>
                <w:rFonts w:hint="eastAsia" w:cs="宋体"/>
                <w:highlight w:val="none"/>
              </w:rPr>
              <w:t>×</w:t>
            </w:r>
            <w:r>
              <w:rPr>
                <w:rFonts w:hint="eastAsia" w:cs="宋体"/>
                <w:kern w:val="0"/>
                <w:highlight w:val="none"/>
              </w:rPr>
              <w:t>2</w:t>
            </w:r>
          </w:p>
        </w:tc>
        <w:tc>
          <w:tcPr>
            <w:tcW w:w="3516" w:type="dxa"/>
            <w:gridSpan w:val="2"/>
            <w:tcBorders>
              <w:top w:val="single" w:color="auto" w:sz="6" w:space="0"/>
              <w:left w:val="single" w:color="auto" w:sz="6" w:space="0"/>
              <w:bottom w:val="single" w:color="auto" w:sz="6" w:space="0"/>
              <w:right w:val="single" w:color="auto" w:sz="6" w:space="0"/>
            </w:tcBorders>
            <w:vAlign w:val="center"/>
          </w:tcPr>
          <w:p w14:paraId="143ED4C5">
            <w:pPr>
              <w:ind w:firstLine="480"/>
              <w:rPr>
                <w:rFonts w:hint="eastAsia" w:cs="宋体"/>
                <w:kern w:val="0"/>
                <w:highlight w:val="none"/>
              </w:rPr>
            </w:pPr>
            <w:r>
              <w:rPr>
                <w:rFonts w:hint="eastAsia" w:cs="宋体"/>
                <w:kern w:val="0"/>
                <w:highlight w:val="none"/>
              </w:rPr>
              <w:t>修建性详细规划设计</w:t>
            </w:r>
          </w:p>
          <w:p w14:paraId="497556E4">
            <w:pPr>
              <w:ind w:firstLine="480"/>
              <w:rPr>
                <w:rFonts w:hint="eastAsia" w:cs="宋体"/>
                <w:kern w:val="0"/>
                <w:highlight w:val="none"/>
              </w:rPr>
            </w:pPr>
            <w:r>
              <w:rPr>
                <w:rFonts w:hint="eastAsia" w:cs="宋体"/>
                <w:kern w:val="0"/>
                <w:highlight w:val="none"/>
              </w:rPr>
              <w:t>（总平面规划设计）</w:t>
            </w:r>
          </w:p>
          <w:p w14:paraId="3593540D">
            <w:pPr>
              <w:ind w:firstLine="480"/>
              <w:rPr>
                <w:rFonts w:hint="eastAsia" w:cs="宋体"/>
                <w:kern w:val="0"/>
                <w:highlight w:val="none"/>
              </w:rPr>
            </w:pPr>
            <w:r>
              <w:rPr>
                <w:rFonts w:hint="eastAsia" w:cs="宋体"/>
                <w:kern w:val="0"/>
                <w:highlight w:val="none"/>
              </w:rPr>
              <w:t>（含平面户型）评审稿</w:t>
            </w:r>
          </w:p>
        </w:tc>
        <w:tc>
          <w:tcPr>
            <w:tcW w:w="1884" w:type="dxa"/>
            <w:tcBorders>
              <w:top w:val="single" w:color="auto" w:sz="6" w:space="0"/>
              <w:left w:val="single" w:color="auto" w:sz="6" w:space="0"/>
              <w:bottom w:val="single" w:color="auto" w:sz="6" w:space="0"/>
              <w:right w:val="single" w:color="auto" w:sz="6" w:space="0"/>
            </w:tcBorders>
            <w:vAlign w:val="center"/>
          </w:tcPr>
          <w:p w14:paraId="700C4DC9">
            <w:pPr>
              <w:ind w:firstLine="0" w:firstLineChars="0"/>
              <w:rPr>
                <w:rFonts w:hint="eastAsia" w:cs="宋体"/>
                <w:kern w:val="0"/>
                <w:highlight w:val="none"/>
              </w:rPr>
            </w:pPr>
            <w:r>
              <w:rPr>
                <w:rFonts w:hint="eastAsia" w:cs="宋体"/>
                <w:kern w:val="0"/>
                <w:highlight w:val="none"/>
              </w:rPr>
              <w:t>总体规划方案设计后8天内</w:t>
            </w:r>
          </w:p>
        </w:tc>
        <w:tc>
          <w:tcPr>
            <w:tcW w:w="1086" w:type="dxa"/>
            <w:tcBorders>
              <w:top w:val="single" w:color="auto" w:sz="6" w:space="0"/>
              <w:left w:val="single" w:color="auto" w:sz="6" w:space="0"/>
              <w:bottom w:val="single" w:color="auto" w:sz="6" w:space="0"/>
              <w:right w:val="single" w:color="auto" w:sz="6" w:space="0"/>
            </w:tcBorders>
            <w:vAlign w:val="center"/>
          </w:tcPr>
          <w:p w14:paraId="23111AC6">
            <w:pPr>
              <w:ind w:firstLine="480"/>
              <w:rPr>
                <w:rFonts w:hint="eastAsia" w:cs="宋体"/>
                <w:kern w:val="0"/>
                <w:highlight w:val="none"/>
              </w:rPr>
            </w:pPr>
            <w:r>
              <w:rPr>
                <w:rFonts w:hint="eastAsia" w:cs="宋体"/>
                <w:highlight w:val="none"/>
              </w:rPr>
              <w:t>15</w:t>
            </w:r>
          </w:p>
        </w:tc>
        <w:tc>
          <w:tcPr>
            <w:tcW w:w="1905" w:type="dxa"/>
            <w:tcBorders>
              <w:top w:val="single" w:color="auto" w:sz="6" w:space="0"/>
              <w:left w:val="single" w:color="auto" w:sz="6" w:space="0"/>
              <w:bottom w:val="single" w:color="auto" w:sz="6" w:space="0"/>
              <w:right w:val="single" w:color="auto" w:sz="4" w:space="0"/>
            </w:tcBorders>
            <w:vAlign w:val="center"/>
          </w:tcPr>
          <w:p w14:paraId="623CD00E">
            <w:pPr>
              <w:ind w:firstLine="480"/>
              <w:rPr>
                <w:rFonts w:hint="eastAsia" w:cs="宋体"/>
                <w:highlight w:val="none"/>
              </w:rPr>
            </w:pPr>
          </w:p>
        </w:tc>
      </w:tr>
      <w:tr w14:paraId="45E7A27D">
        <w:tblPrEx>
          <w:tblCellMar>
            <w:top w:w="0" w:type="dxa"/>
            <w:left w:w="108" w:type="dxa"/>
            <w:bottom w:w="0" w:type="dxa"/>
            <w:right w:w="108" w:type="dxa"/>
          </w:tblCellMar>
        </w:tblPrEx>
        <w:trPr>
          <w:trHeight w:val="608" w:hRule="atLeast"/>
        </w:trPr>
        <w:tc>
          <w:tcPr>
            <w:tcW w:w="915" w:type="dxa"/>
            <w:vMerge w:val="continue"/>
            <w:tcBorders>
              <w:left w:val="single" w:color="auto" w:sz="4" w:space="0"/>
              <w:bottom w:val="single" w:color="auto" w:sz="6" w:space="0"/>
              <w:right w:val="single" w:color="auto" w:sz="6" w:space="0"/>
            </w:tcBorders>
            <w:vAlign w:val="center"/>
          </w:tcPr>
          <w:p w14:paraId="61D34D7F">
            <w:pPr>
              <w:ind w:firstLine="480"/>
              <w:rPr>
                <w:rFonts w:hint="eastAsia" w:cs="宋体"/>
                <w:kern w:val="0"/>
                <w:highlight w:val="none"/>
              </w:rPr>
            </w:pPr>
          </w:p>
        </w:tc>
        <w:tc>
          <w:tcPr>
            <w:tcW w:w="3516" w:type="dxa"/>
            <w:gridSpan w:val="2"/>
            <w:tcBorders>
              <w:top w:val="single" w:color="auto" w:sz="6" w:space="0"/>
              <w:left w:val="single" w:color="auto" w:sz="6" w:space="0"/>
              <w:bottom w:val="single" w:color="auto" w:sz="6" w:space="0"/>
              <w:right w:val="single" w:color="auto" w:sz="6" w:space="0"/>
            </w:tcBorders>
            <w:vAlign w:val="center"/>
          </w:tcPr>
          <w:p w14:paraId="0250EEFC">
            <w:pPr>
              <w:ind w:firstLine="0" w:firstLineChars="0"/>
              <w:rPr>
                <w:rFonts w:hint="eastAsia" w:cs="宋体"/>
                <w:kern w:val="0"/>
                <w:highlight w:val="none"/>
              </w:rPr>
            </w:pPr>
            <w:r>
              <w:rPr>
                <w:rFonts w:hint="eastAsia" w:cs="宋体"/>
                <w:kern w:val="0"/>
                <w:highlight w:val="none"/>
              </w:rPr>
              <w:t>建筑工程设计方案审查（修建性详细规划）报建文件</w:t>
            </w:r>
          </w:p>
        </w:tc>
        <w:tc>
          <w:tcPr>
            <w:tcW w:w="1884" w:type="dxa"/>
            <w:tcBorders>
              <w:top w:val="single" w:color="auto" w:sz="6" w:space="0"/>
              <w:left w:val="single" w:color="auto" w:sz="6" w:space="0"/>
              <w:bottom w:val="single" w:color="auto" w:sz="6" w:space="0"/>
              <w:right w:val="single" w:color="auto" w:sz="6" w:space="0"/>
            </w:tcBorders>
            <w:vAlign w:val="center"/>
          </w:tcPr>
          <w:p w14:paraId="75ECF7F6">
            <w:pPr>
              <w:ind w:firstLine="0" w:firstLineChars="0"/>
              <w:rPr>
                <w:rFonts w:hint="eastAsia" w:cs="宋体"/>
                <w:kern w:val="0"/>
                <w:highlight w:val="none"/>
              </w:rPr>
            </w:pPr>
            <w:r>
              <w:rPr>
                <w:rFonts w:hint="eastAsia" w:cs="宋体"/>
                <w:kern w:val="0"/>
                <w:highlight w:val="none"/>
              </w:rPr>
              <w:t>总体规划方案设计后8天内</w:t>
            </w:r>
          </w:p>
        </w:tc>
        <w:tc>
          <w:tcPr>
            <w:tcW w:w="1086" w:type="dxa"/>
            <w:tcBorders>
              <w:top w:val="single" w:color="auto" w:sz="6" w:space="0"/>
              <w:left w:val="single" w:color="auto" w:sz="6" w:space="0"/>
              <w:bottom w:val="single" w:color="auto" w:sz="6" w:space="0"/>
              <w:right w:val="single" w:color="auto" w:sz="6" w:space="0"/>
            </w:tcBorders>
            <w:vAlign w:val="center"/>
          </w:tcPr>
          <w:p w14:paraId="1EF17DFA">
            <w:pPr>
              <w:ind w:firstLine="480"/>
              <w:rPr>
                <w:rFonts w:hint="eastAsia" w:cs="宋体"/>
                <w:highlight w:val="none"/>
              </w:rPr>
            </w:pPr>
            <w:r>
              <w:rPr>
                <w:rFonts w:hint="eastAsia" w:cs="宋体"/>
                <w:highlight w:val="none"/>
              </w:rPr>
              <w:t>15</w:t>
            </w:r>
          </w:p>
        </w:tc>
        <w:tc>
          <w:tcPr>
            <w:tcW w:w="1905" w:type="dxa"/>
            <w:tcBorders>
              <w:top w:val="single" w:color="auto" w:sz="6" w:space="0"/>
              <w:left w:val="single" w:color="auto" w:sz="6" w:space="0"/>
              <w:bottom w:val="single" w:color="auto" w:sz="6" w:space="0"/>
              <w:right w:val="single" w:color="auto" w:sz="4" w:space="0"/>
            </w:tcBorders>
            <w:vAlign w:val="center"/>
          </w:tcPr>
          <w:p w14:paraId="317A8FB3">
            <w:pPr>
              <w:ind w:firstLine="0" w:firstLineChars="0"/>
              <w:rPr>
                <w:rFonts w:hint="eastAsia" w:cs="宋体"/>
                <w:highlight w:val="none"/>
              </w:rPr>
            </w:pPr>
            <w:r>
              <w:rPr>
                <w:rFonts w:hint="eastAsia" w:cs="宋体"/>
                <w:kern w:val="0"/>
                <w:highlight w:val="none"/>
              </w:rPr>
              <w:t>另加电子文件2份</w:t>
            </w:r>
          </w:p>
        </w:tc>
      </w:tr>
      <w:tr w14:paraId="7B824A54">
        <w:tblPrEx>
          <w:tblCellMar>
            <w:top w:w="0" w:type="dxa"/>
            <w:left w:w="108" w:type="dxa"/>
            <w:bottom w:w="0" w:type="dxa"/>
            <w:right w:w="108" w:type="dxa"/>
          </w:tblCellMar>
        </w:tblPrEx>
        <w:trPr>
          <w:trHeight w:val="463" w:hRule="atLeast"/>
        </w:trPr>
        <w:tc>
          <w:tcPr>
            <w:tcW w:w="915" w:type="dxa"/>
            <w:tcBorders>
              <w:left w:val="single" w:color="auto" w:sz="4" w:space="0"/>
              <w:bottom w:val="single" w:color="auto" w:sz="6" w:space="0"/>
              <w:right w:val="single" w:color="auto" w:sz="6" w:space="0"/>
            </w:tcBorders>
            <w:vAlign w:val="center"/>
          </w:tcPr>
          <w:p w14:paraId="625174CB">
            <w:pPr>
              <w:ind w:firstLine="0" w:firstLineChars="0"/>
              <w:rPr>
                <w:rFonts w:hint="eastAsia" w:cs="宋体"/>
                <w:kern w:val="0"/>
                <w:highlight w:val="none"/>
              </w:rPr>
            </w:pPr>
            <w:r>
              <w:rPr>
                <w:rFonts w:hint="eastAsia" w:cs="宋体"/>
                <w:highlight w:val="none"/>
              </w:rPr>
              <w:t>×</w:t>
            </w:r>
            <w:r>
              <w:rPr>
                <w:rFonts w:hint="eastAsia" w:cs="宋体"/>
                <w:kern w:val="0"/>
                <w:highlight w:val="none"/>
              </w:rPr>
              <w:t>3</w:t>
            </w:r>
          </w:p>
        </w:tc>
        <w:tc>
          <w:tcPr>
            <w:tcW w:w="3516" w:type="dxa"/>
            <w:gridSpan w:val="2"/>
            <w:tcBorders>
              <w:top w:val="single" w:color="auto" w:sz="6" w:space="0"/>
              <w:left w:val="single" w:color="auto" w:sz="6" w:space="0"/>
              <w:bottom w:val="single" w:color="auto" w:sz="6" w:space="0"/>
              <w:right w:val="single" w:color="auto" w:sz="6" w:space="0"/>
            </w:tcBorders>
            <w:vAlign w:val="center"/>
          </w:tcPr>
          <w:p w14:paraId="69FA7259">
            <w:pPr>
              <w:ind w:firstLine="480"/>
              <w:rPr>
                <w:rFonts w:hint="eastAsia" w:cs="宋体"/>
                <w:kern w:val="0"/>
                <w:highlight w:val="none"/>
              </w:rPr>
            </w:pPr>
            <w:r>
              <w:rPr>
                <w:rFonts w:hint="eastAsia" w:cs="宋体"/>
                <w:kern w:val="0"/>
                <w:highlight w:val="none"/>
              </w:rPr>
              <w:t>管线综合设计</w:t>
            </w:r>
          </w:p>
        </w:tc>
        <w:tc>
          <w:tcPr>
            <w:tcW w:w="1884" w:type="dxa"/>
            <w:tcBorders>
              <w:top w:val="single" w:color="auto" w:sz="6" w:space="0"/>
              <w:left w:val="single" w:color="auto" w:sz="6" w:space="0"/>
              <w:bottom w:val="single" w:color="auto" w:sz="6" w:space="0"/>
              <w:right w:val="single" w:color="auto" w:sz="6" w:space="0"/>
            </w:tcBorders>
            <w:vAlign w:val="center"/>
          </w:tcPr>
          <w:p w14:paraId="4801C208">
            <w:pPr>
              <w:ind w:firstLine="0" w:firstLineChars="0"/>
              <w:rPr>
                <w:rFonts w:hint="eastAsia" w:cs="宋体"/>
                <w:kern w:val="0"/>
                <w:highlight w:val="none"/>
              </w:rPr>
            </w:pPr>
            <w:r>
              <w:rPr>
                <w:rFonts w:hint="eastAsia" w:cs="宋体"/>
                <w:kern w:val="0"/>
                <w:highlight w:val="none"/>
              </w:rPr>
              <w:t>总体规划方案设计后8天内</w:t>
            </w:r>
          </w:p>
        </w:tc>
        <w:tc>
          <w:tcPr>
            <w:tcW w:w="1086" w:type="dxa"/>
            <w:tcBorders>
              <w:top w:val="single" w:color="auto" w:sz="6" w:space="0"/>
              <w:left w:val="single" w:color="auto" w:sz="6" w:space="0"/>
              <w:bottom w:val="single" w:color="auto" w:sz="6" w:space="0"/>
              <w:right w:val="single" w:color="auto" w:sz="6" w:space="0"/>
            </w:tcBorders>
            <w:vAlign w:val="center"/>
          </w:tcPr>
          <w:p w14:paraId="067D96DC">
            <w:pPr>
              <w:ind w:firstLine="480"/>
              <w:rPr>
                <w:rFonts w:hint="eastAsia" w:cs="宋体"/>
                <w:highlight w:val="none"/>
                <w:lang w:eastAsia="zh-TW"/>
              </w:rPr>
            </w:pPr>
            <w:r>
              <w:rPr>
                <w:rFonts w:hint="eastAsia" w:cs="宋体"/>
                <w:highlight w:val="none"/>
                <w:lang w:eastAsia="zh-TW"/>
              </w:rPr>
              <w:t>8</w:t>
            </w:r>
          </w:p>
        </w:tc>
        <w:tc>
          <w:tcPr>
            <w:tcW w:w="1905" w:type="dxa"/>
            <w:tcBorders>
              <w:top w:val="single" w:color="auto" w:sz="6" w:space="0"/>
              <w:left w:val="single" w:color="auto" w:sz="6" w:space="0"/>
              <w:bottom w:val="single" w:color="auto" w:sz="6" w:space="0"/>
              <w:right w:val="single" w:color="auto" w:sz="4" w:space="0"/>
            </w:tcBorders>
            <w:vAlign w:val="center"/>
          </w:tcPr>
          <w:p w14:paraId="1B112342">
            <w:pPr>
              <w:ind w:firstLine="0" w:firstLineChars="0"/>
              <w:rPr>
                <w:rFonts w:hint="eastAsia" w:cs="宋体"/>
                <w:highlight w:val="none"/>
              </w:rPr>
            </w:pPr>
            <w:r>
              <w:rPr>
                <w:rFonts w:hint="eastAsia" w:cs="宋体"/>
                <w:kern w:val="0"/>
                <w:highlight w:val="none"/>
              </w:rPr>
              <w:t>另加电子文件2份</w:t>
            </w:r>
          </w:p>
        </w:tc>
      </w:tr>
      <w:tr w14:paraId="62BD6051">
        <w:tblPrEx>
          <w:tblCellMar>
            <w:top w:w="0" w:type="dxa"/>
            <w:left w:w="108" w:type="dxa"/>
            <w:bottom w:w="0" w:type="dxa"/>
            <w:right w:w="108" w:type="dxa"/>
          </w:tblCellMar>
        </w:tblPrEx>
        <w:trPr>
          <w:trHeight w:val="555" w:hRule="atLeast"/>
        </w:trPr>
        <w:tc>
          <w:tcPr>
            <w:tcW w:w="915" w:type="dxa"/>
            <w:tcBorders>
              <w:top w:val="single" w:color="auto" w:sz="6" w:space="0"/>
              <w:left w:val="single" w:color="auto" w:sz="4" w:space="0"/>
              <w:bottom w:val="single" w:color="auto" w:sz="4" w:space="0"/>
              <w:right w:val="single" w:color="auto" w:sz="6" w:space="0"/>
            </w:tcBorders>
            <w:vAlign w:val="center"/>
          </w:tcPr>
          <w:p w14:paraId="506A70ED">
            <w:pPr>
              <w:ind w:firstLine="0" w:firstLineChars="0"/>
              <w:rPr>
                <w:rFonts w:hint="eastAsia" w:cs="宋体"/>
                <w:snapToGrid w:val="0"/>
                <w:kern w:val="0"/>
                <w:highlight w:val="none"/>
              </w:rPr>
            </w:pPr>
            <w:r>
              <w:rPr>
                <w:rFonts w:hint="eastAsia" w:cs="宋体"/>
                <w:highlight w:val="none"/>
              </w:rPr>
              <w:t>×</w:t>
            </w:r>
            <w:r>
              <w:rPr>
                <w:rFonts w:hint="eastAsia" w:cs="宋体"/>
                <w:kern w:val="0"/>
                <w:highlight w:val="none"/>
              </w:rPr>
              <w:t>4</w:t>
            </w:r>
          </w:p>
        </w:tc>
        <w:tc>
          <w:tcPr>
            <w:tcW w:w="3516" w:type="dxa"/>
            <w:gridSpan w:val="2"/>
            <w:tcBorders>
              <w:top w:val="single" w:color="auto" w:sz="6" w:space="0"/>
              <w:left w:val="single" w:color="auto" w:sz="6" w:space="0"/>
              <w:right w:val="single" w:color="auto" w:sz="6" w:space="0"/>
            </w:tcBorders>
            <w:vAlign w:val="center"/>
          </w:tcPr>
          <w:p w14:paraId="1E7B0A0B">
            <w:pPr>
              <w:ind w:firstLine="480"/>
              <w:rPr>
                <w:rFonts w:hint="eastAsia" w:cs="宋体"/>
                <w:kern w:val="0"/>
                <w:highlight w:val="none"/>
              </w:rPr>
            </w:pPr>
            <w:r>
              <w:rPr>
                <w:rFonts w:hint="eastAsia" w:cs="宋体"/>
                <w:kern w:val="0"/>
                <w:highlight w:val="none"/>
              </w:rPr>
              <w:t>单体方案评审稿</w:t>
            </w:r>
          </w:p>
        </w:tc>
        <w:tc>
          <w:tcPr>
            <w:tcW w:w="1884" w:type="dxa"/>
            <w:tcBorders>
              <w:top w:val="single" w:color="auto" w:sz="6" w:space="0"/>
              <w:left w:val="single" w:color="auto" w:sz="6" w:space="0"/>
              <w:bottom w:val="single" w:color="auto" w:sz="6" w:space="0"/>
              <w:right w:val="single" w:color="auto" w:sz="6" w:space="0"/>
            </w:tcBorders>
            <w:vAlign w:val="center"/>
          </w:tcPr>
          <w:p w14:paraId="713D0895">
            <w:pPr>
              <w:ind w:firstLine="0" w:firstLineChars="0"/>
              <w:rPr>
                <w:rFonts w:hint="eastAsia" w:cs="宋体"/>
                <w:kern w:val="0"/>
                <w:highlight w:val="none"/>
              </w:rPr>
            </w:pPr>
            <w:r>
              <w:rPr>
                <w:rFonts w:hint="eastAsia" w:cs="宋体"/>
                <w:kern w:val="0"/>
                <w:highlight w:val="none"/>
              </w:rPr>
              <w:t>总体规划方案设计后8天内</w:t>
            </w:r>
          </w:p>
        </w:tc>
        <w:tc>
          <w:tcPr>
            <w:tcW w:w="1086" w:type="dxa"/>
            <w:tcBorders>
              <w:top w:val="single" w:color="auto" w:sz="6" w:space="0"/>
              <w:left w:val="single" w:color="auto" w:sz="6" w:space="0"/>
              <w:bottom w:val="single" w:color="auto" w:sz="6" w:space="0"/>
              <w:right w:val="single" w:color="auto" w:sz="6" w:space="0"/>
            </w:tcBorders>
            <w:vAlign w:val="center"/>
          </w:tcPr>
          <w:p w14:paraId="4D7F2BFF">
            <w:pPr>
              <w:ind w:firstLine="480"/>
              <w:rPr>
                <w:rFonts w:hint="eastAsia" w:cs="宋体"/>
                <w:highlight w:val="none"/>
              </w:rPr>
            </w:pPr>
            <w:r>
              <w:rPr>
                <w:rFonts w:hint="eastAsia" w:cs="宋体"/>
                <w:highlight w:val="none"/>
              </w:rPr>
              <w:t>15</w:t>
            </w:r>
          </w:p>
        </w:tc>
        <w:tc>
          <w:tcPr>
            <w:tcW w:w="1905" w:type="dxa"/>
            <w:tcBorders>
              <w:top w:val="single" w:color="auto" w:sz="6" w:space="0"/>
              <w:left w:val="single" w:color="auto" w:sz="6" w:space="0"/>
              <w:bottom w:val="single" w:color="auto" w:sz="6" w:space="0"/>
              <w:right w:val="single" w:color="auto" w:sz="6" w:space="0"/>
            </w:tcBorders>
            <w:vAlign w:val="center"/>
          </w:tcPr>
          <w:p w14:paraId="22C7B6D2">
            <w:pPr>
              <w:ind w:firstLine="480"/>
              <w:rPr>
                <w:rFonts w:hint="eastAsia" w:cs="宋体"/>
                <w:highlight w:val="none"/>
              </w:rPr>
            </w:pPr>
          </w:p>
        </w:tc>
      </w:tr>
      <w:tr w14:paraId="681B80A2">
        <w:tblPrEx>
          <w:tblCellMar>
            <w:top w:w="0" w:type="dxa"/>
            <w:left w:w="108" w:type="dxa"/>
            <w:bottom w:w="0" w:type="dxa"/>
            <w:right w:w="108" w:type="dxa"/>
          </w:tblCellMar>
        </w:tblPrEx>
        <w:trPr>
          <w:trHeight w:val="390" w:hRule="atLeast"/>
        </w:trPr>
        <w:tc>
          <w:tcPr>
            <w:tcW w:w="915" w:type="dxa"/>
            <w:vMerge w:val="restart"/>
            <w:tcBorders>
              <w:top w:val="single" w:color="auto" w:sz="4" w:space="0"/>
              <w:left w:val="single" w:color="auto" w:sz="4" w:space="0"/>
              <w:right w:val="single" w:color="auto" w:sz="4" w:space="0"/>
            </w:tcBorders>
            <w:vAlign w:val="center"/>
          </w:tcPr>
          <w:p w14:paraId="1624EEF3">
            <w:pPr>
              <w:ind w:firstLine="0" w:firstLineChars="0"/>
              <w:rPr>
                <w:rFonts w:hint="eastAsia" w:cs="宋体"/>
                <w:snapToGrid w:val="0"/>
                <w:kern w:val="0"/>
                <w:highlight w:val="none"/>
              </w:rPr>
            </w:pPr>
            <w:r>
              <w:rPr>
                <w:rFonts w:hint="eastAsia" w:cs="宋体"/>
                <w:highlight w:val="none"/>
              </w:rPr>
              <w:t>×</w:t>
            </w:r>
            <w:r>
              <w:rPr>
                <w:rFonts w:hint="eastAsia" w:cs="宋体"/>
                <w:kern w:val="0"/>
                <w:highlight w:val="none"/>
              </w:rPr>
              <w:t>5</w:t>
            </w:r>
          </w:p>
        </w:tc>
        <w:tc>
          <w:tcPr>
            <w:tcW w:w="1800" w:type="dxa"/>
            <w:vMerge w:val="restart"/>
            <w:tcBorders>
              <w:top w:val="single" w:color="auto" w:sz="6" w:space="0"/>
              <w:left w:val="single" w:color="auto" w:sz="4" w:space="0"/>
              <w:right w:val="single" w:color="auto" w:sz="6" w:space="0"/>
            </w:tcBorders>
            <w:vAlign w:val="center"/>
          </w:tcPr>
          <w:p w14:paraId="21EFACDB">
            <w:pPr>
              <w:ind w:firstLine="480"/>
              <w:rPr>
                <w:rFonts w:hint="eastAsia" w:cs="宋体"/>
                <w:kern w:val="0"/>
                <w:highlight w:val="none"/>
              </w:rPr>
            </w:pPr>
            <w:r>
              <w:rPr>
                <w:rFonts w:hint="eastAsia" w:cs="宋体"/>
                <w:kern w:val="0"/>
                <w:highlight w:val="none"/>
              </w:rPr>
              <w:t>评审稿</w:t>
            </w:r>
          </w:p>
        </w:tc>
        <w:tc>
          <w:tcPr>
            <w:tcW w:w="1716" w:type="dxa"/>
            <w:tcBorders>
              <w:top w:val="single" w:color="auto" w:sz="6" w:space="0"/>
              <w:left w:val="single" w:color="auto" w:sz="6" w:space="0"/>
              <w:bottom w:val="single" w:color="auto" w:sz="6" w:space="0"/>
              <w:right w:val="single" w:color="auto" w:sz="6" w:space="0"/>
            </w:tcBorders>
            <w:vAlign w:val="center"/>
          </w:tcPr>
          <w:p w14:paraId="02C71977">
            <w:pPr>
              <w:ind w:firstLine="0" w:firstLineChars="0"/>
              <w:rPr>
                <w:rFonts w:hint="eastAsia" w:cs="宋体"/>
                <w:kern w:val="0"/>
                <w:highlight w:val="none"/>
              </w:rPr>
            </w:pPr>
            <w:r>
              <w:rPr>
                <w:rFonts w:hint="eastAsia" w:cs="宋体"/>
                <w:kern w:val="0"/>
                <w:highlight w:val="none"/>
              </w:rPr>
              <w:t>初步设计评审稿(含市政)</w:t>
            </w:r>
          </w:p>
        </w:tc>
        <w:tc>
          <w:tcPr>
            <w:tcW w:w="1884" w:type="dxa"/>
            <w:tcBorders>
              <w:top w:val="single" w:color="auto" w:sz="6" w:space="0"/>
              <w:left w:val="single" w:color="auto" w:sz="6" w:space="0"/>
              <w:bottom w:val="single" w:color="auto" w:sz="6" w:space="0"/>
              <w:right w:val="single" w:color="auto" w:sz="6" w:space="0"/>
            </w:tcBorders>
            <w:vAlign w:val="center"/>
          </w:tcPr>
          <w:p w14:paraId="2B289DC8">
            <w:pPr>
              <w:ind w:firstLine="0" w:firstLineChars="0"/>
              <w:rPr>
                <w:rFonts w:hint="eastAsia" w:cs="宋体"/>
                <w:kern w:val="0"/>
                <w:highlight w:val="none"/>
              </w:rPr>
            </w:pPr>
            <w:r>
              <w:rPr>
                <w:rFonts w:hint="eastAsia" w:cs="宋体"/>
                <w:kern w:val="0"/>
                <w:highlight w:val="none"/>
              </w:rPr>
              <w:t>单体方案报建批准后14天内</w:t>
            </w:r>
          </w:p>
        </w:tc>
        <w:tc>
          <w:tcPr>
            <w:tcW w:w="1086" w:type="dxa"/>
            <w:tcBorders>
              <w:top w:val="single" w:color="auto" w:sz="6" w:space="0"/>
              <w:left w:val="single" w:color="auto" w:sz="6" w:space="0"/>
              <w:bottom w:val="single" w:color="auto" w:sz="6" w:space="0"/>
              <w:right w:val="single" w:color="auto" w:sz="6" w:space="0"/>
            </w:tcBorders>
            <w:vAlign w:val="center"/>
          </w:tcPr>
          <w:p w14:paraId="5039DA4C">
            <w:pPr>
              <w:ind w:firstLine="480"/>
              <w:rPr>
                <w:rFonts w:hint="eastAsia" w:cs="宋体"/>
                <w:highlight w:val="none"/>
              </w:rPr>
            </w:pPr>
            <w:r>
              <w:rPr>
                <w:rFonts w:hint="eastAsia" w:cs="宋体"/>
                <w:highlight w:val="none"/>
              </w:rPr>
              <w:t>15</w:t>
            </w:r>
          </w:p>
        </w:tc>
        <w:tc>
          <w:tcPr>
            <w:tcW w:w="1905" w:type="dxa"/>
            <w:tcBorders>
              <w:top w:val="single" w:color="auto" w:sz="6" w:space="0"/>
              <w:left w:val="single" w:color="auto" w:sz="6" w:space="0"/>
              <w:right w:val="single" w:color="auto" w:sz="4" w:space="0"/>
            </w:tcBorders>
            <w:vAlign w:val="center"/>
          </w:tcPr>
          <w:p w14:paraId="567881E1">
            <w:pPr>
              <w:ind w:firstLine="0" w:firstLineChars="0"/>
              <w:rPr>
                <w:rFonts w:hint="eastAsia" w:cs="宋体"/>
                <w:highlight w:val="none"/>
                <w:u w:val="single"/>
              </w:rPr>
            </w:pPr>
            <w:r>
              <w:rPr>
                <w:rFonts w:hint="eastAsia" w:cs="宋体"/>
                <w:kern w:val="0"/>
                <w:highlight w:val="none"/>
              </w:rPr>
              <w:t>另加电子文件2份</w:t>
            </w:r>
          </w:p>
        </w:tc>
      </w:tr>
      <w:tr w14:paraId="6C185C6B">
        <w:tblPrEx>
          <w:tblCellMar>
            <w:top w:w="0" w:type="dxa"/>
            <w:left w:w="108" w:type="dxa"/>
            <w:bottom w:w="0" w:type="dxa"/>
            <w:right w:w="108" w:type="dxa"/>
          </w:tblCellMar>
        </w:tblPrEx>
        <w:trPr>
          <w:trHeight w:val="390" w:hRule="atLeast"/>
        </w:trPr>
        <w:tc>
          <w:tcPr>
            <w:tcW w:w="915" w:type="dxa"/>
            <w:vMerge w:val="continue"/>
            <w:tcBorders>
              <w:left w:val="single" w:color="auto" w:sz="4" w:space="0"/>
              <w:right w:val="single" w:color="auto" w:sz="4" w:space="0"/>
            </w:tcBorders>
            <w:vAlign w:val="center"/>
          </w:tcPr>
          <w:p w14:paraId="0222B646">
            <w:pPr>
              <w:ind w:firstLine="480"/>
              <w:rPr>
                <w:rFonts w:hint="eastAsia" w:cs="宋体"/>
                <w:snapToGrid w:val="0"/>
                <w:kern w:val="0"/>
                <w:highlight w:val="none"/>
              </w:rPr>
            </w:pPr>
          </w:p>
        </w:tc>
        <w:tc>
          <w:tcPr>
            <w:tcW w:w="1800" w:type="dxa"/>
            <w:vMerge w:val="continue"/>
            <w:tcBorders>
              <w:left w:val="single" w:color="auto" w:sz="4" w:space="0"/>
              <w:bottom w:val="single" w:color="auto" w:sz="6" w:space="0"/>
              <w:right w:val="single" w:color="auto" w:sz="6" w:space="0"/>
            </w:tcBorders>
            <w:vAlign w:val="center"/>
          </w:tcPr>
          <w:p w14:paraId="08B752BB">
            <w:pPr>
              <w:ind w:firstLine="480"/>
              <w:rPr>
                <w:rFonts w:hint="eastAsia" w:cs="宋体"/>
                <w:kern w:val="0"/>
                <w:highlight w:val="none"/>
              </w:rPr>
            </w:pPr>
          </w:p>
        </w:tc>
        <w:tc>
          <w:tcPr>
            <w:tcW w:w="1716" w:type="dxa"/>
            <w:tcBorders>
              <w:top w:val="single" w:color="auto" w:sz="6" w:space="0"/>
              <w:left w:val="single" w:color="auto" w:sz="6" w:space="0"/>
              <w:bottom w:val="single" w:color="auto" w:sz="6" w:space="0"/>
              <w:right w:val="single" w:color="auto" w:sz="6" w:space="0"/>
            </w:tcBorders>
            <w:vAlign w:val="center"/>
          </w:tcPr>
          <w:p w14:paraId="7BED855B">
            <w:pPr>
              <w:ind w:firstLine="480"/>
              <w:rPr>
                <w:rFonts w:hint="eastAsia" w:cs="宋体"/>
                <w:kern w:val="0"/>
                <w:highlight w:val="none"/>
              </w:rPr>
            </w:pPr>
            <w:r>
              <w:rPr>
                <w:rFonts w:hint="eastAsia" w:cs="宋体"/>
                <w:kern w:val="0"/>
                <w:highlight w:val="none"/>
              </w:rPr>
              <w:t>评审概算</w:t>
            </w:r>
          </w:p>
        </w:tc>
        <w:tc>
          <w:tcPr>
            <w:tcW w:w="1884" w:type="dxa"/>
            <w:tcBorders>
              <w:top w:val="single" w:color="auto" w:sz="6" w:space="0"/>
              <w:left w:val="single" w:color="auto" w:sz="6" w:space="0"/>
              <w:bottom w:val="single" w:color="auto" w:sz="6" w:space="0"/>
              <w:right w:val="single" w:color="auto" w:sz="6" w:space="0"/>
            </w:tcBorders>
            <w:vAlign w:val="center"/>
          </w:tcPr>
          <w:p w14:paraId="6221F872">
            <w:pPr>
              <w:ind w:firstLine="480"/>
              <w:rPr>
                <w:rFonts w:hint="eastAsia" w:cs="宋体"/>
                <w:kern w:val="0"/>
                <w:highlight w:val="none"/>
              </w:rPr>
            </w:pPr>
          </w:p>
        </w:tc>
        <w:tc>
          <w:tcPr>
            <w:tcW w:w="1086" w:type="dxa"/>
            <w:tcBorders>
              <w:top w:val="single" w:color="auto" w:sz="6" w:space="0"/>
              <w:left w:val="single" w:color="auto" w:sz="6" w:space="0"/>
              <w:bottom w:val="single" w:color="auto" w:sz="6" w:space="0"/>
              <w:right w:val="single" w:color="auto" w:sz="6" w:space="0"/>
            </w:tcBorders>
            <w:vAlign w:val="center"/>
          </w:tcPr>
          <w:p w14:paraId="4C451CD5">
            <w:pPr>
              <w:ind w:firstLine="480"/>
              <w:rPr>
                <w:rFonts w:hint="eastAsia" w:cs="宋体"/>
                <w:highlight w:val="none"/>
                <w:lang w:eastAsia="zh-TW"/>
              </w:rPr>
            </w:pPr>
            <w:r>
              <w:rPr>
                <w:rFonts w:hint="eastAsia" w:cs="宋体"/>
                <w:highlight w:val="none"/>
              </w:rPr>
              <w:t>8</w:t>
            </w:r>
          </w:p>
        </w:tc>
        <w:tc>
          <w:tcPr>
            <w:tcW w:w="1905" w:type="dxa"/>
            <w:tcBorders>
              <w:top w:val="single" w:color="auto" w:sz="6" w:space="0"/>
              <w:left w:val="single" w:color="auto" w:sz="6" w:space="0"/>
              <w:right w:val="single" w:color="auto" w:sz="4" w:space="0"/>
            </w:tcBorders>
            <w:vAlign w:val="center"/>
          </w:tcPr>
          <w:p w14:paraId="126FF50B">
            <w:pPr>
              <w:ind w:firstLine="480"/>
              <w:rPr>
                <w:rFonts w:hint="eastAsia" w:cs="宋体"/>
                <w:kern w:val="0"/>
                <w:highlight w:val="none"/>
                <w:u w:val="single"/>
              </w:rPr>
            </w:pPr>
          </w:p>
        </w:tc>
      </w:tr>
      <w:tr w14:paraId="7F9357B3">
        <w:tblPrEx>
          <w:tblCellMar>
            <w:top w:w="0" w:type="dxa"/>
            <w:left w:w="108" w:type="dxa"/>
            <w:bottom w:w="0" w:type="dxa"/>
            <w:right w:w="108" w:type="dxa"/>
          </w:tblCellMar>
        </w:tblPrEx>
        <w:trPr>
          <w:trHeight w:val="390" w:hRule="atLeast"/>
        </w:trPr>
        <w:tc>
          <w:tcPr>
            <w:tcW w:w="915" w:type="dxa"/>
            <w:vMerge w:val="continue"/>
            <w:tcBorders>
              <w:left w:val="single" w:color="auto" w:sz="4" w:space="0"/>
              <w:bottom w:val="single" w:color="auto" w:sz="4" w:space="0"/>
              <w:right w:val="single" w:color="auto" w:sz="4" w:space="0"/>
            </w:tcBorders>
            <w:vAlign w:val="center"/>
          </w:tcPr>
          <w:p w14:paraId="7D9E6243">
            <w:pPr>
              <w:ind w:firstLine="480"/>
              <w:rPr>
                <w:rFonts w:hint="eastAsia" w:cs="宋体"/>
                <w:snapToGrid w:val="0"/>
                <w:kern w:val="0"/>
                <w:highlight w:val="none"/>
              </w:rPr>
            </w:pPr>
          </w:p>
        </w:tc>
        <w:tc>
          <w:tcPr>
            <w:tcW w:w="3516" w:type="dxa"/>
            <w:gridSpan w:val="2"/>
            <w:tcBorders>
              <w:top w:val="single" w:color="auto" w:sz="6" w:space="0"/>
              <w:left w:val="single" w:color="auto" w:sz="4" w:space="0"/>
              <w:bottom w:val="single" w:color="auto" w:sz="6" w:space="0"/>
              <w:right w:val="single" w:color="auto" w:sz="6" w:space="0"/>
            </w:tcBorders>
            <w:vAlign w:val="center"/>
          </w:tcPr>
          <w:p w14:paraId="402CAC09">
            <w:pPr>
              <w:ind w:firstLine="480"/>
              <w:rPr>
                <w:rFonts w:hint="eastAsia" w:cs="宋体"/>
                <w:kern w:val="0"/>
                <w:highlight w:val="none"/>
              </w:rPr>
            </w:pPr>
            <w:r>
              <w:rPr>
                <w:rFonts w:hint="eastAsia" w:cs="宋体"/>
                <w:kern w:val="0"/>
                <w:highlight w:val="none"/>
              </w:rPr>
              <w:t>初步设计存档</w:t>
            </w:r>
          </w:p>
          <w:p w14:paraId="0CD0AD50">
            <w:pPr>
              <w:ind w:firstLine="480"/>
              <w:rPr>
                <w:rFonts w:hint="eastAsia" w:cs="宋体"/>
                <w:kern w:val="0"/>
                <w:highlight w:val="none"/>
              </w:rPr>
            </w:pPr>
            <w:r>
              <w:rPr>
                <w:rFonts w:hint="eastAsia" w:cs="宋体"/>
                <w:kern w:val="0"/>
                <w:highlight w:val="none"/>
              </w:rPr>
              <w:t>（含概算、BIM模型）</w:t>
            </w:r>
          </w:p>
        </w:tc>
        <w:tc>
          <w:tcPr>
            <w:tcW w:w="1884" w:type="dxa"/>
            <w:tcBorders>
              <w:top w:val="single" w:color="auto" w:sz="6" w:space="0"/>
              <w:left w:val="single" w:color="auto" w:sz="6" w:space="0"/>
              <w:bottom w:val="single" w:color="auto" w:sz="6" w:space="0"/>
              <w:right w:val="single" w:color="auto" w:sz="6" w:space="0"/>
            </w:tcBorders>
            <w:vAlign w:val="center"/>
          </w:tcPr>
          <w:p w14:paraId="3C9599F3">
            <w:pPr>
              <w:ind w:firstLine="0" w:firstLineChars="0"/>
              <w:rPr>
                <w:rFonts w:hint="eastAsia" w:cs="宋体"/>
                <w:kern w:val="0"/>
                <w:highlight w:val="none"/>
              </w:rPr>
            </w:pPr>
            <w:r>
              <w:rPr>
                <w:rFonts w:hint="eastAsia" w:cs="宋体"/>
                <w:kern w:val="0"/>
                <w:highlight w:val="none"/>
              </w:rPr>
              <w:t>初步设计审查通过后3天内</w:t>
            </w:r>
          </w:p>
        </w:tc>
        <w:tc>
          <w:tcPr>
            <w:tcW w:w="1086" w:type="dxa"/>
            <w:tcBorders>
              <w:top w:val="single" w:color="auto" w:sz="6" w:space="0"/>
              <w:left w:val="single" w:color="auto" w:sz="6" w:space="0"/>
              <w:bottom w:val="single" w:color="auto" w:sz="6" w:space="0"/>
              <w:right w:val="single" w:color="auto" w:sz="6" w:space="0"/>
            </w:tcBorders>
            <w:vAlign w:val="center"/>
          </w:tcPr>
          <w:p w14:paraId="523FC87B">
            <w:pPr>
              <w:ind w:firstLine="480"/>
              <w:rPr>
                <w:rFonts w:hint="eastAsia" w:cs="宋体"/>
                <w:highlight w:val="none"/>
                <w:lang w:eastAsia="zh-TW"/>
              </w:rPr>
            </w:pPr>
            <w:r>
              <w:rPr>
                <w:rFonts w:hint="eastAsia" w:cs="宋体"/>
                <w:highlight w:val="none"/>
                <w:lang w:eastAsia="zh-TW"/>
              </w:rPr>
              <w:t>8</w:t>
            </w:r>
          </w:p>
        </w:tc>
        <w:tc>
          <w:tcPr>
            <w:tcW w:w="1905" w:type="dxa"/>
            <w:tcBorders>
              <w:top w:val="single" w:color="auto" w:sz="6" w:space="0"/>
              <w:left w:val="single" w:color="auto" w:sz="6" w:space="0"/>
              <w:bottom w:val="single" w:color="auto" w:sz="6" w:space="0"/>
              <w:right w:val="single" w:color="auto" w:sz="4" w:space="0"/>
            </w:tcBorders>
            <w:vAlign w:val="center"/>
          </w:tcPr>
          <w:p w14:paraId="73FB0247">
            <w:pPr>
              <w:ind w:firstLine="0" w:firstLineChars="0"/>
              <w:rPr>
                <w:rFonts w:hint="eastAsia" w:cs="宋体"/>
                <w:kern w:val="0"/>
                <w:highlight w:val="none"/>
                <w:u w:val="single"/>
              </w:rPr>
            </w:pPr>
            <w:r>
              <w:rPr>
                <w:rFonts w:hint="eastAsia" w:cs="宋体"/>
                <w:kern w:val="0"/>
                <w:highlight w:val="none"/>
              </w:rPr>
              <w:t>另加电子文件1份</w:t>
            </w:r>
          </w:p>
        </w:tc>
      </w:tr>
      <w:tr w14:paraId="57580FDB">
        <w:tblPrEx>
          <w:tblCellMar>
            <w:top w:w="0" w:type="dxa"/>
            <w:left w:w="108" w:type="dxa"/>
            <w:bottom w:w="0" w:type="dxa"/>
            <w:right w:w="108" w:type="dxa"/>
          </w:tblCellMar>
        </w:tblPrEx>
        <w:trPr>
          <w:trHeight w:val="1906" w:hRule="atLeast"/>
        </w:trPr>
        <w:tc>
          <w:tcPr>
            <w:tcW w:w="915" w:type="dxa"/>
            <w:vMerge w:val="restart"/>
            <w:tcBorders>
              <w:top w:val="single" w:color="auto" w:sz="4" w:space="0"/>
              <w:left w:val="single" w:color="auto" w:sz="4" w:space="0"/>
              <w:right w:val="single" w:color="auto" w:sz="6" w:space="0"/>
            </w:tcBorders>
            <w:vAlign w:val="center"/>
          </w:tcPr>
          <w:p w14:paraId="52985C3F">
            <w:pPr>
              <w:ind w:firstLine="0" w:firstLineChars="0"/>
              <w:rPr>
                <w:rFonts w:hint="eastAsia" w:cs="宋体"/>
                <w:bCs/>
                <w:snapToGrid w:val="0"/>
                <w:kern w:val="0"/>
                <w:highlight w:val="none"/>
                <w:bdr w:val="single" w:color="auto" w:sz="4" w:space="0"/>
              </w:rPr>
            </w:pPr>
            <w:r>
              <w:rPr>
                <w:rFonts w:hint="eastAsia" w:cs="宋体"/>
                <w:highlight w:val="none"/>
              </w:rPr>
              <w:t>×</w:t>
            </w:r>
            <w:r>
              <w:rPr>
                <w:rFonts w:hint="eastAsia" w:cs="宋体"/>
                <w:kern w:val="0"/>
                <w:highlight w:val="none"/>
              </w:rPr>
              <w:t>6</w:t>
            </w:r>
          </w:p>
        </w:tc>
        <w:tc>
          <w:tcPr>
            <w:tcW w:w="3516" w:type="dxa"/>
            <w:gridSpan w:val="2"/>
            <w:tcBorders>
              <w:top w:val="single" w:color="auto" w:sz="6" w:space="0"/>
              <w:left w:val="single" w:color="auto" w:sz="6" w:space="0"/>
              <w:bottom w:val="single" w:color="auto" w:sz="6" w:space="0"/>
              <w:right w:val="single" w:color="auto" w:sz="6" w:space="0"/>
            </w:tcBorders>
            <w:vAlign w:val="center"/>
          </w:tcPr>
          <w:p w14:paraId="3A17BE38">
            <w:pPr>
              <w:ind w:firstLine="0" w:firstLineChars="0"/>
              <w:rPr>
                <w:rFonts w:hint="eastAsia" w:cs="宋体"/>
                <w:kern w:val="0"/>
                <w:highlight w:val="none"/>
              </w:rPr>
            </w:pPr>
            <w:r>
              <w:rPr>
                <w:rFonts w:hint="eastAsia" w:cs="宋体"/>
                <w:kern w:val="0"/>
                <w:highlight w:val="none"/>
              </w:rPr>
              <w:t>各专业报建图（教育、消防、</w:t>
            </w:r>
          </w:p>
          <w:p w14:paraId="3BE9424F">
            <w:pPr>
              <w:ind w:firstLine="0" w:firstLineChars="0"/>
              <w:rPr>
                <w:rFonts w:hint="eastAsia" w:cs="宋体"/>
                <w:kern w:val="0"/>
                <w:highlight w:val="none"/>
              </w:rPr>
            </w:pPr>
            <w:r>
              <w:rPr>
                <w:rFonts w:hint="eastAsia" w:cs="宋体"/>
                <w:kern w:val="0"/>
                <w:highlight w:val="none"/>
              </w:rPr>
              <w:t>人防、卫生、城管、市政等）</w:t>
            </w:r>
          </w:p>
        </w:tc>
        <w:tc>
          <w:tcPr>
            <w:tcW w:w="1884" w:type="dxa"/>
            <w:tcBorders>
              <w:top w:val="single" w:color="auto" w:sz="6" w:space="0"/>
              <w:left w:val="single" w:color="auto" w:sz="6" w:space="0"/>
              <w:bottom w:val="single" w:color="auto" w:sz="6" w:space="0"/>
              <w:right w:val="single" w:color="auto" w:sz="6" w:space="0"/>
            </w:tcBorders>
            <w:vAlign w:val="center"/>
          </w:tcPr>
          <w:p w14:paraId="7EA1B3FA">
            <w:pPr>
              <w:ind w:firstLine="0" w:firstLineChars="0"/>
              <w:rPr>
                <w:rFonts w:hint="eastAsia" w:cs="宋体"/>
                <w:highlight w:val="none"/>
              </w:rPr>
            </w:pPr>
            <w:r>
              <w:rPr>
                <w:rFonts w:hint="eastAsia" w:cs="宋体"/>
                <w:kern w:val="0"/>
                <w:highlight w:val="none"/>
              </w:rPr>
              <w:t>修规批复10天内</w:t>
            </w:r>
          </w:p>
        </w:tc>
        <w:tc>
          <w:tcPr>
            <w:tcW w:w="1086" w:type="dxa"/>
            <w:tcBorders>
              <w:top w:val="single" w:color="auto" w:sz="6" w:space="0"/>
              <w:left w:val="single" w:color="auto" w:sz="6" w:space="0"/>
              <w:bottom w:val="single" w:color="auto" w:sz="6" w:space="0"/>
              <w:right w:val="single" w:color="auto" w:sz="6" w:space="0"/>
            </w:tcBorders>
            <w:vAlign w:val="center"/>
          </w:tcPr>
          <w:p w14:paraId="1C827183">
            <w:pPr>
              <w:ind w:firstLine="480"/>
              <w:rPr>
                <w:rFonts w:hint="eastAsia" w:cs="宋体"/>
                <w:kern w:val="0"/>
                <w:highlight w:val="none"/>
              </w:rPr>
            </w:pPr>
            <w:r>
              <w:rPr>
                <w:rFonts w:hint="eastAsia" w:cs="宋体"/>
                <w:kern w:val="0"/>
                <w:highlight w:val="none"/>
                <w:lang w:eastAsia="zh-TW"/>
              </w:rPr>
              <w:t>8</w:t>
            </w:r>
            <w:r>
              <w:rPr>
                <w:rFonts w:hint="eastAsia" w:cs="宋体"/>
                <w:kern w:val="0"/>
                <w:highlight w:val="none"/>
              </w:rPr>
              <w:t>份纸质文件</w:t>
            </w:r>
          </w:p>
        </w:tc>
        <w:tc>
          <w:tcPr>
            <w:tcW w:w="1905" w:type="dxa"/>
            <w:tcBorders>
              <w:top w:val="single" w:color="auto" w:sz="6" w:space="0"/>
              <w:left w:val="single" w:color="auto" w:sz="6" w:space="0"/>
              <w:bottom w:val="single" w:color="auto" w:sz="6" w:space="0"/>
              <w:right w:val="single" w:color="auto" w:sz="4" w:space="0"/>
            </w:tcBorders>
            <w:vAlign w:val="center"/>
          </w:tcPr>
          <w:p w14:paraId="53497373">
            <w:pPr>
              <w:ind w:firstLine="0" w:firstLineChars="0"/>
              <w:rPr>
                <w:rFonts w:hint="eastAsia" w:cs="宋体"/>
                <w:kern w:val="0"/>
                <w:highlight w:val="none"/>
              </w:rPr>
            </w:pPr>
            <w:r>
              <w:rPr>
                <w:rFonts w:hint="eastAsia" w:cs="宋体"/>
                <w:kern w:val="0"/>
                <w:highlight w:val="none"/>
              </w:rPr>
              <w:t>各专业报建图（教育、消防、</w:t>
            </w:r>
          </w:p>
          <w:p w14:paraId="43DED9D8">
            <w:pPr>
              <w:ind w:firstLine="0" w:firstLineChars="0"/>
              <w:rPr>
                <w:rFonts w:hint="eastAsia" w:cs="宋体"/>
                <w:kern w:val="0"/>
                <w:highlight w:val="none"/>
              </w:rPr>
            </w:pPr>
            <w:r>
              <w:rPr>
                <w:rFonts w:hint="eastAsia" w:cs="宋体"/>
                <w:kern w:val="0"/>
                <w:highlight w:val="none"/>
              </w:rPr>
              <w:t>人防、卫生、城管等），电子文件1份</w:t>
            </w:r>
          </w:p>
        </w:tc>
      </w:tr>
      <w:tr w14:paraId="750BEA28">
        <w:tblPrEx>
          <w:tblCellMar>
            <w:top w:w="0" w:type="dxa"/>
            <w:left w:w="108" w:type="dxa"/>
            <w:bottom w:w="0" w:type="dxa"/>
            <w:right w:w="108" w:type="dxa"/>
          </w:tblCellMar>
        </w:tblPrEx>
        <w:trPr>
          <w:trHeight w:val="390" w:hRule="atLeast"/>
        </w:trPr>
        <w:tc>
          <w:tcPr>
            <w:tcW w:w="915" w:type="dxa"/>
            <w:vMerge w:val="continue"/>
            <w:tcBorders>
              <w:left w:val="single" w:color="auto" w:sz="4" w:space="0"/>
              <w:right w:val="single" w:color="auto" w:sz="6" w:space="0"/>
            </w:tcBorders>
            <w:vAlign w:val="center"/>
          </w:tcPr>
          <w:p w14:paraId="68651CF9">
            <w:pPr>
              <w:ind w:firstLine="480"/>
              <w:rPr>
                <w:rFonts w:hint="eastAsia" w:cs="宋体"/>
                <w:snapToGrid w:val="0"/>
                <w:kern w:val="0"/>
                <w:highlight w:val="none"/>
              </w:rPr>
            </w:pPr>
          </w:p>
        </w:tc>
        <w:tc>
          <w:tcPr>
            <w:tcW w:w="3516" w:type="dxa"/>
            <w:gridSpan w:val="2"/>
            <w:tcBorders>
              <w:top w:val="single" w:color="auto" w:sz="6" w:space="0"/>
              <w:left w:val="single" w:color="auto" w:sz="6" w:space="0"/>
              <w:bottom w:val="single" w:color="auto" w:sz="6" w:space="0"/>
              <w:right w:val="single" w:color="auto" w:sz="6" w:space="0"/>
            </w:tcBorders>
            <w:vAlign w:val="center"/>
          </w:tcPr>
          <w:p w14:paraId="0A156330">
            <w:pPr>
              <w:ind w:firstLine="0" w:firstLineChars="0"/>
              <w:rPr>
                <w:rFonts w:hint="eastAsia" w:cs="宋体"/>
                <w:kern w:val="0"/>
                <w:highlight w:val="none"/>
              </w:rPr>
            </w:pPr>
            <w:r>
              <w:rPr>
                <w:rFonts w:hint="eastAsia" w:cs="宋体"/>
                <w:kern w:val="0"/>
                <w:highlight w:val="none"/>
              </w:rPr>
              <w:t>建设工程规划许可证报建图</w:t>
            </w:r>
          </w:p>
        </w:tc>
        <w:tc>
          <w:tcPr>
            <w:tcW w:w="1884" w:type="dxa"/>
            <w:tcBorders>
              <w:top w:val="single" w:color="auto" w:sz="6" w:space="0"/>
              <w:left w:val="single" w:color="auto" w:sz="6" w:space="0"/>
              <w:bottom w:val="single" w:color="auto" w:sz="6" w:space="0"/>
              <w:right w:val="single" w:color="auto" w:sz="6" w:space="0"/>
            </w:tcBorders>
            <w:vAlign w:val="center"/>
          </w:tcPr>
          <w:p w14:paraId="718ADD09">
            <w:pPr>
              <w:ind w:firstLine="0" w:firstLineChars="0"/>
              <w:rPr>
                <w:rFonts w:hint="eastAsia" w:cs="宋体"/>
                <w:kern w:val="0"/>
                <w:highlight w:val="none"/>
              </w:rPr>
            </w:pPr>
            <w:r>
              <w:rPr>
                <w:rFonts w:hint="eastAsia" w:cs="宋体"/>
                <w:kern w:val="0"/>
                <w:highlight w:val="none"/>
              </w:rPr>
              <w:t>各专业报建批复后10天内</w:t>
            </w:r>
          </w:p>
        </w:tc>
        <w:tc>
          <w:tcPr>
            <w:tcW w:w="1086" w:type="dxa"/>
            <w:tcBorders>
              <w:top w:val="single" w:color="auto" w:sz="6" w:space="0"/>
              <w:left w:val="single" w:color="auto" w:sz="6" w:space="0"/>
              <w:bottom w:val="single" w:color="auto" w:sz="6" w:space="0"/>
              <w:right w:val="single" w:color="auto" w:sz="6" w:space="0"/>
            </w:tcBorders>
            <w:vAlign w:val="center"/>
          </w:tcPr>
          <w:p w14:paraId="774E8FBD">
            <w:pPr>
              <w:ind w:firstLine="480"/>
              <w:rPr>
                <w:rFonts w:hint="eastAsia" w:cs="宋体"/>
                <w:highlight w:val="none"/>
                <w:lang w:eastAsia="zh-TW"/>
              </w:rPr>
            </w:pPr>
            <w:r>
              <w:rPr>
                <w:rFonts w:hint="eastAsia" w:cs="宋体"/>
                <w:highlight w:val="none"/>
                <w:lang w:eastAsia="zh-TW"/>
              </w:rPr>
              <w:t>8</w:t>
            </w:r>
          </w:p>
        </w:tc>
        <w:tc>
          <w:tcPr>
            <w:tcW w:w="1905" w:type="dxa"/>
            <w:tcBorders>
              <w:top w:val="single" w:color="auto" w:sz="6" w:space="0"/>
              <w:left w:val="single" w:color="auto" w:sz="6" w:space="0"/>
              <w:bottom w:val="single" w:color="auto" w:sz="6" w:space="0"/>
              <w:right w:val="single" w:color="auto" w:sz="4" w:space="0"/>
            </w:tcBorders>
            <w:vAlign w:val="center"/>
          </w:tcPr>
          <w:p w14:paraId="1BED2E0A">
            <w:pPr>
              <w:ind w:firstLine="0" w:firstLineChars="0"/>
              <w:rPr>
                <w:rFonts w:hint="eastAsia" w:cs="宋体"/>
                <w:kern w:val="0"/>
                <w:highlight w:val="none"/>
              </w:rPr>
            </w:pPr>
            <w:r>
              <w:rPr>
                <w:rFonts w:hint="eastAsia" w:cs="宋体"/>
                <w:kern w:val="0"/>
                <w:highlight w:val="none"/>
              </w:rPr>
              <w:t>另加电子文件2份</w:t>
            </w:r>
          </w:p>
        </w:tc>
      </w:tr>
      <w:tr w14:paraId="5B0B7026">
        <w:tblPrEx>
          <w:tblCellMar>
            <w:top w:w="0" w:type="dxa"/>
            <w:left w:w="108" w:type="dxa"/>
            <w:bottom w:w="0" w:type="dxa"/>
            <w:right w:w="108" w:type="dxa"/>
          </w:tblCellMar>
        </w:tblPrEx>
        <w:trPr>
          <w:trHeight w:val="795" w:hRule="atLeast"/>
        </w:trPr>
        <w:tc>
          <w:tcPr>
            <w:tcW w:w="915" w:type="dxa"/>
            <w:vMerge w:val="restart"/>
            <w:tcBorders>
              <w:left w:val="single" w:color="auto" w:sz="4" w:space="0"/>
              <w:right w:val="single" w:color="auto" w:sz="6" w:space="0"/>
            </w:tcBorders>
            <w:vAlign w:val="center"/>
          </w:tcPr>
          <w:p w14:paraId="6522E708">
            <w:pPr>
              <w:ind w:firstLine="0" w:firstLineChars="0"/>
              <w:rPr>
                <w:rFonts w:hint="eastAsia" w:cs="宋体"/>
                <w:snapToGrid w:val="0"/>
                <w:kern w:val="0"/>
                <w:highlight w:val="none"/>
              </w:rPr>
            </w:pPr>
            <w:r>
              <w:rPr>
                <w:rFonts w:hint="eastAsia" w:cs="宋体"/>
                <w:bCs/>
                <w:snapToGrid w:val="0"/>
                <w:kern w:val="0"/>
                <w:highlight w:val="none"/>
                <w:bdr w:val="single" w:color="auto" w:sz="4" w:space="0"/>
              </w:rPr>
              <w:t>√</w:t>
            </w:r>
            <w:r>
              <w:rPr>
                <w:rFonts w:hint="eastAsia" w:cs="宋体"/>
                <w:kern w:val="0"/>
                <w:highlight w:val="none"/>
              </w:rPr>
              <w:t>7</w:t>
            </w:r>
          </w:p>
        </w:tc>
        <w:tc>
          <w:tcPr>
            <w:tcW w:w="1800" w:type="dxa"/>
            <w:tcBorders>
              <w:top w:val="single" w:color="auto" w:sz="6" w:space="0"/>
              <w:left w:val="single" w:color="auto" w:sz="6" w:space="0"/>
              <w:bottom w:val="single" w:color="auto" w:sz="4" w:space="0"/>
              <w:right w:val="single" w:color="auto" w:sz="6" w:space="0"/>
            </w:tcBorders>
            <w:vAlign w:val="center"/>
          </w:tcPr>
          <w:p w14:paraId="07060A55">
            <w:pPr>
              <w:ind w:firstLine="0" w:firstLineChars="0"/>
              <w:rPr>
                <w:rFonts w:hint="eastAsia" w:cs="宋体"/>
                <w:kern w:val="0"/>
                <w:highlight w:val="none"/>
              </w:rPr>
            </w:pPr>
            <w:r>
              <w:rPr>
                <w:rFonts w:hint="eastAsia" w:cs="宋体"/>
                <w:kern w:val="0"/>
                <w:highlight w:val="none"/>
              </w:rPr>
              <w:t>审图机构</w:t>
            </w:r>
          </w:p>
          <w:p w14:paraId="0DC70BFD">
            <w:pPr>
              <w:ind w:firstLine="0" w:firstLineChars="0"/>
              <w:rPr>
                <w:rFonts w:hint="eastAsia" w:cs="宋体"/>
                <w:kern w:val="0"/>
                <w:highlight w:val="none"/>
              </w:rPr>
            </w:pPr>
            <w:r>
              <w:rPr>
                <w:rFonts w:hint="eastAsia" w:cs="宋体"/>
                <w:kern w:val="0"/>
                <w:highlight w:val="none"/>
              </w:rPr>
              <w:t>审查稿</w:t>
            </w:r>
          </w:p>
        </w:tc>
        <w:tc>
          <w:tcPr>
            <w:tcW w:w="1716" w:type="dxa"/>
            <w:tcBorders>
              <w:top w:val="single" w:color="auto" w:sz="6" w:space="0"/>
              <w:left w:val="single" w:color="auto" w:sz="6" w:space="0"/>
              <w:bottom w:val="single" w:color="auto" w:sz="4" w:space="0"/>
              <w:right w:val="single" w:color="auto" w:sz="6" w:space="0"/>
            </w:tcBorders>
            <w:vAlign w:val="center"/>
          </w:tcPr>
          <w:p w14:paraId="2823A9BA">
            <w:pPr>
              <w:ind w:firstLine="480"/>
              <w:rPr>
                <w:rFonts w:hint="eastAsia" w:cs="宋体"/>
                <w:kern w:val="0"/>
                <w:highlight w:val="none"/>
              </w:rPr>
            </w:pPr>
            <w:r>
              <w:rPr>
                <w:rFonts w:hint="eastAsia" w:cs="宋体"/>
                <w:kern w:val="0"/>
                <w:highlight w:val="none"/>
              </w:rPr>
              <w:t>施工图</w:t>
            </w:r>
          </w:p>
        </w:tc>
        <w:tc>
          <w:tcPr>
            <w:tcW w:w="1884" w:type="dxa"/>
            <w:tcBorders>
              <w:top w:val="single" w:color="auto" w:sz="6" w:space="0"/>
              <w:left w:val="single" w:color="auto" w:sz="6" w:space="0"/>
              <w:bottom w:val="single" w:color="auto" w:sz="4" w:space="0"/>
              <w:right w:val="single" w:color="auto" w:sz="6" w:space="0"/>
            </w:tcBorders>
            <w:vAlign w:val="center"/>
          </w:tcPr>
          <w:p w14:paraId="7B32FC9D">
            <w:pPr>
              <w:ind w:firstLine="0" w:firstLineChars="0"/>
              <w:rPr>
                <w:rFonts w:hint="eastAsia" w:cs="宋体"/>
                <w:kern w:val="0"/>
                <w:highlight w:val="none"/>
              </w:rPr>
            </w:pPr>
            <w:r>
              <w:rPr>
                <w:rFonts w:hint="eastAsia" w:cs="宋体"/>
                <w:kern w:val="0"/>
                <w:highlight w:val="none"/>
              </w:rPr>
              <w:t>取得初步设计批文后30天内</w:t>
            </w:r>
          </w:p>
        </w:tc>
        <w:tc>
          <w:tcPr>
            <w:tcW w:w="1086" w:type="dxa"/>
            <w:tcBorders>
              <w:top w:val="single" w:color="auto" w:sz="6" w:space="0"/>
              <w:left w:val="single" w:color="auto" w:sz="6" w:space="0"/>
              <w:bottom w:val="single" w:color="auto" w:sz="4" w:space="0"/>
              <w:right w:val="single" w:color="auto" w:sz="6" w:space="0"/>
            </w:tcBorders>
            <w:vAlign w:val="center"/>
          </w:tcPr>
          <w:p w14:paraId="6E120E24">
            <w:pPr>
              <w:ind w:firstLine="480"/>
              <w:rPr>
                <w:rFonts w:hint="eastAsia" w:cs="宋体"/>
                <w:kern w:val="0"/>
                <w:highlight w:val="none"/>
                <w:lang w:eastAsia="zh-TW"/>
              </w:rPr>
            </w:pPr>
            <w:r>
              <w:rPr>
                <w:rFonts w:hint="eastAsia" w:cs="宋体"/>
                <w:kern w:val="0"/>
                <w:highlight w:val="none"/>
                <w:lang w:eastAsia="zh-TW"/>
              </w:rPr>
              <w:t>8</w:t>
            </w:r>
          </w:p>
        </w:tc>
        <w:tc>
          <w:tcPr>
            <w:tcW w:w="1905" w:type="dxa"/>
            <w:tcBorders>
              <w:top w:val="single" w:color="auto" w:sz="6" w:space="0"/>
              <w:left w:val="single" w:color="auto" w:sz="6" w:space="0"/>
              <w:bottom w:val="single" w:color="auto" w:sz="4" w:space="0"/>
              <w:right w:val="single" w:color="auto" w:sz="4" w:space="0"/>
            </w:tcBorders>
            <w:vAlign w:val="center"/>
          </w:tcPr>
          <w:p w14:paraId="45B565B3">
            <w:pPr>
              <w:ind w:firstLine="0" w:firstLineChars="0"/>
              <w:rPr>
                <w:rFonts w:hint="eastAsia" w:cs="宋体"/>
                <w:kern w:val="0"/>
                <w:highlight w:val="none"/>
                <w:u w:val="single"/>
              </w:rPr>
            </w:pPr>
            <w:r>
              <w:rPr>
                <w:rFonts w:hint="eastAsia" w:cs="宋体"/>
                <w:kern w:val="0"/>
                <w:highlight w:val="none"/>
              </w:rPr>
              <w:t>另加电子文件1份</w:t>
            </w:r>
          </w:p>
        </w:tc>
      </w:tr>
      <w:tr w14:paraId="041D23B7">
        <w:tblPrEx>
          <w:tblCellMar>
            <w:top w:w="0" w:type="dxa"/>
            <w:left w:w="108" w:type="dxa"/>
            <w:bottom w:w="0" w:type="dxa"/>
            <w:right w:w="108" w:type="dxa"/>
          </w:tblCellMar>
        </w:tblPrEx>
        <w:trPr>
          <w:trHeight w:val="720" w:hRule="atLeast"/>
        </w:trPr>
        <w:tc>
          <w:tcPr>
            <w:tcW w:w="915" w:type="dxa"/>
            <w:vMerge w:val="continue"/>
            <w:tcBorders>
              <w:left w:val="single" w:color="auto" w:sz="4" w:space="0"/>
              <w:right w:val="single" w:color="auto" w:sz="6" w:space="0"/>
            </w:tcBorders>
            <w:vAlign w:val="center"/>
          </w:tcPr>
          <w:p w14:paraId="60DA3FC3">
            <w:pPr>
              <w:ind w:firstLine="480"/>
              <w:rPr>
                <w:rFonts w:hint="eastAsia" w:cs="宋体"/>
                <w:kern w:val="0"/>
                <w:highlight w:val="none"/>
              </w:rPr>
            </w:pPr>
          </w:p>
        </w:tc>
        <w:tc>
          <w:tcPr>
            <w:tcW w:w="1800" w:type="dxa"/>
            <w:tcBorders>
              <w:top w:val="single" w:color="auto" w:sz="4" w:space="0"/>
              <w:left w:val="single" w:color="auto" w:sz="6" w:space="0"/>
              <w:bottom w:val="single" w:color="auto" w:sz="6" w:space="0"/>
              <w:right w:val="single" w:color="auto" w:sz="6" w:space="0"/>
            </w:tcBorders>
            <w:vAlign w:val="center"/>
          </w:tcPr>
          <w:p w14:paraId="2FCD1380">
            <w:pPr>
              <w:ind w:firstLine="0" w:firstLineChars="0"/>
              <w:rPr>
                <w:rFonts w:hint="eastAsia" w:cs="宋体"/>
                <w:kern w:val="0"/>
                <w:highlight w:val="none"/>
              </w:rPr>
            </w:pPr>
            <w:r>
              <w:rPr>
                <w:rFonts w:hint="eastAsia" w:cs="宋体"/>
                <w:kern w:val="0"/>
                <w:highlight w:val="none"/>
              </w:rPr>
              <w:t>正式施工图</w:t>
            </w:r>
          </w:p>
          <w:p w14:paraId="6971F269">
            <w:pPr>
              <w:pStyle w:val="24"/>
              <w:ind w:firstLine="0" w:firstLineChars="0"/>
              <w:jc w:val="both"/>
              <w:rPr>
                <w:rFonts w:hint="eastAsia"/>
                <w:highlight w:val="none"/>
              </w:rPr>
            </w:pPr>
            <w:r>
              <w:rPr>
                <w:rFonts w:hint="eastAsia" w:cs="Courier New"/>
                <w:b w:val="0"/>
                <w:bCs w:val="0"/>
                <w:szCs w:val="21"/>
                <w:highlight w:val="none"/>
              </w:rPr>
              <w:t>（含BIM模型）</w:t>
            </w:r>
          </w:p>
        </w:tc>
        <w:tc>
          <w:tcPr>
            <w:tcW w:w="1716" w:type="dxa"/>
            <w:tcBorders>
              <w:top w:val="single" w:color="auto" w:sz="4" w:space="0"/>
              <w:left w:val="single" w:color="auto" w:sz="6" w:space="0"/>
              <w:right w:val="single" w:color="auto" w:sz="6" w:space="0"/>
            </w:tcBorders>
            <w:vAlign w:val="center"/>
          </w:tcPr>
          <w:p w14:paraId="536D88F9">
            <w:pPr>
              <w:ind w:firstLine="480"/>
              <w:rPr>
                <w:rFonts w:hint="eastAsia" w:cs="宋体"/>
                <w:kern w:val="0"/>
                <w:highlight w:val="none"/>
              </w:rPr>
            </w:pPr>
            <w:r>
              <w:rPr>
                <w:rFonts w:hint="eastAsia" w:cs="宋体"/>
                <w:kern w:val="0"/>
                <w:highlight w:val="none"/>
              </w:rPr>
              <w:t>施工图</w:t>
            </w:r>
          </w:p>
        </w:tc>
        <w:tc>
          <w:tcPr>
            <w:tcW w:w="1884" w:type="dxa"/>
            <w:tcBorders>
              <w:top w:val="single" w:color="auto" w:sz="4" w:space="0"/>
              <w:left w:val="single" w:color="auto" w:sz="6" w:space="0"/>
              <w:bottom w:val="single" w:color="auto" w:sz="6" w:space="0"/>
              <w:right w:val="single" w:color="auto" w:sz="6" w:space="0"/>
            </w:tcBorders>
            <w:vAlign w:val="center"/>
          </w:tcPr>
          <w:p w14:paraId="2C2CA8B3">
            <w:pPr>
              <w:ind w:firstLine="0" w:firstLineChars="0"/>
              <w:rPr>
                <w:rFonts w:hint="eastAsia" w:cs="宋体"/>
                <w:kern w:val="0"/>
                <w:highlight w:val="none"/>
              </w:rPr>
            </w:pPr>
            <w:r>
              <w:rPr>
                <w:rFonts w:hint="eastAsia" w:cs="宋体"/>
                <w:kern w:val="0"/>
                <w:highlight w:val="none"/>
              </w:rPr>
              <w:t>施工图审查通过后5天内</w:t>
            </w:r>
          </w:p>
        </w:tc>
        <w:tc>
          <w:tcPr>
            <w:tcW w:w="1086" w:type="dxa"/>
            <w:tcBorders>
              <w:top w:val="single" w:color="auto" w:sz="4" w:space="0"/>
              <w:left w:val="single" w:color="auto" w:sz="6" w:space="0"/>
              <w:right w:val="single" w:color="auto" w:sz="6" w:space="0"/>
            </w:tcBorders>
            <w:vAlign w:val="center"/>
          </w:tcPr>
          <w:p w14:paraId="4850B89D">
            <w:pPr>
              <w:ind w:firstLine="480"/>
              <w:rPr>
                <w:rFonts w:hint="eastAsia" w:cs="宋体"/>
                <w:kern w:val="0"/>
                <w:highlight w:val="none"/>
              </w:rPr>
            </w:pPr>
            <w:r>
              <w:rPr>
                <w:rFonts w:hint="eastAsia" w:cs="宋体"/>
                <w:kern w:val="0"/>
                <w:highlight w:val="none"/>
              </w:rPr>
              <w:t>20</w:t>
            </w:r>
          </w:p>
        </w:tc>
        <w:tc>
          <w:tcPr>
            <w:tcW w:w="1905" w:type="dxa"/>
            <w:tcBorders>
              <w:top w:val="single" w:color="auto" w:sz="4" w:space="0"/>
              <w:left w:val="single" w:color="auto" w:sz="6" w:space="0"/>
              <w:right w:val="single" w:color="auto" w:sz="4" w:space="0"/>
            </w:tcBorders>
            <w:vAlign w:val="center"/>
          </w:tcPr>
          <w:p w14:paraId="5BC733DA">
            <w:pPr>
              <w:ind w:firstLine="0" w:firstLineChars="0"/>
              <w:rPr>
                <w:rFonts w:hint="eastAsia" w:cs="宋体"/>
                <w:kern w:val="0"/>
                <w:highlight w:val="none"/>
                <w:u w:val="single"/>
              </w:rPr>
            </w:pPr>
            <w:r>
              <w:rPr>
                <w:rFonts w:hint="eastAsia" w:cs="宋体"/>
                <w:kern w:val="0"/>
                <w:highlight w:val="none"/>
              </w:rPr>
              <w:t>另加电子文件2份</w:t>
            </w:r>
          </w:p>
        </w:tc>
      </w:tr>
      <w:tr w14:paraId="0A070624">
        <w:tblPrEx>
          <w:tblCellMar>
            <w:top w:w="0" w:type="dxa"/>
            <w:left w:w="108" w:type="dxa"/>
            <w:bottom w:w="0" w:type="dxa"/>
            <w:right w:w="108" w:type="dxa"/>
          </w:tblCellMar>
        </w:tblPrEx>
        <w:trPr>
          <w:trHeight w:val="436" w:hRule="atLeast"/>
        </w:trPr>
        <w:tc>
          <w:tcPr>
            <w:tcW w:w="915" w:type="dxa"/>
            <w:tcBorders>
              <w:top w:val="single" w:color="auto" w:sz="6" w:space="0"/>
              <w:left w:val="single" w:color="auto" w:sz="4" w:space="0"/>
              <w:right w:val="single" w:color="auto" w:sz="6" w:space="0"/>
            </w:tcBorders>
            <w:vAlign w:val="center"/>
          </w:tcPr>
          <w:p w14:paraId="6CEFDE12">
            <w:pPr>
              <w:ind w:firstLine="0" w:firstLineChars="0"/>
              <w:rPr>
                <w:rFonts w:hint="eastAsia" w:cs="宋体"/>
                <w:bCs/>
                <w:snapToGrid w:val="0"/>
                <w:kern w:val="0"/>
                <w:highlight w:val="none"/>
                <w:bdr w:val="single" w:color="auto" w:sz="4" w:space="0"/>
              </w:rPr>
            </w:pPr>
            <w:r>
              <w:rPr>
                <w:rFonts w:hint="eastAsia" w:cs="宋体"/>
                <w:bCs/>
                <w:snapToGrid w:val="0"/>
                <w:kern w:val="0"/>
                <w:highlight w:val="none"/>
                <w:bdr w:val="single" w:color="auto" w:sz="4" w:space="0"/>
              </w:rPr>
              <w:t>√</w:t>
            </w:r>
            <w:r>
              <w:rPr>
                <w:rFonts w:hint="eastAsia" w:cs="宋体"/>
                <w:kern w:val="0"/>
                <w:highlight w:val="none"/>
              </w:rPr>
              <w:t>8</w:t>
            </w:r>
          </w:p>
        </w:tc>
        <w:tc>
          <w:tcPr>
            <w:tcW w:w="3516" w:type="dxa"/>
            <w:gridSpan w:val="2"/>
            <w:tcBorders>
              <w:top w:val="single" w:color="auto" w:sz="6" w:space="0"/>
              <w:left w:val="single" w:color="auto" w:sz="6" w:space="0"/>
              <w:bottom w:val="single" w:color="auto" w:sz="6" w:space="0"/>
              <w:right w:val="single" w:color="auto" w:sz="6" w:space="0"/>
            </w:tcBorders>
            <w:vAlign w:val="center"/>
          </w:tcPr>
          <w:p w14:paraId="49275A64">
            <w:pPr>
              <w:ind w:firstLine="480"/>
              <w:rPr>
                <w:rFonts w:hint="eastAsia" w:cs="宋体"/>
                <w:kern w:val="0"/>
                <w:highlight w:val="none"/>
              </w:rPr>
            </w:pPr>
            <w:r>
              <w:rPr>
                <w:rFonts w:hint="eastAsia" w:cs="宋体"/>
                <w:kern w:val="0"/>
                <w:highlight w:val="none"/>
              </w:rPr>
              <w:t>装配式施工图</w:t>
            </w:r>
          </w:p>
        </w:tc>
        <w:tc>
          <w:tcPr>
            <w:tcW w:w="1884" w:type="dxa"/>
            <w:tcBorders>
              <w:top w:val="single" w:color="auto" w:sz="6" w:space="0"/>
              <w:left w:val="single" w:color="auto" w:sz="6" w:space="0"/>
              <w:right w:val="single" w:color="auto" w:sz="6" w:space="0"/>
            </w:tcBorders>
            <w:vAlign w:val="center"/>
          </w:tcPr>
          <w:p w14:paraId="05C37FEE">
            <w:pPr>
              <w:ind w:firstLine="0" w:firstLineChars="0"/>
              <w:rPr>
                <w:rFonts w:hint="eastAsia" w:cs="宋体"/>
                <w:kern w:val="0"/>
                <w:highlight w:val="none"/>
              </w:rPr>
            </w:pPr>
            <w:r>
              <w:rPr>
                <w:rFonts w:hint="eastAsia" w:cs="宋体"/>
                <w:kern w:val="0"/>
                <w:highlight w:val="none"/>
              </w:rPr>
              <w:t>施工图审查通过后5天内</w:t>
            </w:r>
          </w:p>
        </w:tc>
        <w:tc>
          <w:tcPr>
            <w:tcW w:w="1086" w:type="dxa"/>
            <w:tcBorders>
              <w:top w:val="single" w:color="auto" w:sz="6" w:space="0"/>
              <w:left w:val="single" w:color="auto" w:sz="6" w:space="0"/>
              <w:bottom w:val="single" w:color="auto" w:sz="6" w:space="0"/>
              <w:right w:val="single" w:color="auto" w:sz="6" w:space="0"/>
            </w:tcBorders>
            <w:vAlign w:val="center"/>
          </w:tcPr>
          <w:p w14:paraId="380F7985">
            <w:pPr>
              <w:ind w:firstLine="480"/>
              <w:rPr>
                <w:rFonts w:hint="eastAsia" w:cs="宋体"/>
                <w:kern w:val="0"/>
                <w:highlight w:val="none"/>
              </w:rPr>
            </w:pPr>
            <w:r>
              <w:rPr>
                <w:rFonts w:hint="eastAsia" w:cs="宋体"/>
                <w:kern w:val="0"/>
                <w:highlight w:val="none"/>
              </w:rPr>
              <w:t>20</w:t>
            </w:r>
          </w:p>
        </w:tc>
        <w:tc>
          <w:tcPr>
            <w:tcW w:w="1905" w:type="dxa"/>
            <w:tcBorders>
              <w:top w:val="single" w:color="auto" w:sz="6" w:space="0"/>
              <w:left w:val="single" w:color="auto" w:sz="6" w:space="0"/>
              <w:bottom w:val="single" w:color="auto" w:sz="6" w:space="0"/>
              <w:right w:val="single" w:color="auto" w:sz="4" w:space="0"/>
            </w:tcBorders>
            <w:vAlign w:val="center"/>
          </w:tcPr>
          <w:p w14:paraId="44B5B5AA">
            <w:pPr>
              <w:ind w:firstLine="0" w:firstLineChars="0"/>
              <w:rPr>
                <w:rFonts w:hint="eastAsia" w:cs="宋体"/>
                <w:kern w:val="0"/>
                <w:highlight w:val="none"/>
              </w:rPr>
            </w:pPr>
            <w:r>
              <w:rPr>
                <w:rFonts w:hint="eastAsia" w:cs="宋体"/>
                <w:kern w:val="0"/>
                <w:highlight w:val="none"/>
              </w:rPr>
              <w:t>另加电子文件2份</w:t>
            </w:r>
          </w:p>
        </w:tc>
      </w:tr>
      <w:tr w14:paraId="3C187D61">
        <w:tblPrEx>
          <w:tblCellMar>
            <w:top w:w="0" w:type="dxa"/>
            <w:left w:w="108" w:type="dxa"/>
            <w:bottom w:w="0" w:type="dxa"/>
            <w:right w:w="108" w:type="dxa"/>
          </w:tblCellMar>
        </w:tblPrEx>
        <w:trPr>
          <w:trHeight w:val="436" w:hRule="atLeast"/>
        </w:trPr>
        <w:tc>
          <w:tcPr>
            <w:tcW w:w="915" w:type="dxa"/>
            <w:vMerge w:val="restart"/>
            <w:tcBorders>
              <w:top w:val="single" w:color="auto" w:sz="6" w:space="0"/>
              <w:left w:val="single" w:color="auto" w:sz="4" w:space="0"/>
              <w:right w:val="single" w:color="auto" w:sz="6" w:space="0"/>
            </w:tcBorders>
            <w:vAlign w:val="center"/>
          </w:tcPr>
          <w:p w14:paraId="4A833C37">
            <w:pPr>
              <w:ind w:firstLine="0" w:firstLineChars="0"/>
              <w:rPr>
                <w:rFonts w:hint="eastAsia" w:cs="宋体"/>
                <w:bCs/>
                <w:snapToGrid w:val="0"/>
                <w:kern w:val="0"/>
                <w:highlight w:val="none"/>
                <w:bdr w:val="single" w:color="auto" w:sz="4" w:space="0"/>
              </w:rPr>
            </w:pPr>
            <w:r>
              <w:rPr>
                <w:rFonts w:hint="eastAsia" w:cs="宋体"/>
                <w:bCs/>
                <w:snapToGrid w:val="0"/>
                <w:kern w:val="0"/>
                <w:highlight w:val="none"/>
                <w:bdr w:val="single" w:color="auto" w:sz="4" w:space="0"/>
              </w:rPr>
              <w:t>√</w:t>
            </w:r>
            <w:r>
              <w:rPr>
                <w:rFonts w:hint="eastAsia" w:cs="宋体"/>
                <w:kern w:val="0"/>
                <w:highlight w:val="none"/>
              </w:rPr>
              <w:t>9</w:t>
            </w:r>
            <w:r>
              <w:rPr>
                <w:rFonts w:hint="eastAsia" w:cs="宋体"/>
                <w:kern w:val="0"/>
                <w:highlight w:val="none"/>
              </w:rPr>
              <w:t>（问王总）</w:t>
            </w:r>
          </w:p>
        </w:tc>
        <w:tc>
          <w:tcPr>
            <w:tcW w:w="3516" w:type="dxa"/>
            <w:gridSpan w:val="2"/>
            <w:tcBorders>
              <w:top w:val="single" w:color="auto" w:sz="6" w:space="0"/>
              <w:left w:val="single" w:color="auto" w:sz="6" w:space="0"/>
              <w:bottom w:val="single" w:color="auto" w:sz="6" w:space="0"/>
              <w:right w:val="single" w:color="auto" w:sz="6" w:space="0"/>
            </w:tcBorders>
            <w:vAlign w:val="center"/>
          </w:tcPr>
          <w:p w14:paraId="27A9D91B">
            <w:pPr>
              <w:ind w:firstLine="480"/>
              <w:rPr>
                <w:rFonts w:hint="eastAsia" w:cs="宋体"/>
                <w:kern w:val="0"/>
                <w:highlight w:val="none"/>
              </w:rPr>
            </w:pPr>
            <w:r>
              <w:rPr>
                <w:rFonts w:hint="eastAsia" w:cs="宋体"/>
                <w:kern w:val="0"/>
                <w:highlight w:val="none"/>
              </w:rPr>
              <w:t>沙盘模型</w:t>
            </w:r>
          </w:p>
        </w:tc>
        <w:tc>
          <w:tcPr>
            <w:tcW w:w="1884" w:type="dxa"/>
            <w:tcBorders>
              <w:top w:val="single" w:color="auto" w:sz="6" w:space="0"/>
              <w:left w:val="single" w:color="auto" w:sz="6" w:space="0"/>
              <w:right w:val="single" w:color="auto" w:sz="6" w:space="0"/>
            </w:tcBorders>
            <w:vAlign w:val="center"/>
          </w:tcPr>
          <w:p w14:paraId="39FAB375">
            <w:pPr>
              <w:ind w:firstLine="0" w:firstLineChars="0"/>
              <w:rPr>
                <w:rFonts w:hint="eastAsia" w:cs="宋体"/>
                <w:kern w:val="0"/>
                <w:highlight w:val="none"/>
              </w:rPr>
            </w:pPr>
            <w:r>
              <w:rPr>
                <w:rFonts w:hint="eastAsia" w:cs="宋体"/>
                <w:kern w:val="0"/>
                <w:highlight w:val="none"/>
              </w:rPr>
              <w:t>按发包人要求</w:t>
            </w:r>
          </w:p>
        </w:tc>
        <w:tc>
          <w:tcPr>
            <w:tcW w:w="1086" w:type="dxa"/>
            <w:tcBorders>
              <w:top w:val="single" w:color="auto" w:sz="6" w:space="0"/>
              <w:left w:val="single" w:color="auto" w:sz="6" w:space="0"/>
              <w:bottom w:val="single" w:color="auto" w:sz="6" w:space="0"/>
              <w:right w:val="single" w:color="auto" w:sz="6" w:space="0"/>
            </w:tcBorders>
            <w:vAlign w:val="center"/>
          </w:tcPr>
          <w:p w14:paraId="61C35064">
            <w:pPr>
              <w:ind w:firstLine="480"/>
              <w:rPr>
                <w:rFonts w:hint="eastAsia" w:cs="宋体"/>
                <w:kern w:val="0"/>
                <w:highlight w:val="none"/>
              </w:rPr>
            </w:pPr>
            <w:r>
              <w:rPr>
                <w:rFonts w:hint="eastAsia" w:cs="宋体"/>
                <w:kern w:val="0"/>
                <w:highlight w:val="none"/>
              </w:rPr>
              <w:t>1</w:t>
            </w:r>
          </w:p>
        </w:tc>
        <w:tc>
          <w:tcPr>
            <w:tcW w:w="1905" w:type="dxa"/>
            <w:tcBorders>
              <w:top w:val="single" w:color="auto" w:sz="6" w:space="0"/>
              <w:left w:val="single" w:color="auto" w:sz="6" w:space="0"/>
              <w:bottom w:val="single" w:color="auto" w:sz="6" w:space="0"/>
              <w:right w:val="single" w:color="auto" w:sz="4" w:space="0"/>
            </w:tcBorders>
            <w:vAlign w:val="center"/>
          </w:tcPr>
          <w:p w14:paraId="1CEFF1B5">
            <w:pPr>
              <w:ind w:firstLine="0" w:firstLineChars="0"/>
              <w:rPr>
                <w:rFonts w:hint="eastAsia" w:cs="宋体"/>
                <w:kern w:val="0"/>
                <w:highlight w:val="none"/>
              </w:rPr>
            </w:pPr>
            <w:r>
              <w:rPr>
                <w:rFonts w:hint="eastAsia" w:cs="宋体"/>
                <w:kern w:val="0"/>
                <w:highlight w:val="none"/>
              </w:rPr>
              <w:t>模型1套</w:t>
            </w:r>
          </w:p>
        </w:tc>
      </w:tr>
      <w:tr w14:paraId="61935A17">
        <w:tblPrEx>
          <w:tblCellMar>
            <w:top w:w="0" w:type="dxa"/>
            <w:left w:w="108" w:type="dxa"/>
            <w:bottom w:w="0" w:type="dxa"/>
            <w:right w:w="108" w:type="dxa"/>
          </w:tblCellMar>
        </w:tblPrEx>
        <w:trPr>
          <w:trHeight w:val="436" w:hRule="atLeast"/>
        </w:trPr>
        <w:tc>
          <w:tcPr>
            <w:tcW w:w="915" w:type="dxa"/>
            <w:vMerge w:val="continue"/>
            <w:tcBorders>
              <w:left w:val="single" w:color="auto" w:sz="4" w:space="0"/>
              <w:right w:val="single" w:color="auto" w:sz="6" w:space="0"/>
            </w:tcBorders>
            <w:vAlign w:val="center"/>
          </w:tcPr>
          <w:p w14:paraId="128EB6CD">
            <w:pPr>
              <w:ind w:firstLine="480"/>
              <w:rPr>
                <w:rFonts w:hint="eastAsia" w:cs="宋体"/>
                <w:bCs/>
                <w:snapToGrid w:val="0"/>
                <w:kern w:val="0"/>
                <w:highlight w:val="none"/>
                <w:bdr w:val="single" w:color="auto" w:sz="4" w:space="0"/>
              </w:rPr>
            </w:pPr>
          </w:p>
        </w:tc>
        <w:tc>
          <w:tcPr>
            <w:tcW w:w="3516" w:type="dxa"/>
            <w:gridSpan w:val="2"/>
            <w:tcBorders>
              <w:top w:val="single" w:color="auto" w:sz="6" w:space="0"/>
              <w:left w:val="single" w:color="auto" w:sz="6" w:space="0"/>
              <w:bottom w:val="single" w:color="auto" w:sz="6" w:space="0"/>
              <w:right w:val="single" w:color="auto" w:sz="6" w:space="0"/>
            </w:tcBorders>
            <w:vAlign w:val="center"/>
          </w:tcPr>
          <w:p w14:paraId="080791AB">
            <w:pPr>
              <w:ind w:firstLine="480"/>
              <w:rPr>
                <w:rFonts w:hint="eastAsia" w:cs="宋体"/>
                <w:kern w:val="0"/>
                <w:highlight w:val="none"/>
              </w:rPr>
            </w:pPr>
            <w:r>
              <w:rPr>
                <w:rFonts w:hint="eastAsia" w:cs="宋体"/>
                <w:kern w:val="0"/>
                <w:highlight w:val="none"/>
              </w:rPr>
              <w:t>户型模型</w:t>
            </w:r>
          </w:p>
        </w:tc>
        <w:tc>
          <w:tcPr>
            <w:tcW w:w="1884" w:type="dxa"/>
            <w:tcBorders>
              <w:top w:val="single" w:color="auto" w:sz="6" w:space="0"/>
              <w:left w:val="single" w:color="auto" w:sz="6" w:space="0"/>
              <w:right w:val="single" w:color="auto" w:sz="6" w:space="0"/>
            </w:tcBorders>
            <w:vAlign w:val="center"/>
          </w:tcPr>
          <w:p w14:paraId="256C13A1">
            <w:pPr>
              <w:ind w:firstLine="0" w:firstLineChars="0"/>
              <w:rPr>
                <w:rFonts w:hint="eastAsia" w:cs="宋体"/>
                <w:kern w:val="0"/>
                <w:highlight w:val="none"/>
              </w:rPr>
            </w:pPr>
            <w:r>
              <w:rPr>
                <w:rFonts w:hint="eastAsia" w:cs="宋体"/>
                <w:kern w:val="0"/>
                <w:highlight w:val="none"/>
              </w:rPr>
              <w:t>按发包人要求</w:t>
            </w:r>
          </w:p>
        </w:tc>
        <w:tc>
          <w:tcPr>
            <w:tcW w:w="1086" w:type="dxa"/>
            <w:tcBorders>
              <w:top w:val="single" w:color="auto" w:sz="6" w:space="0"/>
              <w:left w:val="single" w:color="auto" w:sz="6" w:space="0"/>
              <w:bottom w:val="single" w:color="auto" w:sz="6" w:space="0"/>
              <w:right w:val="single" w:color="auto" w:sz="6" w:space="0"/>
            </w:tcBorders>
            <w:vAlign w:val="center"/>
          </w:tcPr>
          <w:p w14:paraId="3E39DE68">
            <w:pPr>
              <w:ind w:firstLine="480"/>
              <w:rPr>
                <w:rFonts w:hint="eastAsia" w:cs="宋体"/>
                <w:kern w:val="0"/>
                <w:highlight w:val="none"/>
              </w:rPr>
            </w:pPr>
            <w:r>
              <w:rPr>
                <w:rFonts w:hint="eastAsia" w:cs="宋体"/>
                <w:kern w:val="0"/>
                <w:highlight w:val="none"/>
              </w:rPr>
              <w:t>1</w:t>
            </w:r>
          </w:p>
        </w:tc>
        <w:tc>
          <w:tcPr>
            <w:tcW w:w="1905" w:type="dxa"/>
            <w:tcBorders>
              <w:top w:val="single" w:color="auto" w:sz="6" w:space="0"/>
              <w:left w:val="single" w:color="auto" w:sz="6" w:space="0"/>
              <w:bottom w:val="single" w:color="auto" w:sz="6" w:space="0"/>
              <w:right w:val="single" w:color="auto" w:sz="4" w:space="0"/>
            </w:tcBorders>
            <w:vAlign w:val="center"/>
          </w:tcPr>
          <w:p w14:paraId="4D160A3B">
            <w:pPr>
              <w:ind w:firstLine="0" w:firstLineChars="0"/>
              <w:rPr>
                <w:rFonts w:hint="eastAsia" w:cs="宋体"/>
                <w:kern w:val="0"/>
                <w:highlight w:val="none"/>
              </w:rPr>
            </w:pPr>
            <w:r>
              <w:rPr>
                <w:rFonts w:hint="eastAsia" w:cs="宋体"/>
                <w:kern w:val="0"/>
                <w:highlight w:val="none"/>
              </w:rPr>
              <w:t>模型1套</w:t>
            </w:r>
          </w:p>
        </w:tc>
      </w:tr>
      <w:tr w14:paraId="32A317E1">
        <w:tblPrEx>
          <w:tblCellMar>
            <w:top w:w="0" w:type="dxa"/>
            <w:left w:w="108" w:type="dxa"/>
            <w:bottom w:w="0" w:type="dxa"/>
            <w:right w:w="108" w:type="dxa"/>
          </w:tblCellMar>
        </w:tblPrEx>
        <w:trPr>
          <w:trHeight w:val="436" w:hRule="atLeast"/>
        </w:trPr>
        <w:tc>
          <w:tcPr>
            <w:tcW w:w="915" w:type="dxa"/>
            <w:vMerge w:val="continue"/>
            <w:tcBorders>
              <w:left w:val="single" w:color="auto" w:sz="4" w:space="0"/>
              <w:bottom w:val="single" w:color="auto" w:sz="4" w:space="0"/>
              <w:right w:val="single" w:color="auto" w:sz="6" w:space="0"/>
            </w:tcBorders>
            <w:vAlign w:val="center"/>
          </w:tcPr>
          <w:p w14:paraId="6CF40A55">
            <w:pPr>
              <w:ind w:firstLine="480"/>
              <w:rPr>
                <w:rFonts w:hint="eastAsia" w:cs="宋体"/>
                <w:bCs/>
                <w:snapToGrid w:val="0"/>
                <w:kern w:val="0"/>
                <w:highlight w:val="none"/>
                <w:bdr w:val="single" w:color="auto" w:sz="4" w:space="0"/>
              </w:rPr>
            </w:pPr>
          </w:p>
        </w:tc>
        <w:tc>
          <w:tcPr>
            <w:tcW w:w="3516" w:type="dxa"/>
            <w:gridSpan w:val="2"/>
            <w:tcBorders>
              <w:top w:val="single" w:color="auto" w:sz="6" w:space="0"/>
              <w:left w:val="single" w:color="auto" w:sz="6" w:space="0"/>
              <w:bottom w:val="single" w:color="auto" w:sz="4" w:space="0"/>
              <w:right w:val="single" w:color="auto" w:sz="6" w:space="0"/>
            </w:tcBorders>
            <w:vAlign w:val="center"/>
          </w:tcPr>
          <w:p w14:paraId="693D40E2">
            <w:pPr>
              <w:ind w:firstLine="480"/>
              <w:rPr>
                <w:rFonts w:hint="eastAsia" w:cs="宋体"/>
                <w:kern w:val="0"/>
                <w:highlight w:val="none"/>
              </w:rPr>
            </w:pPr>
            <w:r>
              <w:rPr>
                <w:rFonts w:hint="eastAsia" w:cs="宋体"/>
                <w:kern w:val="0"/>
                <w:highlight w:val="none"/>
              </w:rPr>
              <w:t>三维动画</w:t>
            </w:r>
          </w:p>
        </w:tc>
        <w:tc>
          <w:tcPr>
            <w:tcW w:w="1884" w:type="dxa"/>
            <w:tcBorders>
              <w:top w:val="single" w:color="auto" w:sz="6" w:space="0"/>
              <w:left w:val="single" w:color="auto" w:sz="6" w:space="0"/>
              <w:bottom w:val="single" w:color="auto" w:sz="4" w:space="0"/>
              <w:right w:val="single" w:color="auto" w:sz="6" w:space="0"/>
            </w:tcBorders>
            <w:vAlign w:val="center"/>
          </w:tcPr>
          <w:p w14:paraId="6DEF0E6B">
            <w:pPr>
              <w:ind w:firstLine="0" w:firstLineChars="0"/>
              <w:rPr>
                <w:rFonts w:hint="eastAsia" w:cs="宋体"/>
                <w:kern w:val="0"/>
                <w:highlight w:val="none"/>
              </w:rPr>
            </w:pPr>
            <w:r>
              <w:rPr>
                <w:rFonts w:hint="eastAsia" w:cs="宋体"/>
                <w:kern w:val="0"/>
                <w:highlight w:val="none"/>
              </w:rPr>
              <w:t>按发包人要求</w:t>
            </w:r>
          </w:p>
        </w:tc>
        <w:tc>
          <w:tcPr>
            <w:tcW w:w="1086" w:type="dxa"/>
            <w:tcBorders>
              <w:top w:val="single" w:color="auto" w:sz="6" w:space="0"/>
              <w:left w:val="single" w:color="auto" w:sz="6" w:space="0"/>
              <w:bottom w:val="single" w:color="auto" w:sz="4" w:space="0"/>
              <w:right w:val="single" w:color="auto" w:sz="6" w:space="0"/>
            </w:tcBorders>
            <w:vAlign w:val="center"/>
          </w:tcPr>
          <w:p w14:paraId="0709036E">
            <w:pPr>
              <w:ind w:firstLine="480"/>
              <w:rPr>
                <w:rFonts w:hint="eastAsia" w:cs="宋体"/>
                <w:kern w:val="0"/>
                <w:highlight w:val="none"/>
              </w:rPr>
            </w:pPr>
            <w:r>
              <w:rPr>
                <w:rFonts w:hint="eastAsia" w:cs="宋体"/>
                <w:kern w:val="0"/>
                <w:highlight w:val="none"/>
              </w:rPr>
              <w:t>1</w:t>
            </w:r>
          </w:p>
        </w:tc>
        <w:tc>
          <w:tcPr>
            <w:tcW w:w="1905" w:type="dxa"/>
            <w:tcBorders>
              <w:top w:val="single" w:color="auto" w:sz="6" w:space="0"/>
              <w:left w:val="single" w:color="auto" w:sz="6" w:space="0"/>
              <w:bottom w:val="single" w:color="auto" w:sz="4" w:space="0"/>
              <w:right w:val="single" w:color="auto" w:sz="4" w:space="0"/>
            </w:tcBorders>
            <w:vAlign w:val="center"/>
          </w:tcPr>
          <w:p w14:paraId="7FD53D71">
            <w:pPr>
              <w:ind w:firstLine="0" w:firstLineChars="0"/>
              <w:rPr>
                <w:rFonts w:hint="eastAsia" w:cs="宋体"/>
                <w:kern w:val="0"/>
                <w:highlight w:val="none"/>
              </w:rPr>
            </w:pPr>
            <w:r>
              <w:rPr>
                <w:rFonts w:hint="eastAsia" w:cs="宋体"/>
                <w:kern w:val="0"/>
                <w:highlight w:val="none"/>
              </w:rPr>
              <w:t>电子文件2份</w:t>
            </w:r>
          </w:p>
        </w:tc>
      </w:tr>
      <w:tr w14:paraId="5E28596E">
        <w:tblPrEx>
          <w:tblCellMar>
            <w:top w:w="0" w:type="dxa"/>
            <w:left w:w="108" w:type="dxa"/>
            <w:bottom w:w="0" w:type="dxa"/>
            <w:right w:w="108" w:type="dxa"/>
          </w:tblCellMar>
        </w:tblPrEx>
        <w:trPr>
          <w:trHeight w:val="436" w:hRule="atLeast"/>
        </w:trPr>
        <w:tc>
          <w:tcPr>
            <w:tcW w:w="915" w:type="dxa"/>
            <w:tcBorders>
              <w:top w:val="single" w:color="auto" w:sz="4" w:space="0"/>
              <w:left w:val="single" w:color="auto" w:sz="4" w:space="0"/>
              <w:bottom w:val="single" w:color="auto" w:sz="4" w:space="0"/>
              <w:right w:val="single" w:color="auto" w:sz="6" w:space="0"/>
            </w:tcBorders>
            <w:vAlign w:val="center"/>
          </w:tcPr>
          <w:p w14:paraId="35D7E815">
            <w:pPr>
              <w:ind w:firstLine="0" w:firstLineChars="0"/>
              <w:rPr>
                <w:rFonts w:hint="eastAsia" w:cs="宋体"/>
                <w:kern w:val="0"/>
                <w:highlight w:val="none"/>
              </w:rPr>
            </w:pPr>
            <w:r>
              <w:rPr>
                <w:rFonts w:hint="eastAsia" w:cs="宋体"/>
                <w:bCs/>
                <w:snapToGrid w:val="0"/>
                <w:kern w:val="0"/>
                <w:highlight w:val="none"/>
                <w:bdr w:val="single" w:color="auto" w:sz="4" w:space="0"/>
              </w:rPr>
              <w:t>√</w:t>
            </w:r>
            <w:r>
              <w:rPr>
                <w:rFonts w:hint="eastAsia" w:cs="宋体"/>
                <w:snapToGrid w:val="0"/>
                <w:kern w:val="0"/>
                <w:highlight w:val="none"/>
              </w:rPr>
              <w:t>10</w:t>
            </w:r>
          </w:p>
        </w:tc>
        <w:tc>
          <w:tcPr>
            <w:tcW w:w="3516" w:type="dxa"/>
            <w:gridSpan w:val="2"/>
            <w:tcBorders>
              <w:top w:val="single" w:color="auto" w:sz="4" w:space="0"/>
              <w:left w:val="single" w:color="auto" w:sz="6" w:space="0"/>
              <w:bottom w:val="single" w:color="auto" w:sz="4" w:space="0"/>
              <w:right w:val="single" w:color="auto" w:sz="6" w:space="0"/>
            </w:tcBorders>
            <w:vAlign w:val="center"/>
          </w:tcPr>
          <w:p w14:paraId="36EF4333">
            <w:pPr>
              <w:ind w:firstLine="480"/>
              <w:rPr>
                <w:rFonts w:hint="eastAsia" w:cs="宋体"/>
                <w:kern w:val="0"/>
                <w:highlight w:val="none"/>
              </w:rPr>
            </w:pPr>
            <w:r>
              <w:rPr>
                <w:rFonts w:hint="eastAsia" w:cs="宋体"/>
                <w:kern w:val="0"/>
                <w:highlight w:val="none"/>
              </w:rPr>
              <w:t>竣工图</w:t>
            </w:r>
          </w:p>
          <w:p w14:paraId="13F1BFA4">
            <w:pPr>
              <w:pStyle w:val="24"/>
              <w:ind w:firstLine="480"/>
              <w:jc w:val="both"/>
              <w:rPr>
                <w:rFonts w:hint="eastAsia"/>
                <w:highlight w:val="none"/>
              </w:rPr>
            </w:pPr>
            <w:r>
              <w:rPr>
                <w:rFonts w:hint="eastAsia" w:cs="Courier New"/>
                <w:b w:val="0"/>
                <w:bCs w:val="0"/>
                <w:szCs w:val="21"/>
                <w:highlight w:val="none"/>
              </w:rPr>
              <w:t>（含BIM模型）</w:t>
            </w:r>
          </w:p>
        </w:tc>
        <w:tc>
          <w:tcPr>
            <w:tcW w:w="1884" w:type="dxa"/>
            <w:tcBorders>
              <w:top w:val="single" w:color="auto" w:sz="4" w:space="0"/>
              <w:left w:val="single" w:color="auto" w:sz="6" w:space="0"/>
              <w:bottom w:val="single" w:color="auto" w:sz="4" w:space="0"/>
              <w:right w:val="single" w:color="auto" w:sz="6" w:space="0"/>
            </w:tcBorders>
            <w:vAlign w:val="center"/>
          </w:tcPr>
          <w:p w14:paraId="3C51AE53">
            <w:pPr>
              <w:ind w:firstLine="0" w:firstLineChars="0"/>
              <w:rPr>
                <w:rFonts w:hint="eastAsia" w:cs="宋体"/>
                <w:kern w:val="0"/>
                <w:highlight w:val="none"/>
              </w:rPr>
            </w:pPr>
            <w:r>
              <w:rPr>
                <w:rFonts w:hint="eastAsia" w:cs="宋体"/>
                <w:kern w:val="0"/>
                <w:highlight w:val="none"/>
              </w:rPr>
              <w:t>按发包人要求</w:t>
            </w:r>
          </w:p>
        </w:tc>
        <w:tc>
          <w:tcPr>
            <w:tcW w:w="1086" w:type="dxa"/>
            <w:tcBorders>
              <w:top w:val="single" w:color="auto" w:sz="4" w:space="0"/>
              <w:left w:val="single" w:color="auto" w:sz="6" w:space="0"/>
              <w:bottom w:val="single" w:color="auto" w:sz="4" w:space="0"/>
              <w:right w:val="single" w:color="auto" w:sz="6" w:space="0"/>
            </w:tcBorders>
            <w:vAlign w:val="center"/>
          </w:tcPr>
          <w:p w14:paraId="24998563">
            <w:pPr>
              <w:ind w:firstLine="480"/>
              <w:rPr>
                <w:rFonts w:hint="eastAsia" w:cs="宋体"/>
                <w:kern w:val="0"/>
                <w:highlight w:val="none"/>
              </w:rPr>
            </w:pPr>
            <w:r>
              <w:rPr>
                <w:rFonts w:hint="eastAsia" w:cs="宋体"/>
                <w:kern w:val="0"/>
                <w:highlight w:val="none"/>
              </w:rPr>
              <w:t>10</w:t>
            </w:r>
          </w:p>
        </w:tc>
        <w:tc>
          <w:tcPr>
            <w:tcW w:w="1905" w:type="dxa"/>
            <w:tcBorders>
              <w:top w:val="single" w:color="auto" w:sz="4" w:space="0"/>
              <w:left w:val="single" w:color="auto" w:sz="6" w:space="0"/>
              <w:bottom w:val="single" w:color="auto" w:sz="4" w:space="0"/>
              <w:right w:val="single" w:color="auto" w:sz="4" w:space="0"/>
            </w:tcBorders>
            <w:vAlign w:val="center"/>
          </w:tcPr>
          <w:p w14:paraId="309EFBA3">
            <w:pPr>
              <w:ind w:firstLine="0" w:firstLineChars="0"/>
              <w:rPr>
                <w:rFonts w:hint="eastAsia" w:cs="宋体"/>
                <w:kern w:val="0"/>
                <w:highlight w:val="none"/>
              </w:rPr>
            </w:pPr>
            <w:r>
              <w:rPr>
                <w:rFonts w:hint="eastAsia" w:cs="宋体"/>
                <w:kern w:val="0"/>
                <w:highlight w:val="none"/>
              </w:rPr>
              <w:t>另加电子文件2份</w:t>
            </w:r>
          </w:p>
        </w:tc>
      </w:tr>
      <w:tr w14:paraId="6E8E088A">
        <w:tblPrEx>
          <w:tblCellMar>
            <w:top w:w="0" w:type="dxa"/>
            <w:left w:w="108" w:type="dxa"/>
            <w:bottom w:w="0" w:type="dxa"/>
            <w:right w:w="108" w:type="dxa"/>
          </w:tblCellMar>
        </w:tblPrEx>
        <w:trPr>
          <w:trHeight w:val="436" w:hRule="atLeast"/>
        </w:trPr>
        <w:tc>
          <w:tcPr>
            <w:tcW w:w="915" w:type="dxa"/>
            <w:tcBorders>
              <w:top w:val="single" w:color="auto" w:sz="4" w:space="0"/>
              <w:left w:val="single" w:color="auto" w:sz="4" w:space="0"/>
              <w:bottom w:val="single" w:color="auto" w:sz="4" w:space="0"/>
              <w:right w:val="single" w:color="auto" w:sz="6" w:space="0"/>
            </w:tcBorders>
            <w:vAlign w:val="center"/>
          </w:tcPr>
          <w:p w14:paraId="4CFBBA29">
            <w:pPr>
              <w:ind w:firstLine="0" w:firstLineChars="0"/>
              <w:rPr>
                <w:rFonts w:hint="eastAsia" w:cs="宋体"/>
                <w:snapToGrid w:val="0"/>
                <w:kern w:val="0"/>
                <w:highlight w:val="none"/>
              </w:rPr>
            </w:pPr>
            <w:r>
              <w:rPr>
                <w:rFonts w:hint="eastAsia" w:cs="宋体"/>
                <w:highlight w:val="none"/>
              </w:rPr>
              <w:t>×</w:t>
            </w:r>
            <w:r>
              <w:rPr>
                <w:rFonts w:hint="eastAsia" w:cs="宋体"/>
                <w:kern w:val="0"/>
                <w:highlight w:val="none"/>
              </w:rPr>
              <w:t>11</w:t>
            </w:r>
          </w:p>
        </w:tc>
        <w:tc>
          <w:tcPr>
            <w:tcW w:w="3516" w:type="dxa"/>
            <w:gridSpan w:val="2"/>
            <w:tcBorders>
              <w:top w:val="single" w:color="auto" w:sz="4" w:space="0"/>
              <w:left w:val="single" w:color="auto" w:sz="6" w:space="0"/>
              <w:bottom w:val="single" w:color="auto" w:sz="4" w:space="0"/>
              <w:right w:val="single" w:color="auto" w:sz="6" w:space="0"/>
            </w:tcBorders>
            <w:vAlign w:val="center"/>
          </w:tcPr>
          <w:p w14:paraId="702191A1">
            <w:pPr>
              <w:pStyle w:val="24"/>
              <w:ind w:firstLine="480"/>
              <w:jc w:val="both"/>
              <w:rPr>
                <w:rFonts w:hint="eastAsia" w:cs="Courier New"/>
                <w:b w:val="0"/>
                <w:bCs w:val="0"/>
                <w:highlight w:val="none"/>
              </w:rPr>
            </w:pPr>
            <w:r>
              <w:rPr>
                <w:rFonts w:hint="eastAsia" w:cs="Courier New"/>
                <w:b w:val="0"/>
                <w:bCs w:val="0"/>
                <w:highlight w:val="none"/>
              </w:rPr>
              <w:t>基坑支护体系选型报告</w:t>
            </w:r>
          </w:p>
        </w:tc>
        <w:tc>
          <w:tcPr>
            <w:tcW w:w="1884" w:type="dxa"/>
            <w:tcBorders>
              <w:top w:val="single" w:color="auto" w:sz="4" w:space="0"/>
              <w:left w:val="single" w:color="auto" w:sz="6" w:space="0"/>
              <w:bottom w:val="single" w:color="auto" w:sz="4" w:space="0"/>
              <w:right w:val="single" w:color="auto" w:sz="6" w:space="0"/>
            </w:tcBorders>
            <w:vAlign w:val="center"/>
          </w:tcPr>
          <w:p w14:paraId="52DCCC6A">
            <w:pPr>
              <w:ind w:firstLine="0" w:firstLineChars="0"/>
              <w:rPr>
                <w:rFonts w:hint="eastAsia" w:cs="宋体"/>
                <w:kern w:val="0"/>
                <w:highlight w:val="none"/>
              </w:rPr>
            </w:pPr>
            <w:r>
              <w:rPr>
                <w:rFonts w:hint="eastAsia" w:cs="宋体"/>
                <w:kern w:val="0"/>
                <w:highlight w:val="none"/>
              </w:rPr>
              <w:t>收到勘察报告后3天内</w:t>
            </w:r>
          </w:p>
        </w:tc>
        <w:tc>
          <w:tcPr>
            <w:tcW w:w="1086" w:type="dxa"/>
            <w:tcBorders>
              <w:top w:val="single" w:color="auto" w:sz="4" w:space="0"/>
              <w:left w:val="single" w:color="auto" w:sz="6" w:space="0"/>
              <w:bottom w:val="single" w:color="auto" w:sz="4" w:space="0"/>
              <w:right w:val="single" w:color="auto" w:sz="6" w:space="0"/>
            </w:tcBorders>
            <w:vAlign w:val="center"/>
          </w:tcPr>
          <w:p w14:paraId="7B9AF351">
            <w:pPr>
              <w:ind w:firstLine="480"/>
              <w:rPr>
                <w:rFonts w:hint="eastAsia" w:cs="宋体"/>
                <w:kern w:val="0"/>
                <w:highlight w:val="none"/>
              </w:rPr>
            </w:pPr>
            <w:r>
              <w:rPr>
                <w:rFonts w:hint="eastAsia" w:cs="宋体"/>
                <w:kern w:val="0"/>
                <w:highlight w:val="none"/>
              </w:rPr>
              <w:t>16</w:t>
            </w:r>
          </w:p>
        </w:tc>
        <w:tc>
          <w:tcPr>
            <w:tcW w:w="1905" w:type="dxa"/>
            <w:tcBorders>
              <w:top w:val="single" w:color="auto" w:sz="4" w:space="0"/>
              <w:left w:val="single" w:color="auto" w:sz="6" w:space="0"/>
              <w:bottom w:val="single" w:color="auto" w:sz="4" w:space="0"/>
              <w:right w:val="single" w:color="auto" w:sz="4" w:space="0"/>
            </w:tcBorders>
            <w:vAlign w:val="center"/>
          </w:tcPr>
          <w:p w14:paraId="02757173">
            <w:pPr>
              <w:ind w:firstLine="0" w:firstLineChars="0"/>
              <w:rPr>
                <w:rFonts w:hint="eastAsia" w:cs="宋体"/>
                <w:kern w:val="0"/>
                <w:highlight w:val="none"/>
              </w:rPr>
            </w:pPr>
            <w:r>
              <w:rPr>
                <w:rFonts w:hint="eastAsia" w:cs="宋体"/>
                <w:kern w:val="0"/>
                <w:highlight w:val="none"/>
              </w:rPr>
              <w:t>另加电子文件2份</w:t>
            </w:r>
          </w:p>
        </w:tc>
      </w:tr>
      <w:tr w14:paraId="0138C895">
        <w:tblPrEx>
          <w:tblCellMar>
            <w:top w:w="0" w:type="dxa"/>
            <w:left w:w="108" w:type="dxa"/>
            <w:bottom w:w="0" w:type="dxa"/>
            <w:right w:w="108" w:type="dxa"/>
          </w:tblCellMar>
        </w:tblPrEx>
        <w:trPr>
          <w:trHeight w:val="436" w:hRule="atLeast"/>
        </w:trPr>
        <w:tc>
          <w:tcPr>
            <w:tcW w:w="915" w:type="dxa"/>
            <w:tcBorders>
              <w:top w:val="single" w:color="auto" w:sz="4" w:space="0"/>
              <w:left w:val="single" w:color="auto" w:sz="4" w:space="0"/>
              <w:bottom w:val="single" w:color="auto" w:sz="4" w:space="0"/>
              <w:right w:val="single" w:color="auto" w:sz="6" w:space="0"/>
            </w:tcBorders>
            <w:vAlign w:val="center"/>
          </w:tcPr>
          <w:p w14:paraId="59EA8614">
            <w:pPr>
              <w:ind w:firstLine="0" w:firstLineChars="0"/>
              <w:rPr>
                <w:rFonts w:hint="eastAsia" w:cs="宋体"/>
                <w:snapToGrid w:val="0"/>
                <w:kern w:val="0"/>
                <w:highlight w:val="none"/>
              </w:rPr>
            </w:pPr>
            <w:r>
              <w:rPr>
                <w:rFonts w:hint="eastAsia" w:cs="宋体"/>
                <w:highlight w:val="none"/>
              </w:rPr>
              <w:t>×</w:t>
            </w:r>
            <w:r>
              <w:rPr>
                <w:rFonts w:hint="eastAsia" w:cs="宋体"/>
                <w:kern w:val="0"/>
                <w:highlight w:val="none"/>
              </w:rPr>
              <w:t>12</w:t>
            </w:r>
          </w:p>
        </w:tc>
        <w:tc>
          <w:tcPr>
            <w:tcW w:w="3516" w:type="dxa"/>
            <w:gridSpan w:val="2"/>
            <w:tcBorders>
              <w:top w:val="single" w:color="auto" w:sz="4" w:space="0"/>
              <w:left w:val="single" w:color="auto" w:sz="6" w:space="0"/>
              <w:bottom w:val="single" w:color="auto" w:sz="4" w:space="0"/>
              <w:right w:val="single" w:color="auto" w:sz="6" w:space="0"/>
            </w:tcBorders>
            <w:vAlign w:val="center"/>
          </w:tcPr>
          <w:p w14:paraId="1526860F">
            <w:pPr>
              <w:pStyle w:val="24"/>
              <w:ind w:firstLine="480"/>
              <w:jc w:val="both"/>
              <w:rPr>
                <w:rFonts w:hint="eastAsia" w:cs="Courier New"/>
                <w:b w:val="0"/>
                <w:bCs w:val="0"/>
                <w:highlight w:val="none"/>
              </w:rPr>
            </w:pPr>
            <w:r>
              <w:rPr>
                <w:rFonts w:hint="eastAsia" w:cs="Courier New"/>
                <w:b w:val="0"/>
                <w:bCs w:val="0"/>
                <w:highlight w:val="none"/>
              </w:rPr>
              <w:t>基坑支护方案</w:t>
            </w:r>
          </w:p>
        </w:tc>
        <w:tc>
          <w:tcPr>
            <w:tcW w:w="1884" w:type="dxa"/>
            <w:tcBorders>
              <w:top w:val="single" w:color="auto" w:sz="4" w:space="0"/>
              <w:left w:val="single" w:color="auto" w:sz="6" w:space="0"/>
              <w:bottom w:val="single" w:color="auto" w:sz="4" w:space="0"/>
              <w:right w:val="single" w:color="auto" w:sz="6" w:space="0"/>
            </w:tcBorders>
            <w:vAlign w:val="center"/>
          </w:tcPr>
          <w:p w14:paraId="01F1AA4C">
            <w:pPr>
              <w:ind w:firstLine="0" w:firstLineChars="0"/>
              <w:rPr>
                <w:rFonts w:hint="eastAsia" w:cs="宋体"/>
                <w:kern w:val="0"/>
                <w:highlight w:val="none"/>
              </w:rPr>
            </w:pPr>
            <w:r>
              <w:rPr>
                <w:rFonts w:hint="eastAsia" w:cs="宋体"/>
                <w:kern w:val="0"/>
                <w:highlight w:val="none"/>
              </w:rPr>
              <w:t>收到勘察报告后14天内</w:t>
            </w:r>
          </w:p>
        </w:tc>
        <w:tc>
          <w:tcPr>
            <w:tcW w:w="1086" w:type="dxa"/>
            <w:tcBorders>
              <w:top w:val="single" w:color="auto" w:sz="4" w:space="0"/>
              <w:left w:val="single" w:color="auto" w:sz="6" w:space="0"/>
              <w:bottom w:val="single" w:color="auto" w:sz="4" w:space="0"/>
              <w:right w:val="single" w:color="auto" w:sz="6" w:space="0"/>
            </w:tcBorders>
            <w:vAlign w:val="center"/>
          </w:tcPr>
          <w:p w14:paraId="2F1EC59B">
            <w:pPr>
              <w:ind w:firstLine="480"/>
              <w:rPr>
                <w:rFonts w:hint="eastAsia" w:cs="宋体"/>
                <w:kern w:val="0"/>
                <w:highlight w:val="none"/>
              </w:rPr>
            </w:pPr>
            <w:r>
              <w:rPr>
                <w:rFonts w:hint="eastAsia" w:cs="宋体"/>
                <w:kern w:val="0"/>
                <w:highlight w:val="none"/>
              </w:rPr>
              <w:t>16</w:t>
            </w:r>
          </w:p>
        </w:tc>
        <w:tc>
          <w:tcPr>
            <w:tcW w:w="1905" w:type="dxa"/>
            <w:tcBorders>
              <w:top w:val="single" w:color="auto" w:sz="4" w:space="0"/>
              <w:left w:val="single" w:color="auto" w:sz="6" w:space="0"/>
              <w:bottom w:val="single" w:color="auto" w:sz="4" w:space="0"/>
              <w:right w:val="single" w:color="auto" w:sz="4" w:space="0"/>
            </w:tcBorders>
            <w:vAlign w:val="center"/>
          </w:tcPr>
          <w:p w14:paraId="4A8F944A">
            <w:pPr>
              <w:ind w:firstLine="0" w:firstLineChars="0"/>
              <w:rPr>
                <w:rFonts w:hint="eastAsia" w:cs="宋体"/>
                <w:kern w:val="0"/>
                <w:highlight w:val="none"/>
              </w:rPr>
            </w:pPr>
            <w:r>
              <w:rPr>
                <w:rFonts w:hint="eastAsia" w:cs="宋体"/>
                <w:kern w:val="0"/>
                <w:highlight w:val="none"/>
              </w:rPr>
              <w:t>另加电子文件2份</w:t>
            </w:r>
          </w:p>
        </w:tc>
      </w:tr>
      <w:tr w14:paraId="11B32679">
        <w:tblPrEx>
          <w:tblCellMar>
            <w:top w:w="0" w:type="dxa"/>
            <w:left w:w="108" w:type="dxa"/>
            <w:bottom w:w="0" w:type="dxa"/>
            <w:right w:w="108" w:type="dxa"/>
          </w:tblCellMar>
        </w:tblPrEx>
        <w:trPr>
          <w:trHeight w:val="436" w:hRule="atLeast"/>
        </w:trPr>
        <w:tc>
          <w:tcPr>
            <w:tcW w:w="915" w:type="dxa"/>
            <w:tcBorders>
              <w:top w:val="single" w:color="auto" w:sz="4" w:space="0"/>
              <w:left w:val="single" w:color="auto" w:sz="4" w:space="0"/>
              <w:bottom w:val="single" w:color="auto" w:sz="4" w:space="0"/>
              <w:right w:val="single" w:color="auto" w:sz="6" w:space="0"/>
            </w:tcBorders>
            <w:vAlign w:val="center"/>
          </w:tcPr>
          <w:p w14:paraId="7A73AC9B">
            <w:pPr>
              <w:ind w:firstLine="0" w:firstLineChars="0"/>
              <w:rPr>
                <w:rFonts w:hint="eastAsia" w:cs="宋体"/>
                <w:snapToGrid w:val="0"/>
                <w:kern w:val="0"/>
                <w:highlight w:val="none"/>
              </w:rPr>
            </w:pPr>
            <w:r>
              <w:rPr>
                <w:rFonts w:hint="eastAsia" w:cs="宋体"/>
                <w:highlight w:val="none"/>
              </w:rPr>
              <w:t>×</w:t>
            </w:r>
            <w:r>
              <w:rPr>
                <w:rFonts w:hint="eastAsia" w:cs="宋体"/>
                <w:kern w:val="0"/>
                <w:highlight w:val="none"/>
              </w:rPr>
              <w:t>13</w:t>
            </w:r>
          </w:p>
        </w:tc>
        <w:tc>
          <w:tcPr>
            <w:tcW w:w="3516" w:type="dxa"/>
            <w:gridSpan w:val="2"/>
            <w:tcBorders>
              <w:top w:val="single" w:color="auto" w:sz="4" w:space="0"/>
              <w:left w:val="single" w:color="auto" w:sz="6" w:space="0"/>
              <w:bottom w:val="single" w:color="auto" w:sz="4" w:space="0"/>
              <w:right w:val="single" w:color="auto" w:sz="6" w:space="0"/>
            </w:tcBorders>
            <w:vAlign w:val="center"/>
          </w:tcPr>
          <w:p w14:paraId="42B1A428">
            <w:pPr>
              <w:ind w:firstLine="480"/>
              <w:rPr>
                <w:rFonts w:hint="eastAsia" w:cs="宋体"/>
                <w:kern w:val="0"/>
                <w:highlight w:val="none"/>
              </w:rPr>
            </w:pPr>
            <w:r>
              <w:rPr>
                <w:rFonts w:hint="eastAsia" w:cs="宋体"/>
                <w:kern w:val="0"/>
                <w:highlight w:val="none"/>
              </w:rPr>
              <w:t>基坑支护专家评审文件</w:t>
            </w:r>
          </w:p>
        </w:tc>
        <w:tc>
          <w:tcPr>
            <w:tcW w:w="1884" w:type="dxa"/>
            <w:tcBorders>
              <w:top w:val="single" w:color="auto" w:sz="4" w:space="0"/>
              <w:left w:val="single" w:color="auto" w:sz="6" w:space="0"/>
              <w:bottom w:val="single" w:color="auto" w:sz="4" w:space="0"/>
              <w:right w:val="single" w:color="auto" w:sz="6" w:space="0"/>
            </w:tcBorders>
            <w:vAlign w:val="center"/>
          </w:tcPr>
          <w:p w14:paraId="33F35C7D">
            <w:pPr>
              <w:ind w:firstLine="0" w:firstLineChars="0"/>
              <w:rPr>
                <w:rFonts w:hint="eastAsia" w:cs="宋体"/>
                <w:kern w:val="0"/>
                <w:highlight w:val="none"/>
              </w:rPr>
            </w:pPr>
            <w:r>
              <w:rPr>
                <w:rFonts w:hint="eastAsia" w:cs="Courier New"/>
                <w:highlight w:val="none"/>
              </w:rPr>
              <w:t>收到详勘报告</w:t>
            </w:r>
            <w:r>
              <w:rPr>
                <w:rFonts w:hint="eastAsia" w:cs="宋体"/>
                <w:kern w:val="0"/>
                <w:highlight w:val="none"/>
              </w:rPr>
              <w:t>后</w:t>
            </w:r>
            <w:r>
              <w:rPr>
                <w:rFonts w:cs="宋体"/>
                <w:kern w:val="0"/>
                <w:highlight w:val="none"/>
              </w:rPr>
              <w:t>15</w:t>
            </w:r>
            <w:r>
              <w:rPr>
                <w:rFonts w:hint="eastAsia" w:cs="宋体"/>
                <w:kern w:val="0"/>
                <w:highlight w:val="none"/>
              </w:rPr>
              <w:t>天内</w:t>
            </w:r>
          </w:p>
        </w:tc>
        <w:tc>
          <w:tcPr>
            <w:tcW w:w="1086" w:type="dxa"/>
            <w:tcBorders>
              <w:top w:val="single" w:color="auto" w:sz="4" w:space="0"/>
              <w:left w:val="single" w:color="auto" w:sz="6" w:space="0"/>
              <w:bottom w:val="single" w:color="auto" w:sz="4" w:space="0"/>
              <w:right w:val="single" w:color="auto" w:sz="6" w:space="0"/>
            </w:tcBorders>
            <w:vAlign w:val="center"/>
          </w:tcPr>
          <w:p w14:paraId="1A2FE59A">
            <w:pPr>
              <w:ind w:firstLine="480"/>
              <w:rPr>
                <w:rFonts w:hint="eastAsia" w:cs="宋体"/>
                <w:highlight w:val="none"/>
              </w:rPr>
            </w:pPr>
            <w:r>
              <w:rPr>
                <w:rFonts w:hint="eastAsia" w:cs="宋体"/>
                <w:highlight w:val="none"/>
              </w:rPr>
              <w:t>16</w:t>
            </w:r>
          </w:p>
        </w:tc>
        <w:tc>
          <w:tcPr>
            <w:tcW w:w="1905" w:type="dxa"/>
            <w:tcBorders>
              <w:top w:val="single" w:color="auto" w:sz="4" w:space="0"/>
              <w:left w:val="single" w:color="auto" w:sz="6" w:space="0"/>
              <w:bottom w:val="single" w:color="auto" w:sz="4" w:space="0"/>
              <w:right w:val="single" w:color="auto" w:sz="4" w:space="0"/>
            </w:tcBorders>
            <w:vAlign w:val="center"/>
          </w:tcPr>
          <w:p w14:paraId="3A8815A5">
            <w:pPr>
              <w:ind w:firstLine="0" w:firstLineChars="0"/>
              <w:rPr>
                <w:rFonts w:hint="eastAsia" w:cs="宋体"/>
                <w:highlight w:val="none"/>
              </w:rPr>
            </w:pPr>
            <w:r>
              <w:rPr>
                <w:rFonts w:hint="eastAsia" w:cs="宋体"/>
                <w:kern w:val="0"/>
                <w:highlight w:val="none"/>
              </w:rPr>
              <w:t>另加电子文件2份</w:t>
            </w:r>
          </w:p>
        </w:tc>
      </w:tr>
      <w:tr w14:paraId="78A25259">
        <w:tblPrEx>
          <w:tblCellMar>
            <w:top w:w="0" w:type="dxa"/>
            <w:left w:w="108" w:type="dxa"/>
            <w:bottom w:w="0" w:type="dxa"/>
            <w:right w:w="108" w:type="dxa"/>
          </w:tblCellMar>
        </w:tblPrEx>
        <w:trPr>
          <w:trHeight w:val="436" w:hRule="atLeast"/>
        </w:trPr>
        <w:tc>
          <w:tcPr>
            <w:tcW w:w="915" w:type="dxa"/>
            <w:tcBorders>
              <w:top w:val="single" w:color="auto" w:sz="4" w:space="0"/>
              <w:left w:val="single" w:color="auto" w:sz="4" w:space="0"/>
              <w:bottom w:val="single" w:color="auto" w:sz="4" w:space="0"/>
              <w:right w:val="single" w:color="auto" w:sz="6" w:space="0"/>
            </w:tcBorders>
            <w:vAlign w:val="center"/>
          </w:tcPr>
          <w:p w14:paraId="20D7A708">
            <w:pPr>
              <w:ind w:firstLine="0" w:firstLineChars="0"/>
              <w:rPr>
                <w:rFonts w:hint="eastAsia" w:cs="宋体"/>
                <w:bCs/>
                <w:snapToGrid w:val="0"/>
                <w:kern w:val="0"/>
                <w:highlight w:val="none"/>
                <w:bdr w:val="single" w:color="auto" w:sz="4" w:space="0"/>
              </w:rPr>
            </w:pPr>
            <w:r>
              <w:rPr>
                <w:rFonts w:hint="eastAsia" w:cs="宋体"/>
                <w:highlight w:val="none"/>
              </w:rPr>
              <w:t>×</w:t>
            </w:r>
            <w:r>
              <w:rPr>
                <w:rFonts w:hint="eastAsia" w:cs="宋体"/>
                <w:kern w:val="0"/>
                <w:highlight w:val="none"/>
              </w:rPr>
              <w:t>14</w:t>
            </w:r>
          </w:p>
        </w:tc>
        <w:tc>
          <w:tcPr>
            <w:tcW w:w="3516" w:type="dxa"/>
            <w:gridSpan w:val="2"/>
            <w:tcBorders>
              <w:top w:val="single" w:color="auto" w:sz="4" w:space="0"/>
              <w:left w:val="single" w:color="auto" w:sz="6" w:space="0"/>
              <w:bottom w:val="single" w:color="auto" w:sz="4" w:space="0"/>
              <w:right w:val="single" w:color="auto" w:sz="6" w:space="0"/>
            </w:tcBorders>
            <w:vAlign w:val="center"/>
          </w:tcPr>
          <w:p w14:paraId="0C2FA4CB">
            <w:pPr>
              <w:ind w:firstLine="0" w:firstLineChars="0"/>
              <w:rPr>
                <w:rFonts w:hint="eastAsia" w:cs="宋体"/>
                <w:kern w:val="0"/>
                <w:highlight w:val="none"/>
              </w:rPr>
            </w:pPr>
            <w:r>
              <w:rPr>
                <w:rFonts w:hint="eastAsia" w:cs="Courier New"/>
                <w:highlight w:val="none"/>
              </w:rPr>
              <w:t>基坑支护施工图（包括设计说明、基坑平面图纸图、配筋图、基坑监测点位图纸、节点大样等详图）</w:t>
            </w:r>
          </w:p>
        </w:tc>
        <w:tc>
          <w:tcPr>
            <w:tcW w:w="1884" w:type="dxa"/>
            <w:tcBorders>
              <w:top w:val="single" w:color="auto" w:sz="4" w:space="0"/>
              <w:left w:val="single" w:color="auto" w:sz="6" w:space="0"/>
              <w:bottom w:val="single" w:color="auto" w:sz="4" w:space="0"/>
              <w:right w:val="single" w:color="auto" w:sz="6" w:space="0"/>
            </w:tcBorders>
            <w:vAlign w:val="center"/>
          </w:tcPr>
          <w:p w14:paraId="1AD1ACC8">
            <w:pPr>
              <w:ind w:firstLine="0" w:firstLineChars="0"/>
              <w:rPr>
                <w:rFonts w:hint="eastAsia" w:cs="宋体"/>
                <w:highlight w:val="none"/>
              </w:rPr>
            </w:pPr>
            <w:r>
              <w:rPr>
                <w:rFonts w:hint="eastAsia" w:cs="宋体"/>
                <w:kern w:val="0"/>
                <w:highlight w:val="none"/>
              </w:rPr>
              <w:t>专家评审后10天内</w:t>
            </w:r>
          </w:p>
        </w:tc>
        <w:tc>
          <w:tcPr>
            <w:tcW w:w="1086" w:type="dxa"/>
            <w:tcBorders>
              <w:top w:val="single" w:color="auto" w:sz="4" w:space="0"/>
              <w:left w:val="single" w:color="auto" w:sz="6" w:space="0"/>
              <w:bottom w:val="single" w:color="auto" w:sz="4" w:space="0"/>
              <w:right w:val="single" w:color="auto" w:sz="6" w:space="0"/>
            </w:tcBorders>
            <w:vAlign w:val="center"/>
          </w:tcPr>
          <w:p w14:paraId="78DE2E7F">
            <w:pPr>
              <w:ind w:firstLine="480"/>
              <w:rPr>
                <w:rFonts w:hint="eastAsia" w:cs="宋体"/>
                <w:kern w:val="0"/>
                <w:highlight w:val="none"/>
              </w:rPr>
            </w:pPr>
            <w:r>
              <w:rPr>
                <w:rFonts w:hint="eastAsia" w:cs="宋体"/>
                <w:kern w:val="0"/>
                <w:highlight w:val="none"/>
              </w:rPr>
              <w:t>16</w:t>
            </w:r>
          </w:p>
        </w:tc>
        <w:tc>
          <w:tcPr>
            <w:tcW w:w="1905" w:type="dxa"/>
            <w:tcBorders>
              <w:top w:val="single" w:color="auto" w:sz="4" w:space="0"/>
              <w:left w:val="single" w:color="auto" w:sz="6" w:space="0"/>
              <w:bottom w:val="single" w:color="auto" w:sz="4" w:space="0"/>
              <w:right w:val="single" w:color="auto" w:sz="4" w:space="0"/>
            </w:tcBorders>
            <w:vAlign w:val="center"/>
          </w:tcPr>
          <w:p w14:paraId="7EAAC707">
            <w:pPr>
              <w:ind w:firstLine="0" w:firstLineChars="0"/>
              <w:rPr>
                <w:rFonts w:hint="eastAsia" w:cs="宋体"/>
                <w:kern w:val="0"/>
                <w:highlight w:val="none"/>
              </w:rPr>
            </w:pPr>
            <w:r>
              <w:rPr>
                <w:rFonts w:hint="eastAsia" w:cs="宋体"/>
                <w:kern w:val="0"/>
                <w:highlight w:val="none"/>
              </w:rPr>
              <w:t>另加电子文件2份</w:t>
            </w:r>
          </w:p>
        </w:tc>
      </w:tr>
      <w:tr w14:paraId="16C98CA9">
        <w:tblPrEx>
          <w:tblCellMar>
            <w:top w:w="0" w:type="dxa"/>
            <w:left w:w="108" w:type="dxa"/>
            <w:bottom w:w="0" w:type="dxa"/>
            <w:right w:w="108" w:type="dxa"/>
          </w:tblCellMar>
        </w:tblPrEx>
        <w:trPr>
          <w:trHeight w:val="663" w:hRule="atLeast"/>
        </w:trPr>
        <w:tc>
          <w:tcPr>
            <w:tcW w:w="9306" w:type="dxa"/>
            <w:gridSpan w:val="6"/>
            <w:tcBorders>
              <w:top w:val="single" w:color="auto" w:sz="4" w:space="0"/>
              <w:left w:val="single" w:color="auto" w:sz="4" w:space="0"/>
              <w:bottom w:val="single" w:color="auto" w:sz="4" w:space="0"/>
              <w:right w:val="single" w:color="auto" w:sz="4" w:space="0"/>
            </w:tcBorders>
            <w:vAlign w:val="center"/>
          </w:tcPr>
          <w:p w14:paraId="063E1573">
            <w:pPr>
              <w:ind w:firstLine="480"/>
              <w:rPr>
                <w:rFonts w:hint="eastAsia" w:cs="宋体"/>
                <w:kern w:val="0"/>
                <w:highlight w:val="none"/>
              </w:rPr>
            </w:pPr>
            <w:r>
              <w:rPr>
                <w:rFonts w:hint="eastAsia" w:cs="宋体"/>
                <w:kern w:val="0"/>
                <w:highlight w:val="none"/>
              </w:rPr>
              <w:t>上述设计成果应包括“1.4.1设计工作”涵盖的所有专业所有阶段的设计图纸和文件。</w:t>
            </w:r>
          </w:p>
        </w:tc>
      </w:tr>
    </w:tbl>
    <w:p w14:paraId="4D25E57E">
      <w:pPr>
        <w:ind w:right="29" w:rightChars="12" w:firstLine="480"/>
        <w:rPr>
          <w:rFonts w:hint="eastAsia" w:cs="宋体"/>
          <w:highlight w:val="none"/>
        </w:rPr>
      </w:pPr>
      <w:r>
        <w:rPr>
          <w:rFonts w:hint="eastAsia" w:cs="宋体"/>
          <w:highlight w:val="none"/>
        </w:rPr>
        <w:t>备注：</w:t>
      </w:r>
    </w:p>
    <w:p w14:paraId="41E1F228">
      <w:pPr>
        <w:numPr>
          <w:ilvl w:val="0"/>
          <w:numId w:val="10"/>
        </w:numPr>
        <w:ind w:right="29" w:rightChars="12" w:firstLine="480"/>
        <w:rPr>
          <w:rFonts w:hint="eastAsia" w:cs="宋体"/>
          <w:highlight w:val="none"/>
        </w:rPr>
      </w:pPr>
      <w:r>
        <w:rPr>
          <w:rFonts w:hint="eastAsia" w:cs="宋体"/>
          <w:highlight w:val="none"/>
        </w:rPr>
        <w:t>提交日期按发包人与设计人确定的时间节点提交。因发包人原因（如未及时确定环评单位、未缴纳卫生学预评价费用等）影响报审报批时间的，相应时间节点顺延。</w:t>
      </w:r>
    </w:p>
    <w:p w14:paraId="1413CB24">
      <w:pPr>
        <w:numPr>
          <w:ilvl w:val="0"/>
          <w:numId w:val="10"/>
        </w:numPr>
        <w:ind w:right="29" w:rightChars="12" w:firstLine="480"/>
        <w:rPr>
          <w:rFonts w:hint="eastAsia" w:cs="宋体"/>
          <w:highlight w:val="none"/>
        </w:rPr>
      </w:pPr>
      <w:bookmarkStart w:id="90" w:name="_Toc19965"/>
      <w:bookmarkStart w:id="91" w:name="_Toc23323"/>
      <w:bookmarkStart w:id="92" w:name="_Toc19256"/>
      <w:bookmarkStart w:id="93" w:name="_Toc10825"/>
      <w:bookmarkStart w:id="94" w:name="_Toc22731"/>
      <w:r>
        <w:rPr>
          <w:rFonts w:hint="eastAsia" w:cs="宋体"/>
          <w:highlight w:val="none"/>
        </w:rPr>
        <w:t>设计人向发包人提交的电子版本的设计文件应适用如下标准：</w:t>
      </w:r>
      <w:bookmarkEnd w:id="90"/>
      <w:bookmarkEnd w:id="91"/>
      <w:bookmarkEnd w:id="92"/>
      <w:bookmarkEnd w:id="93"/>
      <w:bookmarkEnd w:id="94"/>
    </w:p>
    <w:p w14:paraId="5664D90D">
      <w:pPr>
        <w:numPr>
          <w:ilvl w:val="0"/>
          <w:numId w:val="11"/>
        </w:numPr>
        <w:ind w:left="19" w:leftChars="8" w:right="29" w:rightChars="12" w:firstLine="619" w:firstLineChars="258"/>
        <w:rPr>
          <w:rFonts w:hint="eastAsia" w:cs="宋体"/>
          <w:highlight w:val="none"/>
        </w:rPr>
      </w:pPr>
      <w:r>
        <w:rPr>
          <w:rFonts w:hint="eastAsia" w:cs="宋体"/>
          <w:highlight w:val="none"/>
        </w:rPr>
        <w:t>文字资料应当使用Microsoft Word 及Excel软件。</w:t>
      </w:r>
    </w:p>
    <w:p w14:paraId="75E7B1AB">
      <w:pPr>
        <w:numPr>
          <w:ilvl w:val="0"/>
          <w:numId w:val="11"/>
        </w:numPr>
        <w:ind w:left="19" w:leftChars="8" w:right="29" w:rightChars="12" w:firstLine="619" w:firstLineChars="258"/>
        <w:rPr>
          <w:rFonts w:hint="eastAsia" w:cs="宋体"/>
          <w:highlight w:val="none"/>
        </w:rPr>
      </w:pPr>
      <w:r>
        <w:rPr>
          <w:rFonts w:hint="eastAsia" w:cs="宋体"/>
          <w:highlight w:val="none"/>
        </w:rPr>
        <w:t>图纸资料应当使用AutoCAD及pdf文件，其中AutoCAD文件格式使用dwg格式。</w:t>
      </w:r>
    </w:p>
    <w:p w14:paraId="5497E72E">
      <w:pPr>
        <w:numPr>
          <w:ilvl w:val="0"/>
          <w:numId w:val="11"/>
        </w:numPr>
        <w:ind w:left="19" w:leftChars="8" w:right="29" w:rightChars="12" w:firstLine="619" w:firstLineChars="258"/>
        <w:rPr>
          <w:rFonts w:hint="eastAsia" w:cs="宋体"/>
          <w:highlight w:val="none"/>
        </w:rPr>
      </w:pPr>
      <w:r>
        <w:rPr>
          <w:rFonts w:hint="eastAsia" w:cs="宋体"/>
          <w:highlight w:val="none"/>
        </w:rPr>
        <w:t>提供CAD图纸的同时应提供所有图纸中所使用的字体文件。如有外部引用，必须包含所有外部引用的全部文件及字体，文件名必须与图名相对应，每个文件对应一张图并注明版本号。</w:t>
      </w:r>
    </w:p>
    <w:p w14:paraId="628CA581">
      <w:pPr>
        <w:numPr>
          <w:ilvl w:val="0"/>
          <w:numId w:val="11"/>
        </w:numPr>
        <w:ind w:left="19" w:leftChars="8" w:right="29" w:rightChars="12" w:firstLine="619" w:firstLineChars="258"/>
        <w:rPr>
          <w:rFonts w:hint="eastAsia" w:cs="宋体"/>
          <w:highlight w:val="none"/>
        </w:rPr>
      </w:pPr>
      <w:r>
        <w:rPr>
          <w:rFonts w:hint="eastAsia" w:cs="宋体"/>
          <w:highlight w:val="none"/>
        </w:rPr>
        <w:t>效果图资料使用jpg格式的文件。</w:t>
      </w:r>
    </w:p>
    <w:p w14:paraId="48B61EE1">
      <w:pPr>
        <w:numPr>
          <w:ilvl w:val="0"/>
          <w:numId w:val="11"/>
        </w:numPr>
        <w:ind w:left="19" w:leftChars="8" w:right="29" w:rightChars="12" w:firstLine="619" w:firstLineChars="258"/>
        <w:rPr>
          <w:rFonts w:hint="eastAsia" w:cs="宋体"/>
          <w:highlight w:val="none"/>
        </w:rPr>
      </w:pPr>
      <w:r>
        <w:rPr>
          <w:rFonts w:hint="eastAsia" w:cs="宋体"/>
          <w:highlight w:val="none"/>
        </w:rPr>
        <w:t>项目电子图纸、图片及文字资料所有权归发包人，设计人不得对所提交电子文件设置加密锁、只读格式、附带专项软件启动条件，以及发包人认为不合理的限制格式。</w:t>
      </w:r>
    </w:p>
    <w:p w14:paraId="0DCB6F7D">
      <w:pPr>
        <w:ind w:right="29" w:rightChars="12" w:firstLine="480"/>
        <w:rPr>
          <w:rFonts w:hint="eastAsia" w:cs="宋体"/>
          <w:highlight w:val="none"/>
        </w:rPr>
      </w:pPr>
      <w:r>
        <w:rPr>
          <w:rFonts w:hint="eastAsia" w:cs="宋体"/>
          <w:highlight w:val="none"/>
        </w:rPr>
        <w:t>4.1.2设计文件包括设计资料、设计文件、设计图纸及其电子版本。</w:t>
      </w:r>
    </w:p>
    <w:p w14:paraId="5080C867">
      <w:pPr>
        <w:ind w:right="29" w:rightChars="12" w:firstLine="480"/>
        <w:rPr>
          <w:rFonts w:hint="eastAsia" w:cs="宋体"/>
          <w:highlight w:val="none"/>
        </w:rPr>
      </w:pPr>
      <w:r>
        <w:rPr>
          <w:rFonts w:hint="eastAsia" w:cs="宋体"/>
          <w:highlight w:val="none"/>
        </w:rPr>
        <w:t>4.1.3设计图纸含总设计说明以及必要的设计资料和设计计算书等附件。</w:t>
      </w:r>
    </w:p>
    <w:p w14:paraId="779507E2">
      <w:pPr>
        <w:ind w:right="29" w:rightChars="12" w:firstLine="480"/>
        <w:rPr>
          <w:rFonts w:hint="eastAsia" w:cs="宋体"/>
          <w:highlight w:val="none"/>
        </w:rPr>
      </w:pPr>
      <w:r>
        <w:rPr>
          <w:rFonts w:hint="eastAsia" w:cs="宋体"/>
          <w:highlight w:val="none"/>
        </w:rPr>
        <w:t>4.1.4设计人应按发包人制定的项目编码方式进行文件、图纸的编码，并遵守发包人制定的设计文件、图纸、资料的发放、回收和验收制度。</w:t>
      </w:r>
    </w:p>
    <w:p w14:paraId="2B5C5B98">
      <w:pPr>
        <w:ind w:right="29" w:rightChars="12" w:firstLine="480"/>
        <w:rPr>
          <w:rFonts w:hint="eastAsia" w:cs="宋体"/>
          <w:highlight w:val="none"/>
        </w:rPr>
      </w:pPr>
      <w:r>
        <w:rPr>
          <w:rFonts w:hint="eastAsia" w:cs="宋体"/>
          <w:highlight w:val="none"/>
        </w:rPr>
        <w:t>4.1.5设计人须向发包人提交设计施工图纸20份（视招标情况定，并且根据招标要求分册）、设计计算书2份、相应的电子设计文件及文档2份（刻制成光盘）。</w:t>
      </w:r>
    </w:p>
    <w:p w14:paraId="11329EAD">
      <w:pPr>
        <w:ind w:right="29" w:rightChars="12" w:firstLine="480"/>
        <w:rPr>
          <w:rFonts w:hint="eastAsia" w:cs="宋体"/>
          <w:highlight w:val="none"/>
        </w:rPr>
      </w:pPr>
      <w:r>
        <w:rPr>
          <w:rFonts w:hint="eastAsia" w:cs="宋体"/>
          <w:highlight w:val="none"/>
        </w:rPr>
        <w:t>4.1.6在提交及施工设计文件的同时或发包人要求的其他时间，设计人提供进行招标工作所需的工程概况及招标技术规范，各一式15份。</w:t>
      </w:r>
    </w:p>
    <w:p w14:paraId="5DFE1F20">
      <w:pPr>
        <w:ind w:right="29" w:rightChars="12" w:firstLine="480"/>
        <w:rPr>
          <w:rFonts w:hint="eastAsia" w:cs="宋体"/>
          <w:highlight w:val="none"/>
        </w:rPr>
      </w:pPr>
      <w:r>
        <w:rPr>
          <w:rFonts w:hint="eastAsia" w:cs="宋体"/>
          <w:highlight w:val="none"/>
        </w:rPr>
        <w:t>4.1.7合同双方取得设计文件或资料后应办理签收手续。</w:t>
      </w:r>
    </w:p>
    <w:p w14:paraId="78FCE504">
      <w:pPr>
        <w:ind w:right="29" w:rightChars="12" w:firstLine="480"/>
        <w:rPr>
          <w:rFonts w:hint="eastAsia" w:cs="宋体"/>
          <w:highlight w:val="none"/>
        </w:rPr>
      </w:pPr>
      <w:r>
        <w:rPr>
          <w:rFonts w:hint="eastAsia" w:cs="宋体"/>
          <w:highlight w:val="none"/>
        </w:rPr>
        <w:t>4.1.8设计人自行承担办理运输或邮寄或电传设计文件、资料所需的费用。</w:t>
      </w:r>
    </w:p>
    <w:p w14:paraId="18EAB4DB">
      <w:pPr>
        <w:ind w:right="29" w:rightChars="12" w:firstLine="480"/>
        <w:rPr>
          <w:rFonts w:hint="eastAsia" w:cs="宋体"/>
          <w:highlight w:val="none"/>
        </w:rPr>
      </w:pPr>
      <w:r>
        <w:rPr>
          <w:rFonts w:hint="eastAsia" w:cs="宋体"/>
          <w:highlight w:val="none"/>
        </w:rPr>
        <w:t>4.1.9设计人将设计文件交至发包人日常办公所在地或发包人临时指定的地点。设计文件的收发、传送管理按发包人有关规定办理。</w:t>
      </w:r>
    </w:p>
    <w:p w14:paraId="7F28E655">
      <w:pPr>
        <w:ind w:right="29" w:rightChars="12" w:firstLine="480"/>
        <w:rPr>
          <w:rFonts w:hint="eastAsia" w:cs="宋体"/>
          <w:highlight w:val="none"/>
        </w:rPr>
      </w:pPr>
      <w:r>
        <w:rPr>
          <w:rFonts w:hint="eastAsia" w:cs="宋体"/>
          <w:highlight w:val="none"/>
        </w:rPr>
        <w:t>4.1.10设计总说明必须于提交各阶段成果时同期交付。</w:t>
      </w:r>
    </w:p>
    <w:p w14:paraId="5F195498">
      <w:pPr>
        <w:ind w:right="29" w:rightChars="12" w:firstLine="480"/>
        <w:rPr>
          <w:rFonts w:hint="eastAsia" w:cs="宋体"/>
          <w:highlight w:val="none"/>
        </w:rPr>
      </w:pPr>
      <w:r>
        <w:rPr>
          <w:rFonts w:hint="eastAsia" w:cs="宋体"/>
          <w:highlight w:val="none"/>
        </w:rPr>
        <w:t>4.1.11分包设计费已含分包单位（主设计单位）晒图费用，设计分包单位晒图不再另行支付费用。</w:t>
      </w:r>
    </w:p>
    <w:p w14:paraId="69CF4606">
      <w:pPr>
        <w:ind w:right="29" w:rightChars="12" w:firstLine="480"/>
        <w:rPr>
          <w:rFonts w:hint="eastAsia" w:cs="宋体"/>
          <w:highlight w:val="none"/>
        </w:rPr>
      </w:pPr>
      <w:r>
        <w:rPr>
          <w:rFonts w:hint="eastAsia" w:cs="宋体"/>
          <w:highlight w:val="none"/>
        </w:rPr>
        <w:t>4.1.12本合同生效之日起至竣工验收合格后满 2 年为止为服务期限（工程质量缺陷保修期）。在工程缺陷保修期内，若发现工程设计未能满足本合同的要求，设计人须继续提供服务，直至满足要求为止，对此发包人不额外支付费用。</w:t>
      </w:r>
    </w:p>
    <w:p w14:paraId="4FBE4938">
      <w:pPr>
        <w:ind w:right="29" w:rightChars="12" w:firstLine="480"/>
        <w:rPr>
          <w:rFonts w:hint="eastAsia" w:cs="宋体"/>
          <w:highlight w:val="none"/>
        </w:rPr>
      </w:pPr>
      <w:r>
        <w:rPr>
          <w:rFonts w:hint="eastAsia" w:cs="宋体"/>
          <w:highlight w:val="none"/>
        </w:rPr>
        <w:t xml:space="preserve">4.1.13 BIM 应用成果需提交电子版文件1份,相应的纸质报告5份。 </w:t>
      </w:r>
    </w:p>
    <w:p w14:paraId="520BB88B">
      <w:pPr>
        <w:numPr>
          <w:ilvl w:val="0"/>
          <w:numId w:val="12"/>
        </w:numPr>
        <w:ind w:left="720" w:leftChars="300" w:firstLine="480"/>
        <w:rPr>
          <w:rFonts w:hint="eastAsia" w:cs="宋体"/>
          <w:highlight w:val="none"/>
        </w:rPr>
      </w:pPr>
      <w:r>
        <w:rPr>
          <w:rFonts w:hint="eastAsia" w:cs="宋体"/>
          <w:highlight w:val="none"/>
        </w:rPr>
        <w:t xml:space="preserve">本项目《施工图阶段BIM实施方案》; </w:t>
      </w:r>
    </w:p>
    <w:p w14:paraId="26B3861D">
      <w:pPr>
        <w:numPr>
          <w:ilvl w:val="0"/>
          <w:numId w:val="12"/>
        </w:numPr>
        <w:ind w:left="720" w:leftChars="300" w:firstLine="480"/>
        <w:rPr>
          <w:rFonts w:hint="eastAsia" w:cs="宋体"/>
          <w:highlight w:val="none"/>
        </w:rPr>
      </w:pPr>
      <w:r>
        <w:rPr>
          <w:rFonts w:hint="eastAsia" w:cs="宋体"/>
          <w:highlight w:val="none"/>
        </w:rPr>
        <w:t xml:space="preserve">与设计要求一致的专业模型和综合模型; </w:t>
      </w:r>
    </w:p>
    <w:p w14:paraId="502CC34D">
      <w:pPr>
        <w:numPr>
          <w:ilvl w:val="0"/>
          <w:numId w:val="12"/>
        </w:numPr>
        <w:ind w:left="720" w:leftChars="300" w:firstLine="480"/>
        <w:rPr>
          <w:rFonts w:hint="eastAsia" w:cs="宋体"/>
          <w:highlight w:val="none"/>
        </w:rPr>
      </w:pPr>
      <w:r>
        <w:rPr>
          <w:rFonts w:hint="eastAsia" w:cs="宋体"/>
          <w:highlight w:val="none"/>
        </w:rPr>
        <w:t xml:space="preserve">与原模型配套的浏览模型(NavisWork平台); </w:t>
      </w:r>
    </w:p>
    <w:p w14:paraId="604D46B9">
      <w:pPr>
        <w:numPr>
          <w:ilvl w:val="0"/>
          <w:numId w:val="12"/>
        </w:numPr>
        <w:ind w:left="720" w:leftChars="300" w:firstLine="480"/>
        <w:rPr>
          <w:rFonts w:hint="eastAsia" w:cs="宋体"/>
          <w:highlight w:val="none"/>
        </w:rPr>
      </w:pPr>
      <w:r>
        <w:rPr>
          <w:rFonts w:hint="eastAsia" w:cs="宋体"/>
          <w:highlight w:val="none"/>
        </w:rPr>
        <w:t xml:space="preserve"> 各专业分析报告: </w:t>
      </w:r>
    </w:p>
    <w:p w14:paraId="0F9F1AAD">
      <w:pPr>
        <w:numPr>
          <w:ilvl w:val="0"/>
          <w:numId w:val="12"/>
        </w:numPr>
        <w:ind w:left="720" w:leftChars="300" w:firstLine="480"/>
        <w:rPr>
          <w:rFonts w:hint="eastAsia" w:cs="宋体"/>
          <w:highlight w:val="none"/>
        </w:rPr>
      </w:pPr>
      <w:r>
        <w:rPr>
          <w:rFonts w:hint="eastAsia" w:cs="宋体"/>
          <w:highlight w:val="none"/>
        </w:rPr>
        <w:t xml:space="preserve"> 漫游视频 </w:t>
      </w:r>
    </w:p>
    <w:p w14:paraId="65CF0ECD">
      <w:pPr>
        <w:numPr>
          <w:ilvl w:val="0"/>
          <w:numId w:val="12"/>
        </w:numPr>
        <w:ind w:left="720" w:leftChars="300" w:firstLine="480"/>
        <w:rPr>
          <w:rFonts w:hint="eastAsia" w:cs="宋体"/>
          <w:highlight w:val="none"/>
        </w:rPr>
      </w:pPr>
      <w:r>
        <w:rPr>
          <w:rFonts w:hint="eastAsia" w:cs="宋体"/>
          <w:highlight w:val="none"/>
        </w:rPr>
        <w:t xml:space="preserve">本项目所设计到的全部自建族(RVT 格式、电子档); </w:t>
      </w:r>
    </w:p>
    <w:p w14:paraId="5377B1E7">
      <w:pPr>
        <w:numPr>
          <w:ilvl w:val="0"/>
          <w:numId w:val="12"/>
        </w:numPr>
        <w:ind w:left="720" w:leftChars="300" w:firstLine="480"/>
        <w:rPr>
          <w:rFonts w:hint="eastAsia" w:cs="宋体"/>
          <w:highlight w:val="none"/>
        </w:rPr>
      </w:pPr>
      <w:r>
        <w:rPr>
          <w:rFonts w:hint="eastAsia" w:cs="宋体"/>
          <w:highlight w:val="none"/>
        </w:rPr>
        <w:t xml:space="preserve">基于BIM模型的工程量清单表格; </w:t>
      </w:r>
    </w:p>
    <w:p w14:paraId="31F0C62F">
      <w:pPr>
        <w:numPr>
          <w:ilvl w:val="0"/>
          <w:numId w:val="12"/>
        </w:numPr>
        <w:ind w:left="720" w:leftChars="300" w:firstLine="480"/>
        <w:rPr>
          <w:rFonts w:hint="eastAsia" w:cs="宋体"/>
          <w:highlight w:val="none"/>
        </w:rPr>
      </w:pPr>
      <w:r>
        <w:rPr>
          <w:rFonts w:hint="eastAsia" w:cs="宋体"/>
          <w:highlight w:val="none"/>
        </w:rPr>
        <w:t xml:space="preserve">相关图表、图片、文档等其他资料; </w:t>
      </w:r>
    </w:p>
    <w:p w14:paraId="7CEFB5B0">
      <w:pPr>
        <w:ind w:firstLine="480"/>
        <w:rPr>
          <w:rFonts w:hint="eastAsia" w:cs="宋体"/>
          <w:highlight w:val="none"/>
        </w:rPr>
      </w:pPr>
      <w:r>
        <w:rPr>
          <w:rFonts w:hint="eastAsia" w:cs="宋体"/>
          <w:highlight w:val="none"/>
        </w:rPr>
        <w:t>（9）所有 BIM模型以及在项目设计过程中产生的数据都归属于招标人所有,相关成果的知识产权归招标人所有。(所有3D\4D和BIM相关的信息均为保密信息。未经甲方同意和授权,乙方不得对外发布,乙方须做好上述信息的保密工作及相关数据的传递、交接记录）</w:t>
      </w:r>
    </w:p>
    <w:p w14:paraId="131A1F1F">
      <w:pPr>
        <w:keepNext/>
        <w:keepLines/>
        <w:numPr>
          <w:ilvl w:val="1"/>
          <w:numId w:val="0"/>
        </w:numPr>
        <w:tabs>
          <w:tab w:val="left" w:pos="576"/>
        </w:tabs>
        <w:spacing w:before="240" w:beforeLines="100" w:after="240" w:afterLines="100"/>
        <w:contextualSpacing/>
        <w:jc w:val="left"/>
        <w:rPr>
          <w:rFonts w:hint="eastAsia" w:cs="宋体"/>
          <w:b/>
          <w:bCs/>
          <w:kern w:val="0"/>
          <w:highlight w:val="none"/>
        </w:rPr>
      </w:pPr>
      <w:r>
        <w:rPr>
          <w:rFonts w:hint="eastAsia" w:cs="宋体"/>
          <w:highlight w:val="none"/>
        </w:rPr>
        <w:t>×</w:t>
      </w:r>
      <w:r>
        <w:rPr>
          <w:rFonts w:hint="eastAsia" w:cs="宋体"/>
          <w:b/>
          <w:bCs/>
          <w:kern w:val="0"/>
          <w:highlight w:val="none"/>
        </w:rPr>
        <w:t>4.2初步设计概算文件提交要求</w:t>
      </w:r>
    </w:p>
    <w:p w14:paraId="6C28973D">
      <w:pPr>
        <w:ind w:firstLine="480"/>
        <w:rPr>
          <w:rFonts w:hint="eastAsia" w:cs="宋体"/>
          <w:highlight w:val="none"/>
        </w:rPr>
      </w:pPr>
      <w:r>
        <w:rPr>
          <w:rFonts w:hint="eastAsia" w:cs="宋体"/>
          <w:highlight w:val="none"/>
        </w:rPr>
        <w:t>设计人提供的项目概算成果文件应包括并不限于：编制说明、造价文件（含软件版）、工程量计算书、经济指标分析表、主要设备材料价格表、主要材料设备定价依据文件（含询价文件等，询价单位不得少于2家）等。</w:t>
      </w:r>
    </w:p>
    <w:p w14:paraId="6C3EFB17">
      <w:pPr>
        <w:keepNext/>
        <w:keepLines/>
        <w:tabs>
          <w:tab w:val="left" w:pos="576"/>
        </w:tabs>
        <w:spacing w:before="240" w:beforeLines="100" w:after="240" w:afterLines="100"/>
        <w:ind w:left="1134" w:firstLine="482"/>
        <w:contextualSpacing/>
        <w:jc w:val="left"/>
        <w:rPr>
          <w:rFonts w:hint="eastAsia" w:cs="宋体"/>
          <w:b/>
          <w:bCs/>
          <w:kern w:val="0"/>
          <w:highlight w:val="none"/>
        </w:rPr>
      </w:pPr>
      <w:r>
        <w:rPr>
          <w:rFonts w:hint="eastAsia" w:cs="宋体"/>
          <w:b/>
          <w:bCs/>
          <w:kern w:val="0"/>
          <w:highlight w:val="none"/>
        </w:rPr>
        <w:t>4.3各阶段成果具体内容</w:t>
      </w:r>
    </w:p>
    <w:p w14:paraId="47338BFA">
      <w:pPr>
        <w:ind w:firstLine="480"/>
        <w:rPr>
          <w:rFonts w:hint="eastAsia" w:cs="宋体"/>
          <w:highlight w:val="none"/>
        </w:rPr>
      </w:pPr>
      <w:r>
        <w:rPr>
          <w:rFonts w:hint="eastAsia" w:cs="宋体"/>
          <w:bCs/>
          <w:snapToGrid w:val="0"/>
          <w:kern w:val="0"/>
          <w:highlight w:val="none"/>
          <w:bdr w:val="single" w:color="auto" w:sz="4" w:space="0"/>
        </w:rPr>
        <w:t>√</w:t>
      </w:r>
      <w:r>
        <w:rPr>
          <w:rFonts w:hint="eastAsia" w:cs="宋体"/>
          <w:b/>
          <w:highlight w:val="none"/>
        </w:rPr>
        <w:t>4.3.1工程成果文件</w:t>
      </w:r>
      <w:r>
        <w:rPr>
          <w:rFonts w:hint="eastAsia" w:cs="宋体"/>
          <w:highlight w:val="none"/>
        </w:rPr>
        <w:t>：</w:t>
      </w:r>
    </w:p>
    <w:p w14:paraId="1F8DE1F2">
      <w:pPr>
        <w:ind w:firstLine="480"/>
        <w:rPr>
          <w:rFonts w:hint="eastAsia" w:cs="宋体"/>
          <w:highlight w:val="none"/>
        </w:rPr>
      </w:pPr>
      <w:r>
        <w:rPr>
          <w:rFonts w:hint="eastAsia" w:cs="宋体"/>
          <w:highlight w:val="none"/>
        </w:rPr>
        <w:t>工程成果文件应按中华人民共和国现行有关的法律、相关的工程技术规范、规定及标准，以及广东省、广州市现行有关的地方性法规、相关的工程技术规范、规定及标准等要求编制，并满足项目设计要求。</w:t>
      </w:r>
    </w:p>
    <w:p w14:paraId="2121B883">
      <w:pPr>
        <w:ind w:firstLine="480"/>
        <w:rPr>
          <w:rFonts w:hint="eastAsia" w:cs="宋体"/>
          <w:b/>
          <w:highlight w:val="none"/>
        </w:rPr>
      </w:pPr>
      <w:r>
        <w:rPr>
          <w:rFonts w:hint="eastAsia" w:cs="宋体"/>
          <w:highlight w:val="none"/>
        </w:rPr>
        <w:t>×</w:t>
      </w:r>
      <w:r>
        <w:rPr>
          <w:rFonts w:hint="eastAsia" w:cs="宋体"/>
          <w:b/>
          <w:highlight w:val="none"/>
        </w:rPr>
        <w:t>4.3.2方案设计成果文件：</w:t>
      </w:r>
    </w:p>
    <w:p w14:paraId="25B04AE4">
      <w:pPr>
        <w:ind w:firstLine="480"/>
        <w:rPr>
          <w:rFonts w:hint="eastAsia" w:cs="宋体"/>
          <w:highlight w:val="none"/>
        </w:rPr>
      </w:pPr>
      <w:r>
        <w:rPr>
          <w:rFonts w:hint="eastAsia" w:cs="宋体"/>
          <w:highlight w:val="none"/>
        </w:rPr>
        <w:t>4.3.2.1方案设计成果文件应为发包人最终确定方案的设计文件，文件的内容应按照发包人的要求、有权审核部门的审批意见、建设部《建筑工程设计文件编制深度规定》（2016版）方案设计阶段规定的要求进行编制，应包括但不限于以下成果文件：</w:t>
      </w:r>
    </w:p>
    <w:p w14:paraId="7735C35F">
      <w:pPr>
        <w:ind w:firstLine="480"/>
        <w:rPr>
          <w:rFonts w:hint="eastAsia" w:cs="宋体"/>
          <w:highlight w:val="none"/>
        </w:rPr>
      </w:pPr>
      <w:r>
        <w:rPr>
          <w:rFonts w:hint="eastAsia" w:cs="宋体"/>
          <w:highlight w:val="none"/>
        </w:rPr>
        <w:t>（1）封面（写明方案的名称、方案编制单位、编制时间）；</w:t>
      </w:r>
    </w:p>
    <w:p w14:paraId="64951CB4">
      <w:pPr>
        <w:ind w:firstLine="480"/>
        <w:rPr>
          <w:rFonts w:hint="eastAsia" w:cs="宋体"/>
          <w:highlight w:val="none"/>
        </w:rPr>
      </w:pPr>
      <w:r>
        <w:rPr>
          <w:rFonts w:hint="eastAsia" w:cs="宋体"/>
          <w:highlight w:val="none"/>
        </w:rPr>
        <w:t>（2）扉页（方案编制单位行政及技术负责人、具体编制总负责人签认名单）；</w:t>
      </w:r>
    </w:p>
    <w:p w14:paraId="477B15B5">
      <w:pPr>
        <w:ind w:firstLine="480"/>
        <w:rPr>
          <w:rFonts w:hint="eastAsia" w:cs="宋体"/>
          <w:highlight w:val="none"/>
        </w:rPr>
      </w:pPr>
      <w:r>
        <w:rPr>
          <w:rFonts w:hint="eastAsia" w:cs="宋体"/>
          <w:highlight w:val="none"/>
        </w:rPr>
        <w:t>（3）方案设计文件目录；</w:t>
      </w:r>
    </w:p>
    <w:p w14:paraId="57FCA54E">
      <w:pPr>
        <w:ind w:firstLine="480"/>
        <w:rPr>
          <w:rFonts w:hint="eastAsia" w:cs="宋体"/>
          <w:highlight w:val="none"/>
        </w:rPr>
      </w:pPr>
      <w:r>
        <w:rPr>
          <w:rFonts w:hint="eastAsia" w:cs="宋体"/>
          <w:highlight w:val="none"/>
        </w:rPr>
        <w:t>（4）方案设计说明书[包含总平面、建筑和投资估算等专业]、设计图纸、投资估算、透视图（效果图）、结构及主要设备选型（含经济技术分析）等；</w:t>
      </w:r>
    </w:p>
    <w:p w14:paraId="125E9866">
      <w:pPr>
        <w:ind w:firstLine="480"/>
        <w:rPr>
          <w:rFonts w:hint="eastAsia" w:cs="宋体"/>
          <w:highlight w:val="none"/>
        </w:rPr>
      </w:pPr>
      <w:r>
        <w:rPr>
          <w:rFonts w:hint="eastAsia" w:cs="宋体"/>
          <w:highlight w:val="none"/>
        </w:rPr>
        <w:t>（5）方案设计图纸（A3图）；</w:t>
      </w:r>
    </w:p>
    <w:p w14:paraId="52094C95">
      <w:pPr>
        <w:ind w:firstLine="480"/>
        <w:rPr>
          <w:rFonts w:hint="eastAsia" w:cs="宋体"/>
          <w:highlight w:val="none"/>
        </w:rPr>
      </w:pPr>
      <w:r>
        <w:rPr>
          <w:rFonts w:hint="eastAsia" w:cs="宋体"/>
          <w:highlight w:val="none"/>
        </w:rPr>
        <w:t>（6）效果图；</w:t>
      </w:r>
    </w:p>
    <w:p w14:paraId="49CBCD90">
      <w:pPr>
        <w:ind w:firstLine="506" w:firstLineChars="211"/>
        <w:rPr>
          <w:rFonts w:hint="eastAsia" w:cs="宋体"/>
          <w:highlight w:val="none"/>
        </w:rPr>
      </w:pPr>
      <w:r>
        <w:rPr>
          <w:rFonts w:hint="eastAsia" w:cs="宋体"/>
          <w:highlight w:val="none"/>
        </w:rPr>
        <w:t>（7）小区俯瞰图；</w:t>
      </w:r>
    </w:p>
    <w:p w14:paraId="2A99FA8F">
      <w:pPr>
        <w:ind w:firstLine="506" w:firstLineChars="211"/>
        <w:rPr>
          <w:rFonts w:hint="eastAsia" w:cs="宋体"/>
          <w:highlight w:val="none"/>
        </w:rPr>
      </w:pPr>
      <w:r>
        <w:rPr>
          <w:rFonts w:hint="eastAsia" w:cs="宋体"/>
          <w:highlight w:val="none"/>
        </w:rPr>
        <w:t>（8）方案设计估算。</w:t>
      </w:r>
    </w:p>
    <w:p w14:paraId="702E1357">
      <w:pPr>
        <w:ind w:firstLine="506" w:firstLineChars="211"/>
        <w:rPr>
          <w:rFonts w:hint="eastAsia" w:cs="宋体"/>
          <w:highlight w:val="none"/>
        </w:rPr>
      </w:pPr>
      <w:r>
        <w:rPr>
          <w:rFonts w:hint="eastAsia" w:cs="宋体"/>
          <w:highlight w:val="none"/>
        </w:rPr>
        <w:t>上述方案设计成果文件的份数详见本设计任务书第4.1条。</w:t>
      </w:r>
    </w:p>
    <w:p w14:paraId="32A8F72E">
      <w:pPr>
        <w:ind w:firstLine="482"/>
        <w:rPr>
          <w:rFonts w:hint="eastAsia" w:cs="宋体"/>
          <w:b/>
          <w:bCs/>
          <w:highlight w:val="none"/>
        </w:rPr>
      </w:pPr>
      <w:r>
        <w:rPr>
          <w:rFonts w:hint="eastAsia" w:cs="宋体"/>
          <w:b/>
          <w:bCs/>
          <w:highlight w:val="none"/>
        </w:rPr>
        <w:t xml:space="preserve">   </w:t>
      </w:r>
      <w:r>
        <w:rPr>
          <w:rFonts w:hint="eastAsia" w:cs="宋体"/>
          <w:highlight w:val="none"/>
        </w:rPr>
        <w:t xml:space="preserve"> </w:t>
      </w:r>
      <w:r>
        <w:rPr>
          <w:rFonts w:hint="eastAsia" w:cs="宋体"/>
          <w:b/>
          <w:bCs/>
          <w:highlight w:val="none"/>
        </w:rPr>
        <w:t>4.3.2.2按照广州市规划主管部门的规划报建要求，提供规划报建所需相关设计成果文件（包括以下内容）：</w:t>
      </w:r>
    </w:p>
    <w:p w14:paraId="171F5BE2">
      <w:pPr>
        <w:ind w:firstLine="506" w:firstLineChars="211"/>
        <w:rPr>
          <w:rFonts w:hint="eastAsia" w:cs="宋体"/>
          <w:highlight w:val="none"/>
        </w:rPr>
      </w:pPr>
      <w:r>
        <w:rPr>
          <w:rFonts w:hint="eastAsia" w:cs="宋体"/>
          <w:highlight w:val="none"/>
        </w:rPr>
        <w:t>（1）总平面规划图（比例1：500，包括各项技术经济指标）；</w:t>
      </w:r>
    </w:p>
    <w:p w14:paraId="29149B1C">
      <w:pPr>
        <w:ind w:firstLine="506" w:firstLineChars="211"/>
        <w:rPr>
          <w:rFonts w:hint="eastAsia" w:cs="宋体"/>
          <w:highlight w:val="none"/>
        </w:rPr>
      </w:pPr>
      <w:r>
        <w:rPr>
          <w:rFonts w:hint="eastAsia" w:cs="宋体"/>
          <w:highlight w:val="none"/>
        </w:rPr>
        <w:t>（2）绿地规划图（比例1：500）；</w:t>
      </w:r>
    </w:p>
    <w:p w14:paraId="168F48E2">
      <w:pPr>
        <w:ind w:firstLine="506" w:firstLineChars="211"/>
        <w:rPr>
          <w:rFonts w:hint="eastAsia" w:cs="宋体"/>
          <w:highlight w:val="none"/>
        </w:rPr>
      </w:pPr>
      <w:r>
        <w:rPr>
          <w:rFonts w:hint="eastAsia" w:cs="宋体"/>
          <w:highlight w:val="none"/>
        </w:rPr>
        <w:t>（3）道路交通系统规划图（比例1：500）；</w:t>
      </w:r>
    </w:p>
    <w:p w14:paraId="11EBB310">
      <w:pPr>
        <w:ind w:firstLine="506" w:firstLineChars="211"/>
        <w:rPr>
          <w:rFonts w:hint="eastAsia" w:cs="宋体"/>
          <w:highlight w:val="none"/>
        </w:rPr>
      </w:pPr>
      <w:r>
        <w:rPr>
          <w:rFonts w:hint="eastAsia" w:cs="宋体"/>
          <w:highlight w:val="none"/>
        </w:rPr>
        <w:t>（4）用地竖向规划图（比例1：500）；</w:t>
      </w:r>
    </w:p>
    <w:p w14:paraId="1A411FB1">
      <w:pPr>
        <w:ind w:firstLine="506" w:firstLineChars="211"/>
        <w:rPr>
          <w:rFonts w:hint="eastAsia" w:cs="宋体"/>
          <w:highlight w:val="none"/>
        </w:rPr>
      </w:pPr>
      <w:r>
        <w:rPr>
          <w:rFonts w:hint="eastAsia" w:cs="宋体"/>
          <w:highlight w:val="none"/>
        </w:rPr>
        <w:t>（5）管线综合规划图（比例1：500）；</w:t>
      </w:r>
    </w:p>
    <w:p w14:paraId="4F698997">
      <w:pPr>
        <w:ind w:firstLine="506" w:firstLineChars="211"/>
        <w:rPr>
          <w:rFonts w:hint="eastAsia" w:cs="宋体"/>
          <w:highlight w:val="none"/>
        </w:rPr>
      </w:pPr>
      <w:r>
        <w:rPr>
          <w:rFonts w:hint="eastAsia" w:cs="宋体"/>
          <w:highlight w:val="none"/>
        </w:rPr>
        <w:t>（6）规划方案说明书；</w:t>
      </w:r>
    </w:p>
    <w:p w14:paraId="1ED039DA">
      <w:pPr>
        <w:ind w:firstLine="506" w:firstLineChars="211"/>
        <w:rPr>
          <w:rFonts w:hint="eastAsia" w:cs="宋体"/>
          <w:highlight w:val="none"/>
        </w:rPr>
      </w:pPr>
      <w:r>
        <w:rPr>
          <w:rFonts w:hint="eastAsia" w:cs="宋体"/>
          <w:highlight w:val="none"/>
        </w:rPr>
        <w:t>（7）模型（按发包人需要提供）；</w:t>
      </w:r>
    </w:p>
    <w:p w14:paraId="35482B6D">
      <w:pPr>
        <w:ind w:firstLine="506" w:firstLineChars="211"/>
        <w:rPr>
          <w:rFonts w:hint="eastAsia" w:cs="宋体"/>
          <w:highlight w:val="none"/>
        </w:rPr>
      </w:pPr>
      <w:r>
        <w:rPr>
          <w:rFonts w:hint="eastAsia" w:cs="宋体"/>
          <w:highlight w:val="none"/>
        </w:rPr>
        <w:t>（8）电子磁盘报批文件（修详通）。</w:t>
      </w:r>
    </w:p>
    <w:p w14:paraId="2CB6B629">
      <w:pPr>
        <w:adjustRightInd w:val="0"/>
        <w:ind w:firstLine="480"/>
        <w:rPr>
          <w:rFonts w:hint="eastAsia" w:cs="宋体"/>
          <w:highlight w:val="none"/>
        </w:rPr>
      </w:pPr>
      <w:r>
        <w:rPr>
          <w:rFonts w:hint="eastAsia" w:cs="宋体"/>
          <w:highlight w:val="none"/>
        </w:rPr>
        <w:t>上述规划报建所需的设计成果文件的份数详见本设计任务书第4.1条。按规定对文件加盖规划报建章、设计人出图章、注册师章等。并根据相关的审批意见对设计成果文件进行相应修改。</w:t>
      </w:r>
    </w:p>
    <w:p w14:paraId="78771A42">
      <w:pPr>
        <w:adjustRightInd w:val="0"/>
        <w:ind w:firstLine="480"/>
        <w:rPr>
          <w:rFonts w:hint="eastAsia" w:cs="宋体"/>
          <w:highlight w:val="none"/>
        </w:rPr>
      </w:pPr>
      <w:r>
        <w:rPr>
          <w:rFonts w:hint="eastAsia" w:cs="宋体"/>
          <w:highlight w:val="none"/>
        </w:rPr>
        <w:t>4.3.2.3按照广州市规划主管部门的报建要求，提供方案设计报建所需相关设计成果文件并根据相关的审批意见对设计成果文件进行相应修改。相关设计成果文件包括但不限于以下内容：</w:t>
      </w:r>
    </w:p>
    <w:p w14:paraId="0C374E3D">
      <w:pPr>
        <w:adjustRightInd w:val="0"/>
        <w:ind w:firstLine="480"/>
        <w:rPr>
          <w:rFonts w:hint="eastAsia" w:cs="宋体"/>
          <w:snapToGrid w:val="0"/>
          <w:kern w:val="0"/>
          <w:highlight w:val="none"/>
        </w:rPr>
      </w:pPr>
      <w:r>
        <w:rPr>
          <w:rFonts w:hint="eastAsia" w:cs="宋体"/>
          <w:highlight w:val="none"/>
        </w:rPr>
        <w:t>（1）总平面图（比例</w:t>
      </w:r>
      <w:r>
        <w:rPr>
          <w:rFonts w:hint="eastAsia" w:cs="宋体"/>
          <w:highlight w:val="none"/>
          <w:u w:val="single"/>
        </w:rPr>
        <w:t>1：500</w:t>
      </w:r>
      <w:r>
        <w:rPr>
          <w:rFonts w:hint="eastAsia" w:cs="宋体"/>
          <w:highlight w:val="none"/>
        </w:rPr>
        <w:t>，包括各项技术经济指标）</w:t>
      </w:r>
      <w:r>
        <w:rPr>
          <w:rFonts w:hint="eastAsia" w:cs="宋体"/>
          <w:snapToGrid w:val="0"/>
          <w:kern w:val="0"/>
          <w:highlight w:val="none"/>
        </w:rPr>
        <w:t>；</w:t>
      </w:r>
    </w:p>
    <w:p w14:paraId="40C1422B">
      <w:pPr>
        <w:adjustRightInd w:val="0"/>
        <w:ind w:firstLine="480"/>
        <w:rPr>
          <w:rFonts w:hint="eastAsia" w:cs="宋体"/>
          <w:snapToGrid w:val="0"/>
          <w:kern w:val="0"/>
          <w:highlight w:val="none"/>
        </w:rPr>
      </w:pPr>
      <w:r>
        <w:rPr>
          <w:rFonts w:hint="eastAsia" w:cs="宋体"/>
          <w:highlight w:val="none"/>
        </w:rPr>
        <w:t>（2）建筑平、立、剖面图（比例</w:t>
      </w:r>
      <w:r>
        <w:rPr>
          <w:rFonts w:hint="eastAsia" w:cs="宋体"/>
          <w:highlight w:val="none"/>
          <w:u w:val="single"/>
        </w:rPr>
        <w:t>1：100</w:t>
      </w:r>
      <w:r>
        <w:rPr>
          <w:rFonts w:hint="eastAsia" w:cs="宋体"/>
          <w:highlight w:val="none"/>
        </w:rPr>
        <w:t>）；</w:t>
      </w:r>
    </w:p>
    <w:p w14:paraId="51143473">
      <w:pPr>
        <w:adjustRightInd w:val="0"/>
        <w:ind w:firstLine="480"/>
        <w:rPr>
          <w:rFonts w:hint="eastAsia" w:cs="宋体"/>
          <w:snapToGrid w:val="0"/>
          <w:kern w:val="0"/>
          <w:highlight w:val="none"/>
        </w:rPr>
      </w:pPr>
      <w:r>
        <w:rPr>
          <w:rFonts w:hint="eastAsia" w:cs="宋体"/>
          <w:highlight w:val="none"/>
        </w:rPr>
        <w:t>（3）设计说明；</w:t>
      </w:r>
    </w:p>
    <w:p w14:paraId="0F2D0EE6">
      <w:pPr>
        <w:adjustRightInd w:val="0"/>
        <w:ind w:firstLine="480"/>
        <w:rPr>
          <w:rFonts w:hint="eastAsia" w:cs="宋体"/>
          <w:snapToGrid w:val="0"/>
          <w:kern w:val="0"/>
          <w:highlight w:val="none"/>
        </w:rPr>
      </w:pPr>
      <w:r>
        <w:rPr>
          <w:rFonts w:hint="eastAsia" w:cs="宋体"/>
          <w:highlight w:val="none"/>
        </w:rPr>
        <w:t>（4）工程投资估算（含非标设备、材料、构配件的报价）；</w:t>
      </w:r>
    </w:p>
    <w:p w14:paraId="4EA14F57">
      <w:pPr>
        <w:adjustRightInd w:val="0"/>
        <w:ind w:firstLine="480"/>
        <w:rPr>
          <w:rFonts w:hint="eastAsia" w:cs="宋体"/>
          <w:highlight w:val="none"/>
        </w:rPr>
      </w:pPr>
      <w:r>
        <w:rPr>
          <w:rFonts w:hint="eastAsia" w:cs="宋体"/>
          <w:highlight w:val="none"/>
        </w:rPr>
        <w:t>（5）电子磁盘报批文件（报建通）。</w:t>
      </w:r>
    </w:p>
    <w:p w14:paraId="1D6DA8E1">
      <w:pPr>
        <w:adjustRightInd w:val="0"/>
        <w:ind w:firstLine="480"/>
        <w:rPr>
          <w:rFonts w:hint="eastAsia" w:cs="宋体"/>
          <w:highlight w:val="none"/>
        </w:rPr>
      </w:pPr>
      <w:r>
        <w:rPr>
          <w:rFonts w:hint="eastAsia" w:cs="宋体"/>
          <w:highlight w:val="none"/>
        </w:rPr>
        <w:t>上述规划报建所需的设计成果文件的份数详见本设计任务书第4.1条。按规定对文件加盖设计人出图章、注册师章等。</w:t>
      </w:r>
    </w:p>
    <w:p w14:paraId="12F48546">
      <w:pPr>
        <w:ind w:firstLine="480"/>
        <w:rPr>
          <w:rFonts w:hint="eastAsia" w:cs="宋体"/>
          <w:highlight w:val="none"/>
        </w:rPr>
      </w:pPr>
      <w:r>
        <w:rPr>
          <w:rFonts w:hint="eastAsia" w:cs="宋体"/>
          <w:highlight w:val="none"/>
        </w:rPr>
        <w:t>×</w:t>
      </w:r>
      <w:r>
        <w:rPr>
          <w:rFonts w:hint="eastAsia" w:cs="宋体"/>
          <w:b/>
          <w:highlight w:val="none"/>
        </w:rPr>
        <w:t>4.3.3初步设计成果文件</w:t>
      </w:r>
      <w:r>
        <w:rPr>
          <w:rFonts w:hint="eastAsia" w:cs="宋体"/>
          <w:highlight w:val="none"/>
        </w:rPr>
        <w:t>：</w:t>
      </w:r>
    </w:p>
    <w:p w14:paraId="49A9977C">
      <w:pPr>
        <w:ind w:firstLine="480"/>
        <w:rPr>
          <w:rFonts w:hint="eastAsia" w:cs="宋体"/>
          <w:highlight w:val="none"/>
        </w:rPr>
      </w:pPr>
      <w:r>
        <w:rPr>
          <w:rFonts w:hint="eastAsia" w:cs="宋体"/>
          <w:highlight w:val="none"/>
        </w:rPr>
        <w:t>初步设计成果文件应按建设部批准的</w:t>
      </w:r>
      <w:r>
        <w:rPr>
          <w:rFonts w:hint="eastAsia" w:cs="宋体"/>
          <w:iCs/>
          <w:highlight w:val="none"/>
        </w:rPr>
        <w:t>《建筑工程设计文件编制深度规定》（2016版）</w:t>
      </w:r>
      <w:r>
        <w:rPr>
          <w:rFonts w:hint="eastAsia" w:cs="宋体"/>
          <w:highlight w:val="none"/>
        </w:rPr>
        <w:t>初步设计阶段的要求进行编制，由总章和各专业设计文件分章编制而成，应包括但不限于以下设计成果文件：</w:t>
      </w:r>
    </w:p>
    <w:p w14:paraId="0A254DB6">
      <w:pPr>
        <w:ind w:firstLine="480"/>
        <w:rPr>
          <w:rFonts w:hint="eastAsia" w:cs="宋体"/>
          <w:highlight w:val="none"/>
        </w:rPr>
      </w:pPr>
      <w:r>
        <w:rPr>
          <w:rFonts w:hint="eastAsia" w:cs="宋体"/>
          <w:highlight w:val="none"/>
        </w:rPr>
        <w:t>（1）初步设计方案编制；</w:t>
      </w:r>
    </w:p>
    <w:p w14:paraId="5422F48A">
      <w:pPr>
        <w:ind w:firstLine="480"/>
        <w:rPr>
          <w:rFonts w:hint="eastAsia" w:cs="宋体"/>
          <w:highlight w:val="none"/>
        </w:rPr>
      </w:pPr>
      <w:r>
        <w:rPr>
          <w:rFonts w:hint="eastAsia" w:cs="宋体"/>
          <w:highlight w:val="none"/>
        </w:rPr>
        <w:t>（2）设计说明书（含设计总说明、各专业的设计说明书、结构计算书等）；</w:t>
      </w:r>
    </w:p>
    <w:p w14:paraId="5C0C3F87">
      <w:pPr>
        <w:ind w:firstLine="480"/>
        <w:rPr>
          <w:rFonts w:hint="eastAsia" w:cs="宋体"/>
          <w:highlight w:val="none"/>
        </w:rPr>
      </w:pPr>
      <w:r>
        <w:rPr>
          <w:rFonts w:hint="eastAsia" w:cs="宋体"/>
          <w:highlight w:val="none"/>
        </w:rPr>
        <w:t>（3）设计图纸（由各专业设计图纸组成，总图比例1：500，其它图比例</w:t>
      </w:r>
      <w:r>
        <w:rPr>
          <w:rFonts w:hint="eastAsia" w:cs="宋体"/>
          <w:highlight w:val="none"/>
          <w:u w:val="single"/>
        </w:rPr>
        <w:t>1：100</w:t>
      </w:r>
      <w:r>
        <w:rPr>
          <w:rFonts w:hint="eastAsia" w:cs="宋体"/>
          <w:highlight w:val="none"/>
        </w:rPr>
        <w:t>）；</w:t>
      </w:r>
    </w:p>
    <w:p w14:paraId="5CEDFF60">
      <w:pPr>
        <w:ind w:firstLine="480"/>
        <w:rPr>
          <w:rFonts w:hint="eastAsia" w:cs="宋体"/>
          <w:highlight w:val="none"/>
        </w:rPr>
      </w:pPr>
      <w:r>
        <w:rPr>
          <w:rFonts w:hint="eastAsia" w:cs="宋体"/>
          <w:highlight w:val="none"/>
        </w:rPr>
        <w:t>（4）初步设计概算；</w:t>
      </w:r>
    </w:p>
    <w:p w14:paraId="316ADDD8">
      <w:pPr>
        <w:ind w:firstLine="480"/>
        <w:rPr>
          <w:rFonts w:hint="eastAsia" w:cs="宋体"/>
          <w:highlight w:val="none"/>
        </w:rPr>
      </w:pPr>
      <w:r>
        <w:rPr>
          <w:rFonts w:hint="eastAsia" w:cs="宋体"/>
          <w:highlight w:val="none"/>
        </w:rPr>
        <w:t>（5）效果图及透视图；</w:t>
      </w:r>
    </w:p>
    <w:p w14:paraId="6BCD6462">
      <w:pPr>
        <w:ind w:firstLine="480"/>
        <w:rPr>
          <w:rFonts w:hint="eastAsia" w:cs="宋体"/>
          <w:highlight w:val="none"/>
        </w:rPr>
      </w:pPr>
      <w:r>
        <w:rPr>
          <w:rFonts w:hint="eastAsia" w:cs="宋体"/>
          <w:highlight w:val="none"/>
        </w:rPr>
        <w:t>（6）报批模型（BIM、CIM）；</w:t>
      </w:r>
    </w:p>
    <w:p w14:paraId="4190F74B">
      <w:pPr>
        <w:ind w:firstLine="480"/>
        <w:rPr>
          <w:rFonts w:hint="eastAsia" w:cs="宋体"/>
          <w:highlight w:val="none"/>
        </w:rPr>
      </w:pPr>
      <w:r>
        <w:rPr>
          <w:rFonts w:hint="eastAsia" w:cs="宋体"/>
          <w:highlight w:val="none"/>
        </w:rPr>
        <w:t>（7）主要设备、材料清单样板；</w:t>
      </w:r>
    </w:p>
    <w:p w14:paraId="716BBD1A">
      <w:pPr>
        <w:ind w:firstLine="480"/>
        <w:rPr>
          <w:rFonts w:hint="eastAsia" w:cs="宋体"/>
          <w:highlight w:val="none"/>
        </w:rPr>
      </w:pPr>
      <w:r>
        <w:rPr>
          <w:rFonts w:hint="eastAsia" w:cs="宋体"/>
          <w:highlight w:val="none"/>
        </w:rPr>
        <w:t>（8）设计方案全专业BIM文件；</w:t>
      </w:r>
    </w:p>
    <w:p w14:paraId="4D428BE0">
      <w:pPr>
        <w:ind w:firstLine="480"/>
        <w:rPr>
          <w:rFonts w:hint="eastAsia" w:cs="宋体"/>
          <w:highlight w:val="none"/>
        </w:rPr>
      </w:pPr>
      <w:r>
        <w:rPr>
          <w:rFonts w:hint="eastAsia" w:cs="宋体"/>
          <w:highlight w:val="none"/>
        </w:rPr>
        <w:t>（9）苗木迁移方案（图）。</w:t>
      </w:r>
    </w:p>
    <w:p w14:paraId="0CFCECEA">
      <w:pPr>
        <w:adjustRightInd w:val="0"/>
        <w:ind w:firstLine="480"/>
        <w:rPr>
          <w:rFonts w:hint="eastAsia" w:cs="宋体"/>
          <w:highlight w:val="none"/>
        </w:rPr>
      </w:pPr>
      <w:r>
        <w:rPr>
          <w:rFonts w:hint="eastAsia" w:cs="宋体"/>
          <w:highlight w:val="none"/>
        </w:rPr>
        <w:t>上述初步设计成果文件的份数详见本设计任务书第4.1条。按规定对文件加盖设计人出图章、注册建筑师章、注册结构工程师章，各专业负责人、设计人签署等。</w:t>
      </w:r>
    </w:p>
    <w:p w14:paraId="5E198CFF">
      <w:pPr>
        <w:ind w:firstLine="480"/>
        <w:rPr>
          <w:rFonts w:hint="eastAsia" w:cs="宋体"/>
          <w:highlight w:val="none"/>
        </w:rPr>
      </w:pPr>
      <w:r>
        <w:rPr>
          <w:rFonts w:hint="eastAsia" w:cs="宋体"/>
          <w:bCs/>
          <w:snapToGrid w:val="0"/>
          <w:kern w:val="0"/>
          <w:highlight w:val="none"/>
          <w:bdr w:val="single" w:color="auto" w:sz="4" w:space="0"/>
        </w:rPr>
        <w:t>√</w:t>
      </w:r>
      <w:r>
        <w:rPr>
          <w:rFonts w:hint="eastAsia" w:cs="宋体"/>
          <w:b/>
          <w:highlight w:val="none"/>
        </w:rPr>
        <w:t>4.3.4施工图设计阶段的成果文件</w:t>
      </w:r>
    </w:p>
    <w:p w14:paraId="1542F120">
      <w:pPr>
        <w:adjustRightInd w:val="0"/>
        <w:ind w:firstLine="480"/>
        <w:rPr>
          <w:rFonts w:hint="eastAsia" w:cs="宋体"/>
          <w:highlight w:val="none"/>
        </w:rPr>
      </w:pPr>
      <w:r>
        <w:rPr>
          <w:rFonts w:hint="eastAsia" w:cs="宋体"/>
          <w:highlight w:val="none"/>
        </w:rPr>
        <w:t>4.3.4.1施工图成果文件应按建设部批准的</w:t>
      </w:r>
      <w:r>
        <w:rPr>
          <w:rFonts w:hint="eastAsia" w:cs="宋体"/>
          <w:iCs/>
          <w:highlight w:val="none"/>
        </w:rPr>
        <w:t>《建筑工程设计文件编制深度规定》（2016版）</w:t>
      </w:r>
      <w:r>
        <w:rPr>
          <w:rFonts w:hint="eastAsia" w:cs="宋体"/>
          <w:highlight w:val="none"/>
        </w:rPr>
        <w:t>施工图设计阶段的要求进行编制，并将施工图设计阶段的成果文件送施工图审查单位及发包人审查后，根据审查意见修改相关设计成果文件。</w:t>
      </w:r>
    </w:p>
    <w:p w14:paraId="44290DF9">
      <w:pPr>
        <w:adjustRightInd w:val="0"/>
        <w:ind w:firstLine="480"/>
        <w:rPr>
          <w:rFonts w:hint="eastAsia" w:cs="宋体"/>
          <w:highlight w:val="none"/>
        </w:rPr>
      </w:pPr>
      <w:r>
        <w:rPr>
          <w:rFonts w:hint="eastAsia" w:cs="宋体"/>
          <w:highlight w:val="none"/>
        </w:rPr>
        <w:t>4.3.4.2按照广州市规划主管部门的报建要求，提供建筑施工报建所需相关设计成果文件并根据相关的审批意见对设计成果文件进行相应修改。相关设计成果文件包括但不限于以下内容：</w:t>
      </w:r>
    </w:p>
    <w:p w14:paraId="7609EFE2">
      <w:pPr>
        <w:adjustRightInd w:val="0"/>
        <w:ind w:firstLine="480"/>
        <w:rPr>
          <w:rFonts w:hint="eastAsia" w:cs="宋体"/>
          <w:highlight w:val="none"/>
        </w:rPr>
      </w:pPr>
      <w:r>
        <w:rPr>
          <w:rFonts w:hint="eastAsia" w:cs="宋体"/>
          <w:bCs/>
          <w:snapToGrid w:val="0"/>
          <w:kern w:val="0"/>
          <w:highlight w:val="none"/>
          <w:bdr w:val="single" w:color="auto" w:sz="4" w:space="0"/>
        </w:rPr>
        <w:t>√</w:t>
      </w:r>
      <w:r>
        <w:rPr>
          <w:rFonts w:hint="eastAsia" w:cs="宋体"/>
          <w:highlight w:val="none"/>
        </w:rPr>
        <w:t>（1）总平面图（比例1：500，包括各项技术经济指标）；</w:t>
      </w:r>
    </w:p>
    <w:p w14:paraId="7644968D">
      <w:pPr>
        <w:adjustRightInd w:val="0"/>
        <w:ind w:firstLine="480"/>
        <w:rPr>
          <w:rFonts w:hint="eastAsia" w:cs="宋体"/>
          <w:highlight w:val="none"/>
        </w:rPr>
      </w:pPr>
      <w:r>
        <w:rPr>
          <w:rFonts w:hint="eastAsia" w:cs="宋体"/>
          <w:bCs/>
          <w:snapToGrid w:val="0"/>
          <w:kern w:val="0"/>
          <w:highlight w:val="none"/>
          <w:bdr w:val="single" w:color="auto" w:sz="4" w:space="0"/>
        </w:rPr>
        <w:t>√</w:t>
      </w:r>
      <w:r>
        <w:rPr>
          <w:rFonts w:hint="eastAsia" w:cs="宋体"/>
          <w:highlight w:val="none"/>
        </w:rPr>
        <w:t>（2）建筑构造和主要建筑材料说明；</w:t>
      </w:r>
    </w:p>
    <w:p w14:paraId="40509D54">
      <w:pPr>
        <w:adjustRightInd w:val="0"/>
        <w:ind w:firstLine="480"/>
        <w:rPr>
          <w:rFonts w:hint="eastAsia" w:cs="宋体"/>
          <w:highlight w:val="none"/>
        </w:rPr>
      </w:pPr>
      <w:r>
        <w:rPr>
          <w:rFonts w:hint="eastAsia" w:cs="宋体"/>
          <w:bCs/>
          <w:snapToGrid w:val="0"/>
          <w:kern w:val="0"/>
          <w:highlight w:val="none"/>
          <w:bdr w:val="single" w:color="auto" w:sz="4" w:space="0"/>
        </w:rPr>
        <w:t>√</w:t>
      </w:r>
      <w:r>
        <w:rPr>
          <w:rFonts w:hint="eastAsia" w:cs="宋体"/>
          <w:highlight w:val="none"/>
        </w:rPr>
        <w:t>（3）建筑平、立、剖面图（比例</w:t>
      </w:r>
      <w:r>
        <w:rPr>
          <w:rFonts w:hint="eastAsia" w:cs="宋体"/>
          <w:highlight w:val="none"/>
          <w:u w:val="single"/>
        </w:rPr>
        <w:t>1：100</w:t>
      </w:r>
      <w:r>
        <w:rPr>
          <w:rFonts w:hint="eastAsia" w:cs="宋体"/>
          <w:highlight w:val="none"/>
        </w:rPr>
        <w:t>）。</w:t>
      </w:r>
    </w:p>
    <w:p w14:paraId="6FB06DF7">
      <w:pPr>
        <w:adjustRightInd w:val="0"/>
        <w:ind w:firstLine="480"/>
        <w:rPr>
          <w:rFonts w:hint="eastAsia" w:cs="宋体"/>
          <w:highlight w:val="none"/>
        </w:rPr>
      </w:pPr>
      <w:r>
        <w:rPr>
          <w:rFonts w:hint="eastAsia" w:cs="宋体"/>
          <w:highlight w:val="none"/>
        </w:rPr>
        <w:t>设计人应按规定向发包人提交建筑施工报建所需相关设计成果文件。按规定对文件加盖设计人出图章、报建特许人章、注册建筑师章、注册结构师章等。</w:t>
      </w:r>
    </w:p>
    <w:p w14:paraId="5E777D63">
      <w:pPr>
        <w:adjustRightInd w:val="0"/>
        <w:ind w:firstLine="480"/>
        <w:rPr>
          <w:rFonts w:hint="eastAsia" w:cs="宋体"/>
          <w:highlight w:val="none"/>
        </w:rPr>
      </w:pPr>
      <w:r>
        <w:rPr>
          <w:rFonts w:hint="eastAsia" w:cs="宋体"/>
          <w:highlight w:val="none"/>
        </w:rPr>
        <w:t>4.3.4.3提交本项目设计范围内的全部施工图，包括但不限于如下设计成果文件：</w:t>
      </w:r>
    </w:p>
    <w:p w14:paraId="29122518">
      <w:pPr>
        <w:adjustRightInd w:val="0"/>
        <w:ind w:firstLine="480"/>
        <w:rPr>
          <w:rFonts w:hint="eastAsia" w:cs="宋体"/>
          <w:highlight w:val="none"/>
        </w:rPr>
      </w:pPr>
      <w:r>
        <w:rPr>
          <w:rFonts w:hint="eastAsia" w:cs="宋体"/>
          <w:bCs/>
          <w:snapToGrid w:val="0"/>
          <w:kern w:val="0"/>
          <w:highlight w:val="none"/>
          <w:bdr w:val="single" w:color="auto" w:sz="4" w:space="0"/>
        </w:rPr>
        <w:t>√</w:t>
      </w:r>
      <w:r>
        <w:rPr>
          <w:rFonts w:hint="eastAsia" w:cs="宋体"/>
          <w:highlight w:val="none"/>
        </w:rPr>
        <w:t>（1）总平面图；</w:t>
      </w:r>
    </w:p>
    <w:p w14:paraId="3825D34D">
      <w:pPr>
        <w:adjustRightInd w:val="0"/>
        <w:ind w:firstLine="480"/>
        <w:rPr>
          <w:rFonts w:hint="eastAsia" w:cs="宋体"/>
          <w:highlight w:val="none"/>
        </w:rPr>
      </w:pPr>
      <w:r>
        <w:rPr>
          <w:rFonts w:hint="eastAsia" w:cs="宋体"/>
          <w:bCs/>
          <w:snapToGrid w:val="0"/>
          <w:kern w:val="0"/>
          <w:highlight w:val="none"/>
          <w:bdr w:val="single" w:color="auto" w:sz="4" w:space="0"/>
        </w:rPr>
        <w:t>√</w:t>
      </w:r>
      <w:r>
        <w:rPr>
          <w:rFonts w:hint="eastAsia" w:cs="宋体"/>
          <w:highlight w:val="none"/>
        </w:rPr>
        <w:t>（2）合同要求所涉及的所有专业（包括建筑、结构、给排水、电气、空调及各专项设计）的设计图纸及设计说明、计算书；</w:t>
      </w:r>
    </w:p>
    <w:p w14:paraId="1E27F2B0">
      <w:pPr>
        <w:adjustRightInd w:val="0"/>
        <w:ind w:firstLine="480"/>
        <w:rPr>
          <w:rFonts w:hint="eastAsia" w:cs="宋体"/>
          <w:highlight w:val="none"/>
        </w:rPr>
      </w:pPr>
      <w:r>
        <w:rPr>
          <w:rFonts w:hint="eastAsia" w:cs="宋体"/>
          <w:bCs/>
          <w:snapToGrid w:val="0"/>
          <w:kern w:val="0"/>
          <w:highlight w:val="none"/>
          <w:bdr w:val="single" w:color="auto" w:sz="4" w:space="0"/>
        </w:rPr>
        <w:t>√</w:t>
      </w:r>
      <w:r>
        <w:rPr>
          <w:rFonts w:hint="eastAsia" w:cs="宋体"/>
          <w:highlight w:val="none"/>
        </w:rPr>
        <w:t>（3）设备材料表以及满足招投标要求的技术规格书；</w:t>
      </w:r>
    </w:p>
    <w:p w14:paraId="7D9608E0">
      <w:pPr>
        <w:adjustRightInd w:val="0"/>
        <w:ind w:firstLine="480"/>
        <w:rPr>
          <w:rFonts w:hint="eastAsia" w:cs="宋体"/>
          <w:highlight w:val="none"/>
        </w:rPr>
      </w:pPr>
      <w:r>
        <w:rPr>
          <w:rFonts w:hint="eastAsia" w:cs="宋体"/>
          <w:bCs/>
          <w:snapToGrid w:val="0"/>
          <w:kern w:val="0"/>
          <w:highlight w:val="none"/>
          <w:bdr w:val="single" w:color="auto" w:sz="4" w:space="0"/>
        </w:rPr>
        <w:t>√</w:t>
      </w:r>
      <w:r>
        <w:rPr>
          <w:rFonts w:hint="eastAsia" w:cs="宋体"/>
          <w:highlight w:val="none"/>
        </w:rPr>
        <w:t>（4）管线综合图（室外管线迁移图）；</w:t>
      </w:r>
    </w:p>
    <w:p w14:paraId="7FDF6964">
      <w:pPr>
        <w:adjustRightInd w:val="0"/>
        <w:ind w:firstLine="480"/>
        <w:rPr>
          <w:rFonts w:hint="eastAsia" w:cs="宋体"/>
          <w:highlight w:val="none"/>
        </w:rPr>
      </w:pPr>
      <w:r>
        <w:rPr>
          <w:rFonts w:hint="eastAsia" w:cs="宋体"/>
          <w:bCs/>
          <w:snapToGrid w:val="0"/>
          <w:kern w:val="0"/>
          <w:highlight w:val="none"/>
          <w:bdr w:val="single" w:color="auto" w:sz="4" w:space="0"/>
        </w:rPr>
        <w:t>√</w:t>
      </w:r>
      <w:r>
        <w:rPr>
          <w:rFonts w:hint="eastAsia" w:cs="宋体"/>
          <w:highlight w:val="none"/>
        </w:rPr>
        <w:t>（5）全专业BIM文件；</w:t>
      </w:r>
    </w:p>
    <w:p w14:paraId="38DB1073">
      <w:pPr>
        <w:adjustRightInd w:val="0"/>
        <w:ind w:firstLine="480"/>
        <w:rPr>
          <w:rFonts w:hint="eastAsia" w:cs="宋体"/>
          <w:highlight w:val="none"/>
        </w:rPr>
      </w:pPr>
      <w:r>
        <w:rPr>
          <w:rFonts w:hint="eastAsia" w:cs="宋体"/>
          <w:bCs/>
          <w:snapToGrid w:val="0"/>
          <w:kern w:val="0"/>
          <w:highlight w:val="none"/>
          <w:bdr w:val="single" w:color="auto" w:sz="4" w:space="0"/>
        </w:rPr>
        <w:t>√</w:t>
      </w:r>
      <w:r>
        <w:rPr>
          <w:rFonts w:hint="eastAsia" w:cs="宋体"/>
          <w:highlight w:val="none"/>
        </w:rPr>
        <w:t>（6）各专项设计深化图（含装配式预制构件深化图、幕墙工程及钢结构深化图等）。</w:t>
      </w:r>
    </w:p>
    <w:p w14:paraId="4712CDA4">
      <w:pPr>
        <w:adjustRightInd w:val="0"/>
        <w:ind w:firstLine="480"/>
        <w:rPr>
          <w:rFonts w:hint="eastAsia" w:cs="宋体"/>
          <w:highlight w:val="none"/>
        </w:rPr>
      </w:pPr>
      <w:r>
        <w:rPr>
          <w:rFonts w:hint="eastAsia" w:cs="宋体"/>
          <w:highlight w:val="none"/>
        </w:rPr>
        <w:t>上述施工图设计成果文件的份数详见本设计任务书第4.1条。按规定对文件加盖设计人出图章、报建特许人章、注册建筑师章等。</w:t>
      </w:r>
    </w:p>
    <w:p w14:paraId="3767D975">
      <w:pPr>
        <w:keepNext/>
        <w:keepLines/>
        <w:tabs>
          <w:tab w:val="left" w:pos="576"/>
        </w:tabs>
        <w:spacing w:before="240" w:beforeLines="100" w:after="240" w:afterLines="100"/>
        <w:ind w:firstLine="480"/>
        <w:contextualSpacing/>
        <w:jc w:val="left"/>
        <w:rPr>
          <w:rFonts w:hint="eastAsia" w:cs="宋体"/>
          <w:kern w:val="0"/>
          <w:highlight w:val="none"/>
        </w:rPr>
      </w:pPr>
      <w:r>
        <w:rPr>
          <w:rFonts w:hint="eastAsia" w:cs="宋体"/>
          <w:kern w:val="0"/>
          <w:highlight w:val="none"/>
        </w:rPr>
        <w:t>4.4各阶段成果要求</w:t>
      </w:r>
    </w:p>
    <w:p w14:paraId="260E1EEB">
      <w:pPr>
        <w:ind w:firstLine="472" w:firstLineChars="196"/>
        <w:rPr>
          <w:rFonts w:hint="eastAsia" w:cs="宋体"/>
          <w:b/>
          <w:bCs/>
          <w:highlight w:val="none"/>
        </w:rPr>
      </w:pPr>
      <w:r>
        <w:rPr>
          <w:rFonts w:hint="eastAsia" w:cs="宋体"/>
          <w:b/>
          <w:bCs/>
          <w:highlight w:val="none"/>
        </w:rPr>
        <w:t>4.4.1成果文件要求（</w:t>
      </w:r>
      <w:r>
        <w:rPr>
          <w:rFonts w:hint="eastAsia" w:cs="宋体"/>
          <w:b/>
          <w:bCs/>
          <w:iCs/>
          <w:highlight w:val="none"/>
        </w:rPr>
        <w:t>包含但不限于</w:t>
      </w:r>
      <w:r>
        <w:rPr>
          <w:rFonts w:hint="eastAsia" w:cs="宋体"/>
          <w:b/>
          <w:bCs/>
          <w:highlight w:val="none"/>
        </w:rPr>
        <w:t>）：</w:t>
      </w:r>
    </w:p>
    <w:p w14:paraId="06C4E6CE">
      <w:pPr>
        <w:ind w:firstLine="424" w:firstLineChars="177"/>
        <w:rPr>
          <w:rFonts w:hint="eastAsia" w:cs="宋体"/>
          <w:bCs/>
          <w:highlight w:val="none"/>
        </w:rPr>
      </w:pPr>
      <w:r>
        <w:rPr>
          <w:rFonts w:hint="eastAsia" w:cs="宋体"/>
          <w:bCs/>
          <w:highlight w:val="none"/>
        </w:rPr>
        <w:t>（1）设计人应按国家技术规范、标准、规程和本合同约定的范围及技术要求实施工作，按本合同约定的时间提交质量合格的成果文件并对其负责。</w:t>
      </w:r>
    </w:p>
    <w:p w14:paraId="4AD7209C">
      <w:pPr>
        <w:ind w:firstLine="424" w:firstLineChars="177"/>
        <w:rPr>
          <w:rFonts w:hint="eastAsia" w:cs="宋体"/>
          <w:bCs/>
          <w:highlight w:val="none"/>
        </w:rPr>
      </w:pPr>
      <w:r>
        <w:rPr>
          <w:rFonts w:hint="eastAsia" w:cs="宋体"/>
          <w:bCs/>
          <w:highlight w:val="none"/>
        </w:rPr>
        <w:t>（2）设计人应在成果文件中明确列出本工程涉及到的详细的规范、规定及标准(名称、编号与版本)。</w:t>
      </w:r>
    </w:p>
    <w:p w14:paraId="3A0AEE38">
      <w:pPr>
        <w:ind w:firstLine="424" w:firstLineChars="177"/>
        <w:rPr>
          <w:rFonts w:hint="eastAsia" w:cs="宋体"/>
          <w:bCs/>
          <w:highlight w:val="none"/>
        </w:rPr>
      </w:pPr>
      <w:r>
        <w:rPr>
          <w:rFonts w:hint="eastAsia" w:cs="宋体"/>
          <w:bCs/>
          <w:highlight w:val="none"/>
        </w:rPr>
        <w:t>（3）设计人实际完成的工作量及成果文件由施工图审查单位(或设计咨询单位)负责审核，并须经发包人或发包人委托的第三方确认后才能作为结算依据，对于超过设计要求的深度的工作量不计算；设计人应确保其提交的成果文件是完整、准确及有效的，且能通过施工图审查单位(或设计咨询单位)根据相关规范、规定进行的审核。</w:t>
      </w:r>
    </w:p>
    <w:p w14:paraId="5061A340">
      <w:pPr>
        <w:ind w:firstLine="424" w:firstLineChars="177"/>
        <w:rPr>
          <w:rFonts w:hint="eastAsia" w:cs="宋体"/>
          <w:bCs/>
          <w:highlight w:val="none"/>
        </w:rPr>
      </w:pPr>
      <w:r>
        <w:rPr>
          <w:rFonts w:hint="eastAsia" w:cs="宋体"/>
          <w:bCs/>
          <w:highlight w:val="none"/>
        </w:rPr>
        <w:t>（4）设计人提交的成果必须经过实地获得，不得采用推断或借鉴，禁止虚假。</w:t>
      </w:r>
    </w:p>
    <w:p w14:paraId="4CC09DF9">
      <w:pPr>
        <w:ind w:firstLine="424" w:firstLineChars="177"/>
        <w:rPr>
          <w:rFonts w:hint="eastAsia" w:cs="宋体"/>
          <w:bCs/>
          <w:highlight w:val="none"/>
        </w:rPr>
      </w:pPr>
      <w:r>
        <w:rPr>
          <w:rFonts w:hint="eastAsia" w:cs="宋体"/>
          <w:bCs/>
          <w:highlight w:val="none"/>
        </w:rPr>
        <w:t>（5）设计人必须遵行发包人的相关设计、图文、图档工程的管理办法和规定。设计人自行承担运输、邮寄或电传文件资料(包括中间成果资料)的费用，提交资料、文件等应交至发包人日常办公所在地或发包人临时指定的地点。文件的收发、传送管理按发包人有关规定办理。</w:t>
      </w:r>
    </w:p>
    <w:p w14:paraId="14793D7D">
      <w:pPr>
        <w:ind w:firstLine="480"/>
        <w:rPr>
          <w:rFonts w:hint="eastAsia" w:cs="宋体"/>
          <w:b/>
          <w:bCs/>
          <w:highlight w:val="none"/>
        </w:rPr>
      </w:pPr>
      <w:r>
        <w:rPr>
          <w:rFonts w:hint="eastAsia" w:cs="宋体"/>
          <w:highlight w:val="none"/>
        </w:rPr>
        <w:t>×</w:t>
      </w:r>
      <w:r>
        <w:rPr>
          <w:rFonts w:hint="eastAsia" w:cs="宋体"/>
          <w:b/>
          <w:bCs/>
          <w:highlight w:val="none"/>
        </w:rPr>
        <w:t>4.4.2方案设计阶段成果文件要求（</w:t>
      </w:r>
      <w:r>
        <w:rPr>
          <w:rFonts w:hint="eastAsia" w:cs="宋体"/>
          <w:b/>
          <w:bCs/>
          <w:iCs/>
          <w:highlight w:val="none"/>
        </w:rPr>
        <w:t>包含但不限于</w:t>
      </w:r>
      <w:r>
        <w:rPr>
          <w:rFonts w:hint="eastAsia" w:cs="宋体"/>
          <w:b/>
          <w:bCs/>
          <w:highlight w:val="none"/>
        </w:rPr>
        <w:t>）：</w:t>
      </w:r>
    </w:p>
    <w:p w14:paraId="0A38AAB2">
      <w:pPr>
        <w:ind w:firstLine="480"/>
        <w:rPr>
          <w:rFonts w:hint="eastAsia" w:cs="宋体"/>
          <w:bCs/>
          <w:highlight w:val="none"/>
        </w:rPr>
      </w:pPr>
      <w:r>
        <w:rPr>
          <w:rFonts w:hint="eastAsia" w:cs="宋体"/>
          <w:bCs/>
          <w:highlight w:val="none"/>
        </w:rPr>
        <w:t>（1）设计人应在发包人选定方案的基础上，按主管部门意见和发包人要求进行完善，达到报建送审方案要求，并根据规划部门提出的设计条件进行调整。</w:t>
      </w:r>
    </w:p>
    <w:p w14:paraId="3AF930AD">
      <w:pPr>
        <w:ind w:firstLine="480"/>
        <w:rPr>
          <w:rFonts w:hint="eastAsia" w:cs="宋体"/>
          <w:bCs/>
          <w:highlight w:val="none"/>
        </w:rPr>
      </w:pPr>
      <w:r>
        <w:rPr>
          <w:rFonts w:hint="eastAsia" w:cs="宋体"/>
          <w:bCs/>
          <w:highlight w:val="none"/>
        </w:rPr>
        <w:t>（2）方案设计应对建筑、结构、机电系统进行两个以上方案技术经济比较，实施性方案应达到满足进行初步设计的要求。</w:t>
      </w:r>
    </w:p>
    <w:p w14:paraId="04CD37AA">
      <w:pPr>
        <w:ind w:firstLine="480"/>
        <w:rPr>
          <w:rFonts w:hint="eastAsia" w:cs="宋体"/>
          <w:bCs/>
          <w:highlight w:val="none"/>
        </w:rPr>
      </w:pPr>
      <w:r>
        <w:rPr>
          <w:rFonts w:hint="eastAsia" w:cs="宋体"/>
          <w:bCs/>
          <w:highlight w:val="none"/>
        </w:rPr>
        <w:t>（3）设计人设计方案中应包含节能环保篇，采用节能环保的新技术、新工艺。方案设计应对设计中采用的新技术及节能技术的应用进行两个以上方案技术经济比较，提出比较分析报告和推荐方案。</w:t>
      </w:r>
    </w:p>
    <w:p w14:paraId="4FDD2DED">
      <w:pPr>
        <w:ind w:firstLine="480"/>
        <w:rPr>
          <w:rFonts w:hint="eastAsia" w:cs="宋体"/>
          <w:bCs/>
          <w:highlight w:val="none"/>
        </w:rPr>
      </w:pPr>
      <w:r>
        <w:rPr>
          <w:rFonts w:hint="eastAsia" w:cs="宋体"/>
          <w:bCs/>
          <w:highlight w:val="none"/>
        </w:rPr>
        <w:t>（4）设计人应根据实施方案提交工程投资估算编制说明及投资估算表。</w:t>
      </w:r>
    </w:p>
    <w:p w14:paraId="7337CDA3">
      <w:pPr>
        <w:ind w:firstLine="480"/>
        <w:rPr>
          <w:rFonts w:hint="eastAsia" w:cs="宋体"/>
          <w:bCs/>
          <w:highlight w:val="none"/>
        </w:rPr>
      </w:pPr>
      <w:r>
        <w:rPr>
          <w:rFonts w:hint="eastAsia" w:cs="宋体"/>
          <w:bCs/>
          <w:highlight w:val="none"/>
        </w:rPr>
        <w:t>（5）结构体系应进行初步的计算，保证结构方案是可行的。</w:t>
      </w:r>
    </w:p>
    <w:p w14:paraId="3ED8DFAD">
      <w:pPr>
        <w:ind w:firstLine="480"/>
        <w:rPr>
          <w:rFonts w:hint="eastAsia" w:cs="宋体"/>
          <w:bCs/>
          <w:highlight w:val="none"/>
        </w:rPr>
      </w:pPr>
      <w:r>
        <w:rPr>
          <w:rFonts w:hint="eastAsia" w:cs="宋体"/>
          <w:bCs/>
          <w:highlight w:val="none"/>
        </w:rPr>
        <w:t>（6）设计人对各专业采用的新技术应作详细的介绍，以便进行评审和据以进行下一步的设计。</w:t>
      </w:r>
    </w:p>
    <w:p w14:paraId="2109B442">
      <w:pPr>
        <w:ind w:firstLine="480"/>
        <w:rPr>
          <w:rFonts w:hint="eastAsia" w:cs="宋体"/>
          <w:bCs/>
          <w:highlight w:val="none"/>
        </w:rPr>
      </w:pPr>
      <w:r>
        <w:rPr>
          <w:rFonts w:hint="eastAsia" w:cs="宋体"/>
          <w:bCs/>
          <w:highlight w:val="none"/>
        </w:rPr>
        <w:t>（7）在深化方案设计时，设计人应以书面形式明确设计中确有需要进行试验的项目，并在初步设计之前提交给发包人审查确认。经发包人确认后，设计人应及时提供试验方案及相关技术要求。</w:t>
      </w:r>
    </w:p>
    <w:p w14:paraId="0C551B9A">
      <w:pPr>
        <w:ind w:firstLine="480"/>
        <w:rPr>
          <w:rFonts w:hint="eastAsia" w:cs="宋体"/>
          <w:b/>
          <w:bCs/>
          <w:highlight w:val="none"/>
        </w:rPr>
      </w:pPr>
      <w:r>
        <w:rPr>
          <w:rFonts w:hint="eastAsia" w:cs="宋体"/>
          <w:highlight w:val="none"/>
        </w:rPr>
        <w:t>×</w:t>
      </w:r>
      <w:r>
        <w:rPr>
          <w:rFonts w:hint="eastAsia" w:cs="宋体"/>
          <w:b/>
          <w:bCs/>
          <w:highlight w:val="none"/>
        </w:rPr>
        <w:t>4.4.3初步设计阶段成果文件要求（</w:t>
      </w:r>
      <w:r>
        <w:rPr>
          <w:rFonts w:hint="eastAsia" w:cs="宋体"/>
          <w:b/>
          <w:bCs/>
          <w:iCs/>
          <w:highlight w:val="none"/>
        </w:rPr>
        <w:t>包含但不限于</w:t>
      </w:r>
      <w:r>
        <w:rPr>
          <w:rFonts w:hint="eastAsia" w:cs="宋体"/>
          <w:b/>
          <w:bCs/>
          <w:highlight w:val="none"/>
        </w:rPr>
        <w:t>）：</w:t>
      </w:r>
    </w:p>
    <w:p w14:paraId="38108B55">
      <w:pPr>
        <w:ind w:firstLine="470" w:firstLineChars="196"/>
        <w:rPr>
          <w:rFonts w:hint="eastAsia" w:cs="宋体"/>
          <w:bCs/>
          <w:iCs/>
          <w:highlight w:val="none"/>
        </w:rPr>
      </w:pPr>
      <w:r>
        <w:rPr>
          <w:rFonts w:hint="eastAsia" w:cs="宋体"/>
          <w:bCs/>
          <w:iCs/>
          <w:highlight w:val="none"/>
        </w:rPr>
        <w:t>（1）初步设计阶段须对结构体系（包括幕墙、钢结构等）、机电设备安装（包括主要设备选型）、室内装修方案、新技术及节能技术的应用进行两个以上方案的综合技术经济比较（其主要内容含于本专业初步设计说明书中），使设计具备先进性、可靠性和经济合理性，并满足以下要求∶</w:t>
      </w:r>
    </w:p>
    <w:p w14:paraId="6DBE120B">
      <w:pPr>
        <w:ind w:firstLine="470" w:firstLineChars="196"/>
        <w:rPr>
          <w:rFonts w:hint="eastAsia" w:cs="宋体"/>
          <w:bCs/>
          <w:iCs/>
          <w:highlight w:val="none"/>
        </w:rPr>
      </w:pPr>
      <w:r>
        <w:rPr>
          <w:rFonts w:hint="eastAsia" w:cs="宋体"/>
          <w:bCs/>
          <w:iCs/>
          <w:highlight w:val="none"/>
        </w:rPr>
        <w:t>1）应符合发包人批准的设计方案和实施性方案；</w:t>
      </w:r>
    </w:p>
    <w:p w14:paraId="2FC72BDB">
      <w:pPr>
        <w:ind w:firstLine="470" w:firstLineChars="196"/>
        <w:rPr>
          <w:rFonts w:hint="eastAsia" w:cs="宋体"/>
          <w:bCs/>
          <w:iCs/>
          <w:highlight w:val="none"/>
        </w:rPr>
      </w:pPr>
      <w:r>
        <w:rPr>
          <w:rFonts w:hint="eastAsia" w:cs="宋体"/>
          <w:bCs/>
          <w:iCs/>
          <w:highlight w:val="none"/>
        </w:rPr>
        <w:t>2）能据以准备各主要设备、材料及饰面材料（送板）；</w:t>
      </w:r>
    </w:p>
    <w:p w14:paraId="06EA2DC7">
      <w:pPr>
        <w:ind w:firstLine="470" w:firstLineChars="196"/>
        <w:rPr>
          <w:rFonts w:hint="eastAsia" w:cs="宋体"/>
          <w:bCs/>
          <w:iCs/>
          <w:highlight w:val="none"/>
        </w:rPr>
      </w:pPr>
      <w:r>
        <w:rPr>
          <w:rFonts w:hint="eastAsia" w:cs="宋体"/>
          <w:bCs/>
          <w:iCs/>
          <w:highlight w:val="none"/>
        </w:rPr>
        <w:t>3）能据以编制、审核工程设计概算；</w:t>
      </w:r>
    </w:p>
    <w:p w14:paraId="60EAEE21">
      <w:pPr>
        <w:ind w:firstLine="470" w:firstLineChars="196"/>
        <w:rPr>
          <w:rFonts w:hint="eastAsia" w:cs="宋体"/>
          <w:bCs/>
          <w:iCs/>
          <w:highlight w:val="none"/>
        </w:rPr>
      </w:pPr>
      <w:r>
        <w:rPr>
          <w:rFonts w:hint="eastAsia" w:cs="宋体"/>
          <w:bCs/>
          <w:iCs/>
          <w:highlight w:val="none"/>
        </w:rPr>
        <w:t>4）能据以进行施工准备；</w:t>
      </w:r>
    </w:p>
    <w:p w14:paraId="2FBE42BA">
      <w:pPr>
        <w:ind w:firstLine="470" w:firstLineChars="196"/>
        <w:rPr>
          <w:rFonts w:hint="eastAsia" w:cs="宋体"/>
          <w:bCs/>
          <w:iCs/>
          <w:highlight w:val="none"/>
        </w:rPr>
      </w:pPr>
      <w:r>
        <w:rPr>
          <w:rFonts w:hint="eastAsia" w:cs="宋体"/>
          <w:bCs/>
          <w:iCs/>
          <w:highlight w:val="none"/>
        </w:rPr>
        <w:t>（2）初步设计中的结构设计文件，应对结构的选型、布置、截面尺寸、结构配筋、材料用量等予以明确。</w:t>
      </w:r>
    </w:p>
    <w:p w14:paraId="3112B223">
      <w:pPr>
        <w:ind w:firstLine="470" w:firstLineChars="196"/>
        <w:rPr>
          <w:rFonts w:hint="eastAsia" w:cs="宋体"/>
          <w:bCs/>
          <w:iCs/>
          <w:highlight w:val="none"/>
        </w:rPr>
      </w:pPr>
      <w:r>
        <w:rPr>
          <w:rFonts w:hint="eastAsia" w:cs="宋体"/>
          <w:bCs/>
          <w:iCs/>
          <w:highlight w:val="none"/>
        </w:rPr>
        <w:t>（3）设计人须根据发包人的相关规定和要求进行工程设计概算的编制，概算文件中的开项必须齐全完整，造价指标必须准确，须满足工程投资控制的要求。</w:t>
      </w:r>
    </w:p>
    <w:p w14:paraId="3548B704">
      <w:pPr>
        <w:ind w:firstLine="470" w:firstLineChars="196"/>
        <w:rPr>
          <w:rFonts w:hint="eastAsia" w:cs="宋体"/>
          <w:bCs/>
          <w:iCs/>
          <w:highlight w:val="none"/>
        </w:rPr>
      </w:pPr>
      <w:r>
        <w:rPr>
          <w:rFonts w:hint="eastAsia" w:cs="宋体"/>
          <w:bCs/>
          <w:iCs/>
          <w:highlight w:val="none"/>
        </w:rPr>
        <w:t>（4）设计人应重点对建筑单体室内外给水、排水、电气、采暖通风、空调、动力等管线进行各专业综合分析，协调并解决其中的矛盾，成果包括室内外管线综合平衡图、场外管线综合总图和相关专业图纸及说明书。</w:t>
      </w:r>
    </w:p>
    <w:p w14:paraId="41A1E72D">
      <w:pPr>
        <w:ind w:firstLine="470" w:firstLineChars="196"/>
        <w:rPr>
          <w:rFonts w:hint="eastAsia" w:cs="宋体"/>
          <w:bCs/>
          <w:iCs/>
          <w:highlight w:val="none"/>
        </w:rPr>
      </w:pPr>
      <w:r>
        <w:rPr>
          <w:rFonts w:hint="eastAsia" w:cs="宋体"/>
          <w:bCs/>
          <w:iCs/>
          <w:highlight w:val="none"/>
        </w:rPr>
        <w:t>（5）设计人必须准确计算建筑单体的建筑面积，完善建设规模及经济指标说明。</w:t>
      </w:r>
    </w:p>
    <w:p w14:paraId="7B2E7133">
      <w:pPr>
        <w:ind w:firstLine="470" w:firstLineChars="196"/>
        <w:rPr>
          <w:rFonts w:hint="eastAsia" w:cs="宋体"/>
          <w:bCs/>
          <w:iCs/>
          <w:highlight w:val="none"/>
        </w:rPr>
      </w:pPr>
      <w:r>
        <w:rPr>
          <w:rFonts w:hint="eastAsia" w:cs="宋体"/>
          <w:bCs/>
          <w:iCs/>
          <w:highlight w:val="none"/>
        </w:rPr>
        <w:t>（6）对在设计人提供的初步设计成果文件的基础上由发包人另行发包的单位进行的专项施工图设计，设计人初步设计成果文件中相关部分中的系统的构成、强制性的系统功能要求、设备技术参数中的强制性条目要求、接口及界面等设计内容须成熟稳定。设计人应确保相关的初步设计成果文件深度能够有效满足专项施工图设计工程投资控制的要求。</w:t>
      </w:r>
    </w:p>
    <w:p w14:paraId="3FB9B926">
      <w:pPr>
        <w:ind w:firstLine="470" w:firstLineChars="196"/>
        <w:rPr>
          <w:rFonts w:hint="eastAsia" w:cs="宋体"/>
          <w:bCs/>
          <w:iCs/>
          <w:highlight w:val="none"/>
        </w:rPr>
      </w:pPr>
      <w:r>
        <w:rPr>
          <w:rFonts w:hint="eastAsia" w:cs="宋体"/>
          <w:bCs/>
          <w:iCs/>
          <w:highlight w:val="none"/>
        </w:rPr>
        <w:t>（7）报批模型（如需）：包括BIM,CIM，建筑方案三维数据模型（通用3ds max格式），清楚表达建筑的体量、造型、外立面材质和部分内部空间，表现地块内场地设计, 以及建筑与周边城市道路的关系，数据模型须满足相关要求。</w:t>
      </w:r>
    </w:p>
    <w:p w14:paraId="5300B7F4">
      <w:pPr>
        <w:ind w:firstLine="470" w:firstLineChars="196"/>
        <w:rPr>
          <w:rFonts w:hint="eastAsia" w:cs="宋体"/>
          <w:bCs/>
          <w:iCs/>
          <w:highlight w:val="none"/>
        </w:rPr>
      </w:pPr>
      <w:r>
        <w:rPr>
          <w:rFonts w:hint="eastAsia" w:cs="宋体"/>
          <w:bCs/>
          <w:iCs/>
          <w:highlight w:val="none"/>
        </w:rPr>
        <w:t>（8）设计方案全专业BIM文件：制作建筑方案全专业的BIM模型，并满足基于BIM模型进行可视化设计、性能模拟、专业协调、方案调整、管线综合等工作的要求。原则上在初步设计阶段前完成BIM模型（草模）搭建工作，并提交至发包人；在初步设计过程中，逐步深化BIM各专业设计、方案优化工作，在各重要节点（方案汇报会、讨论会、初步设计审查、概算评审等工作节点）需要提交对应设计图纸深度的BIM模型文件。</w:t>
      </w:r>
    </w:p>
    <w:p w14:paraId="5D9DDA9D">
      <w:pPr>
        <w:ind w:firstLine="472" w:firstLineChars="196"/>
        <w:rPr>
          <w:rFonts w:hint="eastAsia" w:cs="宋体"/>
          <w:b/>
          <w:highlight w:val="none"/>
        </w:rPr>
      </w:pPr>
      <w:r>
        <w:rPr>
          <w:rFonts w:hint="eastAsia" w:cs="宋体"/>
          <w:b/>
          <w:iCs/>
          <w:highlight w:val="none"/>
        </w:rPr>
        <w:t>4.4.4</w:t>
      </w:r>
      <w:r>
        <w:rPr>
          <w:rFonts w:hint="eastAsia" w:cs="宋体"/>
          <w:b/>
          <w:highlight w:val="none"/>
        </w:rPr>
        <w:t>施工图设计阶段成果文件要求（</w:t>
      </w:r>
      <w:r>
        <w:rPr>
          <w:rFonts w:hint="eastAsia" w:cs="宋体"/>
          <w:b/>
          <w:iCs/>
          <w:highlight w:val="none"/>
        </w:rPr>
        <w:t>包含但不限于</w:t>
      </w:r>
      <w:r>
        <w:rPr>
          <w:rFonts w:hint="eastAsia" w:cs="宋体"/>
          <w:b/>
          <w:highlight w:val="none"/>
        </w:rPr>
        <w:t>）：</w:t>
      </w:r>
    </w:p>
    <w:p w14:paraId="0BD8A41C">
      <w:pPr>
        <w:ind w:firstLine="470" w:firstLineChars="196"/>
        <w:rPr>
          <w:rFonts w:hint="eastAsia" w:cs="宋体"/>
          <w:bCs/>
          <w:iCs/>
          <w:highlight w:val="none"/>
        </w:rPr>
      </w:pPr>
      <w:r>
        <w:rPr>
          <w:rFonts w:hint="eastAsia" w:cs="宋体"/>
          <w:bCs/>
          <w:iCs/>
          <w:highlight w:val="none"/>
        </w:rPr>
        <w:t>（1）施工图设计文件的深度要满足以下要求∶</w:t>
      </w:r>
    </w:p>
    <w:p w14:paraId="111C8F4E">
      <w:pPr>
        <w:ind w:firstLine="470" w:firstLineChars="196"/>
        <w:rPr>
          <w:rFonts w:hint="eastAsia" w:cs="宋体"/>
          <w:bCs/>
          <w:iCs/>
          <w:highlight w:val="none"/>
        </w:rPr>
      </w:pPr>
      <w:r>
        <w:rPr>
          <w:rFonts w:hint="eastAsia" w:cs="宋体"/>
          <w:bCs/>
          <w:iCs/>
          <w:highlight w:val="none"/>
        </w:rPr>
        <w:t>1）应根据政府有关主管部门批准的初步设计进行编制；</w:t>
      </w:r>
    </w:p>
    <w:p w14:paraId="0FB2619B">
      <w:pPr>
        <w:ind w:firstLine="470" w:firstLineChars="196"/>
        <w:rPr>
          <w:rFonts w:hint="eastAsia" w:cs="宋体"/>
          <w:bCs/>
          <w:iCs/>
          <w:highlight w:val="none"/>
        </w:rPr>
      </w:pPr>
      <w:r>
        <w:rPr>
          <w:rFonts w:hint="eastAsia" w:cs="宋体"/>
          <w:bCs/>
          <w:iCs/>
          <w:highlight w:val="none"/>
        </w:rPr>
        <w:t>2）满足建设部批准的《建筑工程设计文件编制深度规定》施工图设计阶段的要求；</w:t>
      </w:r>
    </w:p>
    <w:p w14:paraId="4957289C">
      <w:pPr>
        <w:ind w:firstLine="470" w:firstLineChars="196"/>
        <w:rPr>
          <w:rFonts w:hint="eastAsia" w:cs="宋体"/>
          <w:bCs/>
          <w:iCs/>
          <w:highlight w:val="none"/>
        </w:rPr>
      </w:pPr>
      <w:r>
        <w:rPr>
          <w:rFonts w:hint="eastAsia" w:cs="宋体"/>
          <w:bCs/>
          <w:iCs/>
          <w:highlight w:val="none"/>
        </w:rPr>
        <w:t>3）根据发包人的要求，编制施工图与初步设计图纸的差异对比清单；</w:t>
      </w:r>
    </w:p>
    <w:p w14:paraId="2FBDD671">
      <w:pPr>
        <w:ind w:firstLine="470" w:firstLineChars="196"/>
        <w:rPr>
          <w:rFonts w:hint="eastAsia" w:cs="宋体"/>
          <w:bCs/>
          <w:iCs/>
          <w:highlight w:val="none"/>
        </w:rPr>
      </w:pPr>
      <w:r>
        <w:rPr>
          <w:rFonts w:hint="eastAsia" w:cs="宋体"/>
          <w:bCs/>
          <w:iCs/>
          <w:highlight w:val="none"/>
        </w:rPr>
        <w:t>（2）设计人提交给发包人的施工图设计成果文件应不存在错、漏、碰等问题。</w:t>
      </w:r>
    </w:p>
    <w:p w14:paraId="20D88ADD">
      <w:pPr>
        <w:ind w:firstLine="470" w:firstLineChars="196"/>
        <w:rPr>
          <w:rFonts w:hint="eastAsia" w:cs="宋体"/>
          <w:bCs/>
          <w:iCs/>
          <w:highlight w:val="none"/>
        </w:rPr>
      </w:pPr>
      <w:r>
        <w:rPr>
          <w:rFonts w:hint="eastAsia" w:cs="宋体"/>
          <w:bCs/>
          <w:iCs/>
          <w:highlight w:val="none"/>
        </w:rPr>
        <w:t>（3）设计人应重点对建筑单体室内外给水、排水、电气、采暖通风、空调、动力等管线进行专业综合分析，协调并解决其中的矛盾，并提供相关的成果文件（包括但不限于室内外管线综合平衡图、场外管线综合总图和相关专业图纸及说明书），同时完成土建、机电设备选型意见、技术要求文件，并推荐设备材料品牌。</w:t>
      </w:r>
    </w:p>
    <w:p w14:paraId="2E5403A6">
      <w:pPr>
        <w:ind w:firstLine="470" w:firstLineChars="196"/>
        <w:rPr>
          <w:rFonts w:hint="eastAsia" w:cs="宋体"/>
          <w:bCs/>
          <w:iCs/>
          <w:highlight w:val="none"/>
        </w:rPr>
      </w:pPr>
      <w:r>
        <w:rPr>
          <w:rFonts w:hint="eastAsia" w:cs="宋体"/>
          <w:bCs/>
          <w:iCs/>
          <w:highlight w:val="none"/>
        </w:rPr>
        <w:t>（4）设计人应对发包人另行发包的各专项设计的施工图设计进行预审把关，确保专项设计成果的完整性、有效性、正确性、可靠性及经济合理性。</w:t>
      </w:r>
    </w:p>
    <w:p w14:paraId="681CB618">
      <w:pPr>
        <w:ind w:firstLine="470" w:firstLineChars="196"/>
        <w:rPr>
          <w:rFonts w:hint="eastAsia" w:cs="宋体"/>
          <w:bCs/>
          <w:iCs/>
          <w:highlight w:val="none"/>
        </w:rPr>
      </w:pPr>
      <w:r>
        <w:rPr>
          <w:rFonts w:hint="eastAsia" w:cs="宋体"/>
          <w:bCs/>
          <w:iCs/>
          <w:highlight w:val="none"/>
        </w:rPr>
        <w:t>（5）对于发包人另行发包的专项施工工程（如幕墙、钢结构、室内精装修、弱电智能化系统等），设计人须提供用于指导深化设计的设计文件和资料（须满足施工图深度，并对系统、设备、材料的技术指标及设计范围进行限定：满足编制工程量清单及开展施工招标采购工作的需要），并对设计人另行发包的专项工程的实施单位（如幕墙、钢结构、室内精装修、弱电智能化系统等）的深化设计成果文件进行完整性、有效性、正确性、可靠性及经济合理性审核，具体要求按发包人制定的相关管理办法执行，工作职责包括但不限于如下：</w:t>
      </w:r>
    </w:p>
    <w:p w14:paraId="308298CD">
      <w:pPr>
        <w:ind w:firstLine="470" w:firstLineChars="196"/>
        <w:rPr>
          <w:rFonts w:hint="eastAsia" w:cs="宋体"/>
          <w:bCs/>
          <w:iCs/>
          <w:highlight w:val="none"/>
        </w:rPr>
      </w:pPr>
      <w:r>
        <w:rPr>
          <w:rFonts w:hint="eastAsia" w:cs="宋体"/>
          <w:bCs/>
          <w:iCs/>
          <w:highlight w:val="none"/>
        </w:rPr>
        <w:t>1）审核深化设计文件是否符合原设计文件的要求；</w:t>
      </w:r>
    </w:p>
    <w:p w14:paraId="1D2CC166">
      <w:pPr>
        <w:ind w:firstLine="470" w:firstLineChars="196"/>
        <w:rPr>
          <w:rFonts w:hint="eastAsia" w:cs="宋体"/>
          <w:bCs/>
          <w:iCs/>
          <w:highlight w:val="none"/>
        </w:rPr>
      </w:pPr>
      <w:r>
        <w:rPr>
          <w:rFonts w:hint="eastAsia" w:cs="宋体"/>
          <w:bCs/>
          <w:iCs/>
          <w:highlight w:val="none"/>
        </w:rPr>
        <w:t>2）审核是否符合国家的法律法规、国家规范规程、行业标准、地区标准；</w:t>
      </w:r>
    </w:p>
    <w:p w14:paraId="5904201F">
      <w:pPr>
        <w:ind w:firstLine="470" w:firstLineChars="196"/>
        <w:rPr>
          <w:rFonts w:hint="eastAsia" w:cs="宋体"/>
          <w:bCs/>
          <w:iCs/>
          <w:highlight w:val="none"/>
        </w:rPr>
      </w:pPr>
      <w:r>
        <w:rPr>
          <w:rFonts w:hint="eastAsia" w:cs="宋体"/>
          <w:bCs/>
          <w:iCs/>
          <w:highlight w:val="none"/>
        </w:rPr>
        <w:t>3）审核是否满足功能要求、使用要求及实施的可行性；</w:t>
      </w:r>
    </w:p>
    <w:p w14:paraId="0E513CB3">
      <w:pPr>
        <w:ind w:firstLine="470" w:firstLineChars="196"/>
        <w:rPr>
          <w:rFonts w:hint="eastAsia" w:cs="宋体"/>
          <w:bCs/>
          <w:iCs/>
          <w:highlight w:val="none"/>
        </w:rPr>
      </w:pPr>
      <w:r>
        <w:rPr>
          <w:rFonts w:hint="eastAsia" w:cs="宋体"/>
          <w:bCs/>
          <w:iCs/>
          <w:highlight w:val="none"/>
        </w:rPr>
        <w:t>4）审核技术经济性；</w:t>
      </w:r>
    </w:p>
    <w:p w14:paraId="5D926708">
      <w:pPr>
        <w:ind w:firstLine="470" w:firstLineChars="196"/>
        <w:rPr>
          <w:rFonts w:hint="eastAsia" w:cs="宋体"/>
          <w:bCs/>
          <w:iCs/>
          <w:highlight w:val="none"/>
        </w:rPr>
      </w:pPr>
      <w:r>
        <w:rPr>
          <w:rFonts w:hint="eastAsia" w:cs="宋体"/>
          <w:bCs/>
          <w:iCs/>
          <w:highlight w:val="none"/>
        </w:rPr>
        <w:t>5）对相关各专业的协调性进行审核；</w:t>
      </w:r>
    </w:p>
    <w:p w14:paraId="54878D19">
      <w:pPr>
        <w:ind w:firstLine="470" w:firstLineChars="196"/>
        <w:rPr>
          <w:rFonts w:hint="eastAsia" w:cs="宋体"/>
          <w:bCs/>
          <w:iCs/>
          <w:highlight w:val="none"/>
        </w:rPr>
      </w:pPr>
      <w:r>
        <w:rPr>
          <w:rFonts w:hint="eastAsia" w:cs="宋体"/>
          <w:bCs/>
          <w:iCs/>
          <w:highlight w:val="none"/>
        </w:rPr>
        <w:t>6）复核及审查深化后的结构安全性及稳定性；</w:t>
      </w:r>
    </w:p>
    <w:p w14:paraId="6F3CE733">
      <w:pPr>
        <w:ind w:firstLine="470" w:firstLineChars="196"/>
        <w:rPr>
          <w:rFonts w:hint="eastAsia" w:cs="宋体"/>
          <w:bCs/>
          <w:iCs/>
          <w:highlight w:val="none"/>
        </w:rPr>
      </w:pPr>
      <w:r>
        <w:rPr>
          <w:rFonts w:hint="eastAsia" w:cs="宋体"/>
          <w:bCs/>
          <w:iCs/>
          <w:highlight w:val="none"/>
        </w:rPr>
        <w:t>7）结合施工图审查单位及发包人的审核意见督促专项工程的深化设计人修改完善相关的深化设计文件；</w:t>
      </w:r>
    </w:p>
    <w:p w14:paraId="0E7E77AE">
      <w:pPr>
        <w:ind w:firstLine="470" w:firstLineChars="196"/>
        <w:rPr>
          <w:rFonts w:hint="eastAsia" w:cs="宋体"/>
          <w:bCs/>
          <w:iCs/>
          <w:highlight w:val="none"/>
        </w:rPr>
      </w:pPr>
      <w:r>
        <w:rPr>
          <w:rFonts w:hint="eastAsia" w:cs="宋体"/>
          <w:bCs/>
          <w:iCs/>
          <w:highlight w:val="none"/>
        </w:rPr>
        <w:t>8）设计人须根据最终完善的深化设计文件对其设计范围内的相关专业的设计成果文件的接口、界面进行修改完善，并确保最终通过发包人及施工图审查单位的审核；</w:t>
      </w:r>
    </w:p>
    <w:p w14:paraId="24C21445">
      <w:pPr>
        <w:ind w:firstLine="470" w:firstLineChars="196"/>
        <w:rPr>
          <w:rFonts w:hint="eastAsia" w:cs="宋体"/>
          <w:bCs/>
          <w:iCs/>
          <w:highlight w:val="none"/>
        </w:rPr>
      </w:pPr>
      <w:r>
        <w:rPr>
          <w:rFonts w:hint="eastAsia" w:cs="宋体"/>
          <w:bCs/>
          <w:iCs/>
          <w:highlight w:val="none"/>
        </w:rPr>
        <w:t>9）对各专项设计施工图的技术接口进行审核并进行设计联络及完善，并结合二次装修施工图提供各相关设备专业末端设计施工图；</w:t>
      </w:r>
    </w:p>
    <w:p w14:paraId="44906E89">
      <w:pPr>
        <w:ind w:firstLine="470" w:firstLineChars="196"/>
        <w:rPr>
          <w:rFonts w:hint="eastAsia" w:cs="宋体"/>
          <w:bCs/>
          <w:iCs/>
          <w:highlight w:val="none"/>
        </w:rPr>
      </w:pPr>
      <w:r>
        <w:rPr>
          <w:rFonts w:hint="eastAsia" w:cs="宋体"/>
          <w:bCs/>
          <w:iCs/>
          <w:highlight w:val="none"/>
        </w:rPr>
        <w:t>10）对通过审核的各专项施工工程深化设计图纸进行签出图章确认。</w:t>
      </w:r>
    </w:p>
    <w:p w14:paraId="73ED64F1">
      <w:pPr>
        <w:ind w:firstLine="470" w:firstLineChars="196"/>
        <w:rPr>
          <w:rFonts w:hint="eastAsia" w:cs="宋体"/>
          <w:bCs/>
          <w:iCs/>
          <w:highlight w:val="none"/>
        </w:rPr>
      </w:pPr>
      <w:r>
        <w:rPr>
          <w:rFonts w:hint="eastAsia" w:cs="宋体"/>
          <w:bCs/>
          <w:iCs/>
          <w:highlight w:val="none"/>
        </w:rPr>
        <w:t>（6）设计人应根据本工程设计的特点，提供施工安装操作、安全防护的有关要求。</w:t>
      </w:r>
    </w:p>
    <w:p w14:paraId="75467652">
      <w:pPr>
        <w:ind w:firstLine="470" w:firstLineChars="196"/>
        <w:rPr>
          <w:rFonts w:hint="eastAsia" w:cs="宋体"/>
          <w:highlight w:val="none"/>
        </w:rPr>
      </w:pPr>
      <w:r>
        <w:rPr>
          <w:rFonts w:hint="eastAsia" w:cs="宋体"/>
          <w:bCs/>
          <w:iCs/>
          <w:highlight w:val="none"/>
        </w:rPr>
        <w:t>（7）施工图阶段的所有BIM模型应满足施工需要的精度要求。</w:t>
      </w:r>
    </w:p>
    <w:p w14:paraId="2B3622E6">
      <w:pPr>
        <w:ind w:left="420" w:firstLine="482"/>
        <w:rPr>
          <w:rFonts w:hint="eastAsia" w:cs="宋体"/>
          <w:b/>
          <w:bCs/>
          <w:highlight w:val="none"/>
        </w:rPr>
      </w:pPr>
      <w:r>
        <w:rPr>
          <w:rFonts w:hint="eastAsia" w:cs="宋体"/>
          <w:b/>
          <w:bCs/>
          <w:highlight w:val="none"/>
        </w:rPr>
        <w:t>5.设计工期</w:t>
      </w:r>
    </w:p>
    <w:p w14:paraId="56E595D0">
      <w:pPr>
        <w:ind w:right="29" w:rightChars="12" w:firstLine="480"/>
        <w:rPr>
          <w:rFonts w:hint="eastAsia" w:cs="宋体"/>
          <w:highlight w:val="none"/>
        </w:rPr>
      </w:pPr>
      <w:r>
        <w:rPr>
          <w:rFonts w:hint="eastAsia" w:cs="宋体"/>
          <w:highlight w:val="none"/>
        </w:rPr>
        <w:t>施工图设计</w:t>
      </w:r>
      <w:r>
        <w:rPr>
          <w:rFonts w:hint="eastAsia" w:cs="宋体"/>
          <w:highlight w:val="none"/>
        </w:rPr>
        <w:t>90</w:t>
      </w:r>
      <w:r>
        <w:rPr>
          <w:rFonts w:hint="eastAsia" w:cs="宋体"/>
          <w:highlight w:val="none"/>
        </w:rPr>
        <w:t>天（</w:t>
      </w:r>
      <w:r>
        <w:rPr>
          <w:rFonts w:hint="eastAsia" w:cs="宋体"/>
          <w:highlight w:val="none"/>
        </w:rPr>
        <w:t>自合同签订之日起计算</w:t>
      </w:r>
      <w:r>
        <w:rPr>
          <w:rFonts w:hint="eastAsia" w:cs="宋体"/>
          <w:highlight w:val="none"/>
        </w:rPr>
        <w:t>）。</w:t>
      </w:r>
    </w:p>
    <w:p w14:paraId="40B1389C">
      <w:pPr>
        <w:ind w:firstLine="480"/>
        <w:rPr>
          <w:rFonts w:hint="eastAsia" w:cs="宋体"/>
          <w:highlight w:val="none"/>
        </w:rPr>
      </w:pPr>
      <w:r>
        <w:rPr>
          <w:rFonts w:hint="eastAsia" w:cs="宋体"/>
          <w:highlight w:val="none"/>
        </w:rPr>
        <w:t>本合同生效之日起至工程竣工验收合格后满2年止为服务期限。工程投入使用后，若发现工程设计未能满足本合同的要求，设计人必须继续提供服务，直至满足要求为止。上述延期服务，发包人不额外支付费用。</w:t>
      </w:r>
    </w:p>
    <w:p w14:paraId="69D58FA9">
      <w:pPr>
        <w:ind w:firstLine="480"/>
        <w:rPr>
          <w:rFonts w:hint="eastAsia"/>
          <w:highlight w:val="none"/>
        </w:rPr>
      </w:pPr>
      <w:r>
        <w:rPr>
          <w:rFonts w:hint="eastAsia" w:cs="宋体"/>
          <w:highlight w:val="none"/>
        </w:rPr>
        <w:br w:type="page"/>
      </w:r>
    </w:p>
    <w:p w14:paraId="40F5422D">
      <w:pPr>
        <w:ind w:firstLine="480"/>
        <w:rPr>
          <w:rFonts w:hint="eastAsia"/>
          <w:highlight w:val="none"/>
        </w:rPr>
      </w:pPr>
    </w:p>
    <w:p w14:paraId="1BF894E3">
      <w:pPr>
        <w:pStyle w:val="12"/>
        <w:spacing w:before="117" w:line="219" w:lineRule="auto"/>
        <w:ind w:left="2644"/>
        <w:jc w:val="both"/>
        <w:outlineLvl w:val="0"/>
        <w:rPr>
          <w:rFonts w:hint="eastAsia"/>
          <w:b/>
          <w:bCs/>
          <w:spacing w:val="-9"/>
          <w:sz w:val="36"/>
          <w:szCs w:val="36"/>
          <w:highlight w:val="none"/>
          <w:lang w:eastAsia="zh-CN"/>
        </w:rPr>
      </w:pPr>
      <w:r>
        <w:rPr>
          <w:b/>
          <w:bCs/>
          <w:spacing w:val="-9"/>
          <w:sz w:val="36"/>
          <w:szCs w:val="36"/>
          <w:highlight w:val="none"/>
          <w:lang w:eastAsia="zh-CN"/>
        </w:rPr>
        <w:t>第</w:t>
      </w:r>
      <w:r>
        <w:rPr>
          <w:rFonts w:hint="eastAsia"/>
          <w:b/>
          <w:bCs/>
          <w:spacing w:val="-9"/>
          <w:sz w:val="36"/>
          <w:szCs w:val="36"/>
          <w:highlight w:val="none"/>
          <w:lang w:eastAsia="zh-CN"/>
        </w:rPr>
        <w:t>二</w:t>
      </w:r>
      <w:r>
        <w:rPr>
          <w:b/>
          <w:bCs/>
          <w:spacing w:val="-9"/>
          <w:sz w:val="36"/>
          <w:szCs w:val="36"/>
          <w:highlight w:val="none"/>
          <w:lang w:eastAsia="zh-CN"/>
        </w:rPr>
        <w:t>部分</w:t>
      </w:r>
      <w:r>
        <w:rPr>
          <w:spacing w:val="37"/>
          <w:sz w:val="36"/>
          <w:szCs w:val="36"/>
          <w:highlight w:val="none"/>
          <w:lang w:eastAsia="zh-CN"/>
        </w:rPr>
        <w:t xml:space="preserve"> </w:t>
      </w:r>
      <w:r>
        <w:rPr>
          <w:rFonts w:hint="eastAsia"/>
          <w:b/>
          <w:bCs/>
          <w:spacing w:val="-9"/>
          <w:sz w:val="36"/>
          <w:szCs w:val="36"/>
          <w:highlight w:val="none"/>
          <w:lang w:eastAsia="zh-CN"/>
        </w:rPr>
        <w:t>施工管理任务书</w:t>
      </w:r>
    </w:p>
    <w:bookmarkEnd w:id="0"/>
    <w:bookmarkEnd w:id="1"/>
    <w:bookmarkEnd w:id="2"/>
    <w:bookmarkEnd w:id="3"/>
    <w:bookmarkEnd w:id="4"/>
    <w:bookmarkEnd w:id="5"/>
    <w:bookmarkEnd w:id="6"/>
    <w:bookmarkEnd w:id="7"/>
    <w:bookmarkEnd w:id="8"/>
    <w:bookmarkEnd w:id="9"/>
    <w:p w14:paraId="53A3A8A0">
      <w:pPr>
        <w:pStyle w:val="2"/>
        <w:numPr>
          <w:ilvl w:val="0"/>
          <w:numId w:val="13"/>
        </w:numPr>
        <w:spacing w:before="120"/>
        <w:rPr>
          <w:rFonts w:hint="eastAsia"/>
          <w:highlight w:val="none"/>
        </w:rPr>
      </w:pPr>
      <w:bookmarkStart w:id="95" w:name="_Toc18439"/>
      <w:bookmarkStart w:id="96" w:name="_Toc23059"/>
      <w:bookmarkStart w:id="97" w:name="_Toc488931145"/>
      <w:bookmarkStart w:id="98" w:name="_Toc4522"/>
      <w:bookmarkStart w:id="99" w:name="_Toc26080"/>
      <w:bookmarkStart w:id="100" w:name="_Toc169722194"/>
      <w:bookmarkStart w:id="101" w:name="_Toc30288"/>
      <w:bookmarkStart w:id="102" w:name="_Toc22155"/>
      <w:bookmarkStart w:id="103" w:name="_Toc13583"/>
      <w:bookmarkStart w:id="104" w:name="_Toc26616"/>
      <w:bookmarkStart w:id="105" w:name="_Toc11082"/>
      <w:bookmarkStart w:id="106" w:name="_Toc2249"/>
      <w:bookmarkStart w:id="107" w:name="_Toc369280913"/>
      <w:bookmarkStart w:id="108" w:name="_Toc169722206"/>
      <w:r>
        <w:rPr>
          <w:rFonts w:hint="eastAsia"/>
          <w:highlight w:val="none"/>
        </w:rPr>
        <w:t>工程施工承包内容</w:t>
      </w:r>
    </w:p>
    <w:bookmarkEnd w:id="95"/>
    <w:bookmarkEnd w:id="96"/>
    <w:bookmarkEnd w:id="97"/>
    <w:bookmarkEnd w:id="98"/>
    <w:bookmarkEnd w:id="99"/>
    <w:bookmarkEnd w:id="100"/>
    <w:bookmarkEnd w:id="101"/>
    <w:bookmarkEnd w:id="102"/>
    <w:bookmarkEnd w:id="103"/>
    <w:bookmarkEnd w:id="104"/>
    <w:bookmarkEnd w:id="105"/>
    <w:bookmarkEnd w:id="106"/>
    <w:p w14:paraId="4888DDD6">
      <w:pPr>
        <w:ind w:firstLine="480"/>
        <w:rPr>
          <w:rFonts w:hint="eastAsia"/>
          <w:highlight w:val="none"/>
        </w:rPr>
      </w:pPr>
      <w:r>
        <w:rPr>
          <w:rFonts w:hint="eastAsia"/>
          <w:highlight w:val="none"/>
        </w:rPr>
        <w:t>根据项目相关资料及施工图纸，承担本项目范围内的各专业工程施工、竣工验收、交付使用及工程质量保修等各项工作，包括但不限于：</w:t>
      </w:r>
    </w:p>
    <w:p w14:paraId="45B3412B">
      <w:pPr>
        <w:ind w:firstLine="480"/>
        <w:rPr>
          <w:rFonts w:hint="eastAsia"/>
          <w:highlight w:val="none"/>
        </w:rPr>
      </w:pPr>
      <w:r>
        <w:rPr>
          <w:rFonts w:hint="eastAsia"/>
          <w:highlight w:val="none"/>
        </w:rPr>
        <w:t>1.办理施工阶段各项行政部门开工前置手续，包括但不限于建设工程质量安全监督登记、建设工程合同备案、建筑工程施工许可、夜间施工许可、施工噪声排污许可、临时排水许可、建筑废弃物处置核准、人防工程质量监督登记、防雷报建、排水设施接驳许可等等手续，除由发包人缴交的行政管理费用外，费用在投标下浮率中综合考虑，发包人不再另行计量支付。</w:t>
      </w:r>
    </w:p>
    <w:p w14:paraId="08D7F414">
      <w:pPr>
        <w:ind w:firstLine="480"/>
        <w:rPr>
          <w:rFonts w:hint="eastAsia"/>
          <w:highlight w:val="none"/>
        </w:rPr>
      </w:pPr>
      <w:r>
        <w:rPr>
          <w:rFonts w:hint="eastAsia"/>
          <w:highlight w:val="none"/>
        </w:rPr>
        <w:t>2.按照招标文件及合同约定的范围和发包人批准的施工图进行施工,并办理本工程范围内的竣工验收及备案手续，包括且不限于以下工作：临时设施、施工测量、溶（土）洞处理、建筑主体工程（含基坑支护与土石方工程、地基与基础、主体结构工程）、</w:t>
      </w:r>
      <w:r>
        <w:rPr>
          <w:rFonts w:hint="eastAsia" w:cs="宋体"/>
          <w:highlight w:val="none"/>
        </w:rPr>
        <w:t>装配式工程、绿色建筑、节能工程、</w:t>
      </w:r>
      <w:r>
        <w:rPr>
          <w:rFonts w:hint="eastAsia"/>
          <w:highlight w:val="none"/>
        </w:rPr>
        <w:t>人防工程、防水工程、建筑装饰装修工程（</w:t>
      </w:r>
      <w:r>
        <w:rPr>
          <w:rFonts w:hint="eastAsia" w:cs="宋体"/>
          <w:highlight w:val="none"/>
        </w:rPr>
        <w:t>含室内外精装修、建筑内所有绿化、苗木</w:t>
      </w:r>
      <w:r>
        <w:rPr>
          <w:rFonts w:hint="eastAsia"/>
          <w:highlight w:val="none"/>
        </w:rPr>
        <w:t>）</w:t>
      </w:r>
      <w:r>
        <w:rPr>
          <w:rFonts w:hint="eastAsia" w:cs="宋体"/>
          <w:highlight w:val="none"/>
        </w:rPr>
        <w:t>、幕墙工程、钢结构工程、充电桩工程、</w:t>
      </w:r>
      <w:r>
        <w:rPr>
          <w:rFonts w:hint="eastAsia"/>
          <w:highlight w:val="none"/>
        </w:rPr>
        <w:t>机电设备安装工程（含柴油发电机及环保工程）、消防工程、智能化工程（</w:t>
      </w:r>
      <w:r>
        <w:rPr>
          <w:rFonts w:hint="eastAsia" w:cs="宋体"/>
          <w:highlight w:val="none"/>
        </w:rPr>
        <w:t>含通讯网络、光纤入户、信号覆盖、有线电视、门禁对讲系统、电梯五方对讲、车库出入口管理、视频监控系统、市政接驳等工程）</w:t>
      </w:r>
      <w:r>
        <w:rPr>
          <w:rFonts w:hint="eastAsia"/>
          <w:highlight w:val="none"/>
        </w:rPr>
        <w:t>、建筑电气工程、暖通工程、室内外给排水工程（含接通市政管网）、电梯工程、智能停车（如有）、</w:t>
      </w:r>
      <w:r>
        <w:rPr>
          <w:rFonts w:hint="eastAsia" w:cs="宋体"/>
          <w:highlight w:val="none"/>
        </w:rPr>
        <w:t>防雷工程、</w:t>
      </w:r>
      <w:r>
        <w:rPr>
          <w:rFonts w:hint="eastAsia"/>
          <w:highlight w:val="none"/>
        </w:rPr>
        <w:t>交通标线、车位划线、标识（含地下室）、道路工程、永久边坡支护（包括排洪渠）与土石方工程、永久用电工程（含外电接入工程）、永久用水工程（含市政管网接驳）、燃气工程、智能化工程、围墙、临时工程（含临路、临水、临电）、拆除工程（含房屋及地下管线、旧基础等）、</w:t>
      </w:r>
      <w:r>
        <w:rPr>
          <w:rFonts w:hint="eastAsia" w:cs="宋体"/>
          <w:highlight w:val="none"/>
        </w:rPr>
        <w:t>体育场地及相关设施工程（如有）、桥梁工程（含人行天桥、风雨连廊等，如有）、</w:t>
      </w:r>
      <w:r>
        <w:rPr>
          <w:rFonts w:hint="eastAsia"/>
          <w:highlight w:val="none"/>
        </w:rPr>
        <w:t>零星工程（包括但不限于安装或吊装构件的预埋件和连接件、楼宇门牌标识的制作安装、信报箱的申报和制作安装工作等附属配套工程）、充电桩预留接口等施工任务及本工程的白蚁防治服务、实施绿色施工、树木保护及迁移、海绵城市、</w:t>
      </w:r>
      <w:r>
        <w:rPr>
          <w:rFonts w:hint="eastAsia" w:cs="宋体"/>
          <w:highlight w:val="none"/>
        </w:rPr>
        <w:t>验收后升级改造等</w:t>
      </w:r>
      <w:r>
        <w:rPr>
          <w:rFonts w:hint="eastAsia"/>
          <w:highlight w:val="none"/>
        </w:rPr>
        <w:t>。</w:t>
      </w:r>
    </w:p>
    <w:p w14:paraId="5FBB547E">
      <w:pPr>
        <w:ind w:firstLine="480"/>
        <w:rPr>
          <w:rFonts w:hint="eastAsia"/>
          <w:highlight w:val="none"/>
        </w:rPr>
      </w:pPr>
      <w:r>
        <w:rPr>
          <w:rFonts w:hint="eastAsia"/>
          <w:highlight w:val="none"/>
        </w:rPr>
        <w:t>3.负责本合同工程范围内的施工场地保管，竣工后至交付住户前（一年内）看管工作；负责本工程范围内施工管理，对本工程范围内发包人另行发包的其他工程提供配合服务工作，为其提供场地和使用临时设施等；负责缴纳施工用电、施工用水费用及永久用电、永久用水开通后至竣工验收移交发包人期间的费用；负责交付住户前的开荒保洁工作。上述所有工作产生的费用在投标下浮率中综合考虑，发包人不再另行计量支付。</w:t>
      </w:r>
    </w:p>
    <w:p w14:paraId="30A54C94">
      <w:pPr>
        <w:ind w:firstLine="480"/>
        <w:rPr>
          <w:rFonts w:hint="eastAsia"/>
          <w:highlight w:val="none"/>
        </w:rPr>
      </w:pPr>
      <w:r>
        <w:rPr>
          <w:rFonts w:hint="eastAsia"/>
          <w:highlight w:val="none"/>
        </w:rPr>
        <w:t>4.负责根据广州市住房和城乡建设局关于建设工程现场视频监控管理办法的规定，完成本工程现场视频监控系统的方案（设计）报批、施工、维护等；负责协调本工程施工过程中的相关职能部门及周边居民，包括街道居委、公安派出所、交通部门、质安监部门、建管部门、城管部门等；负责本工程范围内的现场安全文明施工管理及现场办公场所的安保服务，配合发包人做好迎检、宣传工作。上述所有工作产生的费用在投标下浮率中综合考虑，发包人不再另行计量支付。</w:t>
      </w:r>
    </w:p>
    <w:p w14:paraId="50778555">
      <w:pPr>
        <w:ind w:firstLine="480"/>
        <w:rPr>
          <w:rFonts w:hint="eastAsia"/>
          <w:highlight w:val="none"/>
        </w:rPr>
      </w:pPr>
      <w:r>
        <w:rPr>
          <w:rFonts w:hint="eastAsia"/>
          <w:highlight w:val="none"/>
        </w:rPr>
        <w:t>5.根据发包人指令，负责本工程因涉铁原因所产生的其他施工工作。</w:t>
      </w:r>
    </w:p>
    <w:p w14:paraId="1442F73B">
      <w:pPr>
        <w:ind w:firstLine="480"/>
        <w:rPr>
          <w:rFonts w:hint="eastAsia"/>
          <w:highlight w:val="none"/>
        </w:rPr>
      </w:pPr>
      <w:r>
        <w:rPr>
          <w:rFonts w:hint="eastAsia"/>
          <w:highlight w:val="none"/>
        </w:rPr>
        <w:t>6.根据装配式建筑要求组织施工。</w:t>
      </w:r>
    </w:p>
    <w:p w14:paraId="681354BE">
      <w:pPr>
        <w:ind w:firstLine="480"/>
        <w:rPr>
          <w:rFonts w:hint="eastAsia"/>
          <w:highlight w:val="none"/>
        </w:rPr>
      </w:pPr>
      <w:r>
        <w:rPr>
          <w:rFonts w:hint="eastAsia"/>
          <w:highlight w:val="none"/>
        </w:rPr>
        <w:t>7.办理工程验收并配合工程交付：包括但不限于地基与基础、主体结构、装饰装修、屋面、给排水、通风与空调、建筑电气、智能建筑、节能、电梯、人防、消防、规划、室外排水、环保、卫生学、道路、永久用水、永久用电、燃气、防雷、白蚁防治等分部分项工程和各项专业工程验收，以及涉及施工单位的验收手续及证明，确保按计划取得《广州市房屋建筑和市政基础设施工程竣工联合验收意见书》，并按广州市档案馆要求整理工程竣工验收资料并移交办理《建设工程档案验收合格证》。配合建设单位组织向前期物业管理单位交付的工程查验、整改，确保工程整体交付管理。</w:t>
      </w:r>
    </w:p>
    <w:p w14:paraId="48A6F3B6">
      <w:pPr>
        <w:ind w:firstLine="480"/>
        <w:rPr>
          <w:rFonts w:hint="eastAsia"/>
          <w:highlight w:val="none"/>
        </w:rPr>
      </w:pPr>
      <w:r>
        <w:rPr>
          <w:rFonts w:hint="eastAsia"/>
          <w:highlight w:val="none"/>
        </w:rPr>
        <w:t>工程质量潜在缺陷保险责任期开始前，配合建设单位及承保保险公司、风险管理机构对工程质量进行查验，发现质量缺陷或损坏的，应及时组织施工班组进行维修，承担因维修不及时造成的损失、赔偿责任，并承担因未完成质量修复造成损失或扩大损失，导致保险公司将相应质量缺陷列入保险除外责任而导致的后果。</w:t>
      </w:r>
    </w:p>
    <w:p w14:paraId="47E05C2B">
      <w:pPr>
        <w:ind w:firstLine="480"/>
        <w:rPr>
          <w:rFonts w:hint="eastAsia"/>
          <w:highlight w:val="none"/>
        </w:rPr>
      </w:pPr>
      <w:r>
        <w:rPr>
          <w:rFonts w:hint="eastAsia"/>
          <w:highlight w:val="none"/>
        </w:rPr>
        <w:t>8.负责施工图预算、竣工结算等造价文件的编制工作，并配合送审及评审工作；完成并配合相关部门结（决）算审计、工程保修等工作。</w:t>
      </w:r>
    </w:p>
    <w:p w14:paraId="053CA94D">
      <w:pPr>
        <w:ind w:firstLine="480"/>
        <w:rPr>
          <w:rFonts w:hint="eastAsia"/>
          <w:highlight w:val="none"/>
        </w:rPr>
      </w:pPr>
      <w:r>
        <w:rPr>
          <w:rFonts w:hint="eastAsia"/>
          <w:highlight w:val="none"/>
        </w:rPr>
        <w:t>9.负责深化施工图的工程包括但不限于：装配式建筑、装修（含精装）、幕墙、钢结构、厨房、室内墙地砖排版、人防、BIM设计、塔吊基础、人货梯基础、电梯机房和电梯门套、柴油发电机房、高低压配电房、停车场管理系统、智能化系统、门窗及栏杆、雨棚、园林景观、永水永电、燃气、临时基坑等。上述所有工作产生的费用在投标下浮率中综合考虑，发包人不再另行计量支付。</w:t>
      </w:r>
    </w:p>
    <w:p w14:paraId="0337B3FC">
      <w:pPr>
        <w:ind w:firstLine="480"/>
        <w:rPr>
          <w:rFonts w:hint="eastAsia" w:cs="宋体"/>
          <w:highlight w:val="none"/>
        </w:rPr>
      </w:pPr>
      <w:r>
        <w:rPr>
          <w:rFonts w:hint="eastAsia"/>
          <w:highlight w:val="none"/>
        </w:rPr>
        <w:t>10.</w:t>
      </w:r>
      <w:r>
        <w:rPr>
          <w:rFonts w:hint="eastAsia" w:cs="宋体"/>
          <w:highlight w:val="none"/>
        </w:rPr>
        <w:t>负责该项目施工阶段（红线范围及红线影响范围内的）所需的涉铁施工作业的报审报批，以及沟通工作，并确保通过铁路有关部门的批复。</w:t>
      </w:r>
    </w:p>
    <w:p w14:paraId="0B008931">
      <w:pPr>
        <w:ind w:firstLine="480"/>
        <w:rPr>
          <w:rFonts w:hint="eastAsia"/>
          <w:highlight w:val="none"/>
        </w:rPr>
      </w:pPr>
      <w:r>
        <w:rPr>
          <w:rFonts w:hint="eastAsia"/>
          <w:highlight w:val="none"/>
        </w:rPr>
        <w:t>11.在签订合同后一个月内完成指挥部搭设，参照发包人标准化管理要求，场地布置原则上南北布置，要横平竖直，有相应的排水排污系统，配备相应的消防设施，设置带雨蓬的停车位不少于8个，有相应的绿化设置，并配备保安保洁服务。上述临时设施、设备所需费用已在投标下浮率中综合考虑，发包人不再另行计量支付。</w:t>
      </w:r>
    </w:p>
    <w:p w14:paraId="2E9BCA96">
      <w:pPr>
        <w:ind w:firstLine="480"/>
        <w:rPr>
          <w:rFonts w:hint="eastAsia"/>
          <w:highlight w:val="none"/>
        </w:rPr>
      </w:pPr>
      <w:r>
        <w:rPr>
          <w:rFonts w:hint="eastAsia"/>
          <w:highlight w:val="none"/>
        </w:rPr>
        <w:t>12.总承包人进场后由发包人进行场地移交，总承包人根据移交场地标高进行后续施工作业。</w:t>
      </w:r>
    </w:p>
    <w:p w14:paraId="29B7A64A">
      <w:pPr>
        <w:pStyle w:val="24"/>
        <w:ind w:firstLine="482"/>
        <w:jc w:val="left"/>
        <w:rPr>
          <w:rFonts w:hint="eastAsia"/>
          <w:highlight w:val="none"/>
        </w:rPr>
      </w:pPr>
      <w:r>
        <w:rPr>
          <w:highlight w:val="none"/>
        </w:rPr>
        <w:t>1</w:t>
      </w:r>
      <w:r>
        <w:rPr>
          <w:rFonts w:hint="eastAsia"/>
          <w:highlight w:val="none"/>
        </w:rPr>
        <w:t>3</w:t>
      </w:r>
      <w:r>
        <w:rPr>
          <w:highlight w:val="none"/>
        </w:rPr>
        <w:t>.</w:t>
      </w:r>
      <w:r>
        <w:rPr>
          <w:rFonts w:hint="eastAsia"/>
          <w:highlight w:val="none"/>
        </w:rPr>
        <w:t>承担本综合体项目施工的单位应具有高速铁路施工经验及业绩。</w:t>
      </w:r>
    </w:p>
    <w:bookmarkEnd w:id="107"/>
    <w:p w14:paraId="05732C42">
      <w:pPr>
        <w:pStyle w:val="2"/>
        <w:numPr>
          <w:ilvl w:val="0"/>
          <w:numId w:val="13"/>
        </w:numPr>
        <w:spacing w:before="120"/>
        <w:rPr>
          <w:rFonts w:hint="eastAsia"/>
          <w:highlight w:val="none"/>
        </w:rPr>
      </w:pPr>
      <w:bookmarkStart w:id="109" w:name="_Toc169722199"/>
      <w:bookmarkStart w:id="110" w:name="_Toc1006"/>
      <w:bookmarkStart w:id="111" w:name="_Toc4066"/>
      <w:bookmarkStart w:id="112" w:name="_Toc1975"/>
      <w:bookmarkStart w:id="113" w:name="_Toc11729"/>
      <w:bookmarkStart w:id="114" w:name="_Toc16810"/>
      <w:bookmarkStart w:id="115" w:name="_Toc26296"/>
      <w:bookmarkStart w:id="116" w:name="_Toc5247"/>
      <w:bookmarkStart w:id="117" w:name="_Toc12928"/>
      <w:bookmarkStart w:id="118" w:name="_Toc21005"/>
      <w:bookmarkStart w:id="119" w:name="_Toc25473"/>
      <w:r>
        <w:rPr>
          <w:rFonts w:hint="eastAsia"/>
          <w:highlight w:val="none"/>
        </w:rPr>
        <w:t>协调配合要求</w:t>
      </w:r>
      <w:bookmarkEnd w:id="109"/>
      <w:bookmarkEnd w:id="110"/>
      <w:bookmarkEnd w:id="111"/>
      <w:bookmarkEnd w:id="112"/>
      <w:bookmarkEnd w:id="113"/>
      <w:bookmarkEnd w:id="114"/>
      <w:bookmarkEnd w:id="115"/>
      <w:bookmarkEnd w:id="116"/>
      <w:bookmarkEnd w:id="117"/>
      <w:bookmarkEnd w:id="118"/>
      <w:bookmarkEnd w:id="119"/>
    </w:p>
    <w:p w14:paraId="2E7580C2">
      <w:pPr>
        <w:pStyle w:val="3"/>
        <w:numPr>
          <w:ilvl w:val="1"/>
          <w:numId w:val="13"/>
        </w:numPr>
        <w:rPr>
          <w:rFonts w:hint="eastAsia"/>
          <w:highlight w:val="none"/>
        </w:rPr>
      </w:pPr>
      <w:bookmarkStart w:id="120" w:name="_Toc520244602"/>
      <w:bookmarkEnd w:id="120"/>
      <w:bookmarkStart w:id="121" w:name="_Toc520245230"/>
      <w:bookmarkEnd w:id="121"/>
      <w:r>
        <w:rPr>
          <w:rFonts w:hint="eastAsia"/>
          <w:highlight w:val="none"/>
        </w:rPr>
        <w:t>与发包人的协调配合</w:t>
      </w:r>
    </w:p>
    <w:p w14:paraId="6CD96B14">
      <w:pPr>
        <w:pStyle w:val="4"/>
        <w:numPr>
          <w:ilvl w:val="2"/>
          <w:numId w:val="13"/>
        </w:numPr>
        <w:rPr>
          <w:rFonts w:hint="eastAsia"/>
          <w:highlight w:val="none"/>
        </w:rPr>
      </w:pPr>
      <w:r>
        <w:rPr>
          <w:rFonts w:hint="eastAsia"/>
          <w:highlight w:val="none"/>
        </w:rPr>
        <w:t>按照合同约定，对发包人负责，执行发包人指令，不得拖延、推诿。</w:t>
      </w:r>
    </w:p>
    <w:p w14:paraId="6BEDC33B">
      <w:pPr>
        <w:pStyle w:val="4"/>
        <w:numPr>
          <w:ilvl w:val="2"/>
          <w:numId w:val="13"/>
        </w:numPr>
        <w:rPr>
          <w:rFonts w:hint="eastAsia"/>
          <w:highlight w:val="none"/>
        </w:rPr>
      </w:pPr>
      <w:r>
        <w:rPr>
          <w:rFonts w:hint="eastAsia"/>
          <w:highlight w:val="none"/>
        </w:rPr>
        <w:t>在发包人不完全具备施工条件时，应积极配合发包人进行手续报批、外围机构的协调沟通等工作。</w:t>
      </w:r>
    </w:p>
    <w:p w14:paraId="1B679251">
      <w:pPr>
        <w:pStyle w:val="4"/>
        <w:numPr>
          <w:ilvl w:val="2"/>
          <w:numId w:val="13"/>
        </w:numPr>
        <w:rPr>
          <w:rFonts w:hint="eastAsia"/>
          <w:highlight w:val="none"/>
        </w:rPr>
      </w:pPr>
      <w:r>
        <w:rPr>
          <w:rFonts w:hint="eastAsia"/>
          <w:highlight w:val="none"/>
        </w:rPr>
        <w:t>在施工准备阶段，应积极配合发包人完成临水、临电、道路开口等准备工作。</w:t>
      </w:r>
    </w:p>
    <w:p w14:paraId="6F64E5D8">
      <w:pPr>
        <w:pStyle w:val="4"/>
        <w:numPr>
          <w:ilvl w:val="2"/>
          <w:numId w:val="13"/>
        </w:numPr>
        <w:rPr>
          <w:rFonts w:hint="eastAsia"/>
          <w:highlight w:val="none"/>
        </w:rPr>
      </w:pPr>
      <w:r>
        <w:rPr>
          <w:rFonts w:hint="eastAsia"/>
          <w:highlight w:val="none"/>
        </w:rPr>
        <w:t>定期（每周/月）向发包人提供工程报告，工程报告内容需包含工程形象进度、计划执行情况、重点施工部位照片、质量和安全文明施工等情况，还应包括对专业承包人</w:t>
      </w:r>
      <w:r>
        <w:rPr>
          <w:highlight w:val="none"/>
        </w:rPr>
        <w:t>及自身的评价、</w:t>
      </w:r>
      <w:r>
        <w:rPr>
          <w:rFonts w:hint="eastAsia"/>
          <w:highlight w:val="none"/>
        </w:rPr>
        <w:t>进度延期原因分析及措施等内容。此外，总承包人需根据发包人要求提供阶段性总结，并采取相关措施，提升上一阶段在工期、质量及安全文明方面存在的问题，保证相关措施的落地。</w:t>
      </w:r>
    </w:p>
    <w:p w14:paraId="0CD2870F">
      <w:pPr>
        <w:pStyle w:val="4"/>
        <w:numPr>
          <w:ilvl w:val="2"/>
          <w:numId w:val="13"/>
        </w:numPr>
        <w:rPr>
          <w:rFonts w:hint="eastAsia"/>
          <w:highlight w:val="none"/>
        </w:rPr>
      </w:pPr>
      <w:r>
        <w:rPr>
          <w:rFonts w:hint="eastAsia"/>
          <w:highlight w:val="none"/>
        </w:rPr>
        <w:t>参加由发包人组织的各项例会，并确保会议所达成果的及时落地。</w:t>
      </w:r>
    </w:p>
    <w:p w14:paraId="0393FA08">
      <w:pPr>
        <w:pStyle w:val="4"/>
        <w:numPr>
          <w:ilvl w:val="2"/>
          <w:numId w:val="13"/>
        </w:numPr>
        <w:rPr>
          <w:rFonts w:hint="eastAsia"/>
          <w:highlight w:val="none"/>
        </w:rPr>
      </w:pPr>
      <w:r>
        <w:rPr>
          <w:rFonts w:hint="eastAsia"/>
          <w:highlight w:val="none"/>
        </w:rPr>
        <w:t>配合发包人进行质量安全检查工作。</w:t>
      </w:r>
    </w:p>
    <w:p w14:paraId="5EEBC57E">
      <w:pPr>
        <w:pStyle w:val="4"/>
        <w:numPr>
          <w:ilvl w:val="2"/>
          <w:numId w:val="13"/>
        </w:numPr>
        <w:rPr>
          <w:rFonts w:hint="eastAsia"/>
          <w:highlight w:val="none"/>
        </w:rPr>
      </w:pPr>
      <w:r>
        <w:rPr>
          <w:rFonts w:hint="eastAsia"/>
          <w:highlight w:val="none"/>
        </w:rPr>
        <w:t>竣工验收时承包人统一汇总竣工资料，并向发包人移交至少六套竣工资料，满足发包人要求。</w:t>
      </w:r>
    </w:p>
    <w:p w14:paraId="160462A5">
      <w:pPr>
        <w:pStyle w:val="4"/>
        <w:numPr>
          <w:ilvl w:val="2"/>
          <w:numId w:val="13"/>
        </w:numPr>
        <w:rPr>
          <w:rFonts w:hint="eastAsia"/>
          <w:highlight w:val="none"/>
        </w:rPr>
      </w:pPr>
      <w:r>
        <w:rPr>
          <w:rFonts w:hint="eastAsia"/>
          <w:highlight w:val="none"/>
        </w:rPr>
        <w:t>对发包人安排的</w:t>
      </w:r>
      <w:r>
        <w:rPr>
          <w:highlight w:val="none"/>
        </w:rPr>
        <w:t>临时工程</w:t>
      </w:r>
      <w:r>
        <w:rPr>
          <w:rFonts w:hint="eastAsia"/>
          <w:highlight w:val="none"/>
        </w:rPr>
        <w:t>、</w:t>
      </w:r>
      <w:r>
        <w:rPr>
          <w:highlight w:val="none"/>
        </w:rPr>
        <w:t>零星工程，以及</w:t>
      </w:r>
      <w:r>
        <w:rPr>
          <w:rFonts w:hint="eastAsia"/>
          <w:highlight w:val="none"/>
        </w:rPr>
        <w:t>质量缺陷整改及后续的维保工作，总承包人应以积极的</w:t>
      </w:r>
      <w:r>
        <w:rPr>
          <w:highlight w:val="none"/>
        </w:rPr>
        <w:t>态度</w:t>
      </w:r>
      <w:r>
        <w:rPr>
          <w:rFonts w:hint="eastAsia"/>
          <w:highlight w:val="none"/>
        </w:rPr>
        <w:t>予以配合并立即实施，不得以各种理由进行推脱。</w:t>
      </w:r>
    </w:p>
    <w:p w14:paraId="41490EAF">
      <w:pPr>
        <w:pStyle w:val="4"/>
        <w:numPr>
          <w:ilvl w:val="2"/>
          <w:numId w:val="13"/>
        </w:numPr>
        <w:rPr>
          <w:rFonts w:hint="eastAsia"/>
          <w:highlight w:val="none"/>
        </w:rPr>
      </w:pPr>
      <w:r>
        <w:rPr>
          <w:rFonts w:hint="eastAsia"/>
          <w:highlight w:val="none"/>
        </w:rPr>
        <w:t>当工程出现渗漏等质量问题时，在接到发包人通知后须在《工程质量保修协议》中规定时间内到达工程现场，积极履行保修义务。</w:t>
      </w:r>
    </w:p>
    <w:p w14:paraId="2AC53900">
      <w:pPr>
        <w:pStyle w:val="4"/>
        <w:numPr>
          <w:ilvl w:val="2"/>
          <w:numId w:val="13"/>
        </w:numPr>
        <w:rPr>
          <w:rFonts w:hint="eastAsia"/>
          <w:highlight w:val="none"/>
        </w:rPr>
      </w:pPr>
      <w:r>
        <w:rPr>
          <w:rFonts w:hint="eastAsia"/>
          <w:highlight w:val="none"/>
        </w:rPr>
        <w:t>工程完工后应定期进行回访。交房后一个月应组织各专业承包人对工程进行回访，了解工程的实际使用情况。保修期内定期（每半年度）对工程进行再回访。</w:t>
      </w:r>
    </w:p>
    <w:p w14:paraId="6B287E47">
      <w:pPr>
        <w:pStyle w:val="4"/>
        <w:numPr>
          <w:ilvl w:val="2"/>
          <w:numId w:val="13"/>
        </w:numPr>
        <w:rPr>
          <w:rFonts w:hint="eastAsia"/>
          <w:highlight w:val="none"/>
        </w:rPr>
      </w:pPr>
      <w:r>
        <w:rPr>
          <w:rFonts w:hint="eastAsia" w:cs="Arial"/>
          <w:highlight w:val="none"/>
        </w:rPr>
        <w:t>发包人进行专业承包人的招标时，总承包人应提供总承包人与发包人管理协议，供发包人</w:t>
      </w:r>
      <w:r>
        <w:rPr>
          <w:rFonts w:cs="Arial"/>
          <w:highlight w:val="none"/>
        </w:rPr>
        <w:t>作为招标参考</w:t>
      </w:r>
      <w:r>
        <w:rPr>
          <w:rFonts w:hint="eastAsia" w:cs="Arial"/>
          <w:highlight w:val="none"/>
        </w:rPr>
        <w:t>。</w:t>
      </w:r>
    </w:p>
    <w:p w14:paraId="0B815C5D">
      <w:pPr>
        <w:pStyle w:val="3"/>
        <w:numPr>
          <w:ilvl w:val="1"/>
          <w:numId w:val="13"/>
        </w:numPr>
        <w:rPr>
          <w:rFonts w:hint="eastAsia"/>
          <w:highlight w:val="none"/>
        </w:rPr>
      </w:pPr>
      <w:r>
        <w:rPr>
          <w:rFonts w:hint="eastAsia"/>
          <w:highlight w:val="none"/>
        </w:rPr>
        <w:t>与监理人的协调配合</w:t>
      </w:r>
    </w:p>
    <w:p w14:paraId="7CC104EB">
      <w:pPr>
        <w:pStyle w:val="4"/>
        <w:numPr>
          <w:ilvl w:val="2"/>
          <w:numId w:val="13"/>
        </w:numPr>
        <w:rPr>
          <w:rFonts w:hint="eastAsia"/>
          <w:highlight w:val="none"/>
        </w:rPr>
      </w:pPr>
      <w:r>
        <w:rPr>
          <w:rFonts w:hint="eastAsia"/>
          <w:highlight w:val="none"/>
        </w:rPr>
        <w:t>总承包人在本工程合同实施过程中的往来文件、报告必须通过监理人向发包人传递。</w:t>
      </w:r>
    </w:p>
    <w:p w14:paraId="13E6A0DD">
      <w:pPr>
        <w:pStyle w:val="4"/>
        <w:numPr>
          <w:ilvl w:val="2"/>
          <w:numId w:val="13"/>
        </w:numPr>
        <w:rPr>
          <w:rFonts w:hint="eastAsia"/>
          <w:highlight w:val="none"/>
        </w:rPr>
      </w:pPr>
      <w:r>
        <w:rPr>
          <w:rFonts w:hint="eastAsia"/>
          <w:highlight w:val="none"/>
        </w:rPr>
        <w:t>承包人的管理人员要按时参加监理例会，例会形成的决议要得到坚决的贯彻执行；除监理工程师通知外，各种会议纪要、工作联系单等文件也应在规定的时间内进行回复。</w:t>
      </w:r>
    </w:p>
    <w:p w14:paraId="11B5EA92">
      <w:pPr>
        <w:pStyle w:val="4"/>
        <w:numPr>
          <w:ilvl w:val="2"/>
          <w:numId w:val="13"/>
        </w:numPr>
        <w:rPr>
          <w:rFonts w:hint="eastAsia"/>
          <w:highlight w:val="none"/>
        </w:rPr>
      </w:pPr>
      <w:r>
        <w:rPr>
          <w:rFonts w:hint="eastAsia"/>
          <w:highlight w:val="none"/>
        </w:rPr>
        <w:t>对监理工程师的指令应严格执行并及时回复，如有不同意见，应书面报告监理工程师并可直接抄送发包人。</w:t>
      </w:r>
    </w:p>
    <w:p w14:paraId="0AF4A3EE">
      <w:pPr>
        <w:pStyle w:val="4"/>
        <w:numPr>
          <w:ilvl w:val="2"/>
          <w:numId w:val="13"/>
        </w:numPr>
        <w:rPr>
          <w:rFonts w:hint="eastAsia"/>
          <w:highlight w:val="none"/>
        </w:rPr>
      </w:pPr>
      <w:r>
        <w:rPr>
          <w:rFonts w:hint="eastAsia"/>
          <w:highlight w:val="none"/>
        </w:rPr>
        <w:t>总承包人必须随时接受监理人对各类工程资料、质量保证体系及运行情况、安全保证体系及运行情况的检查，并派专人协助、督促各专业承包人整理好各类工程资料。</w:t>
      </w:r>
    </w:p>
    <w:p w14:paraId="6641A079">
      <w:pPr>
        <w:pStyle w:val="4"/>
        <w:numPr>
          <w:ilvl w:val="2"/>
          <w:numId w:val="13"/>
        </w:numPr>
        <w:rPr>
          <w:rFonts w:hint="eastAsia"/>
          <w:highlight w:val="none"/>
        </w:rPr>
      </w:pPr>
      <w:r>
        <w:rPr>
          <w:rFonts w:hint="eastAsia"/>
          <w:highlight w:val="none"/>
        </w:rPr>
        <w:t>督促专业承包单位执行监理工程师的指令。</w:t>
      </w:r>
    </w:p>
    <w:p w14:paraId="7EB638F1">
      <w:pPr>
        <w:pStyle w:val="3"/>
        <w:numPr>
          <w:ilvl w:val="1"/>
          <w:numId w:val="13"/>
        </w:numPr>
        <w:rPr>
          <w:rFonts w:hint="eastAsia"/>
          <w:highlight w:val="none"/>
        </w:rPr>
      </w:pPr>
      <w:r>
        <w:rPr>
          <w:highlight w:val="none"/>
        </w:rPr>
        <w:t xml:space="preserve"> </w:t>
      </w:r>
      <w:r>
        <w:rPr>
          <w:rFonts w:hint="eastAsia"/>
          <w:highlight w:val="none"/>
        </w:rPr>
        <w:t>与</w:t>
      </w:r>
      <w:r>
        <w:rPr>
          <w:highlight w:val="none"/>
        </w:rPr>
        <w:t>第三检测、监测配合要求</w:t>
      </w:r>
    </w:p>
    <w:p w14:paraId="2FB3607A">
      <w:pPr>
        <w:pStyle w:val="4"/>
        <w:numPr>
          <w:ilvl w:val="2"/>
          <w:numId w:val="13"/>
        </w:numPr>
        <w:rPr>
          <w:rFonts w:hint="eastAsia"/>
          <w:highlight w:val="none"/>
        </w:rPr>
      </w:pPr>
      <w:r>
        <w:rPr>
          <w:highlight w:val="none"/>
        </w:rPr>
        <w:t>提供有关该工程检测、监测所需的相关工程技术资料；</w:t>
      </w:r>
    </w:p>
    <w:p w14:paraId="0F88E398">
      <w:pPr>
        <w:pStyle w:val="4"/>
        <w:numPr>
          <w:ilvl w:val="2"/>
          <w:numId w:val="13"/>
        </w:numPr>
        <w:rPr>
          <w:rFonts w:hint="eastAsia"/>
          <w:highlight w:val="none"/>
        </w:rPr>
      </w:pPr>
      <w:r>
        <w:rPr>
          <w:highlight w:val="none"/>
        </w:rPr>
        <w:t>现场保障足够的安全措施，符合安全施工要求，保障检测、监测人员及设备的安全；</w:t>
      </w:r>
    </w:p>
    <w:p w14:paraId="118FE556">
      <w:pPr>
        <w:pStyle w:val="4"/>
        <w:numPr>
          <w:ilvl w:val="2"/>
          <w:numId w:val="13"/>
        </w:numPr>
        <w:rPr>
          <w:rFonts w:hint="eastAsia"/>
          <w:highlight w:val="none"/>
        </w:rPr>
      </w:pPr>
      <w:r>
        <w:rPr>
          <w:highlight w:val="none"/>
        </w:rPr>
        <w:t>协助检测、监测单位的设备进退场，包括但不限于提供场内小型机械设备吊运， 安排专人协助检测、监测单位主要检测、监测设备场内搬运等，安排必须的人员配合检测、监测单位工作；</w:t>
      </w:r>
    </w:p>
    <w:p w14:paraId="585DC0AC">
      <w:pPr>
        <w:pStyle w:val="4"/>
        <w:numPr>
          <w:ilvl w:val="2"/>
          <w:numId w:val="13"/>
        </w:numPr>
        <w:rPr>
          <w:rFonts w:hint="eastAsia"/>
          <w:highlight w:val="none"/>
        </w:rPr>
      </w:pPr>
      <w:r>
        <w:rPr>
          <w:highlight w:val="none"/>
        </w:rPr>
        <w:t>负责协调相关方的关系，及时解决现场检测、监测作业时与相关方产生的矛盾。 对由于未能协调好相关方关系而影响检测、监测工作的顺利进行，造成相应的经济损失承担责任；</w:t>
      </w:r>
    </w:p>
    <w:p w14:paraId="1FB57BAD">
      <w:pPr>
        <w:pStyle w:val="4"/>
        <w:numPr>
          <w:ilvl w:val="2"/>
          <w:numId w:val="13"/>
        </w:numPr>
        <w:rPr>
          <w:rFonts w:hint="eastAsia"/>
          <w:highlight w:val="none"/>
        </w:rPr>
      </w:pPr>
      <w:r>
        <w:rPr>
          <w:highlight w:val="none"/>
        </w:rPr>
        <w:t>现场配合工作：收到进场检测通知后，根据检测、监测单位要求做好配合工作，包括且不限于：提供场地、水、电，修筑满足检测、监测要求的临时施工便道、检测用反力板、桩帽，做好挖土方、换填、检测用梯子、门式架、排水等工作；</w:t>
      </w:r>
    </w:p>
    <w:p w14:paraId="105652A0">
      <w:pPr>
        <w:pStyle w:val="4"/>
        <w:numPr>
          <w:ilvl w:val="2"/>
          <w:numId w:val="13"/>
        </w:numPr>
        <w:rPr>
          <w:rFonts w:hint="eastAsia"/>
          <w:highlight w:val="none"/>
        </w:rPr>
      </w:pPr>
      <w:r>
        <w:rPr>
          <w:highlight w:val="none"/>
        </w:rPr>
        <w:t>检测过程中可能造成桩头钢筋、砖胎模、垫层、承台钢筋等损坏，</w:t>
      </w:r>
      <w:r>
        <w:rPr>
          <w:rFonts w:hint="eastAsia"/>
          <w:highlight w:val="none"/>
        </w:rPr>
        <w:t>承包人</w:t>
      </w:r>
      <w:r>
        <w:rPr>
          <w:highlight w:val="none"/>
        </w:rPr>
        <w:t>负责修复，所产生的费用已在投标报价中综合考虑。</w:t>
      </w:r>
    </w:p>
    <w:p w14:paraId="5AAC6F22">
      <w:pPr>
        <w:pStyle w:val="3"/>
        <w:numPr>
          <w:ilvl w:val="1"/>
          <w:numId w:val="13"/>
        </w:numPr>
        <w:rPr>
          <w:rFonts w:hint="eastAsia"/>
          <w:highlight w:val="none"/>
        </w:rPr>
      </w:pPr>
      <w:bookmarkStart w:id="122" w:name="_Toc32154"/>
      <w:bookmarkStart w:id="123" w:name="_Toc9662"/>
      <w:bookmarkStart w:id="124" w:name="_Toc169722205"/>
      <w:bookmarkStart w:id="125" w:name="_Toc7572"/>
      <w:bookmarkStart w:id="126" w:name="_Toc5527"/>
      <w:bookmarkStart w:id="127" w:name="_Toc22240"/>
      <w:bookmarkStart w:id="128" w:name="_Toc14829"/>
      <w:bookmarkStart w:id="129" w:name="_Toc8517"/>
      <w:bookmarkStart w:id="130" w:name="_Toc31819"/>
      <w:bookmarkStart w:id="131" w:name="_Toc32228"/>
      <w:bookmarkStart w:id="132" w:name="_Toc1267"/>
      <w:r>
        <w:rPr>
          <w:rFonts w:hint="eastAsia"/>
          <w:highlight w:val="none"/>
        </w:rPr>
        <w:t>总承包人对</w:t>
      </w:r>
      <w:r>
        <w:rPr>
          <w:highlight w:val="none"/>
        </w:rPr>
        <w:t>外部社会环境及公共关系的协调</w:t>
      </w:r>
      <w:bookmarkEnd w:id="122"/>
      <w:bookmarkEnd w:id="123"/>
      <w:bookmarkEnd w:id="124"/>
      <w:bookmarkEnd w:id="125"/>
      <w:bookmarkEnd w:id="126"/>
      <w:bookmarkEnd w:id="127"/>
      <w:bookmarkEnd w:id="128"/>
      <w:bookmarkEnd w:id="129"/>
      <w:bookmarkEnd w:id="130"/>
      <w:bookmarkEnd w:id="131"/>
      <w:bookmarkEnd w:id="132"/>
    </w:p>
    <w:p w14:paraId="24304F3C">
      <w:pPr>
        <w:pStyle w:val="13"/>
        <w:rPr>
          <w:rFonts w:hint="eastAsia"/>
          <w:highlight w:val="none"/>
        </w:rPr>
      </w:pPr>
      <w:r>
        <w:rPr>
          <w:rFonts w:hint="eastAsia"/>
          <w:highlight w:val="none"/>
        </w:rPr>
        <w:t>公共关系对外协调一览表等</w:t>
      </w:r>
    </w:p>
    <w:tbl>
      <w:tblPr>
        <w:tblStyle w:val="20"/>
        <w:tblW w:w="5000"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108" w:type="dxa"/>
          <w:bottom w:w="0" w:type="dxa"/>
          <w:right w:w="108" w:type="dxa"/>
        </w:tblCellMar>
      </w:tblPr>
      <w:tblGrid>
        <w:gridCol w:w="813"/>
        <w:gridCol w:w="2606"/>
        <w:gridCol w:w="5822"/>
      </w:tblGrid>
      <w:tr w14:paraId="66671E0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18" w:hRule="atLeast"/>
        </w:trPr>
        <w:tc>
          <w:tcPr>
            <w:tcW w:w="440" w:type="pct"/>
            <w:shd w:val="clear" w:color="auto" w:fill="FFC000"/>
            <w:vAlign w:val="center"/>
          </w:tcPr>
          <w:p w14:paraId="6C5C6924">
            <w:pPr>
              <w:pStyle w:val="13"/>
              <w:rPr>
                <w:rFonts w:hint="eastAsia"/>
                <w:b/>
                <w:bCs/>
                <w:highlight w:val="none"/>
              </w:rPr>
            </w:pPr>
            <w:r>
              <w:rPr>
                <w:rFonts w:hint="eastAsia"/>
                <w:b/>
                <w:bCs/>
                <w:highlight w:val="none"/>
              </w:rPr>
              <w:t>序号</w:t>
            </w:r>
          </w:p>
        </w:tc>
        <w:tc>
          <w:tcPr>
            <w:tcW w:w="1410" w:type="pct"/>
            <w:shd w:val="clear" w:color="auto" w:fill="FFC000"/>
            <w:vAlign w:val="center"/>
          </w:tcPr>
          <w:p w14:paraId="303A7AB2">
            <w:pPr>
              <w:pStyle w:val="13"/>
              <w:rPr>
                <w:rFonts w:hint="eastAsia"/>
                <w:b/>
                <w:bCs/>
                <w:highlight w:val="none"/>
              </w:rPr>
            </w:pPr>
            <w:r>
              <w:rPr>
                <w:rFonts w:hint="eastAsia"/>
                <w:b/>
                <w:bCs/>
                <w:highlight w:val="none"/>
              </w:rPr>
              <w:t>需要协调的部门或机构</w:t>
            </w:r>
          </w:p>
        </w:tc>
        <w:tc>
          <w:tcPr>
            <w:tcW w:w="3150" w:type="pct"/>
            <w:shd w:val="clear" w:color="auto" w:fill="FFC000"/>
            <w:vAlign w:val="center"/>
          </w:tcPr>
          <w:p w14:paraId="4E81D8CD">
            <w:pPr>
              <w:pStyle w:val="13"/>
              <w:rPr>
                <w:rFonts w:hint="eastAsia"/>
                <w:b/>
                <w:bCs/>
                <w:highlight w:val="none"/>
              </w:rPr>
            </w:pPr>
            <w:r>
              <w:rPr>
                <w:rFonts w:hint="eastAsia"/>
                <w:b/>
                <w:bCs/>
                <w:highlight w:val="none"/>
              </w:rPr>
              <w:t>协调的主要内容</w:t>
            </w:r>
          </w:p>
        </w:tc>
      </w:tr>
      <w:tr w14:paraId="70D72C0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1CF76EB9">
            <w:pPr>
              <w:pStyle w:val="13"/>
              <w:rPr>
                <w:rFonts w:hint="eastAsia"/>
                <w:highlight w:val="none"/>
              </w:rPr>
            </w:pPr>
            <w:r>
              <w:rPr>
                <w:rFonts w:hint="eastAsia"/>
                <w:highlight w:val="none"/>
              </w:rPr>
              <w:t>1</w:t>
            </w:r>
          </w:p>
        </w:tc>
        <w:tc>
          <w:tcPr>
            <w:tcW w:w="1410" w:type="pct"/>
            <w:vAlign w:val="center"/>
          </w:tcPr>
          <w:p w14:paraId="5B5F7EEE">
            <w:pPr>
              <w:pStyle w:val="13"/>
              <w:rPr>
                <w:rFonts w:hint="eastAsia"/>
                <w:highlight w:val="none"/>
              </w:rPr>
            </w:pPr>
            <w:r>
              <w:rPr>
                <w:rFonts w:hint="eastAsia"/>
                <w:highlight w:val="none"/>
              </w:rPr>
              <w:t>住建委</w:t>
            </w:r>
          </w:p>
        </w:tc>
        <w:tc>
          <w:tcPr>
            <w:tcW w:w="3150" w:type="pct"/>
            <w:vAlign w:val="center"/>
          </w:tcPr>
          <w:p w14:paraId="7995547D">
            <w:pPr>
              <w:pStyle w:val="13"/>
              <w:rPr>
                <w:rFonts w:hint="eastAsia"/>
                <w:highlight w:val="none"/>
              </w:rPr>
            </w:pPr>
            <w:r>
              <w:rPr>
                <w:rFonts w:hint="eastAsia"/>
                <w:highlight w:val="none"/>
              </w:rPr>
              <w:t>工程过程质量检查、标准贯彻</w:t>
            </w:r>
          </w:p>
        </w:tc>
      </w:tr>
      <w:tr w14:paraId="07AAE00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09C1FD9D">
            <w:pPr>
              <w:pStyle w:val="13"/>
              <w:rPr>
                <w:rFonts w:hint="eastAsia"/>
                <w:highlight w:val="none"/>
              </w:rPr>
            </w:pPr>
            <w:r>
              <w:rPr>
                <w:rFonts w:hint="eastAsia"/>
                <w:highlight w:val="none"/>
              </w:rPr>
              <w:t>2</w:t>
            </w:r>
          </w:p>
        </w:tc>
        <w:tc>
          <w:tcPr>
            <w:tcW w:w="1410" w:type="pct"/>
            <w:vAlign w:val="center"/>
          </w:tcPr>
          <w:p w14:paraId="722B327E">
            <w:pPr>
              <w:pStyle w:val="13"/>
              <w:rPr>
                <w:rFonts w:hint="eastAsia"/>
                <w:highlight w:val="none"/>
              </w:rPr>
            </w:pPr>
            <w:r>
              <w:rPr>
                <w:rFonts w:hint="eastAsia"/>
                <w:highlight w:val="none"/>
              </w:rPr>
              <w:t>安监局</w:t>
            </w:r>
          </w:p>
        </w:tc>
        <w:tc>
          <w:tcPr>
            <w:tcW w:w="3150" w:type="pct"/>
            <w:vAlign w:val="center"/>
          </w:tcPr>
          <w:p w14:paraId="7E3D1065">
            <w:pPr>
              <w:pStyle w:val="13"/>
              <w:rPr>
                <w:rFonts w:hint="eastAsia"/>
                <w:highlight w:val="none"/>
              </w:rPr>
            </w:pPr>
            <w:r>
              <w:rPr>
                <w:rFonts w:hint="eastAsia"/>
                <w:highlight w:val="none"/>
              </w:rPr>
              <w:t>工程过程安全检查、事故调查</w:t>
            </w:r>
          </w:p>
        </w:tc>
      </w:tr>
      <w:tr w14:paraId="6EB70DD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4160AD87">
            <w:pPr>
              <w:pStyle w:val="13"/>
              <w:rPr>
                <w:rFonts w:hint="eastAsia"/>
                <w:highlight w:val="none"/>
              </w:rPr>
            </w:pPr>
            <w:r>
              <w:rPr>
                <w:rFonts w:hint="eastAsia"/>
                <w:highlight w:val="none"/>
              </w:rPr>
              <w:t>3</w:t>
            </w:r>
          </w:p>
        </w:tc>
        <w:tc>
          <w:tcPr>
            <w:tcW w:w="1410" w:type="pct"/>
            <w:vAlign w:val="center"/>
          </w:tcPr>
          <w:p w14:paraId="34EDF719">
            <w:pPr>
              <w:pStyle w:val="13"/>
              <w:rPr>
                <w:rFonts w:hint="eastAsia"/>
                <w:highlight w:val="none"/>
              </w:rPr>
            </w:pPr>
            <w:r>
              <w:rPr>
                <w:rFonts w:hint="eastAsia"/>
                <w:highlight w:val="none"/>
              </w:rPr>
              <w:t>安监、质监站</w:t>
            </w:r>
          </w:p>
        </w:tc>
        <w:tc>
          <w:tcPr>
            <w:tcW w:w="3150" w:type="pct"/>
            <w:vAlign w:val="center"/>
          </w:tcPr>
          <w:p w14:paraId="282D58DE">
            <w:pPr>
              <w:pStyle w:val="13"/>
              <w:rPr>
                <w:rFonts w:hint="eastAsia"/>
                <w:highlight w:val="none"/>
              </w:rPr>
            </w:pPr>
            <w:r>
              <w:rPr>
                <w:rFonts w:hint="eastAsia"/>
                <w:highlight w:val="none"/>
              </w:rPr>
              <w:t>工程安全质量检查、竣工验收、备案</w:t>
            </w:r>
          </w:p>
        </w:tc>
      </w:tr>
      <w:tr w14:paraId="680280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7F9BF9F3">
            <w:pPr>
              <w:pStyle w:val="13"/>
              <w:rPr>
                <w:rFonts w:hint="eastAsia"/>
                <w:highlight w:val="none"/>
              </w:rPr>
            </w:pPr>
            <w:r>
              <w:rPr>
                <w:rFonts w:hint="eastAsia"/>
                <w:highlight w:val="none"/>
              </w:rPr>
              <w:t>4</w:t>
            </w:r>
          </w:p>
        </w:tc>
        <w:tc>
          <w:tcPr>
            <w:tcW w:w="1410" w:type="pct"/>
            <w:vAlign w:val="center"/>
          </w:tcPr>
          <w:p w14:paraId="1DD0ECAB">
            <w:pPr>
              <w:pStyle w:val="13"/>
              <w:rPr>
                <w:rFonts w:hint="eastAsia"/>
                <w:highlight w:val="none"/>
              </w:rPr>
            </w:pPr>
            <w:r>
              <w:rPr>
                <w:rFonts w:hint="eastAsia"/>
                <w:highlight w:val="none"/>
              </w:rPr>
              <w:t>城管</w:t>
            </w:r>
          </w:p>
        </w:tc>
        <w:tc>
          <w:tcPr>
            <w:tcW w:w="3150" w:type="pct"/>
            <w:vAlign w:val="center"/>
          </w:tcPr>
          <w:p w14:paraId="73142CAB">
            <w:pPr>
              <w:pStyle w:val="13"/>
              <w:rPr>
                <w:rFonts w:hint="eastAsia"/>
                <w:highlight w:val="none"/>
              </w:rPr>
            </w:pPr>
            <w:r>
              <w:rPr>
                <w:rFonts w:hint="eastAsia"/>
                <w:highlight w:val="none"/>
              </w:rPr>
              <w:t>占道施工</w:t>
            </w:r>
            <w:r>
              <w:rPr>
                <w:highlight w:val="none"/>
              </w:rPr>
              <w:t>、</w:t>
            </w:r>
            <w:r>
              <w:rPr>
                <w:rFonts w:hint="eastAsia"/>
                <w:highlight w:val="none"/>
              </w:rPr>
              <w:t>市政</w:t>
            </w:r>
            <w:r>
              <w:rPr>
                <w:highlight w:val="none"/>
              </w:rPr>
              <w:t>绿化迁移等</w:t>
            </w:r>
          </w:p>
        </w:tc>
      </w:tr>
      <w:tr w14:paraId="56F6C9C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42F83EBB">
            <w:pPr>
              <w:pStyle w:val="13"/>
              <w:rPr>
                <w:rFonts w:hint="eastAsia"/>
                <w:highlight w:val="none"/>
              </w:rPr>
            </w:pPr>
            <w:r>
              <w:rPr>
                <w:rFonts w:hint="eastAsia"/>
                <w:highlight w:val="none"/>
              </w:rPr>
              <w:t>5</w:t>
            </w:r>
          </w:p>
        </w:tc>
        <w:tc>
          <w:tcPr>
            <w:tcW w:w="1410" w:type="pct"/>
            <w:vAlign w:val="center"/>
          </w:tcPr>
          <w:p w14:paraId="488B6001">
            <w:pPr>
              <w:pStyle w:val="13"/>
              <w:rPr>
                <w:rFonts w:hint="eastAsia"/>
                <w:highlight w:val="none"/>
              </w:rPr>
            </w:pPr>
            <w:r>
              <w:rPr>
                <w:rFonts w:hint="eastAsia"/>
                <w:highlight w:val="none"/>
              </w:rPr>
              <w:t>环保</w:t>
            </w:r>
          </w:p>
        </w:tc>
        <w:tc>
          <w:tcPr>
            <w:tcW w:w="3150" w:type="pct"/>
            <w:vAlign w:val="center"/>
          </w:tcPr>
          <w:p w14:paraId="25EED890">
            <w:pPr>
              <w:pStyle w:val="13"/>
              <w:rPr>
                <w:rFonts w:hint="eastAsia"/>
                <w:highlight w:val="none"/>
              </w:rPr>
            </w:pPr>
            <w:r>
              <w:rPr>
                <w:rFonts w:hint="eastAsia"/>
                <w:highlight w:val="none"/>
              </w:rPr>
              <w:t>夜间及重大节日施工噪音等、工地周边及工地内的环保</w:t>
            </w:r>
          </w:p>
        </w:tc>
      </w:tr>
      <w:tr w14:paraId="26C10CB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54A6C8DA">
            <w:pPr>
              <w:pStyle w:val="13"/>
              <w:rPr>
                <w:rFonts w:hint="eastAsia"/>
                <w:highlight w:val="none"/>
              </w:rPr>
            </w:pPr>
            <w:r>
              <w:rPr>
                <w:rFonts w:hint="eastAsia"/>
                <w:highlight w:val="none"/>
              </w:rPr>
              <w:t>6</w:t>
            </w:r>
          </w:p>
        </w:tc>
        <w:tc>
          <w:tcPr>
            <w:tcW w:w="1410" w:type="pct"/>
            <w:vAlign w:val="center"/>
          </w:tcPr>
          <w:p w14:paraId="1D7447F0">
            <w:pPr>
              <w:pStyle w:val="13"/>
              <w:rPr>
                <w:rFonts w:hint="eastAsia"/>
                <w:highlight w:val="none"/>
              </w:rPr>
            </w:pPr>
            <w:r>
              <w:rPr>
                <w:rFonts w:hint="eastAsia"/>
                <w:highlight w:val="none"/>
              </w:rPr>
              <w:t>公安</w:t>
            </w:r>
          </w:p>
        </w:tc>
        <w:tc>
          <w:tcPr>
            <w:tcW w:w="3150" w:type="pct"/>
            <w:vAlign w:val="center"/>
          </w:tcPr>
          <w:p w14:paraId="10F87584">
            <w:pPr>
              <w:pStyle w:val="13"/>
              <w:rPr>
                <w:rFonts w:hint="eastAsia"/>
                <w:highlight w:val="none"/>
              </w:rPr>
            </w:pPr>
            <w:r>
              <w:rPr>
                <w:rFonts w:hint="eastAsia"/>
                <w:highlight w:val="none"/>
              </w:rPr>
              <w:t>施工现场内外、生活区的治安</w:t>
            </w:r>
          </w:p>
        </w:tc>
      </w:tr>
      <w:tr w14:paraId="1C8935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57109D91">
            <w:pPr>
              <w:pStyle w:val="13"/>
              <w:rPr>
                <w:rFonts w:hint="eastAsia"/>
                <w:highlight w:val="none"/>
              </w:rPr>
            </w:pPr>
            <w:r>
              <w:rPr>
                <w:rFonts w:hint="eastAsia"/>
                <w:highlight w:val="none"/>
              </w:rPr>
              <w:t>7</w:t>
            </w:r>
          </w:p>
        </w:tc>
        <w:tc>
          <w:tcPr>
            <w:tcW w:w="1410" w:type="pct"/>
            <w:vAlign w:val="center"/>
          </w:tcPr>
          <w:p w14:paraId="3379B784">
            <w:pPr>
              <w:pStyle w:val="13"/>
              <w:rPr>
                <w:rFonts w:hint="eastAsia"/>
                <w:highlight w:val="none"/>
              </w:rPr>
            </w:pPr>
            <w:r>
              <w:rPr>
                <w:rFonts w:hint="eastAsia"/>
                <w:highlight w:val="none"/>
              </w:rPr>
              <w:t>交通</w:t>
            </w:r>
          </w:p>
        </w:tc>
        <w:tc>
          <w:tcPr>
            <w:tcW w:w="3150" w:type="pct"/>
            <w:vAlign w:val="center"/>
          </w:tcPr>
          <w:p w14:paraId="5F8215BF">
            <w:pPr>
              <w:pStyle w:val="13"/>
              <w:rPr>
                <w:rFonts w:hint="eastAsia"/>
                <w:highlight w:val="none"/>
              </w:rPr>
            </w:pPr>
            <w:r>
              <w:rPr>
                <w:rFonts w:hint="eastAsia"/>
                <w:highlight w:val="none"/>
              </w:rPr>
              <w:t>施工现场临时出入口、道路出入、临时占道审批</w:t>
            </w:r>
          </w:p>
        </w:tc>
      </w:tr>
      <w:tr w14:paraId="5D631FB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56D9258A">
            <w:pPr>
              <w:pStyle w:val="13"/>
              <w:rPr>
                <w:rFonts w:hint="eastAsia"/>
                <w:highlight w:val="none"/>
              </w:rPr>
            </w:pPr>
            <w:r>
              <w:rPr>
                <w:rFonts w:hint="eastAsia"/>
                <w:highlight w:val="none"/>
              </w:rPr>
              <w:t>8</w:t>
            </w:r>
          </w:p>
        </w:tc>
        <w:tc>
          <w:tcPr>
            <w:tcW w:w="1410" w:type="pct"/>
            <w:vAlign w:val="center"/>
          </w:tcPr>
          <w:p w14:paraId="6381F081">
            <w:pPr>
              <w:pStyle w:val="13"/>
              <w:rPr>
                <w:rFonts w:hint="eastAsia"/>
                <w:highlight w:val="none"/>
              </w:rPr>
            </w:pPr>
            <w:r>
              <w:rPr>
                <w:rFonts w:hint="eastAsia"/>
                <w:highlight w:val="none"/>
              </w:rPr>
              <w:t>消防</w:t>
            </w:r>
          </w:p>
        </w:tc>
        <w:tc>
          <w:tcPr>
            <w:tcW w:w="3150" w:type="pct"/>
            <w:vAlign w:val="center"/>
          </w:tcPr>
          <w:p w14:paraId="0AF468BF">
            <w:pPr>
              <w:pStyle w:val="13"/>
              <w:rPr>
                <w:rFonts w:hint="eastAsia"/>
                <w:highlight w:val="none"/>
              </w:rPr>
            </w:pPr>
            <w:r>
              <w:rPr>
                <w:rFonts w:hint="eastAsia"/>
                <w:highlight w:val="none"/>
              </w:rPr>
              <w:t>施工现场内外、生活区防火、临时消防系统审批</w:t>
            </w:r>
          </w:p>
        </w:tc>
      </w:tr>
      <w:tr w14:paraId="6F02D71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3EC5398D">
            <w:pPr>
              <w:pStyle w:val="13"/>
              <w:rPr>
                <w:rFonts w:hint="eastAsia"/>
                <w:highlight w:val="none"/>
              </w:rPr>
            </w:pPr>
            <w:r>
              <w:rPr>
                <w:rFonts w:hint="eastAsia"/>
                <w:highlight w:val="none"/>
              </w:rPr>
              <w:t>9</w:t>
            </w:r>
          </w:p>
        </w:tc>
        <w:tc>
          <w:tcPr>
            <w:tcW w:w="1410" w:type="pct"/>
            <w:vAlign w:val="center"/>
          </w:tcPr>
          <w:p w14:paraId="2F3DB04A">
            <w:pPr>
              <w:pStyle w:val="13"/>
              <w:rPr>
                <w:rFonts w:hint="eastAsia"/>
                <w:highlight w:val="none"/>
              </w:rPr>
            </w:pPr>
            <w:r>
              <w:rPr>
                <w:rFonts w:hint="eastAsia"/>
                <w:highlight w:val="none"/>
              </w:rPr>
              <w:t>劳动局</w:t>
            </w:r>
          </w:p>
        </w:tc>
        <w:tc>
          <w:tcPr>
            <w:tcW w:w="3150" w:type="pct"/>
            <w:vAlign w:val="center"/>
          </w:tcPr>
          <w:p w14:paraId="6CA0C718">
            <w:pPr>
              <w:pStyle w:val="13"/>
              <w:rPr>
                <w:rFonts w:hint="eastAsia"/>
                <w:highlight w:val="none"/>
              </w:rPr>
            </w:pPr>
            <w:r>
              <w:rPr>
                <w:rFonts w:hint="eastAsia"/>
                <w:highlight w:val="none"/>
              </w:rPr>
              <w:t>施工现场所有人员的劳动保障</w:t>
            </w:r>
          </w:p>
        </w:tc>
      </w:tr>
      <w:tr w14:paraId="7FBAE42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5B031C85">
            <w:pPr>
              <w:pStyle w:val="13"/>
              <w:rPr>
                <w:rFonts w:hint="eastAsia"/>
                <w:highlight w:val="none"/>
              </w:rPr>
            </w:pPr>
            <w:r>
              <w:rPr>
                <w:rFonts w:hint="eastAsia"/>
                <w:highlight w:val="none"/>
              </w:rPr>
              <w:t>10</w:t>
            </w:r>
          </w:p>
        </w:tc>
        <w:tc>
          <w:tcPr>
            <w:tcW w:w="1410" w:type="pct"/>
            <w:vAlign w:val="center"/>
          </w:tcPr>
          <w:p w14:paraId="216A01F2">
            <w:pPr>
              <w:pStyle w:val="13"/>
              <w:rPr>
                <w:rFonts w:hint="eastAsia"/>
                <w:highlight w:val="none"/>
              </w:rPr>
            </w:pPr>
            <w:r>
              <w:rPr>
                <w:rFonts w:hint="eastAsia"/>
                <w:highlight w:val="none"/>
              </w:rPr>
              <w:t>工程所在地街道办</w:t>
            </w:r>
          </w:p>
        </w:tc>
        <w:tc>
          <w:tcPr>
            <w:tcW w:w="3150" w:type="pct"/>
            <w:vAlign w:val="center"/>
          </w:tcPr>
          <w:p w14:paraId="7AD95C67">
            <w:pPr>
              <w:pStyle w:val="13"/>
              <w:rPr>
                <w:rFonts w:hint="eastAsia"/>
                <w:highlight w:val="none"/>
              </w:rPr>
            </w:pPr>
            <w:r>
              <w:rPr>
                <w:rFonts w:hint="eastAsia"/>
                <w:highlight w:val="none"/>
              </w:rPr>
              <w:t>施工现场周边关系（扰民、扬尘、夜间施工等）</w:t>
            </w:r>
          </w:p>
        </w:tc>
      </w:tr>
      <w:tr w14:paraId="26D136A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3FCFE5C4">
            <w:pPr>
              <w:pStyle w:val="13"/>
              <w:rPr>
                <w:rFonts w:hint="eastAsia"/>
                <w:highlight w:val="none"/>
              </w:rPr>
            </w:pPr>
            <w:r>
              <w:rPr>
                <w:rFonts w:hint="eastAsia"/>
                <w:highlight w:val="none"/>
              </w:rPr>
              <w:t>11</w:t>
            </w:r>
          </w:p>
        </w:tc>
        <w:tc>
          <w:tcPr>
            <w:tcW w:w="1410" w:type="pct"/>
            <w:vAlign w:val="center"/>
          </w:tcPr>
          <w:p w14:paraId="25AE6732">
            <w:pPr>
              <w:pStyle w:val="13"/>
              <w:rPr>
                <w:rFonts w:hint="eastAsia"/>
                <w:highlight w:val="none"/>
              </w:rPr>
            </w:pPr>
            <w:r>
              <w:rPr>
                <w:rFonts w:hint="eastAsia"/>
                <w:highlight w:val="none"/>
              </w:rPr>
              <w:t>水务</w:t>
            </w:r>
          </w:p>
        </w:tc>
        <w:tc>
          <w:tcPr>
            <w:tcW w:w="3150" w:type="pct"/>
            <w:vAlign w:val="center"/>
          </w:tcPr>
          <w:p w14:paraId="2EB9BE95">
            <w:pPr>
              <w:pStyle w:val="13"/>
              <w:rPr>
                <w:rFonts w:hint="eastAsia"/>
                <w:highlight w:val="none"/>
              </w:rPr>
            </w:pPr>
            <w:r>
              <w:rPr>
                <w:rFonts w:hint="eastAsia"/>
                <w:highlight w:val="none"/>
              </w:rPr>
              <w:t>工程临时用水的申请及计量</w:t>
            </w:r>
          </w:p>
        </w:tc>
      </w:tr>
      <w:tr w14:paraId="26A6CD7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432AFE1C">
            <w:pPr>
              <w:pStyle w:val="13"/>
              <w:rPr>
                <w:rFonts w:hint="eastAsia"/>
                <w:highlight w:val="none"/>
              </w:rPr>
            </w:pPr>
            <w:r>
              <w:rPr>
                <w:rFonts w:hint="eastAsia"/>
                <w:highlight w:val="none"/>
              </w:rPr>
              <w:t>12</w:t>
            </w:r>
          </w:p>
        </w:tc>
        <w:tc>
          <w:tcPr>
            <w:tcW w:w="1410" w:type="pct"/>
            <w:vAlign w:val="center"/>
          </w:tcPr>
          <w:p w14:paraId="636356A8">
            <w:pPr>
              <w:pStyle w:val="13"/>
              <w:rPr>
                <w:rFonts w:hint="eastAsia"/>
                <w:highlight w:val="none"/>
              </w:rPr>
            </w:pPr>
            <w:r>
              <w:rPr>
                <w:rFonts w:hint="eastAsia"/>
                <w:highlight w:val="none"/>
              </w:rPr>
              <w:t>供电局</w:t>
            </w:r>
          </w:p>
        </w:tc>
        <w:tc>
          <w:tcPr>
            <w:tcW w:w="3150" w:type="pct"/>
            <w:vAlign w:val="center"/>
          </w:tcPr>
          <w:p w14:paraId="750046BE">
            <w:pPr>
              <w:pStyle w:val="13"/>
              <w:rPr>
                <w:rFonts w:hint="eastAsia"/>
                <w:highlight w:val="none"/>
              </w:rPr>
            </w:pPr>
            <w:r>
              <w:rPr>
                <w:rFonts w:hint="eastAsia"/>
                <w:highlight w:val="none"/>
              </w:rPr>
              <w:t>工程临时用电的申请及计量</w:t>
            </w:r>
          </w:p>
        </w:tc>
      </w:tr>
      <w:tr w14:paraId="650A545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14:paraId="68249A4E">
            <w:pPr>
              <w:pStyle w:val="13"/>
              <w:rPr>
                <w:rFonts w:hint="eastAsia"/>
                <w:highlight w:val="none"/>
              </w:rPr>
            </w:pPr>
            <w:r>
              <w:rPr>
                <w:rFonts w:hint="eastAsia"/>
                <w:highlight w:val="none"/>
              </w:rPr>
              <w:t>13</w:t>
            </w:r>
          </w:p>
        </w:tc>
        <w:tc>
          <w:tcPr>
            <w:tcW w:w="1410" w:type="pct"/>
            <w:vAlign w:val="center"/>
          </w:tcPr>
          <w:p w14:paraId="5F4080E5">
            <w:pPr>
              <w:pStyle w:val="13"/>
              <w:rPr>
                <w:rFonts w:hint="eastAsia"/>
                <w:highlight w:val="none"/>
              </w:rPr>
            </w:pPr>
            <w:r>
              <w:rPr>
                <w:rFonts w:hint="eastAsia"/>
                <w:highlight w:val="none"/>
              </w:rPr>
              <w:t>城建档案馆</w:t>
            </w:r>
          </w:p>
        </w:tc>
        <w:tc>
          <w:tcPr>
            <w:tcW w:w="3150" w:type="pct"/>
            <w:vAlign w:val="center"/>
          </w:tcPr>
          <w:p w14:paraId="489DB3DF">
            <w:pPr>
              <w:pStyle w:val="13"/>
              <w:rPr>
                <w:rFonts w:hint="eastAsia"/>
                <w:highlight w:val="none"/>
              </w:rPr>
            </w:pPr>
            <w:r>
              <w:rPr>
                <w:rFonts w:hint="eastAsia"/>
                <w:highlight w:val="none"/>
              </w:rPr>
              <w:t>工程竣工资料的移交、备案</w:t>
            </w:r>
          </w:p>
        </w:tc>
      </w:tr>
    </w:tbl>
    <w:p w14:paraId="58518D41">
      <w:pPr>
        <w:pStyle w:val="4"/>
        <w:numPr>
          <w:ilvl w:val="2"/>
          <w:numId w:val="13"/>
        </w:numPr>
        <w:rPr>
          <w:rFonts w:hint="eastAsia"/>
          <w:highlight w:val="none"/>
        </w:rPr>
      </w:pPr>
      <w:r>
        <w:rPr>
          <w:rFonts w:hint="eastAsia"/>
          <w:highlight w:val="none"/>
        </w:rPr>
        <w:t>与</w:t>
      </w:r>
      <w:r>
        <w:rPr>
          <w:highlight w:val="none"/>
        </w:rPr>
        <w:t>政府相关主管部门关系的协调</w:t>
      </w:r>
    </w:p>
    <w:p w14:paraId="4BA4CAAF">
      <w:pPr>
        <w:pStyle w:val="5"/>
        <w:numPr>
          <w:ilvl w:val="3"/>
          <w:numId w:val="13"/>
        </w:numPr>
        <w:rPr>
          <w:rFonts w:hint="eastAsia"/>
          <w:highlight w:val="none"/>
        </w:rPr>
      </w:pPr>
      <w:r>
        <w:rPr>
          <w:rFonts w:hint="eastAsia"/>
          <w:highlight w:val="none"/>
        </w:rPr>
        <w:t>相关政府职能部门包括住建、城管、公安、交通、环卫、市政、燃气、自来水、电力、劳动保护、消防等部门。总承包人要积极与职能部门进行沟通，及时通报工程的各项进展情况，征得其对工程建设的支持和帮助，保证建设期间的水、电、气的正常供应和紧急抢修，减少或避免交通、治安等对工程施工造成的影响，及时办理各种手续。</w:t>
      </w:r>
    </w:p>
    <w:p w14:paraId="0C006DC6">
      <w:pPr>
        <w:pStyle w:val="5"/>
        <w:numPr>
          <w:ilvl w:val="3"/>
          <w:numId w:val="13"/>
        </w:numPr>
        <w:rPr>
          <w:rFonts w:hint="eastAsia"/>
          <w:highlight w:val="none"/>
        </w:rPr>
      </w:pPr>
      <w:r>
        <w:rPr>
          <w:rFonts w:hint="eastAsia"/>
          <w:highlight w:val="none"/>
        </w:rPr>
        <w:t>自觉接受政府的依法监督和指导，随时了解国家和政府的有关方针、政策，掌握近期的市场信息。</w:t>
      </w:r>
    </w:p>
    <w:p w14:paraId="07800260">
      <w:pPr>
        <w:pStyle w:val="5"/>
        <w:numPr>
          <w:ilvl w:val="3"/>
          <w:numId w:val="13"/>
        </w:numPr>
        <w:rPr>
          <w:rFonts w:hint="eastAsia"/>
          <w:highlight w:val="none"/>
        </w:rPr>
      </w:pPr>
      <w:r>
        <w:rPr>
          <w:rFonts w:hint="eastAsia"/>
          <w:highlight w:val="none"/>
        </w:rPr>
        <w:t>主动向工商税务部门依法纳税，主动与公安交通部门取得联系，取得施工占用道路的批准和运输的畅通。</w:t>
      </w:r>
    </w:p>
    <w:p w14:paraId="54E7CE40">
      <w:pPr>
        <w:pStyle w:val="5"/>
        <w:numPr>
          <w:ilvl w:val="3"/>
          <w:numId w:val="13"/>
        </w:numPr>
        <w:rPr>
          <w:rFonts w:hint="eastAsia"/>
          <w:highlight w:val="none"/>
        </w:rPr>
      </w:pPr>
      <w:r>
        <w:rPr>
          <w:rFonts w:hint="eastAsia"/>
          <w:highlight w:val="none"/>
        </w:rPr>
        <w:t>主动与司法部门联系，征得法律的保护和指导。</w:t>
      </w:r>
    </w:p>
    <w:p w14:paraId="5BE061FD">
      <w:pPr>
        <w:pStyle w:val="5"/>
        <w:numPr>
          <w:ilvl w:val="3"/>
          <w:numId w:val="13"/>
        </w:numPr>
        <w:rPr>
          <w:rFonts w:hint="eastAsia"/>
          <w:highlight w:val="none"/>
        </w:rPr>
      </w:pPr>
      <w:r>
        <w:rPr>
          <w:rFonts w:hint="eastAsia"/>
          <w:highlight w:val="none"/>
        </w:rPr>
        <w:t>主动与市容监察部门联系，搞好施工现场周围地区的环境卫生。</w:t>
      </w:r>
    </w:p>
    <w:p w14:paraId="4A1C0099">
      <w:pPr>
        <w:pStyle w:val="5"/>
        <w:numPr>
          <w:ilvl w:val="3"/>
          <w:numId w:val="13"/>
        </w:numPr>
        <w:rPr>
          <w:rFonts w:hint="eastAsia"/>
          <w:highlight w:val="none"/>
        </w:rPr>
      </w:pPr>
      <w:r>
        <w:rPr>
          <w:rFonts w:hint="eastAsia"/>
          <w:highlight w:val="none"/>
        </w:rPr>
        <w:t>主动与建设主管部门联系，征得他们对于工程质量和施工安全的指导与认可。</w:t>
      </w:r>
    </w:p>
    <w:p w14:paraId="2F4FD7AF">
      <w:pPr>
        <w:pStyle w:val="5"/>
        <w:numPr>
          <w:ilvl w:val="3"/>
          <w:numId w:val="13"/>
        </w:numPr>
        <w:rPr>
          <w:rFonts w:hint="eastAsia"/>
          <w:highlight w:val="none"/>
        </w:rPr>
      </w:pPr>
      <w:r>
        <w:rPr>
          <w:rFonts w:hint="eastAsia"/>
          <w:highlight w:val="none"/>
        </w:rPr>
        <w:t>与政府主管部门沟通工序穿插，实现穿插提效。</w:t>
      </w:r>
    </w:p>
    <w:p w14:paraId="25120FD8">
      <w:pPr>
        <w:pStyle w:val="5"/>
        <w:numPr>
          <w:ilvl w:val="3"/>
          <w:numId w:val="13"/>
        </w:numPr>
        <w:rPr>
          <w:rFonts w:hint="eastAsia"/>
          <w:highlight w:val="none"/>
        </w:rPr>
      </w:pPr>
      <w:r>
        <w:rPr>
          <w:rFonts w:hint="eastAsia"/>
          <w:highlight w:val="none"/>
        </w:rPr>
        <w:t>其他外部社会环境及公共关系的协调。</w:t>
      </w:r>
    </w:p>
    <w:p w14:paraId="40F69EF2">
      <w:pPr>
        <w:pStyle w:val="5"/>
        <w:numPr>
          <w:ilvl w:val="3"/>
          <w:numId w:val="13"/>
        </w:numPr>
        <w:rPr>
          <w:rFonts w:hint="eastAsia"/>
          <w:highlight w:val="none"/>
        </w:rPr>
      </w:pPr>
      <w:r>
        <w:rPr>
          <w:rFonts w:hint="eastAsia"/>
          <w:highlight w:val="none"/>
        </w:rPr>
        <w:t>承包人须负责协助配合发包人与有关政府部门及公用事业机构协调和沟通，若发包人认为承包人缺乏配合或配合力度不够导致工程进展不顺利的。发包人有权要求承包人更换项目总指挥和对于的工作人员，直至工作配合满意。由此造成的工程损失和延误由责任承包人全部承担。</w:t>
      </w:r>
    </w:p>
    <w:p w14:paraId="503C7CB6">
      <w:pPr>
        <w:pStyle w:val="5"/>
        <w:numPr>
          <w:ilvl w:val="3"/>
          <w:numId w:val="13"/>
        </w:numPr>
        <w:rPr>
          <w:rFonts w:hint="eastAsia"/>
          <w:highlight w:val="none"/>
        </w:rPr>
      </w:pPr>
      <w:r>
        <w:rPr>
          <w:rFonts w:hint="eastAsia"/>
          <w:highlight w:val="none"/>
        </w:rPr>
        <w:t>承包人提供所需的有关资料，包括图纸、样品、产品说明等向政府部门或公用事业机构申报，若所有须送审的有关资料未能达到有关政府部门的要求而需重新申报的，由此而导致工期延误及所引起的一切费用损失等全部由承包人负责。</w:t>
      </w:r>
    </w:p>
    <w:p w14:paraId="3B8920F1">
      <w:pPr>
        <w:pStyle w:val="5"/>
        <w:numPr>
          <w:ilvl w:val="3"/>
          <w:numId w:val="13"/>
        </w:numPr>
        <w:rPr>
          <w:rFonts w:hint="eastAsia"/>
          <w:highlight w:val="none"/>
        </w:rPr>
      </w:pPr>
      <w:r>
        <w:rPr>
          <w:rFonts w:hint="eastAsia"/>
          <w:highlight w:val="none"/>
        </w:rPr>
        <w:t>如因承包人与有关政府部门及公用事业机构缺乏协调和沟通而导致已完工的工程需更改或拆除，承包人须负全部承担因此造成的费用增加和工期延误责任。</w:t>
      </w:r>
    </w:p>
    <w:p w14:paraId="16C19AB1">
      <w:pPr>
        <w:pStyle w:val="5"/>
        <w:numPr>
          <w:ilvl w:val="3"/>
          <w:numId w:val="13"/>
        </w:numPr>
        <w:rPr>
          <w:rFonts w:hint="eastAsia"/>
          <w:highlight w:val="none"/>
        </w:rPr>
      </w:pPr>
      <w:r>
        <w:rPr>
          <w:rFonts w:hint="eastAsia"/>
          <w:highlight w:val="none"/>
        </w:rPr>
        <w:t>承包人须无条件全面配合发包人进行本项目相关的报建工作（包含但不限于工作沟通、资料递交等）；及发包人向政府有关部门或公用事业机构的汇报工作。</w:t>
      </w:r>
    </w:p>
    <w:p w14:paraId="1C582350">
      <w:pPr>
        <w:pStyle w:val="5"/>
        <w:numPr>
          <w:ilvl w:val="3"/>
          <w:numId w:val="13"/>
        </w:numPr>
        <w:rPr>
          <w:rFonts w:hint="eastAsia"/>
          <w:highlight w:val="none"/>
        </w:rPr>
      </w:pPr>
      <w:r>
        <w:rPr>
          <w:rFonts w:hint="eastAsia"/>
          <w:highlight w:val="none"/>
        </w:rPr>
        <w:t>承包人须全面负责本项目的对外接待工作（包含但不限于政府部门及公用事业机构的现场视察、检查、监督及参观等活动的接待）。</w:t>
      </w:r>
    </w:p>
    <w:p w14:paraId="7C4F7193">
      <w:pPr>
        <w:pStyle w:val="5"/>
        <w:numPr>
          <w:ilvl w:val="3"/>
          <w:numId w:val="13"/>
        </w:numPr>
        <w:rPr>
          <w:rFonts w:hint="eastAsia"/>
          <w:highlight w:val="none"/>
        </w:rPr>
      </w:pPr>
      <w:r>
        <w:rPr>
          <w:rFonts w:hint="eastAsia"/>
          <w:highlight w:val="none"/>
        </w:rPr>
        <w:t>承包人需无条件配合执行政府相关部门下发的相关工程建设政策、文件及其他事项。</w:t>
      </w:r>
    </w:p>
    <w:p w14:paraId="0EC5197A">
      <w:pPr>
        <w:pStyle w:val="4"/>
        <w:numPr>
          <w:ilvl w:val="2"/>
          <w:numId w:val="13"/>
        </w:numPr>
        <w:rPr>
          <w:rFonts w:hint="eastAsia"/>
          <w:highlight w:val="none"/>
        </w:rPr>
      </w:pPr>
      <w:r>
        <w:rPr>
          <w:rFonts w:hint="eastAsia"/>
          <w:highlight w:val="none"/>
        </w:rPr>
        <w:t xml:space="preserve"> 与</w:t>
      </w:r>
      <w:r>
        <w:rPr>
          <w:highlight w:val="none"/>
        </w:rPr>
        <w:t>社会公众及当地社区关系的协调</w:t>
      </w:r>
    </w:p>
    <w:p w14:paraId="3A6F2793">
      <w:pPr>
        <w:pStyle w:val="5"/>
        <w:numPr>
          <w:ilvl w:val="3"/>
          <w:numId w:val="13"/>
        </w:numPr>
        <w:rPr>
          <w:rFonts w:hint="eastAsia"/>
          <w:highlight w:val="none"/>
        </w:rPr>
      </w:pPr>
      <w:r>
        <w:rPr>
          <w:rFonts w:hint="eastAsia"/>
          <w:highlight w:val="none"/>
        </w:rPr>
        <w:t>加强与周边社区、单位的联系沟通，及时向其通报工程情况，宣传工程建设的意义，对给其造成的不便征得谅解，减少或避免相互间的矛盾。对周边社区居民、单位提出的问题，要合理解释和尽量予以满足和解决。</w:t>
      </w:r>
    </w:p>
    <w:p w14:paraId="554E0C77">
      <w:pPr>
        <w:pStyle w:val="5"/>
        <w:numPr>
          <w:ilvl w:val="3"/>
          <w:numId w:val="13"/>
        </w:numPr>
        <w:rPr>
          <w:rFonts w:hint="eastAsia"/>
          <w:highlight w:val="none"/>
        </w:rPr>
      </w:pPr>
      <w:r>
        <w:rPr>
          <w:rFonts w:hint="eastAsia"/>
          <w:highlight w:val="none"/>
        </w:rPr>
        <w:t>对受施工的噪声、强光、灰尘影响的单位和居民采取必要的弥补措施。同时也积极采取预防措施减少这些危害，尽可能地保护周围单位和居民的利益。</w:t>
      </w:r>
    </w:p>
    <w:p w14:paraId="2E4117CF">
      <w:pPr>
        <w:ind w:firstLine="480"/>
        <w:rPr>
          <w:rFonts w:hint="eastAsia"/>
          <w:highlight w:val="none"/>
        </w:rPr>
      </w:pPr>
      <w:bookmarkStart w:id="133" w:name="_Toc26361"/>
      <w:bookmarkStart w:id="134" w:name="_Toc27954"/>
      <w:bookmarkStart w:id="135" w:name="_Toc24775"/>
      <w:bookmarkStart w:id="136" w:name="_Toc4686"/>
      <w:bookmarkStart w:id="137" w:name="_Toc20689"/>
      <w:bookmarkStart w:id="138" w:name="_Toc14447"/>
      <w:r>
        <w:rPr>
          <w:highlight w:val="none"/>
        </w:rPr>
        <w:br w:type="page"/>
      </w:r>
    </w:p>
    <w:p w14:paraId="123B2D3B">
      <w:pPr>
        <w:pStyle w:val="2"/>
        <w:numPr>
          <w:ilvl w:val="0"/>
          <w:numId w:val="13"/>
        </w:numPr>
        <w:spacing w:before="120"/>
        <w:rPr>
          <w:rFonts w:hint="eastAsia"/>
          <w:highlight w:val="none"/>
        </w:rPr>
      </w:pPr>
      <w:bookmarkStart w:id="139" w:name="_Toc18234"/>
      <w:bookmarkStart w:id="140" w:name="_Toc29906"/>
      <w:bookmarkStart w:id="141" w:name="_Toc4117"/>
      <w:bookmarkStart w:id="142" w:name="_Toc5957"/>
      <w:r>
        <w:rPr>
          <w:highlight w:val="none"/>
        </w:rPr>
        <w:t>项目组织架构及工作要求</w:t>
      </w:r>
      <w:bookmarkEnd w:id="108"/>
      <w:bookmarkEnd w:id="133"/>
      <w:bookmarkEnd w:id="134"/>
      <w:bookmarkEnd w:id="135"/>
      <w:bookmarkEnd w:id="136"/>
      <w:bookmarkEnd w:id="137"/>
      <w:bookmarkEnd w:id="138"/>
      <w:bookmarkEnd w:id="139"/>
      <w:bookmarkEnd w:id="140"/>
      <w:bookmarkEnd w:id="141"/>
      <w:bookmarkEnd w:id="142"/>
    </w:p>
    <w:p w14:paraId="0342D96C">
      <w:pPr>
        <w:pStyle w:val="3"/>
        <w:rPr>
          <w:rFonts w:hint="eastAsia"/>
          <w:highlight w:val="none"/>
        </w:rPr>
      </w:pPr>
      <w:r>
        <w:rPr>
          <w:rFonts w:hint="eastAsia"/>
          <w:highlight w:val="none"/>
        </w:rPr>
        <w:t>总承包人应设置项目指挥长一职，项目指挥长由总承包人负责生产的公司副总经理（或以上）级别的人员担任，以保证有效调配、协调公司资源，满足项目在进度、质量、安全文明施工等方面的管理需要。</w:t>
      </w:r>
    </w:p>
    <w:p w14:paraId="369BC56C">
      <w:pPr>
        <w:pStyle w:val="3"/>
        <w:rPr>
          <w:rFonts w:hint="eastAsia"/>
          <w:highlight w:val="none"/>
        </w:rPr>
      </w:pPr>
      <w:r>
        <w:rPr>
          <w:rFonts w:hint="eastAsia"/>
          <w:highlight w:val="none"/>
        </w:rPr>
        <w:t>总承包人应根据发包人对项目组织架构的要求，配备项目管理人员。</w:t>
      </w:r>
    </w:p>
    <w:p w14:paraId="10F19B21">
      <w:pPr>
        <w:pStyle w:val="3"/>
        <w:rPr>
          <w:rFonts w:hint="eastAsia"/>
          <w:highlight w:val="none"/>
        </w:rPr>
      </w:pPr>
      <w:r>
        <w:rPr>
          <w:highlight w:val="none"/>
        </w:rPr>
        <w:t>项目组织架构中的</w:t>
      </w:r>
      <w:r>
        <w:rPr>
          <w:rFonts w:hint="eastAsia"/>
          <w:highlight w:val="none"/>
        </w:rPr>
        <w:t>项目负责人、</w:t>
      </w:r>
      <w:r>
        <w:rPr>
          <w:highlight w:val="none"/>
        </w:rPr>
        <w:t>生产经理</w:t>
      </w:r>
      <w:r>
        <w:rPr>
          <w:rFonts w:hint="eastAsia"/>
          <w:highlight w:val="none"/>
        </w:rPr>
        <w:t>、技术负责人、造价负责人、安全负责人为</w:t>
      </w:r>
      <w:r>
        <w:rPr>
          <w:highlight w:val="none"/>
        </w:rPr>
        <w:t>关键岗位。</w:t>
      </w:r>
    </w:p>
    <w:p w14:paraId="1FD8F1C5">
      <w:pPr>
        <w:pStyle w:val="3"/>
        <w:rPr>
          <w:rFonts w:hint="eastAsia"/>
          <w:highlight w:val="none"/>
        </w:rPr>
      </w:pPr>
      <w:r>
        <w:rPr>
          <w:rFonts w:hint="eastAsia"/>
          <w:highlight w:val="none"/>
        </w:rPr>
        <w:t>施工管理人员配置要求</w:t>
      </w:r>
    </w:p>
    <w:p w14:paraId="60BFCF8E">
      <w:pPr>
        <w:ind w:firstLine="480"/>
        <w:rPr>
          <w:rFonts w:hint="eastAsia"/>
          <w:highlight w:val="none"/>
        </w:rPr>
      </w:pPr>
      <w:r>
        <w:rPr>
          <w:rFonts w:hint="eastAsia"/>
          <w:highlight w:val="none"/>
        </w:rPr>
        <w:t>承包人进场即成立项目管理部负责工程管理工作。其中，施工管理人员配备求见《施工管理主要人员配置要求》。</w:t>
      </w:r>
    </w:p>
    <w:p w14:paraId="398A753F">
      <w:pPr>
        <w:pStyle w:val="13"/>
        <w:rPr>
          <w:rFonts w:hint="eastAsia"/>
          <w:highlight w:val="none"/>
        </w:rPr>
      </w:pPr>
      <w:r>
        <w:rPr>
          <w:highlight w:val="none"/>
        </w:rPr>
        <w:t>施工管理主要人员配置要求</w:t>
      </w:r>
    </w:p>
    <w:tbl>
      <w:tblPr>
        <w:tblStyle w:val="20"/>
        <w:tblW w:w="0" w:type="auto"/>
        <w:tblInd w:w="100" w:type="dxa"/>
        <w:tblLayout w:type="fixed"/>
        <w:tblCellMar>
          <w:top w:w="0" w:type="dxa"/>
          <w:left w:w="108" w:type="dxa"/>
          <w:bottom w:w="0" w:type="dxa"/>
          <w:right w:w="108" w:type="dxa"/>
        </w:tblCellMar>
      </w:tblPr>
      <w:tblGrid>
        <w:gridCol w:w="426"/>
        <w:gridCol w:w="1303"/>
        <w:gridCol w:w="573"/>
        <w:gridCol w:w="5750"/>
        <w:gridCol w:w="1103"/>
      </w:tblGrid>
      <w:tr w14:paraId="599C6E53">
        <w:tblPrEx>
          <w:tblCellMar>
            <w:top w:w="0" w:type="dxa"/>
            <w:left w:w="108" w:type="dxa"/>
            <w:bottom w:w="0" w:type="dxa"/>
            <w:right w:w="108" w:type="dxa"/>
          </w:tblCellMar>
        </w:tblPrEx>
        <w:trPr>
          <w:trHeight w:val="285" w:hRule="atLeast"/>
        </w:trPr>
        <w:tc>
          <w:tcPr>
            <w:tcW w:w="426" w:type="dxa"/>
            <w:tcBorders>
              <w:top w:val="single" w:color="000000" w:sz="8" w:space="0"/>
              <w:left w:val="single" w:color="000000" w:sz="8" w:space="0"/>
              <w:bottom w:val="single" w:color="000000" w:sz="8" w:space="0"/>
              <w:right w:val="single" w:color="000000" w:sz="8" w:space="0"/>
            </w:tcBorders>
            <w:shd w:val="clear" w:color="auto" w:fill="auto"/>
            <w:vAlign w:val="center"/>
          </w:tcPr>
          <w:p w14:paraId="0FC0B2A1">
            <w:pPr>
              <w:pStyle w:val="13"/>
              <w:rPr>
                <w:rFonts w:hint="eastAsia"/>
                <w:highlight w:val="none"/>
              </w:rPr>
            </w:pPr>
            <w:r>
              <w:rPr>
                <w:rFonts w:hint="eastAsia"/>
                <w:highlight w:val="none"/>
              </w:rPr>
              <w:t>序号</w:t>
            </w:r>
          </w:p>
        </w:tc>
        <w:tc>
          <w:tcPr>
            <w:tcW w:w="1303" w:type="dxa"/>
            <w:tcBorders>
              <w:top w:val="single" w:color="000000" w:sz="8" w:space="0"/>
              <w:left w:val="nil"/>
              <w:bottom w:val="single" w:color="000000" w:sz="8" w:space="0"/>
              <w:right w:val="single" w:color="000000" w:sz="8" w:space="0"/>
            </w:tcBorders>
            <w:shd w:val="clear" w:color="auto" w:fill="auto"/>
            <w:vAlign w:val="center"/>
          </w:tcPr>
          <w:p w14:paraId="6E917B90">
            <w:pPr>
              <w:pStyle w:val="13"/>
              <w:rPr>
                <w:rFonts w:hint="eastAsia"/>
                <w:highlight w:val="none"/>
              </w:rPr>
            </w:pPr>
            <w:r>
              <w:rPr>
                <w:rFonts w:hint="eastAsia"/>
                <w:highlight w:val="none"/>
              </w:rPr>
              <w:t>职务</w:t>
            </w:r>
          </w:p>
        </w:tc>
        <w:tc>
          <w:tcPr>
            <w:tcW w:w="573" w:type="dxa"/>
            <w:tcBorders>
              <w:top w:val="single" w:color="000000" w:sz="8" w:space="0"/>
              <w:left w:val="nil"/>
              <w:bottom w:val="single" w:color="000000" w:sz="8" w:space="0"/>
              <w:right w:val="single" w:color="000000" w:sz="8" w:space="0"/>
            </w:tcBorders>
            <w:shd w:val="clear" w:color="auto" w:fill="auto"/>
            <w:vAlign w:val="center"/>
          </w:tcPr>
          <w:p w14:paraId="5E3E428A">
            <w:pPr>
              <w:pStyle w:val="13"/>
              <w:rPr>
                <w:rFonts w:hint="eastAsia"/>
                <w:highlight w:val="none"/>
              </w:rPr>
            </w:pPr>
            <w:r>
              <w:rPr>
                <w:rFonts w:hint="eastAsia"/>
                <w:highlight w:val="none"/>
              </w:rPr>
              <w:t>人数</w:t>
            </w:r>
          </w:p>
        </w:tc>
        <w:tc>
          <w:tcPr>
            <w:tcW w:w="5750" w:type="dxa"/>
            <w:tcBorders>
              <w:top w:val="single" w:color="000000" w:sz="8" w:space="0"/>
              <w:left w:val="nil"/>
              <w:bottom w:val="single" w:color="000000" w:sz="8" w:space="0"/>
              <w:right w:val="single" w:color="000000" w:sz="8" w:space="0"/>
            </w:tcBorders>
            <w:shd w:val="clear" w:color="auto" w:fill="auto"/>
            <w:vAlign w:val="center"/>
          </w:tcPr>
          <w:p w14:paraId="158B9275">
            <w:pPr>
              <w:pStyle w:val="13"/>
              <w:rPr>
                <w:rFonts w:hint="eastAsia"/>
                <w:highlight w:val="none"/>
              </w:rPr>
            </w:pPr>
            <w:r>
              <w:rPr>
                <w:rFonts w:hint="eastAsia"/>
                <w:highlight w:val="none"/>
              </w:rPr>
              <w:t>基本任职条件</w:t>
            </w:r>
          </w:p>
        </w:tc>
        <w:tc>
          <w:tcPr>
            <w:tcW w:w="1103" w:type="dxa"/>
            <w:tcBorders>
              <w:top w:val="single" w:color="000000" w:sz="8" w:space="0"/>
              <w:left w:val="nil"/>
              <w:bottom w:val="single" w:color="000000" w:sz="8" w:space="0"/>
              <w:right w:val="single" w:color="000000" w:sz="8" w:space="0"/>
            </w:tcBorders>
            <w:shd w:val="clear" w:color="auto" w:fill="auto"/>
            <w:vAlign w:val="center"/>
          </w:tcPr>
          <w:p w14:paraId="267E62AE">
            <w:pPr>
              <w:pStyle w:val="13"/>
              <w:rPr>
                <w:rFonts w:hint="eastAsia"/>
                <w:highlight w:val="none"/>
              </w:rPr>
            </w:pPr>
            <w:r>
              <w:rPr>
                <w:rFonts w:hint="eastAsia"/>
                <w:highlight w:val="none"/>
              </w:rPr>
              <w:t>备注</w:t>
            </w:r>
          </w:p>
        </w:tc>
      </w:tr>
      <w:tr w14:paraId="76D8158B">
        <w:tblPrEx>
          <w:tblCellMar>
            <w:top w:w="0" w:type="dxa"/>
            <w:left w:w="108" w:type="dxa"/>
            <w:bottom w:w="0" w:type="dxa"/>
            <w:right w:w="108" w:type="dxa"/>
          </w:tblCellMar>
        </w:tblPrEx>
        <w:trPr>
          <w:trHeight w:val="465"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61413A12">
            <w:pPr>
              <w:pStyle w:val="13"/>
              <w:rPr>
                <w:rFonts w:hint="eastAsia"/>
                <w:highlight w:val="none"/>
              </w:rPr>
            </w:pPr>
            <w:r>
              <w:rPr>
                <w:rFonts w:hint="eastAsia"/>
                <w:highlight w:val="none"/>
              </w:rPr>
              <w:t>1</w:t>
            </w:r>
          </w:p>
        </w:tc>
        <w:tc>
          <w:tcPr>
            <w:tcW w:w="1303" w:type="dxa"/>
            <w:tcBorders>
              <w:top w:val="nil"/>
              <w:left w:val="nil"/>
              <w:bottom w:val="single" w:color="000000" w:sz="8" w:space="0"/>
              <w:right w:val="single" w:color="000000" w:sz="8" w:space="0"/>
            </w:tcBorders>
            <w:shd w:val="clear" w:color="auto" w:fill="auto"/>
            <w:vAlign w:val="center"/>
          </w:tcPr>
          <w:p w14:paraId="1E5DAF2A">
            <w:pPr>
              <w:pStyle w:val="13"/>
              <w:rPr>
                <w:rFonts w:hint="eastAsia"/>
                <w:highlight w:val="none"/>
              </w:rPr>
            </w:pPr>
            <w:r>
              <w:rPr>
                <w:rFonts w:hint="eastAsia"/>
                <w:highlight w:val="none"/>
              </w:rPr>
              <w:t>指挥长</w:t>
            </w:r>
          </w:p>
        </w:tc>
        <w:tc>
          <w:tcPr>
            <w:tcW w:w="573" w:type="dxa"/>
            <w:tcBorders>
              <w:top w:val="nil"/>
              <w:left w:val="nil"/>
              <w:bottom w:val="single" w:color="000000" w:sz="8" w:space="0"/>
              <w:right w:val="single" w:color="000000" w:sz="8" w:space="0"/>
            </w:tcBorders>
            <w:shd w:val="clear" w:color="auto" w:fill="auto"/>
            <w:vAlign w:val="center"/>
          </w:tcPr>
          <w:p w14:paraId="0B15A3F2">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583F2B8B">
            <w:pPr>
              <w:pStyle w:val="13"/>
              <w:rPr>
                <w:rFonts w:hint="eastAsia"/>
                <w:highlight w:val="none"/>
              </w:rPr>
            </w:pPr>
            <w:r>
              <w:rPr>
                <w:rFonts w:hint="eastAsia" w:ascii="宋体" w:hAnsi="宋体" w:eastAsia="宋体" w:cs="宋体"/>
                <w:kern w:val="0"/>
                <w:sz w:val="21"/>
                <w:szCs w:val="20"/>
                <w:highlight w:val="none"/>
                <w:vertAlign w:val="baseline"/>
                <w:lang w:val="en-US" w:eastAsia="zh-CN" w:bidi="ar-SA"/>
              </w:rPr>
              <w:t>具备工程类高级或以上技术职称，具有8年或以上工作经历</w:t>
            </w:r>
            <w:r>
              <w:rPr>
                <w:rFonts w:hint="eastAsia"/>
                <w:highlight w:val="none"/>
              </w:rPr>
              <w:t>。</w:t>
            </w:r>
          </w:p>
        </w:tc>
        <w:tc>
          <w:tcPr>
            <w:tcW w:w="1103" w:type="dxa"/>
            <w:tcBorders>
              <w:top w:val="nil"/>
              <w:left w:val="nil"/>
              <w:bottom w:val="single" w:color="000000" w:sz="8" w:space="0"/>
              <w:right w:val="single" w:color="000000" w:sz="8" w:space="0"/>
            </w:tcBorders>
            <w:shd w:val="clear" w:color="auto" w:fill="auto"/>
            <w:vAlign w:val="center"/>
          </w:tcPr>
          <w:p w14:paraId="0A7648EB">
            <w:pPr>
              <w:pStyle w:val="13"/>
              <w:rPr>
                <w:rFonts w:hint="default" w:eastAsia="宋体"/>
                <w:highlight w:val="none"/>
                <w:lang w:val="en-US" w:eastAsia="zh-CN"/>
              </w:rPr>
            </w:pPr>
            <w:r>
              <w:rPr>
                <w:rFonts w:hint="eastAsia"/>
                <w:highlight w:val="none"/>
                <w:lang w:val="en-US" w:eastAsia="zh-CN"/>
              </w:rPr>
              <w:t>每月</w:t>
            </w:r>
            <w:r>
              <w:rPr>
                <w:rFonts w:hint="eastAsia"/>
                <w:highlight w:val="none"/>
              </w:rPr>
              <w:t>驻场</w:t>
            </w:r>
            <w:r>
              <w:rPr>
                <w:rFonts w:hint="eastAsia"/>
                <w:highlight w:val="none"/>
                <w:lang w:val="en-US" w:eastAsia="zh-CN"/>
              </w:rPr>
              <w:t>不少于1天</w:t>
            </w:r>
          </w:p>
        </w:tc>
      </w:tr>
      <w:tr w14:paraId="45B3B785">
        <w:tblPrEx>
          <w:tblCellMar>
            <w:top w:w="0" w:type="dxa"/>
            <w:left w:w="108" w:type="dxa"/>
            <w:bottom w:w="0" w:type="dxa"/>
            <w:right w:w="108" w:type="dxa"/>
          </w:tblCellMar>
        </w:tblPrEx>
        <w:trPr>
          <w:trHeight w:val="270"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5ABF5BD9">
            <w:pPr>
              <w:pStyle w:val="13"/>
              <w:rPr>
                <w:rFonts w:hint="eastAsia"/>
                <w:highlight w:val="none"/>
              </w:rPr>
            </w:pPr>
            <w:r>
              <w:rPr>
                <w:rFonts w:hint="eastAsia"/>
                <w:highlight w:val="none"/>
              </w:rPr>
              <w:t>2</w:t>
            </w:r>
          </w:p>
        </w:tc>
        <w:tc>
          <w:tcPr>
            <w:tcW w:w="1303" w:type="dxa"/>
            <w:tcBorders>
              <w:top w:val="nil"/>
              <w:left w:val="nil"/>
              <w:bottom w:val="single" w:color="000000" w:sz="8" w:space="0"/>
              <w:right w:val="single" w:color="000000" w:sz="8" w:space="0"/>
            </w:tcBorders>
            <w:shd w:val="clear" w:color="auto" w:fill="auto"/>
            <w:vAlign w:val="center"/>
          </w:tcPr>
          <w:p w14:paraId="7A337277">
            <w:pPr>
              <w:pStyle w:val="13"/>
              <w:rPr>
                <w:rFonts w:hint="default" w:eastAsia="宋体"/>
                <w:highlight w:val="none"/>
                <w:lang w:val="en-US" w:eastAsia="zh-CN"/>
              </w:rPr>
            </w:pPr>
            <w:r>
              <w:rPr>
                <w:rFonts w:hint="eastAsia"/>
                <w:highlight w:val="none"/>
                <w:lang w:val="en-US" w:eastAsia="zh-CN"/>
              </w:rPr>
              <w:t>项目经理</w:t>
            </w:r>
          </w:p>
        </w:tc>
        <w:tc>
          <w:tcPr>
            <w:tcW w:w="573" w:type="dxa"/>
            <w:tcBorders>
              <w:top w:val="nil"/>
              <w:left w:val="nil"/>
              <w:bottom w:val="single" w:color="000000" w:sz="8" w:space="0"/>
              <w:right w:val="single" w:color="000000" w:sz="8" w:space="0"/>
            </w:tcBorders>
            <w:shd w:val="clear" w:color="auto" w:fill="auto"/>
            <w:vAlign w:val="center"/>
          </w:tcPr>
          <w:p w14:paraId="22BB28E2">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011C1E14">
            <w:pPr>
              <w:pStyle w:val="13"/>
              <w:rPr>
                <w:rFonts w:hint="eastAsia"/>
                <w:highlight w:val="none"/>
              </w:rPr>
            </w:pPr>
            <w:r>
              <w:rPr>
                <w:rFonts w:hint="eastAsia"/>
                <w:highlight w:val="none"/>
              </w:rPr>
              <w:t>按招标公告要求</w:t>
            </w:r>
          </w:p>
        </w:tc>
        <w:tc>
          <w:tcPr>
            <w:tcW w:w="1103" w:type="dxa"/>
            <w:tcBorders>
              <w:top w:val="nil"/>
              <w:left w:val="nil"/>
              <w:bottom w:val="single" w:color="000000" w:sz="8" w:space="0"/>
              <w:right w:val="single" w:color="000000" w:sz="8" w:space="0"/>
            </w:tcBorders>
            <w:shd w:val="clear" w:color="auto" w:fill="auto"/>
            <w:vAlign w:val="center"/>
          </w:tcPr>
          <w:p w14:paraId="2EBA8CAE">
            <w:pPr>
              <w:pStyle w:val="13"/>
              <w:rPr>
                <w:rFonts w:hint="eastAsia"/>
                <w:highlight w:val="none"/>
              </w:rPr>
            </w:pPr>
            <w:r>
              <w:rPr>
                <w:rFonts w:hint="eastAsia"/>
                <w:highlight w:val="none"/>
              </w:rPr>
              <w:t>关键岗位</w:t>
            </w:r>
          </w:p>
        </w:tc>
      </w:tr>
      <w:tr w14:paraId="428648D4">
        <w:tblPrEx>
          <w:tblCellMar>
            <w:top w:w="0" w:type="dxa"/>
            <w:left w:w="108" w:type="dxa"/>
            <w:bottom w:w="0" w:type="dxa"/>
            <w:right w:w="108" w:type="dxa"/>
          </w:tblCellMar>
        </w:tblPrEx>
        <w:trPr>
          <w:trHeight w:val="465"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1A943329">
            <w:pPr>
              <w:pStyle w:val="13"/>
              <w:rPr>
                <w:rFonts w:hint="eastAsia"/>
                <w:highlight w:val="none"/>
              </w:rPr>
            </w:pPr>
            <w:r>
              <w:rPr>
                <w:rFonts w:hint="eastAsia"/>
                <w:highlight w:val="none"/>
              </w:rPr>
              <w:t>3</w:t>
            </w:r>
          </w:p>
        </w:tc>
        <w:tc>
          <w:tcPr>
            <w:tcW w:w="1303" w:type="dxa"/>
            <w:tcBorders>
              <w:top w:val="nil"/>
              <w:left w:val="nil"/>
              <w:bottom w:val="single" w:color="000000" w:sz="8" w:space="0"/>
              <w:right w:val="single" w:color="000000" w:sz="8" w:space="0"/>
            </w:tcBorders>
            <w:shd w:val="clear" w:color="auto" w:fill="auto"/>
            <w:vAlign w:val="center"/>
          </w:tcPr>
          <w:p w14:paraId="427B72C7">
            <w:pPr>
              <w:pStyle w:val="13"/>
              <w:rPr>
                <w:rFonts w:hint="eastAsia"/>
                <w:highlight w:val="none"/>
              </w:rPr>
            </w:pPr>
            <w:r>
              <w:rPr>
                <w:rFonts w:hint="eastAsia"/>
                <w:highlight w:val="none"/>
              </w:rPr>
              <w:t>项目生产经理</w:t>
            </w:r>
          </w:p>
        </w:tc>
        <w:tc>
          <w:tcPr>
            <w:tcW w:w="573" w:type="dxa"/>
            <w:tcBorders>
              <w:top w:val="nil"/>
              <w:left w:val="nil"/>
              <w:bottom w:val="single" w:color="000000" w:sz="8" w:space="0"/>
              <w:right w:val="single" w:color="000000" w:sz="8" w:space="0"/>
            </w:tcBorders>
            <w:shd w:val="clear" w:color="auto" w:fill="auto"/>
            <w:vAlign w:val="center"/>
          </w:tcPr>
          <w:p w14:paraId="14EF0FB1">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3239B326">
            <w:pPr>
              <w:pStyle w:val="13"/>
              <w:rPr>
                <w:rFonts w:hint="eastAsia"/>
                <w:highlight w:val="none"/>
              </w:rPr>
            </w:pPr>
            <w:r>
              <w:rPr>
                <w:rFonts w:hint="eastAsia"/>
                <w:highlight w:val="none"/>
              </w:rPr>
              <w:t>具备工程类中级或以上技术职称，具有工作经验8年或以上。</w:t>
            </w:r>
          </w:p>
        </w:tc>
        <w:tc>
          <w:tcPr>
            <w:tcW w:w="1103" w:type="dxa"/>
            <w:tcBorders>
              <w:top w:val="nil"/>
              <w:left w:val="nil"/>
              <w:bottom w:val="single" w:color="000000" w:sz="8" w:space="0"/>
              <w:right w:val="single" w:color="000000" w:sz="8" w:space="0"/>
            </w:tcBorders>
            <w:shd w:val="clear" w:color="auto" w:fill="auto"/>
            <w:vAlign w:val="center"/>
          </w:tcPr>
          <w:p w14:paraId="6A9A74F8">
            <w:pPr>
              <w:pStyle w:val="13"/>
              <w:rPr>
                <w:rFonts w:hint="eastAsia"/>
                <w:highlight w:val="none"/>
              </w:rPr>
            </w:pPr>
            <w:r>
              <w:rPr>
                <w:rFonts w:hint="eastAsia"/>
                <w:highlight w:val="none"/>
              </w:rPr>
              <w:t>关键岗位</w:t>
            </w:r>
          </w:p>
        </w:tc>
      </w:tr>
      <w:tr w14:paraId="6F1FA264">
        <w:tblPrEx>
          <w:tblCellMar>
            <w:top w:w="0" w:type="dxa"/>
            <w:left w:w="108" w:type="dxa"/>
            <w:bottom w:w="0" w:type="dxa"/>
            <w:right w:w="108" w:type="dxa"/>
          </w:tblCellMar>
        </w:tblPrEx>
        <w:trPr>
          <w:trHeight w:val="270"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34A4B4B9">
            <w:pPr>
              <w:pStyle w:val="13"/>
              <w:rPr>
                <w:rFonts w:hint="eastAsia"/>
                <w:highlight w:val="none"/>
              </w:rPr>
            </w:pPr>
            <w:r>
              <w:rPr>
                <w:rFonts w:hint="eastAsia"/>
                <w:highlight w:val="none"/>
              </w:rPr>
              <w:t>4</w:t>
            </w:r>
          </w:p>
        </w:tc>
        <w:tc>
          <w:tcPr>
            <w:tcW w:w="1303" w:type="dxa"/>
            <w:tcBorders>
              <w:top w:val="nil"/>
              <w:left w:val="nil"/>
              <w:bottom w:val="single" w:color="000000" w:sz="8" w:space="0"/>
              <w:right w:val="single" w:color="000000" w:sz="8" w:space="0"/>
            </w:tcBorders>
            <w:shd w:val="clear" w:color="auto" w:fill="auto"/>
            <w:vAlign w:val="center"/>
          </w:tcPr>
          <w:p w14:paraId="2DB5F087">
            <w:pPr>
              <w:pStyle w:val="13"/>
              <w:rPr>
                <w:rFonts w:hint="eastAsia"/>
                <w:highlight w:val="none"/>
              </w:rPr>
            </w:pPr>
            <w:r>
              <w:rPr>
                <w:rFonts w:hint="eastAsia"/>
                <w:highlight w:val="none"/>
              </w:rPr>
              <w:t>技术负责人</w:t>
            </w:r>
          </w:p>
        </w:tc>
        <w:tc>
          <w:tcPr>
            <w:tcW w:w="573" w:type="dxa"/>
            <w:tcBorders>
              <w:top w:val="nil"/>
              <w:left w:val="nil"/>
              <w:bottom w:val="single" w:color="000000" w:sz="8" w:space="0"/>
              <w:right w:val="single" w:color="000000" w:sz="8" w:space="0"/>
            </w:tcBorders>
            <w:shd w:val="clear" w:color="auto" w:fill="auto"/>
            <w:vAlign w:val="center"/>
          </w:tcPr>
          <w:p w14:paraId="37D94449">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251D64CF">
            <w:pPr>
              <w:pStyle w:val="13"/>
              <w:rPr>
                <w:rFonts w:hint="eastAsia"/>
                <w:highlight w:val="none"/>
              </w:rPr>
            </w:pPr>
            <w:r>
              <w:rPr>
                <w:rFonts w:hint="eastAsia"/>
                <w:highlight w:val="none"/>
              </w:rPr>
              <w:t>按招标公告要求</w:t>
            </w:r>
          </w:p>
        </w:tc>
        <w:tc>
          <w:tcPr>
            <w:tcW w:w="1103" w:type="dxa"/>
            <w:tcBorders>
              <w:top w:val="nil"/>
              <w:left w:val="nil"/>
              <w:bottom w:val="single" w:color="000000" w:sz="8" w:space="0"/>
              <w:right w:val="single" w:color="000000" w:sz="8" w:space="0"/>
            </w:tcBorders>
            <w:shd w:val="clear" w:color="auto" w:fill="auto"/>
            <w:vAlign w:val="center"/>
          </w:tcPr>
          <w:p w14:paraId="73B12D31">
            <w:pPr>
              <w:pStyle w:val="13"/>
              <w:rPr>
                <w:rFonts w:hint="eastAsia"/>
                <w:highlight w:val="none"/>
              </w:rPr>
            </w:pPr>
            <w:r>
              <w:rPr>
                <w:rFonts w:hint="eastAsia"/>
                <w:highlight w:val="none"/>
              </w:rPr>
              <w:t>关键岗位</w:t>
            </w:r>
          </w:p>
        </w:tc>
      </w:tr>
      <w:tr w14:paraId="4D139A98">
        <w:tblPrEx>
          <w:tblCellMar>
            <w:top w:w="0" w:type="dxa"/>
            <w:left w:w="108" w:type="dxa"/>
            <w:bottom w:w="0" w:type="dxa"/>
            <w:right w:w="108" w:type="dxa"/>
          </w:tblCellMar>
        </w:tblPrEx>
        <w:trPr>
          <w:trHeight w:val="1140"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2BA5BE41">
            <w:pPr>
              <w:pStyle w:val="13"/>
              <w:rPr>
                <w:rFonts w:hint="eastAsia"/>
                <w:highlight w:val="none"/>
              </w:rPr>
            </w:pPr>
            <w:r>
              <w:rPr>
                <w:rFonts w:hint="eastAsia"/>
                <w:highlight w:val="none"/>
              </w:rPr>
              <w:t>5</w:t>
            </w:r>
          </w:p>
        </w:tc>
        <w:tc>
          <w:tcPr>
            <w:tcW w:w="1303" w:type="dxa"/>
            <w:tcBorders>
              <w:top w:val="nil"/>
              <w:left w:val="nil"/>
              <w:bottom w:val="single" w:color="000000" w:sz="8" w:space="0"/>
              <w:right w:val="single" w:color="000000" w:sz="8" w:space="0"/>
            </w:tcBorders>
            <w:shd w:val="clear" w:color="auto" w:fill="auto"/>
            <w:vAlign w:val="center"/>
          </w:tcPr>
          <w:p w14:paraId="10809B0F">
            <w:pPr>
              <w:pStyle w:val="13"/>
              <w:rPr>
                <w:rFonts w:hint="eastAsia"/>
                <w:highlight w:val="none"/>
              </w:rPr>
            </w:pPr>
            <w:r>
              <w:rPr>
                <w:rFonts w:hint="eastAsia"/>
                <w:highlight w:val="none"/>
              </w:rPr>
              <w:t>安全负责人</w:t>
            </w:r>
          </w:p>
        </w:tc>
        <w:tc>
          <w:tcPr>
            <w:tcW w:w="573" w:type="dxa"/>
            <w:tcBorders>
              <w:top w:val="nil"/>
              <w:left w:val="nil"/>
              <w:bottom w:val="single" w:color="000000" w:sz="8" w:space="0"/>
              <w:right w:val="single" w:color="000000" w:sz="8" w:space="0"/>
            </w:tcBorders>
            <w:shd w:val="clear" w:color="auto" w:fill="auto"/>
            <w:vAlign w:val="center"/>
          </w:tcPr>
          <w:p w14:paraId="30C940F4">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33CD9474">
            <w:pPr>
              <w:pStyle w:val="13"/>
              <w:rPr>
                <w:rFonts w:hint="eastAsia"/>
                <w:highlight w:val="none"/>
              </w:rPr>
            </w:pPr>
            <w:r>
              <w:rPr>
                <w:rFonts w:hint="eastAsia"/>
                <w:highlight w:val="none"/>
              </w:rPr>
              <w:t>具有工程类中级或以上技术职称，具有在有效期内的安全生产考核合格证(A类)或建筑施工企业主要负责人安全生产考核合格证书或安全生产考核合格证(B类)或建筑施工企业项目负责人安全生产考核合格证书或安全生产考核合格证(C类)或建筑施工企业专职安全生产管理人员安全生产考核合格证书(C3)，具有工作经验5年或以上</w:t>
            </w:r>
          </w:p>
        </w:tc>
        <w:tc>
          <w:tcPr>
            <w:tcW w:w="1103" w:type="dxa"/>
            <w:tcBorders>
              <w:top w:val="nil"/>
              <w:left w:val="nil"/>
              <w:bottom w:val="single" w:color="000000" w:sz="8" w:space="0"/>
              <w:right w:val="single" w:color="000000" w:sz="8" w:space="0"/>
            </w:tcBorders>
            <w:shd w:val="clear" w:color="auto" w:fill="auto"/>
            <w:vAlign w:val="center"/>
          </w:tcPr>
          <w:p w14:paraId="70C4E860">
            <w:pPr>
              <w:pStyle w:val="13"/>
              <w:rPr>
                <w:rFonts w:hint="eastAsia"/>
                <w:highlight w:val="none"/>
              </w:rPr>
            </w:pPr>
            <w:r>
              <w:rPr>
                <w:rFonts w:hint="eastAsia"/>
                <w:highlight w:val="none"/>
              </w:rPr>
              <w:t>关键岗位</w:t>
            </w:r>
          </w:p>
        </w:tc>
      </w:tr>
      <w:tr w14:paraId="01B41E21">
        <w:tblPrEx>
          <w:tblCellMar>
            <w:top w:w="0" w:type="dxa"/>
            <w:left w:w="108" w:type="dxa"/>
            <w:bottom w:w="0" w:type="dxa"/>
            <w:right w:w="108" w:type="dxa"/>
          </w:tblCellMar>
        </w:tblPrEx>
        <w:trPr>
          <w:trHeight w:val="465"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041E8C78">
            <w:pPr>
              <w:pStyle w:val="13"/>
              <w:rPr>
                <w:rFonts w:hint="eastAsia"/>
                <w:highlight w:val="none"/>
              </w:rPr>
            </w:pPr>
            <w:r>
              <w:rPr>
                <w:rFonts w:hint="eastAsia"/>
                <w:highlight w:val="none"/>
              </w:rPr>
              <w:t>6</w:t>
            </w:r>
          </w:p>
        </w:tc>
        <w:tc>
          <w:tcPr>
            <w:tcW w:w="1303" w:type="dxa"/>
            <w:tcBorders>
              <w:top w:val="nil"/>
              <w:left w:val="nil"/>
              <w:bottom w:val="single" w:color="000000" w:sz="8" w:space="0"/>
              <w:right w:val="single" w:color="000000" w:sz="8" w:space="0"/>
            </w:tcBorders>
            <w:shd w:val="clear" w:color="auto" w:fill="auto"/>
            <w:vAlign w:val="center"/>
          </w:tcPr>
          <w:p w14:paraId="22FF8381">
            <w:pPr>
              <w:pStyle w:val="13"/>
              <w:rPr>
                <w:rFonts w:hint="eastAsia"/>
                <w:highlight w:val="none"/>
              </w:rPr>
            </w:pPr>
            <w:r>
              <w:rPr>
                <w:rFonts w:hint="eastAsia"/>
                <w:highlight w:val="none"/>
              </w:rPr>
              <w:t>造价负责人</w:t>
            </w:r>
          </w:p>
        </w:tc>
        <w:tc>
          <w:tcPr>
            <w:tcW w:w="573" w:type="dxa"/>
            <w:tcBorders>
              <w:top w:val="nil"/>
              <w:left w:val="nil"/>
              <w:bottom w:val="single" w:color="000000" w:sz="8" w:space="0"/>
              <w:right w:val="single" w:color="000000" w:sz="8" w:space="0"/>
            </w:tcBorders>
            <w:shd w:val="clear" w:color="auto" w:fill="auto"/>
            <w:vAlign w:val="center"/>
          </w:tcPr>
          <w:p w14:paraId="3F64B046">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14CB410D">
            <w:pPr>
              <w:pStyle w:val="13"/>
              <w:rPr>
                <w:rFonts w:hint="eastAsia"/>
                <w:highlight w:val="none"/>
              </w:rPr>
            </w:pPr>
            <w:r>
              <w:rPr>
                <w:rFonts w:hint="eastAsia"/>
                <w:highlight w:val="none"/>
              </w:rPr>
              <w:t>具备一级注册造价工程师执业资格或建筑工程类相关专业(含造价类专业)工程师或以上技术职称，具有工作经验5年或以上</w:t>
            </w:r>
          </w:p>
        </w:tc>
        <w:tc>
          <w:tcPr>
            <w:tcW w:w="1103" w:type="dxa"/>
            <w:tcBorders>
              <w:top w:val="nil"/>
              <w:left w:val="nil"/>
              <w:bottom w:val="single" w:color="000000" w:sz="8" w:space="0"/>
              <w:right w:val="single" w:color="000000" w:sz="8" w:space="0"/>
            </w:tcBorders>
            <w:shd w:val="clear" w:color="auto" w:fill="auto"/>
            <w:vAlign w:val="center"/>
          </w:tcPr>
          <w:p w14:paraId="548B5E79">
            <w:pPr>
              <w:pStyle w:val="13"/>
              <w:rPr>
                <w:rFonts w:hint="eastAsia"/>
                <w:highlight w:val="none"/>
              </w:rPr>
            </w:pPr>
            <w:r>
              <w:rPr>
                <w:rFonts w:hint="eastAsia"/>
                <w:highlight w:val="none"/>
              </w:rPr>
              <w:t>关键岗位</w:t>
            </w:r>
          </w:p>
        </w:tc>
      </w:tr>
      <w:tr w14:paraId="39B3CC20">
        <w:tblPrEx>
          <w:tblCellMar>
            <w:top w:w="0" w:type="dxa"/>
            <w:left w:w="108" w:type="dxa"/>
            <w:bottom w:w="0" w:type="dxa"/>
            <w:right w:w="108" w:type="dxa"/>
          </w:tblCellMar>
        </w:tblPrEx>
        <w:trPr>
          <w:trHeight w:val="465"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75F4871D">
            <w:pPr>
              <w:pStyle w:val="13"/>
              <w:rPr>
                <w:rFonts w:hint="eastAsia"/>
                <w:highlight w:val="none"/>
              </w:rPr>
            </w:pPr>
            <w:r>
              <w:rPr>
                <w:rFonts w:hint="eastAsia"/>
                <w:highlight w:val="none"/>
              </w:rPr>
              <w:t>7</w:t>
            </w:r>
          </w:p>
        </w:tc>
        <w:tc>
          <w:tcPr>
            <w:tcW w:w="1303" w:type="dxa"/>
            <w:tcBorders>
              <w:top w:val="nil"/>
              <w:left w:val="nil"/>
              <w:bottom w:val="single" w:color="000000" w:sz="8" w:space="0"/>
              <w:right w:val="single" w:color="000000" w:sz="8" w:space="0"/>
            </w:tcBorders>
            <w:shd w:val="clear" w:color="auto" w:fill="auto"/>
            <w:vAlign w:val="center"/>
          </w:tcPr>
          <w:p w14:paraId="40F06D68">
            <w:pPr>
              <w:pStyle w:val="13"/>
              <w:rPr>
                <w:rFonts w:hint="eastAsia"/>
                <w:highlight w:val="none"/>
              </w:rPr>
            </w:pPr>
            <w:r>
              <w:rPr>
                <w:rFonts w:hint="eastAsia"/>
                <w:highlight w:val="none"/>
              </w:rPr>
              <w:t>质量负责人</w:t>
            </w:r>
          </w:p>
        </w:tc>
        <w:tc>
          <w:tcPr>
            <w:tcW w:w="573" w:type="dxa"/>
            <w:tcBorders>
              <w:top w:val="nil"/>
              <w:left w:val="nil"/>
              <w:bottom w:val="single" w:color="000000" w:sz="8" w:space="0"/>
              <w:right w:val="single" w:color="000000" w:sz="8" w:space="0"/>
            </w:tcBorders>
            <w:shd w:val="clear" w:color="auto" w:fill="auto"/>
            <w:vAlign w:val="center"/>
          </w:tcPr>
          <w:p w14:paraId="62A201BA">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7C291954">
            <w:pPr>
              <w:pStyle w:val="13"/>
              <w:rPr>
                <w:rFonts w:hint="eastAsia"/>
                <w:highlight w:val="none"/>
              </w:rPr>
            </w:pPr>
            <w:r>
              <w:rPr>
                <w:rFonts w:hint="eastAsia"/>
                <w:highlight w:val="none"/>
              </w:rPr>
              <w:t>工程类相关专业大学专科（或以上）学历，建筑工程相关专业中级或以上技术职称，具有工作经验5年或以上。</w:t>
            </w:r>
          </w:p>
        </w:tc>
        <w:tc>
          <w:tcPr>
            <w:tcW w:w="1103" w:type="dxa"/>
            <w:tcBorders>
              <w:top w:val="nil"/>
              <w:left w:val="nil"/>
              <w:bottom w:val="single" w:color="000000" w:sz="8" w:space="0"/>
              <w:right w:val="single" w:color="000000" w:sz="8" w:space="0"/>
            </w:tcBorders>
            <w:shd w:val="clear" w:color="auto" w:fill="auto"/>
            <w:vAlign w:val="center"/>
          </w:tcPr>
          <w:p w14:paraId="4FBDA6C6">
            <w:pPr>
              <w:pStyle w:val="13"/>
              <w:rPr>
                <w:rFonts w:hint="eastAsia"/>
                <w:highlight w:val="none"/>
              </w:rPr>
            </w:pPr>
          </w:p>
        </w:tc>
      </w:tr>
      <w:tr w14:paraId="618A1699">
        <w:tblPrEx>
          <w:tblCellMar>
            <w:top w:w="0" w:type="dxa"/>
            <w:left w:w="108" w:type="dxa"/>
            <w:bottom w:w="0" w:type="dxa"/>
            <w:right w:w="108" w:type="dxa"/>
          </w:tblCellMar>
        </w:tblPrEx>
        <w:trPr>
          <w:trHeight w:val="465"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41AACB6E">
            <w:pPr>
              <w:pStyle w:val="13"/>
              <w:rPr>
                <w:rFonts w:hint="eastAsia"/>
                <w:highlight w:val="none"/>
              </w:rPr>
            </w:pPr>
            <w:r>
              <w:rPr>
                <w:rFonts w:hint="eastAsia"/>
                <w:highlight w:val="none"/>
              </w:rPr>
              <w:t>8</w:t>
            </w:r>
          </w:p>
        </w:tc>
        <w:tc>
          <w:tcPr>
            <w:tcW w:w="1303" w:type="dxa"/>
            <w:tcBorders>
              <w:top w:val="nil"/>
              <w:left w:val="nil"/>
              <w:bottom w:val="single" w:color="000000" w:sz="8" w:space="0"/>
              <w:right w:val="single" w:color="000000" w:sz="8" w:space="0"/>
            </w:tcBorders>
            <w:shd w:val="clear" w:color="auto" w:fill="auto"/>
            <w:vAlign w:val="center"/>
          </w:tcPr>
          <w:p w14:paraId="504B12B4">
            <w:pPr>
              <w:pStyle w:val="13"/>
              <w:rPr>
                <w:rFonts w:hint="eastAsia"/>
                <w:highlight w:val="none"/>
              </w:rPr>
            </w:pPr>
            <w:r>
              <w:rPr>
                <w:rFonts w:hint="eastAsia"/>
                <w:highlight w:val="none"/>
              </w:rPr>
              <w:t>电气工程师</w:t>
            </w:r>
          </w:p>
        </w:tc>
        <w:tc>
          <w:tcPr>
            <w:tcW w:w="573" w:type="dxa"/>
            <w:tcBorders>
              <w:top w:val="nil"/>
              <w:left w:val="nil"/>
              <w:bottom w:val="single" w:color="000000" w:sz="8" w:space="0"/>
              <w:right w:val="single" w:color="000000" w:sz="8" w:space="0"/>
            </w:tcBorders>
            <w:shd w:val="clear" w:color="auto" w:fill="auto"/>
            <w:vAlign w:val="center"/>
          </w:tcPr>
          <w:p w14:paraId="6B1951C3">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4562A5E4">
            <w:pPr>
              <w:pStyle w:val="13"/>
              <w:rPr>
                <w:rFonts w:hint="eastAsia"/>
                <w:highlight w:val="none"/>
              </w:rPr>
            </w:pPr>
            <w:r>
              <w:rPr>
                <w:rFonts w:hint="eastAsia"/>
                <w:highlight w:val="none"/>
              </w:rPr>
              <w:t>具备工程类相关专业大学专科（或以上）学历，具有工作经验5年或以上。</w:t>
            </w:r>
          </w:p>
        </w:tc>
        <w:tc>
          <w:tcPr>
            <w:tcW w:w="1103" w:type="dxa"/>
            <w:tcBorders>
              <w:top w:val="nil"/>
              <w:left w:val="nil"/>
              <w:bottom w:val="single" w:color="000000" w:sz="8" w:space="0"/>
              <w:right w:val="single" w:color="000000" w:sz="8" w:space="0"/>
            </w:tcBorders>
            <w:shd w:val="clear" w:color="auto" w:fill="auto"/>
            <w:vAlign w:val="center"/>
          </w:tcPr>
          <w:p w14:paraId="74830600">
            <w:pPr>
              <w:pStyle w:val="13"/>
              <w:rPr>
                <w:rFonts w:hint="eastAsia"/>
                <w:highlight w:val="none"/>
              </w:rPr>
            </w:pPr>
          </w:p>
        </w:tc>
      </w:tr>
      <w:tr w14:paraId="76575ABE">
        <w:tblPrEx>
          <w:tblCellMar>
            <w:top w:w="0" w:type="dxa"/>
            <w:left w:w="108" w:type="dxa"/>
            <w:bottom w:w="0" w:type="dxa"/>
            <w:right w:w="108" w:type="dxa"/>
          </w:tblCellMar>
        </w:tblPrEx>
        <w:trPr>
          <w:trHeight w:val="690"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0991DB4E">
            <w:pPr>
              <w:pStyle w:val="13"/>
              <w:rPr>
                <w:rFonts w:hint="eastAsia"/>
                <w:highlight w:val="none"/>
              </w:rPr>
            </w:pPr>
            <w:r>
              <w:rPr>
                <w:rFonts w:hint="eastAsia"/>
                <w:highlight w:val="none"/>
              </w:rPr>
              <w:t>9</w:t>
            </w:r>
          </w:p>
        </w:tc>
        <w:tc>
          <w:tcPr>
            <w:tcW w:w="1303" w:type="dxa"/>
            <w:tcBorders>
              <w:top w:val="nil"/>
              <w:left w:val="nil"/>
              <w:bottom w:val="nil"/>
              <w:right w:val="single" w:color="000000" w:sz="8" w:space="0"/>
            </w:tcBorders>
            <w:shd w:val="clear" w:color="auto" w:fill="auto"/>
            <w:vAlign w:val="center"/>
          </w:tcPr>
          <w:p w14:paraId="3B96EC25">
            <w:pPr>
              <w:pStyle w:val="13"/>
              <w:rPr>
                <w:rFonts w:hint="eastAsia"/>
                <w:highlight w:val="none"/>
              </w:rPr>
            </w:pPr>
            <w:r>
              <w:rPr>
                <w:rFonts w:hint="eastAsia"/>
                <w:highlight w:val="none"/>
              </w:rPr>
              <w:t>机电工程师（通风空调及给排水）</w:t>
            </w:r>
          </w:p>
        </w:tc>
        <w:tc>
          <w:tcPr>
            <w:tcW w:w="573" w:type="dxa"/>
            <w:tcBorders>
              <w:top w:val="nil"/>
              <w:left w:val="nil"/>
              <w:bottom w:val="single" w:color="000000" w:sz="8" w:space="0"/>
              <w:right w:val="single" w:color="000000" w:sz="8" w:space="0"/>
            </w:tcBorders>
            <w:shd w:val="clear" w:color="auto" w:fill="auto"/>
            <w:vAlign w:val="center"/>
          </w:tcPr>
          <w:p w14:paraId="27EE12BF">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7351F1EA">
            <w:pPr>
              <w:pStyle w:val="13"/>
              <w:rPr>
                <w:rFonts w:hint="eastAsia"/>
                <w:highlight w:val="none"/>
              </w:rPr>
            </w:pPr>
            <w:r>
              <w:rPr>
                <w:rFonts w:hint="eastAsia"/>
                <w:highlight w:val="none"/>
              </w:rPr>
              <w:t>具备工程类相关专业大学专科（或以上）学历，具有工作经验5年或以上。</w:t>
            </w:r>
          </w:p>
        </w:tc>
        <w:tc>
          <w:tcPr>
            <w:tcW w:w="1103" w:type="dxa"/>
            <w:tcBorders>
              <w:top w:val="nil"/>
              <w:left w:val="nil"/>
              <w:bottom w:val="single" w:color="000000" w:sz="8" w:space="0"/>
              <w:right w:val="single" w:color="000000" w:sz="8" w:space="0"/>
            </w:tcBorders>
            <w:shd w:val="clear" w:color="auto" w:fill="auto"/>
            <w:vAlign w:val="center"/>
          </w:tcPr>
          <w:p w14:paraId="29BA979E">
            <w:pPr>
              <w:pStyle w:val="13"/>
              <w:rPr>
                <w:rFonts w:hint="eastAsia"/>
                <w:highlight w:val="none"/>
              </w:rPr>
            </w:pPr>
          </w:p>
        </w:tc>
      </w:tr>
      <w:tr w14:paraId="5907AF5D">
        <w:tblPrEx>
          <w:tblCellMar>
            <w:top w:w="0" w:type="dxa"/>
            <w:left w:w="108" w:type="dxa"/>
            <w:bottom w:w="0" w:type="dxa"/>
            <w:right w:w="108" w:type="dxa"/>
          </w:tblCellMar>
        </w:tblPrEx>
        <w:trPr>
          <w:trHeight w:val="465"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10411CC5">
            <w:pPr>
              <w:pStyle w:val="13"/>
              <w:rPr>
                <w:rFonts w:hint="eastAsia"/>
                <w:highlight w:val="none"/>
              </w:rPr>
            </w:pPr>
            <w:r>
              <w:rPr>
                <w:rFonts w:hint="eastAsia"/>
                <w:highlight w:val="none"/>
              </w:rPr>
              <w:t>10</w:t>
            </w:r>
          </w:p>
        </w:tc>
        <w:tc>
          <w:tcPr>
            <w:tcW w:w="1303" w:type="dxa"/>
            <w:tcBorders>
              <w:top w:val="single" w:color="000000" w:sz="8" w:space="0"/>
              <w:left w:val="nil"/>
              <w:bottom w:val="single" w:color="000000" w:sz="8" w:space="0"/>
              <w:right w:val="single" w:color="000000" w:sz="8" w:space="0"/>
            </w:tcBorders>
            <w:shd w:val="clear" w:color="auto" w:fill="auto"/>
            <w:vAlign w:val="center"/>
          </w:tcPr>
          <w:p w14:paraId="2CF95ADA">
            <w:pPr>
              <w:pStyle w:val="13"/>
              <w:rPr>
                <w:rFonts w:hint="eastAsia"/>
                <w:highlight w:val="none"/>
              </w:rPr>
            </w:pPr>
            <w:r>
              <w:rPr>
                <w:rFonts w:hint="eastAsia"/>
                <w:highlight w:val="none"/>
              </w:rPr>
              <w:t>弱电智能化工程师</w:t>
            </w:r>
          </w:p>
        </w:tc>
        <w:tc>
          <w:tcPr>
            <w:tcW w:w="573" w:type="dxa"/>
            <w:tcBorders>
              <w:top w:val="nil"/>
              <w:left w:val="nil"/>
              <w:bottom w:val="single" w:color="000000" w:sz="8" w:space="0"/>
              <w:right w:val="single" w:color="000000" w:sz="8" w:space="0"/>
            </w:tcBorders>
            <w:shd w:val="clear" w:color="auto" w:fill="auto"/>
            <w:vAlign w:val="center"/>
          </w:tcPr>
          <w:p w14:paraId="751F3A41">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4A0AC061">
            <w:pPr>
              <w:pStyle w:val="13"/>
              <w:rPr>
                <w:rFonts w:hint="eastAsia"/>
                <w:highlight w:val="none"/>
              </w:rPr>
            </w:pPr>
            <w:r>
              <w:rPr>
                <w:rFonts w:hint="eastAsia"/>
                <w:highlight w:val="none"/>
              </w:rPr>
              <w:t>具备工程类相关专业大学专科（或以上）学历，具有工作经验5年或以上。</w:t>
            </w:r>
          </w:p>
        </w:tc>
        <w:tc>
          <w:tcPr>
            <w:tcW w:w="1103" w:type="dxa"/>
            <w:tcBorders>
              <w:top w:val="nil"/>
              <w:left w:val="nil"/>
              <w:bottom w:val="single" w:color="000000" w:sz="8" w:space="0"/>
              <w:right w:val="single" w:color="000000" w:sz="8" w:space="0"/>
            </w:tcBorders>
            <w:shd w:val="clear" w:color="auto" w:fill="auto"/>
            <w:vAlign w:val="center"/>
          </w:tcPr>
          <w:p w14:paraId="19833151">
            <w:pPr>
              <w:pStyle w:val="13"/>
              <w:rPr>
                <w:rFonts w:hint="eastAsia"/>
                <w:highlight w:val="none"/>
              </w:rPr>
            </w:pPr>
          </w:p>
        </w:tc>
      </w:tr>
      <w:tr w14:paraId="5D279182">
        <w:tblPrEx>
          <w:tblCellMar>
            <w:top w:w="0" w:type="dxa"/>
            <w:left w:w="108" w:type="dxa"/>
            <w:bottom w:w="0" w:type="dxa"/>
            <w:right w:w="108" w:type="dxa"/>
          </w:tblCellMar>
        </w:tblPrEx>
        <w:trPr>
          <w:trHeight w:val="465"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16DF72CE">
            <w:pPr>
              <w:pStyle w:val="13"/>
              <w:rPr>
                <w:rFonts w:hint="eastAsia"/>
                <w:highlight w:val="none"/>
              </w:rPr>
            </w:pPr>
            <w:r>
              <w:rPr>
                <w:rFonts w:hint="eastAsia"/>
                <w:highlight w:val="none"/>
              </w:rPr>
              <w:t>11</w:t>
            </w:r>
          </w:p>
        </w:tc>
        <w:tc>
          <w:tcPr>
            <w:tcW w:w="1303" w:type="dxa"/>
            <w:tcBorders>
              <w:top w:val="nil"/>
              <w:left w:val="nil"/>
              <w:bottom w:val="single" w:color="000000" w:sz="8" w:space="0"/>
              <w:right w:val="single" w:color="000000" w:sz="8" w:space="0"/>
            </w:tcBorders>
            <w:shd w:val="clear" w:color="auto" w:fill="auto"/>
            <w:vAlign w:val="center"/>
          </w:tcPr>
          <w:p w14:paraId="15441185">
            <w:pPr>
              <w:pStyle w:val="13"/>
              <w:rPr>
                <w:rFonts w:hint="eastAsia"/>
                <w:highlight w:val="none"/>
              </w:rPr>
            </w:pPr>
            <w:r>
              <w:rPr>
                <w:rFonts w:hint="eastAsia"/>
                <w:highlight w:val="none"/>
              </w:rPr>
              <w:t>材料工程师</w:t>
            </w:r>
          </w:p>
        </w:tc>
        <w:tc>
          <w:tcPr>
            <w:tcW w:w="573" w:type="dxa"/>
            <w:tcBorders>
              <w:top w:val="nil"/>
              <w:left w:val="nil"/>
              <w:bottom w:val="single" w:color="000000" w:sz="8" w:space="0"/>
              <w:right w:val="single" w:color="000000" w:sz="8" w:space="0"/>
            </w:tcBorders>
            <w:shd w:val="clear" w:color="auto" w:fill="auto"/>
            <w:vAlign w:val="center"/>
          </w:tcPr>
          <w:p w14:paraId="6F60D622">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7103C6BE">
            <w:pPr>
              <w:pStyle w:val="13"/>
              <w:rPr>
                <w:rFonts w:hint="eastAsia"/>
                <w:highlight w:val="none"/>
              </w:rPr>
            </w:pPr>
            <w:r>
              <w:rPr>
                <w:rFonts w:hint="eastAsia"/>
                <w:highlight w:val="none"/>
              </w:rPr>
              <w:t>具备工程类相关专业大学专科（或以上）学历，具有工作经验5年或以上。</w:t>
            </w:r>
          </w:p>
        </w:tc>
        <w:tc>
          <w:tcPr>
            <w:tcW w:w="1103" w:type="dxa"/>
            <w:tcBorders>
              <w:top w:val="nil"/>
              <w:left w:val="nil"/>
              <w:bottom w:val="single" w:color="000000" w:sz="8" w:space="0"/>
              <w:right w:val="single" w:color="000000" w:sz="8" w:space="0"/>
            </w:tcBorders>
            <w:shd w:val="clear" w:color="auto" w:fill="auto"/>
            <w:vAlign w:val="center"/>
          </w:tcPr>
          <w:p w14:paraId="38EC528C">
            <w:pPr>
              <w:pStyle w:val="13"/>
              <w:rPr>
                <w:rFonts w:hint="eastAsia"/>
                <w:highlight w:val="none"/>
              </w:rPr>
            </w:pPr>
          </w:p>
        </w:tc>
      </w:tr>
      <w:tr w14:paraId="6E5DDC8A">
        <w:tblPrEx>
          <w:tblCellMar>
            <w:top w:w="0" w:type="dxa"/>
            <w:left w:w="108" w:type="dxa"/>
            <w:bottom w:w="0" w:type="dxa"/>
            <w:right w:w="108" w:type="dxa"/>
          </w:tblCellMar>
        </w:tblPrEx>
        <w:trPr>
          <w:trHeight w:val="270" w:hRule="atLeast"/>
        </w:trPr>
        <w:tc>
          <w:tcPr>
            <w:tcW w:w="426" w:type="dxa"/>
            <w:tcBorders>
              <w:top w:val="nil"/>
              <w:left w:val="single" w:color="000000" w:sz="8" w:space="0"/>
              <w:bottom w:val="single" w:color="000000" w:sz="8" w:space="0"/>
              <w:right w:val="single" w:color="000000" w:sz="8" w:space="0"/>
            </w:tcBorders>
            <w:shd w:val="clear" w:color="auto" w:fill="auto"/>
            <w:vAlign w:val="center"/>
          </w:tcPr>
          <w:p w14:paraId="52062176">
            <w:pPr>
              <w:pStyle w:val="13"/>
              <w:rPr>
                <w:rFonts w:hint="eastAsia"/>
                <w:highlight w:val="none"/>
              </w:rPr>
            </w:pPr>
            <w:r>
              <w:rPr>
                <w:rFonts w:hint="eastAsia"/>
                <w:highlight w:val="none"/>
              </w:rPr>
              <w:t>12</w:t>
            </w:r>
          </w:p>
        </w:tc>
        <w:tc>
          <w:tcPr>
            <w:tcW w:w="1303" w:type="dxa"/>
            <w:tcBorders>
              <w:top w:val="nil"/>
              <w:left w:val="nil"/>
              <w:bottom w:val="single" w:color="000000" w:sz="8" w:space="0"/>
              <w:right w:val="single" w:color="000000" w:sz="8" w:space="0"/>
            </w:tcBorders>
            <w:shd w:val="clear" w:color="auto" w:fill="auto"/>
            <w:vAlign w:val="center"/>
          </w:tcPr>
          <w:p w14:paraId="503E81A9">
            <w:pPr>
              <w:pStyle w:val="13"/>
              <w:rPr>
                <w:rFonts w:hint="eastAsia"/>
                <w:highlight w:val="none"/>
              </w:rPr>
            </w:pPr>
            <w:r>
              <w:rPr>
                <w:rFonts w:hint="eastAsia"/>
                <w:highlight w:val="none"/>
              </w:rPr>
              <w:t>精装工程师</w:t>
            </w:r>
          </w:p>
        </w:tc>
        <w:tc>
          <w:tcPr>
            <w:tcW w:w="573" w:type="dxa"/>
            <w:tcBorders>
              <w:top w:val="nil"/>
              <w:left w:val="nil"/>
              <w:bottom w:val="single" w:color="000000" w:sz="8" w:space="0"/>
              <w:right w:val="single" w:color="000000" w:sz="8" w:space="0"/>
            </w:tcBorders>
            <w:shd w:val="clear" w:color="auto" w:fill="auto"/>
            <w:vAlign w:val="center"/>
          </w:tcPr>
          <w:p w14:paraId="0901096A">
            <w:pPr>
              <w:pStyle w:val="13"/>
              <w:rPr>
                <w:rFonts w:hint="eastAsia"/>
                <w:highlight w:val="none"/>
              </w:rPr>
            </w:pPr>
            <w:r>
              <w:rPr>
                <w:rFonts w:hint="eastAsia"/>
                <w:highlight w:val="none"/>
              </w:rPr>
              <w:t>1</w:t>
            </w:r>
          </w:p>
        </w:tc>
        <w:tc>
          <w:tcPr>
            <w:tcW w:w="5750" w:type="dxa"/>
            <w:tcBorders>
              <w:top w:val="nil"/>
              <w:left w:val="nil"/>
              <w:bottom w:val="single" w:color="000000" w:sz="8" w:space="0"/>
              <w:right w:val="single" w:color="000000" w:sz="8" w:space="0"/>
            </w:tcBorders>
            <w:shd w:val="clear" w:color="auto" w:fill="auto"/>
            <w:vAlign w:val="center"/>
          </w:tcPr>
          <w:p w14:paraId="07D2D2E5">
            <w:pPr>
              <w:pStyle w:val="13"/>
              <w:rPr>
                <w:rFonts w:hint="eastAsia"/>
                <w:highlight w:val="none"/>
              </w:rPr>
            </w:pPr>
            <w:r>
              <w:rPr>
                <w:rFonts w:hint="eastAsia"/>
                <w:highlight w:val="none"/>
              </w:rPr>
              <w:t>具有质量员岗位证书或培训证。具有工作经验5年或以上。</w:t>
            </w:r>
          </w:p>
        </w:tc>
        <w:tc>
          <w:tcPr>
            <w:tcW w:w="1103" w:type="dxa"/>
            <w:tcBorders>
              <w:top w:val="nil"/>
              <w:left w:val="nil"/>
              <w:bottom w:val="single" w:color="000000" w:sz="8" w:space="0"/>
              <w:right w:val="single" w:color="000000" w:sz="8" w:space="0"/>
            </w:tcBorders>
            <w:shd w:val="clear" w:color="auto" w:fill="auto"/>
            <w:vAlign w:val="center"/>
          </w:tcPr>
          <w:p w14:paraId="3DF15530">
            <w:pPr>
              <w:pStyle w:val="13"/>
              <w:rPr>
                <w:rFonts w:hint="eastAsia"/>
                <w:highlight w:val="none"/>
              </w:rPr>
            </w:pPr>
          </w:p>
        </w:tc>
      </w:tr>
      <w:tr w14:paraId="20D62ABF">
        <w:tblPrEx>
          <w:tblCellMar>
            <w:top w:w="0" w:type="dxa"/>
            <w:left w:w="108" w:type="dxa"/>
            <w:bottom w:w="0" w:type="dxa"/>
            <w:right w:w="108" w:type="dxa"/>
          </w:tblCellMar>
        </w:tblPrEx>
        <w:trPr>
          <w:trHeight w:val="272" w:hRule="atLeast"/>
        </w:trPr>
        <w:tc>
          <w:tcPr>
            <w:tcW w:w="426" w:type="dxa"/>
            <w:vMerge w:val="restart"/>
            <w:tcBorders>
              <w:top w:val="nil"/>
              <w:left w:val="single" w:color="000000" w:sz="8" w:space="0"/>
              <w:bottom w:val="single" w:color="000000" w:sz="8" w:space="0"/>
              <w:right w:val="single" w:color="000000" w:sz="8" w:space="0"/>
            </w:tcBorders>
            <w:shd w:val="clear" w:color="auto" w:fill="auto"/>
            <w:vAlign w:val="center"/>
          </w:tcPr>
          <w:p w14:paraId="21E28CA0">
            <w:pPr>
              <w:pStyle w:val="13"/>
              <w:rPr>
                <w:rFonts w:hint="eastAsia"/>
                <w:highlight w:val="none"/>
              </w:rPr>
            </w:pPr>
          </w:p>
        </w:tc>
        <w:tc>
          <w:tcPr>
            <w:tcW w:w="1303" w:type="dxa"/>
            <w:vMerge w:val="restart"/>
            <w:tcBorders>
              <w:top w:val="nil"/>
              <w:left w:val="nil"/>
              <w:bottom w:val="single" w:color="000000" w:sz="8" w:space="0"/>
              <w:right w:val="single" w:color="000000" w:sz="8" w:space="0"/>
            </w:tcBorders>
            <w:shd w:val="clear" w:color="auto" w:fill="auto"/>
            <w:vAlign w:val="center"/>
          </w:tcPr>
          <w:p w14:paraId="0B399E96">
            <w:pPr>
              <w:pStyle w:val="13"/>
              <w:rPr>
                <w:rFonts w:hint="eastAsia"/>
                <w:highlight w:val="none"/>
              </w:rPr>
            </w:pPr>
            <w:r>
              <w:rPr>
                <w:rFonts w:hint="eastAsia"/>
                <w:highlight w:val="none"/>
              </w:rPr>
              <w:t>小计</w:t>
            </w:r>
          </w:p>
        </w:tc>
        <w:tc>
          <w:tcPr>
            <w:tcW w:w="573" w:type="dxa"/>
            <w:vMerge w:val="restart"/>
            <w:tcBorders>
              <w:top w:val="nil"/>
              <w:left w:val="nil"/>
              <w:bottom w:val="single" w:color="000000" w:sz="8" w:space="0"/>
              <w:right w:val="single" w:color="000000" w:sz="8" w:space="0"/>
            </w:tcBorders>
            <w:shd w:val="clear" w:color="auto" w:fill="auto"/>
            <w:vAlign w:val="center"/>
          </w:tcPr>
          <w:p w14:paraId="3C858668">
            <w:pPr>
              <w:pStyle w:val="13"/>
              <w:rPr>
                <w:rFonts w:hint="eastAsia"/>
                <w:highlight w:val="none"/>
              </w:rPr>
            </w:pPr>
            <w:r>
              <w:rPr>
                <w:rFonts w:hint="eastAsia"/>
                <w:highlight w:val="none"/>
              </w:rPr>
              <w:t>12</w:t>
            </w:r>
          </w:p>
        </w:tc>
        <w:tc>
          <w:tcPr>
            <w:tcW w:w="5750" w:type="dxa"/>
            <w:vMerge w:val="restart"/>
            <w:tcBorders>
              <w:top w:val="nil"/>
              <w:left w:val="nil"/>
              <w:bottom w:val="single" w:color="000000" w:sz="8" w:space="0"/>
              <w:right w:val="single" w:color="000000" w:sz="8" w:space="0"/>
            </w:tcBorders>
            <w:shd w:val="clear" w:color="auto" w:fill="auto"/>
            <w:vAlign w:val="center"/>
          </w:tcPr>
          <w:p w14:paraId="69821A2C">
            <w:pPr>
              <w:pStyle w:val="13"/>
              <w:rPr>
                <w:rFonts w:hint="eastAsia"/>
                <w:highlight w:val="none"/>
              </w:rPr>
            </w:pPr>
          </w:p>
        </w:tc>
        <w:tc>
          <w:tcPr>
            <w:tcW w:w="1103" w:type="dxa"/>
            <w:vMerge w:val="restart"/>
            <w:tcBorders>
              <w:top w:val="nil"/>
              <w:left w:val="nil"/>
              <w:bottom w:val="single" w:color="000000" w:sz="8" w:space="0"/>
              <w:right w:val="single" w:color="000000" w:sz="8" w:space="0"/>
            </w:tcBorders>
            <w:shd w:val="clear" w:color="auto" w:fill="auto"/>
            <w:noWrap/>
            <w:vAlign w:val="center"/>
          </w:tcPr>
          <w:p w14:paraId="3F32F462">
            <w:pPr>
              <w:pStyle w:val="13"/>
              <w:rPr>
                <w:rFonts w:hint="eastAsia"/>
                <w:highlight w:val="none"/>
              </w:rPr>
            </w:pPr>
          </w:p>
        </w:tc>
      </w:tr>
      <w:tr w14:paraId="3E7342B8">
        <w:tblPrEx>
          <w:tblCellMar>
            <w:top w:w="0" w:type="dxa"/>
            <w:left w:w="108" w:type="dxa"/>
            <w:bottom w:w="0" w:type="dxa"/>
            <w:right w:w="108" w:type="dxa"/>
          </w:tblCellMar>
        </w:tblPrEx>
        <w:trPr>
          <w:trHeight w:val="272" w:hRule="atLeast"/>
        </w:trPr>
        <w:tc>
          <w:tcPr>
            <w:tcW w:w="426" w:type="dxa"/>
            <w:vMerge w:val="continue"/>
            <w:tcBorders>
              <w:top w:val="nil"/>
              <w:left w:val="single" w:color="000000" w:sz="8" w:space="0"/>
              <w:bottom w:val="single" w:color="000000" w:sz="8" w:space="0"/>
              <w:right w:val="single" w:color="000000" w:sz="8" w:space="0"/>
            </w:tcBorders>
            <w:shd w:val="clear" w:color="auto" w:fill="auto"/>
            <w:vAlign w:val="center"/>
          </w:tcPr>
          <w:p w14:paraId="53329E61">
            <w:pPr>
              <w:pStyle w:val="13"/>
              <w:rPr>
                <w:rFonts w:hint="eastAsia"/>
                <w:highlight w:val="none"/>
              </w:rPr>
            </w:pPr>
          </w:p>
        </w:tc>
        <w:tc>
          <w:tcPr>
            <w:tcW w:w="1303" w:type="dxa"/>
            <w:vMerge w:val="continue"/>
            <w:tcBorders>
              <w:top w:val="nil"/>
              <w:left w:val="nil"/>
              <w:bottom w:val="single" w:color="000000" w:sz="8" w:space="0"/>
              <w:right w:val="single" w:color="000000" w:sz="8" w:space="0"/>
            </w:tcBorders>
            <w:shd w:val="clear" w:color="auto" w:fill="auto"/>
            <w:vAlign w:val="center"/>
          </w:tcPr>
          <w:p w14:paraId="57F2C388">
            <w:pPr>
              <w:pStyle w:val="13"/>
              <w:rPr>
                <w:rFonts w:hint="eastAsia"/>
                <w:highlight w:val="none"/>
              </w:rPr>
            </w:pPr>
          </w:p>
        </w:tc>
        <w:tc>
          <w:tcPr>
            <w:tcW w:w="573" w:type="dxa"/>
            <w:vMerge w:val="continue"/>
            <w:tcBorders>
              <w:top w:val="nil"/>
              <w:left w:val="nil"/>
              <w:bottom w:val="single" w:color="000000" w:sz="8" w:space="0"/>
              <w:right w:val="single" w:color="000000" w:sz="8" w:space="0"/>
            </w:tcBorders>
            <w:shd w:val="clear" w:color="auto" w:fill="auto"/>
            <w:vAlign w:val="center"/>
          </w:tcPr>
          <w:p w14:paraId="17441F83">
            <w:pPr>
              <w:pStyle w:val="13"/>
              <w:rPr>
                <w:rFonts w:hint="eastAsia"/>
                <w:highlight w:val="none"/>
              </w:rPr>
            </w:pPr>
          </w:p>
        </w:tc>
        <w:tc>
          <w:tcPr>
            <w:tcW w:w="5750" w:type="dxa"/>
            <w:vMerge w:val="continue"/>
            <w:tcBorders>
              <w:top w:val="nil"/>
              <w:left w:val="nil"/>
              <w:bottom w:val="single" w:color="000000" w:sz="8" w:space="0"/>
              <w:right w:val="single" w:color="000000" w:sz="8" w:space="0"/>
            </w:tcBorders>
            <w:shd w:val="clear" w:color="auto" w:fill="auto"/>
            <w:vAlign w:val="center"/>
          </w:tcPr>
          <w:p w14:paraId="2B7995AB">
            <w:pPr>
              <w:pStyle w:val="13"/>
              <w:rPr>
                <w:rFonts w:hint="eastAsia"/>
                <w:highlight w:val="none"/>
              </w:rPr>
            </w:pPr>
          </w:p>
        </w:tc>
        <w:tc>
          <w:tcPr>
            <w:tcW w:w="1103" w:type="dxa"/>
            <w:vMerge w:val="continue"/>
            <w:tcBorders>
              <w:top w:val="nil"/>
              <w:left w:val="nil"/>
              <w:bottom w:val="single" w:color="000000" w:sz="8" w:space="0"/>
              <w:right w:val="single" w:color="000000" w:sz="8" w:space="0"/>
            </w:tcBorders>
            <w:shd w:val="clear" w:color="auto" w:fill="auto"/>
            <w:noWrap/>
            <w:vAlign w:val="center"/>
          </w:tcPr>
          <w:p w14:paraId="726F99FC">
            <w:pPr>
              <w:pStyle w:val="13"/>
              <w:rPr>
                <w:rFonts w:hint="eastAsia"/>
                <w:highlight w:val="none"/>
              </w:rPr>
            </w:pPr>
          </w:p>
        </w:tc>
      </w:tr>
    </w:tbl>
    <w:p w14:paraId="66D37584">
      <w:pPr>
        <w:pStyle w:val="13"/>
        <w:rPr>
          <w:rFonts w:hint="eastAsia"/>
          <w:highlight w:val="none"/>
        </w:rPr>
      </w:pPr>
    </w:p>
    <w:p w14:paraId="59503FA3">
      <w:pPr>
        <w:ind w:firstLine="360"/>
        <w:rPr>
          <w:rFonts w:hint="eastAsia"/>
          <w:highlight w:val="none"/>
        </w:rPr>
      </w:pPr>
      <w:r>
        <w:rPr>
          <w:sz w:val="18"/>
          <w:szCs w:val="18"/>
          <w:highlight w:val="none"/>
        </w:rPr>
        <w:t xml:space="preserve">  </w:t>
      </w:r>
      <w:r>
        <w:rPr>
          <w:rFonts w:hint="eastAsia"/>
          <w:sz w:val="18"/>
          <w:szCs w:val="18"/>
          <w:highlight w:val="none"/>
        </w:rPr>
        <w:t>注：</w:t>
      </w:r>
    </w:p>
    <w:p w14:paraId="76A645A0">
      <w:pPr>
        <w:ind w:firstLine="480"/>
        <w:rPr>
          <w:rFonts w:hint="eastAsia"/>
          <w:highlight w:val="none"/>
        </w:rPr>
      </w:pPr>
      <w:r>
        <w:rPr>
          <w:rFonts w:hint="eastAsia"/>
          <w:highlight w:val="none"/>
        </w:rPr>
        <w:t>（1）人员工作经验时间从毕业时间起计。</w:t>
      </w:r>
    </w:p>
    <w:p w14:paraId="63C9FD2A">
      <w:pPr>
        <w:ind w:firstLine="480"/>
        <w:rPr>
          <w:rFonts w:hint="eastAsia"/>
          <w:highlight w:val="none"/>
        </w:rPr>
      </w:pPr>
      <w:r>
        <w:rPr>
          <w:rFonts w:hint="eastAsia"/>
          <w:highlight w:val="none"/>
        </w:rPr>
        <w:t>（2）一级注册造价工程师是指根据住房城乡建设部、交通运输部、水利部、人力资源社会保障部发布的《造价工程师职业资格制度规定》、《造价工程师职业资格考试实施办法》（建人［2018］67 号）取得的一级造价工程师职业资格，并经注册且在有效期内。按照《造价工程师职业资格制度规定》的规定，根据原人事部、原建设部发布的《造价工程师执业资格制度暂行规定》（人发[1996]77号)取得的造价工程师执业资格，并经注册且在有效期内的，等同于一级注册造价工程师。</w:t>
      </w:r>
    </w:p>
    <w:p w14:paraId="57021FC7">
      <w:pPr>
        <w:ind w:firstLine="480"/>
        <w:rPr>
          <w:rFonts w:hint="eastAsia"/>
          <w:highlight w:val="none"/>
        </w:rPr>
      </w:pPr>
      <w:r>
        <w:rPr>
          <w:rFonts w:hint="eastAsia"/>
          <w:highlight w:val="none"/>
        </w:rPr>
        <w:t>（3）上表人员均要求为投标单位正式职工，即指在投标单位已购买发布招标公告前一个月或以上社保的在职人员，须同时提供社保证明。除特别约定外，各岗位人员不得相互兼职。</w:t>
      </w:r>
    </w:p>
    <w:p w14:paraId="078A083D">
      <w:pPr>
        <w:ind w:firstLine="480"/>
        <w:rPr>
          <w:rFonts w:hint="eastAsia"/>
          <w:highlight w:val="none"/>
        </w:rPr>
      </w:pPr>
      <w:r>
        <w:rPr>
          <w:rFonts w:hint="eastAsia"/>
          <w:highlight w:val="none"/>
        </w:rPr>
        <w:t>（4）经发包人或监理人考核，承包人投入本项目的人员不能满足项目工程建设要求的，承包人必须无条件按照发包人的要求更换或者增加人员，直至满足本工程建设要求为止，而且，不能满足本工程建设要求的人员按照缺勤处理。</w:t>
      </w:r>
    </w:p>
    <w:p w14:paraId="556AB1B3">
      <w:pPr>
        <w:pStyle w:val="2"/>
        <w:numPr>
          <w:ilvl w:val="0"/>
          <w:numId w:val="13"/>
        </w:numPr>
        <w:spacing w:before="120"/>
        <w:rPr>
          <w:rFonts w:hint="eastAsia"/>
          <w:highlight w:val="none"/>
        </w:rPr>
      </w:pPr>
      <w:bookmarkStart w:id="143" w:name="_Toc20751"/>
      <w:bookmarkStart w:id="144" w:name="_Toc3566"/>
      <w:bookmarkStart w:id="145" w:name="_Toc10341"/>
      <w:bookmarkStart w:id="146" w:name="_Toc11055"/>
      <w:bookmarkStart w:id="147" w:name="_Toc11953"/>
      <w:bookmarkStart w:id="148" w:name="_Toc28296"/>
      <w:bookmarkStart w:id="149" w:name="_Toc14210"/>
      <w:bookmarkStart w:id="150" w:name="_Toc31769"/>
      <w:bookmarkStart w:id="151" w:name="_Toc169722210"/>
      <w:bookmarkStart w:id="152" w:name="_Toc22301"/>
      <w:bookmarkStart w:id="153" w:name="_Toc5611"/>
      <w:r>
        <w:rPr>
          <w:rFonts w:hint="eastAsia"/>
          <w:highlight w:val="none"/>
        </w:rPr>
        <w:t>施工</w:t>
      </w:r>
      <w:r>
        <w:rPr>
          <w:highlight w:val="none"/>
        </w:rPr>
        <w:t>管理要求</w:t>
      </w:r>
      <w:bookmarkEnd w:id="143"/>
      <w:bookmarkEnd w:id="144"/>
      <w:bookmarkEnd w:id="145"/>
      <w:bookmarkEnd w:id="146"/>
      <w:bookmarkEnd w:id="147"/>
      <w:bookmarkEnd w:id="148"/>
      <w:bookmarkEnd w:id="149"/>
      <w:bookmarkEnd w:id="150"/>
      <w:bookmarkEnd w:id="151"/>
      <w:bookmarkEnd w:id="152"/>
      <w:bookmarkEnd w:id="153"/>
    </w:p>
    <w:p w14:paraId="792FF9F0">
      <w:pPr>
        <w:pStyle w:val="3"/>
        <w:rPr>
          <w:rFonts w:hint="eastAsia"/>
          <w:highlight w:val="none"/>
        </w:rPr>
      </w:pPr>
      <w:r>
        <w:rPr>
          <w:rFonts w:hint="eastAsia"/>
          <w:highlight w:val="none"/>
        </w:rPr>
        <w:t>工程重难点</w:t>
      </w:r>
    </w:p>
    <w:p w14:paraId="40946B31">
      <w:pPr>
        <w:pStyle w:val="4"/>
        <w:rPr>
          <w:rFonts w:hint="eastAsia"/>
          <w:highlight w:val="none"/>
        </w:rPr>
      </w:pPr>
      <w:bookmarkStart w:id="154" w:name="_Toc169722265"/>
      <w:r>
        <w:rPr>
          <w:rFonts w:hint="eastAsia"/>
          <w:highlight w:val="none"/>
        </w:rPr>
        <w:t>装配式建筑形式多样、制作安装精度要求高，对项目进度影响较大。因此，装配式建筑的深化设计、材料采购、生产、运输、存放、拼装、吊装、与相关工种的配合搭接等是项目管理的难点。</w:t>
      </w:r>
    </w:p>
    <w:p w14:paraId="18E10C26">
      <w:pPr>
        <w:pStyle w:val="4"/>
        <w:rPr>
          <w:rFonts w:hint="eastAsia"/>
          <w:highlight w:val="none"/>
        </w:rPr>
      </w:pPr>
      <w:r>
        <w:rPr>
          <w:rFonts w:hint="eastAsia"/>
          <w:highlight w:val="none"/>
        </w:rPr>
        <w:t>装配式工程需进行深化设计。发包人将根据工程进度对装配式等工程进行现场监造，承包人必须无条件配合。</w:t>
      </w:r>
    </w:p>
    <w:p w14:paraId="0C9BBD03">
      <w:pPr>
        <w:pStyle w:val="4"/>
        <w:rPr>
          <w:rFonts w:hint="eastAsia"/>
          <w:highlight w:val="none"/>
        </w:rPr>
      </w:pPr>
      <w:r>
        <w:rPr>
          <w:rFonts w:hint="eastAsia"/>
          <w:highlight w:val="none"/>
        </w:rPr>
        <w:t>材料管理是质量管理的重中之重。因此，严格实行材料看样定板制度，对进场材料严格按照定板标准组织监理验收并按相关规定进行材料检测，必须是百分百合格且与样板一致的材料才准进场使用。成套设备严格执行开箱验收制度，组织监理严格按照设计图纸和主要材料设备技术需求书列明的参数核对设备信息，确保进场材料设备符合设计要求，承包人需配置专人进行材料管理。</w:t>
      </w:r>
    </w:p>
    <w:p w14:paraId="4DAEE033">
      <w:pPr>
        <w:pStyle w:val="4"/>
        <w:rPr>
          <w:rFonts w:hint="eastAsia"/>
          <w:highlight w:val="none"/>
        </w:rPr>
      </w:pPr>
      <w:r>
        <w:rPr>
          <w:rFonts w:hint="eastAsia"/>
          <w:highlight w:val="none"/>
        </w:rPr>
        <w:t>项目严格实施技术策划先行，针对发包人组织的施工组织策划、防水专项策划、外立面策划、机电专项策划、创优策划等，由承包人牵头负责策划准备及汇报，并提供满足施工要求的对应深化图纸。</w:t>
      </w:r>
    </w:p>
    <w:p w14:paraId="48DBE2A3">
      <w:pPr>
        <w:pStyle w:val="4"/>
        <w:rPr>
          <w:rFonts w:hint="eastAsia"/>
          <w:highlight w:val="none"/>
        </w:rPr>
      </w:pPr>
      <w:r>
        <w:rPr>
          <w:rFonts w:hint="eastAsia"/>
          <w:highlight w:val="none"/>
        </w:rPr>
        <w:t xml:space="preserve"> 发包人将在实施过程中对策划及深化内容进行监督查验，对于已经过审批的施工策划未能及时有效落地的，由承包人按照合同条款的约定承担违约责任，具体策划内容及要求详见</w:t>
      </w:r>
      <w:r>
        <w:rPr>
          <w:rFonts w:hint="eastAsia"/>
          <w:b/>
          <w:bCs/>
          <w:highlight w:val="none"/>
        </w:rPr>
        <w:t>附件《【附件B-1】施工策划评审表》</w:t>
      </w:r>
      <w:r>
        <w:rPr>
          <w:rFonts w:hint="eastAsia"/>
          <w:highlight w:val="none"/>
        </w:rPr>
        <w:t>，策划完成及评审时间以发包人要求为准。</w:t>
      </w:r>
    </w:p>
    <w:p w14:paraId="36926673">
      <w:pPr>
        <w:pStyle w:val="4"/>
        <w:rPr>
          <w:rFonts w:hint="eastAsia"/>
          <w:highlight w:val="none"/>
        </w:rPr>
      </w:pPr>
      <w:r>
        <w:rPr>
          <w:rFonts w:hint="eastAsia"/>
          <w:highlight w:val="none"/>
        </w:rPr>
        <w:t>项目严格实施样板引路，尤其是对设计效果展示中涉及到观感的，材料用量较大的，同时又是交付时客户敏感点的材料进行设计看样，对此类材料的观感、品牌、质量、规格、尺寸、样式进行严控，承包人需配置满足材料管理要求的样板封样间，并在现场设置工序样板展示区、工艺样板展示区、实体样板展示区。需承包人在蓝图下发30天内上报样板引路专项策划。</w:t>
      </w:r>
    </w:p>
    <w:p w14:paraId="29711E73">
      <w:pPr>
        <w:pStyle w:val="4"/>
        <w:rPr>
          <w:rFonts w:hint="eastAsia"/>
          <w:highlight w:val="none"/>
        </w:rPr>
      </w:pPr>
      <w:r>
        <w:rPr>
          <w:rFonts w:hint="eastAsia"/>
          <w:highlight w:val="none"/>
        </w:rPr>
        <w:t>文明施工与绿色施工，承包单位应按照广东省房屋市政工程安全生产文明施  工示范工地的要求做好现场安全生产及文明施工，保证施工场地清洁、扬尘及噪音管理符合环境卫生管理的有关规定。需根据《建筑工程绿色施工评价标准》（GB/T50640-2010）、《广州市建设工程绿色施工工作技术指引》及相关规定，按照不同阶段 进行安全文明与绿色施工策划，使用可重复利用周转材料，半成品推广工厂制作到场安装，全过程标准化，实现节能减排，绿色环保，积极创新，凸显亮点。</w:t>
      </w:r>
    </w:p>
    <w:p w14:paraId="73A9DEFE">
      <w:pPr>
        <w:pStyle w:val="4"/>
        <w:rPr>
          <w:rFonts w:hint="eastAsia"/>
          <w:highlight w:val="none"/>
        </w:rPr>
      </w:pPr>
      <w:r>
        <w:rPr>
          <w:rFonts w:hint="eastAsia"/>
          <w:highlight w:val="none"/>
        </w:rPr>
        <w:t>本项目为配售型保障用房及配套设施工程，且项目涉及装配式结构、大体积混凝土较多，防水防渗漏为质量管理的重中之重，承包人进场后需严格把控结构自防水、防水层及防水成品保护质量，若出现结构渗漏，需保证百分百完成堵漏处理后再进行防水层施工。</w:t>
      </w:r>
    </w:p>
    <w:p w14:paraId="56DC9F79">
      <w:pPr>
        <w:pStyle w:val="4"/>
        <w:rPr>
          <w:rFonts w:hint="eastAsia"/>
          <w:highlight w:val="none"/>
        </w:rPr>
      </w:pPr>
      <w:r>
        <w:rPr>
          <w:rFonts w:hint="eastAsia"/>
          <w:highlight w:val="none"/>
        </w:rPr>
        <w:t>本项目规划红线内存在110KV及220KV高压线，施工过程中涉及高压线保护作业，需严格按照高压线保护要求设置相关保护措施，作业前需编制高压线保护方案并按照要求进行施工报备。</w:t>
      </w:r>
    </w:p>
    <w:p w14:paraId="68DEBFB1">
      <w:pPr>
        <w:pStyle w:val="4"/>
        <w:rPr>
          <w:rFonts w:hint="eastAsia"/>
          <w:highlight w:val="none"/>
        </w:rPr>
      </w:pPr>
      <w:r>
        <w:rPr>
          <w:rFonts w:hint="eastAsia"/>
          <w:highlight w:val="none"/>
        </w:rPr>
        <w:t>本项目场地完成面标高与周边现状地形存在高差，施工前需做好场地布置规划，合理考虑场地交通环境，编制土方平衡方案。</w:t>
      </w:r>
    </w:p>
    <w:p w14:paraId="446CE83B">
      <w:pPr>
        <w:pStyle w:val="4"/>
        <w:rPr>
          <w:rFonts w:hint="eastAsia"/>
          <w:highlight w:val="none"/>
        </w:rPr>
      </w:pPr>
      <w:r>
        <w:rPr>
          <w:rFonts w:hint="eastAsia"/>
          <w:highlight w:val="none"/>
        </w:rPr>
        <w:t>本项目北侧紧邻现状民房，施工过程中需做好除尘及噪声管理，做好舆情管控。</w:t>
      </w:r>
    </w:p>
    <w:p w14:paraId="2115EDBC">
      <w:pPr>
        <w:ind w:firstLine="480"/>
        <w:rPr>
          <w:rFonts w:hint="eastAsia"/>
          <w:highlight w:val="none"/>
        </w:rPr>
      </w:pPr>
    </w:p>
    <w:bookmarkEnd w:id="154"/>
    <w:p w14:paraId="614E1804">
      <w:pPr>
        <w:pStyle w:val="3"/>
        <w:numPr>
          <w:ilvl w:val="1"/>
          <w:numId w:val="13"/>
        </w:numPr>
        <w:rPr>
          <w:rFonts w:hint="eastAsia"/>
          <w:highlight w:val="none"/>
        </w:rPr>
      </w:pPr>
      <w:bookmarkStart w:id="155" w:name="_Toc31000"/>
      <w:bookmarkStart w:id="156" w:name="_Toc19509"/>
      <w:bookmarkStart w:id="157" w:name="_Toc169722211"/>
      <w:bookmarkStart w:id="158" w:name="_Toc27206"/>
      <w:bookmarkStart w:id="159" w:name="_Toc15715"/>
      <w:bookmarkStart w:id="160" w:name="_Toc3889"/>
      <w:bookmarkStart w:id="161" w:name="_Toc22389"/>
      <w:bookmarkStart w:id="162" w:name="_Toc19527"/>
      <w:bookmarkStart w:id="163" w:name="_Toc13596"/>
      <w:bookmarkStart w:id="164" w:name="_Toc9034"/>
      <w:bookmarkStart w:id="165" w:name="_Toc10304"/>
      <w:r>
        <w:rPr>
          <w:highlight w:val="none"/>
        </w:rPr>
        <w:t>质量管理要求</w:t>
      </w:r>
      <w:bookmarkEnd w:id="155"/>
      <w:bookmarkEnd w:id="156"/>
      <w:bookmarkEnd w:id="157"/>
      <w:bookmarkEnd w:id="158"/>
      <w:bookmarkEnd w:id="159"/>
      <w:bookmarkEnd w:id="160"/>
      <w:bookmarkEnd w:id="161"/>
      <w:bookmarkEnd w:id="162"/>
      <w:bookmarkEnd w:id="163"/>
      <w:bookmarkEnd w:id="164"/>
      <w:bookmarkEnd w:id="165"/>
    </w:p>
    <w:p w14:paraId="0BFC3FAD">
      <w:pPr>
        <w:pStyle w:val="4"/>
        <w:rPr>
          <w:rFonts w:hint="eastAsia"/>
          <w:highlight w:val="none"/>
        </w:rPr>
      </w:pPr>
      <w:r>
        <w:rPr>
          <w:rFonts w:hint="eastAsia"/>
          <w:highlight w:val="none"/>
        </w:rPr>
        <w:t>总承包人</w:t>
      </w:r>
      <w:r>
        <w:rPr>
          <w:highlight w:val="none"/>
        </w:rPr>
        <w:t>质量管理的基本要求</w:t>
      </w:r>
    </w:p>
    <w:p w14:paraId="67238ABD">
      <w:pPr>
        <w:pStyle w:val="5"/>
        <w:rPr>
          <w:rFonts w:hint="eastAsia"/>
          <w:highlight w:val="none"/>
        </w:rPr>
      </w:pPr>
      <w:r>
        <w:rPr>
          <w:rFonts w:hint="eastAsia"/>
          <w:highlight w:val="none"/>
        </w:rPr>
        <w:t>总承包人</w:t>
      </w:r>
      <w:r>
        <w:rPr>
          <w:highlight w:val="none"/>
        </w:rPr>
        <w:t>对合同约定总承包管理范围</w:t>
      </w:r>
      <w:r>
        <w:rPr>
          <w:rFonts w:hint="eastAsia"/>
          <w:highlight w:val="none"/>
        </w:rPr>
        <w:t>的</w:t>
      </w:r>
      <w:r>
        <w:rPr>
          <w:highlight w:val="none"/>
        </w:rPr>
        <w:t>全</w:t>
      </w:r>
      <w:r>
        <w:rPr>
          <w:rFonts w:hint="eastAsia"/>
          <w:highlight w:val="none"/>
        </w:rPr>
        <w:t>部</w:t>
      </w:r>
      <w:r>
        <w:rPr>
          <w:highlight w:val="none"/>
        </w:rPr>
        <w:t>工程承担整体</w:t>
      </w:r>
      <w:r>
        <w:rPr>
          <w:rFonts w:hint="eastAsia"/>
          <w:highlight w:val="none"/>
        </w:rPr>
        <w:t>质量</w:t>
      </w:r>
      <w:r>
        <w:rPr>
          <w:highlight w:val="none"/>
        </w:rPr>
        <w:t>责任。</w:t>
      </w:r>
    </w:p>
    <w:p w14:paraId="598E6C05">
      <w:pPr>
        <w:pStyle w:val="5"/>
        <w:rPr>
          <w:rFonts w:hint="eastAsia"/>
          <w:highlight w:val="none"/>
        </w:rPr>
      </w:pPr>
      <w:bookmarkStart w:id="166" w:name="_Toc246820725"/>
      <w:bookmarkStart w:id="167" w:name="_Toc308696231"/>
      <w:bookmarkStart w:id="168" w:name="_Toc308643219"/>
      <w:r>
        <w:rPr>
          <w:highlight w:val="none"/>
        </w:rPr>
        <w:t>质量</w:t>
      </w:r>
      <w:bookmarkEnd w:id="166"/>
      <w:bookmarkEnd w:id="167"/>
      <w:bookmarkEnd w:id="168"/>
      <w:r>
        <w:rPr>
          <w:rFonts w:hint="eastAsia"/>
          <w:highlight w:val="none"/>
        </w:rPr>
        <w:t>管理体系和制度</w:t>
      </w:r>
    </w:p>
    <w:p w14:paraId="47D2E338">
      <w:pPr>
        <w:ind w:firstLine="480"/>
        <w:rPr>
          <w:rFonts w:hint="eastAsia"/>
          <w:highlight w:val="none"/>
        </w:rPr>
      </w:pPr>
      <w:r>
        <w:rPr>
          <w:rFonts w:hint="eastAsia" w:cs="Arial"/>
          <w:highlight w:val="none"/>
        </w:rPr>
        <w:t>总承包人应当建立一套完整而有效的质量管理体系以及相应的质量管理措施，建立并完善各项目质量管理检查制度及企业质量管理文件，并将</w:t>
      </w:r>
      <w:r>
        <w:rPr>
          <w:highlight w:val="none"/>
        </w:rPr>
        <w:t>本项目全</w:t>
      </w:r>
      <w:r>
        <w:rPr>
          <w:rFonts w:hint="eastAsia"/>
          <w:highlight w:val="none"/>
        </w:rPr>
        <w:t>部施工单位的质量</w:t>
      </w:r>
      <w:r>
        <w:rPr>
          <w:highlight w:val="none"/>
        </w:rPr>
        <w:t>管理</w:t>
      </w:r>
      <w:r>
        <w:rPr>
          <w:rFonts w:hint="eastAsia"/>
          <w:highlight w:val="none"/>
        </w:rPr>
        <w:t>组织有机</w:t>
      </w:r>
      <w:r>
        <w:rPr>
          <w:highlight w:val="none"/>
        </w:rPr>
        <w:t>融合在</w:t>
      </w:r>
      <w:r>
        <w:rPr>
          <w:rFonts w:hint="eastAsia"/>
          <w:highlight w:val="none"/>
        </w:rPr>
        <w:t>总承包人的</w:t>
      </w:r>
      <w:r>
        <w:rPr>
          <w:highlight w:val="none"/>
        </w:rPr>
        <w:t>工程质量管理体系</w:t>
      </w:r>
      <w:r>
        <w:rPr>
          <w:rFonts w:hint="eastAsia"/>
          <w:highlight w:val="none"/>
        </w:rPr>
        <w:t>和</w:t>
      </w:r>
      <w:r>
        <w:rPr>
          <w:highlight w:val="none"/>
        </w:rPr>
        <w:t>组织中，实施全方位质量管理，</w:t>
      </w:r>
      <w:r>
        <w:rPr>
          <w:rFonts w:hint="eastAsia" w:cs="Arial"/>
          <w:highlight w:val="none"/>
        </w:rPr>
        <w:t>严格执行材料管理、样板引路、工序交接、隐蔽验收、工作面移交、分户验收等质量管理制度，加强流程管控和过程管理，并接受发包人、监理人的监督和检查，持续改进，满足发包人的质量要求，</w:t>
      </w:r>
      <w:r>
        <w:rPr>
          <w:highlight w:val="none"/>
        </w:rPr>
        <w:t>保证整体工程</w:t>
      </w:r>
      <w:r>
        <w:rPr>
          <w:rFonts w:hint="eastAsia" w:cs="Arial"/>
          <w:highlight w:val="none"/>
        </w:rPr>
        <w:t>达到合同中规定的质量目标</w:t>
      </w:r>
      <w:r>
        <w:rPr>
          <w:rFonts w:cs="Arial"/>
          <w:highlight w:val="none"/>
        </w:rPr>
        <w:t>。</w:t>
      </w:r>
    </w:p>
    <w:p w14:paraId="0063A84D">
      <w:pPr>
        <w:pStyle w:val="5"/>
        <w:rPr>
          <w:rFonts w:hint="eastAsia"/>
          <w:highlight w:val="none"/>
        </w:rPr>
      </w:pPr>
      <w:r>
        <w:rPr>
          <w:highlight w:val="none"/>
        </w:rPr>
        <w:t>三检制</w:t>
      </w:r>
      <w:r>
        <w:rPr>
          <w:rFonts w:hint="eastAsia"/>
          <w:highlight w:val="none"/>
        </w:rPr>
        <w:t>验收程序</w:t>
      </w:r>
    </w:p>
    <w:p w14:paraId="0A3C33FE">
      <w:pPr>
        <w:ind w:firstLine="480"/>
        <w:rPr>
          <w:rFonts w:hint="eastAsia"/>
          <w:highlight w:val="none"/>
        </w:rPr>
      </w:pPr>
      <w:r>
        <w:rPr>
          <w:rFonts w:hint="eastAsia"/>
          <w:highlight w:val="none"/>
        </w:rPr>
        <w:t>总承包人</w:t>
      </w:r>
      <w:r>
        <w:rPr>
          <w:highlight w:val="none"/>
        </w:rPr>
        <w:t>每道工序都要坚持自检、互检、专检制度，关键工序经监理</w:t>
      </w:r>
      <w:r>
        <w:rPr>
          <w:rFonts w:hint="eastAsia"/>
          <w:highlight w:val="none"/>
        </w:rPr>
        <w:t>人/发包人</w:t>
      </w:r>
      <w:r>
        <w:rPr>
          <w:highlight w:val="none"/>
        </w:rPr>
        <w:t>检查放行，否则不得进行下道工序施工。自检要做文字记录，隐蔽工程检查</w:t>
      </w:r>
      <w:r>
        <w:rPr>
          <w:rFonts w:hint="eastAsia"/>
          <w:highlight w:val="none"/>
        </w:rPr>
        <w:t>应</w:t>
      </w:r>
      <w:r>
        <w:rPr>
          <w:highlight w:val="none"/>
        </w:rPr>
        <w:t>做好齐全的文字记录</w:t>
      </w:r>
      <w:r>
        <w:rPr>
          <w:rFonts w:hint="eastAsia"/>
          <w:highlight w:val="none"/>
        </w:rPr>
        <w:t>拍照存档</w:t>
      </w:r>
      <w:r>
        <w:rPr>
          <w:highlight w:val="none"/>
        </w:rPr>
        <w:t>。各工序及最终工程质量，均需进行验收，分部工程</w:t>
      </w:r>
      <w:r>
        <w:rPr>
          <w:rFonts w:hint="eastAsia"/>
          <w:highlight w:val="none"/>
        </w:rPr>
        <w:t>及单位工程</w:t>
      </w:r>
      <w:r>
        <w:rPr>
          <w:highlight w:val="none"/>
        </w:rPr>
        <w:t>验收由</w:t>
      </w:r>
      <w:r>
        <w:rPr>
          <w:rFonts w:hint="eastAsia"/>
          <w:highlight w:val="none"/>
        </w:rPr>
        <w:t>发包人</w:t>
      </w:r>
      <w:r>
        <w:rPr>
          <w:highlight w:val="none"/>
        </w:rPr>
        <w:t>参加，未经核定或不合格者不得交工</w:t>
      </w:r>
      <w:r>
        <w:rPr>
          <w:rFonts w:hint="eastAsia"/>
          <w:highlight w:val="none"/>
        </w:rPr>
        <w:t>。</w:t>
      </w:r>
    </w:p>
    <w:p w14:paraId="42A35C95">
      <w:pPr>
        <w:pStyle w:val="5"/>
        <w:rPr>
          <w:rFonts w:hint="eastAsia"/>
          <w:highlight w:val="none"/>
        </w:rPr>
      </w:pPr>
      <w:bookmarkStart w:id="169" w:name="_Toc32219"/>
      <w:r>
        <w:rPr>
          <w:highlight w:val="none"/>
        </w:rPr>
        <w:t>质量常见问题防治</w:t>
      </w:r>
      <w:bookmarkEnd w:id="169"/>
    </w:p>
    <w:p w14:paraId="1023A906">
      <w:pPr>
        <w:ind w:firstLine="480"/>
        <w:rPr>
          <w:rFonts w:hint="eastAsia"/>
          <w:highlight w:val="none"/>
        </w:rPr>
      </w:pPr>
      <w:r>
        <w:rPr>
          <w:rFonts w:hint="eastAsia"/>
          <w:highlight w:val="none"/>
        </w:rPr>
        <w:t>承包人必须严格执行有关质量常见问题治理措施、工程建设强制性标准和有关节、环境保护、绿色施工的规定。承包人须针对本项目制定工程质量常见问题防治措施方案需报监理人、发包人审批通过后按方案实施。</w:t>
      </w:r>
    </w:p>
    <w:p w14:paraId="4317FAC2">
      <w:pPr>
        <w:pStyle w:val="5"/>
        <w:rPr>
          <w:rFonts w:hint="eastAsia"/>
          <w:highlight w:val="none"/>
        </w:rPr>
      </w:pPr>
      <w:bookmarkStart w:id="170" w:name="_Toc24296"/>
      <w:r>
        <w:rPr>
          <w:highlight w:val="none"/>
        </w:rPr>
        <w:t>材料、设备质量保证</w:t>
      </w:r>
      <w:bookmarkEnd w:id="170"/>
    </w:p>
    <w:p w14:paraId="09FBCB6F">
      <w:pPr>
        <w:ind w:firstLine="480"/>
        <w:rPr>
          <w:rFonts w:hint="eastAsia"/>
          <w:highlight w:val="none"/>
        </w:rPr>
      </w:pPr>
      <w:r>
        <w:rPr>
          <w:rFonts w:hint="eastAsia"/>
          <w:highlight w:val="none"/>
        </w:rPr>
        <w:t>工程所用材料设备必须符合设计要求和国家有关规范与规定。承包人须确保使用的材料设备是合格的、全新的、未使用过的，凡材料设备质量不符合要求，承包人须停工和返工，返工费用由承包人承担，工期不予顺延。</w:t>
      </w:r>
    </w:p>
    <w:p w14:paraId="1BB80478">
      <w:pPr>
        <w:pStyle w:val="5"/>
        <w:rPr>
          <w:rFonts w:hint="eastAsia"/>
          <w:highlight w:val="none"/>
        </w:rPr>
      </w:pPr>
      <w:bookmarkStart w:id="171" w:name="_Toc13989"/>
      <w:r>
        <w:rPr>
          <w:highlight w:val="none"/>
        </w:rPr>
        <w:t>人员持证上岗</w:t>
      </w:r>
      <w:bookmarkEnd w:id="171"/>
    </w:p>
    <w:p w14:paraId="7D902A56">
      <w:pPr>
        <w:ind w:firstLine="480"/>
        <w:rPr>
          <w:rFonts w:hint="eastAsia"/>
          <w:highlight w:val="none"/>
        </w:rPr>
      </w:pPr>
      <w:r>
        <w:rPr>
          <w:rFonts w:hint="eastAsia"/>
          <w:highlight w:val="none"/>
        </w:rPr>
        <w:t>承包人投入的施工作业人员必须具备相应的上岗证，如特种人员，还须具备特种人员作业证书，以确保施工质量。所有特种作业人员必须带证上岗，随时接受发包人、监理人检查，否则按合同约定承担违约责任。特种作业人员包含但不限于：</w:t>
      </w:r>
    </w:p>
    <w:p w14:paraId="1EB50EAB">
      <w:pPr>
        <w:ind w:firstLine="480"/>
        <w:rPr>
          <w:rFonts w:hint="eastAsia"/>
          <w:highlight w:val="none"/>
        </w:rPr>
      </w:pPr>
      <w:r>
        <w:rPr>
          <w:rFonts w:hint="eastAsia"/>
          <w:highlight w:val="none"/>
        </w:rPr>
        <w:t>电工：建筑电工（临时用电）、高压电（正式电）、低压电工（正式用电调试、送电等）。</w:t>
      </w:r>
    </w:p>
    <w:p w14:paraId="23007F7A">
      <w:pPr>
        <w:ind w:firstLine="480"/>
        <w:rPr>
          <w:rFonts w:hint="eastAsia"/>
          <w:highlight w:val="none"/>
        </w:rPr>
      </w:pPr>
      <w:r>
        <w:rPr>
          <w:rFonts w:hint="eastAsia"/>
          <w:highlight w:val="none"/>
        </w:rPr>
        <w:t>建筑架子工：普通架子工、高处作业吊篮安装拆卸工、附着式升降脚手架安装拆卸工建筑起重机械类：塔吊/施工电梯安装拆卸工、建筑起重机械司机（塔吊、施工电梯）、建筑起重信号司索工。</w:t>
      </w:r>
    </w:p>
    <w:p w14:paraId="65273E7D">
      <w:pPr>
        <w:ind w:firstLine="480"/>
        <w:rPr>
          <w:rFonts w:hint="eastAsia"/>
          <w:highlight w:val="none"/>
        </w:rPr>
      </w:pPr>
      <w:r>
        <w:rPr>
          <w:rFonts w:hint="eastAsia"/>
          <w:highlight w:val="none"/>
        </w:rPr>
        <w:t>桩机操作类：搅拌桩机操作工、旋挖桩机操作工等。</w:t>
      </w:r>
    </w:p>
    <w:p w14:paraId="2D953314">
      <w:pPr>
        <w:ind w:firstLine="480"/>
        <w:rPr>
          <w:rFonts w:hint="eastAsia"/>
          <w:highlight w:val="none"/>
        </w:rPr>
      </w:pPr>
      <w:r>
        <w:rPr>
          <w:rFonts w:hint="eastAsia"/>
          <w:highlight w:val="none"/>
        </w:rPr>
        <w:t>焊工：建筑焊工、焊接与热切割作业。</w:t>
      </w:r>
    </w:p>
    <w:p w14:paraId="4FD54ECC">
      <w:pPr>
        <w:ind w:firstLine="480"/>
        <w:rPr>
          <w:rFonts w:hint="eastAsia"/>
          <w:highlight w:val="none"/>
        </w:rPr>
      </w:pPr>
      <w:r>
        <w:rPr>
          <w:rFonts w:hint="eastAsia"/>
          <w:highlight w:val="none"/>
        </w:rPr>
        <w:t>其他：省级建设主管部门认可的其他特种作业人员。</w:t>
      </w:r>
    </w:p>
    <w:p w14:paraId="453CBB5B">
      <w:pPr>
        <w:pStyle w:val="5"/>
        <w:rPr>
          <w:rFonts w:hint="eastAsia"/>
          <w:highlight w:val="none"/>
        </w:rPr>
      </w:pPr>
      <w:bookmarkStart w:id="172" w:name="_Toc12787"/>
      <w:r>
        <w:rPr>
          <w:highlight w:val="none"/>
        </w:rPr>
        <w:t>按图施工</w:t>
      </w:r>
      <w:bookmarkEnd w:id="172"/>
    </w:p>
    <w:p w14:paraId="45EC6454">
      <w:pPr>
        <w:ind w:firstLine="480"/>
        <w:rPr>
          <w:rFonts w:hint="eastAsia"/>
          <w:highlight w:val="none"/>
        </w:rPr>
      </w:pPr>
      <w:r>
        <w:rPr>
          <w:rFonts w:hint="eastAsia"/>
          <w:highlight w:val="none"/>
        </w:rPr>
        <w:t>承包人必须严格按审查批准的施工方案和设计图纸施工，不得擅自修改施工方案及设计图纸，发包人对任何现场实施与图纸不符的地方有权要求承包人返工，承包人需无条件配合。</w:t>
      </w:r>
    </w:p>
    <w:p w14:paraId="18D1D54B">
      <w:pPr>
        <w:pStyle w:val="5"/>
        <w:numPr>
          <w:ilvl w:val="3"/>
          <w:numId w:val="13"/>
        </w:numPr>
        <w:rPr>
          <w:rFonts w:hint="eastAsia"/>
          <w:highlight w:val="none"/>
        </w:rPr>
      </w:pPr>
      <w:r>
        <w:rPr>
          <w:rFonts w:hint="eastAsia"/>
          <w:highlight w:val="none"/>
        </w:rPr>
        <w:t>关键工序停止点检查要求</w:t>
      </w:r>
    </w:p>
    <w:p w14:paraId="44F04B81">
      <w:pPr>
        <w:ind w:firstLine="480"/>
        <w:rPr>
          <w:rFonts w:hint="eastAsia"/>
          <w:b/>
          <w:bCs/>
          <w:highlight w:val="none"/>
        </w:rPr>
      </w:pPr>
      <w:r>
        <w:rPr>
          <w:rFonts w:hint="eastAsia"/>
          <w:highlight w:val="none"/>
        </w:rPr>
        <w:t>对于主体阶段、地下室阶段、粗装修阶段、机电阶段、装饰装修等阶段的关键工序，总承包人要坚持自检、互检、专检制度，关键工序经监理人/发包人检查放行，并形成验收记录，否则不得进行下道工序施工。需监理人/发包人进行检查、抽查的关键工序批次比例，详见</w:t>
      </w:r>
      <w:r>
        <w:rPr>
          <w:rFonts w:hint="eastAsia"/>
          <w:b/>
          <w:bCs/>
          <w:highlight w:val="none"/>
        </w:rPr>
        <w:t>《【附件B-4】关键工序停止点验收清单》</w:t>
      </w:r>
    </w:p>
    <w:p w14:paraId="518D629D">
      <w:pPr>
        <w:pStyle w:val="4"/>
        <w:numPr>
          <w:ilvl w:val="2"/>
          <w:numId w:val="13"/>
        </w:numPr>
        <w:rPr>
          <w:rFonts w:hint="eastAsia"/>
          <w:highlight w:val="none"/>
        </w:rPr>
      </w:pPr>
      <w:bookmarkStart w:id="173" w:name="_Toc18473"/>
      <w:r>
        <w:rPr>
          <w:rFonts w:hint="eastAsia"/>
          <w:highlight w:val="none"/>
        </w:rPr>
        <w:t>成品保护</w:t>
      </w:r>
      <w:bookmarkEnd w:id="173"/>
    </w:p>
    <w:p w14:paraId="380CF734">
      <w:pPr>
        <w:ind w:firstLine="480"/>
        <w:rPr>
          <w:rFonts w:hint="eastAsia"/>
          <w:highlight w:val="none"/>
        </w:rPr>
      </w:pPr>
      <w:r>
        <w:rPr>
          <w:highlight w:val="none"/>
        </w:rPr>
        <w:t>承包人应加强工程材料、设备、半成品、成品的现场保护工作，项目移交之前造成的遗失或损坏由中标单位自行承担。</w:t>
      </w:r>
    </w:p>
    <w:p w14:paraId="64745B62">
      <w:pPr>
        <w:pStyle w:val="5"/>
        <w:rPr>
          <w:rFonts w:hint="eastAsia"/>
          <w:highlight w:val="none"/>
        </w:rPr>
      </w:pPr>
      <w:r>
        <w:rPr>
          <w:highlight w:val="none"/>
        </w:rPr>
        <w:t>成品保护遵循谁施工谁保护的原则，承包人有责任做好场地内的成品保护的后续检查和维护工作，并在必要的情况下做好二次保护工作。</w:t>
      </w:r>
    </w:p>
    <w:p w14:paraId="5EE2A21B">
      <w:pPr>
        <w:pStyle w:val="5"/>
        <w:rPr>
          <w:rFonts w:hint="eastAsia"/>
          <w:highlight w:val="none"/>
        </w:rPr>
      </w:pPr>
      <w:r>
        <w:rPr>
          <w:rFonts w:hint="eastAsia"/>
          <w:highlight w:val="none"/>
        </w:rPr>
        <w:t>成品保护应遵循先验收后保护的原则；所有工序必须经过施工单位自检、监理验收并做好成品清洁后方可进行保护。</w:t>
      </w:r>
    </w:p>
    <w:p w14:paraId="3771C80A">
      <w:pPr>
        <w:pStyle w:val="5"/>
        <w:rPr>
          <w:rFonts w:hint="eastAsia"/>
          <w:highlight w:val="none"/>
        </w:rPr>
      </w:pPr>
      <w:r>
        <w:rPr>
          <w:rFonts w:hint="eastAsia"/>
          <w:highlight w:val="none"/>
        </w:rPr>
        <w:t>成品保护应遵循持续保护原则，施工中及细部检查阶段，承包人有责任做好成品保护的后续检查和维护工作，对于成品保护措施被破坏、拆除的必须在恢复保护措施后方可进行施工。</w:t>
      </w:r>
    </w:p>
    <w:p w14:paraId="2314067E">
      <w:pPr>
        <w:pStyle w:val="5"/>
        <w:rPr>
          <w:rFonts w:hint="eastAsia"/>
          <w:highlight w:val="none"/>
        </w:rPr>
      </w:pPr>
      <w:r>
        <w:rPr>
          <w:rFonts w:hint="eastAsia"/>
          <w:highlight w:val="none"/>
        </w:rPr>
        <w:t>责任明确原则</w:t>
      </w:r>
    </w:p>
    <w:p w14:paraId="5249E7F7">
      <w:pPr>
        <w:ind w:firstLine="480"/>
        <w:rPr>
          <w:rFonts w:hint="eastAsia"/>
          <w:highlight w:val="none"/>
        </w:rPr>
      </w:pPr>
      <w:r>
        <w:rPr>
          <w:rFonts w:hint="eastAsia"/>
          <w:highlight w:val="none"/>
        </w:rPr>
        <w:t>（1）承包人对已方产品的保护负有最终的责任，包括对成品采取防护措施的责任、看管和巡查的责任、与后续相关单位的协调和交底的责任等。承包人必须保证在交接或验收时，其产品的品质和数量符合合同和相关规范的要求。</w:t>
      </w:r>
    </w:p>
    <w:p w14:paraId="7854C08D">
      <w:pPr>
        <w:ind w:firstLine="480"/>
        <w:rPr>
          <w:rFonts w:hint="eastAsia"/>
          <w:highlight w:val="none"/>
        </w:rPr>
      </w:pPr>
      <w:r>
        <w:rPr>
          <w:rFonts w:hint="eastAsia"/>
          <w:highlight w:val="none"/>
        </w:rPr>
        <w:t>（2）户门安装上锁后，室内成品保护进入专人看护集中管理阶段。后续工序施工人员进出室内需要办理移交手续（提交入内施工申请）。项目部每周组织召开协调会，明确以流水方式进入具体房间的时间表，看护人员根据此表组织场地移交，负责开门、检查、关门、再检查的工作。</w:t>
      </w:r>
    </w:p>
    <w:p w14:paraId="666BC88C">
      <w:pPr>
        <w:pStyle w:val="5"/>
        <w:rPr>
          <w:rFonts w:hint="eastAsia"/>
          <w:highlight w:val="none"/>
        </w:rPr>
      </w:pPr>
      <w:r>
        <w:rPr>
          <w:rFonts w:hint="eastAsia"/>
          <w:highlight w:val="none"/>
        </w:rPr>
        <w:t>工序合理化原则</w:t>
      </w:r>
    </w:p>
    <w:p w14:paraId="4FF98F48">
      <w:pPr>
        <w:ind w:firstLine="480"/>
        <w:rPr>
          <w:rFonts w:hint="eastAsia"/>
          <w:highlight w:val="none"/>
        </w:rPr>
      </w:pPr>
      <w:r>
        <w:rPr>
          <w:highlight w:val="none"/>
        </w:rPr>
        <w:t xml:space="preserve"> </w:t>
      </w:r>
      <w:r>
        <w:rPr>
          <w:rFonts w:hint="eastAsia"/>
          <w:highlight w:val="none"/>
        </w:rPr>
        <w:t>项目部根据施工内容合理规划施工工序和交叉作业。承包人应严格执行，尽量避免多工种在同一房间内交叉施工。</w:t>
      </w:r>
    </w:p>
    <w:p w14:paraId="33FA90A1">
      <w:pPr>
        <w:pStyle w:val="5"/>
        <w:rPr>
          <w:rFonts w:hint="eastAsia"/>
          <w:highlight w:val="none"/>
        </w:rPr>
      </w:pPr>
      <w:r>
        <w:rPr>
          <w:rFonts w:hint="eastAsia"/>
          <w:highlight w:val="none"/>
        </w:rPr>
        <w:t>防护措施的持续维护原则</w:t>
      </w:r>
    </w:p>
    <w:p w14:paraId="2E8B314D">
      <w:pPr>
        <w:ind w:firstLine="480"/>
        <w:rPr>
          <w:rFonts w:hint="eastAsia"/>
          <w:highlight w:val="none"/>
        </w:rPr>
      </w:pPr>
      <w:r>
        <w:rPr>
          <w:highlight w:val="none"/>
        </w:rPr>
        <w:t xml:space="preserve"> </w:t>
      </w:r>
      <w:r>
        <w:rPr>
          <w:rFonts w:hint="eastAsia"/>
          <w:highlight w:val="none"/>
        </w:rPr>
        <w:t>承包人负有对成品防护措施进行巡视检查的责任，同时负有对已破坏的部分及时进行修补的责任。</w:t>
      </w:r>
    </w:p>
    <w:p w14:paraId="2CEF3562">
      <w:pPr>
        <w:pStyle w:val="5"/>
        <w:rPr>
          <w:rFonts w:hint="eastAsia"/>
          <w:highlight w:val="none"/>
        </w:rPr>
      </w:pPr>
      <w:r>
        <w:rPr>
          <w:rFonts w:hint="eastAsia"/>
          <w:highlight w:val="none"/>
        </w:rPr>
        <w:t>其它要求</w:t>
      </w:r>
    </w:p>
    <w:p w14:paraId="6FDFC558">
      <w:pPr>
        <w:ind w:firstLine="480"/>
        <w:rPr>
          <w:rFonts w:hint="eastAsia"/>
          <w:highlight w:val="none"/>
        </w:rPr>
      </w:pPr>
      <w:r>
        <w:rPr>
          <w:rFonts w:hint="eastAsia"/>
          <w:highlight w:val="none"/>
        </w:rPr>
        <w:t>（1）施工过程中的成品保护</w:t>
      </w:r>
    </w:p>
    <w:p w14:paraId="76A2AB84">
      <w:pPr>
        <w:ind w:firstLine="480"/>
        <w:rPr>
          <w:rFonts w:hint="eastAsia"/>
          <w:highlight w:val="none"/>
        </w:rPr>
      </w:pPr>
      <w:r>
        <w:rPr>
          <w:highlight w:val="none"/>
        </w:rPr>
        <w:t>1</w:t>
      </w:r>
      <w:r>
        <w:rPr>
          <w:rFonts w:hint="eastAsia"/>
          <w:highlight w:val="none"/>
        </w:rPr>
        <w:t>）各工种在施工中不得污染、损坏其他工种的半成品、成品。</w:t>
      </w:r>
    </w:p>
    <w:p w14:paraId="599ACC2E">
      <w:pPr>
        <w:ind w:firstLine="480"/>
        <w:rPr>
          <w:rFonts w:hint="eastAsia"/>
          <w:highlight w:val="none"/>
        </w:rPr>
      </w:pPr>
      <w:r>
        <w:rPr>
          <w:highlight w:val="none"/>
        </w:rPr>
        <w:t>2</w:t>
      </w:r>
      <w:r>
        <w:rPr>
          <w:rFonts w:hint="eastAsia"/>
          <w:highlight w:val="none"/>
        </w:rPr>
        <w:t>）材料表面保护膜实施单位应负责在交付保洁前拆除。</w:t>
      </w:r>
    </w:p>
    <w:p w14:paraId="095D16B4">
      <w:pPr>
        <w:ind w:firstLine="480"/>
        <w:rPr>
          <w:rFonts w:hint="eastAsia"/>
          <w:highlight w:val="none"/>
        </w:rPr>
        <w:sectPr>
          <w:footerReference r:id="rId5" w:type="default"/>
          <w:pgSz w:w="11905" w:h="16839"/>
          <w:pgMar w:top="1440" w:right="1440" w:bottom="1440" w:left="1440" w:header="0" w:footer="1144" w:gutter="0"/>
          <w:cols w:space="720" w:num="1"/>
        </w:sectPr>
      </w:pPr>
      <w:r>
        <w:rPr>
          <w:highlight w:val="none"/>
        </w:rPr>
        <w:t>3</w:t>
      </w:r>
      <w:r>
        <w:rPr>
          <w:rFonts w:hint="eastAsia"/>
          <w:highlight w:val="none"/>
        </w:rPr>
        <w:t>）成品保护措施在移交时各项措施应完善、固定牢靠。</w:t>
      </w:r>
    </w:p>
    <w:p w14:paraId="38F28A83">
      <w:pPr>
        <w:pStyle w:val="5"/>
        <w:rPr>
          <w:rFonts w:hint="eastAsia"/>
          <w:highlight w:val="none"/>
        </w:rPr>
      </w:pPr>
      <w:r>
        <w:rPr>
          <w:rFonts w:hint="eastAsia"/>
          <w:highlight w:val="none"/>
        </w:rPr>
        <w:t>土建成品保护标准做法</w:t>
      </w:r>
    </w:p>
    <w:tbl>
      <w:tblPr>
        <w:tblStyle w:val="20"/>
        <w:tblW w:w="0" w:type="auto"/>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664"/>
        <w:gridCol w:w="1204"/>
        <w:gridCol w:w="2461"/>
        <w:gridCol w:w="3870"/>
        <w:gridCol w:w="3800"/>
        <w:gridCol w:w="720"/>
      </w:tblGrid>
      <w:tr w14:paraId="04E991B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83" w:hRule="atLeast"/>
          <w:jc w:val="center"/>
        </w:trPr>
        <w:tc>
          <w:tcPr>
            <w:tcW w:w="12719" w:type="dxa"/>
            <w:gridSpan w:val="6"/>
            <w:shd w:val="clear" w:color="auto" w:fill="auto"/>
            <w:vAlign w:val="center"/>
          </w:tcPr>
          <w:p w14:paraId="4BB8A047">
            <w:pPr>
              <w:pStyle w:val="13"/>
              <w:rPr>
                <w:rFonts w:hint="eastAsia"/>
                <w:b/>
                <w:bCs/>
                <w:highlight w:val="none"/>
                <w:lang w:val="zh-CN"/>
              </w:rPr>
            </w:pPr>
            <w:r>
              <w:rPr>
                <w:rFonts w:hint="eastAsia"/>
                <w:b/>
                <w:bCs/>
                <w:highlight w:val="none"/>
                <w:lang w:val="zh-CN"/>
              </w:rPr>
              <w:t>土建成品保护标准做法</w:t>
            </w:r>
          </w:p>
        </w:tc>
      </w:tr>
      <w:tr w14:paraId="70441E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664" w:type="dxa"/>
            <w:shd w:val="clear" w:color="auto" w:fill="auto"/>
            <w:vAlign w:val="center"/>
          </w:tcPr>
          <w:p w14:paraId="0F881617">
            <w:pPr>
              <w:pStyle w:val="13"/>
              <w:rPr>
                <w:rFonts w:hint="eastAsia"/>
                <w:b/>
                <w:bCs/>
                <w:highlight w:val="none"/>
                <w:lang w:val="zh-CN"/>
              </w:rPr>
            </w:pPr>
            <w:r>
              <w:rPr>
                <w:rFonts w:hint="eastAsia"/>
                <w:b/>
                <w:bCs/>
                <w:highlight w:val="none"/>
                <w:lang w:val="zh-CN"/>
              </w:rPr>
              <w:t>序号</w:t>
            </w:r>
          </w:p>
        </w:tc>
        <w:tc>
          <w:tcPr>
            <w:tcW w:w="1204" w:type="dxa"/>
            <w:shd w:val="clear" w:color="auto" w:fill="auto"/>
            <w:vAlign w:val="center"/>
          </w:tcPr>
          <w:p w14:paraId="72C42673">
            <w:pPr>
              <w:pStyle w:val="13"/>
              <w:rPr>
                <w:rFonts w:hint="eastAsia"/>
                <w:b/>
                <w:bCs/>
                <w:highlight w:val="none"/>
                <w:lang w:val="zh-CN"/>
              </w:rPr>
            </w:pPr>
            <w:r>
              <w:rPr>
                <w:rFonts w:hint="eastAsia"/>
                <w:b/>
                <w:bCs/>
                <w:highlight w:val="none"/>
                <w:lang w:val="zh-CN"/>
              </w:rPr>
              <w:t>保护内容</w:t>
            </w:r>
          </w:p>
        </w:tc>
        <w:tc>
          <w:tcPr>
            <w:tcW w:w="2461" w:type="dxa"/>
            <w:shd w:val="clear" w:color="auto" w:fill="auto"/>
            <w:vAlign w:val="center"/>
          </w:tcPr>
          <w:p w14:paraId="6A040F86">
            <w:pPr>
              <w:pStyle w:val="13"/>
              <w:rPr>
                <w:rFonts w:hint="eastAsia"/>
                <w:b/>
                <w:bCs/>
                <w:highlight w:val="none"/>
                <w:lang w:val="zh-CN"/>
              </w:rPr>
            </w:pPr>
            <w:r>
              <w:rPr>
                <w:rFonts w:hint="eastAsia"/>
                <w:b/>
                <w:bCs/>
                <w:highlight w:val="none"/>
                <w:lang w:val="zh-CN"/>
              </w:rPr>
              <w:t>保护标准</w:t>
            </w:r>
          </w:p>
        </w:tc>
        <w:tc>
          <w:tcPr>
            <w:tcW w:w="7670" w:type="dxa"/>
            <w:gridSpan w:val="2"/>
            <w:shd w:val="clear" w:color="auto" w:fill="auto"/>
            <w:vAlign w:val="center"/>
          </w:tcPr>
          <w:p w14:paraId="38D46A5C">
            <w:pPr>
              <w:pStyle w:val="13"/>
              <w:rPr>
                <w:rFonts w:hint="eastAsia"/>
                <w:b/>
                <w:bCs/>
                <w:highlight w:val="none"/>
                <w:lang w:val="zh-CN"/>
              </w:rPr>
            </w:pPr>
            <w:r>
              <w:rPr>
                <w:rFonts w:hint="eastAsia"/>
                <w:b/>
                <w:bCs/>
                <w:highlight w:val="none"/>
                <w:lang w:val="zh-CN"/>
              </w:rPr>
              <w:t>图示</w:t>
            </w:r>
          </w:p>
        </w:tc>
        <w:tc>
          <w:tcPr>
            <w:tcW w:w="720" w:type="dxa"/>
            <w:shd w:val="clear" w:color="auto" w:fill="auto"/>
            <w:vAlign w:val="center"/>
          </w:tcPr>
          <w:p w14:paraId="48012DBA">
            <w:pPr>
              <w:pStyle w:val="13"/>
              <w:rPr>
                <w:rFonts w:hint="eastAsia"/>
                <w:b/>
                <w:bCs/>
                <w:highlight w:val="none"/>
                <w:lang w:val="zh-CN"/>
              </w:rPr>
            </w:pPr>
            <w:r>
              <w:rPr>
                <w:rFonts w:hint="eastAsia"/>
                <w:b/>
                <w:bCs/>
                <w:highlight w:val="none"/>
                <w:lang w:val="zh-CN"/>
              </w:rPr>
              <w:t>备注</w:t>
            </w:r>
          </w:p>
        </w:tc>
      </w:tr>
      <w:tr w14:paraId="3EBE974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99" w:hRule="atLeast"/>
          <w:jc w:val="center"/>
        </w:trPr>
        <w:tc>
          <w:tcPr>
            <w:tcW w:w="664" w:type="dxa"/>
            <w:vAlign w:val="center"/>
          </w:tcPr>
          <w:p w14:paraId="004F0321">
            <w:pPr>
              <w:pStyle w:val="13"/>
              <w:rPr>
                <w:rFonts w:hint="eastAsia"/>
                <w:highlight w:val="none"/>
                <w:lang w:val="zh-CN"/>
              </w:rPr>
            </w:pPr>
            <w:r>
              <w:rPr>
                <w:rFonts w:hint="eastAsia"/>
                <w:highlight w:val="none"/>
              </w:rPr>
              <w:t>1</w:t>
            </w:r>
          </w:p>
        </w:tc>
        <w:tc>
          <w:tcPr>
            <w:tcW w:w="1204" w:type="dxa"/>
            <w:vAlign w:val="center"/>
          </w:tcPr>
          <w:p w14:paraId="7237B4F8">
            <w:pPr>
              <w:pStyle w:val="13"/>
              <w:rPr>
                <w:rFonts w:hint="eastAsia"/>
                <w:highlight w:val="none"/>
                <w:lang w:val="zh-CN"/>
              </w:rPr>
            </w:pPr>
            <w:r>
              <w:rPr>
                <w:highlight w:val="none"/>
                <w:lang w:val="zh-CN"/>
              </w:rPr>
              <w:t>后期施工钢筋保护</w:t>
            </w:r>
          </w:p>
        </w:tc>
        <w:tc>
          <w:tcPr>
            <w:tcW w:w="2461" w:type="dxa"/>
            <w:vAlign w:val="center"/>
          </w:tcPr>
          <w:p w14:paraId="5E267FD6">
            <w:pPr>
              <w:pStyle w:val="13"/>
              <w:rPr>
                <w:rFonts w:hint="eastAsia"/>
                <w:highlight w:val="none"/>
                <w:lang w:val="zh-CN"/>
              </w:rPr>
            </w:pPr>
            <w:r>
              <w:rPr>
                <w:highlight w:val="none"/>
                <w:lang w:val="zh-CN"/>
              </w:rPr>
              <w:t>现场对于结构面上后期施工的钢筋采用</w:t>
            </w:r>
            <w:r>
              <w:rPr>
                <w:rFonts w:hint="eastAsia"/>
                <w:highlight w:val="none"/>
              </w:rPr>
              <w:t>覆膜</w:t>
            </w:r>
            <w:r>
              <w:rPr>
                <w:highlight w:val="none"/>
                <w:lang w:val="zh-CN"/>
              </w:rPr>
              <w:t>保护，防止钢筋锈蚀</w:t>
            </w:r>
          </w:p>
        </w:tc>
        <w:tc>
          <w:tcPr>
            <w:tcW w:w="3870" w:type="dxa"/>
            <w:vAlign w:val="center"/>
          </w:tcPr>
          <w:p w14:paraId="060312A2">
            <w:pPr>
              <w:pStyle w:val="13"/>
              <w:rPr>
                <w:rFonts w:hint="eastAsia"/>
                <w:highlight w:val="none"/>
                <w:lang w:val="zh-CN"/>
              </w:rPr>
            </w:pPr>
          </w:p>
          <w:p w14:paraId="3EEE74D1">
            <w:pPr>
              <w:pStyle w:val="13"/>
              <w:rPr>
                <w:rFonts w:hint="eastAsia"/>
                <w:highlight w:val="none"/>
                <w:lang w:val="zh-CN"/>
              </w:rPr>
            </w:pPr>
            <w:r>
              <w:rPr>
                <w:rFonts w:hint="eastAsia"/>
                <w:highlight w:val="none"/>
              </w:rPr>
              <w:drawing>
                <wp:inline distT="0" distB="0" distL="114300" distR="114300">
                  <wp:extent cx="2336165" cy="1517650"/>
                  <wp:effectExtent l="0" t="0" r="6985" b="635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pic:cNvPicPr>
                        </pic:nvPicPr>
                        <pic:blipFill>
                          <a:blip r:embed="rId11" cstate="print"/>
                          <a:stretch>
                            <a:fillRect/>
                          </a:stretch>
                        </pic:blipFill>
                        <pic:spPr>
                          <a:xfrm>
                            <a:off x="0" y="0"/>
                            <a:ext cx="2336165" cy="1517650"/>
                          </a:xfrm>
                          <a:prstGeom prst="rect">
                            <a:avLst/>
                          </a:prstGeom>
                        </pic:spPr>
                      </pic:pic>
                    </a:graphicData>
                  </a:graphic>
                </wp:inline>
              </w:drawing>
            </w:r>
          </w:p>
        </w:tc>
        <w:tc>
          <w:tcPr>
            <w:tcW w:w="3800" w:type="dxa"/>
            <w:vAlign w:val="center"/>
          </w:tcPr>
          <w:p w14:paraId="5D0456F5">
            <w:pPr>
              <w:pStyle w:val="13"/>
              <w:rPr>
                <w:rFonts w:hint="eastAsia"/>
                <w:highlight w:val="none"/>
              </w:rPr>
            </w:pPr>
            <w:r>
              <w:rPr>
                <w:rFonts w:hint="eastAsia"/>
                <w:highlight w:val="none"/>
              </w:rPr>
              <w:t>/</w:t>
            </w:r>
          </w:p>
        </w:tc>
        <w:tc>
          <w:tcPr>
            <w:tcW w:w="720" w:type="dxa"/>
            <w:vAlign w:val="center"/>
          </w:tcPr>
          <w:p w14:paraId="0A88D777">
            <w:pPr>
              <w:pStyle w:val="13"/>
              <w:rPr>
                <w:rFonts w:hint="eastAsia"/>
                <w:highlight w:val="none"/>
                <w:lang w:val="zh-CN"/>
              </w:rPr>
            </w:pPr>
          </w:p>
        </w:tc>
      </w:tr>
      <w:tr w14:paraId="7F6E550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99" w:hRule="atLeast"/>
          <w:jc w:val="center"/>
        </w:trPr>
        <w:tc>
          <w:tcPr>
            <w:tcW w:w="664" w:type="dxa"/>
            <w:vAlign w:val="center"/>
          </w:tcPr>
          <w:p w14:paraId="30BDFDE5">
            <w:pPr>
              <w:pStyle w:val="13"/>
              <w:rPr>
                <w:rFonts w:hint="eastAsia"/>
                <w:highlight w:val="none"/>
                <w:lang w:val="zh-CN"/>
              </w:rPr>
            </w:pPr>
            <w:r>
              <w:rPr>
                <w:rFonts w:hint="eastAsia"/>
                <w:highlight w:val="none"/>
              </w:rPr>
              <w:t>2</w:t>
            </w:r>
          </w:p>
        </w:tc>
        <w:tc>
          <w:tcPr>
            <w:tcW w:w="1204" w:type="dxa"/>
            <w:vAlign w:val="center"/>
          </w:tcPr>
          <w:p w14:paraId="03C20D24">
            <w:pPr>
              <w:pStyle w:val="13"/>
              <w:rPr>
                <w:rFonts w:hint="eastAsia"/>
                <w:highlight w:val="none"/>
                <w:lang w:val="zh-CN"/>
              </w:rPr>
            </w:pPr>
            <w:r>
              <w:rPr>
                <w:highlight w:val="none"/>
                <w:lang w:val="zh-CN"/>
              </w:rPr>
              <w:t>钢筋原材料堆放</w:t>
            </w:r>
          </w:p>
        </w:tc>
        <w:tc>
          <w:tcPr>
            <w:tcW w:w="2461" w:type="dxa"/>
            <w:vAlign w:val="center"/>
          </w:tcPr>
          <w:p w14:paraId="467ED47A">
            <w:pPr>
              <w:pStyle w:val="13"/>
              <w:rPr>
                <w:rFonts w:hint="eastAsia"/>
                <w:highlight w:val="none"/>
                <w:lang w:val="zh-CN"/>
              </w:rPr>
            </w:pPr>
            <w:r>
              <w:rPr>
                <w:highlight w:val="none"/>
                <w:lang w:val="zh-CN"/>
              </w:rPr>
              <w:t>钢筋应堆放整齐，下部加不小于 100mm 高垫木，防止钢筋变形、 锈蚀；直螺纹连接头，在丝工成型后，需要套上塑料保护帽防止碰撞丝头</w:t>
            </w:r>
          </w:p>
        </w:tc>
        <w:tc>
          <w:tcPr>
            <w:tcW w:w="3870" w:type="dxa"/>
            <w:vAlign w:val="center"/>
          </w:tcPr>
          <w:p w14:paraId="0AAA2138">
            <w:pPr>
              <w:pStyle w:val="13"/>
              <w:rPr>
                <w:rFonts w:hint="eastAsia"/>
                <w:highlight w:val="none"/>
                <w:lang w:val="zh-CN"/>
              </w:rPr>
            </w:pPr>
            <w:r>
              <w:rPr>
                <w:highlight w:val="none"/>
              </w:rPr>
              <w:drawing>
                <wp:inline distT="0" distB="0" distL="0" distR="0">
                  <wp:extent cx="2237740" cy="2225040"/>
                  <wp:effectExtent l="0" t="0" r="635" b="3810"/>
                  <wp:docPr id="162"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5.jpeg"/>
                          <pic:cNvPicPr>
                            <a:picLocks noChangeAspect="1"/>
                          </pic:cNvPicPr>
                        </pic:nvPicPr>
                        <pic:blipFill>
                          <a:blip r:embed="rId12" cstate="print"/>
                          <a:stretch>
                            <a:fillRect/>
                          </a:stretch>
                        </pic:blipFill>
                        <pic:spPr>
                          <a:xfrm>
                            <a:off x="0" y="0"/>
                            <a:ext cx="2237901" cy="2225040"/>
                          </a:xfrm>
                          <a:prstGeom prst="rect">
                            <a:avLst/>
                          </a:prstGeom>
                        </pic:spPr>
                      </pic:pic>
                    </a:graphicData>
                  </a:graphic>
                </wp:inline>
              </w:drawing>
            </w:r>
          </w:p>
        </w:tc>
        <w:tc>
          <w:tcPr>
            <w:tcW w:w="3800" w:type="dxa"/>
            <w:vAlign w:val="center"/>
          </w:tcPr>
          <w:p w14:paraId="3BC90D1A">
            <w:pPr>
              <w:pStyle w:val="13"/>
              <w:rPr>
                <w:rFonts w:hint="eastAsia"/>
                <w:highlight w:val="none"/>
                <w:lang w:val="zh-CN"/>
              </w:rPr>
            </w:pPr>
            <w:r>
              <w:rPr>
                <w:highlight w:val="none"/>
              </w:rPr>
              <w:drawing>
                <wp:inline distT="0" distB="0" distL="0" distR="0">
                  <wp:extent cx="2268220" cy="2230755"/>
                  <wp:effectExtent l="0" t="0" r="8255" b="762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jpeg"/>
                          <pic:cNvPicPr>
                            <a:picLocks noChangeAspect="1"/>
                          </pic:cNvPicPr>
                        </pic:nvPicPr>
                        <pic:blipFill>
                          <a:blip r:embed="rId13" cstate="print"/>
                          <a:stretch>
                            <a:fillRect/>
                          </a:stretch>
                        </pic:blipFill>
                        <pic:spPr>
                          <a:xfrm>
                            <a:off x="0" y="0"/>
                            <a:ext cx="2268776" cy="2231136"/>
                          </a:xfrm>
                          <a:prstGeom prst="rect">
                            <a:avLst/>
                          </a:prstGeom>
                        </pic:spPr>
                      </pic:pic>
                    </a:graphicData>
                  </a:graphic>
                </wp:inline>
              </w:drawing>
            </w:r>
          </w:p>
        </w:tc>
        <w:tc>
          <w:tcPr>
            <w:tcW w:w="720" w:type="dxa"/>
            <w:vAlign w:val="center"/>
          </w:tcPr>
          <w:p w14:paraId="2B087B48">
            <w:pPr>
              <w:pStyle w:val="13"/>
              <w:rPr>
                <w:rFonts w:hint="eastAsia"/>
                <w:highlight w:val="none"/>
                <w:lang w:val="zh-CN"/>
              </w:rPr>
            </w:pPr>
          </w:p>
        </w:tc>
      </w:tr>
      <w:tr w14:paraId="632CECE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99" w:hRule="atLeast"/>
          <w:jc w:val="center"/>
        </w:trPr>
        <w:tc>
          <w:tcPr>
            <w:tcW w:w="664" w:type="dxa"/>
            <w:vAlign w:val="center"/>
          </w:tcPr>
          <w:p w14:paraId="46C06ED1">
            <w:pPr>
              <w:pStyle w:val="13"/>
              <w:rPr>
                <w:rFonts w:hint="eastAsia"/>
                <w:highlight w:val="none"/>
                <w:lang w:val="zh-CN"/>
              </w:rPr>
            </w:pPr>
            <w:r>
              <w:rPr>
                <w:rFonts w:hint="eastAsia"/>
                <w:highlight w:val="none"/>
              </w:rPr>
              <w:t>3</w:t>
            </w:r>
          </w:p>
        </w:tc>
        <w:tc>
          <w:tcPr>
            <w:tcW w:w="1204" w:type="dxa"/>
            <w:vAlign w:val="center"/>
          </w:tcPr>
          <w:p w14:paraId="5F682536">
            <w:pPr>
              <w:pStyle w:val="13"/>
              <w:rPr>
                <w:rFonts w:hint="eastAsia"/>
                <w:highlight w:val="none"/>
                <w:lang w:val="zh-CN"/>
              </w:rPr>
            </w:pPr>
            <w:r>
              <w:rPr>
                <w:highlight w:val="none"/>
                <w:lang w:val="zh-CN"/>
              </w:rPr>
              <w:t>模板内钢筋保护</w:t>
            </w:r>
          </w:p>
        </w:tc>
        <w:tc>
          <w:tcPr>
            <w:tcW w:w="2461" w:type="dxa"/>
            <w:vAlign w:val="center"/>
          </w:tcPr>
          <w:p w14:paraId="396867ED">
            <w:pPr>
              <w:pStyle w:val="13"/>
              <w:rPr>
                <w:rFonts w:hint="eastAsia"/>
                <w:highlight w:val="none"/>
                <w:lang w:val="zh-CN"/>
              </w:rPr>
            </w:pPr>
            <w:r>
              <w:rPr>
                <w:highlight w:val="none"/>
                <w:lang w:val="zh-CN"/>
              </w:rPr>
              <w:t>模板内的弯起钢筋、负矩和上层绑好后， 不准在上面踩踏行 走，应铺设跳板走道；浇筑混凝土时混凝土泵应架起，不允许直接放置在已经绑好的钢筋上</w:t>
            </w:r>
          </w:p>
        </w:tc>
        <w:tc>
          <w:tcPr>
            <w:tcW w:w="3870" w:type="dxa"/>
            <w:vAlign w:val="center"/>
          </w:tcPr>
          <w:p w14:paraId="7567CABB">
            <w:pPr>
              <w:pStyle w:val="13"/>
              <w:rPr>
                <w:rFonts w:hint="eastAsia"/>
                <w:highlight w:val="none"/>
                <w:lang w:val="zh-CN"/>
              </w:rPr>
            </w:pPr>
            <w:r>
              <w:rPr>
                <w:highlight w:val="none"/>
              </w:rPr>
              <w:drawing>
                <wp:inline distT="0" distB="0" distL="0" distR="0">
                  <wp:extent cx="2444750" cy="1520825"/>
                  <wp:effectExtent l="0" t="0" r="3175" b="3175"/>
                  <wp:docPr id="14715467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546777" name="图片 1"/>
                          <pic:cNvPicPr>
                            <a:picLocks noChangeAspect="1"/>
                          </pic:cNvPicPr>
                        </pic:nvPicPr>
                        <pic:blipFill>
                          <a:blip r:embed="rId14" cstate="print"/>
                          <a:stretch>
                            <a:fillRect/>
                          </a:stretch>
                        </pic:blipFill>
                        <pic:spPr>
                          <a:xfrm>
                            <a:off x="0" y="0"/>
                            <a:ext cx="2444750" cy="1520825"/>
                          </a:xfrm>
                          <a:prstGeom prst="rect">
                            <a:avLst/>
                          </a:prstGeom>
                        </pic:spPr>
                      </pic:pic>
                    </a:graphicData>
                  </a:graphic>
                </wp:inline>
              </w:drawing>
            </w:r>
          </w:p>
        </w:tc>
        <w:tc>
          <w:tcPr>
            <w:tcW w:w="3800" w:type="dxa"/>
            <w:vAlign w:val="center"/>
          </w:tcPr>
          <w:p w14:paraId="29D96DC2">
            <w:pPr>
              <w:pStyle w:val="13"/>
              <w:rPr>
                <w:rFonts w:hint="eastAsia"/>
                <w:highlight w:val="none"/>
                <w:lang w:val="zh-CN"/>
              </w:rPr>
            </w:pPr>
            <w:r>
              <w:rPr>
                <w:highlight w:val="none"/>
              </w:rPr>
              <w:drawing>
                <wp:inline distT="0" distB="0" distL="0" distR="0">
                  <wp:extent cx="2400300" cy="2386965"/>
                  <wp:effectExtent l="0" t="0" r="0" b="3810"/>
                  <wp:docPr id="3441010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101031" name="图片 1"/>
                          <pic:cNvPicPr>
                            <a:picLocks noChangeAspect="1"/>
                          </pic:cNvPicPr>
                        </pic:nvPicPr>
                        <pic:blipFill>
                          <a:blip r:embed="rId15" cstate="print"/>
                          <a:stretch>
                            <a:fillRect/>
                          </a:stretch>
                        </pic:blipFill>
                        <pic:spPr>
                          <a:xfrm>
                            <a:off x="0" y="0"/>
                            <a:ext cx="2400300" cy="2386965"/>
                          </a:xfrm>
                          <a:prstGeom prst="rect">
                            <a:avLst/>
                          </a:prstGeom>
                        </pic:spPr>
                      </pic:pic>
                    </a:graphicData>
                  </a:graphic>
                </wp:inline>
              </w:drawing>
            </w:r>
          </w:p>
        </w:tc>
        <w:tc>
          <w:tcPr>
            <w:tcW w:w="720" w:type="dxa"/>
            <w:vAlign w:val="center"/>
          </w:tcPr>
          <w:p w14:paraId="15546ED7">
            <w:pPr>
              <w:pStyle w:val="13"/>
              <w:rPr>
                <w:rFonts w:hint="eastAsia"/>
                <w:highlight w:val="none"/>
                <w:lang w:val="zh-CN"/>
              </w:rPr>
            </w:pPr>
          </w:p>
        </w:tc>
      </w:tr>
      <w:tr w14:paraId="77ED756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39" w:hRule="atLeast"/>
          <w:jc w:val="center"/>
        </w:trPr>
        <w:tc>
          <w:tcPr>
            <w:tcW w:w="664" w:type="dxa"/>
            <w:vAlign w:val="center"/>
          </w:tcPr>
          <w:p w14:paraId="4D88EF46">
            <w:pPr>
              <w:pStyle w:val="13"/>
              <w:rPr>
                <w:rFonts w:hint="eastAsia"/>
                <w:highlight w:val="none"/>
                <w:lang w:val="zh-CN"/>
              </w:rPr>
            </w:pPr>
            <w:r>
              <w:rPr>
                <w:rFonts w:hint="eastAsia"/>
                <w:highlight w:val="none"/>
              </w:rPr>
              <w:t>4</w:t>
            </w:r>
          </w:p>
        </w:tc>
        <w:tc>
          <w:tcPr>
            <w:tcW w:w="1204" w:type="dxa"/>
            <w:vAlign w:val="center"/>
          </w:tcPr>
          <w:p w14:paraId="1950215B">
            <w:pPr>
              <w:pStyle w:val="13"/>
              <w:rPr>
                <w:rFonts w:hint="eastAsia"/>
                <w:highlight w:val="none"/>
                <w:lang w:val="zh-CN"/>
              </w:rPr>
            </w:pPr>
            <w:r>
              <w:rPr>
                <w:highlight w:val="none"/>
                <w:lang w:val="zh-CN"/>
              </w:rPr>
              <w:t>混凝土阳角部位保护</w:t>
            </w:r>
          </w:p>
        </w:tc>
        <w:tc>
          <w:tcPr>
            <w:tcW w:w="2461" w:type="dxa"/>
            <w:vAlign w:val="center"/>
          </w:tcPr>
          <w:p w14:paraId="321C5A21">
            <w:pPr>
              <w:pStyle w:val="13"/>
              <w:rPr>
                <w:rFonts w:hint="eastAsia"/>
                <w:highlight w:val="none"/>
                <w:lang w:val="zh-CN"/>
              </w:rPr>
            </w:pPr>
            <w:r>
              <w:rPr>
                <w:highlight w:val="none"/>
                <w:lang w:val="zh-CN"/>
              </w:rPr>
              <w:t>所有墙、柱、较大孔洞口应做角钢或多层胶合板护脚进行保护</w:t>
            </w:r>
            <w:r>
              <w:rPr>
                <w:rFonts w:hint="eastAsia"/>
                <w:highlight w:val="none"/>
                <w:lang w:val="zh-CN"/>
              </w:rPr>
              <w:t>。</w:t>
            </w:r>
          </w:p>
        </w:tc>
        <w:tc>
          <w:tcPr>
            <w:tcW w:w="3870" w:type="dxa"/>
            <w:vAlign w:val="center"/>
          </w:tcPr>
          <w:p w14:paraId="04BA7511">
            <w:pPr>
              <w:pStyle w:val="13"/>
              <w:rPr>
                <w:rFonts w:hint="eastAsia"/>
                <w:highlight w:val="none"/>
                <w:lang w:val="zh-CN"/>
              </w:rPr>
            </w:pPr>
          </w:p>
          <w:p w14:paraId="0029AED3">
            <w:pPr>
              <w:pStyle w:val="13"/>
              <w:rPr>
                <w:rFonts w:hint="eastAsia"/>
                <w:highlight w:val="none"/>
                <w:lang w:val="zh-CN"/>
              </w:rPr>
            </w:pPr>
            <w:r>
              <w:rPr>
                <w:highlight w:val="none"/>
              </w:rPr>
              <w:drawing>
                <wp:inline distT="0" distB="0" distL="0" distR="0">
                  <wp:extent cx="2220595" cy="2171700"/>
                  <wp:effectExtent l="0" t="0" r="8255" b="0"/>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9.jpeg"/>
                          <pic:cNvPicPr>
                            <a:picLocks noChangeAspect="1"/>
                          </pic:cNvPicPr>
                        </pic:nvPicPr>
                        <pic:blipFill>
                          <a:blip r:embed="rId16" cstate="print"/>
                          <a:stretch>
                            <a:fillRect/>
                          </a:stretch>
                        </pic:blipFill>
                        <pic:spPr>
                          <a:xfrm>
                            <a:off x="0" y="0"/>
                            <a:ext cx="2221088" cy="2171700"/>
                          </a:xfrm>
                          <a:prstGeom prst="rect">
                            <a:avLst/>
                          </a:prstGeom>
                        </pic:spPr>
                      </pic:pic>
                    </a:graphicData>
                  </a:graphic>
                </wp:inline>
              </w:drawing>
            </w:r>
          </w:p>
        </w:tc>
        <w:tc>
          <w:tcPr>
            <w:tcW w:w="3800" w:type="dxa"/>
            <w:vAlign w:val="center"/>
          </w:tcPr>
          <w:p w14:paraId="5A24771E">
            <w:pPr>
              <w:pStyle w:val="13"/>
              <w:rPr>
                <w:rFonts w:hint="eastAsia"/>
                <w:highlight w:val="none"/>
                <w:lang w:val="zh-CN"/>
              </w:rPr>
            </w:pPr>
          </w:p>
          <w:p w14:paraId="43FAA905">
            <w:pPr>
              <w:pStyle w:val="13"/>
              <w:rPr>
                <w:rFonts w:hint="eastAsia"/>
                <w:highlight w:val="none"/>
                <w:lang w:val="zh-CN"/>
              </w:rPr>
            </w:pPr>
            <w:r>
              <w:rPr>
                <w:highlight w:val="none"/>
              </w:rPr>
              <w:drawing>
                <wp:inline distT="0" distB="0" distL="0" distR="0">
                  <wp:extent cx="2293620" cy="2205990"/>
                  <wp:effectExtent l="0" t="0" r="1905" b="3810"/>
                  <wp:docPr id="1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0.png"/>
                          <pic:cNvPicPr>
                            <a:picLocks noChangeAspect="1"/>
                          </pic:cNvPicPr>
                        </pic:nvPicPr>
                        <pic:blipFill>
                          <a:blip r:embed="rId17" cstate="print"/>
                          <a:stretch>
                            <a:fillRect/>
                          </a:stretch>
                        </pic:blipFill>
                        <pic:spPr>
                          <a:xfrm>
                            <a:off x="0" y="0"/>
                            <a:ext cx="2293663" cy="2206180"/>
                          </a:xfrm>
                          <a:prstGeom prst="rect">
                            <a:avLst/>
                          </a:prstGeom>
                        </pic:spPr>
                      </pic:pic>
                    </a:graphicData>
                  </a:graphic>
                </wp:inline>
              </w:drawing>
            </w:r>
          </w:p>
        </w:tc>
        <w:tc>
          <w:tcPr>
            <w:tcW w:w="720" w:type="dxa"/>
            <w:vAlign w:val="center"/>
          </w:tcPr>
          <w:p w14:paraId="0232F4FE">
            <w:pPr>
              <w:pStyle w:val="13"/>
              <w:rPr>
                <w:rFonts w:hint="eastAsia"/>
                <w:highlight w:val="none"/>
                <w:lang w:val="zh-CN"/>
              </w:rPr>
            </w:pPr>
          </w:p>
        </w:tc>
      </w:tr>
      <w:tr w14:paraId="123C36B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90" w:hRule="atLeast"/>
          <w:jc w:val="center"/>
        </w:trPr>
        <w:tc>
          <w:tcPr>
            <w:tcW w:w="664" w:type="dxa"/>
            <w:vAlign w:val="center"/>
          </w:tcPr>
          <w:p w14:paraId="6BBD2AE2">
            <w:pPr>
              <w:pStyle w:val="13"/>
              <w:rPr>
                <w:rFonts w:hint="eastAsia"/>
                <w:highlight w:val="none"/>
                <w:lang w:val="zh-CN"/>
              </w:rPr>
            </w:pPr>
            <w:r>
              <w:rPr>
                <w:rFonts w:hint="eastAsia"/>
                <w:highlight w:val="none"/>
              </w:rPr>
              <w:t>5</w:t>
            </w:r>
          </w:p>
        </w:tc>
        <w:tc>
          <w:tcPr>
            <w:tcW w:w="1204" w:type="dxa"/>
            <w:vAlign w:val="center"/>
          </w:tcPr>
          <w:p w14:paraId="532321CD">
            <w:pPr>
              <w:pStyle w:val="13"/>
              <w:rPr>
                <w:rFonts w:hint="eastAsia"/>
                <w:highlight w:val="none"/>
                <w:lang w:val="zh-CN"/>
              </w:rPr>
            </w:pPr>
            <w:r>
              <w:rPr>
                <w:highlight w:val="none"/>
                <w:lang w:val="zh-CN"/>
              </w:rPr>
              <w:t>地库外墙防水保护</w:t>
            </w:r>
          </w:p>
        </w:tc>
        <w:tc>
          <w:tcPr>
            <w:tcW w:w="2461" w:type="dxa"/>
            <w:vAlign w:val="center"/>
          </w:tcPr>
          <w:p w14:paraId="05D49F80">
            <w:pPr>
              <w:pStyle w:val="13"/>
              <w:rPr>
                <w:rFonts w:hint="eastAsia"/>
                <w:highlight w:val="none"/>
                <w:lang w:val="zh-CN"/>
              </w:rPr>
            </w:pPr>
            <w:r>
              <w:rPr>
                <w:rFonts w:hint="eastAsia"/>
                <w:highlight w:val="none"/>
              </w:rPr>
              <w:t>地下室侧壁使用聚苯板或加气块进行保护，对于地下室车库顶板上翻位置的防水，砌筑加气块并进行抹灰保护</w:t>
            </w:r>
          </w:p>
        </w:tc>
        <w:tc>
          <w:tcPr>
            <w:tcW w:w="3870" w:type="dxa"/>
            <w:vAlign w:val="center"/>
          </w:tcPr>
          <w:p w14:paraId="48F7A5CD">
            <w:pPr>
              <w:pStyle w:val="13"/>
              <w:rPr>
                <w:rFonts w:hint="eastAsia"/>
                <w:highlight w:val="none"/>
                <w:lang w:val="zh-CN"/>
              </w:rPr>
            </w:pPr>
            <w:r>
              <w:rPr>
                <w:rFonts w:hint="eastAsia"/>
                <w:highlight w:val="none"/>
              </w:rPr>
              <w:drawing>
                <wp:inline distT="0" distB="0" distL="114300" distR="114300">
                  <wp:extent cx="2443480" cy="2565400"/>
                  <wp:effectExtent l="0" t="0" r="4445" b="635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pic:cNvPicPr>
                        </pic:nvPicPr>
                        <pic:blipFill>
                          <a:blip r:embed="rId18" cstate="print"/>
                          <a:stretch>
                            <a:fillRect/>
                          </a:stretch>
                        </pic:blipFill>
                        <pic:spPr>
                          <a:xfrm>
                            <a:off x="0" y="0"/>
                            <a:ext cx="2443480" cy="2565400"/>
                          </a:xfrm>
                          <a:prstGeom prst="rect">
                            <a:avLst/>
                          </a:prstGeom>
                        </pic:spPr>
                      </pic:pic>
                    </a:graphicData>
                  </a:graphic>
                </wp:inline>
              </w:drawing>
            </w:r>
          </w:p>
        </w:tc>
        <w:tc>
          <w:tcPr>
            <w:tcW w:w="3800" w:type="dxa"/>
            <w:vAlign w:val="center"/>
          </w:tcPr>
          <w:p w14:paraId="5FA07B11">
            <w:pPr>
              <w:pStyle w:val="13"/>
              <w:rPr>
                <w:rFonts w:hint="eastAsia"/>
                <w:highlight w:val="none"/>
                <w:lang w:val="zh-CN"/>
              </w:rPr>
            </w:pPr>
            <w:r>
              <w:rPr>
                <w:highlight w:val="none"/>
              </w:rPr>
              <w:drawing>
                <wp:inline distT="0" distB="0" distL="0" distR="0">
                  <wp:extent cx="2254885" cy="2228850"/>
                  <wp:effectExtent l="0" t="0" r="2540" b="0"/>
                  <wp:docPr id="2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png"/>
                          <pic:cNvPicPr>
                            <a:picLocks noChangeAspect="1"/>
                          </pic:cNvPicPr>
                        </pic:nvPicPr>
                        <pic:blipFill>
                          <a:blip r:embed="rId19" cstate="print"/>
                          <a:stretch>
                            <a:fillRect/>
                          </a:stretch>
                        </pic:blipFill>
                        <pic:spPr>
                          <a:xfrm>
                            <a:off x="0" y="0"/>
                            <a:ext cx="2254894" cy="2228850"/>
                          </a:xfrm>
                          <a:prstGeom prst="rect">
                            <a:avLst/>
                          </a:prstGeom>
                        </pic:spPr>
                      </pic:pic>
                    </a:graphicData>
                  </a:graphic>
                </wp:inline>
              </w:drawing>
            </w:r>
          </w:p>
        </w:tc>
        <w:tc>
          <w:tcPr>
            <w:tcW w:w="720" w:type="dxa"/>
            <w:vAlign w:val="center"/>
          </w:tcPr>
          <w:p w14:paraId="2A9E33F6">
            <w:pPr>
              <w:pStyle w:val="13"/>
              <w:rPr>
                <w:rFonts w:hint="eastAsia"/>
                <w:highlight w:val="none"/>
                <w:lang w:val="zh-CN"/>
              </w:rPr>
            </w:pPr>
          </w:p>
        </w:tc>
      </w:tr>
      <w:tr w14:paraId="6E6D669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39" w:hRule="atLeast"/>
          <w:jc w:val="center"/>
        </w:trPr>
        <w:tc>
          <w:tcPr>
            <w:tcW w:w="664" w:type="dxa"/>
            <w:vAlign w:val="center"/>
          </w:tcPr>
          <w:p w14:paraId="2B0BD5DC">
            <w:pPr>
              <w:pStyle w:val="13"/>
              <w:rPr>
                <w:rFonts w:hint="eastAsia"/>
                <w:highlight w:val="none"/>
              </w:rPr>
            </w:pPr>
            <w:r>
              <w:rPr>
                <w:highlight w:val="none"/>
              </w:rPr>
              <w:t>6</w:t>
            </w:r>
          </w:p>
        </w:tc>
        <w:tc>
          <w:tcPr>
            <w:tcW w:w="1204" w:type="dxa"/>
            <w:vAlign w:val="center"/>
          </w:tcPr>
          <w:p w14:paraId="0018286D">
            <w:pPr>
              <w:pStyle w:val="13"/>
              <w:rPr>
                <w:rFonts w:hint="eastAsia"/>
                <w:highlight w:val="none"/>
              </w:rPr>
            </w:pPr>
            <w:r>
              <w:rPr>
                <w:highlight w:val="none"/>
              </w:rPr>
              <w:t xml:space="preserve">PC楼梯成品保护 </w:t>
            </w:r>
          </w:p>
        </w:tc>
        <w:tc>
          <w:tcPr>
            <w:tcW w:w="2461" w:type="dxa"/>
            <w:vAlign w:val="center"/>
          </w:tcPr>
          <w:p w14:paraId="39D3865C">
            <w:pPr>
              <w:pStyle w:val="13"/>
              <w:rPr>
                <w:rFonts w:hint="eastAsia"/>
                <w:highlight w:val="none"/>
              </w:rPr>
            </w:pPr>
            <w:r>
              <w:rPr>
                <w:rFonts w:hint="eastAsia"/>
                <w:highlight w:val="none"/>
              </w:rPr>
              <w:t>使用塑料单板保护。</w:t>
            </w:r>
          </w:p>
          <w:p w14:paraId="02D64A13">
            <w:pPr>
              <w:pStyle w:val="13"/>
              <w:rPr>
                <w:rFonts w:hint="eastAsia"/>
                <w:highlight w:val="none"/>
              </w:rPr>
            </w:pPr>
            <w:r>
              <w:rPr>
                <w:rFonts w:hint="eastAsia"/>
                <w:highlight w:val="none"/>
              </w:rPr>
              <w:t xml:space="preserve">使用木模板保护。 </w:t>
            </w:r>
          </w:p>
          <w:p w14:paraId="71E46310">
            <w:pPr>
              <w:pStyle w:val="13"/>
              <w:rPr>
                <w:rFonts w:hint="eastAsia"/>
                <w:highlight w:val="none"/>
                <w:lang w:val="zh-CN"/>
              </w:rPr>
            </w:pPr>
          </w:p>
        </w:tc>
        <w:tc>
          <w:tcPr>
            <w:tcW w:w="3870" w:type="dxa"/>
            <w:vAlign w:val="center"/>
          </w:tcPr>
          <w:p w14:paraId="61B94470">
            <w:pPr>
              <w:pStyle w:val="13"/>
              <w:rPr>
                <w:rFonts w:hint="eastAsia"/>
                <w:highlight w:val="none"/>
              </w:rPr>
            </w:pPr>
            <w:r>
              <w:rPr>
                <w:highlight w:val="none"/>
              </w:rPr>
              <w:drawing>
                <wp:inline distT="0" distB="0" distL="114300" distR="114300">
                  <wp:extent cx="2352675" cy="1760855"/>
                  <wp:effectExtent l="0" t="0" r="0" b="127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pic:cNvPicPr>
                        </pic:nvPicPr>
                        <pic:blipFill>
                          <a:blip r:embed="rId20" cstate="print"/>
                          <a:stretch>
                            <a:fillRect/>
                          </a:stretch>
                        </pic:blipFill>
                        <pic:spPr>
                          <a:xfrm>
                            <a:off x="0" y="0"/>
                            <a:ext cx="2352675" cy="1760855"/>
                          </a:xfrm>
                          <a:prstGeom prst="rect">
                            <a:avLst/>
                          </a:prstGeom>
                        </pic:spPr>
                      </pic:pic>
                    </a:graphicData>
                  </a:graphic>
                </wp:inline>
              </w:drawing>
            </w:r>
          </w:p>
        </w:tc>
        <w:tc>
          <w:tcPr>
            <w:tcW w:w="3800" w:type="dxa"/>
            <w:vAlign w:val="center"/>
          </w:tcPr>
          <w:p w14:paraId="1B83758D">
            <w:pPr>
              <w:pStyle w:val="13"/>
              <w:rPr>
                <w:rFonts w:hint="eastAsia"/>
                <w:highlight w:val="none"/>
              </w:rPr>
            </w:pPr>
            <w:r>
              <w:rPr>
                <w:highlight w:val="none"/>
              </w:rPr>
              <w:drawing>
                <wp:inline distT="0" distB="0" distL="114300" distR="114300">
                  <wp:extent cx="2312035" cy="1631315"/>
                  <wp:effectExtent l="0" t="0" r="2540" b="698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pic:cNvPicPr>
                            <a:picLocks noChangeAspect="1"/>
                          </pic:cNvPicPr>
                        </pic:nvPicPr>
                        <pic:blipFill>
                          <a:blip r:embed="rId21" cstate="print"/>
                          <a:stretch>
                            <a:fillRect/>
                          </a:stretch>
                        </pic:blipFill>
                        <pic:spPr>
                          <a:xfrm>
                            <a:off x="0" y="0"/>
                            <a:ext cx="2312035" cy="1631315"/>
                          </a:xfrm>
                          <a:prstGeom prst="rect">
                            <a:avLst/>
                          </a:prstGeom>
                        </pic:spPr>
                      </pic:pic>
                    </a:graphicData>
                  </a:graphic>
                </wp:inline>
              </w:drawing>
            </w:r>
          </w:p>
        </w:tc>
        <w:tc>
          <w:tcPr>
            <w:tcW w:w="720" w:type="dxa"/>
            <w:vAlign w:val="center"/>
          </w:tcPr>
          <w:p w14:paraId="1D41552D">
            <w:pPr>
              <w:pStyle w:val="13"/>
              <w:rPr>
                <w:rFonts w:hint="eastAsia"/>
                <w:highlight w:val="none"/>
                <w:lang w:val="zh-CN"/>
              </w:rPr>
            </w:pPr>
          </w:p>
        </w:tc>
      </w:tr>
    </w:tbl>
    <w:p w14:paraId="7606182E">
      <w:pPr>
        <w:spacing w:before="120" w:beforeLines="50" w:after="120" w:afterLines="50"/>
        <w:ind w:left="501" w:firstLine="488"/>
        <w:rPr>
          <w:rFonts w:hint="eastAsia" w:cs="宋体"/>
          <w:spacing w:val="2"/>
          <w:highlight w:val="none"/>
        </w:rPr>
      </w:pPr>
    </w:p>
    <w:p w14:paraId="62DA8ED3">
      <w:pPr>
        <w:spacing w:before="120" w:beforeLines="50" w:after="120" w:afterLines="50"/>
        <w:ind w:firstLine="488"/>
        <w:rPr>
          <w:rFonts w:hint="eastAsia"/>
          <w:highlight w:val="none"/>
        </w:rPr>
      </w:pPr>
      <w:r>
        <w:rPr>
          <w:rFonts w:hint="eastAsia" w:cs="宋体"/>
          <w:spacing w:val="2"/>
          <w:highlight w:val="none"/>
        </w:rPr>
        <w:br w:type="page"/>
      </w:r>
    </w:p>
    <w:p w14:paraId="75A62711">
      <w:pPr>
        <w:spacing w:before="120" w:beforeLines="50" w:after="120" w:afterLines="50"/>
        <w:ind w:firstLine="488"/>
        <w:rPr>
          <w:rFonts w:hint="eastAsia" w:cs="宋体"/>
          <w:spacing w:val="2"/>
          <w:highlight w:val="none"/>
        </w:rPr>
      </w:pPr>
    </w:p>
    <w:p w14:paraId="02359F08">
      <w:pPr>
        <w:pStyle w:val="5"/>
        <w:rPr>
          <w:rFonts w:hint="eastAsia"/>
          <w:highlight w:val="none"/>
        </w:rPr>
      </w:pPr>
      <w:r>
        <w:rPr>
          <w:rFonts w:hint="eastAsia"/>
          <w:highlight w:val="none"/>
        </w:rPr>
        <w:t>机电成品保护标准做法</w:t>
      </w:r>
    </w:p>
    <w:tbl>
      <w:tblPr>
        <w:tblStyle w:val="20"/>
        <w:tblpPr w:leftFromText="180" w:rightFromText="180" w:vertAnchor="text" w:horzAnchor="page" w:tblpX="1777" w:tblpY="422"/>
        <w:tblOverlap w:val="never"/>
        <w:tblW w:w="13133"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672"/>
        <w:gridCol w:w="1562"/>
        <w:gridCol w:w="1808"/>
        <w:gridCol w:w="7893"/>
        <w:gridCol w:w="1198"/>
      </w:tblGrid>
      <w:tr w14:paraId="7164764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246" w:hRule="atLeast"/>
        </w:trPr>
        <w:tc>
          <w:tcPr>
            <w:tcW w:w="13133" w:type="dxa"/>
            <w:gridSpan w:val="5"/>
            <w:shd w:val="clear" w:color="auto" w:fill="auto"/>
            <w:vAlign w:val="center"/>
          </w:tcPr>
          <w:p w14:paraId="5E22A017">
            <w:pPr>
              <w:pStyle w:val="13"/>
              <w:rPr>
                <w:rFonts w:hint="eastAsia"/>
                <w:highlight w:val="none"/>
                <w:lang w:val="zh-CN"/>
              </w:rPr>
            </w:pPr>
            <w:r>
              <w:rPr>
                <w:rFonts w:hint="eastAsia"/>
                <w:highlight w:val="none"/>
                <w:lang w:val="zh-CN"/>
              </w:rPr>
              <w:t>机电成品保护标准做法</w:t>
            </w:r>
          </w:p>
        </w:tc>
      </w:tr>
      <w:tr w14:paraId="1F17E14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2" w:hRule="atLeast"/>
        </w:trPr>
        <w:tc>
          <w:tcPr>
            <w:tcW w:w="672" w:type="dxa"/>
            <w:shd w:val="clear" w:color="auto" w:fill="auto"/>
            <w:vAlign w:val="center"/>
          </w:tcPr>
          <w:p w14:paraId="361BB161">
            <w:pPr>
              <w:pStyle w:val="13"/>
              <w:rPr>
                <w:rFonts w:hint="eastAsia"/>
                <w:highlight w:val="none"/>
                <w:lang w:val="zh-CN"/>
              </w:rPr>
            </w:pPr>
            <w:r>
              <w:rPr>
                <w:rFonts w:hint="eastAsia"/>
                <w:highlight w:val="none"/>
                <w:lang w:val="zh-CN"/>
              </w:rPr>
              <w:t>序号</w:t>
            </w:r>
          </w:p>
        </w:tc>
        <w:tc>
          <w:tcPr>
            <w:tcW w:w="1562" w:type="dxa"/>
            <w:shd w:val="clear" w:color="auto" w:fill="auto"/>
            <w:vAlign w:val="center"/>
          </w:tcPr>
          <w:p w14:paraId="5F70B9AB">
            <w:pPr>
              <w:pStyle w:val="13"/>
              <w:rPr>
                <w:rFonts w:hint="eastAsia"/>
                <w:highlight w:val="none"/>
                <w:lang w:val="zh-CN"/>
              </w:rPr>
            </w:pPr>
            <w:r>
              <w:rPr>
                <w:rFonts w:hint="eastAsia"/>
                <w:highlight w:val="none"/>
                <w:lang w:val="zh-CN"/>
              </w:rPr>
              <w:t>保护内容</w:t>
            </w:r>
          </w:p>
        </w:tc>
        <w:tc>
          <w:tcPr>
            <w:tcW w:w="1808" w:type="dxa"/>
            <w:shd w:val="clear" w:color="auto" w:fill="auto"/>
            <w:vAlign w:val="center"/>
          </w:tcPr>
          <w:p w14:paraId="028FB063">
            <w:pPr>
              <w:pStyle w:val="13"/>
              <w:rPr>
                <w:rFonts w:hint="eastAsia"/>
                <w:highlight w:val="none"/>
                <w:lang w:val="zh-CN"/>
              </w:rPr>
            </w:pPr>
            <w:r>
              <w:rPr>
                <w:rFonts w:hint="eastAsia"/>
                <w:highlight w:val="none"/>
                <w:lang w:val="zh-CN"/>
              </w:rPr>
              <w:t>保护方法</w:t>
            </w:r>
          </w:p>
        </w:tc>
        <w:tc>
          <w:tcPr>
            <w:tcW w:w="7893" w:type="dxa"/>
            <w:shd w:val="clear" w:color="auto" w:fill="auto"/>
            <w:vAlign w:val="center"/>
          </w:tcPr>
          <w:p w14:paraId="5D6E8295">
            <w:pPr>
              <w:pStyle w:val="13"/>
              <w:rPr>
                <w:rFonts w:hint="eastAsia"/>
                <w:highlight w:val="none"/>
                <w:lang w:val="zh-CN"/>
              </w:rPr>
            </w:pPr>
            <w:r>
              <w:rPr>
                <w:rFonts w:hint="eastAsia"/>
                <w:highlight w:val="none"/>
                <w:lang w:val="zh-CN"/>
              </w:rPr>
              <w:t>图示</w:t>
            </w:r>
          </w:p>
        </w:tc>
        <w:tc>
          <w:tcPr>
            <w:tcW w:w="1198" w:type="dxa"/>
            <w:shd w:val="clear" w:color="auto" w:fill="auto"/>
            <w:vAlign w:val="center"/>
          </w:tcPr>
          <w:p w14:paraId="739465F2">
            <w:pPr>
              <w:pStyle w:val="13"/>
              <w:rPr>
                <w:rFonts w:hint="eastAsia"/>
                <w:highlight w:val="none"/>
                <w:lang w:val="zh-CN"/>
              </w:rPr>
            </w:pPr>
            <w:r>
              <w:rPr>
                <w:rFonts w:hint="eastAsia"/>
                <w:highlight w:val="none"/>
                <w:lang w:val="zh-CN"/>
              </w:rPr>
              <w:t>备注</w:t>
            </w:r>
          </w:p>
        </w:tc>
      </w:tr>
      <w:tr w14:paraId="1BD2957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179" w:hRule="atLeast"/>
        </w:trPr>
        <w:tc>
          <w:tcPr>
            <w:tcW w:w="672" w:type="dxa"/>
            <w:vMerge w:val="restart"/>
            <w:vAlign w:val="center"/>
          </w:tcPr>
          <w:p w14:paraId="722993FD">
            <w:pPr>
              <w:pStyle w:val="13"/>
              <w:rPr>
                <w:rFonts w:hint="eastAsia"/>
                <w:highlight w:val="none"/>
                <w:lang w:val="zh-CN"/>
              </w:rPr>
            </w:pPr>
            <w:r>
              <w:rPr>
                <w:highlight w:val="none"/>
                <w:lang w:val="zh-CN"/>
              </w:rPr>
              <w:t>1</w:t>
            </w:r>
          </w:p>
        </w:tc>
        <w:tc>
          <w:tcPr>
            <w:tcW w:w="1562" w:type="dxa"/>
            <w:vMerge w:val="restart"/>
            <w:vAlign w:val="center"/>
          </w:tcPr>
          <w:p w14:paraId="401F4A25">
            <w:pPr>
              <w:pStyle w:val="13"/>
              <w:rPr>
                <w:rFonts w:hint="eastAsia"/>
                <w:highlight w:val="none"/>
                <w:lang w:val="zh-CN"/>
              </w:rPr>
            </w:pPr>
            <w:r>
              <w:rPr>
                <w:highlight w:val="none"/>
                <w:lang w:val="zh-CN"/>
              </w:rPr>
              <w:t>水电预埋管</w:t>
            </w:r>
          </w:p>
        </w:tc>
        <w:tc>
          <w:tcPr>
            <w:tcW w:w="1808" w:type="dxa"/>
            <w:vAlign w:val="center"/>
          </w:tcPr>
          <w:p w14:paraId="0B6C4363">
            <w:pPr>
              <w:pStyle w:val="13"/>
              <w:rPr>
                <w:rFonts w:hint="eastAsia"/>
                <w:highlight w:val="none"/>
                <w:lang w:val="zh-CN"/>
              </w:rPr>
            </w:pPr>
            <w:r>
              <w:rPr>
                <w:highlight w:val="none"/>
                <w:lang w:val="zh-CN"/>
              </w:rPr>
              <w:t>水电预埋管线端口要包封 好，防止砼浇筑时堵塞管道</w:t>
            </w:r>
          </w:p>
        </w:tc>
        <w:tc>
          <w:tcPr>
            <w:tcW w:w="7893" w:type="dxa"/>
            <w:vAlign w:val="center"/>
          </w:tcPr>
          <w:p w14:paraId="5361ED8D">
            <w:pPr>
              <w:pStyle w:val="13"/>
              <w:rPr>
                <w:rFonts w:hint="eastAsia"/>
                <w:highlight w:val="none"/>
                <w:lang w:val="zh-CN"/>
              </w:rPr>
            </w:pPr>
            <w:r>
              <w:rPr>
                <w:highlight w:val="none"/>
              </w:rPr>
              <w:drawing>
                <wp:inline distT="0" distB="0" distL="114300" distR="114300">
                  <wp:extent cx="2268220" cy="1683385"/>
                  <wp:effectExtent l="0" t="0" r="8255" b="2540"/>
                  <wp:docPr id="1274316542" name="图片 1274316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16542" name="图片 1274316542"/>
                          <pic:cNvPicPr>
                            <a:picLocks noChangeAspect="1"/>
                          </pic:cNvPicPr>
                        </pic:nvPicPr>
                        <pic:blipFill>
                          <a:blip r:embed="rId22" cstate="print"/>
                          <a:stretch>
                            <a:fillRect/>
                          </a:stretch>
                        </pic:blipFill>
                        <pic:spPr>
                          <a:xfrm>
                            <a:off x="0" y="0"/>
                            <a:ext cx="2268220" cy="1683385"/>
                          </a:xfrm>
                          <a:prstGeom prst="rect">
                            <a:avLst/>
                          </a:prstGeom>
                          <a:noFill/>
                          <a:ln>
                            <a:noFill/>
                          </a:ln>
                        </pic:spPr>
                      </pic:pic>
                    </a:graphicData>
                  </a:graphic>
                </wp:inline>
              </w:drawing>
            </w:r>
            <w:r>
              <w:rPr>
                <w:highlight w:val="none"/>
              </w:rPr>
              <w:drawing>
                <wp:inline distT="0" distB="0" distL="114300" distR="114300">
                  <wp:extent cx="2336165" cy="1652905"/>
                  <wp:effectExtent l="0" t="0" r="6985" b="4445"/>
                  <wp:docPr id="1639802979" name="图片 163980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802979" name="图片 1639802979"/>
                          <pic:cNvPicPr>
                            <a:picLocks noChangeAspect="1"/>
                          </pic:cNvPicPr>
                        </pic:nvPicPr>
                        <pic:blipFill>
                          <a:blip r:embed="rId23" cstate="print"/>
                          <a:stretch>
                            <a:fillRect/>
                          </a:stretch>
                        </pic:blipFill>
                        <pic:spPr>
                          <a:xfrm>
                            <a:off x="0" y="0"/>
                            <a:ext cx="2336165" cy="1652905"/>
                          </a:xfrm>
                          <a:prstGeom prst="rect">
                            <a:avLst/>
                          </a:prstGeom>
                          <a:noFill/>
                          <a:ln>
                            <a:noFill/>
                          </a:ln>
                        </pic:spPr>
                      </pic:pic>
                    </a:graphicData>
                  </a:graphic>
                </wp:inline>
              </w:drawing>
            </w:r>
          </w:p>
        </w:tc>
        <w:tc>
          <w:tcPr>
            <w:tcW w:w="1198" w:type="dxa"/>
            <w:vAlign w:val="center"/>
          </w:tcPr>
          <w:p w14:paraId="6EE32A17">
            <w:pPr>
              <w:pStyle w:val="13"/>
              <w:rPr>
                <w:rFonts w:hint="eastAsia"/>
                <w:highlight w:val="none"/>
                <w:lang w:val="zh-CN"/>
              </w:rPr>
            </w:pPr>
          </w:p>
        </w:tc>
      </w:tr>
      <w:tr w14:paraId="3895C9F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52" w:hRule="atLeast"/>
        </w:trPr>
        <w:tc>
          <w:tcPr>
            <w:tcW w:w="672" w:type="dxa"/>
            <w:vMerge w:val="continue"/>
            <w:tcBorders>
              <w:top w:val="nil"/>
            </w:tcBorders>
            <w:vAlign w:val="center"/>
          </w:tcPr>
          <w:p w14:paraId="78BCB94A">
            <w:pPr>
              <w:pStyle w:val="13"/>
              <w:rPr>
                <w:rFonts w:hint="eastAsia"/>
                <w:highlight w:val="none"/>
                <w:lang w:val="zh-CN"/>
              </w:rPr>
            </w:pPr>
          </w:p>
        </w:tc>
        <w:tc>
          <w:tcPr>
            <w:tcW w:w="1562" w:type="dxa"/>
            <w:vMerge w:val="continue"/>
            <w:tcBorders>
              <w:top w:val="nil"/>
            </w:tcBorders>
            <w:vAlign w:val="center"/>
          </w:tcPr>
          <w:p w14:paraId="7B1D3B86">
            <w:pPr>
              <w:pStyle w:val="13"/>
              <w:rPr>
                <w:rFonts w:hint="eastAsia"/>
                <w:highlight w:val="none"/>
                <w:lang w:val="zh-CN"/>
              </w:rPr>
            </w:pPr>
          </w:p>
        </w:tc>
        <w:tc>
          <w:tcPr>
            <w:tcW w:w="1808" w:type="dxa"/>
            <w:vAlign w:val="center"/>
          </w:tcPr>
          <w:p w14:paraId="2B817665">
            <w:pPr>
              <w:pStyle w:val="13"/>
              <w:rPr>
                <w:rFonts w:hint="eastAsia"/>
                <w:highlight w:val="none"/>
                <w:lang w:val="zh-CN"/>
              </w:rPr>
            </w:pPr>
            <w:r>
              <w:rPr>
                <w:highlight w:val="none"/>
                <w:lang w:val="zh-CN"/>
              </w:rPr>
              <w:t>首层楼板的预留洞，提前进行封堵，防止养护用水流至地下室。</w:t>
            </w:r>
          </w:p>
        </w:tc>
        <w:tc>
          <w:tcPr>
            <w:tcW w:w="7893" w:type="dxa"/>
            <w:vAlign w:val="center"/>
          </w:tcPr>
          <w:p w14:paraId="20A7DE21">
            <w:pPr>
              <w:pStyle w:val="13"/>
              <w:rPr>
                <w:rFonts w:hint="eastAsia"/>
                <w:highlight w:val="none"/>
                <w:lang w:val="zh-CN"/>
              </w:rPr>
            </w:pPr>
          </w:p>
          <w:p w14:paraId="63015EDE">
            <w:pPr>
              <w:pStyle w:val="13"/>
              <w:rPr>
                <w:rFonts w:hint="eastAsia"/>
                <w:highlight w:val="none"/>
                <w:lang w:val="zh-CN"/>
              </w:rPr>
            </w:pPr>
            <w:r>
              <w:rPr>
                <w:highlight w:val="none"/>
              </w:rPr>
              <w:drawing>
                <wp:inline distT="0" distB="0" distL="0" distR="0">
                  <wp:extent cx="2161540" cy="2327910"/>
                  <wp:effectExtent l="0" t="0" r="635" b="5715"/>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4.jpeg"/>
                          <pic:cNvPicPr>
                            <a:picLocks noChangeAspect="1"/>
                          </pic:cNvPicPr>
                        </pic:nvPicPr>
                        <pic:blipFill>
                          <a:blip r:embed="rId24" cstate="print"/>
                          <a:stretch>
                            <a:fillRect/>
                          </a:stretch>
                        </pic:blipFill>
                        <pic:spPr>
                          <a:xfrm>
                            <a:off x="0" y="0"/>
                            <a:ext cx="2161671" cy="2328100"/>
                          </a:xfrm>
                          <a:prstGeom prst="rect">
                            <a:avLst/>
                          </a:prstGeom>
                        </pic:spPr>
                      </pic:pic>
                    </a:graphicData>
                  </a:graphic>
                </wp:inline>
              </w:drawing>
            </w:r>
            <w:r>
              <w:rPr>
                <w:highlight w:val="none"/>
              </w:rPr>
              <w:drawing>
                <wp:inline distT="0" distB="0" distL="0" distR="0">
                  <wp:extent cx="2343785" cy="2268855"/>
                  <wp:effectExtent l="0" t="0" r="8890" b="7620"/>
                  <wp:docPr id="2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5.jpeg"/>
                          <pic:cNvPicPr>
                            <a:picLocks noChangeAspect="1"/>
                          </pic:cNvPicPr>
                        </pic:nvPicPr>
                        <pic:blipFill>
                          <a:blip r:embed="rId25" cstate="print"/>
                          <a:stretch>
                            <a:fillRect/>
                          </a:stretch>
                        </pic:blipFill>
                        <pic:spPr>
                          <a:xfrm>
                            <a:off x="0" y="0"/>
                            <a:ext cx="2344128" cy="2269426"/>
                          </a:xfrm>
                          <a:prstGeom prst="rect">
                            <a:avLst/>
                          </a:prstGeom>
                        </pic:spPr>
                      </pic:pic>
                    </a:graphicData>
                  </a:graphic>
                </wp:inline>
              </w:drawing>
            </w:r>
          </w:p>
        </w:tc>
        <w:tc>
          <w:tcPr>
            <w:tcW w:w="1198" w:type="dxa"/>
            <w:vAlign w:val="center"/>
          </w:tcPr>
          <w:p w14:paraId="46A16468">
            <w:pPr>
              <w:pStyle w:val="13"/>
              <w:rPr>
                <w:rFonts w:hint="eastAsia"/>
                <w:highlight w:val="none"/>
                <w:lang w:val="zh-CN"/>
              </w:rPr>
            </w:pPr>
          </w:p>
        </w:tc>
      </w:tr>
      <w:tr w14:paraId="169AEC1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223" w:hRule="atLeast"/>
        </w:trPr>
        <w:tc>
          <w:tcPr>
            <w:tcW w:w="672" w:type="dxa"/>
            <w:vMerge w:val="continue"/>
            <w:tcBorders>
              <w:top w:val="nil"/>
            </w:tcBorders>
            <w:vAlign w:val="center"/>
          </w:tcPr>
          <w:p w14:paraId="6572D170">
            <w:pPr>
              <w:pStyle w:val="13"/>
              <w:rPr>
                <w:rFonts w:hint="eastAsia"/>
                <w:highlight w:val="none"/>
                <w:lang w:val="zh-CN"/>
              </w:rPr>
            </w:pPr>
          </w:p>
        </w:tc>
        <w:tc>
          <w:tcPr>
            <w:tcW w:w="1562" w:type="dxa"/>
            <w:vMerge w:val="continue"/>
            <w:tcBorders>
              <w:top w:val="nil"/>
            </w:tcBorders>
            <w:vAlign w:val="center"/>
          </w:tcPr>
          <w:p w14:paraId="00D9B06D">
            <w:pPr>
              <w:pStyle w:val="13"/>
              <w:rPr>
                <w:rFonts w:hint="eastAsia"/>
                <w:highlight w:val="none"/>
                <w:lang w:val="zh-CN"/>
              </w:rPr>
            </w:pPr>
          </w:p>
        </w:tc>
        <w:tc>
          <w:tcPr>
            <w:tcW w:w="1808" w:type="dxa"/>
            <w:vAlign w:val="center"/>
          </w:tcPr>
          <w:p w14:paraId="3A51E6F1">
            <w:pPr>
              <w:pStyle w:val="13"/>
              <w:rPr>
                <w:rFonts w:hint="eastAsia"/>
                <w:highlight w:val="none"/>
                <w:lang w:val="zh-CN"/>
              </w:rPr>
            </w:pPr>
            <w:r>
              <w:rPr>
                <w:highlight w:val="none"/>
                <w:lang w:val="zh-CN"/>
              </w:rPr>
              <w:t>出楼面线管采用木盒进行保护。</w:t>
            </w:r>
          </w:p>
        </w:tc>
        <w:tc>
          <w:tcPr>
            <w:tcW w:w="7893" w:type="dxa"/>
            <w:vAlign w:val="center"/>
          </w:tcPr>
          <w:p w14:paraId="73157EDF">
            <w:pPr>
              <w:pStyle w:val="13"/>
              <w:rPr>
                <w:rFonts w:hint="eastAsia"/>
                <w:highlight w:val="none"/>
                <w:lang w:val="zh-CN"/>
              </w:rPr>
            </w:pPr>
          </w:p>
        </w:tc>
        <w:tc>
          <w:tcPr>
            <w:tcW w:w="1198" w:type="dxa"/>
            <w:vAlign w:val="center"/>
          </w:tcPr>
          <w:p w14:paraId="1AB115B8">
            <w:pPr>
              <w:pStyle w:val="13"/>
              <w:rPr>
                <w:rFonts w:hint="eastAsia"/>
                <w:highlight w:val="none"/>
                <w:lang w:val="zh-CN"/>
              </w:rPr>
            </w:pPr>
          </w:p>
        </w:tc>
      </w:tr>
      <w:tr w14:paraId="07B0492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3324" w:hRule="atLeast"/>
        </w:trPr>
        <w:tc>
          <w:tcPr>
            <w:tcW w:w="672" w:type="dxa"/>
            <w:vAlign w:val="center"/>
          </w:tcPr>
          <w:p w14:paraId="5060FE2F">
            <w:pPr>
              <w:pStyle w:val="13"/>
              <w:rPr>
                <w:rFonts w:hint="eastAsia"/>
                <w:highlight w:val="none"/>
                <w:lang w:val="zh-CN"/>
              </w:rPr>
            </w:pPr>
            <w:r>
              <w:rPr>
                <w:highlight w:val="none"/>
                <w:lang w:val="zh-CN"/>
              </w:rPr>
              <w:t>2</w:t>
            </w:r>
          </w:p>
        </w:tc>
        <w:tc>
          <w:tcPr>
            <w:tcW w:w="1562" w:type="dxa"/>
            <w:vAlign w:val="center"/>
          </w:tcPr>
          <w:p w14:paraId="34042F43">
            <w:pPr>
              <w:pStyle w:val="13"/>
              <w:rPr>
                <w:rFonts w:hint="eastAsia"/>
                <w:highlight w:val="none"/>
                <w:lang w:val="zh-CN"/>
              </w:rPr>
            </w:pPr>
            <w:r>
              <w:rPr>
                <w:rFonts w:hint="eastAsia"/>
                <w:highlight w:val="none"/>
                <w:lang w:val="zh-CN"/>
              </w:rPr>
              <w:t>管道</w:t>
            </w:r>
          </w:p>
        </w:tc>
        <w:tc>
          <w:tcPr>
            <w:tcW w:w="1808" w:type="dxa"/>
            <w:vAlign w:val="center"/>
          </w:tcPr>
          <w:p w14:paraId="1F95DD2E">
            <w:pPr>
              <w:pStyle w:val="13"/>
              <w:rPr>
                <w:rFonts w:hint="eastAsia"/>
                <w:highlight w:val="none"/>
                <w:lang w:val="zh-CN"/>
              </w:rPr>
            </w:pPr>
            <w:r>
              <w:rPr>
                <w:highlight w:val="none"/>
                <w:lang w:val="zh-CN"/>
              </w:rPr>
              <w:t>采用塑料薄膜包裹，防止封堵及污染</w:t>
            </w:r>
          </w:p>
        </w:tc>
        <w:tc>
          <w:tcPr>
            <w:tcW w:w="7893" w:type="dxa"/>
            <w:vAlign w:val="center"/>
          </w:tcPr>
          <w:p w14:paraId="5352FE42">
            <w:pPr>
              <w:pStyle w:val="13"/>
              <w:rPr>
                <w:rFonts w:hint="eastAsia"/>
                <w:highlight w:val="none"/>
                <w:lang w:val="zh-CN"/>
              </w:rPr>
            </w:pPr>
            <w:r>
              <w:rPr>
                <w:highlight w:val="none"/>
              </w:rPr>
              <w:drawing>
                <wp:inline distT="0" distB="0" distL="0" distR="0">
                  <wp:extent cx="2360295" cy="2637790"/>
                  <wp:effectExtent l="0" t="0" r="1905" b="635"/>
                  <wp:docPr id="3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6.jpeg"/>
                          <pic:cNvPicPr>
                            <a:picLocks noChangeAspect="1"/>
                          </pic:cNvPicPr>
                        </pic:nvPicPr>
                        <pic:blipFill>
                          <a:blip r:embed="rId26" cstate="print"/>
                          <a:stretch>
                            <a:fillRect/>
                          </a:stretch>
                        </pic:blipFill>
                        <pic:spPr>
                          <a:xfrm>
                            <a:off x="0" y="0"/>
                            <a:ext cx="2360882" cy="2637853"/>
                          </a:xfrm>
                          <a:prstGeom prst="rect">
                            <a:avLst/>
                          </a:prstGeom>
                        </pic:spPr>
                      </pic:pic>
                    </a:graphicData>
                  </a:graphic>
                </wp:inline>
              </w:drawing>
            </w:r>
            <w:r>
              <w:rPr>
                <w:highlight w:val="none"/>
              </w:rPr>
              <w:drawing>
                <wp:inline distT="0" distB="0" distL="0" distR="0">
                  <wp:extent cx="2192655" cy="2630170"/>
                  <wp:effectExtent l="0" t="0" r="7620" b="8255"/>
                  <wp:docPr id="3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7.jpeg"/>
                          <pic:cNvPicPr>
                            <a:picLocks noChangeAspect="1"/>
                          </pic:cNvPicPr>
                        </pic:nvPicPr>
                        <pic:blipFill>
                          <a:blip r:embed="rId27" cstate="print"/>
                          <a:stretch>
                            <a:fillRect/>
                          </a:stretch>
                        </pic:blipFill>
                        <pic:spPr>
                          <a:xfrm>
                            <a:off x="0" y="0"/>
                            <a:ext cx="2193015" cy="2630709"/>
                          </a:xfrm>
                          <a:prstGeom prst="rect">
                            <a:avLst/>
                          </a:prstGeom>
                        </pic:spPr>
                      </pic:pic>
                    </a:graphicData>
                  </a:graphic>
                </wp:inline>
              </w:drawing>
            </w:r>
          </w:p>
        </w:tc>
        <w:tc>
          <w:tcPr>
            <w:tcW w:w="1198" w:type="dxa"/>
            <w:vAlign w:val="center"/>
          </w:tcPr>
          <w:p w14:paraId="31F10DEF">
            <w:pPr>
              <w:pStyle w:val="13"/>
              <w:rPr>
                <w:rFonts w:hint="eastAsia"/>
                <w:highlight w:val="none"/>
                <w:lang w:val="zh-CN"/>
              </w:rPr>
            </w:pPr>
          </w:p>
        </w:tc>
      </w:tr>
      <w:tr w14:paraId="2D7CB19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46" w:hRule="atLeast"/>
        </w:trPr>
        <w:tc>
          <w:tcPr>
            <w:tcW w:w="672" w:type="dxa"/>
            <w:vAlign w:val="center"/>
          </w:tcPr>
          <w:p w14:paraId="10F2B037">
            <w:pPr>
              <w:pStyle w:val="13"/>
              <w:rPr>
                <w:rFonts w:hint="eastAsia"/>
                <w:highlight w:val="none"/>
                <w:lang w:val="zh-CN"/>
              </w:rPr>
            </w:pPr>
            <w:r>
              <w:rPr>
                <w:highlight w:val="none"/>
                <w:lang w:val="zh-CN"/>
              </w:rPr>
              <w:t>3</w:t>
            </w:r>
          </w:p>
        </w:tc>
        <w:tc>
          <w:tcPr>
            <w:tcW w:w="1562" w:type="dxa"/>
            <w:vAlign w:val="center"/>
          </w:tcPr>
          <w:p w14:paraId="495EE20E">
            <w:pPr>
              <w:pStyle w:val="13"/>
              <w:rPr>
                <w:rFonts w:hint="eastAsia"/>
                <w:highlight w:val="none"/>
                <w:lang w:val="zh-CN"/>
              </w:rPr>
            </w:pPr>
            <w:r>
              <w:rPr>
                <w:rFonts w:hint="eastAsia"/>
                <w:highlight w:val="none"/>
                <w:lang w:val="zh-CN"/>
              </w:rPr>
              <w:t>室内空调及部件</w:t>
            </w:r>
          </w:p>
        </w:tc>
        <w:tc>
          <w:tcPr>
            <w:tcW w:w="1808" w:type="dxa"/>
            <w:vAlign w:val="center"/>
          </w:tcPr>
          <w:p w14:paraId="58131624">
            <w:pPr>
              <w:pStyle w:val="13"/>
              <w:rPr>
                <w:rFonts w:hint="eastAsia"/>
                <w:highlight w:val="none"/>
                <w:lang w:val="zh-CN"/>
              </w:rPr>
            </w:pPr>
            <w:r>
              <w:rPr>
                <w:highlight w:val="none"/>
                <w:lang w:val="zh-CN"/>
              </w:rPr>
              <w:t>1、 安装调试完成后，室内壁挂机立即用原厂包装用的塑料薄膜与机身固定，确保每边都封闭密实。</w:t>
            </w:r>
          </w:p>
          <w:p w14:paraId="6F4541DC">
            <w:pPr>
              <w:pStyle w:val="13"/>
              <w:rPr>
                <w:rFonts w:hint="eastAsia"/>
                <w:highlight w:val="none"/>
                <w:lang w:val="zh-CN"/>
              </w:rPr>
            </w:pPr>
            <w:r>
              <w:rPr>
                <w:highlight w:val="none"/>
                <w:lang w:val="zh-CN"/>
              </w:rPr>
              <w:t>2、 风管机、出回风口均用薄膜裁剪成与风口同一尺 寸，满铺，并用美纹纸将薄膜与风口翻边黏贴固定</w:t>
            </w:r>
          </w:p>
        </w:tc>
        <w:tc>
          <w:tcPr>
            <w:tcW w:w="7893" w:type="dxa"/>
            <w:vAlign w:val="center"/>
          </w:tcPr>
          <w:p w14:paraId="4EFC8C82">
            <w:pPr>
              <w:pStyle w:val="13"/>
              <w:rPr>
                <w:rFonts w:hint="eastAsia"/>
                <w:highlight w:val="none"/>
                <w:lang w:val="zh-CN"/>
              </w:rPr>
            </w:pPr>
            <w:r>
              <w:rPr>
                <w:highlight w:val="none"/>
              </w:rPr>
              <w:drawing>
                <wp:inline distT="0" distB="0" distL="0" distR="0">
                  <wp:extent cx="2222500" cy="2162175"/>
                  <wp:effectExtent l="0" t="0" r="6350" b="0"/>
                  <wp:docPr id="35" name="image21.jpeg"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1.jpeg" descr="11"/>
                          <pic:cNvPicPr>
                            <a:picLocks noChangeAspect="1"/>
                          </pic:cNvPicPr>
                        </pic:nvPicPr>
                        <pic:blipFill>
                          <a:blip r:embed="rId28" cstate="print"/>
                          <a:stretch>
                            <a:fillRect/>
                          </a:stretch>
                        </pic:blipFill>
                        <pic:spPr>
                          <a:xfrm>
                            <a:off x="0" y="0"/>
                            <a:ext cx="2222937" cy="2162555"/>
                          </a:xfrm>
                          <a:prstGeom prst="rect">
                            <a:avLst/>
                          </a:prstGeom>
                        </pic:spPr>
                      </pic:pic>
                    </a:graphicData>
                  </a:graphic>
                </wp:inline>
              </w:drawing>
            </w:r>
            <w:r>
              <w:rPr>
                <w:highlight w:val="none"/>
              </w:rPr>
              <w:drawing>
                <wp:inline distT="0" distB="0" distL="0" distR="0">
                  <wp:extent cx="2329815" cy="2095500"/>
                  <wp:effectExtent l="0" t="0" r="3810" b="0"/>
                  <wp:docPr id="37" name="image22.jpeg"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2.jpeg" descr="12"/>
                          <pic:cNvPicPr>
                            <a:picLocks noChangeAspect="1"/>
                          </pic:cNvPicPr>
                        </pic:nvPicPr>
                        <pic:blipFill>
                          <a:blip r:embed="rId29" cstate="print"/>
                          <a:stretch>
                            <a:fillRect/>
                          </a:stretch>
                        </pic:blipFill>
                        <pic:spPr>
                          <a:xfrm>
                            <a:off x="0" y="0"/>
                            <a:ext cx="2330208" cy="2095690"/>
                          </a:xfrm>
                          <a:prstGeom prst="rect">
                            <a:avLst/>
                          </a:prstGeom>
                        </pic:spPr>
                      </pic:pic>
                    </a:graphicData>
                  </a:graphic>
                </wp:inline>
              </w:drawing>
            </w:r>
          </w:p>
        </w:tc>
        <w:tc>
          <w:tcPr>
            <w:tcW w:w="1198" w:type="dxa"/>
            <w:vAlign w:val="center"/>
          </w:tcPr>
          <w:p w14:paraId="49A72D2B">
            <w:pPr>
              <w:pStyle w:val="13"/>
              <w:rPr>
                <w:rFonts w:hint="eastAsia"/>
                <w:highlight w:val="none"/>
                <w:lang w:val="zh-CN"/>
              </w:rPr>
            </w:pPr>
          </w:p>
        </w:tc>
      </w:tr>
      <w:tr w14:paraId="6D659C8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24" w:hRule="atLeast"/>
        </w:trPr>
        <w:tc>
          <w:tcPr>
            <w:tcW w:w="672" w:type="dxa"/>
            <w:vAlign w:val="center"/>
          </w:tcPr>
          <w:p w14:paraId="23B51DE9">
            <w:pPr>
              <w:pStyle w:val="13"/>
              <w:rPr>
                <w:rFonts w:hint="eastAsia"/>
                <w:highlight w:val="none"/>
                <w:lang w:val="zh-CN"/>
              </w:rPr>
            </w:pPr>
            <w:r>
              <w:rPr>
                <w:highlight w:val="none"/>
                <w:lang w:val="zh-CN"/>
              </w:rPr>
              <w:t>5</w:t>
            </w:r>
          </w:p>
        </w:tc>
        <w:tc>
          <w:tcPr>
            <w:tcW w:w="1562" w:type="dxa"/>
            <w:vAlign w:val="center"/>
          </w:tcPr>
          <w:p w14:paraId="76492E63">
            <w:pPr>
              <w:pStyle w:val="13"/>
              <w:rPr>
                <w:rFonts w:hint="eastAsia"/>
                <w:highlight w:val="none"/>
                <w:lang w:val="zh-CN"/>
              </w:rPr>
            </w:pPr>
            <w:r>
              <w:rPr>
                <w:highlight w:val="none"/>
                <w:lang w:val="zh-CN"/>
              </w:rPr>
              <w:t>风柜、风口</w:t>
            </w:r>
          </w:p>
        </w:tc>
        <w:tc>
          <w:tcPr>
            <w:tcW w:w="1808" w:type="dxa"/>
            <w:vAlign w:val="center"/>
          </w:tcPr>
          <w:p w14:paraId="70857563">
            <w:pPr>
              <w:pStyle w:val="13"/>
              <w:rPr>
                <w:rFonts w:hint="eastAsia"/>
                <w:highlight w:val="none"/>
                <w:lang w:val="zh-CN"/>
              </w:rPr>
            </w:pPr>
            <w:r>
              <w:rPr>
                <w:highlight w:val="none"/>
                <w:lang w:val="zh-CN"/>
              </w:rPr>
              <w:t>1、 风柜安装完成后，用</w:t>
            </w:r>
            <w:r>
              <w:rPr>
                <w:highlight w:val="none"/>
              </w:rPr>
              <w:t>防火布</w:t>
            </w:r>
            <w:r>
              <w:rPr>
                <w:highlight w:val="none"/>
                <w:lang w:val="zh-CN"/>
              </w:rPr>
              <w:t>覆盖包裹保护，并贴上警示标识；  2、 风口用塑料薄膜进行包裹。</w:t>
            </w:r>
          </w:p>
        </w:tc>
        <w:tc>
          <w:tcPr>
            <w:tcW w:w="7893" w:type="dxa"/>
            <w:vAlign w:val="center"/>
          </w:tcPr>
          <w:p w14:paraId="4AF546AF">
            <w:pPr>
              <w:pStyle w:val="13"/>
              <w:rPr>
                <w:rFonts w:hint="eastAsia"/>
                <w:highlight w:val="none"/>
                <w:lang w:val="zh-CN"/>
              </w:rPr>
            </w:pPr>
            <w:r>
              <w:rPr>
                <w:highlight w:val="none"/>
              </w:rPr>
              <w:drawing>
                <wp:inline distT="0" distB="0" distL="0" distR="0">
                  <wp:extent cx="2324100" cy="2384425"/>
                  <wp:effectExtent l="0" t="0" r="0" b="6350"/>
                  <wp:docPr id="45" name="image26.jpeg"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6.jpeg" descr="18"/>
                          <pic:cNvPicPr>
                            <a:picLocks noChangeAspect="1"/>
                          </pic:cNvPicPr>
                        </pic:nvPicPr>
                        <pic:blipFill>
                          <a:blip r:embed="rId30" cstate="print"/>
                          <a:stretch>
                            <a:fillRect/>
                          </a:stretch>
                        </pic:blipFill>
                        <pic:spPr>
                          <a:xfrm>
                            <a:off x="0" y="0"/>
                            <a:ext cx="2324364" cy="2384869"/>
                          </a:xfrm>
                          <a:prstGeom prst="rect">
                            <a:avLst/>
                          </a:prstGeom>
                        </pic:spPr>
                      </pic:pic>
                    </a:graphicData>
                  </a:graphic>
                </wp:inline>
              </w:drawing>
            </w:r>
          </w:p>
        </w:tc>
        <w:tc>
          <w:tcPr>
            <w:tcW w:w="1198" w:type="dxa"/>
            <w:vAlign w:val="center"/>
          </w:tcPr>
          <w:p w14:paraId="3EA57AD2">
            <w:pPr>
              <w:pStyle w:val="13"/>
              <w:rPr>
                <w:rFonts w:hint="eastAsia"/>
                <w:highlight w:val="none"/>
                <w:lang w:val="zh-CN"/>
              </w:rPr>
            </w:pPr>
          </w:p>
        </w:tc>
      </w:tr>
      <w:tr w14:paraId="3C44B4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24" w:hRule="atLeast"/>
        </w:trPr>
        <w:tc>
          <w:tcPr>
            <w:tcW w:w="672" w:type="dxa"/>
            <w:vAlign w:val="center"/>
          </w:tcPr>
          <w:p w14:paraId="6E3404B8">
            <w:pPr>
              <w:pStyle w:val="13"/>
              <w:rPr>
                <w:rFonts w:hint="eastAsia"/>
                <w:highlight w:val="none"/>
                <w:lang w:val="zh-CN"/>
              </w:rPr>
            </w:pPr>
            <w:r>
              <w:rPr>
                <w:highlight w:val="none"/>
                <w:lang w:val="zh-CN"/>
              </w:rPr>
              <w:t>6</w:t>
            </w:r>
          </w:p>
        </w:tc>
        <w:tc>
          <w:tcPr>
            <w:tcW w:w="1562" w:type="dxa"/>
            <w:vAlign w:val="center"/>
          </w:tcPr>
          <w:p w14:paraId="5CA600E7">
            <w:pPr>
              <w:pStyle w:val="13"/>
              <w:rPr>
                <w:rFonts w:hint="eastAsia"/>
                <w:highlight w:val="none"/>
                <w:lang w:val="zh-CN"/>
              </w:rPr>
            </w:pPr>
            <w:r>
              <w:rPr>
                <w:highlight w:val="none"/>
                <w:lang w:val="zh-CN"/>
              </w:rPr>
              <w:t>垂直电梯</w:t>
            </w:r>
          </w:p>
        </w:tc>
        <w:tc>
          <w:tcPr>
            <w:tcW w:w="1808" w:type="dxa"/>
            <w:vAlign w:val="center"/>
          </w:tcPr>
          <w:p w14:paraId="677D73B5">
            <w:pPr>
              <w:pStyle w:val="13"/>
              <w:rPr>
                <w:rFonts w:hint="eastAsia"/>
                <w:highlight w:val="none"/>
                <w:lang w:val="zh-CN"/>
              </w:rPr>
            </w:pPr>
            <w:r>
              <w:rPr>
                <w:highlight w:val="none"/>
                <w:lang w:val="zh-CN"/>
              </w:rPr>
              <w:t>电梯公共部分装修验收合格后，用适宜尺寸的成品瓦楞纸（或9厘夹板）折成门套形状，用胶带固定在外侧瓷砖上。在转角部位用硬板条加强保护。</w:t>
            </w:r>
          </w:p>
          <w:p w14:paraId="52CCE622">
            <w:pPr>
              <w:pStyle w:val="13"/>
              <w:rPr>
                <w:rFonts w:hint="eastAsia"/>
                <w:highlight w:val="none"/>
                <w:lang w:val="zh-CN"/>
              </w:rPr>
            </w:pPr>
            <w:r>
              <w:rPr>
                <w:highlight w:val="none"/>
                <w:lang w:val="zh-CN"/>
              </w:rPr>
              <w:t>2、 电梯轿厢内地面与箱壁采用9厘夹板满铺保护。</w:t>
            </w:r>
          </w:p>
        </w:tc>
        <w:tc>
          <w:tcPr>
            <w:tcW w:w="7893" w:type="dxa"/>
            <w:vAlign w:val="center"/>
          </w:tcPr>
          <w:p w14:paraId="19A5781A">
            <w:pPr>
              <w:pStyle w:val="13"/>
              <w:rPr>
                <w:rFonts w:hint="eastAsia"/>
                <w:highlight w:val="none"/>
                <w:lang w:val="zh-CN"/>
              </w:rPr>
            </w:pPr>
            <w:r>
              <w:rPr>
                <w:highlight w:val="none"/>
              </w:rPr>
              <w:drawing>
                <wp:inline distT="0" distB="0" distL="0" distR="0">
                  <wp:extent cx="2134235" cy="2935605"/>
                  <wp:effectExtent l="0" t="0" r="8890" b="7620"/>
                  <wp:docPr id="47" name="image27.jpeg"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7.jpeg" descr="20"/>
                          <pic:cNvPicPr>
                            <a:picLocks noChangeAspect="1"/>
                          </pic:cNvPicPr>
                        </pic:nvPicPr>
                        <pic:blipFill>
                          <a:blip r:embed="rId31" cstate="print"/>
                          <a:stretch>
                            <a:fillRect/>
                          </a:stretch>
                        </pic:blipFill>
                        <pic:spPr>
                          <a:xfrm>
                            <a:off x="0" y="0"/>
                            <a:ext cx="2134432" cy="2936081"/>
                          </a:xfrm>
                          <a:prstGeom prst="rect">
                            <a:avLst/>
                          </a:prstGeom>
                        </pic:spPr>
                      </pic:pic>
                    </a:graphicData>
                  </a:graphic>
                </wp:inline>
              </w:drawing>
            </w:r>
            <w:r>
              <w:rPr>
                <w:highlight w:val="none"/>
              </w:rPr>
              <w:drawing>
                <wp:inline distT="0" distB="0" distL="0" distR="0">
                  <wp:extent cx="2292350" cy="2921000"/>
                  <wp:effectExtent l="0" t="0" r="3175" b="3175"/>
                  <wp:docPr id="49" name="image28.jpeg"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8.jpeg" descr="19"/>
                          <pic:cNvPicPr>
                            <a:picLocks noChangeAspect="1"/>
                          </pic:cNvPicPr>
                        </pic:nvPicPr>
                        <pic:blipFill>
                          <a:blip r:embed="rId32" cstate="print"/>
                          <a:stretch>
                            <a:fillRect/>
                          </a:stretch>
                        </pic:blipFill>
                        <pic:spPr>
                          <a:xfrm>
                            <a:off x="0" y="0"/>
                            <a:ext cx="2292641" cy="2921507"/>
                          </a:xfrm>
                          <a:prstGeom prst="rect">
                            <a:avLst/>
                          </a:prstGeom>
                        </pic:spPr>
                      </pic:pic>
                    </a:graphicData>
                  </a:graphic>
                </wp:inline>
              </w:drawing>
            </w:r>
          </w:p>
        </w:tc>
        <w:tc>
          <w:tcPr>
            <w:tcW w:w="1198" w:type="dxa"/>
            <w:vAlign w:val="center"/>
          </w:tcPr>
          <w:p w14:paraId="7BFD3770">
            <w:pPr>
              <w:pStyle w:val="13"/>
              <w:rPr>
                <w:rFonts w:hint="eastAsia"/>
                <w:highlight w:val="none"/>
                <w:lang w:val="zh-CN"/>
              </w:rPr>
            </w:pPr>
          </w:p>
        </w:tc>
      </w:tr>
      <w:tr w14:paraId="34880BF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3324" w:hRule="atLeast"/>
        </w:trPr>
        <w:tc>
          <w:tcPr>
            <w:tcW w:w="672" w:type="dxa"/>
            <w:vAlign w:val="center"/>
          </w:tcPr>
          <w:p w14:paraId="32C02EBC">
            <w:pPr>
              <w:pStyle w:val="13"/>
              <w:rPr>
                <w:rFonts w:hint="eastAsia"/>
                <w:highlight w:val="none"/>
                <w:lang w:val="zh-CN"/>
              </w:rPr>
            </w:pPr>
            <w:r>
              <w:rPr>
                <w:highlight w:val="none"/>
                <w:lang w:val="zh-CN"/>
              </w:rPr>
              <w:t>8</w:t>
            </w:r>
          </w:p>
        </w:tc>
        <w:tc>
          <w:tcPr>
            <w:tcW w:w="1562" w:type="dxa"/>
            <w:vAlign w:val="center"/>
          </w:tcPr>
          <w:p w14:paraId="11CDB1B9">
            <w:pPr>
              <w:pStyle w:val="13"/>
              <w:rPr>
                <w:rFonts w:hint="eastAsia"/>
                <w:highlight w:val="none"/>
                <w:lang w:val="zh-CN"/>
              </w:rPr>
            </w:pPr>
            <w:r>
              <w:rPr>
                <w:highlight w:val="none"/>
                <w:lang w:val="zh-CN"/>
              </w:rPr>
              <w:t>冷水机组、热交换器、落地式空调机组、柴油发电机</w:t>
            </w:r>
          </w:p>
        </w:tc>
        <w:tc>
          <w:tcPr>
            <w:tcW w:w="1808" w:type="dxa"/>
            <w:vAlign w:val="center"/>
          </w:tcPr>
          <w:p w14:paraId="1B27CE5E">
            <w:pPr>
              <w:pStyle w:val="13"/>
              <w:rPr>
                <w:rFonts w:hint="eastAsia"/>
                <w:highlight w:val="none"/>
                <w:lang w:val="zh-CN"/>
              </w:rPr>
            </w:pPr>
            <w:r>
              <w:rPr>
                <w:highlight w:val="none"/>
                <w:lang w:val="zh-CN"/>
              </w:rPr>
              <w:t>采用包装箱或者</w:t>
            </w:r>
            <w:r>
              <w:rPr>
                <w:highlight w:val="none"/>
              </w:rPr>
              <w:t>防火布</w:t>
            </w:r>
            <w:r>
              <w:rPr>
                <w:highlight w:val="none"/>
                <w:lang w:val="zh-CN"/>
              </w:rPr>
              <w:t>及时包裹保护， 防止设备污染和破坏</w:t>
            </w:r>
          </w:p>
        </w:tc>
        <w:tc>
          <w:tcPr>
            <w:tcW w:w="7893" w:type="dxa"/>
            <w:vAlign w:val="center"/>
          </w:tcPr>
          <w:p w14:paraId="61249C8D">
            <w:pPr>
              <w:pStyle w:val="13"/>
              <w:rPr>
                <w:rFonts w:hint="eastAsia"/>
                <w:highlight w:val="none"/>
                <w:lang w:val="zh-CN"/>
              </w:rPr>
            </w:pPr>
            <w:r>
              <w:rPr>
                <w:highlight w:val="none"/>
              </w:rPr>
              <w:drawing>
                <wp:inline distT="0" distB="0" distL="0" distR="0">
                  <wp:extent cx="4165600" cy="2665095"/>
                  <wp:effectExtent l="0" t="0" r="6350" b="1905"/>
                  <wp:docPr id="53" name="image30.jpeg" descr="CIMG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30.jpeg" descr="CIMG2293"/>
                          <pic:cNvPicPr>
                            <a:picLocks noChangeAspect="1"/>
                          </pic:cNvPicPr>
                        </pic:nvPicPr>
                        <pic:blipFill>
                          <a:blip r:embed="rId33" cstate="print"/>
                          <a:stretch>
                            <a:fillRect/>
                          </a:stretch>
                        </pic:blipFill>
                        <pic:spPr>
                          <a:xfrm>
                            <a:off x="0" y="0"/>
                            <a:ext cx="4166059" cy="2665476"/>
                          </a:xfrm>
                          <a:prstGeom prst="rect">
                            <a:avLst/>
                          </a:prstGeom>
                        </pic:spPr>
                      </pic:pic>
                    </a:graphicData>
                  </a:graphic>
                </wp:inline>
              </w:drawing>
            </w:r>
          </w:p>
        </w:tc>
        <w:tc>
          <w:tcPr>
            <w:tcW w:w="1198" w:type="dxa"/>
            <w:vAlign w:val="center"/>
          </w:tcPr>
          <w:p w14:paraId="5496B419">
            <w:pPr>
              <w:pStyle w:val="13"/>
              <w:rPr>
                <w:rFonts w:hint="eastAsia"/>
                <w:highlight w:val="none"/>
                <w:lang w:val="zh-CN"/>
              </w:rPr>
            </w:pPr>
          </w:p>
        </w:tc>
      </w:tr>
    </w:tbl>
    <w:p w14:paraId="62408169">
      <w:pPr>
        <w:spacing w:before="120" w:beforeLines="50" w:after="120" w:afterLines="50"/>
        <w:ind w:firstLine="480"/>
        <w:rPr>
          <w:rFonts w:hint="eastAsia" w:cs="宋体"/>
          <w:highlight w:val="none"/>
        </w:rPr>
      </w:pPr>
    </w:p>
    <w:p w14:paraId="5FB18231">
      <w:pPr>
        <w:pStyle w:val="5"/>
        <w:rPr>
          <w:rFonts w:hint="eastAsia"/>
          <w:highlight w:val="none"/>
        </w:rPr>
      </w:pPr>
      <w:r>
        <w:rPr>
          <w:rFonts w:hint="eastAsia"/>
          <w:highlight w:val="none"/>
        </w:rPr>
        <w:t xml:space="preserve"> 精装修成品保护标准做法</w:t>
      </w:r>
    </w:p>
    <w:p w14:paraId="37DC84F7">
      <w:pPr>
        <w:spacing w:before="120" w:beforeLines="50" w:after="120" w:afterLines="50"/>
        <w:ind w:left="480" w:leftChars="200" w:firstLine="480"/>
        <w:rPr>
          <w:rFonts w:hint="eastAsia" w:cs="宋体"/>
          <w:highlight w:val="none"/>
        </w:rPr>
      </w:pPr>
    </w:p>
    <w:tbl>
      <w:tblPr>
        <w:tblStyle w:val="20"/>
        <w:tblW w:w="0" w:type="auto"/>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765"/>
        <w:gridCol w:w="1080"/>
        <w:gridCol w:w="812"/>
        <w:gridCol w:w="2072"/>
        <w:gridCol w:w="7186"/>
        <w:gridCol w:w="884"/>
      </w:tblGrid>
      <w:tr w14:paraId="09B0F3B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95" w:hRule="atLeast"/>
          <w:jc w:val="center"/>
        </w:trPr>
        <w:tc>
          <w:tcPr>
            <w:tcW w:w="12799" w:type="dxa"/>
            <w:gridSpan w:val="6"/>
            <w:shd w:val="clear" w:color="auto" w:fill="auto"/>
            <w:vAlign w:val="center"/>
          </w:tcPr>
          <w:p w14:paraId="21E5D88A">
            <w:pPr>
              <w:pStyle w:val="13"/>
              <w:rPr>
                <w:rFonts w:hint="eastAsia"/>
                <w:b/>
                <w:bCs/>
                <w:highlight w:val="none"/>
                <w:lang w:val="zh-CN"/>
              </w:rPr>
            </w:pPr>
            <w:r>
              <w:rPr>
                <w:rFonts w:hint="eastAsia"/>
                <w:b/>
                <w:bCs/>
                <w:highlight w:val="none"/>
                <w:lang w:val="zh-CN"/>
              </w:rPr>
              <w:t>精装修成品保护标准做法</w:t>
            </w:r>
          </w:p>
        </w:tc>
      </w:tr>
      <w:tr w14:paraId="7D283E3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92" w:hRule="atLeast"/>
          <w:jc w:val="center"/>
        </w:trPr>
        <w:tc>
          <w:tcPr>
            <w:tcW w:w="765" w:type="dxa"/>
            <w:shd w:val="clear" w:color="auto" w:fill="auto"/>
            <w:vAlign w:val="center"/>
          </w:tcPr>
          <w:p w14:paraId="64815A56">
            <w:pPr>
              <w:pStyle w:val="13"/>
              <w:rPr>
                <w:rFonts w:hint="eastAsia"/>
                <w:b/>
                <w:bCs/>
                <w:highlight w:val="none"/>
                <w:lang w:val="zh-CN"/>
              </w:rPr>
            </w:pPr>
            <w:r>
              <w:rPr>
                <w:rFonts w:hint="eastAsia"/>
                <w:b/>
                <w:bCs/>
                <w:highlight w:val="none"/>
                <w:lang w:val="zh-CN"/>
              </w:rPr>
              <w:t>序号</w:t>
            </w:r>
          </w:p>
        </w:tc>
        <w:tc>
          <w:tcPr>
            <w:tcW w:w="1892" w:type="dxa"/>
            <w:gridSpan w:val="2"/>
            <w:shd w:val="clear" w:color="auto" w:fill="auto"/>
            <w:vAlign w:val="center"/>
          </w:tcPr>
          <w:p w14:paraId="5173864F">
            <w:pPr>
              <w:pStyle w:val="13"/>
              <w:rPr>
                <w:rFonts w:hint="eastAsia"/>
                <w:b/>
                <w:bCs/>
                <w:highlight w:val="none"/>
                <w:lang w:val="zh-CN"/>
              </w:rPr>
            </w:pPr>
            <w:r>
              <w:rPr>
                <w:rFonts w:hint="eastAsia"/>
                <w:b/>
                <w:bCs/>
                <w:highlight w:val="none"/>
                <w:lang w:val="zh-CN"/>
              </w:rPr>
              <w:t>保护内容</w:t>
            </w:r>
          </w:p>
        </w:tc>
        <w:tc>
          <w:tcPr>
            <w:tcW w:w="2072" w:type="dxa"/>
            <w:shd w:val="clear" w:color="auto" w:fill="auto"/>
            <w:vAlign w:val="center"/>
          </w:tcPr>
          <w:p w14:paraId="57F46235">
            <w:pPr>
              <w:pStyle w:val="13"/>
              <w:rPr>
                <w:rFonts w:hint="eastAsia"/>
                <w:b/>
                <w:bCs/>
                <w:highlight w:val="none"/>
                <w:lang w:val="zh-CN"/>
              </w:rPr>
            </w:pPr>
            <w:r>
              <w:rPr>
                <w:rFonts w:hint="eastAsia"/>
                <w:b/>
                <w:bCs/>
                <w:highlight w:val="none"/>
                <w:lang w:val="zh-CN"/>
              </w:rPr>
              <w:t>保护标准</w:t>
            </w:r>
          </w:p>
        </w:tc>
        <w:tc>
          <w:tcPr>
            <w:tcW w:w="7186" w:type="dxa"/>
            <w:shd w:val="clear" w:color="auto" w:fill="auto"/>
            <w:vAlign w:val="center"/>
          </w:tcPr>
          <w:p w14:paraId="55687F77">
            <w:pPr>
              <w:pStyle w:val="13"/>
              <w:rPr>
                <w:rFonts w:hint="eastAsia"/>
                <w:b/>
                <w:bCs/>
                <w:highlight w:val="none"/>
                <w:lang w:val="zh-CN"/>
              </w:rPr>
            </w:pPr>
            <w:r>
              <w:rPr>
                <w:rFonts w:hint="eastAsia"/>
                <w:b/>
                <w:bCs/>
                <w:highlight w:val="none"/>
                <w:lang w:val="zh-CN"/>
              </w:rPr>
              <w:t>图示</w:t>
            </w:r>
          </w:p>
        </w:tc>
        <w:tc>
          <w:tcPr>
            <w:tcW w:w="884" w:type="dxa"/>
            <w:shd w:val="clear" w:color="auto" w:fill="auto"/>
            <w:vAlign w:val="center"/>
          </w:tcPr>
          <w:p w14:paraId="24EEEDDF">
            <w:pPr>
              <w:pStyle w:val="13"/>
              <w:rPr>
                <w:rFonts w:hint="eastAsia"/>
                <w:b/>
                <w:bCs/>
                <w:highlight w:val="none"/>
                <w:lang w:val="zh-CN"/>
              </w:rPr>
            </w:pPr>
            <w:r>
              <w:rPr>
                <w:rFonts w:hint="eastAsia"/>
                <w:b/>
                <w:bCs/>
                <w:highlight w:val="none"/>
                <w:lang w:val="zh-CN"/>
              </w:rPr>
              <w:t>备注</w:t>
            </w:r>
          </w:p>
        </w:tc>
      </w:tr>
      <w:tr w14:paraId="22B95ED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restart"/>
            <w:vAlign w:val="center"/>
          </w:tcPr>
          <w:p w14:paraId="0BE83C72">
            <w:pPr>
              <w:pStyle w:val="13"/>
              <w:rPr>
                <w:rFonts w:hint="eastAsia"/>
                <w:highlight w:val="none"/>
                <w:lang w:val="zh-CN"/>
              </w:rPr>
            </w:pPr>
            <w:r>
              <w:rPr>
                <w:highlight w:val="none"/>
                <w:lang w:val="zh-CN"/>
              </w:rPr>
              <w:t>1</w:t>
            </w:r>
          </w:p>
        </w:tc>
        <w:tc>
          <w:tcPr>
            <w:tcW w:w="1080" w:type="dxa"/>
            <w:vMerge w:val="restart"/>
            <w:vAlign w:val="center"/>
          </w:tcPr>
          <w:p w14:paraId="6763A12D">
            <w:pPr>
              <w:pStyle w:val="13"/>
              <w:rPr>
                <w:rFonts w:hint="eastAsia"/>
                <w:highlight w:val="none"/>
                <w:lang w:val="zh-CN"/>
              </w:rPr>
            </w:pPr>
            <w:r>
              <w:rPr>
                <w:rFonts w:hint="eastAsia"/>
                <w:highlight w:val="none"/>
                <w:lang w:val="zh-CN"/>
              </w:rPr>
              <w:t>石材</w:t>
            </w:r>
            <w:r>
              <w:rPr>
                <w:highlight w:val="none"/>
                <w:lang w:val="zh-CN"/>
              </w:rPr>
              <w:t>（墙</w:t>
            </w:r>
          </w:p>
          <w:p w14:paraId="742B2B4A">
            <w:pPr>
              <w:pStyle w:val="13"/>
              <w:rPr>
                <w:rFonts w:hint="eastAsia"/>
                <w:highlight w:val="none"/>
                <w:lang w:val="zh-CN"/>
              </w:rPr>
            </w:pPr>
            <w:r>
              <w:rPr>
                <w:highlight w:val="none"/>
                <w:lang w:val="zh-CN"/>
              </w:rPr>
              <w:t>、地面）</w:t>
            </w:r>
          </w:p>
        </w:tc>
        <w:tc>
          <w:tcPr>
            <w:tcW w:w="812" w:type="dxa"/>
            <w:vAlign w:val="center"/>
          </w:tcPr>
          <w:p w14:paraId="37289DF6">
            <w:pPr>
              <w:pStyle w:val="13"/>
              <w:rPr>
                <w:rFonts w:hint="eastAsia"/>
                <w:highlight w:val="none"/>
                <w:lang w:val="zh-CN"/>
              </w:rPr>
            </w:pPr>
            <w:r>
              <w:rPr>
                <w:highlight w:val="none"/>
                <w:lang w:val="zh-CN"/>
              </w:rPr>
              <w:t>工厂包装</w:t>
            </w:r>
          </w:p>
        </w:tc>
        <w:tc>
          <w:tcPr>
            <w:tcW w:w="2072" w:type="dxa"/>
            <w:vAlign w:val="center"/>
          </w:tcPr>
          <w:p w14:paraId="2C40A562">
            <w:pPr>
              <w:pStyle w:val="13"/>
              <w:rPr>
                <w:rFonts w:hint="eastAsia"/>
                <w:highlight w:val="none"/>
                <w:lang w:val="zh-CN"/>
              </w:rPr>
            </w:pPr>
            <w:r>
              <w:rPr>
                <w:highlight w:val="none"/>
                <w:lang w:val="zh-CN"/>
              </w:rPr>
              <w:t>箱体实木条厚度不低于20mm；宽度不低于80mm；箱体内衬珍珠棉；</w:t>
            </w:r>
          </w:p>
        </w:tc>
        <w:tc>
          <w:tcPr>
            <w:tcW w:w="7186" w:type="dxa"/>
            <w:vAlign w:val="center"/>
          </w:tcPr>
          <w:p w14:paraId="47157139">
            <w:pPr>
              <w:pStyle w:val="13"/>
              <w:rPr>
                <w:rFonts w:hint="eastAsia"/>
                <w:highlight w:val="none"/>
                <w:lang w:val="zh-CN"/>
              </w:rPr>
            </w:pPr>
          </w:p>
          <w:p w14:paraId="1CA582A2">
            <w:pPr>
              <w:pStyle w:val="13"/>
              <w:rPr>
                <w:rFonts w:hint="eastAsia"/>
                <w:highlight w:val="none"/>
                <w:lang w:val="zh-CN"/>
              </w:rPr>
            </w:pPr>
            <w:r>
              <w:rPr>
                <w:highlight w:val="none"/>
              </w:rPr>
              <w:drawing>
                <wp:inline distT="0" distB="0" distL="0" distR="0">
                  <wp:extent cx="2114550" cy="1910080"/>
                  <wp:effectExtent l="0" t="0" r="0" b="4445"/>
                  <wp:docPr id="59" name="image33.jpeg"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3.jpeg" descr="3"/>
                          <pic:cNvPicPr>
                            <a:picLocks noChangeAspect="1"/>
                          </pic:cNvPicPr>
                        </pic:nvPicPr>
                        <pic:blipFill>
                          <a:blip r:embed="rId34" cstate="print"/>
                          <a:stretch>
                            <a:fillRect/>
                          </a:stretch>
                        </pic:blipFill>
                        <pic:spPr>
                          <a:xfrm>
                            <a:off x="0" y="0"/>
                            <a:ext cx="2114760" cy="1910333"/>
                          </a:xfrm>
                          <a:prstGeom prst="rect">
                            <a:avLst/>
                          </a:prstGeom>
                        </pic:spPr>
                      </pic:pic>
                    </a:graphicData>
                  </a:graphic>
                </wp:inline>
              </w:drawing>
            </w:r>
            <w:r>
              <w:rPr>
                <w:highlight w:val="none"/>
              </w:rPr>
              <w:drawing>
                <wp:inline distT="0" distB="0" distL="0" distR="0">
                  <wp:extent cx="2268855" cy="1885950"/>
                  <wp:effectExtent l="0" t="0" r="7620" b="0"/>
                  <wp:docPr id="61" name="image34.jpeg"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4.jpeg" descr="2"/>
                          <pic:cNvPicPr>
                            <a:picLocks noChangeAspect="1"/>
                          </pic:cNvPicPr>
                        </pic:nvPicPr>
                        <pic:blipFill>
                          <a:blip r:embed="rId35" cstate="print"/>
                          <a:stretch>
                            <a:fillRect/>
                          </a:stretch>
                        </pic:blipFill>
                        <pic:spPr>
                          <a:xfrm>
                            <a:off x="0" y="0"/>
                            <a:ext cx="2269442" cy="1885950"/>
                          </a:xfrm>
                          <a:prstGeom prst="rect">
                            <a:avLst/>
                          </a:prstGeom>
                        </pic:spPr>
                      </pic:pic>
                    </a:graphicData>
                  </a:graphic>
                </wp:inline>
              </w:drawing>
            </w:r>
          </w:p>
        </w:tc>
        <w:tc>
          <w:tcPr>
            <w:tcW w:w="884" w:type="dxa"/>
            <w:vAlign w:val="center"/>
          </w:tcPr>
          <w:p w14:paraId="14913C0C">
            <w:pPr>
              <w:pStyle w:val="13"/>
              <w:rPr>
                <w:rFonts w:hint="eastAsia"/>
                <w:highlight w:val="none"/>
                <w:lang w:val="zh-CN"/>
              </w:rPr>
            </w:pPr>
          </w:p>
        </w:tc>
      </w:tr>
      <w:tr w14:paraId="0C18026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1" w:hRule="atLeast"/>
          <w:jc w:val="center"/>
        </w:trPr>
        <w:tc>
          <w:tcPr>
            <w:tcW w:w="765" w:type="dxa"/>
            <w:vMerge w:val="continue"/>
            <w:tcBorders>
              <w:top w:val="nil"/>
            </w:tcBorders>
            <w:vAlign w:val="center"/>
          </w:tcPr>
          <w:p w14:paraId="3C794191">
            <w:pPr>
              <w:pStyle w:val="13"/>
              <w:rPr>
                <w:rFonts w:hint="eastAsia"/>
                <w:highlight w:val="none"/>
                <w:lang w:val="zh-CN"/>
              </w:rPr>
            </w:pPr>
          </w:p>
        </w:tc>
        <w:tc>
          <w:tcPr>
            <w:tcW w:w="1080" w:type="dxa"/>
            <w:vMerge w:val="continue"/>
            <w:tcBorders>
              <w:top w:val="nil"/>
            </w:tcBorders>
            <w:vAlign w:val="center"/>
          </w:tcPr>
          <w:p w14:paraId="12D52621">
            <w:pPr>
              <w:pStyle w:val="13"/>
              <w:rPr>
                <w:rFonts w:hint="eastAsia"/>
                <w:highlight w:val="none"/>
                <w:lang w:val="zh-CN"/>
              </w:rPr>
            </w:pPr>
          </w:p>
        </w:tc>
        <w:tc>
          <w:tcPr>
            <w:tcW w:w="812" w:type="dxa"/>
            <w:vAlign w:val="center"/>
          </w:tcPr>
          <w:p w14:paraId="16247A49">
            <w:pPr>
              <w:pStyle w:val="13"/>
              <w:rPr>
                <w:rFonts w:hint="eastAsia"/>
                <w:highlight w:val="none"/>
                <w:lang w:val="zh-CN"/>
              </w:rPr>
            </w:pPr>
            <w:r>
              <w:rPr>
                <w:highlight w:val="none"/>
                <w:lang w:val="zh-CN"/>
              </w:rPr>
              <w:t>堆放</w:t>
            </w:r>
          </w:p>
        </w:tc>
        <w:tc>
          <w:tcPr>
            <w:tcW w:w="2072" w:type="dxa"/>
            <w:vAlign w:val="center"/>
          </w:tcPr>
          <w:p w14:paraId="10740223">
            <w:pPr>
              <w:pStyle w:val="13"/>
              <w:rPr>
                <w:rFonts w:hint="eastAsia"/>
                <w:highlight w:val="none"/>
                <w:lang w:val="zh-CN"/>
              </w:rPr>
            </w:pPr>
            <w:r>
              <w:rPr>
                <w:highlight w:val="none"/>
                <w:lang w:val="zh-CN"/>
              </w:rPr>
              <w:t>现场石材应堆放于衬条上，衬条厚度不低于15mm；</w:t>
            </w:r>
          </w:p>
        </w:tc>
        <w:tc>
          <w:tcPr>
            <w:tcW w:w="7186" w:type="dxa"/>
            <w:vAlign w:val="center"/>
          </w:tcPr>
          <w:p w14:paraId="4D82B45B">
            <w:pPr>
              <w:pStyle w:val="13"/>
              <w:rPr>
                <w:rFonts w:hint="eastAsia"/>
                <w:highlight w:val="none"/>
                <w:lang w:val="zh-CN"/>
              </w:rPr>
            </w:pPr>
            <w:r>
              <w:rPr>
                <w:highlight w:val="none"/>
              </w:rPr>
              <w:drawing>
                <wp:inline distT="0" distB="0" distL="0" distR="0">
                  <wp:extent cx="2111375" cy="1910715"/>
                  <wp:effectExtent l="0" t="0" r="3175" b="3810"/>
                  <wp:docPr id="63" name="image35.jpeg" descr="20150801_14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5.jpeg" descr="20150801_142959"/>
                          <pic:cNvPicPr>
                            <a:picLocks noChangeAspect="1"/>
                          </pic:cNvPicPr>
                        </pic:nvPicPr>
                        <pic:blipFill>
                          <a:blip r:embed="rId36" cstate="print"/>
                          <a:stretch>
                            <a:fillRect/>
                          </a:stretch>
                        </pic:blipFill>
                        <pic:spPr>
                          <a:xfrm>
                            <a:off x="0" y="0"/>
                            <a:ext cx="2111429" cy="1911096"/>
                          </a:xfrm>
                          <a:prstGeom prst="rect">
                            <a:avLst/>
                          </a:prstGeom>
                        </pic:spPr>
                      </pic:pic>
                    </a:graphicData>
                  </a:graphic>
                </wp:inline>
              </w:drawing>
            </w:r>
            <w:r>
              <w:rPr>
                <w:highlight w:val="none"/>
              </w:rPr>
              <w:drawing>
                <wp:inline distT="0" distB="0" distL="0" distR="0">
                  <wp:extent cx="2315845" cy="1885950"/>
                  <wp:effectExtent l="0" t="0" r="8255" b="0"/>
                  <wp:docPr id="65" name="image36.jpeg" descr="QQ截图20151102160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6.jpeg" descr="QQ截图20151102160638"/>
                          <pic:cNvPicPr>
                            <a:picLocks noChangeAspect="1"/>
                          </pic:cNvPicPr>
                        </pic:nvPicPr>
                        <pic:blipFill>
                          <a:blip r:embed="rId37" cstate="print"/>
                          <a:stretch>
                            <a:fillRect/>
                          </a:stretch>
                        </pic:blipFill>
                        <pic:spPr>
                          <a:xfrm>
                            <a:off x="0" y="0"/>
                            <a:ext cx="2315874" cy="1886235"/>
                          </a:xfrm>
                          <a:prstGeom prst="rect">
                            <a:avLst/>
                          </a:prstGeom>
                        </pic:spPr>
                      </pic:pic>
                    </a:graphicData>
                  </a:graphic>
                </wp:inline>
              </w:drawing>
            </w:r>
          </w:p>
        </w:tc>
        <w:tc>
          <w:tcPr>
            <w:tcW w:w="884" w:type="dxa"/>
            <w:vAlign w:val="center"/>
          </w:tcPr>
          <w:p w14:paraId="2A4DF761">
            <w:pPr>
              <w:pStyle w:val="13"/>
              <w:rPr>
                <w:rFonts w:hint="eastAsia"/>
                <w:highlight w:val="none"/>
                <w:lang w:val="zh-CN"/>
              </w:rPr>
            </w:pPr>
          </w:p>
        </w:tc>
      </w:tr>
      <w:tr w14:paraId="5DF151C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4354" w:hRule="atLeast"/>
          <w:jc w:val="center"/>
        </w:trPr>
        <w:tc>
          <w:tcPr>
            <w:tcW w:w="765" w:type="dxa"/>
            <w:vMerge w:val="continue"/>
            <w:tcBorders>
              <w:top w:val="nil"/>
            </w:tcBorders>
            <w:vAlign w:val="center"/>
          </w:tcPr>
          <w:p w14:paraId="102206A9">
            <w:pPr>
              <w:pStyle w:val="13"/>
              <w:rPr>
                <w:rFonts w:hint="eastAsia"/>
                <w:highlight w:val="none"/>
                <w:lang w:val="zh-CN"/>
              </w:rPr>
            </w:pPr>
          </w:p>
        </w:tc>
        <w:tc>
          <w:tcPr>
            <w:tcW w:w="1080" w:type="dxa"/>
            <w:vMerge w:val="continue"/>
            <w:tcBorders>
              <w:top w:val="nil"/>
            </w:tcBorders>
            <w:vAlign w:val="center"/>
          </w:tcPr>
          <w:p w14:paraId="04664CED">
            <w:pPr>
              <w:pStyle w:val="13"/>
              <w:rPr>
                <w:rFonts w:hint="eastAsia"/>
                <w:highlight w:val="none"/>
                <w:lang w:val="zh-CN"/>
              </w:rPr>
            </w:pPr>
          </w:p>
        </w:tc>
        <w:tc>
          <w:tcPr>
            <w:tcW w:w="812" w:type="dxa"/>
            <w:vAlign w:val="center"/>
          </w:tcPr>
          <w:p w14:paraId="63A1D72B">
            <w:pPr>
              <w:pStyle w:val="13"/>
              <w:rPr>
                <w:rFonts w:hint="eastAsia"/>
                <w:highlight w:val="none"/>
                <w:lang w:val="zh-CN"/>
              </w:rPr>
            </w:pPr>
            <w:r>
              <w:rPr>
                <w:highlight w:val="none"/>
                <w:lang w:val="zh-CN"/>
              </w:rPr>
              <w:t>安装成品</w:t>
            </w:r>
          </w:p>
        </w:tc>
        <w:tc>
          <w:tcPr>
            <w:tcW w:w="2072" w:type="dxa"/>
            <w:vAlign w:val="center"/>
          </w:tcPr>
          <w:p w14:paraId="52C879DE">
            <w:pPr>
              <w:pStyle w:val="13"/>
              <w:rPr>
                <w:rFonts w:hint="eastAsia"/>
                <w:highlight w:val="none"/>
                <w:lang w:val="zh-CN"/>
              </w:rPr>
            </w:pPr>
          </w:p>
          <w:p w14:paraId="6FF80D0B">
            <w:pPr>
              <w:pStyle w:val="13"/>
              <w:rPr>
                <w:rFonts w:hint="eastAsia"/>
                <w:highlight w:val="none"/>
                <w:lang w:val="zh-CN"/>
              </w:rPr>
            </w:pPr>
            <w:r>
              <w:rPr>
                <w:highlight w:val="none"/>
                <w:lang w:val="zh-CN"/>
              </w:rPr>
              <w:t>底层采用厚度不低于2.5mmPVC针织棉，面层采用厚度不低于9mm厚木夹板进行保护； 墙面采用薄膜保 护，且阳角处需采用厚度不低于9mm木夹板进行保护；</w:t>
            </w:r>
          </w:p>
        </w:tc>
        <w:tc>
          <w:tcPr>
            <w:tcW w:w="7186" w:type="dxa"/>
            <w:vAlign w:val="center"/>
          </w:tcPr>
          <w:p w14:paraId="1A193F35">
            <w:pPr>
              <w:pStyle w:val="13"/>
              <w:rPr>
                <w:rFonts w:hint="eastAsia"/>
                <w:highlight w:val="none"/>
                <w:lang w:val="zh-CN"/>
              </w:rPr>
            </w:pPr>
          </w:p>
          <w:p w14:paraId="559A906C">
            <w:pPr>
              <w:pStyle w:val="13"/>
              <w:rPr>
                <w:rFonts w:hint="eastAsia"/>
                <w:highlight w:val="none"/>
                <w:lang w:val="zh-CN"/>
              </w:rPr>
            </w:pPr>
          </w:p>
          <w:p w14:paraId="25A3539B">
            <w:pPr>
              <w:pStyle w:val="13"/>
              <w:rPr>
                <w:rFonts w:hint="eastAsia"/>
                <w:highlight w:val="none"/>
                <w:lang w:val="zh-CN"/>
              </w:rPr>
            </w:pPr>
            <w:r>
              <w:rPr>
                <w:highlight w:val="none"/>
              </w:rPr>
              <w:drawing>
                <wp:inline distT="0" distB="0" distL="0" distR="0">
                  <wp:extent cx="2121535" cy="1979295"/>
                  <wp:effectExtent l="0" t="0" r="2540" b="1905"/>
                  <wp:docPr id="67"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7.jpeg"/>
                          <pic:cNvPicPr>
                            <a:picLocks noChangeAspect="1"/>
                          </pic:cNvPicPr>
                        </pic:nvPicPr>
                        <pic:blipFill>
                          <a:blip r:embed="rId38" cstate="print"/>
                          <a:stretch>
                            <a:fillRect/>
                          </a:stretch>
                        </pic:blipFill>
                        <pic:spPr>
                          <a:xfrm>
                            <a:off x="0" y="0"/>
                            <a:ext cx="2121933" cy="1979676"/>
                          </a:xfrm>
                          <a:prstGeom prst="rect">
                            <a:avLst/>
                          </a:prstGeom>
                        </pic:spPr>
                      </pic:pic>
                    </a:graphicData>
                  </a:graphic>
                </wp:inline>
              </w:drawing>
            </w:r>
            <w:r>
              <w:rPr>
                <w:highlight w:val="none"/>
              </w:rPr>
              <w:drawing>
                <wp:inline distT="0" distB="0" distL="0" distR="0">
                  <wp:extent cx="2287905" cy="1991360"/>
                  <wp:effectExtent l="0" t="0" r="7620" b="8890"/>
                  <wp:docPr id="69" name="image38.jpeg"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38.jpeg" descr="2.jpg"/>
                          <pic:cNvPicPr>
                            <a:picLocks noChangeAspect="1"/>
                          </pic:cNvPicPr>
                        </pic:nvPicPr>
                        <pic:blipFill>
                          <a:blip r:embed="rId39" cstate="print"/>
                          <a:stretch>
                            <a:fillRect/>
                          </a:stretch>
                        </pic:blipFill>
                        <pic:spPr>
                          <a:xfrm>
                            <a:off x="0" y="0"/>
                            <a:ext cx="2288003" cy="1991677"/>
                          </a:xfrm>
                          <a:prstGeom prst="rect">
                            <a:avLst/>
                          </a:prstGeom>
                        </pic:spPr>
                      </pic:pic>
                    </a:graphicData>
                  </a:graphic>
                </wp:inline>
              </w:drawing>
            </w:r>
          </w:p>
        </w:tc>
        <w:tc>
          <w:tcPr>
            <w:tcW w:w="884" w:type="dxa"/>
            <w:vAlign w:val="center"/>
          </w:tcPr>
          <w:p w14:paraId="05CB2905">
            <w:pPr>
              <w:pStyle w:val="13"/>
              <w:rPr>
                <w:rFonts w:hint="eastAsia"/>
                <w:highlight w:val="none"/>
                <w:lang w:val="zh-CN"/>
              </w:rPr>
            </w:pPr>
          </w:p>
        </w:tc>
      </w:tr>
      <w:tr w14:paraId="24D37B2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restart"/>
            <w:tcBorders>
              <w:bottom w:val="nil"/>
            </w:tcBorders>
            <w:vAlign w:val="center"/>
          </w:tcPr>
          <w:p w14:paraId="0DDAF22C">
            <w:pPr>
              <w:pStyle w:val="13"/>
              <w:rPr>
                <w:rFonts w:hint="eastAsia"/>
                <w:highlight w:val="none"/>
                <w:lang w:val="zh-CN"/>
              </w:rPr>
            </w:pPr>
            <w:r>
              <w:rPr>
                <w:highlight w:val="none"/>
                <w:lang w:val="zh-CN"/>
              </w:rPr>
              <w:t>2</w:t>
            </w:r>
          </w:p>
        </w:tc>
        <w:tc>
          <w:tcPr>
            <w:tcW w:w="1080" w:type="dxa"/>
            <w:vMerge w:val="restart"/>
            <w:tcBorders>
              <w:bottom w:val="nil"/>
            </w:tcBorders>
            <w:vAlign w:val="center"/>
          </w:tcPr>
          <w:p w14:paraId="23894246">
            <w:pPr>
              <w:pStyle w:val="13"/>
              <w:rPr>
                <w:rFonts w:hint="eastAsia"/>
                <w:highlight w:val="none"/>
                <w:lang w:val="zh-CN"/>
              </w:rPr>
            </w:pPr>
            <w:r>
              <w:rPr>
                <w:rFonts w:hint="eastAsia"/>
                <w:highlight w:val="none"/>
                <w:lang w:val="zh-CN"/>
              </w:rPr>
              <w:t>瓷砖</w:t>
            </w:r>
            <w:r>
              <w:rPr>
                <w:highlight w:val="none"/>
                <w:lang w:val="zh-CN"/>
              </w:rPr>
              <w:t>（墙</w:t>
            </w:r>
          </w:p>
          <w:p w14:paraId="63C04B6C">
            <w:pPr>
              <w:pStyle w:val="13"/>
              <w:rPr>
                <w:rFonts w:hint="eastAsia"/>
                <w:highlight w:val="none"/>
                <w:lang w:val="zh-CN"/>
              </w:rPr>
            </w:pPr>
            <w:r>
              <w:rPr>
                <w:highlight w:val="none"/>
                <w:lang w:val="zh-CN"/>
              </w:rPr>
              <w:t>、地面）</w:t>
            </w:r>
          </w:p>
        </w:tc>
        <w:tc>
          <w:tcPr>
            <w:tcW w:w="812" w:type="dxa"/>
            <w:vAlign w:val="center"/>
          </w:tcPr>
          <w:p w14:paraId="631A5FD3">
            <w:pPr>
              <w:pStyle w:val="13"/>
              <w:rPr>
                <w:rFonts w:hint="eastAsia"/>
                <w:highlight w:val="none"/>
                <w:lang w:val="zh-CN"/>
              </w:rPr>
            </w:pPr>
            <w:r>
              <w:rPr>
                <w:highlight w:val="none"/>
                <w:lang w:val="zh-CN"/>
              </w:rPr>
              <w:t>工厂包装</w:t>
            </w:r>
          </w:p>
        </w:tc>
        <w:tc>
          <w:tcPr>
            <w:tcW w:w="2072" w:type="dxa"/>
            <w:vAlign w:val="center"/>
          </w:tcPr>
          <w:p w14:paraId="05DB0995">
            <w:pPr>
              <w:pStyle w:val="13"/>
              <w:rPr>
                <w:rFonts w:hint="eastAsia"/>
                <w:highlight w:val="none"/>
                <w:lang w:val="zh-CN"/>
              </w:rPr>
            </w:pPr>
            <w:r>
              <w:rPr>
                <w:highlight w:val="none"/>
                <w:lang w:val="zh-CN"/>
              </w:rPr>
              <w:t>采用珍珠棉加包装盒进行包装，包装盒外需加装羊角条进行保护；</w:t>
            </w:r>
          </w:p>
        </w:tc>
        <w:tc>
          <w:tcPr>
            <w:tcW w:w="7186" w:type="dxa"/>
            <w:vAlign w:val="center"/>
          </w:tcPr>
          <w:p w14:paraId="3F0B4A22">
            <w:pPr>
              <w:pStyle w:val="13"/>
              <w:rPr>
                <w:rFonts w:hint="eastAsia"/>
                <w:highlight w:val="none"/>
                <w:lang w:val="zh-CN"/>
              </w:rPr>
            </w:pPr>
            <w:r>
              <w:rPr>
                <w:highlight w:val="none"/>
              </w:rPr>
              <w:drawing>
                <wp:inline distT="0" distB="0" distL="0" distR="0">
                  <wp:extent cx="2124710" cy="1923415"/>
                  <wp:effectExtent l="0" t="0" r="8890" b="635"/>
                  <wp:docPr id="71" name="image39.jpeg" descr="212246x9w4avyoevavyby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9.jpeg" descr="212246x9w4avyoevavybyy.jpg"/>
                          <pic:cNvPicPr>
                            <a:picLocks noChangeAspect="1"/>
                          </pic:cNvPicPr>
                        </pic:nvPicPr>
                        <pic:blipFill>
                          <a:blip r:embed="rId40" cstate="print"/>
                          <a:stretch>
                            <a:fillRect/>
                          </a:stretch>
                        </pic:blipFill>
                        <pic:spPr>
                          <a:xfrm>
                            <a:off x="0" y="0"/>
                            <a:ext cx="2125320" cy="1923669"/>
                          </a:xfrm>
                          <a:prstGeom prst="rect">
                            <a:avLst/>
                          </a:prstGeom>
                        </pic:spPr>
                      </pic:pic>
                    </a:graphicData>
                  </a:graphic>
                </wp:inline>
              </w:drawing>
            </w:r>
            <w:r>
              <w:rPr>
                <w:highlight w:val="none"/>
              </w:rPr>
              <w:drawing>
                <wp:inline distT="0" distB="0" distL="0" distR="0">
                  <wp:extent cx="2289175" cy="1857375"/>
                  <wp:effectExtent l="0" t="0" r="6350" b="0"/>
                  <wp:docPr id="73"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40.jpeg"/>
                          <pic:cNvPicPr>
                            <a:picLocks noChangeAspect="1"/>
                          </pic:cNvPicPr>
                        </pic:nvPicPr>
                        <pic:blipFill>
                          <a:blip r:embed="rId41" cstate="print"/>
                          <a:stretch>
                            <a:fillRect/>
                          </a:stretch>
                        </pic:blipFill>
                        <pic:spPr>
                          <a:xfrm>
                            <a:off x="0" y="0"/>
                            <a:ext cx="2289599" cy="1857756"/>
                          </a:xfrm>
                          <a:prstGeom prst="rect">
                            <a:avLst/>
                          </a:prstGeom>
                        </pic:spPr>
                      </pic:pic>
                    </a:graphicData>
                  </a:graphic>
                </wp:inline>
              </w:drawing>
            </w:r>
          </w:p>
        </w:tc>
        <w:tc>
          <w:tcPr>
            <w:tcW w:w="884" w:type="dxa"/>
            <w:vAlign w:val="center"/>
          </w:tcPr>
          <w:p w14:paraId="2F27CC40">
            <w:pPr>
              <w:pStyle w:val="13"/>
              <w:rPr>
                <w:rFonts w:hint="eastAsia"/>
                <w:highlight w:val="none"/>
                <w:lang w:val="zh-CN"/>
              </w:rPr>
            </w:pPr>
          </w:p>
        </w:tc>
      </w:tr>
      <w:tr w14:paraId="4EB5489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3071" w:hRule="atLeast"/>
          <w:jc w:val="center"/>
        </w:trPr>
        <w:tc>
          <w:tcPr>
            <w:tcW w:w="765" w:type="dxa"/>
            <w:vMerge w:val="continue"/>
            <w:tcBorders>
              <w:top w:val="nil"/>
              <w:bottom w:val="nil"/>
            </w:tcBorders>
            <w:vAlign w:val="center"/>
          </w:tcPr>
          <w:p w14:paraId="60297BEF">
            <w:pPr>
              <w:pStyle w:val="13"/>
              <w:rPr>
                <w:rFonts w:hint="eastAsia"/>
                <w:highlight w:val="none"/>
                <w:lang w:val="zh-CN"/>
              </w:rPr>
            </w:pPr>
          </w:p>
        </w:tc>
        <w:tc>
          <w:tcPr>
            <w:tcW w:w="1080" w:type="dxa"/>
            <w:vMerge w:val="continue"/>
            <w:tcBorders>
              <w:top w:val="nil"/>
              <w:bottom w:val="nil"/>
            </w:tcBorders>
            <w:vAlign w:val="center"/>
          </w:tcPr>
          <w:p w14:paraId="32847311">
            <w:pPr>
              <w:pStyle w:val="13"/>
              <w:rPr>
                <w:rFonts w:hint="eastAsia"/>
                <w:highlight w:val="none"/>
                <w:lang w:val="zh-CN"/>
              </w:rPr>
            </w:pPr>
          </w:p>
        </w:tc>
        <w:tc>
          <w:tcPr>
            <w:tcW w:w="812" w:type="dxa"/>
            <w:vAlign w:val="center"/>
          </w:tcPr>
          <w:p w14:paraId="1E3F1497">
            <w:pPr>
              <w:pStyle w:val="13"/>
              <w:rPr>
                <w:rFonts w:hint="eastAsia"/>
                <w:highlight w:val="none"/>
                <w:lang w:val="zh-CN"/>
              </w:rPr>
            </w:pPr>
          </w:p>
        </w:tc>
        <w:tc>
          <w:tcPr>
            <w:tcW w:w="2072" w:type="dxa"/>
            <w:vAlign w:val="center"/>
          </w:tcPr>
          <w:p w14:paraId="7505AE48">
            <w:pPr>
              <w:pStyle w:val="13"/>
              <w:rPr>
                <w:rFonts w:hint="eastAsia"/>
                <w:highlight w:val="none"/>
                <w:lang w:val="zh-CN"/>
              </w:rPr>
            </w:pPr>
            <w:r>
              <w:rPr>
                <w:highlight w:val="none"/>
                <w:lang w:val="zh-CN"/>
              </w:rPr>
              <w:t>现场瓷砖应堆放于户内垫木上，垫木高度不得小于100mm</w:t>
            </w:r>
          </w:p>
        </w:tc>
        <w:tc>
          <w:tcPr>
            <w:tcW w:w="7186" w:type="dxa"/>
            <w:vAlign w:val="center"/>
          </w:tcPr>
          <w:p w14:paraId="75FC00A8">
            <w:pPr>
              <w:pStyle w:val="13"/>
              <w:rPr>
                <w:rFonts w:hint="eastAsia"/>
                <w:highlight w:val="none"/>
                <w:lang w:val="zh-CN"/>
              </w:rPr>
            </w:pPr>
            <w:r>
              <w:rPr>
                <w:highlight w:val="none"/>
              </w:rPr>
              <w:drawing>
                <wp:inline distT="0" distB="0" distL="0" distR="0">
                  <wp:extent cx="2159635" cy="1948180"/>
                  <wp:effectExtent l="0" t="0" r="2540" b="4445"/>
                  <wp:docPr id="75" name="image41.jpeg"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41.jpeg" descr="3.jpg"/>
                          <pic:cNvPicPr>
                            <a:picLocks noChangeAspect="1"/>
                          </pic:cNvPicPr>
                        </pic:nvPicPr>
                        <pic:blipFill>
                          <a:blip r:embed="rId42" cstate="print"/>
                          <a:stretch>
                            <a:fillRect/>
                          </a:stretch>
                        </pic:blipFill>
                        <pic:spPr>
                          <a:xfrm>
                            <a:off x="0" y="0"/>
                            <a:ext cx="2160000" cy="1948814"/>
                          </a:xfrm>
                          <a:prstGeom prst="rect">
                            <a:avLst/>
                          </a:prstGeom>
                        </pic:spPr>
                      </pic:pic>
                    </a:graphicData>
                  </a:graphic>
                </wp:inline>
              </w:drawing>
            </w:r>
            <w:r>
              <w:rPr>
                <w:highlight w:val="none"/>
              </w:rPr>
              <w:drawing>
                <wp:inline distT="0" distB="0" distL="0" distR="0">
                  <wp:extent cx="2265680" cy="1910715"/>
                  <wp:effectExtent l="0" t="0" r="1270" b="3810"/>
                  <wp:docPr id="77" name="image42.jpeg" descr="IMG_9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2.jpeg" descr="IMG_9938.JPG"/>
                          <pic:cNvPicPr>
                            <a:picLocks noChangeAspect="1"/>
                          </pic:cNvPicPr>
                        </pic:nvPicPr>
                        <pic:blipFill>
                          <a:blip r:embed="rId43" cstate="print"/>
                          <a:stretch>
                            <a:fillRect/>
                          </a:stretch>
                        </pic:blipFill>
                        <pic:spPr>
                          <a:xfrm>
                            <a:off x="0" y="0"/>
                            <a:ext cx="2265707" cy="1911096"/>
                          </a:xfrm>
                          <a:prstGeom prst="rect">
                            <a:avLst/>
                          </a:prstGeom>
                        </pic:spPr>
                      </pic:pic>
                    </a:graphicData>
                  </a:graphic>
                </wp:inline>
              </w:drawing>
            </w:r>
          </w:p>
        </w:tc>
        <w:tc>
          <w:tcPr>
            <w:tcW w:w="884" w:type="dxa"/>
            <w:vAlign w:val="center"/>
          </w:tcPr>
          <w:p w14:paraId="5FB21AA6">
            <w:pPr>
              <w:pStyle w:val="13"/>
              <w:rPr>
                <w:rFonts w:hint="eastAsia"/>
                <w:highlight w:val="none"/>
                <w:lang w:val="zh-CN"/>
              </w:rPr>
            </w:pPr>
          </w:p>
        </w:tc>
      </w:tr>
      <w:tr w14:paraId="2E0636C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4136" w:hRule="atLeast"/>
          <w:jc w:val="center"/>
        </w:trPr>
        <w:tc>
          <w:tcPr>
            <w:tcW w:w="765" w:type="dxa"/>
            <w:tcBorders>
              <w:top w:val="nil"/>
            </w:tcBorders>
            <w:vAlign w:val="center"/>
          </w:tcPr>
          <w:p w14:paraId="1BAFA7F9">
            <w:pPr>
              <w:pStyle w:val="13"/>
              <w:rPr>
                <w:rFonts w:hint="eastAsia"/>
                <w:highlight w:val="none"/>
                <w:lang w:val="zh-CN"/>
              </w:rPr>
            </w:pPr>
          </w:p>
        </w:tc>
        <w:tc>
          <w:tcPr>
            <w:tcW w:w="1080" w:type="dxa"/>
            <w:tcBorders>
              <w:top w:val="nil"/>
            </w:tcBorders>
            <w:vAlign w:val="center"/>
          </w:tcPr>
          <w:p w14:paraId="3CCBB561">
            <w:pPr>
              <w:pStyle w:val="13"/>
              <w:rPr>
                <w:rFonts w:hint="eastAsia"/>
                <w:highlight w:val="none"/>
                <w:lang w:val="zh-CN"/>
              </w:rPr>
            </w:pPr>
          </w:p>
        </w:tc>
        <w:tc>
          <w:tcPr>
            <w:tcW w:w="812" w:type="dxa"/>
            <w:vAlign w:val="center"/>
          </w:tcPr>
          <w:p w14:paraId="6DFA0D5F">
            <w:pPr>
              <w:pStyle w:val="13"/>
              <w:rPr>
                <w:rFonts w:hint="eastAsia"/>
                <w:highlight w:val="none"/>
                <w:lang w:val="zh-CN"/>
              </w:rPr>
            </w:pPr>
            <w:r>
              <w:rPr>
                <w:highlight w:val="none"/>
                <w:lang w:val="zh-CN"/>
              </w:rPr>
              <w:t>安装成品</w:t>
            </w:r>
          </w:p>
        </w:tc>
        <w:tc>
          <w:tcPr>
            <w:tcW w:w="2072" w:type="dxa"/>
            <w:vAlign w:val="center"/>
          </w:tcPr>
          <w:p w14:paraId="2CDFEC20">
            <w:pPr>
              <w:pStyle w:val="13"/>
              <w:rPr>
                <w:rFonts w:hint="eastAsia"/>
                <w:highlight w:val="none"/>
                <w:lang w:val="zh-CN"/>
              </w:rPr>
            </w:pPr>
          </w:p>
          <w:p w14:paraId="25724FC8">
            <w:pPr>
              <w:pStyle w:val="13"/>
              <w:rPr>
                <w:rFonts w:hint="eastAsia"/>
                <w:highlight w:val="none"/>
                <w:lang w:val="zh-CN"/>
              </w:rPr>
            </w:pPr>
            <w:r>
              <w:rPr>
                <w:highlight w:val="none"/>
                <w:lang w:val="zh-CN"/>
              </w:rPr>
              <w:t>底层采用厚度不低于2.5mmPVC针织棉，面层采用厚度不低于9mm厚木夹板进行保护</w:t>
            </w:r>
            <w:r>
              <w:rPr>
                <w:rFonts w:hint="eastAsia"/>
                <w:highlight w:val="none"/>
              </w:rPr>
              <w:t>或地面保护垫（编织布）进行保护</w:t>
            </w:r>
            <w:r>
              <w:rPr>
                <w:highlight w:val="none"/>
                <w:lang w:val="zh-CN"/>
              </w:rPr>
              <w:t>； 墙面采用薄膜保 护，且阳角处需采用厚度不低于9mm木夹板进行保护；</w:t>
            </w:r>
          </w:p>
        </w:tc>
        <w:tc>
          <w:tcPr>
            <w:tcW w:w="7186" w:type="dxa"/>
            <w:vAlign w:val="center"/>
          </w:tcPr>
          <w:p w14:paraId="2D6B826D">
            <w:pPr>
              <w:pStyle w:val="13"/>
              <w:rPr>
                <w:rFonts w:hint="eastAsia"/>
                <w:highlight w:val="none"/>
                <w:lang w:val="zh-CN"/>
              </w:rPr>
            </w:pPr>
          </w:p>
          <w:p w14:paraId="1077501D">
            <w:pPr>
              <w:pStyle w:val="13"/>
              <w:rPr>
                <w:rFonts w:hint="eastAsia"/>
                <w:highlight w:val="none"/>
                <w:lang w:val="zh-CN"/>
              </w:rPr>
            </w:pPr>
            <w:r>
              <w:rPr>
                <w:highlight w:val="none"/>
              </w:rPr>
              <w:drawing>
                <wp:inline distT="0" distB="0" distL="0" distR="0">
                  <wp:extent cx="2150110" cy="2543810"/>
                  <wp:effectExtent l="0" t="0" r="2540" b="8890"/>
                  <wp:docPr id="79" name="image43.png"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3.png" descr="1.png"/>
                          <pic:cNvPicPr>
                            <a:picLocks noChangeAspect="1"/>
                          </pic:cNvPicPr>
                        </pic:nvPicPr>
                        <pic:blipFill>
                          <a:blip r:embed="rId44" cstate="print"/>
                          <a:stretch>
                            <a:fillRect/>
                          </a:stretch>
                        </pic:blipFill>
                        <pic:spPr>
                          <a:xfrm>
                            <a:off x="0" y="0"/>
                            <a:ext cx="2150244" cy="2544032"/>
                          </a:xfrm>
                          <a:prstGeom prst="rect">
                            <a:avLst/>
                          </a:prstGeom>
                        </pic:spPr>
                      </pic:pic>
                    </a:graphicData>
                  </a:graphic>
                </wp:inline>
              </w:drawing>
            </w:r>
            <w:r>
              <w:rPr>
                <w:highlight w:val="none"/>
              </w:rPr>
              <w:drawing>
                <wp:inline distT="0" distB="0" distL="0" distR="0">
                  <wp:extent cx="2298700" cy="2576830"/>
                  <wp:effectExtent l="0" t="0" r="6350" b="4445"/>
                  <wp:docPr id="81" name="image44.jpeg"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4.jpeg" descr="2.jpg"/>
                          <pic:cNvPicPr>
                            <a:picLocks noChangeAspect="1"/>
                          </pic:cNvPicPr>
                        </pic:nvPicPr>
                        <pic:blipFill>
                          <a:blip r:embed="rId45" cstate="print"/>
                          <a:stretch>
                            <a:fillRect/>
                          </a:stretch>
                        </pic:blipFill>
                        <pic:spPr>
                          <a:xfrm>
                            <a:off x="0" y="0"/>
                            <a:ext cx="2299141" cy="2577464"/>
                          </a:xfrm>
                          <a:prstGeom prst="rect">
                            <a:avLst/>
                          </a:prstGeom>
                        </pic:spPr>
                      </pic:pic>
                    </a:graphicData>
                  </a:graphic>
                </wp:inline>
              </w:drawing>
            </w:r>
          </w:p>
        </w:tc>
        <w:tc>
          <w:tcPr>
            <w:tcW w:w="884" w:type="dxa"/>
            <w:vAlign w:val="center"/>
          </w:tcPr>
          <w:p w14:paraId="4C492B12">
            <w:pPr>
              <w:pStyle w:val="13"/>
              <w:rPr>
                <w:rFonts w:hint="eastAsia"/>
                <w:highlight w:val="none"/>
                <w:lang w:val="zh-CN"/>
              </w:rPr>
            </w:pPr>
          </w:p>
        </w:tc>
      </w:tr>
      <w:tr w14:paraId="52A357A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restart"/>
            <w:vAlign w:val="center"/>
          </w:tcPr>
          <w:p w14:paraId="3F6FE641">
            <w:pPr>
              <w:pStyle w:val="13"/>
              <w:rPr>
                <w:rFonts w:hint="eastAsia"/>
                <w:highlight w:val="none"/>
                <w:lang w:val="zh-CN"/>
              </w:rPr>
            </w:pPr>
            <w:r>
              <w:rPr>
                <w:highlight w:val="none"/>
                <w:lang w:val="zh-CN"/>
              </w:rPr>
              <w:t>3</w:t>
            </w:r>
          </w:p>
        </w:tc>
        <w:tc>
          <w:tcPr>
            <w:tcW w:w="1080" w:type="dxa"/>
            <w:vMerge w:val="restart"/>
            <w:vAlign w:val="center"/>
          </w:tcPr>
          <w:p w14:paraId="42E1186A">
            <w:pPr>
              <w:pStyle w:val="13"/>
              <w:rPr>
                <w:rFonts w:hint="eastAsia"/>
                <w:highlight w:val="none"/>
                <w:lang w:val="zh-CN"/>
              </w:rPr>
            </w:pPr>
            <w:r>
              <w:rPr>
                <w:rFonts w:hint="eastAsia"/>
                <w:highlight w:val="none"/>
                <w:lang w:val="zh-CN"/>
              </w:rPr>
              <w:t>木地板</w:t>
            </w:r>
          </w:p>
        </w:tc>
        <w:tc>
          <w:tcPr>
            <w:tcW w:w="812" w:type="dxa"/>
            <w:vAlign w:val="center"/>
          </w:tcPr>
          <w:p w14:paraId="50727B51">
            <w:pPr>
              <w:pStyle w:val="13"/>
              <w:rPr>
                <w:rFonts w:hint="eastAsia"/>
                <w:highlight w:val="none"/>
                <w:lang w:val="zh-CN"/>
              </w:rPr>
            </w:pPr>
            <w:r>
              <w:rPr>
                <w:highlight w:val="none"/>
                <w:lang w:val="zh-CN"/>
              </w:rPr>
              <w:t>工厂包装</w:t>
            </w:r>
          </w:p>
        </w:tc>
        <w:tc>
          <w:tcPr>
            <w:tcW w:w="2072" w:type="dxa"/>
            <w:vAlign w:val="center"/>
          </w:tcPr>
          <w:p w14:paraId="52F19FFA">
            <w:pPr>
              <w:pStyle w:val="13"/>
              <w:rPr>
                <w:rFonts w:hint="eastAsia"/>
                <w:highlight w:val="none"/>
                <w:lang w:val="zh-CN"/>
              </w:rPr>
            </w:pPr>
            <w:r>
              <w:rPr>
                <w:highlight w:val="none"/>
                <w:lang w:val="zh-CN"/>
              </w:rPr>
              <w:t>采用珍珠棉加包装盒进行包装</w:t>
            </w:r>
          </w:p>
        </w:tc>
        <w:tc>
          <w:tcPr>
            <w:tcW w:w="7186" w:type="dxa"/>
            <w:vAlign w:val="center"/>
          </w:tcPr>
          <w:p w14:paraId="1A931396">
            <w:pPr>
              <w:pStyle w:val="13"/>
              <w:rPr>
                <w:rFonts w:hint="eastAsia"/>
                <w:highlight w:val="none"/>
                <w:lang w:val="zh-CN"/>
              </w:rPr>
            </w:pPr>
            <w:r>
              <w:rPr>
                <w:highlight w:val="none"/>
              </w:rPr>
              <w:drawing>
                <wp:inline distT="0" distB="0" distL="0" distR="0">
                  <wp:extent cx="2129155" cy="1913890"/>
                  <wp:effectExtent l="0" t="0" r="4445" b="635"/>
                  <wp:docPr id="83" name="image45.jpeg" desc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5.jpeg" descr="04.jpg"/>
                          <pic:cNvPicPr>
                            <a:picLocks noChangeAspect="1"/>
                          </pic:cNvPicPr>
                        </pic:nvPicPr>
                        <pic:blipFill>
                          <a:blip r:embed="rId46" cstate="print"/>
                          <a:stretch>
                            <a:fillRect/>
                          </a:stretch>
                        </pic:blipFill>
                        <pic:spPr>
                          <a:xfrm>
                            <a:off x="0" y="0"/>
                            <a:ext cx="2129559" cy="1914239"/>
                          </a:xfrm>
                          <a:prstGeom prst="rect">
                            <a:avLst/>
                          </a:prstGeom>
                        </pic:spPr>
                      </pic:pic>
                    </a:graphicData>
                  </a:graphic>
                </wp:inline>
              </w:drawing>
            </w:r>
            <w:r>
              <w:rPr>
                <w:highlight w:val="none"/>
              </w:rPr>
              <w:drawing>
                <wp:inline distT="0" distB="0" distL="0" distR="0">
                  <wp:extent cx="1951990" cy="1951990"/>
                  <wp:effectExtent l="0" t="0" r="635" b="635"/>
                  <wp:docPr id="85" name="image46.jpeg" descr="IMG_9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6.jpeg" descr="IMG_9612.JPG"/>
                          <pic:cNvPicPr>
                            <a:picLocks noChangeAspect="1"/>
                          </pic:cNvPicPr>
                        </pic:nvPicPr>
                        <pic:blipFill>
                          <a:blip r:embed="rId47" cstate="print"/>
                          <a:stretch>
                            <a:fillRect/>
                          </a:stretch>
                        </pic:blipFill>
                        <pic:spPr>
                          <a:xfrm>
                            <a:off x="0" y="0"/>
                            <a:ext cx="1952244" cy="1952244"/>
                          </a:xfrm>
                          <a:prstGeom prst="rect">
                            <a:avLst/>
                          </a:prstGeom>
                        </pic:spPr>
                      </pic:pic>
                    </a:graphicData>
                  </a:graphic>
                </wp:inline>
              </w:drawing>
            </w:r>
          </w:p>
        </w:tc>
        <w:tc>
          <w:tcPr>
            <w:tcW w:w="884" w:type="dxa"/>
            <w:vAlign w:val="center"/>
          </w:tcPr>
          <w:p w14:paraId="17632C33">
            <w:pPr>
              <w:pStyle w:val="13"/>
              <w:rPr>
                <w:rFonts w:hint="eastAsia"/>
                <w:highlight w:val="none"/>
                <w:lang w:val="zh-CN"/>
              </w:rPr>
            </w:pPr>
          </w:p>
        </w:tc>
      </w:tr>
      <w:tr w14:paraId="0FC279B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3068" w:hRule="atLeast"/>
          <w:jc w:val="center"/>
        </w:trPr>
        <w:tc>
          <w:tcPr>
            <w:tcW w:w="765" w:type="dxa"/>
            <w:vMerge w:val="continue"/>
            <w:tcBorders>
              <w:top w:val="nil"/>
            </w:tcBorders>
            <w:vAlign w:val="center"/>
          </w:tcPr>
          <w:p w14:paraId="5F6755B2">
            <w:pPr>
              <w:pStyle w:val="13"/>
              <w:rPr>
                <w:rFonts w:hint="eastAsia"/>
                <w:highlight w:val="none"/>
                <w:lang w:val="zh-CN"/>
              </w:rPr>
            </w:pPr>
          </w:p>
        </w:tc>
        <w:tc>
          <w:tcPr>
            <w:tcW w:w="1080" w:type="dxa"/>
            <w:vMerge w:val="continue"/>
            <w:tcBorders>
              <w:top w:val="nil"/>
            </w:tcBorders>
            <w:vAlign w:val="center"/>
          </w:tcPr>
          <w:p w14:paraId="1A4F834E">
            <w:pPr>
              <w:pStyle w:val="13"/>
              <w:rPr>
                <w:rFonts w:hint="eastAsia"/>
                <w:highlight w:val="none"/>
                <w:lang w:val="zh-CN"/>
              </w:rPr>
            </w:pPr>
          </w:p>
        </w:tc>
        <w:tc>
          <w:tcPr>
            <w:tcW w:w="812" w:type="dxa"/>
            <w:vAlign w:val="center"/>
          </w:tcPr>
          <w:p w14:paraId="776D018D">
            <w:pPr>
              <w:pStyle w:val="13"/>
              <w:rPr>
                <w:rFonts w:hint="eastAsia"/>
                <w:highlight w:val="none"/>
                <w:lang w:val="zh-CN"/>
              </w:rPr>
            </w:pPr>
            <w:r>
              <w:rPr>
                <w:highlight w:val="none"/>
                <w:lang w:val="zh-CN"/>
              </w:rPr>
              <w:t>堆放</w:t>
            </w:r>
          </w:p>
        </w:tc>
        <w:tc>
          <w:tcPr>
            <w:tcW w:w="2072" w:type="dxa"/>
            <w:vAlign w:val="center"/>
          </w:tcPr>
          <w:p w14:paraId="2BE18399">
            <w:pPr>
              <w:pStyle w:val="13"/>
              <w:rPr>
                <w:rFonts w:hint="eastAsia"/>
                <w:highlight w:val="none"/>
                <w:lang w:val="zh-CN"/>
              </w:rPr>
            </w:pPr>
            <w:r>
              <w:rPr>
                <w:highlight w:val="none"/>
                <w:lang w:val="zh-CN"/>
              </w:rPr>
              <w:t>应置于户内垫木上，垫木高度不得小于100mm, 堆码高度不得超过1.5m</w:t>
            </w:r>
          </w:p>
        </w:tc>
        <w:tc>
          <w:tcPr>
            <w:tcW w:w="7186" w:type="dxa"/>
            <w:vAlign w:val="center"/>
          </w:tcPr>
          <w:p w14:paraId="0582445A">
            <w:pPr>
              <w:pStyle w:val="13"/>
              <w:rPr>
                <w:rFonts w:hint="eastAsia"/>
                <w:highlight w:val="none"/>
                <w:lang w:val="zh-CN"/>
              </w:rPr>
            </w:pPr>
            <w:r>
              <w:rPr>
                <w:highlight w:val="none"/>
              </w:rPr>
              <w:drawing>
                <wp:inline distT="0" distB="0" distL="0" distR="0">
                  <wp:extent cx="2159000" cy="1910715"/>
                  <wp:effectExtent l="0" t="0" r="3175" b="3810"/>
                  <wp:docPr id="87" name="image47.jpeg" descr="IMG_9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7.jpeg" descr="IMG_9619.JPG"/>
                          <pic:cNvPicPr>
                            <a:picLocks noChangeAspect="1"/>
                          </pic:cNvPicPr>
                        </pic:nvPicPr>
                        <pic:blipFill>
                          <a:blip r:embed="rId48" cstate="print"/>
                          <a:stretch>
                            <a:fillRect/>
                          </a:stretch>
                        </pic:blipFill>
                        <pic:spPr>
                          <a:xfrm>
                            <a:off x="0" y="0"/>
                            <a:ext cx="2159514" cy="1911096"/>
                          </a:xfrm>
                          <a:prstGeom prst="rect">
                            <a:avLst/>
                          </a:prstGeom>
                        </pic:spPr>
                      </pic:pic>
                    </a:graphicData>
                  </a:graphic>
                </wp:inline>
              </w:drawing>
            </w:r>
            <w:r>
              <w:rPr>
                <w:highlight w:val="none"/>
              </w:rPr>
              <w:drawing>
                <wp:inline distT="0" distB="0" distL="0" distR="0">
                  <wp:extent cx="2197100" cy="1910715"/>
                  <wp:effectExtent l="0" t="0" r="3175" b="3810"/>
                  <wp:docPr id="89" name="image48.jpeg" descr="IMG_9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48.jpeg" descr="IMG_9618.JPG"/>
                          <pic:cNvPicPr>
                            <a:picLocks noChangeAspect="1"/>
                          </pic:cNvPicPr>
                        </pic:nvPicPr>
                        <pic:blipFill>
                          <a:blip r:embed="rId49" cstate="print"/>
                          <a:stretch>
                            <a:fillRect/>
                          </a:stretch>
                        </pic:blipFill>
                        <pic:spPr>
                          <a:xfrm>
                            <a:off x="0" y="0"/>
                            <a:ext cx="2197576" cy="1911096"/>
                          </a:xfrm>
                          <a:prstGeom prst="rect">
                            <a:avLst/>
                          </a:prstGeom>
                        </pic:spPr>
                      </pic:pic>
                    </a:graphicData>
                  </a:graphic>
                </wp:inline>
              </w:drawing>
            </w:r>
          </w:p>
        </w:tc>
        <w:tc>
          <w:tcPr>
            <w:tcW w:w="884" w:type="dxa"/>
            <w:vAlign w:val="center"/>
          </w:tcPr>
          <w:p w14:paraId="7184D3E9">
            <w:pPr>
              <w:pStyle w:val="13"/>
              <w:rPr>
                <w:rFonts w:hint="eastAsia"/>
                <w:highlight w:val="none"/>
                <w:lang w:val="zh-CN"/>
              </w:rPr>
            </w:pPr>
          </w:p>
        </w:tc>
      </w:tr>
      <w:tr w14:paraId="1265A1D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1" w:hRule="atLeast"/>
          <w:jc w:val="center"/>
        </w:trPr>
        <w:tc>
          <w:tcPr>
            <w:tcW w:w="765" w:type="dxa"/>
            <w:vMerge w:val="continue"/>
            <w:tcBorders>
              <w:top w:val="nil"/>
            </w:tcBorders>
            <w:vAlign w:val="center"/>
          </w:tcPr>
          <w:p w14:paraId="32C46D39">
            <w:pPr>
              <w:pStyle w:val="13"/>
              <w:rPr>
                <w:rFonts w:hint="eastAsia"/>
                <w:highlight w:val="none"/>
                <w:lang w:val="zh-CN"/>
              </w:rPr>
            </w:pPr>
          </w:p>
        </w:tc>
        <w:tc>
          <w:tcPr>
            <w:tcW w:w="1080" w:type="dxa"/>
            <w:vMerge w:val="continue"/>
            <w:tcBorders>
              <w:top w:val="nil"/>
            </w:tcBorders>
            <w:vAlign w:val="center"/>
          </w:tcPr>
          <w:p w14:paraId="349EF455">
            <w:pPr>
              <w:pStyle w:val="13"/>
              <w:rPr>
                <w:rFonts w:hint="eastAsia"/>
                <w:highlight w:val="none"/>
                <w:lang w:val="zh-CN"/>
              </w:rPr>
            </w:pPr>
          </w:p>
        </w:tc>
        <w:tc>
          <w:tcPr>
            <w:tcW w:w="812" w:type="dxa"/>
            <w:vAlign w:val="center"/>
          </w:tcPr>
          <w:p w14:paraId="51102570">
            <w:pPr>
              <w:pStyle w:val="13"/>
              <w:rPr>
                <w:rFonts w:hint="eastAsia"/>
                <w:highlight w:val="none"/>
                <w:lang w:val="zh-CN"/>
              </w:rPr>
            </w:pPr>
            <w:r>
              <w:rPr>
                <w:highlight w:val="none"/>
                <w:lang w:val="zh-CN"/>
              </w:rPr>
              <w:t>安装成品</w:t>
            </w:r>
          </w:p>
        </w:tc>
        <w:tc>
          <w:tcPr>
            <w:tcW w:w="2072" w:type="dxa"/>
            <w:vAlign w:val="center"/>
          </w:tcPr>
          <w:p w14:paraId="73791B3E">
            <w:pPr>
              <w:pStyle w:val="13"/>
              <w:rPr>
                <w:rFonts w:hint="eastAsia"/>
                <w:highlight w:val="none"/>
                <w:lang w:val="zh-CN"/>
              </w:rPr>
            </w:pPr>
            <w:r>
              <w:rPr>
                <w:highlight w:val="none"/>
                <w:lang w:val="zh-CN"/>
              </w:rPr>
              <w:t>底层采用厚度不低于2.5mmPVC针 织棉，面层采用瓦楞纸板覆盖保护；</w:t>
            </w:r>
          </w:p>
        </w:tc>
        <w:tc>
          <w:tcPr>
            <w:tcW w:w="7186" w:type="dxa"/>
            <w:vAlign w:val="center"/>
          </w:tcPr>
          <w:p w14:paraId="08170666">
            <w:pPr>
              <w:pStyle w:val="13"/>
              <w:rPr>
                <w:rFonts w:hint="eastAsia"/>
                <w:highlight w:val="none"/>
                <w:lang w:val="zh-CN"/>
              </w:rPr>
            </w:pPr>
          </w:p>
          <w:p w14:paraId="765D27AE">
            <w:pPr>
              <w:pStyle w:val="13"/>
              <w:rPr>
                <w:rFonts w:hint="eastAsia"/>
                <w:highlight w:val="none"/>
                <w:lang w:val="zh-CN"/>
              </w:rPr>
            </w:pPr>
            <w:r>
              <w:rPr>
                <w:highlight w:val="none"/>
              </w:rPr>
              <w:drawing>
                <wp:inline distT="0" distB="0" distL="0" distR="0">
                  <wp:extent cx="2142490" cy="1685925"/>
                  <wp:effectExtent l="0" t="0" r="635" b="0"/>
                  <wp:docPr id="9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49.jpeg"/>
                          <pic:cNvPicPr>
                            <a:picLocks noChangeAspect="1"/>
                          </pic:cNvPicPr>
                        </pic:nvPicPr>
                        <pic:blipFill>
                          <a:blip r:embed="rId50" cstate="print"/>
                          <a:stretch>
                            <a:fillRect/>
                          </a:stretch>
                        </pic:blipFill>
                        <pic:spPr>
                          <a:xfrm>
                            <a:off x="0" y="0"/>
                            <a:ext cx="2143124" cy="1685925"/>
                          </a:xfrm>
                          <a:prstGeom prst="rect">
                            <a:avLst/>
                          </a:prstGeom>
                        </pic:spPr>
                      </pic:pic>
                    </a:graphicData>
                  </a:graphic>
                </wp:inline>
              </w:drawing>
            </w:r>
            <w:r>
              <w:rPr>
                <w:highlight w:val="none"/>
              </w:rPr>
              <w:drawing>
                <wp:inline distT="0" distB="0" distL="0" distR="0">
                  <wp:extent cx="2241550" cy="1645285"/>
                  <wp:effectExtent l="0" t="0" r="6350" b="2540"/>
                  <wp:docPr id="93"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50.jpeg"/>
                          <pic:cNvPicPr>
                            <a:picLocks noChangeAspect="1"/>
                          </pic:cNvPicPr>
                        </pic:nvPicPr>
                        <pic:blipFill>
                          <a:blip r:embed="rId51" cstate="print"/>
                          <a:stretch>
                            <a:fillRect/>
                          </a:stretch>
                        </pic:blipFill>
                        <pic:spPr>
                          <a:xfrm>
                            <a:off x="0" y="0"/>
                            <a:ext cx="2241845" cy="1645919"/>
                          </a:xfrm>
                          <a:prstGeom prst="rect">
                            <a:avLst/>
                          </a:prstGeom>
                        </pic:spPr>
                      </pic:pic>
                    </a:graphicData>
                  </a:graphic>
                </wp:inline>
              </w:drawing>
            </w:r>
          </w:p>
        </w:tc>
        <w:tc>
          <w:tcPr>
            <w:tcW w:w="884" w:type="dxa"/>
            <w:vAlign w:val="center"/>
          </w:tcPr>
          <w:p w14:paraId="6EC839FD">
            <w:pPr>
              <w:pStyle w:val="13"/>
              <w:rPr>
                <w:rFonts w:hint="eastAsia"/>
                <w:highlight w:val="none"/>
                <w:lang w:val="zh-CN"/>
              </w:rPr>
            </w:pPr>
          </w:p>
        </w:tc>
      </w:tr>
      <w:tr w14:paraId="75293F2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3072" w:hRule="atLeast"/>
          <w:jc w:val="center"/>
        </w:trPr>
        <w:tc>
          <w:tcPr>
            <w:tcW w:w="765" w:type="dxa"/>
            <w:tcBorders>
              <w:bottom w:val="nil"/>
            </w:tcBorders>
            <w:vAlign w:val="center"/>
          </w:tcPr>
          <w:p w14:paraId="5FFD68A0">
            <w:pPr>
              <w:pStyle w:val="13"/>
              <w:rPr>
                <w:rFonts w:hint="eastAsia"/>
                <w:highlight w:val="none"/>
                <w:lang w:val="zh-CN"/>
              </w:rPr>
            </w:pPr>
          </w:p>
        </w:tc>
        <w:tc>
          <w:tcPr>
            <w:tcW w:w="1080" w:type="dxa"/>
            <w:tcBorders>
              <w:bottom w:val="nil"/>
            </w:tcBorders>
            <w:vAlign w:val="center"/>
          </w:tcPr>
          <w:p w14:paraId="17A3A795">
            <w:pPr>
              <w:pStyle w:val="13"/>
              <w:rPr>
                <w:rFonts w:hint="eastAsia"/>
                <w:highlight w:val="none"/>
                <w:lang w:val="zh-CN"/>
              </w:rPr>
            </w:pPr>
          </w:p>
        </w:tc>
        <w:tc>
          <w:tcPr>
            <w:tcW w:w="812" w:type="dxa"/>
            <w:vAlign w:val="center"/>
          </w:tcPr>
          <w:p w14:paraId="7C60B05A">
            <w:pPr>
              <w:pStyle w:val="13"/>
              <w:rPr>
                <w:rFonts w:hint="eastAsia"/>
                <w:highlight w:val="none"/>
                <w:lang w:val="zh-CN"/>
              </w:rPr>
            </w:pPr>
            <w:r>
              <w:rPr>
                <w:highlight w:val="none"/>
                <w:lang w:val="zh-CN"/>
              </w:rPr>
              <w:t>工厂包装</w:t>
            </w:r>
          </w:p>
        </w:tc>
        <w:tc>
          <w:tcPr>
            <w:tcW w:w="2072" w:type="dxa"/>
            <w:vAlign w:val="center"/>
          </w:tcPr>
          <w:p w14:paraId="245A79DD">
            <w:pPr>
              <w:pStyle w:val="13"/>
              <w:rPr>
                <w:rFonts w:hint="eastAsia"/>
                <w:highlight w:val="none"/>
                <w:lang w:val="zh-CN"/>
              </w:rPr>
            </w:pPr>
            <w:r>
              <w:rPr>
                <w:highlight w:val="none"/>
                <w:lang w:val="zh-CN"/>
              </w:rPr>
              <w:t>pvc保护膜加编织袋进行保护</w:t>
            </w:r>
          </w:p>
        </w:tc>
        <w:tc>
          <w:tcPr>
            <w:tcW w:w="7186" w:type="dxa"/>
            <w:vAlign w:val="center"/>
          </w:tcPr>
          <w:p w14:paraId="3E01CEDB">
            <w:pPr>
              <w:pStyle w:val="13"/>
              <w:rPr>
                <w:rFonts w:hint="eastAsia"/>
                <w:highlight w:val="none"/>
                <w:lang w:val="zh-CN"/>
              </w:rPr>
            </w:pPr>
            <w:r>
              <w:rPr>
                <w:highlight w:val="none"/>
              </w:rPr>
              <w:drawing>
                <wp:inline distT="0" distB="0" distL="114300" distR="114300">
                  <wp:extent cx="1457325" cy="1981200"/>
                  <wp:effectExtent l="0" t="0" r="0" b="0"/>
                  <wp:docPr id="161043424" name="图片 16104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3424" name="图片 161043424"/>
                          <pic:cNvPicPr>
                            <a:picLocks noChangeAspect="1"/>
                          </pic:cNvPicPr>
                        </pic:nvPicPr>
                        <pic:blipFill>
                          <a:blip r:embed="rId52" cstate="print"/>
                          <a:stretch>
                            <a:fillRect/>
                          </a:stretch>
                        </pic:blipFill>
                        <pic:spPr>
                          <a:xfrm>
                            <a:off x="0" y="0"/>
                            <a:ext cx="1457325" cy="1981200"/>
                          </a:xfrm>
                          <a:prstGeom prst="rect">
                            <a:avLst/>
                          </a:prstGeom>
                          <a:noFill/>
                          <a:ln>
                            <a:noFill/>
                          </a:ln>
                        </pic:spPr>
                      </pic:pic>
                    </a:graphicData>
                  </a:graphic>
                </wp:inline>
              </w:drawing>
            </w:r>
            <w:r>
              <w:rPr>
                <w:highlight w:val="none"/>
              </w:rPr>
              <w:drawing>
                <wp:inline distT="0" distB="0" distL="114300" distR="114300">
                  <wp:extent cx="1447800" cy="1990725"/>
                  <wp:effectExtent l="0" t="0" r="0" b="0"/>
                  <wp:docPr id="227896652" name="图片 22789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96652" name="图片 227896652"/>
                          <pic:cNvPicPr>
                            <a:picLocks noChangeAspect="1"/>
                          </pic:cNvPicPr>
                        </pic:nvPicPr>
                        <pic:blipFill>
                          <a:blip r:embed="rId53" cstate="print"/>
                          <a:stretch>
                            <a:fillRect/>
                          </a:stretch>
                        </pic:blipFill>
                        <pic:spPr>
                          <a:xfrm>
                            <a:off x="0" y="0"/>
                            <a:ext cx="1447800" cy="1990725"/>
                          </a:xfrm>
                          <a:prstGeom prst="rect">
                            <a:avLst/>
                          </a:prstGeom>
                          <a:noFill/>
                          <a:ln>
                            <a:noFill/>
                          </a:ln>
                        </pic:spPr>
                      </pic:pic>
                    </a:graphicData>
                  </a:graphic>
                </wp:inline>
              </w:drawing>
            </w:r>
            <w:r>
              <w:rPr>
                <w:highlight w:val="none"/>
              </w:rPr>
              <w:drawing>
                <wp:inline distT="0" distB="0" distL="114300" distR="114300">
                  <wp:extent cx="1586230" cy="2009775"/>
                  <wp:effectExtent l="0" t="0" r="4445" b="0"/>
                  <wp:docPr id="528439308" name="图片 52843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439308" name="图片 528439308"/>
                          <pic:cNvPicPr>
                            <a:picLocks noChangeAspect="1"/>
                          </pic:cNvPicPr>
                        </pic:nvPicPr>
                        <pic:blipFill>
                          <a:blip r:embed="rId54" cstate="print"/>
                          <a:stretch>
                            <a:fillRect/>
                          </a:stretch>
                        </pic:blipFill>
                        <pic:spPr>
                          <a:xfrm>
                            <a:off x="0" y="0"/>
                            <a:ext cx="1586230" cy="2009775"/>
                          </a:xfrm>
                          <a:prstGeom prst="rect">
                            <a:avLst/>
                          </a:prstGeom>
                          <a:noFill/>
                          <a:ln>
                            <a:noFill/>
                          </a:ln>
                        </pic:spPr>
                      </pic:pic>
                    </a:graphicData>
                  </a:graphic>
                </wp:inline>
              </w:drawing>
            </w:r>
          </w:p>
        </w:tc>
        <w:tc>
          <w:tcPr>
            <w:tcW w:w="884" w:type="dxa"/>
            <w:vAlign w:val="center"/>
          </w:tcPr>
          <w:p w14:paraId="66696A8B">
            <w:pPr>
              <w:pStyle w:val="13"/>
              <w:rPr>
                <w:rFonts w:hint="eastAsia"/>
                <w:highlight w:val="none"/>
                <w:lang w:val="zh-CN"/>
              </w:rPr>
            </w:pPr>
          </w:p>
        </w:tc>
      </w:tr>
      <w:tr w14:paraId="6D7A76A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3072" w:hRule="atLeast"/>
          <w:jc w:val="center"/>
        </w:trPr>
        <w:tc>
          <w:tcPr>
            <w:tcW w:w="765" w:type="dxa"/>
            <w:vMerge w:val="restart"/>
            <w:tcBorders>
              <w:top w:val="nil"/>
            </w:tcBorders>
            <w:vAlign w:val="center"/>
          </w:tcPr>
          <w:p w14:paraId="4A694B4F">
            <w:pPr>
              <w:pStyle w:val="13"/>
              <w:rPr>
                <w:rFonts w:hint="eastAsia"/>
                <w:highlight w:val="none"/>
                <w:lang w:val="zh-CN"/>
              </w:rPr>
            </w:pPr>
            <w:r>
              <w:rPr>
                <w:highlight w:val="none"/>
                <w:lang w:val="zh-CN"/>
              </w:rPr>
              <w:t>4</w:t>
            </w:r>
          </w:p>
        </w:tc>
        <w:tc>
          <w:tcPr>
            <w:tcW w:w="1080" w:type="dxa"/>
            <w:vMerge w:val="restart"/>
            <w:tcBorders>
              <w:top w:val="nil"/>
            </w:tcBorders>
            <w:vAlign w:val="center"/>
          </w:tcPr>
          <w:p w14:paraId="447AE4C0">
            <w:pPr>
              <w:pStyle w:val="13"/>
              <w:rPr>
                <w:rFonts w:hint="eastAsia"/>
                <w:highlight w:val="none"/>
                <w:lang w:val="zh-CN"/>
              </w:rPr>
            </w:pPr>
            <w:r>
              <w:rPr>
                <w:rFonts w:hint="eastAsia"/>
                <w:highlight w:val="none"/>
                <w:lang w:val="zh-CN"/>
              </w:rPr>
              <w:t>地毯</w:t>
            </w:r>
          </w:p>
        </w:tc>
        <w:tc>
          <w:tcPr>
            <w:tcW w:w="812" w:type="dxa"/>
            <w:vAlign w:val="center"/>
          </w:tcPr>
          <w:p w14:paraId="39A6656E">
            <w:pPr>
              <w:pStyle w:val="13"/>
              <w:rPr>
                <w:rFonts w:hint="eastAsia"/>
                <w:highlight w:val="none"/>
                <w:lang w:val="zh-CN"/>
              </w:rPr>
            </w:pPr>
            <w:r>
              <w:rPr>
                <w:highlight w:val="none"/>
                <w:lang w:val="zh-CN"/>
              </w:rPr>
              <w:t>堆放</w:t>
            </w:r>
          </w:p>
        </w:tc>
        <w:tc>
          <w:tcPr>
            <w:tcW w:w="2072" w:type="dxa"/>
            <w:vAlign w:val="center"/>
          </w:tcPr>
          <w:p w14:paraId="3F8DF1F8">
            <w:pPr>
              <w:pStyle w:val="13"/>
              <w:rPr>
                <w:rFonts w:hint="eastAsia"/>
                <w:highlight w:val="none"/>
                <w:lang w:val="zh-CN"/>
              </w:rPr>
            </w:pPr>
            <w:r>
              <w:rPr>
                <w:highlight w:val="none"/>
                <w:lang w:val="zh-CN"/>
              </w:rPr>
              <w:t>现场地毯应置于户内垫木上，垫木高度不得小于100mm</w:t>
            </w:r>
          </w:p>
        </w:tc>
        <w:tc>
          <w:tcPr>
            <w:tcW w:w="7186" w:type="dxa"/>
            <w:vAlign w:val="center"/>
          </w:tcPr>
          <w:p w14:paraId="43889C19">
            <w:pPr>
              <w:pStyle w:val="13"/>
              <w:rPr>
                <w:rFonts w:hint="eastAsia"/>
                <w:highlight w:val="none"/>
                <w:lang w:val="zh-CN"/>
              </w:rPr>
            </w:pPr>
          </w:p>
          <w:p w14:paraId="6AD93F39">
            <w:pPr>
              <w:pStyle w:val="13"/>
              <w:rPr>
                <w:rFonts w:hint="eastAsia"/>
                <w:highlight w:val="none"/>
                <w:lang w:val="zh-CN"/>
              </w:rPr>
            </w:pPr>
            <w:r>
              <w:rPr>
                <w:highlight w:val="none"/>
              </w:rPr>
              <w:drawing>
                <wp:inline distT="0" distB="0" distL="0" distR="0">
                  <wp:extent cx="2217420" cy="1910715"/>
                  <wp:effectExtent l="0" t="0" r="1905" b="3810"/>
                  <wp:docPr id="95" name="image51.jpeg" descr="IMG_1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51.jpeg" descr="IMG_1884.JPG"/>
                          <pic:cNvPicPr>
                            <a:picLocks noChangeAspect="1"/>
                          </pic:cNvPicPr>
                        </pic:nvPicPr>
                        <pic:blipFill>
                          <a:blip r:embed="rId55" cstate="print"/>
                          <a:stretch>
                            <a:fillRect/>
                          </a:stretch>
                        </pic:blipFill>
                        <pic:spPr>
                          <a:xfrm>
                            <a:off x="0" y="0"/>
                            <a:ext cx="2217622" cy="1911096"/>
                          </a:xfrm>
                          <a:prstGeom prst="rect">
                            <a:avLst/>
                          </a:prstGeom>
                        </pic:spPr>
                      </pic:pic>
                    </a:graphicData>
                  </a:graphic>
                </wp:inline>
              </w:drawing>
            </w:r>
          </w:p>
        </w:tc>
        <w:tc>
          <w:tcPr>
            <w:tcW w:w="884" w:type="dxa"/>
            <w:vAlign w:val="center"/>
          </w:tcPr>
          <w:p w14:paraId="2B5B6D3D">
            <w:pPr>
              <w:pStyle w:val="13"/>
              <w:rPr>
                <w:rFonts w:hint="eastAsia"/>
                <w:highlight w:val="none"/>
                <w:lang w:val="zh-CN"/>
              </w:rPr>
            </w:pPr>
          </w:p>
        </w:tc>
      </w:tr>
      <w:tr w14:paraId="0FF0477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continue"/>
            <w:tcBorders>
              <w:top w:val="nil"/>
            </w:tcBorders>
            <w:vAlign w:val="center"/>
          </w:tcPr>
          <w:p w14:paraId="0E25E48B">
            <w:pPr>
              <w:pStyle w:val="13"/>
              <w:rPr>
                <w:rFonts w:hint="eastAsia"/>
                <w:highlight w:val="none"/>
                <w:lang w:val="zh-CN"/>
              </w:rPr>
            </w:pPr>
          </w:p>
        </w:tc>
        <w:tc>
          <w:tcPr>
            <w:tcW w:w="1080" w:type="dxa"/>
            <w:vMerge w:val="continue"/>
            <w:tcBorders>
              <w:top w:val="nil"/>
            </w:tcBorders>
            <w:vAlign w:val="center"/>
          </w:tcPr>
          <w:p w14:paraId="5EBD6B41">
            <w:pPr>
              <w:pStyle w:val="13"/>
              <w:rPr>
                <w:rFonts w:hint="eastAsia"/>
                <w:highlight w:val="none"/>
                <w:lang w:val="zh-CN"/>
              </w:rPr>
            </w:pPr>
          </w:p>
        </w:tc>
        <w:tc>
          <w:tcPr>
            <w:tcW w:w="812" w:type="dxa"/>
            <w:vAlign w:val="center"/>
          </w:tcPr>
          <w:p w14:paraId="23C896C0">
            <w:pPr>
              <w:pStyle w:val="13"/>
              <w:rPr>
                <w:rFonts w:hint="eastAsia"/>
                <w:highlight w:val="none"/>
                <w:lang w:val="zh-CN"/>
              </w:rPr>
            </w:pPr>
            <w:r>
              <w:rPr>
                <w:highlight w:val="none"/>
                <w:lang w:val="zh-CN"/>
              </w:rPr>
              <w:t>安装成品</w:t>
            </w:r>
          </w:p>
        </w:tc>
        <w:tc>
          <w:tcPr>
            <w:tcW w:w="2072" w:type="dxa"/>
            <w:vAlign w:val="center"/>
          </w:tcPr>
          <w:p w14:paraId="614BFA12">
            <w:pPr>
              <w:pStyle w:val="13"/>
              <w:rPr>
                <w:rFonts w:hint="eastAsia"/>
                <w:highlight w:val="none"/>
                <w:lang w:val="zh-CN"/>
              </w:rPr>
            </w:pPr>
            <w:r>
              <w:rPr>
                <w:highlight w:val="none"/>
                <w:lang w:val="zh-CN"/>
              </w:rPr>
              <w:t>底层保护：防潮保护膜；面层保护： 瓦楞纸板；胶带；</w:t>
            </w:r>
          </w:p>
        </w:tc>
        <w:tc>
          <w:tcPr>
            <w:tcW w:w="7186" w:type="dxa"/>
            <w:vAlign w:val="center"/>
          </w:tcPr>
          <w:p w14:paraId="3AC578D4">
            <w:pPr>
              <w:pStyle w:val="13"/>
              <w:rPr>
                <w:rFonts w:hint="eastAsia"/>
                <w:highlight w:val="none"/>
                <w:lang w:val="zh-CN"/>
              </w:rPr>
            </w:pPr>
            <w:r>
              <w:rPr>
                <w:highlight w:val="none"/>
              </w:rPr>
              <w:drawing>
                <wp:inline distT="0" distB="0" distL="0" distR="0">
                  <wp:extent cx="2157730" cy="1943100"/>
                  <wp:effectExtent l="0" t="0" r="4445" b="0"/>
                  <wp:docPr id="97"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2.jpeg"/>
                          <pic:cNvPicPr>
                            <a:picLocks noChangeAspect="1"/>
                          </pic:cNvPicPr>
                        </pic:nvPicPr>
                        <pic:blipFill>
                          <a:blip r:embed="rId56" cstate="print"/>
                          <a:stretch>
                            <a:fillRect/>
                          </a:stretch>
                        </pic:blipFill>
                        <pic:spPr>
                          <a:xfrm>
                            <a:off x="0" y="0"/>
                            <a:ext cx="2158091" cy="1943576"/>
                          </a:xfrm>
                          <a:prstGeom prst="rect">
                            <a:avLst/>
                          </a:prstGeom>
                        </pic:spPr>
                      </pic:pic>
                    </a:graphicData>
                  </a:graphic>
                </wp:inline>
              </w:drawing>
            </w:r>
            <w:r>
              <w:rPr>
                <w:highlight w:val="none"/>
              </w:rPr>
              <w:drawing>
                <wp:inline distT="0" distB="0" distL="0" distR="0">
                  <wp:extent cx="2218055" cy="1944370"/>
                  <wp:effectExtent l="0" t="0" r="1270" b="8255"/>
                  <wp:docPr id="99" name="image53.jpeg" descr="照片 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53.jpeg" descr="照片 085"/>
                          <pic:cNvPicPr>
                            <a:picLocks noChangeAspect="1"/>
                          </pic:cNvPicPr>
                        </pic:nvPicPr>
                        <pic:blipFill>
                          <a:blip r:embed="rId57" cstate="print"/>
                          <a:stretch>
                            <a:fillRect/>
                          </a:stretch>
                        </pic:blipFill>
                        <pic:spPr>
                          <a:xfrm>
                            <a:off x="0" y="0"/>
                            <a:ext cx="2218345" cy="1944814"/>
                          </a:xfrm>
                          <a:prstGeom prst="rect">
                            <a:avLst/>
                          </a:prstGeom>
                        </pic:spPr>
                      </pic:pic>
                    </a:graphicData>
                  </a:graphic>
                </wp:inline>
              </w:drawing>
            </w:r>
          </w:p>
        </w:tc>
        <w:tc>
          <w:tcPr>
            <w:tcW w:w="884" w:type="dxa"/>
            <w:vAlign w:val="center"/>
          </w:tcPr>
          <w:p w14:paraId="44B93342">
            <w:pPr>
              <w:pStyle w:val="13"/>
              <w:rPr>
                <w:rFonts w:hint="eastAsia"/>
                <w:highlight w:val="none"/>
                <w:lang w:val="zh-CN"/>
              </w:rPr>
            </w:pPr>
          </w:p>
        </w:tc>
      </w:tr>
      <w:tr w14:paraId="16A4D28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006" w:hRule="atLeast"/>
          <w:jc w:val="center"/>
        </w:trPr>
        <w:tc>
          <w:tcPr>
            <w:tcW w:w="765" w:type="dxa"/>
            <w:vMerge w:val="restart"/>
            <w:vAlign w:val="center"/>
          </w:tcPr>
          <w:p w14:paraId="0FF17313">
            <w:pPr>
              <w:pStyle w:val="13"/>
              <w:rPr>
                <w:rFonts w:hint="eastAsia"/>
                <w:highlight w:val="none"/>
                <w:lang w:val="zh-CN"/>
              </w:rPr>
            </w:pPr>
            <w:r>
              <w:rPr>
                <w:highlight w:val="none"/>
                <w:lang w:val="zh-CN"/>
              </w:rPr>
              <w:t>5</w:t>
            </w:r>
          </w:p>
        </w:tc>
        <w:tc>
          <w:tcPr>
            <w:tcW w:w="1080" w:type="dxa"/>
            <w:vMerge w:val="restart"/>
            <w:vAlign w:val="center"/>
          </w:tcPr>
          <w:p w14:paraId="3CD85C25">
            <w:pPr>
              <w:pStyle w:val="13"/>
              <w:rPr>
                <w:rFonts w:hint="eastAsia"/>
                <w:highlight w:val="none"/>
                <w:lang w:val="zh-CN"/>
              </w:rPr>
            </w:pPr>
            <w:r>
              <w:rPr>
                <w:rFonts w:hint="eastAsia"/>
                <w:highlight w:val="none"/>
                <w:lang w:val="zh-CN"/>
              </w:rPr>
              <w:t>入户门及户内门</w:t>
            </w:r>
          </w:p>
        </w:tc>
        <w:tc>
          <w:tcPr>
            <w:tcW w:w="812" w:type="dxa"/>
            <w:vMerge w:val="restart"/>
            <w:vAlign w:val="center"/>
          </w:tcPr>
          <w:p w14:paraId="5353D2C7">
            <w:pPr>
              <w:pStyle w:val="13"/>
              <w:rPr>
                <w:rFonts w:hint="eastAsia"/>
                <w:highlight w:val="none"/>
                <w:lang w:val="zh-CN"/>
              </w:rPr>
            </w:pPr>
            <w:r>
              <w:rPr>
                <w:highlight w:val="none"/>
                <w:lang w:val="zh-CN"/>
              </w:rPr>
              <w:t>工厂包装</w:t>
            </w:r>
          </w:p>
        </w:tc>
        <w:tc>
          <w:tcPr>
            <w:tcW w:w="2072" w:type="dxa"/>
            <w:tcBorders>
              <w:bottom w:val="single" w:color="auto" w:sz="4" w:space="0"/>
            </w:tcBorders>
            <w:vAlign w:val="center"/>
          </w:tcPr>
          <w:p w14:paraId="51CA063E">
            <w:pPr>
              <w:pStyle w:val="13"/>
              <w:rPr>
                <w:rFonts w:hint="eastAsia"/>
                <w:highlight w:val="none"/>
                <w:lang w:val="zh-CN"/>
              </w:rPr>
            </w:pPr>
            <w:r>
              <w:rPr>
                <w:highlight w:val="none"/>
                <w:lang w:val="zh-CN"/>
              </w:rPr>
              <w:t>门套及门扇应分三</w:t>
            </w:r>
          </w:p>
          <w:p w14:paraId="4E5E4C38">
            <w:pPr>
              <w:pStyle w:val="13"/>
              <w:rPr>
                <w:rFonts w:hint="eastAsia"/>
                <w:highlight w:val="none"/>
                <w:lang w:val="zh-CN"/>
              </w:rPr>
            </w:pPr>
            <w:r>
              <w:rPr>
                <w:highlight w:val="none"/>
                <w:lang w:val="zh-CN"/>
              </w:rPr>
              <w:t>层包装，表面包珍珠棉，双面放</w:t>
            </w:r>
          </w:p>
          <w:p w14:paraId="129ED611">
            <w:pPr>
              <w:pStyle w:val="13"/>
              <w:rPr>
                <w:rFonts w:hint="eastAsia"/>
                <w:highlight w:val="none"/>
                <w:lang w:val="zh-CN"/>
              </w:rPr>
            </w:pPr>
            <w:r>
              <w:rPr>
                <w:highlight w:val="none"/>
                <w:lang w:val="zh-CN"/>
              </w:rPr>
              <w:t>5mm后泡沫板，</w:t>
            </w:r>
          </w:p>
          <w:p w14:paraId="7286F5DB">
            <w:pPr>
              <w:pStyle w:val="13"/>
              <w:rPr>
                <w:rFonts w:hint="eastAsia"/>
                <w:highlight w:val="none"/>
                <w:lang w:val="zh-CN"/>
              </w:rPr>
            </w:pPr>
            <w:r>
              <w:rPr>
                <w:highlight w:val="none"/>
                <w:lang w:val="zh-CN"/>
              </w:rPr>
              <w:t>最后用纸盒包装好</w:t>
            </w:r>
          </w:p>
        </w:tc>
        <w:tc>
          <w:tcPr>
            <w:tcW w:w="7186" w:type="dxa"/>
            <w:vMerge w:val="restart"/>
            <w:vAlign w:val="center"/>
          </w:tcPr>
          <w:p w14:paraId="3E92CECA">
            <w:pPr>
              <w:pStyle w:val="13"/>
              <w:rPr>
                <w:rFonts w:hint="eastAsia"/>
                <w:highlight w:val="none"/>
                <w:lang w:val="zh-CN"/>
              </w:rPr>
            </w:pPr>
            <w:r>
              <w:rPr>
                <w:highlight w:val="none"/>
              </w:rPr>
              <w:drawing>
                <wp:inline distT="0" distB="0" distL="0" distR="0">
                  <wp:extent cx="2198370" cy="1901825"/>
                  <wp:effectExtent l="0" t="0" r="1905" b="3175"/>
                  <wp:docPr id="101" name="image54.jpeg" descr="IMG_9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54.jpeg" descr="IMG_9612.JPG"/>
                          <pic:cNvPicPr>
                            <a:picLocks noChangeAspect="1"/>
                          </pic:cNvPicPr>
                        </pic:nvPicPr>
                        <pic:blipFill>
                          <a:blip r:embed="rId58" cstate="print"/>
                          <a:stretch>
                            <a:fillRect/>
                          </a:stretch>
                        </pic:blipFill>
                        <pic:spPr>
                          <a:xfrm>
                            <a:off x="0" y="0"/>
                            <a:ext cx="2198592" cy="1901952"/>
                          </a:xfrm>
                          <a:prstGeom prst="rect">
                            <a:avLst/>
                          </a:prstGeom>
                        </pic:spPr>
                      </pic:pic>
                    </a:graphicData>
                  </a:graphic>
                </wp:inline>
              </w:drawing>
            </w:r>
            <w:r>
              <w:rPr>
                <w:highlight w:val="none"/>
              </w:rPr>
              <w:drawing>
                <wp:inline distT="0" distB="0" distL="0" distR="0">
                  <wp:extent cx="2188210" cy="1920240"/>
                  <wp:effectExtent l="0" t="0" r="2540" b="3810"/>
                  <wp:docPr id="103" name="image55.jpeg" descr="IMG_9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55.jpeg" descr="IMG_9615.JPG"/>
                          <pic:cNvPicPr>
                            <a:picLocks noChangeAspect="1"/>
                          </pic:cNvPicPr>
                        </pic:nvPicPr>
                        <pic:blipFill>
                          <a:blip r:embed="rId59" cstate="print"/>
                          <a:stretch>
                            <a:fillRect/>
                          </a:stretch>
                        </pic:blipFill>
                        <pic:spPr>
                          <a:xfrm>
                            <a:off x="0" y="0"/>
                            <a:ext cx="2188581" cy="1920240"/>
                          </a:xfrm>
                          <a:prstGeom prst="rect">
                            <a:avLst/>
                          </a:prstGeom>
                        </pic:spPr>
                      </pic:pic>
                    </a:graphicData>
                  </a:graphic>
                </wp:inline>
              </w:drawing>
            </w:r>
          </w:p>
        </w:tc>
        <w:tc>
          <w:tcPr>
            <w:tcW w:w="884" w:type="dxa"/>
            <w:vMerge w:val="restart"/>
            <w:vAlign w:val="center"/>
          </w:tcPr>
          <w:p w14:paraId="2113FB85">
            <w:pPr>
              <w:pStyle w:val="13"/>
              <w:rPr>
                <w:rFonts w:hint="eastAsia"/>
                <w:highlight w:val="none"/>
                <w:lang w:val="zh-CN"/>
              </w:rPr>
            </w:pPr>
          </w:p>
        </w:tc>
      </w:tr>
      <w:tr w14:paraId="0757DF6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522" w:hRule="atLeast"/>
          <w:jc w:val="center"/>
        </w:trPr>
        <w:tc>
          <w:tcPr>
            <w:tcW w:w="765" w:type="dxa"/>
            <w:vMerge w:val="continue"/>
            <w:vAlign w:val="center"/>
          </w:tcPr>
          <w:p w14:paraId="4C2CEA71">
            <w:pPr>
              <w:pStyle w:val="13"/>
              <w:rPr>
                <w:rFonts w:hint="eastAsia"/>
                <w:highlight w:val="none"/>
                <w:lang w:val="zh-CN"/>
              </w:rPr>
            </w:pPr>
          </w:p>
        </w:tc>
        <w:tc>
          <w:tcPr>
            <w:tcW w:w="1080" w:type="dxa"/>
            <w:vMerge w:val="continue"/>
            <w:vAlign w:val="center"/>
          </w:tcPr>
          <w:p w14:paraId="722ADEBE">
            <w:pPr>
              <w:pStyle w:val="13"/>
              <w:rPr>
                <w:rFonts w:hint="eastAsia"/>
                <w:highlight w:val="none"/>
                <w:lang w:val="zh-CN"/>
              </w:rPr>
            </w:pPr>
          </w:p>
        </w:tc>
        <w:tc>
          <w:tcPr>
            <w:tcW w:w="812" w:type="dxa"/>
            <w:tcBorders>
              <w:right w:val="single" w:color="auto" w:sz="4" w:space="0"/>
            </w:tcBorders>
            <w:vAlign w:val="center"/>
          </w:tcPr>
          <w:p w14:paraId="71B01C3A">
            <w:pPr>
              <w:pStyle w:val="13"/>
              <w:rPr>
                <w:rFonts w:hint="eastAsia"/>
                <w:highlight w:val="none"/>
                <w:lang w:val="zh-CN"/>
              </w:rPr>
            </w:pPr>
            <w:r>
              <w:rPr>
                <w:highlight w:val="none"/>
                <w:lang w:val="zh-CN"/>
              </w:rPr>
              <w:t>堆放</w:t>
            </w:r>
          </w:p>
        </w:tc>
        <w:tc>
          <w:tcPr>
            <w:tcW w:w="2072" w:type="dxa"/>
            <w:tcBorders>
              <w:top w:val="single" w:color="auto" w:sz="4" w:space="0"/>
              <w:left w:val="single" w:color="auto" w:sz="4" w:space="0"/>
              <w:bottom w:val="single" w:color="auto" w:sz="4" w:space="0"/>
              <w:right w:val="single" w:color="auto" w:sz="4" w:space="0"/>
            </w:tcBorders>
            <w:vAlign w:val="center"/>
          </w:tcPr>
          <w:p w14:paraId="0C37CAFE">
            <w:pPr>
              <w:pStyle w:val="13"/>
              <w:rPr>
                <w:rFonts w:hint="eastAsia"/>
                <w:highlight w:val="none"/>
                <w:lang w:val="zh-CN"/>
              </w:rPr>
            </w:pPr>
          </w:p>
          <w:p w14:paraId="537337BB">
            <w:pPr>
              <w:pStyle w:val="13"/>
              <w:rPr>
                <w:rFonts w:hint="eastAsia"/>
                <w:highlight w:val="none"/>
                <w:lang w:val="zh-CN"/>
              </w:rPr>
            </w:pPr>
            <w:r>
              <w:rPr>
                <w:highlight w:val="none"/>
                <w:lang w:val="zh-CN"/>
              </w:rPr>
              <w:t>应置于户内垫木</w:t>
            </w:r>
          </w:p>
          <w:p w14:paraId="062DE963">
            <w:pPr>
              <w:pStyle w:val="13"/>
              <w:rPr>
                <w:rFonts w:hint="eastAsia"/>
                <w:highlight w:val="none"/>
                <w:lang w:val="zh-CN"/>
              </w:rPr>
            </w:pPr>
            <w:r>
              <w:rPr>
                <w:highlight w:val="none"/>
                <w:lang w:val="zh-CN"/>
              </w:rPr>
              <w:t>上，垫木高度不得</w:t>
            </w:r>
          </w:p>
          <w:p w14:paraId="2A5F3662">
            <w:pPr>
              <w:pStyle w:val="13"/>
              <w:rPr>
                <w:rFonts w:hint="eastAsia"/>
                <w:highlight w:val="none"/>
                <w:lang w:val="zh-CN"/>
              </w:rPr>
            </w:pPr>
            <w:r>
              <w:rPr>
                <w:highlight w:val="none"/>
                <w:lang w:val="zh-CN"/>
              </w:rPr>
              <w:t>小于100mm, 门框</w:t>
            </w:r>
          </w:p>
          <w:p w14:paraId="21B62904">
            <w:pPr>
              <w:pStyle w:val="13"/>
              <w:rPr>
                <w:rFonts w:hint="eastAsia"/>
                <w:highlight w:val="none"/>
                <w:lang w:val="zh-CN"/>
              </w:rPr>
            </w:pPr>
            <w:r>
              <w:rPr>
                <w:highlight w:val="none"/>
                <w:lang w:val="zh-CN"/>
              </w:rPr>
              <w:t>堆码高度不得超过</w:t>
            </w:r>
          </w:p>
          <w:p w14:paraId="64504901">
            <w:pPr>
              <w:pStyle w:val="13"/>
              <w:rPr>
                <w:rFonts w:hint="eastAsia"/>
                <w:highlight w:val="none"/>
                <w:lang w:val="zh-CN"/>
              </w:rPr>
            </w:pPr>
            <w:r>
              <w:rPr>
                <w:highlight w:val="none"/>
                <w:lang w:val="zh-CN"/>
              </w:rPr>
              <w:t>1.5m，门扇堆放</w:t>
            </w:r>
          </w:p>
          <w:p w14:paraId="770DA14C">
            <w:pPr>
              <w:pStyle w:val="13"/>
              <w:rPr>
                <w:rFonts w:hint="eastAsia"/>
                <w:highlight w:val="none"/>
                <w:lang w:val="zh-CN"/>
              </w:rPr>
            </w:pPr>
            <w:r>
              <w:rPr>
                <w:highlight w:val="none"/>
                <w:lang w:val="zh-CN"/>
              </w:rPr>
              <w:t>高度不超过1.2m，产品竖放时，其倾斜角度不得大于20°，长度不得大于5.0m</w:t>
            </w:r>
          </w:p>
        </w:tc>
        <w:tc>
          <w:tcPr>
            <w:tcW w:w="7186" w:type="dxa"/>
            <w:tcBorders>
              <w:left w:val="single" w:color="auto" w:sz="4" w:space="0"/>
            </w:tcBorders>
            <w:vAlign w:val="center"/>
          </w:tcPr>
          <w:p w14:paraId="60F1DD10">
            <w:pPr>
              <w:pStyle w:val="13"/>
              <w:rPr>
                <w:rFonts w:hint="eastAsia"/>
                <w:highlight w:val="none"/>
                <w:lang w:val="zh-CN"/>
              </w:rPr>
            </w:pPr>
          </w:p>
          <w:p w14:paraId="39BAA3C7">
            <w:pPr>
              <w:pStyle w:val="13"/>
              <w:rPr>
                <w:rFonts w:hint="eastAsia"/>
                <w:highlight w:val="none"/>
                <w:lang w:val="zh-CN"/>
              </w:rPr>
            </w:pPr>
            <w:r>
              <w:rPr>
                <w:highlight w:val="none"/>
              </w:rPr>
              <w:drawing>
                <wp:inline distT="0" distB="0" distL="0" distR="0">
                  <wp:extent cx="2190750" cy="2687955"/>
                  <wp:effectExtent l="0" t="0" r="0" b="7620"/>
                  <wp:docPr id="105" name="image56.jpeg" descr="IMG_9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6.jpeg" descr="IMG_9620.JPG"/>
                          <pic:cNvPicPr>
                            <a:picLocks noChangeAspect="1"/>
                          </pic:cNvPicPr>
                        </pic:nvPicPr>
                        <pic:blipFill>
                          <a:blip r:embed="rId60" cstate="print"/>
                          <a:stretch>
                            <a:fillRect/>
                          </a:stretch>
                        </pic:blipFill>
                        <pic:spPr>
                          <a:xfrm>
                            <a:off x="0" y="0"/>
                            <a:ext cx="2191144" cy="2688336"/>
                          </a:xfrm>
                          <a:prstGeom prst="rect">
                            <a:avLst/>
                          </a:prstGeom>
                        </pic:spPr>
                      </pic:pic>
                    </a:graphicData>
                  </a:graphic>
                </wp:inline>
              </w:drawing>
            </w:r>
            <w:r>
              <w:rPr>
                <w:highlight w:val="none"/>
              </w:rPr>
              <w:drawing>
                <wp:inline distT="0" distB="0" distL="0" distR="0">
                  <wp:extent cx="2207260" cy="2706370"/>
                  <wp:effectExtent l="0" t="0" r="2540" b="8255"/>
                  <wp:docPr id="107" name="image57.jpeg" descr="IMG_9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57.jpeg" descr="IMG_9616.JPG"/>
                          <pic:cNvPicPr>
                            <a:picLocks noChangeAspect="1"/>
                          </pic:cNvPicPr>
                        </pic:nvPicPr>
                        <pic:blipFill>
                          <a:blip r:embed="rId61" cstate="print"/>
                          <a:stretch>
                            <a:fillRect/>
                          </a:stretch>
                        </pic:blipFill>
                        <pic:spPr>
                          <a:xfrm>
                            <a:off x="0" y="0"/>
                            <a:ext cx="2207728" cy="2706624"/>
                          </a:xfrm>
                          <a:prstGeom prst="rect">
                            <a:avLst/>
                          </a:prstGeom>
                        </pic:spPr>
                      </pic:pic>
                    </a:graphicData>
                  </a:graphic>
                </wp:inline>
              </w:drawing>
            </w:r>
          </w:p>
        </w:tc>
        <w:tc>
          <w:tcPr>
            <w:tcW w:w="884" w:type="dxa"/>
            <w:vAlign w:val="center"/>
          </w:tcPr>
          <w:p w14:paraId="4829D186">
            <w:pPr>
              <w:pStyle w:val="13"/>
              <w:rPr>
                <w:rFonts w:hint="eastAsia"/>
                <w:highlight w:val="none"/>
                <w:lang w:val="zh-CN"/>
              </w:rPr>
            </w:pPr>
          </w:p>
        </w:tc>
      </w:tr>
      <w:tr w14:paraId="7E3272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5122C843">
            <w:pPr>
              <w:pStyle w:val="13"/>
              <w:rPr>
                <w:rFonts w:hint="eastAsia"/>
                <w:highlight w:val="none"/>
                <w:lang w:val="zh-CN"/>
              </w:rPr>
            </w:pPr>
          </w:p>
        </w:tc>
        <w:tc>
          <w:tcPr>
            <w:tcW w:w="1080" w:type="dxa"/>
            <w:vMerge w:val="continue"/>
            <w:tcBorders>
              <w:bottom w:val="nil"/>
            </w:tcBorders>
            <w:vAlign w:val="center"/>
          </w:tcPr>
          <w:p w14:paraId="3E699B9D">
            <w:pPr>
              <w:pStyle w:val="13"/>
              <w:rPr>
                <w:rFonts w:hint="eastAsia"/>
                <w:highlight w:val="none"/>
                <w:lang w:val="zh-CN"/>
              </w:rPr>
            </w:pPr>
          </w:p>
        </w:tc>
        <w:tc>
          <w:tcPr>
            <w:tcW w:w="812" w:type="dxa"/>
            <w:tcBorders>
              <w:right w:val="single" w:color="auto" w:sz="4" w:space="0"/>
            </w:tcBorders>
            <w:vAlign w:val="center"/>
          </w:tcPr>
          <w:p w14:paraId="7483B7BD">
            <w:pPr>
              <w:pStyle w:val="13"/>
              <w:rPr>
                <w:rFonts w:hint="eastAsia"/>
                <w:highlight w:val="none"/>
                <w:lang w:val="zh-CN"/>
              </w:rPr>
            </w:pPr>
            <w:r>
              <w:rPr>
                <w:highlight w:val="none"/>
                <w:lang w:val="zh-CN"/>
              </w:rPr>
              <w:t>成品保护</w:t>
            </w:r>
          </w:p>
        </w:tc>
        <w:tc>
          <w:tcPr>
            <w:tcW w:w="2072" w:type="dxa"/>
            <w:tcBorders>
              <w:top w:val="single" w:color="auto" w:sz="4" w:space="0"/>
              <w:left w:val="single" w:color="auto" w:sz="4" w:space="0"/>
              <w:bottom w:val="single" w:color="auto" w:sz="4" w:space="0"/>
              <w:right w:val="single" w:color="auto" w:sz="4" w:space="0"/>
            </w:tcBorders>
            <w:vAlign w:val="center"/>
          </w:tcPr>
          <w:p w14:paraId="7C2CC877">
            <w:pPr>
              <w:pStyle w:val="13"/>
              <w:rPr>
                <w:rFonts w:hint="eastAsia"/>
                <w:highlight w:val="none"/>
                <w:lang w:val="zh-CN"/>
              </w:rPr>
            </w:pPr>
            <w:r>
              <w:rPr>
                <w:highlight w:val="none"/>
                <w:lang w:val="zh-CN"/>
              </w:rPr>
              <w:t>1、门框安装完成后，精装单位需对所有门框采取U型12mm夹板进行固定保护，防止碰伤划伤；      2、门扇安装完成后采用无纺布全面覆盖保护，门锁应采用珍珠棉进行包裹保护。</w:t>
            </w:r>
          </w:p>
        </w:tc>
        <w:tc>
          <w:tcPr>
            <w:tcW w:w="7186" w:type="dxa"/>
            <w:tcBorders>
              <w:top w:val="nil"/>
              <w:left w:val="single" w:color="auto" w:sz="4" w:space="0"/>
            </w:tcBorders>
            <w:vAlign w:val="center"/>
          </w:tcPr>
          <w:p w14:paraId="5D137258">
            <w:pPr>
              <w:pStyle w:val="13"/>
              <w:rPr>
                <w:rFonts w:hint="eastAsia"/>
                <w:highlight w:val="none"/>
                <w:lang w:val="zh-CN"/>
              </w:rPr>
            </w:pPr>
          </w:p>
          <w:p w14:paraId="4E167036">
            <w:pPr>
              <w:pStyle w:val="13"/>
              <w:rPr>
                <w:rFonts w:hint="eastAsia"/>
                <w:highlight w:val="none"/>
                <w:lang w:val="zh-CN"/>
              </w:rPr>
            </w:pPr>
            <w:r>
              <w:rPr>
                <w:highlight w:val="none"/>
              </w:rPr>
              <w:drawing>
                <wp:inline distT="0" distB="0" distL="0" distR="0">
                  <wp:extent cx="2172970" cy="2967990"/>
                  <wp:effectExtent l="0" t="0" r="8255" b="3810"/>
                  <wp:docPr id="48"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58.jpeg"/>
                          <pic:cNvPicPr>
                            <a:picLocks noChangeAspect="1"/>
                          </pic:cNvPicPr>
                        </pic:nvPicPr>
                        <pic:blipFill>
                          <a:blip r:embed="rId62" cstate="print"/>
                          <a:stretch>
                            <a:fillRect/>
                          </a:stretch>
                        </pic:blipFill>
                        <pic:spPr>
                          <a:xfrm>
                            <a:off x="0" y="0"/>
                            <a:ext cx="2173559" cy="2968371"/>
                          </a:xfrm>
                          <a:prstGeom prst="rect">
                            <a:avLst/>
                          </a:prstGeom>
                        </pic:spPr>
                      </pic:pic>
                    </a:graphicData>
                  </a:graphic>
                </wp:inline>
              </w:drawing>
            </w:r>
            <w:r>
              <w:rPr>
                <w:highlight w:val="none"/>
              </w:rPr>
              <w:drawing>
                <wp:inline distT="0" distB="0" distL="0" distR="0">
                  <wp:extent cx="2217420" cy="2976245"/>
                  <wp:effectExtent l="0" t="0" r="1905" b="5080"/>
                  <wp:docPr id="50"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59.jpeg"/>
                          <pic:cNvPicPr>
                            <a:picLocks noChangeAspect="1"/>
                          </pic:cNvPicPr>
                        </pic:nvPicPr>
                        <pic:blipFill>
                          <a:blip r:embed="rId63" cstate="print"/>
                          <a:stretch>
                            <a:fillRect/>
                          </a:stretch>
                        </pic:blipFill>
                        <pic:spPr>
                          <a:xfrm>
                            <a:off x="0" y="0"/>
                            <a:ext cx="2217653" cy="2976372"/>
                          </a:xfrm>
                          <a:prstGeom prst="rect">
                            <a:avLst/>
                          </a:prstGeom>
                        </pic:spPr>
                      </pic:pic>
                    </a:graphicData>
                  </a:graphic>
                </wp:inline>
              </w:drawing>
            </w:r>
          </w:p>
        </w:tc>
        <w:tc>
          <w:tcPr>
            <w:tcW w:w="884" w:type="dxa"/>
            <w:tcBorders>
              <w:top w:val="nil"/>
            </w:tcBorders>
            <w:vAlign w:val="center"/>
          </w:tcPr>
          <w:p w14:paraId="4DDBA414">
            <w:pPr>
              <w:pStyle w:val="13"/>
              <w:rPr>
                <w:rFonts w:hint="eastAsia"/>
                <w:highlight w:val="none"/>
                <w:lang w:val="zh-CN"/>
              </w:rPr>
            </w:pPr>
            <w:r>
              <w:rPr>
                <w:highlight w:val="none"/>
                <w:lang w:val="zh-CN"/>
              </w:rPr>
              <w:t>猫眼及防盗链在业主入住前安装</w:t>
            </w:r>
          </w:p>
        </w:tc>
      </w:tr>
      <w:tr w14:paraId="6514B1B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70652CE8">
            <w:pPr>
              <w:pStyle w:val="13"/>
              <w:rPr>
                <w:rFonts w:hint="eastAsia"/>
                <w:highlight w:val="none"/>
                <w:lang w:val="zh-CN"/>
              </w:rPr>
            </w:pPr>
            <w:r>
              <w:rPr>
                <w:highlight w:val="none"/>
                <w:lang w:val="zh-CN"/>
              </w:rPr>
              <w:t>6</w:t>
            </w:r>
          </w:p>
        </w:tc>
        <w:tc>
          <w:tcPr>
            <w:tcW w:w="1080" w:type="dxa"/>
            <w:vMerge w:val="continue"/>
            <w:tcBorders>
              <w:bottom w:val="nil"/>
            </w:tcBorders>
            <w:vAlign w:val="center"/>
          </w:tcPr>
          <w:p w14:paraId="7478C1FB">
            <w:pPr>
              <w:pStyle w:val="13"/>
              <w:rPr>
                <w:rFonts w:hint="eastAsia"/>
                <w:highlight w:val="none"/>
                <w:lang w:val="zh-CN"/>
              </w:rPr>
            </w:pPr>
            <w:r>
              <w:rPr>
                <w:rFonts w:hint="eastAsia"/>
                <w:highlight w:val="none"/>
                <w:lang w:val="zh-CN"/>
              </w:rPr>
              <w:t>木饰面</w:t>
            </w:r>
          </w:p>
          <w:p w14:paraId="57B6A435">
            <w:pPr>
              <w:pStyle w:val="13"/>
              <w:rPr>
                <w:rFonts w:hint="eastAsia"/>
                <w:highlight w:val="none"/>
                <w:lang w:val="zh-CN"/>
              </w:rPr>
            </w:pPr>
            <w:r>
              <w:rPr>
                <w:rFonts w:hint="eastAsia"/>
                <w:highlight w:val="none"/>
                <w:lang w:val="zh-CN"/>
              </w:rPr>
              <w:t>（含固定家私）</w:t>
            </w:r>
          </w:p>
        </w:tc>
        <w:tc>
          <w:tcPr>
            <w:tcW w:w="812" w:type="dxa"/>
            <w:tcBorders>
              <w:top w:val="single" w:color="000000" w:sz="8" w:space="0"/>
              <w:left w:val="single" w:color="000000" w:sz="8" w:space="0"/>
              <w:bottom w:val="single" w:color="000000" w:sz="8" w:space="0"/>
              <w:right w:val="single" w:color="auto" w:sz="4" w:space="0"/>
            </w:tcBorders>
            <w:vAlign w:val="center"/>
          </w:tcPr>
          <w:p w14:paraId="14C65FFF">
            <w:pPr>
              <w:pStyle w:val="13"/>
              <w:rPr>
                <w:rFonts w:hint="eastAsia"/>
                <w:highlight w:val="none"/>
                <w:lang w:val="zh-CN"/>
              </w:rPr>
            </w:pPr>
            <w:r>
              <w:rPr>
                <w:highlight w:val="none"/>
                <w:lang w:val="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195D6BD7">
            <w:pPr>
              <w:pStyle w:val="13"/>
              <w:rPr>
                <w:rFonts w:hint="eastAsia"/>
                <w:highlight w:val="none"/>
                <w:lang w:val="zh-CN"/>
              </w:rPr>
            </w:pPr>
            <w:r>
              <w:rPr>
                <w:highlight w:val="none"/>
                <w:lang w:val="zh-CN"/>
              </w:rPr>
              <w:t>所有外露木饰面及家私均采用塑料薄膜进行保护</w:t>
            </w:r>
          </w:p>
        </w:tc>
        <w:tc>
          <w:tcPr>
            <w:tcW w:w="7186" w:type="dxa"/>
            <w:tcBorders>
              <w:top w:val="nil"/>
              <w:left w:val="single" w:color="auto" w:sz="4" w:space="0"/>
              <w:bottom w:val="single" w:color="000000" w:sz="8" w:space="0"/>
              <w:right w:val="single" w:color="000000" w:sz="8" w:space="0"/>
            </w:tcBorders>
            <w:vAlign w:val="center"/>
          </w:tcPr>
          <w:p w14:paraId="2FFEE568">
            <w:pPr>
              <w:pStyle w:val="13"/>
              <w:rPr>
                <w:rFonts w:hint="eastAsia"/>
                <w:highlight w:val="none"/>
                <w:lang w:val="zh-CN"/>
              </w:rPr>
            </w:pPr>
            <w:r>
              <w:rPr>
                <w:highlight w:val="none"/>
              </w:rPr>
              <w:drawing>
                <wp:inline distT="0" distB="0" distL="0" distR="0">
                  <wp:extent cx="2171065" cy="1872615"/>
                  <wp:effectExtent l="0" t="0" r="635" b="3810"/>
                  <wp:docPr id="113" name="image60.jpeg" descr="C:\Users\lenovo\AppData\Local\Temp\ksohtml\wpsD8D.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60.jpeg" descr="C:\Users\lenovo\AppData\Local\Temp\ksohtml\wpsD8D.tmp.png"/>
                          <pic:cNvPicPr>
                            <a:picLocks noChangeAspect="1"/>
                          </pic:cNvPicPr>
                        </pic:nvPicPr>
                        <pic:blipFill>
                          <a:blip r:embed="rId64" cstate="print"/>
                          <a:stretch>
                            <a:fillRect/>
                          </a:stretch>
                        </pic:blipFill>
                        <pic:spPr>
                          <a:xfrm>
                            <a:off x="0" y="0"/>
                            <a:ext cx="2171199" cy="1873091"/>
                          </a:xfrm>
                          <a:prstGeom prst="rect">
                            <a:avLst/>
                          </a:prstGeom>
                        </pic:spPr>
                      </pic:pic>
                    </a:graphicData>
                  </a:graphic>
                </wp:inline>
              </w:drawing>
            </w:r>
            <w:r>
              <w:rPr>
                <w:highlight w:val="none"/>
                <w:lang w:val="zh-CN"/>
              </w:rPr>
              <w:t xml:space="preserve"> </w:t>
            </w:r>
            <w:r>
              <w:rPr>
                <w:highlight w:val="none"/>
              </w:rPr>
              <w:drawing>
                <wp:inline distT="0" distB="0" distL="0" distR="0">
                  <wp:extent cx="2216785" cy="1847850"/>
                  <wp:effectExtent l="0" t="0" r="2540" b="0"/>
                  <wp:docPr id="115"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61.jpeg"/>
                          <pic:cNvPicPr>
                            <a:picLocks noChangeAspect="1"/>
                          </pic:cNvPicPr>
                        </pic:nvPicPr>
                        <pic:blipFill>
                          <a:blip r:embed="rId65" cstate="print"/>
                          <a:stretch>
                            <a:fillRect/>
                          </a:stretch>
                        </pic:blipFill>
                        <pic:spPr>
                          <a:xfrm>
                            <a:off x="0" y="0"/>
                            <a:ext cx="2217015" cy="1847850"/>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60B39980">
            <w:pPr>
              <w:pStyle w:val="13"/>
              <w:rPr>
                <w:rFonts w:hint="eastAsia"/>
                <w:highlight w:val="none"/>
                <w:lang w:val="zh-CN"/>
              </w:rPr>
            </w:pPr>
          </w:p>
        </w:tc>
      </w:tr>
      <w:tr w14:paraId="5C5C695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65F2C119">
            <w:pPr>
              <w:pStyle w:val="13"/>
              <w:rPr>
                <w:rFonts w:hint="eastAsia"/>
                <w:highlight w:val="none"/>
                <w:lang w:val="zh-CN"/>
              </w:rPr>
            </w:pPr>
            <w:r>
              <w:rPr>
                <w:highlight w:val="none"/>
                <w:lang w:val="zh-CN"/>
              </w:rPr>
              <w:t>7</w:t>
            </w:r>
          </w:p>
        </w:tc>
        <w:tc>
          <w:tcPr>
            <w:tcW w:w="1080" w:type="dxa"/>
            <w:vMerge w:val="continue"/>
            <w:tcBorders>
              <w:bottom w:val="nil"/>
            </w:tcBorders>
            <w:vAlign w:val="center"/>
          </w:tcPr>
          <w:p w14:paraId="2CE6D372">
            <w:pPr>
              <w:pStyle w:val="13"/>
              <w:rPr>
                <w:rFonts w:hint="eastAsia"/>
                <w:highlight w:val="none"/>
                <w:lang w:val="zh-CN"/>
              </w:rPr>
            </w:pPr>
            <w:r>
              <w:rPr>
                <w:rFonts w:hint="eastAsia"/>
                <w:highlight w:val="none"/>
                <w:lang w:val="zh-CN"/>
              </w:rPr>
              <w:t>裱糊、软包</w:t>
            </w:r>
          </w:p>
        </w:tc>
        <w:tc>
          <w:tcPr>
            <w:tcW w:w="812" w:type="dxa"/>
            <w:tcBorders>
              <w:top w:val="single" w:color="000000" w:sz="8" w:space="0"/>
              <w:left w:val="single" w:color="000000" w:sz="8" w:space="0"/>
              <w:bottom w:val="single" w:color="000000" w:sz="8" w:space="0"/>
              <w:right w:val="single" w:color="auto" w:sz="4" w:space="0"/>
            </w:tcBorders>
            <w:vAlign w:val="center"/>
          </w:tcPr>
          <w:p w14:paraId="2E4A7D74">
            <w:pPr>
              <w:pStyle w:val="13"/>
              <w:rPr>
                <w:rFonts w:hint="eastAsia"/>
                <w:highlight w:val="none"/>
                <w:lang w:val="zh-CN"/>
              </w:rPr>
            </w:pPr>
            <w:r>
              <w:rPr>
                <w:highlight w:val="none"/>
                <w:lang w:val="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7ABB9817">
            <w:pPr>
              <w:pStyle w:val="13"/>
              <w:rPr>
                <w:rFonts w:hint="eastAsia"/>
                <w:highlight w:val="none"/>
                <w:lang w:val="zh-CN"/>
              </w:rPr>
            </w:pPr>
            <w:r>
              <w:rPr>
                <w:highlight w:val="none"/>
                <w:lang w:val="zh-CN"/>
              </w:rPr>
              <w:t>所有外露裱糊、软包饰面均采用塑料薄膜进行保护</w:t>
            </w:r>
          </w:p>
        </w:tc>
        <w:tc>
          <w:tcPr>
            <w:tcW w:w="7186" w:type="dxa"/>
            <w:tcBorders>
              <w:top w:val="nil"/>
              <w:left w:val="single" w:color="auto" w:sz="4" w:space="0"/>
              <w:bottom w:val="single" w:color="000000" w:sz="8" w:space="0"/>
              <w:right w:val="single" w:color="000000" w:sz="8" w:space="0"/>
            </w:tcBorders>
            <w:vAlign w:val="center"/>
          </w:tcPr>
          <w:p w14:paraId="09C6991A">
            <w:pPr>
              <w:pStyle w:val="13"/>
              <w:rPr>
                <w:rFonts w:hint="eastAsia"/>
                <w:highlight w:val="none"/>
                <w:lang w:val="zh-CN"/>
              </w:rPr>
            </w:pPr>
            <w:r>
              <w:rPr>
                <w:highlight w:val="none"/>
              </w:rPr>
              <w:drawing>
                <wp:inline distT="0" distB="0" distL="114300" distR="114300">
                  <wp:extent cx="2122805" cy="1920875"/>
                  <wp:effectExtent l="0" t="0" r="1270" b="3175"/>
                  <wp:docPr id="1286026480" name="图片 1286026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026480" name="图片 1286026480"/>
                          <pic:cNvPicPr>
                            <a:picLocks noChangeAspect="1"/>
                          </pic:cNvPicPr>
                        </pic:nvPicPr>
                        <pic:blipFill>
                          <a:blip r:embed="rId66" cstate="print"/>
                          <a:stretch>
                            <a:fillRect/>
                          </a:stretch>
                        </pic:blipFill>
                        <pic:spPr>
                          <a:xfrm>
                            <a:off x="0" y="0"/>
                            <a:ext cx="2122805" cy="1920875"/>
                          </a:xfrm>
                          <a:prstGeom prst="rect">
                            <a:avLst/>
                          </a:prstGeom>
                          <a:noFill/>
                          <a:ln>
                            <a:noFill/>
                          </a:ln>
                        </pic:spPr>
                      </pic:pic>
                    </a:graphicData>
                  </a:graphic>
                </wp:inline>
              </w:drawing>
            </w:r>
            <w:r>
              <w:rPr>
                <w:highlight w:val="none"/>
              </w:rPr>
              <w:drawing>
                <wp:inline distT="0" distB="0" distL="114300" distR="114300">
                  <wp:extent cx="2350135" cy="1320165"/>
                  <wp:effectExtent l="0" t="0" r="2540" b="3810"/>
                  <wp:docPr id="390485568" name="图片 390485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85568" name="图片 390485568"/>
                          <pic:cNvPicPr>
                            <a:picLocks noChangeAspect="1"/>
                          </pic:cNvPicPr>
                        </pic:nvPicPr>
                        <pic:blipFill>
                          <a:blip r:embed="rId67" cstate="print"/>
                          <a:stretch>
                            <a:fillRect/>
                          </a:stretch>
                        </pic:blipFill>
                        <pic:spPr>
                          <a:xfrm>
                            <a:off x="0" y="0"/>
                            <a:ext cx="2350135" cy="1320165"/>
                          </a:xfrm>
                          <a:prstGeom prst="rect">
                            <a:avLst/>
                          </a:prstGeom>
                          <a:noFill/>
                          <a:ln>
                            <a:noFill/>
                          </a:ln>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22EC3FE8">
            <w:pPr>
              <w:pStyle w:val="13"/>
              <w:rPr>
                <w:rFonts w:hint="eastAsia"/>
                <w:highlight w:val="none"/>
                <w:lang w:val="zh-CN"/>
              </w:rPr>
            </w:pPr>
          </w:p>
        </w:tc>
      </w:tr>
      <w:tr w14:paraId="0AE8930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60431CEE">
            <w:pPr>
              <w:pStyle w:val="13"/>
              <w:rPr>
                <w:rFonts w:hint="eastAsia"/>
                <w:highlight w:val="none"/>
                <w:lang w:val="zh-CN"/>
              </w:rPr>
            </w:pPr>
            <w:r>
              <w:rPr>
                <w:highlight w:val="none"/>
                <w:lang w:val="zh-CN"/>
              </w:rPr>
              <w:t>8</w:t>
            </w:r>
          </w:p>
        </w:tc>
        <w:tc>
          <w:tcPr>
            <w:tcW w:w="1080" w:type="dxa"/>
            <w:vMerge w:val="continue"/>
            <w:tcBorders>
              <w:bottom w:val="nil"/>
            </w:tcBorders>
            <w:vAlign w:val="center"/>
          </w:tcPr>
          <w:p w14:paraId="09B9B1E1">
            <w:pPr>
              <w:pStyle w:val="13"/>
              <w:rPr>
                <w:rFonts w:hint="eastAsia"/>
                <w:highlight w:val="none"/>
                <w:lang w:val="zh-CN"/>
              </w:rPr>
            </w:pPr>
            <w:r>
              <w:rPr>
                <w:rFonts w:hint="eastAsia"/>
                <w:highlight w:val="none"/>
                <w:lang w:val="zh-CN"/>
              </w:rPr>
              <w:t>室内栏杆</w:t>
            </w:r>
          </w:p>
          <w:p w14:paraId="33E9A8EE">
            <w:pPr>
              <w:pStyle w:val="13"/>
              <w:rPr>
                <w:rFonts w:hint="eastAsia"/>
                <w:highlight w:val="none"/>
                <w:lang w:val="zh-CN"/>
              </w:rPr>
            </w:pPr>
            <w:r>
              <w:rPr>
                <w:rFonts w:hint="eastAsia"/>
                <w:highlight w:val="none"/>
                <w:lang w:val="zh-CN"/>
              </w:rPr>
              <w:t>、 扶手</w:t>
            </w:r>
          </w:p>
        </w:tc>
        <w:tc>
          <w:tcPr>
            <w:tcW w:w="812" w:type="dxa"/>
            <w:tcBorders>
              <w:top w:val="single" w:color="000000" w:sz="8" w:space="0"/>
              <w:left w:val="single" w:color="000000" w:sz="8" w:space="0"/>
              <w:bottom w:val="single" w:color="000000" w:sz="8" w:space="0"/>
              <w:right w:val="single" w:color="auto" w:sz="4" w:space="0"/>
            </w:tcBorders>
            <w:vAlign w:val="center"/>
          </w:tcPr>
          <w:p w14:paraId="26028209">
            <w:pPr>
              <w:pStyle w:val="13"/>
              <w:rPr>
                <w:rFonts w:hint="eastAsia"/>
                <w:highlight w:val="none"/>
                <w:lang w:val="zh-CN"/>
              </w:rPr>
            </w:pPr>
            <w:r>
              <w:rPr>
                <w:highlight w:val="none"/>
                <w:lang w:val="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4943695D">
            <w:pPr>
              <w:pStyle w:val="13"/>
              <w:rPr>
                <w:rFonts w:hint="eastAsia"/>
                <w:highlight w:val="none"/>
                <w:lang w:val="zh-CN"/>
              </w:rPr>
            </w:pPr>
            <w:r>
              <w:rPr>
                <w:highlight w:val="none"/>
                <w:lang w:val="zh-CN"/>
              </w:rPr>
              <w:t>转角部位用3㎜厚珍珠棉包裹3 层进行保护</w:t>
            </w:r>
          </w:p>
        </w:tc>
        <w:tc>
          <w:tcPr>
            <w:tcW w:w="7186" w:type="dxa"/>
            <w:tcBorders>
              <w:top w:val="nil"/>
              <w:left w:val="single" w:color="auto" w:sz="4" w:space="0"/>
              <w:bottom w:val="single" w:color="000000" w:sz="8" w:space="0"/>
              <w:right w:val="single" w:color="000000" w:sz="8" w:space="0"/>
            </w:tcBorders>
            <w:vAlign w:val="center"/>
          </w:tcPr>
          <w:p w14:paraId="3A2DE350">
            <w:pPr>
              <w:pStyle w:val="13"/>
              <w:rPr>
                <w:rFonts w:hint="eastAsia"/>
                <w:highlight w:val="none"/>
                <w:lang w:val="zh-CN"/>
              </w:rPr>
            </w:pPr>
            <w:r>
              <w:rPr>
                <w:highlight w:val="none"/>
              </w:rPr>
              <w:drawing>
                <wp:inline distT="0" distB="0" distL="0" distR="0">
                  <wp:extent cx="1695450" cy="1535430"/>
                  <wp:effectExtent l="0" t="0" r="0" b="7620"/>
                  <wp:docPr id="117"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62.jpeg"/>
                          <pic:cNvPicPr>
                            <a:picLocks noChangeAspect="1"/>
                          </pic:cNvPicPr>
                        </pic:nvPicPr>
                        <pic:blipFill>
                          <a:blip r:embed="rId68" cstate="print"/>
                          <a:stretch>
                            <a:fillRect/>
                          </a:stretch>
                        </pic:blipFill>
                        <pic:spPr>
                          <a:xfrm>
                            <a:off x="0" y="0"/>
                            <a:ext cx="1695450" cy="1535430"/>
                          </a:xfrm>
                          <a:prstGeom prst="rect">
                            <a:avLst/>
                          </a:prstGeom>
                        </pic:spPr>
                      </pic:pic>
                    </a:graphicData>
                  </a:graphic>
                </wp:inline>
              </w:drawing>
            </w:r>
            <w:r>
              <w:rPr>
                <w:rFonts w:hint="eastAsia"/>
                <w:highlight w:val="none"/>
                <w:lang w:val="zh-CN"/>
              </w:rPr>
              <w:t xml:space="preserve">  </w:t>
            </w:r>
            <w:r>
              <w:rPr>
                <w:rFonts w:hint="eastAsia"/>
                <w:highlight w:val="none"/>
              </w:rPr>
              <w:drawing>
                <wp:inline distT="0" distB="0" distL="114300" distR="114300">
                  <wp:extent cx="1925320" cy="1539240"/>
                  <wp:effectExtent l="0" t="0" r="8255" b="381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69" cstate="print"/>
                          <a:stretch>
                            <a:fillRect/>
                          </a:stretch>
                        </pic:blipFill>
                        <pic:spPr>
                          <a:xfrm>
                            <a:off x="0" y="0"/>
                            <a:ext cx="1925320" cy="1539240"/>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0D763554">
            <w:pPr>
              <w:pStyle w:val="13"/>
              <w:rPr>
                <w:rFonts w:hint="eastAsia"/>
                <w:highlight w:val="none"/>
                <w:lang w:val="zh-CN"/>
              </w:rPr>
            </w:pPr>
          </w:p>
        </w:tc>
      </w:tr>
      <w:tr w14:paraId="0E753D0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175C961C">
            <w:pPr>
              <w:pStyle w:val="13"/>
              <w:rPr>
                <w:rFonts w:hint="eastAsia"/>
                <w:highlight w:val="none"/>
                <w:lang w:val="zh-CN"/>
              </w:rPr>
            </w:pPr>
            <w:r>
              <w:rPr>
                <w:highlight w:val="none"/>
                <w:lang w:val="zh-CN"/>
              </w:rPr>
              <w:t>9</w:t>
            </w:r>
          </w:p>
        </w:tc>
        <w:tc>
          <w:tcPr>
            <w:tcW w:w="1080" w:type="dxa"/>
            <w:vMerge w:val="continue"/>
            <w:tcBorders>
              <w:bottom w:val="nil"/>
            </w:tcBorders>
            <w:vAlign w:val="center"/>
          </w:tcPr>
          <w:p w14:paraId="55F7769A">
            <w:pPr>
              <w:pStyle w:val="13"/>
              <w:rPr>
                <w:rFonts w:hint="eastAsia"/>
                <w:highlight w:val="none"/>
                <w:lang w:val="zh-CN"/>
              </w:rPr>
            </w:pPr>
            <w:r>
              <w:rPr>
                <w:rFonts w:hint="eastAsia"/>
                <w:highlight w:val="none"/>
                <w:lang w:val="zh-CN"/>
              </w:rPr>
              <w:t>浴缸</w:t>
            </w:r>
          </w:p>
        </w:tc>
        <w:tc>
          <w:tcPr>
            <w:tcW w:w="812" w:type="dxa"/>
            <w:tcBorders>
              <w:top w:val="single" w:color="000000" w:sz="8" w:space="0"/>
              <w:left w:val="single" w:color="000000" w:sz="8" w:space="0"/>
              <w:bottom w:val="single" w:color="000000" w:sz="8" w:space="0"/>
              <w:right w:val="single" w:color="auto" w:sz="4" w:space="0"/>
            </w:tcBorders>
            <w:vAlign w:val="center"/>
          </w:tcPr>
          <w:p w14:paraId="118DE843">
            <w:pPr>
              <w:pStyle w:val="13"/>
              <w:rPr>
                <w:rFonts w:hint="eastAsia"/>
                <w:highlight w:val="none"/>
                <w:lang w:val="zh-CN"/>
              </w:rPr>
            </w:pPr>
            <w:r>
              <w:rPr>
                <w:highlight w:val="none"/>
                <w:lang w:val="zh-CN"/>
              </w:rPr>
              <w:t>工厂包装</w:t>
            </w:r>
          </w:p>
        </w:tc>
        <w:tc>
          <w:tcPr>
            <w:tcW w:w="2072" w:type="dxa"/>
            <w:tcBorders>
              <w:top w:val="single" w:color="auto" w:sz="4" w:space="0"/>
              <w:left w:val="single" w:color="auto" w:sz="4" w:space="0"/>
              <w:bottom w:val="single" w:color="auto" w:sz="4" w:space="0"/>
              <w:right w:val="single" w:color="auto" w:sz="4" w:space="0"/>
            </w:tcBorders>
            <w:vAlign w:val="center"/>
          </w:tcPr>
          <w:p w14:paraId="0C13FE8D">
            <w:pPr>
              <w:pStyle w:val="13"/>
              <w:rPr>
                <w:rFonts w:hint="eastAsia"/>
                <w:highlight w:val="none"/>
                <w:lang w:val="zh-CN"/>
              </w:rPr>
            </w:pPr>
            <w:r>
              <w:rPr>
                <w:highlight w:val="none"/>
                <w:lang w:val="zh-CN"/>
              </w:rPr>
              <w:t>厚度不低于12mm 夹板条、边角使用3㎜厚珍珠棉包裹保护</w:t>
            </w:r>
          </w:p>
        </w:tc>
        <w:tc>
          <w:tcPr>
            <w:tcW w:w="7186" w:type="dxa"/>
            <w:tcBorders>
              <w:top w:val="nil"/>
              <w:left w:val="single" w:color="auto" w:sz="4" w:space="0"/>
              <w:bottom w:val="single" w:color="000000" w:sz="8" w:space="0"/>
              <w:right w:val="single" w:color="000000" w:sz="8" w:space="0"/>
            </w:tcBorders>
            <w:vAlign w:val="center"/>
          </w:tcPr>
          <w:p w14:paraId="76192124">
            <w:pPr>
              <w:pStyle w:val="13"/>
              <w:rPr>
                <w:rFonts w:hint="eastAsia"/>
                <w:highlight w:val="none"/>
                <w:lang w:val="zh-CN"/>
              </w:rPr>
            </w:pPr>
            <w:r>
              <w:rPr>
                <w:highlight w:val="none"/>
              </w:rPr>
              <w:drawing>
                <wp:inline distT="0" distB="0" distL="0" distR="0">
                  <wp:extent cx="2108835" cy="1410335"/>
                  <wp:effectExtent l="0" t="0" r="5715" b="8890"/>
                  <wp:docPr id="119" name="image63.jpeg"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63.jpeg" descr="01.jpg"/>
                          <pic:cNvPicPr>
                            <a:picLocks noChangeAspect="1"/>
                          </pic:cNvPicPr>
                        </pic:nvPicPr>
                        <pic:blipFill>
                          <a:blip r:embed="rId70" cstate="print"/>
                          <a:stretch>
                            <a:fillRect/>
                          </a:stretch>
                        </pic:blipFill>
                        <pic:spPr>
                          <a:xfrm>
                            <a:off x="0" y="0"/>
                            <a:ext cx="2109167" cy="1410843"/>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3D194B94">
            <w:pPr>
              <w:pStyle w:val="13"/>
              <w:rPr>
                <w:rFonts w:hint="eastAsia"/>
                <w:highlight w:val="none"/>
                <w:lang w:val="zh-CN"/>
              </w:rPr>
            </w:pPr>
          </w:p>
        </w:tc>
      </w:tr>
      <w:tr w14:paraId="785BE19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861" w:hRule="atLeast"/>
          <w:jc w:val="center"/>
        </w:trPr>
        <w:tc>
          <w:tcPr>
            <w:tcW w:w="765" w:type="dxa"/>
            <w:vMerge w:val="continue"/>
            <w:tcBorders>
              <w:bottom w:val="nil"/>
            </w:tcBorders>
            <w:vAlign w:val="center"/>
          </w:tcPr>
          <w:p w14:paraId="42B28A89">
            <w:pPr>
              <w:pStyle w:val="13"/>
              <w:rPr>
                <w:rFonts w:hint="eastAsia"/>
                <w:highlight w:val="none"/>
                <w:lang w:val="zh-CN"/>
              </w:rPr>
            </w:pPr>
          </w:p>
        </w:tc>
        <w:tc>
          <w:tcPr>
            <w:tcW w:w="1080" w:type="dxa"/>
            <w:vMerge w:val="continue"/>
            <w:tcBorders>
              <w:bottom w:val="nil"/>
            </w:tcBorders>
            <w:vAlign w:val="center"/>
          </w:tcPr>
          <w:p w14:paraId="56797991">
            <w:pPr>
              <w:pStyle w:val="13"/>
              <w:rPr>
                <w:rFonts w:hint="eastAsia"/>
                <w:highlight w:val="none"/>
                <w:lang w:val="zh-CN"/>
              </w:rPr>
            </w:pPr>
          </w:p>
        </w:tc>
        <w:tc>
          <w:tcPr>
            <w:tcW w:w="812" w:type="dxa"/>
            <w:tcBorders>
              <w:top w:val="single" w:color="000000" w:sz="8" w:space="0"/>
              <w:left w:val="single" w:color="000000" w:sz="8" w:space="0"/>
              <w:bottom w:val="single" w:color="000000" w:sz="8" w:space="0"/>
              <w:right w:val="single" w:color="auto" w:sz="4" w:space="0"/>
            </w:tcBorders>
            <w:vAlign w:val="center"/>
          </w:tcPr>
          <w:p w14:paraId="0D399AAD">
            <w:pPr>
              <w:pStyle w:val="13"/>
              <w:rPr>
                <w:rFonts w:hint="eastAsia"/>
                <w:highlight w:val="none"/>
                <w:lang w:val="zh-CN"/>
              </w:rPr>
            </w:pPr>
            <w:r>
              <w:rPr>
                <w:highlight w:val="none"/>
                <w:lang w:val="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75EFA102">
            <w:pPr>
              <w:pStyle w:val="13"/>
              <w:rPr>
                <w:rFonts w:hint="eastAsia"/>
                <w:highlight w:val="none"/>
                <w:lang w:val="zh-CN"/>
              </w:rPr>
            </w:pPr>
            <w:r>
              <w:rPr>
                <w:highlight w:val="none"/>
                <w:lang w:val="zh-CN"/>
              </w:rPr>
              <w:t>不低于12mm夹板覆盖保护</w:t>
            </w:r>
          </w:p>
        </w:tc>
        <w:tc>
          <w:tcPr>
            <w:tcW w:w="7186" w:type="dxa"/>
            <w:tcBorders>
              <w:top w:val="nil"/>
              <w:left w:val="single" w:color="auto" w:sz="4" w:space="0"/>
              <w:bottom w:val="single" w:color="000000" w:sz="8" w:space="0"/>
              <w:right w:val="single" w:color="000000" w:sz="8" w:space="0"/>
            </w:tcBorders>
            <w:vAlign w:val="center"/>
          </w:tcPr>
          <w:p w14:paraId="0500B27B">
            <w:pPr>
              <w:pStyle w:val="13"/>
              <w:rPr>
                <w:rFonts w:hint="eastAsia"/>
                <w:highlight w:val="none"/>
                <w:lang w:val="zh-CN"/>
              </w:rPr>
            </w:pPr>
          </w:p>
          <w:p w14:paraId="06CBC9C4">
            <w:pPr>
              <w:pStyle w:val="13"/>
              <w:rPr>
                <w:rFonts w:hint="eastAsia"/>
                <w:highlight w:val="none"/>
                <w:lang w:val="zh-CN"/>
              </w:rPr>
            </w:pPr>
            <w:r>
              <w:rPr>
                <w:highlight w:val="none"/>
              </w:rPr>
              <w:drawing>
                <wp:inline distT="0" distB="0" distL="0" distR="0">
                  <wp:extent cx="2106930" cy="1533525"/>
                  <wp:effectExtent l="0" t="0" r="7620" b="0"/>
                  <wp:docPr id="54" name="image64.jpeg" descr="9F8TQ$}`I[$N(}[%EUU1V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64.jpeg" descr="9F8TQ$}`I[$N(}[%EUU1VVV"/>
                          <pic:cNvPicPr>
                            <a:picLocks noChangeAspect="1"/>
                          </pic:cNvPicPr>
                        </pic:nvPicPr>
                        <pic:blipFill>
                          <a:blip r:embed="rId71" cstate="print"/>
                          <a:stretch>
                            <a:fillRect/>
                          </a:stretch>
                        </pic:blipFill>
                        <pic:spPr>
                          <a:xfrm>
                            <a:off x="0" y="0"/>
                            <a:ext cx="2107191" cy="1533905"/>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530816B4">
            <w:pPr>
              <w:pStyle w:val="13"/>
              <w:rPr>
                <w:rFonts w:hint="eastAsia"/>
                <w:highlight w:val="none"/>
                <w:lang w:val="zh-CN"/>
              </w:rPr>
            </w:pPr>
          </w:p>
        </w:tc>
      </w:tr>
      <w:tr w14:paraId="6E1078C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861" w:hRule="atLeast"/>
          <w:jc w:val="center"/>
        </w:trPr>
        <w:tc>
          <w:tcPr>
            <w:tcW w:w="765" w:type="dxa"/>
            <w:vMerge w:val="continue"/>
            <w:tcBorders>
              <w:bottom w:val="nil"/>
            </w:tcBorders>
            <w:vAlign w:val="center"/>
          </w:tcPr>
          <w:p w14:paraId="77E939E9">
            <w:pPr>
              <w:pStyle w:val="13"/>
              <w:rPr>
                <w:rFonts w:hint="eastAsia"/>
                <w:highlight w:val="none"/>
                <w:lang w:val="zh-CN"/>
              </w:rPr>
            </w:pPr>
            <w:r>
              <w:rPr>
                <w:highlight w:val="none"/>
                <w:lang w:val="zh-CN"/>
              </w:rPr>
              <w:t>10</w:t>
            </w:r>
          </w:p>
        </w:tc>
        <w:tc>
          <w:tcPr>
            <w:tcW w:w="1080" w:type="dxa"/>
            <w:vMerge w:val="continue"/>
            <w:tcBorders>
              <w:bottom w:val="nil"/>
            </w:tcBorders>
            <w:vAlign w:val="center"/>
          </w:tcPr>
          <w:p w14:paraId="495F8F5D">
            <w:pPr>
              <w:pStyle w:val="13"/>
              <w:rPr>
                <w:rFonts w:hint="eastAsia"/>
                <w:highlight w:val="none"/>
                <w:lang w:val="zh-CN"/>
              </w:rPr>
            </w:pPr>
            <w:r>
              <w:rPr>
                <w:rFonts w:hint="eastAsia"/>
                <w:highlight w:val="none"/>
                <w:lang w:val="zh-CN"/>
              </w:rPr>
              <w:t>马桶</w:t>
            </w:r>
          </w:p>
        </w:tc>
        <w:tc>
          <w:tcPr>
            <w:tcW w:w="812" w:type="dxa"/>
            <w:tcBorders>
              <w:top w:val="single" w:color="000000" w:sz="8" w:space="0"/>
              <w:left w:val="single" w:color="000000" w:sz="8" w:space="0"/>
              <w:bottom w:val="single" w:color="000000" w:sz="8" w:space="0"/>
              <w:right w:val="single" w:color="auto" w:sz="4" w:space="0"/>
            </w:tcBorders>
            <w:vAlign w:val="center"/>
          </w:tcPr>
          <w:p w14:paraId="720BB607">
            <w:pPr>
              <w:pStyle w:val="13"/>
              <w:rPr>
                <w:rFonts w:hint="eastAsia"/>
                <w:highlight w:val="none"/>
                <w:lang w:val="zh-CN"/>
              </w:rPr>
            </w:pPr>
            <w:r>
              <w:rPr>
                <w:highlight w:val="none"/>
                <w:lang w:val="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4653232D">
            <w:pPr>
              <w:pStyle w:val="13"/>
              <w:rPr>
                <w:rFonts w:hint="eastAsia"/>
                <w:highlight w:val="none"/>
                <w:lang w:val="zh-CN"/>
              </w:rPr>
            </w:pPr>
            <w:r>
              <w:rPr>
                <w:highlight w:val="none"/>
                <w:lang w:val="zh-CN"/>
              </w:rPr>
              <w:t>原包装袋及箱包裹保护</w:t>
            </w:r>
          </w:p>
        </w:tc>
        <w:tc>
          <w:tcPr>
            <w:tcW w:w="7186" w:type="dxa"/>
            <w:tcBorders>
              <w:top w:val="nil"/>
              <w:left w:val="single" w:color="auto" w:sz="4" w:space="0"/>
              <w:bottom w:val="single" w:color="000000" w:sz="8" w:space="0"/>
              <w:right w:val="single" w:color="000000" w:sz="8" w:space="0"/>
            </w:tcBorders>
            <w:vAlign w:val="center"/>
          </w:tcPr>
          <w:p w14:paraId="7E796044">
            <w:pPr>
              <w:pStyle w:val="13"/>
              <w:rPr>
                <w:rFonts w:hint="eastAsia"/>
                <w:highlight w:val="none"/>
                <w:lang w:val="zh-CN"/>
              </w:rPr>
            </w:pPr>
            <w:r>
              <w:rPr>
                <w:highlight w:val="none"/>
              </w:rPr>
              <w:drawing>
                <wp:inline distT="0" distB="0" distL="0" distR="0">
                  <wp:extent cx="2119630" cy="1564005"/>
                  <wp:effectExtent l="0" t="0" r="4445" b="7620"/>
                  <wp:docPr id="60"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65.jpeg"/>
                          <pic:cNvPicPr>
                            <a:picLocks noChangeAspect="1"/>
                          </pic:cNvPicPr>
                        </pic:nvPicPr>
                        <pic:blipFill>
                          <a:blip r:embed="rId72" cstate="print"/>
                          <a:stretch>
                            <a:fillRect/>
                          </a:stretch>
                        </pic:blipFill>
                        <pic:spPr>
                          <a:xfrm>
                            <a:off x="0" y="0"/>
                            <a:ext cx="2119790" cy="1564481"/>
                          </a:xfrm>
                          <a:prstGeom prst="rect">
                            <a:avLst/>
                          </a:prstGeom>
                        </pic:spPr>
                      </pic:pic>
                    </a:graphicData>
                  </a:graphic>
                </wp:inline>
              </w:drawing>
            </w:r>
            <w:r>
              <w:rPr>
                <w:highlight w:val="none"/>
                <w:lang w:val="zh-CN"/>
              </w:rPr>
              <w:t xml:space="preserve"> </w:t>
            </w:r>
            <w:r>
              <w:rPr>
                <w:highlight w:val="none"/>
              </w:rPr>
              <w:drawing>
                <wp:inline distT="0" distB="0" distL="0" distR="0">
                  <wp:extent cx="2348865" cy="1569720"/>
                  <wp:effectExtent l="0" t="0" r="3810" b="1905"/>
                  <wp:docPr id="62"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66.jpeg"/>
                          <pic:cNvPicPr>
                            <a:picLocks noChangeAspect="1"/>
                          </pic:cNvPicPr>
                        </pic:nvPicPr>
                        <pic:blipFill>
                          <a:blip r:embed="rId73" cstate="print"/>
                          <a:stretch>
                            <a:fillRect/>
                          </a:stretch>
                        </pic:blipFill>
                        <pic:spPr>
                          <a:xfrm>
                            <a:off x="0" y="0"/>
                            <a:ext cx="2348922" cy="1569910"/>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116F18A0">
            <w:pPr>
              <w:pStyle w:val="13"/>
              <w:rPr>
                <w:rFonts w:hint="eastAsia"/>
                <w:highlight w:val="none"/>
                <w:lang w:val="zh-CN"/>
              </w:rPr>
            </w:pPr>
          </w:p>
        </w:tc>
      </w:tr>
      <w:tr w14:paraId="0EB532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08F67583">
            <w:pPr>
              <w:pStyle w:val="13"/>
              <w:rPr>
                <w:rFonts w:hint="eastAsia"/>
                <w:highlight w:val="none"/>
                <w:lang w:val="zh-CN"/>
              </w:rPr>
            </w:pPr>
            <w:r>
              <w:rPr>
                <w:highlight w:val="none"/>
                <w:lang w:val="zh-CN"/>
              </w:rPr>
              <w:t>11</w:t>
            </w:r>
          </w:p>
        </w:tc>
        <w:tc>
          <w:tcPr>
            <w:tcW w:w="1080" w:type="dxa"/>
            <w:vMerge w:val="continue"/>
            <w:tcBorders>
              <w:bottom w:val="nil"/>
            </w:tcBorders>
            <w:vAlign w:val="center"/>
          </w:tcPr>
          <w:p w14:paraId="7206E8F2">
            <w:pPr>
              <w:pStyle w:val="13"/>
              <w:rPr>
                <w:rFonts w:hint="eastAsia"/>
                <w:highlight w:val="none"/>
                <w:lang w:val="zh-CN"/>
              </w:rPr>
            </w:pPr>
            <w:r>
              <w:rPr>
                <w:rFonts w:hint="eastAsia"/>
                <w:highlight w:val="none"/>
                <w:lang w:val="zh-CN"/>
              </w:rPr>
              <w:t>台面盆</w:t>
            </w:r>
          </w:p>
        </w:tc>
        <w:tc>
          <w:tcPr>
            <w:tcW w:w="812" w:type="dxa"/>
            <w:tcBorders>
              <w:top w:val="single" w:color="000000" w:sz="8" w:space="0"/>
              <w:left w:val="single" w:color="000000" w:sz="8" w:space="0"/>
              <w:bottom w:val="single" w:color="000000" w:sz="8" w:space="0"/>
              <w:right w:val="single" w:color="auto" w:sz="4" w:space="0"/>
            </w:tcBorders>
            <w:vAlign w:val="center"/>
          </w:tcPr>
          <w:p w14:paraId="0E237B43">
            <w:pPr>
              <w:pStyle w:val="13"/>
              <w:rPr>
                <w:rFonts w:hint="eastAsia"/>
                <w:highlight w:val="none"/>
                <w:lang w:val="zh-CN"/>
              </w:rPr>
            </w:pPr>
            <w:r>
              <w:rPr>
                <w:highlight w:val="none"/>
                <w:lang w:val="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023C69D3">
            <w:pPr>
              <w:pStyle w:val="13"/>
              <w:rPr>
                <w:rFonts w:hint="eastAsia"/>
                <w:highlight w:val="none"/>
                <w:lang w:val="zh-CN"/>
              </w:rPr>
            </w:pPr>
            <w:r>
              <w:rPr>
                <w:highlight w:val="none"/>
                <w:lang w:val="zh-CN"/>
              </w:rPr>
              <w:t>原包装袋包裹保护</w:t>
            </w:r>
          </w:p>
        </w:tc>
        <w:tc>
          <w:tcPr>
            <w:tcW w:w="7186" w:type="dxa"/>
            <w:tcBorders>
              <w:top w:val="nil"/>
              <w:left w:val="single" w:color="auto" w:sz="4" w:space="0"/>
              <w:bottom w:val="single" w:color="000000" w:sz="8" w:space="0"/>
              <w:right w:val="single" w:color="000000" w:sz="8" w:space="0"/>
            </w:tcBorders>
            <w:vAlign w:val="center"/>
          </w:tcPr>
          <w:p w14:paraId="62B464C5">
            <w:pPr>
              <w:pStyle w:val="13"/>
              <w:rPr>
                <w:rFonts w:hint="eastAsia"/>
                <w:highlight w:val="none"/>
                <w:lang w:val="zh-CN"/>
              </w:rPr>
            </w:pPr>
            <w:r>
              <w:rPr>
                <w:highlight w:val="none"/>
              </w:rPr>
              <w:drawing>
                <wp:inline distT="0" distB="0" distL="114300" distR="114300">
                  <wp:extent cx="1623060" cy="1904365"/>
                  <wp:effectExtent l="0" t="0" r="5715" b="635"/>
                  <wp:docPr id="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
                          <pic:cNvPicPr>
                            <a:picLocks noChangeAspect="1"/>
                          </pic:cNvPicPr>
                        </pic:nvPicPr>
                        <pic:blipFill>
                          <a:blip r:embed="rId74" cstate="print"/>
                          <a:stretch>
                            <a:fillRect/>
                          </a:stretch>
                        </pic:blipFill>
                        <pic:spPr>
                          <a:xfrm>
                            <a:off x="0" y="0"/>
                            <a:ext cx="1623060" cy="1904365"/>
                          </a:xfrm>
                          <a:prstGeom prst="rect">
                            <a:avLst/>
                          </a:prstGeom>
                          <a:noFill/>
                          <a:ln>
                            <a:noFill/>
                          </a:ln>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3D8ABE59">
            <w:pPr>
              <w:pStyle w:val="13"/>
              <w:rPr>
                <w:rFonts w:hint="eastAsia"/>
                <w:highlight w:val="none"/>
                <w:lang w:val="zh-CN"/>
              </w:rPr>
            </w:pPr>
          </w:p>
        </w:tc>
      </w:tr>
      <w:tr w14:paraId="0994C6C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58620DDD">
            <w:pPr>
              <w:pStyle w:val="13"/>
              <w:rPr>
                <w:rFonts w:hint="eastAsia"/>
                <w:highlight w:val="none"/>
                <w:lang w:val="zh-CN"/>
              </w:rPr>
            </w:pPr>
            <w:r>
              <w:rPr>
                <w:highlight w:val="none"/>
                <w:lang w:val="zh-CN"/>
              </w:rPr>
              <w:t>12</w:t>
            </w:r>
          </w:p>
        </w:tc>
        <w:tc>
          <w:tcPr>
            <w:tcW w:w="1080" w:type="dxa"/>
            <w:vMerge w:val="continue"/>
            <w:tcBorders>
              <w:bottom w:val="nil"/>
            </w:tcBorders>
            <w:vAlign w:val="center"/>
          </w:tcPr>
          <w:p w14:paraId="44BAB6AB">
            <w:pPr>
              <w:pStyle w:val="13"/>
              <w:rPr>
                <w:rFonts w:hint="eastAsia"/>
                <w:highlight w:val="none"/>
                <w:lang w:val="zh-CN"/>
              </w:rPr>
            </w:pPr>
            <w:r>
              <w:rPr>
                <w:rFonts w:hint="eastAsia"/>
                <w:highlight w:val="none"/>
                <w:lang w:val="zh-CN"/>
              </w:rPr>
              <w:t>五金件</w:t>
            </w:r>
          </w:p>
        </w:tc>
        <w:tc>
          <w:tcPr>
            <w:tcW w:w="812" w:type="dxa"/>
            <w:tcBorders>
              <w:top w:val="single" w:color="000000" w:sz="8" w:space="0"/>
              <w:left w:val="single" w:color="000000" w:sz="8" w:space="0"/>
              <w:bottom w:val="single" w:color="000000" w:sz="8" w:space="0"/>
              <w:right w:val="single" w:color="auto" w:sz="4" w:space="0"/>
            </w:tcBorders>
            <w:vAlign w:val="center"/>
          </w:tcPr>
          <w:p w14:paraId="49FEA0BA">
            <w:pPr>
              <w:pStyle w:val="13"/>
              <w:rPr>
                <w:rFonts w:hint="eastAsia"/>
                <w:highlight w:val="none"/>
                <w:lang w:val="zh-CN"/>
              </w:rPr>
            </w:pPr>
            <w:r>
              <w:rPr>
                <w:highlight w:val="none"/>
                <w:lang w:val="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4868DAE8">
            <w:pPr>
              <w:pStyle w:val="13"/>
              <w:rPr>
                <w:rFonts w:hint="eastAsia"/>
                <w:highlight w:val="none"/>
                <w:lang w:val="zh-CN"/>
              </w:rPr>
            </w:pPr>
            <w:r>
              <w:rPr>
                <w:highlight w:val="none"/>
                <w:lang w:val="zh-CN"/>
              </w:rPr>
              <w:t>原包装袋包裹保护</w:t>
            </w:r>
          </w:p>
        </w:tc>
        <w:tc>
          <w:tcPr>
            <w:tcW w:w="7186" w:type="dxa"/>
            <w:tcBorders>
              <w:top w:val="nil"/>
              <w:left w:val="single" w:color="auto" w:sz="4" w:space="0"/>
              <w:bottom w:val="single" w:color="000000" w:sz="8" w:space="0"/>
              <w:right w:val="single" w:color="000000" w:sz="8" w:space="0"/>
            </w:tcBorders>
            <w:vAlign w:val="center"/>
          </w:tcPr>
          <w:p w14:paraId="79A2E03A">
            <w:pPr>
              <w:pStyle w:val="13"/>
              <w:rPr>
                <w:rFonts w:hint="eastAsia"/>
                <w:highlight w:val="none"/>
                <w:lang w:val="zh-CN"/>
              </w:rPr>
            </w:pPr>
            <w:r>
              <w:rPr>
                <w:highlight w:val="none"/>
              </w:rPr>
              <w:drawing>
                <wp:inline distT="0" distB="0" distL="0" distR="0">
                  <wp:extent cx="1457960" cy="1927225"/>
                  <wp:effectExtent l="0" t="0" r="8890" b="6350"/>
                  <wp:docPr id="813161291" name="图片 81316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161291" name="图片 813161291"/>
                          <pic:cNvPicPr>
                            <a:picLocks noChangeAspect="1"/>
                          </pic:cNvPicPr>
                        </pic:nvPicPr>
                        <pic:blipFill>
                          <a:blip r:embed="rId75" cstate="print"/>
                          <a:stretch>
                            <a:fillRect/>
                          </a:stretch>
                        </pic:blipFill>
                        <pic:spPr>
                          <a:xfrm>
                            <a:off x="0" y="0"/>
                            <a:ext cx="1458513" cy="1927288"/>
                          </a:xfrm>
                          <a:prstGeom prst="rect">
                            <a:avLst/>
                          </a:prstGeom>
                        </pic:spPr>
                      </pic:pic>
                    </a:graphicData>
                  </a:graphic>
                </wp:inline>
              </w:drawing>
            </w:r>
            <w:r>
              <w:rPr>
                <w:highlight w:val="none"/>
                <w:lang w:val="zh-CN"/>
              </w:rPr>
              <w:t xml:space="preserve"> </w:t>
            </w:r>
            <w:r>
              <w:rPr>
                <w:highlight w:val="none"/>
              </w:rPr>
              <w:drawing>
                <wp:inline distT="0" distB="0" distL="0" distR="0">
                  <wp:extent cx="1471930" cy="1928495"/>
                  <wp:effectExtent l="0" t="0" r="4445" b="5080"/>
                  <wp:docPr id="1394375075" name="图片 13943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75075" name="图片 1394375075"/>
                          <pic:cNvPicPr>
                            <a:picLocks noChangeAspect="1"/>
                          </pic:cNvPicPr>
                        </pic:nvPicPr>
                        <pic:blipFill>
                          <a:blip r:embed="rId76" cstate="print"/>
                          <a:stretch>
                            <a:fillRect/>
                          </a:stretch>
                        </pic:blipFill>
                        <pic:spPr>
                          <a:xfrm>
                            <a:off x="0" y="0"/>
                            <a:ext cx="1472287" cy="1928812"/>
                          </a:xfrm>
                          <a:prstGeom prst="rect">
                            <a:avLst/>
                          </a:prstGeom>
                        </pic:spPr>
                      </pic:pic>
                    </a:graphicData>
                  </a:graphic>
                </wp:inline>
              </w:drawing>
            </w:r>
            <w:r>
              <w:rPr>
                <w:highlight w:val="none"/>
                <w:lang w:val="zh-CN"/>
              </w:rPr>
              <w:t xml:space="preserve"> </w:t>
            </w:r>
            <w:r>
              <w:rPr>
                <w:highlight w:val="none"/>
              </w:rPr>
              <w:drawing>
                <wp:inline distT="0" distB="0" distL="0" distR="0">
                  <wp:extent cx="1470660" cy="1936750"/>
                  <wp:effectExtent l="0" t="0" r="5715" b="6350"/>
                  <wp:docPr id="149316531" name="图片 149316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16531" name="图片 149316531"/>
                          <pic:cNvPicPr>
                            <a:picLocks noChangeAspect="1"/>
                          </pic:cNvPicPr>
                        </pic:nvPicPr>
                        <pic:blipFill>
                          <a:blip r:embed="rId77" cstate="print"/>
                          <a:stretch>
                            <a:fillRect/>
                          </a:stretch>
                        </pic:blipFill>
                        <pic:spPr>
                          <a:xfrm>
                            <a:off x="0" y="0"/>
                            <a:ext cx="1471164" cy="1936908"/>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78810B20">
            <w:pPr>
              <w:pStyle w:val="13"/>
              <w:rPr>
                <w:rFonts w:hint="eastAsia"/>
                <w:highlight w:val="none"/>
                <w:lang w:val="zh-CN"/>
              </w:rPr>
            </w:pPr>
          </w:p>
        </w:tc>
      </w:tr>
      <w:tr w14:paraId="1182831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2B9ABFBF">
            <w:pPr>
              <w:pStyle w:val="13"/>
              <w:rPr>
                <w:rFonts w:hint="eastAsia"/>
                <w:highlight w:val="none"/>
                <w:lang w:val="zh-CN"/>
              </w:rPr>
            </w:pPr>
            <w:r>
              <w:rPr>
                <w:highlight w:val="none"/>
                <w:lang w:val="zh-CN"/>
              </w:rPr>
              <w:t>13</w:t>
            </w:r>
          </w:p>
        </w:tc>
        <w:tc>
          <w:tcPr>
            <w:tcW w:w="1080" w:type="dxa"/>
            <w:vMerge w:val="continue"/>
            <w:tcBorders>
              <w:bottom w:val="nil"/>
            </w:tcBorders>
            <w:vAlign w:val="center"/>
          </w:tcPr>
          <w:p w14:paraId="6ABADB19">
            <w:pPr>
              <w:pStyle w:val="13"/>
              <w:rPr>
                <w:rFonts w:hint="eastAsia"/>
                <w:highlight w:val="none"/>
                <w:lang w:val="zh-CN"/>
              </w:rPr>
            </w:pPr>
            <w:r>
              <w:rPr>
                <w:rFonts w:hint="eastAsia"/>
                <w:highlight w:val="none"/>
                <w:lang w:val="zh-CN"/>
              </w:rPr>
              <w:t>橱柜</w:t>
            </w:r>
          </w:p>
        </w:tc>
        <w:tc>
          <w:tcPr>
            <w:tcW w:w="812" w:type="dxa"/>
            <w:tcBorders>
              <w:top w:val="single" w:color="000000" w:sz="8" w:space="0"/>
              <w:left w:val="single" w:color="000000" w:sz="8" w:space="0"/>
              <w:bottom w:val="single" w:color="000000" w:sz="8" w:space="0"/>
              <w:right w:val="single" w:color="auto" w:sz="4" w:space="0"/>
            </w:tcBorders>
            <w:vAlign w:val="center"/>
          </w:tcPr>
          <w:p w14:paraId="1D7450AF">
            <w:pPr>
              <w:pStyle w:val="13"/>
              <w:rPr>
                <w:rFonts w:hint="eastAsia"/>
                <w:highlight w:val="none"/>
                <w:lang w:val="zh-CN"/>
              </w:rPr>
            </w:pPr>
            <w:r>
              <w:rPr>
                <w:highlight w:val="none"/>
                <w:lang w:val="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1248140E">
            <w:pPr>
              <w:pStyle w:val="13"/>
              <w:rPr>
                <w:rFonts w:hint="eastAsia"/>
                <w:highlight w:val="none"/>
                <w:lang w:val="zh-CN"/>
              </w:rPr>
            </w:pPr>
            <w:r>
              <w:rPr>
                <w:highlight w:val="none"/>
                <w:lang w:val="zh-CN"/>
              </w:rPr>
              <w:t>防潮膜满铺保护</w:t>
            </w:r>
          </w:p>
        </w:tc>
        <w:tc>
          <w:tcPr>
            <w:tcW w:w="7186" w:type="dxa"/>
            <w:tcBorders>
              <w:top w:val="nil"/>
              <w:left w:val="single" w:color="auto" w:sz="4" w:space="0"/>
              <w:bottom w:val="single" w:color="000000" w:sz="8" w:space="0"/>
              <w:right w:val="single" w:color="000000" w:sz="8" w:space="0"/>
            </w:tcBorders>
            <w:vAlign w:val="center"/>
          </w:tcPr>
          <w:p w14:paraId="723625B0">
            <w:pPr>
              <w:pStyle w:val="13"/>
              <w:rPr>
                <w:rFonts w:hint="eastAsia"/>
                <w:highlight w:val="none"/>
                <w:lang w:val="zh-CN"/>
              </w:rPr>
            </w:pPr>
            <w:r>
              <w:rPr>
                <w:highlight w:val="none"/>
              </w:rPr>
              <w:drawing>
                <wp:inline distT="0" distB="0" distL="114300" distR="114300">
                  <wp:extent cx="2014855" cy="1748155"/>
                  <wp:effectExtent l="0" t="0" r="4445" b="4445"/>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78" cstate="print"/>
                          <a:stretch>
                            <a:fillRect/>
                          </a:stretch>
                        </pic:blipFill>
                        <pic:spPr>
                          <a:xfrm>
                            <a:off x="0" y="0"/>
                            <a:ext cx="2014855" cy="1748155"/>
                          </a:xfrm>
                          <a:prstGeom prst="rect">
                            <a:avLst/>
                          </a:prstGeom>
                          <a:noFill/>
                          <a:ln>
                            <a:noFill/>
                          </a:ln>
                        </pic:spPr>
                      </pic:pic>
                    </a:graphicData>
                  </a:graphic>
                </wp:inline>
              </w:drawing>
            </w:r>
            <w:r>
              <w:rPr>
                <w:rFonts w:hint="eastAsia"/>
                <w:highlight w:val="none"/>
              </w:rPr>
              <w:drawing>
                <wp:inline distT="0" distB="0" distL="114300" distR="114300">
                  <wp:extent cx="2285365" cy="1740535"/>
                  <wp:effectExtent l="0" t="0" r="635" b="254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79" cstate="print"/>
                          <a:stretch>
                            <a:fillRect/>
                          </a:stretch>
                        </pic:blipFill>
                        <pic:spPr>
                          <a:xfrm>
                            <a:off x="0" y="0"/>
                            <a:ext cx="2285365" cy="1740535"/>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2250D184">
            <w:pPr>
              <w:pStyle w:val="13"/>
              <w:rPr>
                <w:rFonts w:hint="eastAsia"/>
                <w:highlight w:val="none"/>
                <w:lang w:val="zh-CN"/>
              </w:rPr>
            </w:pPr>
          </w:p>
        </w:tc>
      </w:tr>
      <w:tr w14:paraId="41F565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56EC6797">
            <w:pPr>
              <w:pStyle w:val="13"/>
              <w:rPr>
                <w:rFonts w:hint="eastAsia"/>
                <w:highlight w:val="none"/>
                <w:lang w:val="zh-CN"/>
              </w:rPr>
            </w:pPr>
            <w:r>
              <w:rPr>
                <w:highlight w:val="none"/>
                <w:lang w:val="zh-CN"/>
              </w:rPr>
              <w:t>14</w:t>
            </w:r>
          </w:p>
        </w:tc>
        <w:tc>
          <w:tcPr>
            <w:tcW w:w="1080" w:type="dxa"/>
            <w:vMerge w:val="continue"/>
            <w:tcBorders>
              <w:bottom w:val="nil"/>
            </w:tcBorders>
            <w:vAlign w:val="center"/>
          </w:tcPr>
          <w:p w14:paraId="464F0251">
            <w:pPr>
              <w:pStyle w:val="13"/>
              <w:rPr>
                <w:rFonts w:hint="eastAsia"/>
                <w:highlight w:val="none"/>
                <w:lang w:val="zh-CN"/>
              </w:rPr>
            </w:pPr>
            <w:r>
              <w:rPr>
                <w:rFonts w:hint="eastAsia"/>
                <w:highlight w:val="none"/>
                <w:lang w:val="zh-CN"/>
              </w:rPr>
              <w:t>面板</w:t>
            </w:r>
          </w:p>
          <w:p w14:paraId="6018BDEF">
            <w:pPr>
              <w:pStyle w:val="13"/>
              <w:rPr>
                <w:rFonts w:hint="eastAsia"/>
                <w:highlight w:val="none"/>
                <w:lang w:val="zh-CN"/>
              </w:rPr>
            </w:pPr>
            <w:r>
              <w:rPr>
                <w:highlight w:val="none"/>
                <w:lang w:val="zh-CN"/>
              </w:rPr>
              <w:t>（设备末端）</w:t>
            </w:r>
          </w:p>
        </w:tc>
        <w:tc>
          <w:tcPr>
            <w:tcW w:w="812" w:type="dxa"/>
            <w:tcBorders>
              <w:top w:val="single" w:color="000000" w:sz="8" w:space="0"/>
              <w:left w:val="single" w:color="000000" w:sz="8" w:space="0"/>
              <w:bottom w:val="single" w:color="000000" w:sz="8" w:space="0"/>
              <w:right w:val="single" w:color="auto" w:sz="4" w:space="0"/>
            </w:tcBorders>
            <w:vAlign w:val="center"/>
          </w:tcPr>
          <w:p w14:paraId="303B51DE">
            <w:pPr>
              <w:pStyle w:val="13"/>
              <w:rPr>
                <w:rFonts w:hint="eastAsia"/>
                <w:highlight w:val="none"/>
                <w:lang w:val="zh-CN"/>
              </w:rPr>
            </w:pPr>
            <w:r>
              <w:rPr>
                <w:highlight w:val="none"/>
                <w:lang w:val="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6EC07588">
            <w:pPr>
              <w:pStyle w:val="13"/>
              <w:rPr>
                <w:rFonts w:hint="eastAsia"/>
                <w:highlight w:val="none"/>
                <w:lang w:val="zh-CN"/>
              </w:rPr>
            </w:pPr>
            <w:r>
              <w:rPr>
                <w:highlight w:val="none"/>
                <w:lang w:val="zh-CN"/>
              </w:rPr>
              <w:t>美纹纸或防潮纸或专用插座保护盖保护</w:t>
            </w:r>
          </w:p>
        </w:tc>
        <w:tc>
          <w:tcPr>
            <w:tcW w:w="7186" w:type="dxa"/>
            <w:tcBorders>
              <w:top w:val="nil"/>
              <w:left w:val="single" w:color="auto" w:sz="4" w:space="0"/>
              <w:bottom w:val="single" w:color="000000" w:sz="8" w:space="0"/>
              <w:right w:val="single" w:color="000000" w:sz="8" w:space="0"/>
            </w:tcBorders>
            <w:vAlign w:val="center"/>
          </w:tcPr>
          <w:p w14:paraId="6869D1F9">
            <w:pPr>
              <w:pStyle w:val="13"/>
              <w:rPr>
                <w:rFonts w:hint="eastAsia"/>
                <w:highlight w:val="none"/>
                <w:lang w:val="zh-CN"/>
              </w:rPr>
            </w:pPr>
          </w:p>
          <w:p w14:paraId="3EA92921">
            <w:pPr>
              <w:pStyle w:val="13"/>
              <w:rPr>
                <w:rFonts w:hint="eastAsia"/>
                <w:highlight w:val="none"/>
                <w:lang w:val="zh-CN"/>
              </w:rPr>
            </w:pPr>
            <w:r>
              <w:rPr>
                <w:highlight w:val="none"/>
              </w:rPr>
              <w:drawing>
                <wp:inline distT="0" distB="0" distL="0" distR="0">
                  <wp:extent cx="2093595" cy="1899285"/>
                  <wp:effectExtent l="0" t="0" r="1905" b="5715"/>
                  <wp:docPr id="1737284856" name="图片 173728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284856" name="图片 1737284856"/>
                          <pic:cNvPicPr>
                            <a:picLocks noChangeAspect="1"/>
                          </pic:cNvPicPr>
                        </pic:nvPicPr>
                        <pic:blipFill>
                          <a:blip r:embed="rId80" cstate="print"/>
                          <a:stretch>
                            <a:fillRect/>
                          </a:stretch>
                        </pic:blipFill>
                        <pic:spPr>
                          <a:xfrm>
                            <a:off x="0" y="0"/>
                            <a:ext cx="2098504" cy="1904084"/>
                          </a:xfrm>
                          <a:prstGeom prst="rect">
                            <a:avLst/>
                          </a:prstGeom>
                        </pic:spPr>
                      </pic:pic>
                    </a:graphicData>
                  </a:graphic>
                </wp:inline>
              </w:drawing>
            </w:r>
            <w:r>
              <w:rPr>
                <w:highlight w:val="none"/>
                <w:lang w:val="zh-CN"/>
              </w:rPr>
              <w:t xml:space="preserve"> </w:t>
            </w:r>
            <w:r>
              <w:rPr>
                <w:highlight w:val="none"/>
              </w:rPr>
              <w:drawing>
                <wp:inline distT="0" distB="0" distL="0" distR="0">
                  <wp:extent cx="2332355" cy="1897380"/>
                  <wp:effectExtent l="0" t="0" r="1270" b="7620"/>
                  <wp:docPr id="135" name="image71.jpeg" descr="DSC0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71.jpeg" descr="DSC01936"/>
                          <pic:cNvPicPr>
                            <a:picLocks noChangeAspect="1"/>
                          </pic:cNvPicPr>
                        </pic:nvPicPr>
                        <pic:blipFill>
                          <a:blip r:embed="rId81" cstate="print"/>
                          <a:stretch>
                            <a:fillRect/>
                          </a:stretch>
                        </pic:blipFill>
                        <pic:spPr>
                          <a:xfrm>
                            <a:off x="0" y="0"/>
                            <a:ext cx="2343865" cy="1906249"/>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7A9BB180">
            <w:pPr>
              <w:pStyle w:val="13"/>
              <w:rPr>
                <w:rFonts w:hint="eastAsia"/>
                <w:highlight w:val="none"/>
                <w:lang w:val="zh-CN"/>
              </w:rPr>
            </w:pPr>
          </w:p>
        </w:tc>
      </w:tr>
      <w:tr w14:paraId="4D03309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14:paraId="7E44A06A">
            <w:pPr>
              <w:pStyle w:val="13"/>
              <w:rPr>
                <w:rFonts w:hint="eastAsia"/>
                <w:highlight w:val="none"/>
                <w:lang w:val="zh-CN"/>
              </w:rPr>
            </w:pPr>
            <w:r>
              <w:rPr>
                <w:highlight w:val="none"/>
                <w:lang w:val="zh-CN"/>
              </w:rPr>
              <w:t>15</w:t>
            </w:r>
          </w:p>
        </w:tc>
        <w:tc>
          <w:tcPr>
            <w:tcW w:w="1080" w:type="dxa"/>
            <w:vMerge w:val="continue"/>
            <w:tcBorders>
              <w:bottom w:val="nil"/>
            </w:tcBorders>
            <w:vAlign w:val="center"/>
          </w:tcPr>
          <w:p w14:paraId="29CB0170">
            <w:pPr>
              <w:pStyle w:val="13"/>
              <w:rPr>
                <w:rFonts w:hint="eastAsia"/>
                <w:highlight w:val="none"/>
                <w:lang w:val="zh-CN"/>
              </w:rPr>
            </w:pPr>
            <w:r>
              <w:rPr>
                <w:rFonts w:hint="eastAsia"/>
                <w:highlight w:val="none"/>
                <w:lang w:val="zh-CN"/>
              </w:rPr>
              <w:t>玻璃、镜子、淋浴屏</w:t>
            </w:r>
          </w:p>
        </w:tc>
        <w:tc>
          <w:tcPr>
            <w:tcW w:w="812" w:type="dxa"/>
            <w:tcBorders>
              <w:top w:val="single" w:color="000000" w:sz="8" w:space="0"/>
              <w:left w:val="single" w:color="000000" w:sz="8" w:space="0"/>
              <w:bottom w:val="single" w:color="000000" w:sz="8" w:space="0"/>
              <w:right w:val="single" w:color="auto" w:sz="4" w:space="0"/>
            </w:tcBorders>
            <w:vAlign w:val="center"/>
          </w:tcPr>
          <w:p w14:paraId="6C02F423">
            <w:pPr>
              <w:pStyle w:val="13"/>
              <w:rPr>
                <w:rFonts w:hint="eastAsia"/>
                <w:highlight w:val="none"/>
                <w:lang w:val="zh-CN"/>
              </w:rPr>
            </w:pPr>
            <w:r>
              <w:rPr>
                <w:highlight w:val="none"/>
                <w:lang w:val="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14:paraId="485CC35F">
            <w:pPr>
              <w:pStyle w:val="13"/>
              <w:rPr>
                <w:rFonts w:hint="eastAsia"/>
                <w:highlight w:val="none"/>
                <w:lang w:val="zh-CN"/>
              </w:rPr>
            </w:pPr>
            <w:r>
              <w:rPr>
                <w:highlight w:val="none"/>
                <w:lang w:val="zh-CN"/>
              </w:rPr>
              <w:t>防潮膜包覆保护</w:t>
            </w:r>
          </w:p>
        </w:tc>
        <w:tc>
          <w:tcPr>
            <w:tcW w:w="7186" w:type="dxa"/>
            <w:tcBorders>
              <w:top w:val="nil"/>
              <w:left w:val="single" w:color="auto" w:sz="4" w:space="0"/>
              <w:bottom w:val="single" w:color="000000" w:sz="8" w:space="0"/>
              <w:right w:val="single" w:color="000000" w:sz="8" w:space="0"/>
            </w:tcBorders>
            <w:vAlign w:val="center"/>
          </w:tcPr>
          <w:p w14:paraId="29BFF9A4">
            <w:pPr>
              <w:pStyle w:val="13"/>
              <w:rPr>
                <w:rFonts w:hint="eastAsia"/>
                <w:highlight w:val="none"/>
                <w:lang w:val="zh-CN"/>
              </w:rPr>
            </w:pPr>
            <w:r>
              <w:rPr>
                <w:highlight w:val="none"/>
              </w:rPr>
              <w:drawing>
                <wp:inline distT="0" distB="0" distL="0" distR="0">
                  <wp:extent cx="2112645" cy="1953895"/>
                  <wp:effectExtent l="0" t="0" r="1905" b="8255"/>
                  <wp:docPr id="76"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72.jpeg"/>
                          <pic:cNvPicPr>
                            <a:picLocks noChangeAspect="1"/>
                          </pic:cNvPicPr>
                        </pic:nvPicPr>
                        <pic:blipFill>
                          <a:blip r:embed="rId82" cstate="print"/>
                          <a:stretch>
                            <a:fillRect/>
                          </a:stretch>
                        </pic:blipFill>
                        <pic:spPr>
                          <a:xfrm>
                            <a:off x="0" y="0"/>
                            <a:ext cx="2113001" cy="1954149"/>
                          </a:xfrm>
                          <a:prstGeom prst="rect">
                            <a:avLst/>
                          </a:prstGeom>
                        </pic:spPr>
                      </pic:pic>
                    </a:graphicData>
                  </a:graphic>
                </wp:inline>
              </w:drawing>
            </w:r>
            <w:r>
              <w:rPr>
                <w:highlight w:val="none"/>
                <w:lang w:val="zh-CN"/>
              </w:rPr>
              <w:t xml:space="preserve"> </w:t>
            </w:r>
            <w:r>
              <w:rPr>
                <w:highlight w:val="none"/>
              </w:rPr>
              <w:drawing>
                <wp:inline distT="0" distB="0" distL="0" distR="0">
                  <wp:extent cx="2314575" cy="1951990"/>
                  <wp:effectExtent l="0" t="0" r="0" b="635"/>
                  <wp:docPr id="78" name="image73.jpeg" descr="IMG_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73.jpeg" descr="IMG_2074"/>
                          <pic:cNvPicPr>
                            <a:picLocks noChangeAspect="1"/>
                          </pic:cNvPicPr>
                        </pic:nvPicPr>
                        <pic:blipFill>
                          <a:blip r:embed="rId83" cstate="print"/>
                          <a:stretch>
                            <a:fillRect/>
                          </a:stretch>
                        </pic:blipFill>
                        <pic:spPr>
                          <a:xfrm>
                            <a:off x="0" y="0"/>
                            <a:ext cx="2315044" cy="1952244"/>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14:paraId="44D8D228">
            <w:pPr>
              <w:pStyle w:val="13"/>
              <w:rPr>
                <w:rFonts w:hint="eastAsia"/>
                <w:highlight w:val="none"/>
                <w:lang w:val="zh-CN"/>
              </w:rPr>
            </w:pPr>
          </w:p>
        </w:tc>
      </w:tr>
    </w:tbl>
    <w:p w14:paraId="0E6C8F9D">
      <w:pPr>
        <w:spacing w:before="120" w:beforeLines="50" w:after="120" w:afterLines="50"/>
        <w:ind w:left="480" w:leftChars="200" w:firstLine="480"/>
        <w:rPr>
          <w:rFonts w:hint="eastAsia" w:cs="宋体"/>
          <w:highlight w:val="none"/>
        </w:rPr>
      </w:pPr>
      <w:r>
        <w:rPr>
          <w:rFonts w:hint="eastAsia" w:cs="宋体"/>
          <w:highlight w:val="none"/>
        </w:rPr>
        <w:br w:type="page"/>
      </w:r>
    </w:p>
    <w:p w14:paraId="75CE43B0">
      <w:pPr>
        <w:pStyle w:val="5"/>
        <w:rPr>
          <w:rFonts w:hint="eastAsia"/>
          <w:highlight w:val="none"/>
        </w:rPr>
      </w:pPr>
      <w:r>
        <w:rPr>
          <w:rFonts w:hint="eastAsia"/>
          <w:highlight w:val="none"/>
        </w:rPr>
        <w:t>园林成品保护标准做法</w:t>
      </w:r>
    </w:p>
    <w:tbl>
      <w:tblPr>
        <w:tblStyle w:val="20"/>
        <w:tblW w:w="13084"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622"/>
        <w:gridCol w:w="1363"/>
        <w:gridCol w:w="71"/>
        <w:gridCol w:w="2792"/>
        <w:gridCol w:w="6922"/>
        <w:gridCol w:w="1314"/>
      </w:tblGrid>
      <w:tr w14:paraId="11776F8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90" w:hRule="atLeast"/>
          <w:jc w:val="center"/>
        </w:trPr>
        <w:tc>
          <w:tcPr>
            <w:tcW w:w="13084" w:type="dxa"/>
            <w:gridSpan w:val="6"/>
            <w:shd w:val="clear" w:color="auto" w:fill="auto"/>
            <w:vAlign w:val="center"/>
          </w:tcPr>
          <w:p w14:paraId="0507A5FC">
            <w:pPr>
              <w:pStyle w:val="13"/>
              <w:rPr>
                <w:rFonts w:hint="eastAsia"/>
                <w:b/>
                <w:bCs/>
                <w:highlight w:val="none"/>
                <w:lang w:val="zh-CN"/>
              </w:rPr>
            </w:pPr>
            <w:r>
              <w:rPr>
                <w:rFonts w:hint="eastAsia"/>
                <w:b/>
                <w:bCs/>
                <w:highlight w:val="none"/>
                <w:lang w:val="zh-CN"/>
              </w:rPr>
              <w:t>园林成品保护标准做法</w:t>
            </w:r>
          </w:p>
        </w:tc>
      </w:tr>
      <w:tr w14:paraId="4FAC989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8" w:hRule="atLeast"/>
          <w:jc w:val="center"/>
        </w:trPr>
        <w:tc>
          <w:tcPr>
            <w:tcW w:w="622" w:type="dxa"/>
            <w:shd w:val="clear" w:color="auto" w:fill="auto"/>
            <w:vAlign w:val="center"/>
          </w:tcPr>
          <w:p w14:paraId="2DFDF2EC">
            <w:pPr>
              <w:pStyle w:val="13"/>
              <w:rPr>
                <w:rFonts w:hint="eastAsia"/>
                <w:b/>
                <w:bCs/>
                <w:highlight w:val="none"/>
                <w:lang w:val="zh-CN"/>
              </w:rPr>
            </w:pPr>
            <w:r>
              <w:rPr>
                <w:rFonts w:hint="eastAsia"/>
                <w:b/>
                <w:bCs/>
                <w:highlight w:val="none"/>
                <w:lang w:val="zh-CN"/>
              </w:rPr>
              <w:t>序号</w:t>
            </w:r>
          </w:p>
        </w:tc>
        <w:tc>
          <w:tcPr>
            <w:tcW w:w="1363" w:type="dxa"/>
            <w:shd w:val="clear" w:color="auto" w:fill="auto"/>
            <w:vAlign w:val="center"/>
          </w:tcPr>
          <w:p w14:paraId="025D04A8">
            <w:pPr>
              <w:pStyle w:val="13"/>
              <w:rPr>
                <w:rFonts w:hint="eastAsia"/>
                <w:b/>
                <w:bCs/>
                <w:highlight w:val="none"/>
                <w:lang w:val="zh-CN"/>
              </w:rPr>
            </w:pPr>
            <w:r>
              <w:rPr>
                <w:rFonts w:hint="eastAsia"/>
                <w:b/>
                <w:bCs/>
                <w:highlight w:val="none"/>
                <w:lang w:val="zh-CN"/>
              </w:rPr>
              <w:t>保护内容</w:t>
            </w:r>
          </w:p>
        </w:tc>
        <w:tc>
          <w:tcPr>
            <w:tcW w:w="2863" w:type="dxa"/>
            <w:gridSpan w:val="2"/>
            <w:shd w:val="clear" w:color="auto" w:fill="auto"/>
            <w:vAlign w:val="center"/>
          </w:tcPr>
          <w:p w14:paraId="458847FE">
            <w:pPr>
              <w:pStyle w:val="13"/>
              <w:rPr>
                <w:rFonts w:hint="eastAsia"/>
                <w:b/>
                <w:bCs/>
                <w:highlight w:val="none"/>
                <w:lang w:val="zh-CN"/>
              </w:rPr>
            </w:pPr>
            <w:r>
              <w:rPr>
                <w:rFonts w:hint="eastAsia"/>
                <w:b/>
                <w:bCs/>
                <w:highlight w:val="none"/>
                <w:lang w:val="zh-CN"/>
              </w:rPr>
              <w:t>保护要求标准</w:t>
            </w:r>
          </w:p>
        </w:tc>
        <w:tc>
          <w:tcPr>
            <w:tcW w:w="6922" w:type="dxa"/>
            <w:shd w:val="clear" w:color="auto" w:fill="auto"/>
            <w:vAlign w:val="center"/>
          </w:tcPr>
          <w:p w14:paraId="183EC680">
            <w:pPr>
              <w:pStyle w:val="13"/>
              <w:rPr>
                <w:rFonts w:hint="eastAsia"/>
                <w:b/>
                <w:bCs/>
                <w:highlight w:val="none"/>
                <w:lang w:val="zh-CN"/>
              </w:rPr>
            </w:pPr>
            <w:r>
              <w:rPr>
                <w:rFonts w:hint="eastAsia"/>
                <w:b/>
                <w:bCs/>
                <w:highlight w:val="none"/>
                <w:lang w:val="zh-CN"/>
              </w:rPr>
              <w:t>图示</w:t>
            </w:r>
          </w:p>
        </w:tc>
        <w:tc>
          <w:tcPr>
            <w:tcW w:w="1314" w:type="dxa"/>
            <w:shd w:val="clear" w:color="auto" w:fill="auto"/>
            <w:vAlign w:val="center"/>
          </w:tcPr>
          <w:p w14:paraId="3B51E435">
            <w:pPr>
              <w:pStyle w:val="13"/>
              <w:rPr>
                <w:rFonts w:hint="eastAsia"/>
                <w:b/>
                <w:bCs/>
                <w:highlight w:val="none"/>
                <w:lang w:val="zh-CN"/>
              </w:rPr>
            </w:pPr>
            <w:r>
              <w:rPr>
                <w:rFonts w:hint="eastAsia"/>
                <w:b/>
                <w:bCs/>
                <w:highlight w:val="none"/>
                <w:lang w:val="zh-CN"/>
              </w:rPr>
              <w:t>备注</w:t>
            </w:r>
          </w:p>
        </w:tc>
      </w:tr>
      <w:tr w14:paraId="09DDDE1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05" w:hRule="atLeast"/>
          <w:jc w:val="center"/>
        </w:trPr>
        <w:tc>
          <w:tcPr>
            <w:tcW w:w="622" w:type="dxa"/>
            <w:vMerge w:val="restart"/>
            <w:vAlign w:val="center"/>
          </w:tcPr>
          <w:p w14:paraId="2B6618A5">
            <w:pPr>
              <w:pStyle w:val="13"/>
              <w:rPr>
                <w:rFonts w:hint="eastAsia"/>
                <w:highlight w:val="none"/>
                <w:lang w:val="zh-CN"/>
              </w:rPr>
            </w:pPr>
            <w:r>
              <w:rPr>
                <w:rFonts w:hint="eastAsia"/>
                <w:highlight w:val="none"/>
                <w:lang w:val="zh-CN"/>
              </w:rPr>
              <w:t>1</w:t>
            </w:r>
          </w:p>
        </w:tc>
        <w:tc>
          <w:tcPr>
            <w:tcW w:w="1363" w:type="dxa"/>
            <w:vMerge w:val="restart"/>
            <w:vAlign w:val="center"/>
          </w:tcPr>
          <w:p w14:paraId="06CC323C">
            <w:pPr>
              <w:pStyle w:val="13"/>
              <w:rPr>
                <w:rFonts w:hint="eastAsia"/>
                <w:highlight w:val="none"/>
                <w:lang w:val="zh-CN"/>
              </w:rPr>
            </w:pPr>
            <w:r>
              <w:rPr>
                <w:highlight w:val="none"/>
                <w:lang w:val="zh-CN"/>
              </w:rPr>
              <w:t>石材工厂包装</w:t>
            </w:r>
          </w:p>
        </w:tc>
        <w:tc>
          <w:tcPr>
            <w:tcW w:w="2863" w:type="dxa"/>
            <w:gridSpan w:val="2"/>
            <w:vAlign w:val="center"/>
          </w:tcPr>
          <w:p w14:paraId="62AFD56D">
            <w:pPr>
              <w:pStyle w:val="13"/>
              <w:rPr>
                <w:rFonts w:hint="eastAsia"/>
                <w:highlight w:val="none"/>
                <w:lang w:val="zh-CN"/>
              </w:rPr>
            </w:pPr>
            <w:r>
              <w:rPr>
                <w:highlight w:val="none"/>
                <w:lang w:val="zh-CN"/>
              </w:rPr>
              <w:t>石材须作四边封边保护，保证同一箱内装同一区域石 材，以方便拆御与安装；异形或较复杂的铺装，除对每箱标识外，还应对每块石材进行编号标识。</w:t>
            </w:r>
          </w:p>
        </w:tc>
        <w:tc>
          <w:tcPr>
            <w:tcW w:w="6922" w:type="dxa"/>
            <w:vAlign w:val="center"/>
          </w:tcPr>
          <w:p w14:paraId="0E9BA831">
            <w:pPr>
              <w:pStyle w:val="13"/>
              <w:rPr>
                <w:rFonts w:hint="eastAsia"/>
                <w:highlight w:val="none"/>
                <w:lang w:val="zh-CN"/>
              </w:rPr>
            </w:pPr>
          </w:p>
          <w:p w14:paraId="0490215E">
            <w:pPr>
              <w:pStyle w:val="13"/>
              <w:rPr>
                <w:rFonts w:hint="eastAsia"/>
                <w:highlight w:val="none"/>
                <w:lang w:val="zh-CN"/>
              </w:rPr>
            </w:pPr>
            <w:r>
              <w:rPr>
                <w:highlight w:val="none"/>
              </w:rPr>
              <w:drawing>
                <wp:inline distT="0" distB="0" distL="0" distR="0">
                  <wp:extent cx="3081020" cy="2064385"/>
                  <wp:effectExtent l="0" t="0" r="5080" b="2540"/>
                  <wp:docPr id="141"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74.jpeg"/>
                          <pic:cNvPicPr>
                            <a:picLocks noChangeAspect="1"/>
                          </pic:cNvPicPr>
                        </pic:nvPicPr>
                        <pic:blipFill>
                          <a:blip r:embed="rId84" cstate="print"/>
                          <a:stretch>
                            <a:fillRect/>
                          </a:stretch>
                        </pic:blipFill>
                        <pic:spPr>
                          <a:xfrm>
                            <a:off x="0" y="0"/>
                            <a:ext cx="3081500" cy="2064543"/>
                          </a:xfrm>
                          <a:prstGeom prst="rect">
                            <a:avLst/>
                          </a:prstGeom>
                        </pic:spPr>
                      </pic:pic>
                    </a:graphicData>
                  </a:graphic>
                </wp:inline>
              </w:drawing>
            </w:r>
          </w:p>
        </w:tc>
        <w:tc>
          <w:tcPr>
            <w:tcW w:w="1314" w:type="dxa"/>
            <w:vAlign w:val="center"/>
          </w:tcPr>
          <w:p w14:paraId="285CC427">
            <w:pPr>
              <w:pStyle w:val="13"/>
              <w:rPr>
                <w:rFonts w:hint="eastAsia"/>
                <w:highlight w:val="none"/>
                <w:lang w:val="zh-CN"/>
              </w:rPr>
            </w:pPr>
            <w:r>
              <w:rPr>
                <w:highlight w:val="none"/>
                <w:lang w:val="zh-CN"/>
              </w:rPr>
              <w:t>用木板四边包封</w:t>
            </w:r>
          </w:p>
        </w:tc>
      </w:tr>
      <w:tr w14:paraId="61A10FB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628" w:hRule="atLeast"/>
          <w:jc w:val="center"/>
        </w:trPr>
        <w:tc>
          <w:tcPr>
            <w:tcW w:w="622" w:type="dxa"/>
            <w:vMerge w:val="continue"/>
            <w:tcBorders>
              <w:top w:val="nil"/>
            </w:tcBorders>
            <w:vAlign w:val="center"/>
          </w:tcPr>
          <w:p w14:paraId="1F9CFA1C">
            <w:pPr>
              <w:pStyle w:val="13"/>
              <w:rPr>
                <w:rFonts w:hint="eastAsia"/>
                <w:highlight w:val="none"/>
                <w:lang w:val="zh-CN"/>
              </w:rPr>
            </w:pPr>
          </w:p>
        </w:tc>
        <w:tc>
          <w:tcPr>
            <w:tcW w:w="1363" w:type="dxa"/>
            <w:vMerge w:val="continue"/>
            <w:tcBorders>
              <w:top w:val="nil"/>
            </w:tcBorders>
            <w:vAlign w:val="center"/>
          </w:tcPr>
          <w:p w14:paraId="6433C608">
            <w:pPr>
              <w:pStyle w:val="13"/>
              <w:rPr>
                <w:rFonts w:hint="eastAsia"/>
                <w:highlight w:val="none"/>
                <w:lang w:val="zh-CN"/>
              </w:rPr>
            </w:pPr>
          </w:p>
        </w:tc>
        <w:tc>
          <w:tcPr>
            <w:tcW w:w="2863" w:type="dxa"/>
            <w:gridSpan w:val="2"/>
            <w:vAlign w:val="center"/>
          </w:tcPr>
          <w:p w14:paraId="31411426">
            <w:pPr>
              <w:pStyle w:val="13"/>
              <w:rPr>
                <w:rFonts w:hint="eastAsia"/>
                <w:highlight w:val="none"/>
                <w:lang w:val="zh-CN"/>
              </w:rPr>
            </w:pPr>
            <w:r>
              <w:rPr>
                <w:highlight w:val="none"/>
                <w:lang w:val="zh-CN"/>
              </w:rPr>
              <w:t>石材装箱时应光面对光面， 中间须用橡皮胶垫隔开，并用纸板护角包裹四角防止崩角，并在木箱的底部衬垫不小于 2mm 厚橡胶垫，防止石材边直接与木材接触发生崩边</w:t>
            </w:r>
          </w:p>
        </w:tc>
        <w:tc>
          <w:tcPr>
            <w:tcW w:w="6922" w:type="dxa"/>
            <w:vAlign w:val="center"/>
          </w:tcPr>
          <w:p w14:paraId="28AEB738">
            <w:pPr>
              <w:pStyle w:val="13"/>
              <w:rPr>
                <w:rFonts w:hint="eastAsia"/>
                <w:highlight w:val="none"/>
                <w:lang w:val="zh-CN"/>
              </w:rPr>
            </w:pPr>
          </w:p>
          <w:p w14:paraId="51B7A8C6">
            <w:pPr>
              <w:pStyle w:val="13"/>
              <w:rPr>
                <w:rFonts w:hint="eastAsia"/>
                <w:highlight w:val="none"/>
                <w:lang w:val="zh-CN"/>
              </w:rPr>
            </w:pPr>
            <w:r>
              <w:rPr>
                <w:highlight w:val="none"/>
              </w:rPr>
              <w:drawing>
                <wp:inline distT="0" distB="0" distL="0" distR="0">
                  <wp:extent cx="3007995" cy="2039620"/>
                  <wp:effectExtent l="0" t="0" r="1905" b="8255"/>
                  <wp:docPr id="143"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75.jpeg"/>
                          <pic:cNvPicPr>
                            <a:picLocks noChangeAspect="1"/>
                          </pic:cNvPicPr>
                        </pic:nvPicPr>
                        <pic:blipFill>
                          <a:blip r:embed="rId85" cstate="print"/>
                          <a:stretch>
                            <a:fillRect/>
                          </a:stretch>
                        </pic:blipFill>
                        <pic:spPr>
                          <a:xfrm>
                            <a:off x="0" y="0"/>
                            <a:ext cx="3008342" cy="2039683"/>
                          </a:xfrm>
                          <a:prstGeom prst="rect">
                            <a:avLst/>
                          </a:prstGeom>
                        </pic:spPr>
                      </pic:pic>
                    </a:graphicData>
                  </a:graphic>
                </wp:inline>
              </w:drawing>
            </w:r>
          </w:p>
        </w:tc>
        <w:tc>
          <w:tcPr>
            <w:tcW w:w="1314" w:type="dxa"/>
            <w:vAlign w:val="center"/>
          </w:tcPr>
          <w:p w14:paraId="0DD28E12">
            <w:pPr>
              <w:pStyle w:val="13"/>
              <w:rPr>
                <w:rFonts w:hint="eastAsia"/>
                <w:highlight w:val="none"/>
                <w:lang w:val="zh-CN"/>
              </w:rPr>
            </w:pPr>
            <w:r>
              <w:rPr>
                <w:highlight w:val="none"/>
                <w:lang w:val="zh-CN"/>
              </w:rPr>
              <w:t>装箱前的护角包裹</w:t>
            </w:r>
          </w:p>
        </w:tc>
      </w:tr>
      <w:tr w14:paraId="49C0B7C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35" w:hRule="atLeast"/>
          <w:jc w:val="center"/>
        </w:trPr>
        <w:tc>
          <w:tcPr>
            <w:tcW w:w="622" w:type="dxa"/>
            <w:vMerge w:val="continue"/>
            <w:tcBorders>
              <w:top w:val="nil"/>
            </w:tcBorders>
            <w:vAlign w:val="center"/>
          </w:tcPr>
          <w:p w14:paraId="7AE4F51C">
            <w:pPr>
              <w:pStyle w:val="13"/>
              <w:rPr>
                <w:rFonts w:hint="eastAsia"/>
                <w:highlight w:val="none"/>
                <w:lang w:val="zh-CN"/>
              </w:rPr>
            </w:pPr>
          </w:p>
        </w:tc>
        <w:tc>
          <w:tcPr>
            <w:tcW w:w="1363" w:type="dxa"/>
            <w:vMerge w:val="continue"/>
            <w:tcBorders>
              <w:top w:val="nil"/>
            </w:tcBorders>
            <w:vAlign w:val="center"/>
          </w:tcPr>
          <w:p w14:paraId="3C9C2942">
            <w:pPr>
              <w:pStyle w:val="13"/>
              <w:rPr>
                <w:rFonts w:hint="eastAsia"/>
                <w:highlight w:val="none"/>
                <w:lang w:val="zh-CN"/>
              </w:rPr>
            </w:pPr>
          </w:p>
        </w:tc>
        <w:tc>
          <w:tcPr>
            <w:tcW w:w="2863" w:type="dxa"/>
            <w:gridSpan w:val="2"/>
            <w:vAlign w:val="center"/>
          </w:tcPr>
          <w:p w14:paraId="4DE7AD01">
            <w:pPr>
              <w:pStyle w:val="13"/>
              <w:rPr>
                <w:rFonts w:hint="eastAsia"/>
                <w:highlight w:val="none"/>
                <w:lang w:val="zh-CN"/>
              </w:rPr>
            </w:pPr>
            <w:r>
              <w:rPr>
                <w:highlight w:val="none"/>
                <w:lang w:val="zh-CN"/>
              </w:rPr>
              <w:t>石凳、异形压项、雕塑等须单个用木架固定，防止运输过程中碰撞破损；大型花钵</w:t>
            </w:r>
          </w:p>
          <w:p w14:paraId="4BE4EC02">
            <w:pPr>
              <w:pStyle w:val="13"/>
              <w:rPr>
                <w:rFonts w:hint="eastAsia"/>
                <w:highlight w:val="none"/>
                <w:lang w:val="zh-CN"/>
              </w:rPr>
            </w:pPr>
            <w:r>
              <w:rPr>
                <w:highlight w:val="none"/>
                <w:lang w:val="zh-CN"/>
              </w:rPr>
              <w:t>、雕塑等必须用钢架焊接作固定保护</w:t>
            </w:r>
          </w:p>
        </w:tc>
        <w:tc>
          <w:tcPr>
            <w:tcW w:w="6922" w:type="dxa"/>
            <w:vAlign w:val="center"/>
          </w:tcPr>
          <w:p w14:paraId="283EF11A">
            <w:pPr>
              <w:pStyle w:val="13"/>
              <w:rPr>
                <w:rFonts w:hint="eastAsia"/>
                <w:highlight w:val="none"/>
                <w:lang w:val="zh-CN"/>
              </w:rPr>
            </w:pPr>
          </w:p>
          <w:p w14:paraId="11B44D43">
            <w:pPr>
              <w:pStyle w:val="13"/>
              <w:rPr>
                <w:rFonts w:hint="eastAsia"/>
                <w:highlight w:val="none"/>
                <w:lang w:val="zh-CN"/>
              </w:rPr>
            </w:pPr>
            <w:r>
              <w:rPr>
                <w:highlight w:val="none"/>
              </w:rPr>
              <w:drawing>
                <wp:inline distT="0" distB="0" distL="0" distR="0">
                  <wp:extent cx="4443095" cy="1852930"/>
                  <wp:effectExtent l="0" t="0" r="5080" b="4445"/>
                  <wp:docPr id="145"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76.jpeg"/>
                          <pic:cNvPicPr>
                            <a:picLocks noChangeAspect="1"/>
                          </pic:cNvPicPr>
                        </pic:nvPicPr>
                        <pic:blipFill>
                          <a:blip r:embed="rId86" cstate="print"/>
                          <a:stretch>
                            <a:fillRect/>
                          </a:stretch>
                        </pic:blipFill>
                        <pic:spPr>
                          <a:xfrm>
                            <a:off x="0" y="0"/>
                            <a:ext cx="4443541" cy="1853374"/>
                          </a:xfrm>
                          <a:prstGeom prst="rect">
                            <a:avLst/>
                          </a:prstGeom>
                        </pic:spPr>
                      </pic:pic>
                    </a:graphicData>
                  </a:graphic>
                </wp:inline>
              </w:drawing>
            </w:r>
          </w:p>
        </w:tc>
        <w:tc>
          <w:tcPr>
            <w:tcW w:w="1314" w:type="dxa"/>
            <w:vAlign w:val="center"/>
          </w:tcPr>
          <w:p w14:paraId="4D04BC82">
            <w:pPr>
              <w:pStyle w:val="13"/>
              <w:rPr>
                <w:rFonts w:hint="eastAsia"/>
                <w:highlight w:val="none"/>
                <w:lang w:val="zh-CN"/>
              </w:rPr>
            </w:pPr>
            <w:r>
              <w:rPr>
                <w:highlight w:val="none"/>
                <w:lang w:val="zh-CN"/>
              </w:rPr>
              <w:t>木架保护</w:t>
            </w:r>
          </w:p>
        </w:tc>
      </w:tr>
      <w:tr w14:paraId="70B3DDE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13" w:hRule="atLeast"/>
          <w:jc w:val="center"/>
        </w:trPr>
        <w:tc>
          <w:tcPr>
            <w:tcW w:w="622" w:type="dxa"/>
            <w:vAlign w:val="center"/>
          </w:tcPr>
          <w:p w14:paraId="0156D3AB">
            <w:pPr>
              <w:pStyle w:val="13"/>
              <w:rPr>
                <w:rFonts w:hint="eastAsia"/>
                <w:highlight w:val="none"/>
                <w:lang w:val="zh-CN"/>
              </w:rPr>
            </w:pPr>
            <w:r>
              <w:rPr>
                <w:highlight w:val="none"/>
                <w:lang w:val="zh-CN"/>
              </w:rPr>
              <w:t>2</w:t>
            </w:r>
          </w:p>
        </w:tc>
        <w:tc>
          <w:tcPr>
            <w:tcW w:w="1363" w:type="dxa"/>
            <w:vAlign w:val="center"/>
          </w:tcPr>
          <w:p w14:paraId="7B02E517">
            <w:pPr>
              <w:pStyle w:val="13"/>
              <w:rPr>
                <w:rFonts w:hint="eastAsia"/>
                <w:highlight w:val="none"/>
                <w:lang w:val="zh-CN"/>
              </w:rPr>
            </w:pPr>
            <w:r>
              <w:rPr>
                <w:highlight w:val="none"/>
                <w:lang w:val="zh-CN"/>
              </w:rPr>
              <w:t>石材搬运、装缷</w:t>
            </w:r>
          </w:p>
        </w:tc>
        <w:tc>
          <w:tcPr>
            <w:tcW w:w="2863" w:type="dxa"/>
            <w:gridSpan w:val="2"/>
            <w:vAlign w:val="center"/>
          </w:tcPr>
          <w:p w14:paraId="391B965F">
            <w:pPr>
              <w:pStyle w:val="13"/>
              <w:rPr>
                <w:rFonts w:hint="eastAsia"/>
                <w:highlight w:val="none"/>
                <w:lang w:val="zh-CN"/>
              </w:rPr>
            </w:pPr>
            <w:r>
              <w:rPr>
                <w:highlight w:val="none"/>
                <w:lang w:val="zh-CN"/>
              </w:rPr>
              <w:t>石材装、卸车时应采用叉、吊车等专业机械，避免搬运过程受力不均造成板材的挤压损坏，装车时排放须整齐</w:t>
            </w:r>
          </w:p>
        </w:tc>
        <w:tc>
          <w:tcPr>
            <w:tcW w:w="6922" w:type="dxa"/>
            <w:vAlign w:val="center"/>
          </w:tcPr>
          <w:p w14:paraId="726498FE">
            <w:pPr>
              <w:pStyle w:val="13"/>
              <w:rPr>
                <w:rFonts w:hint="eastAsia"/>
                <w:highlight w:val="none"/>
                <w:lang w:val="zh-CN"/>
              </w:rPr>
            </w:pPr>
          </w:p>
          <w:p w14:paraId="184E4A5A">
            <w:pPr>
              <w:pStyle w:val="13"/>
              <w:rPr>
                <w:rFonts w:hint="eastAsia"/>
                <w:highlight w:val="none"/>
                <w:lang w:val="zh-CN"/>
              </w:rPr>
            </w:pPr>
            <w:r>
              <w:rPr>
                <w:highlight w:val="none"/>
              </w:rPr>
              <w:drawing>
                <wp:inline distT="0" distB="0" distL="0" distR="0">
                  <wp:extent cx="2929890" cy="2000885"/>
                  <wp:effectExtent l="0" t="0" r="3810" b="8890"/>
                  <wp:docPr id="149"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78.jpeg"/>
                          <pic:cNvPicPr>
                            <a:picLocks noChangeAspect="1"/>
                          </pic:cNvPicPr>
                        </pic:nvPicPr>
                        <pic:blipFill>
                          <a:blip r:embed="rId87" cstate="print"/>
                          <a:stretch>
                            <a:fillRect/>
                          </a:stretch>
                        </pic:blipFill>
                        <pic:spPr>
                          <a:xfrm>
                            <a:off x="0" y="0"/>
                            <a:ext cx="2930283" cy="2001393"/>
                          </a:xfrm>
                          <a:prstGeom prst="rect">
                            <a:avLst/>
                          </a:prstGeom>
                        </pic:spPr>
                      </pic:pic>
                    </a:graphicData>
                  </a:graphic>
                </wp:inline>
              </w:drawing>
            </w:r>
          </w:p>
        </w:tc>
        <w:tc>
          <w:tcPr>
            <w:tcW w:w="1314" w:type="dxa"/>
            <w:vAlign w:val="center"/>
          </w:tcPr>
          <w:p w14:paraId="0E871EC3">
            <w:pPr>
              <w:pStyle w:val="13"/>
              <w:rPr>
                <w:rFonts w:hint="eastAsia"/>
                <w:highlight w:val="none"/>
                <w:lang w:val="zh-CN"/>
              </w:rPr>
            </w:pPr>
            <w:r>
              <w:rPr>
                <w:highlight w:val="none"/>
                <w:lang w:val="zh-CN"/>
              </w:rPr>
              <w:t>石材运输及装卸</w:t>
            </w:r>
          </w:p>
        </w:tc>
      </w:tr>
      <w:tr w14:paraId="730122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95" w:hRule="atLeast"/>
          <w:jc w:val="center"/>
        </w:trPr>
        <w:tc>
          <w:tcPr>
            <w:tcW w:w="622" w:type="dxa"/>
            <w:vMerge w:val="restart"/>
            <w:vAlign w:val="center"/>
          </w:tcPr>
          <w:p w14:paraId="3F55CB0D">
            <w:pPr>
              <w:pStyle w:val="13"/>
              <w:rPr>
                <w:rFonts w:hint="eastAsia"/>
                <w:highlight w:val="none"/>
                <w:lang w:val="zh-CN"/>
              </w:rPr>
            </w:pPr>
            <w:r>
              <w:rPr>
                <w:highlight w:val="none"/>
                <w:lang w:val="zh-CN"/>
              </w:rPr>
              <w:t>3</w:t>
            </w:r>
          </w:p>
        </w:tc>
        <w:tc>
          <w:tcPr>
            <w:tcW w:w="1434" w:type="dxa"/>
            <w:gridSpan w:val="2"/>
            <w:vMerge w:val="restart"/>
            <w:vAlign w:val="center"/>
          </w:tcPr>
          <w:p w14:paraId="595B9899">
            <w:pPr>
              <w:pStyle w:val="13"/>
              <w:rPr>
                <w:rFonts w:hint="eastAsia"/>
                <w:highlight w:val="none"/>
                <w:lang w:val="zh-CN"/>
              </w:rPr>
            </w:pPr>
            <w:r>
              <w:rPr>
                <w:highlight w:val="none"/>
                <w:lang w:val="zh-CN"/>
              </w:rPr>
              <w:t>石材进场及堆放</w:t>
            </w:r>
          </w:p>
        </w:tc>
        <w:tc>
          <w:tcPr>
            <w:tcW w:w="2792" w:type="dxa"/>
            <w:vMerge w:val="restart"/>
            <w:vAlign w:val="center"/>
          </w:tcPr>
          <w:p w14:paraId="29FA0E7C">
            <w:pPr>
              <w:pStyle w:val="13"/>
              <w:rPr>
                <w:rFonts w:hint="eastAsia"/>
                <w:highlight w:val="none"/>
                <w:lang w:val="zh-CN"/>
              </w:rPr>
            </w:pPr>
            <w:r>
              <w:rPr>
                <w:highlight w:val="none"/>
                <w:lang w:val="zh-CN"/>
              </w:rPr>
              <w:t>石材进场后堆放不得与地面直接接触，需用木方垫起或在底部 衬垫橡胶垫（薄毯），且须排放整齐</w:t>
            </w:r>
          </w:p>
        </w:tc>
        <w:tc>
          <w:tcPr>
            <w:tcW w:w="6922" w:type="dxa"/>
            <w:vAlign w:val="center"/>
          </w:tcPr>
          <w:p w14:paraId="790A69E9">
            <w:pPr>
              <w:pStyle w:val="13"/>
              <w:rPr>
                <w:rFonts w:hint="eastAsia"/>
                <w:highlight w:val="none"/>
                <w:lang w:val="zh-CN"/>
              </w:rPr>
            </w:pPr>
          </w:p>
          <w:p w14:paraId="1F8DF8B2">
            <w:pPr>
              <w:pStyle w:val="13"/>
              <w:rPr>
                <w:rFonts w:hint="eastAsia"/>
                <w:highlight w:val="none"/>
                <w:lang w:val="zh-CN"/>
              </w:rPr>
            </w:pPr>
            <w:r>
              <w:rPr>
                <w:highlight w:val="none"/>
              </w:rPr>
              <w:drawing>
                <wp:inline distT="0" distB="0" distL="0" distR="0">
                  <wp:extent cx="4566285" cy="1817370"/>
                  <wp:effectExtent l="0" t="0" r="5715" b="1905"/>
                  <wp:docPr id="164"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79.jpeg"/>
                          <pic:cNvPicPr>
                            <a:picLocks noChangeAspect="1"/>
                          </pic:cNvPicPr>
                        </pic:nvPicPr>
                        <pic:blipFill>
                          <a:blip r:embed="rId88" cstate="print"/>
                          <a:stretch>
                            <a:fillRect/>
                          </a:stretch>
                        </pic:blipFill>
                        <pic:spPr>
                          <a:xfrm>
                            <a:off x="0" y="0"/>
                            <a:ext cx="4566734" cy="1817560"/>
                          </a:xfrm>
                          <a:prstGeom prst="rect">
                            <a:avLst/>
                          </a:prstGeom>
                        </pic:spPr>
                      </pic:pic>
                    </a:graphicData>
                  </a:graphic>
                </wp:inline>
              </w:drawing>
            </w:r>
          </w:p>
        </w:tc>
        <w:tc>
          <w:tcPr>
            <w:tcW w:w="1314" w:type="dxa"/>
            <w:vAlign w:val="center"/>
          </w:tcPr>
          <w:p w14:paraId="248A919E">
            <w:pPr>
              <w:pStyle w:val="13"/>
              <w:rPr>
                <w:rFonts w:hint="eastAsia"/>
                <w:highlight w:val="none"/>
                <w:lang w:val="zh-CN"/>
              </w:rPr>
            </w:pPr>
            <w:r>
              <w:rPr>
                <w:highlight w:val="none"/>
                <w:lang w:val="zh-CN"/>
              </w:rPr>
              <w:t>大板材成品保护措施</w:t>
            </w:r>
          </w:p>
        </w:tc>
      </w:tr>
      <w:tr w14:paraId="7EF6C52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73" w:hRule="atLeast"/>
          <w:jc w:val="center"/>
        </w:trPr>
        <w:tc>
          <w:tcPr>
            <w:tcW w:w="622" w:type="dxa"/>
            <w:vMerge w:val="continue"/>
            <w:tcBorders>
              <w:top w:val="nil"/>
            </w:tcBorders>
            <w:vAlign w:val="center"/>
          </w:tcPr>
          <w:p w14:paraId="0DA017F8">
            <w:pPr>
              <w:pStyle w:val="13"/>
              <w:rPr>
                <w:rFonts w:hint="eastAsia"/>
                <w:highlight w:val="none"/>
                <w:lang w:val="zh-CN"/>
              </w:rPr>
            </w:pPr>
          </w:p>
        </w:tc>
        <w:tc>
          <w:tcPr>
            <w:tcW w:w="1434" w:type="dxa"/>
            <w:gridSpan w:val="2"/>
            <w:vMerge w:val="continue"/>
            <w:tcBorders>
              <w:top w:val="nil"/>
            </w:tcBorders>
            <w:vAlign w:val="center"/>
          </w:tcPr>
          <w:p w14:paraId="51C43951">
            <w:pPr>
              <w:pStyle w:val="13"/>
              <w:rPr>
                <w:rFonts w:hint="eastAsia"/>
                <w:highlight w:val="none"/>
                <w:lang w:val="zh-CN"/>
              </w:rPr>
            </w:pPr>
          </w:p>
        </w:tc>
        <w:tc>
          <w:tcPr>
            <w:tcW w:w="2792" w:type="dxa"/>
            <w:vMerge w:val="continue"/>
            <w:tcBorders>
              <w:top w:val="nil"/>
            </w:tcBorders>
            <w:vAlign w:val="center"/>
          </w:tcPr>
          <w:p w14:paraId="6FD7C96A">
            <w:pPr>
              <w:pStyle w:val="13"/>
              <w:rPr>
                <w:rFonts w:hint="eastAsia"/>
                <w:highlight w:val="none"/>
                <w:lang w:val="zh-CN"/>
              </w:rPr>
            </w:pPr>
          </w:p>
        </w:tc>
        <w:tc>
          <w:tcPr>
            <w:tcW w:w="6922" w:type="dxa"/>
            <w:vAlign w:val="center"/>
          </w:tcPr>
          <w:p w14:paraId="4456E46A">
            <w:pPr>
              <w:pStyle w:val="13"/>
              <w:rPr>
                <w:rFonts w:hint="eastAsia"/>
                <w:highlight w:val="none"/>
                <w:lang w:val="zh-CN"/>
              </w:rPr>
            </w:pPr>
          </w:p>
          <w:p w14:paraId="5485888E">
            <w:pPr>
              <w:pStyle w:val="13"/>
              <w:rPr>
                <w:rFonts w:hint="eastAsia"/>
                <w:highlight w:val="none"/>
                <w:lang w:val="zh-CN"/>
              </w:rPr>
            </w:pPr>
            <w:r>
              <w:rPr>
                <w:highlight w:val="none"/>
              </w:rPr>
              <w:drawing>
                <wp:inline distT="0" distB="0" distL="0" distR="0">
                  <wp:extent cx="4558665" cy="1733550"/>
                  <wp:effectExtent l="0" t="0" r="3810" b="0"/>
                  <wp:docPr id="153"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80.jpeg"/>
                          <pic:cNvPicPr>
                            <a:picLocks noChangeAspect="1"/>
                          </pic:cNvPicPr>
                        </pic:nvPicPr>
                        <pic:blipFill>
                          <a:blip r:embed="rId89" cstate="print"/>
                          <a:stretch>
                            <a:fillRect/>
                          </a:stretch>
                        </pic:blipFill>
                        <pic:spPr>
                          <a:xfrm>
                            <a:off x="0" y="0"/>
                            <a:ext cx="4559100" cy="1733550"/>
                          </a:xfrm>
                          <a:prstGeom prst="rect">
                            <a:avLst/>
                          </a:prstGeom>
                        </pic:spPr>
                      </pic:pic>
                    </a:graphicData>
                  </a:graphic>
                </wp:inline>
              </w:drawing>
            </w:r>
          </w:p>
        </w:tc>
        <w:tc>
          <w:tcPr>
            <w:tcW w:w="1314" w:type="dxa"/>
            <w:vAlign w:val="center"/>
          </w:tcPr>
          <w:p w14:paraId="21D48575">
            <w:pPr>
              <w:pStyle w:val="13"/>
              <w:rPr>
                <w:rFonts w:hint="eastAsia"/>
                <w:highlight w:val="none"/>
                <w:lang w:val="zh-CN"/>
              </w:rPr>
            </w:pPr>
          </w:p>
          <w:p w14:paraId="7110931F">
            <w:pPr>
              <w:pStyle w:val="13"/>
              <w:rPr>
                <w:rFonts w:hint="eastAsia"/>
                <w:highlight w:val="none"/>
                <w:lang w:val="zh-CN"/>
              </w:rPr>
            </w:pPr>
          </w:p>
          <w:p w14:paraId="23E90041">
            <w:pPr>
              <w:pStyle w:val="13"/>
              <w:rPr>
                <w:rFonts w:hint="eastAsia"/>
                <w:highlight w:val="none"/>
                <w:lang w:val="zh-CN"/>
              </w:rPr>
            </w:pPr>
          </w:p>
          <w:p w14:paraId="3CBB77FC">
            <w:pPr>
              <w:pStyle w:val="13"/>
              <w:rPr>
                <w:rFonts w:hint="eastAsia"/>
                <w:highlight w:val="none"/>
                <w:lang w:val="zh-CN"/>
              </w:rPr>
            </w:pPr>
            <w:r>
              <w:rPr>
                <w:highlight w:val="none"/>
                <w:lang w:val="zh-CN"/>
              </w:rPr>
              <w:t>小板材成品保护措施</w:t>
            </w:r>
          </w:p>
        </w:tc>
      </w:tr>
      <w:tr w14:paraId="2A092BD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49" w:hRule="atLeast"/>
          <w:jc w:val="center"/>
        </w:trPr>
        <w:tc>
          <w:tcPr>
            <w:tcW w:w="622" w:type="dxa"/>
            <w:vAlign w:val="center"/>
          </w:tcPr>
          <w:p w14:paraId="5BF560DF">
            <w:pPr>
              <w:pStyle w:val="13"/>
              <w:rPr>
                <w:rFonts w:hint="eastAsia"/>
                <w:highlight w:val="none"/>
                <w:lang w:val="zh-CN"/>
              </w:rPr>
            </w:pPr>
            <w:r>
              <w:rPr>
                <w:highlight w:val="none"/>
                <w:lang w:val="zh-CN"/>
              </w:rPr>
              <w:t>4</w:t>
            </w:r>
          </w:p>
        </w:tc>
        <w:tc>
          <w:tcPr>
            <w:tcW w:w="1434" w:type="dxa"/>
            <w:gridSpan w:val="2"/>
            <w:vAlign w:val="center"/>
          </w:tcPr>
          <w:p w14:paraId="6F923BC7">
            <w:pPr>
              <w:pStyle w:val="13"/>
              <w:rPr>
                <w:rFonts w:hint="eastAsia"/>
                <w:highlight w:val="none"/>
                <w:lang w:val="zh-CN"/>
              </w:rPr>
            </w:pPr>
            <w:r>
              <w:rPr>
                <w:highlight w:val="none"/>
                <w:lang w:val="zh-CN"/>
              </w:rPr>
              <w:t>石材二次搬运</w:t>
            </w:r>
          </w:p>
        </w:tc>
        <w:tc>
          <w:tcPr>
            <w:tcW w:w="2792" w:type="dxa"/>
            <w:vAlign w:val="center"/>
          </w:tcPr>
          <w:p w14:paraId="580C294B">
            <w:pPr>
              <w:pStyle w:val="13"/>
              <w:rPr>
                <w:rFonts w:hint="eastAsia"/>
                <w:highlight w:val="none"/>
                <w:lang w:val="zh-CN"/>
              </w:rPr>
            </w:pPr>
          </w:p>
          <w:p w14:paraId="65990094">
            <w:pPr>
              <w:pStyle w:val="13"/>
              <w:rPr>
                <w:rFonts w:hint="eastAsia"/>
                <w:highlight w:val="none"/>
                <w:lang w:val="zh-CN"/>
              </w:rPr>
            </w:pPr>
          </w:p>
          <w:p w14:paraId="39B821E8">
            <w:pPr>
              <w:pStyle w:val="13"/>
              <w:rPr>
                <w:rFonts w:hint="eastAsia"/>
                <w:highlight w:val="none"/>
                <w:lang w:val="zh-CN"/>
              </w:rPr>
            </w:pPr>
            <w:r>
              <w:rPr>
                <w:highlight w:val="none"/>
                <w:lang w:val="zh-CN"/>
              </w:rPr>
              <w:t>涉及二次及多次搬运的石 材，应使用平板车拖运，如少量石材用斗车搬运的，必须绵布等作包裹保护，防止碰伤缺角</w:t>
            </w:r>
          </w:p>
        </w:tc>
        <w:tc>
          <w:tcPr>
            <w:tcW w:w="6922" w:type="dxa"/>
            <w:vAlign w:val="center"/>
          </w:tcPr>
          <w:p w14:paraId="67F98996">
            <w:pPr>
              <w:pStyle w:val="13"/>
              <w:rPr>
                <w:rFonts w:hint="eastAsia"/>
                <w:highlight w:val="none"/>
                <w:lang w:val="zh-CN"/>
              </w:rPr>
            </w:pPr>
          </w:p>
          <w:p w14:paraId="6B202432">
            <w:pPr>
              <w:pStyle w:val="13"/>
              <w:rPr>
                <w:rFonts w:hint="eastAsia"/>
                <w:highlight w:val="none"/>
                <w:lang w:val="zh-CN"/>
              </w:rPr>
            </w:pPr>
            <w:r>
              <w:rPr>
                <w:highlight w:val="none"/>
              </w:rPr>
              <w:drawing>
                <wp:inline distT="0" distB="0" distL="0" distR="0">
                  <wp:extent cx="3046730" cy="2028825"/>
                  <wp:effectExtent l="0" t="0" r="1270" b="0"/>
                  <wp:docPr id="155"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81.jpeg"/>
                          <pic:cNvPicPr>
                            <a:picLocks noChangeAspect="1"/>
                          </pic:cNvPicPr>
                        </pic:nvPicPr>
                        <pic:blipFill>
                          <a:blip r:embed="rId90" cstate="print"/>
                          <a:stretch>
                            <a:fillRect/>
                          </a:stretch>
                        </pic:blipFill>
                        <pic:spPr>
                          <a:xfrm>
                            <a:off x="0" y="0"/>
                            <a:ext cx="3047132" cy="2029396"/>
                          </a:xfrm>
                          <a:prstGeom prst="rect">
                            <a:avLst/>
                          </a:prstGeom>
                        </pic:spPr>
                      </pic:pic>
                    </a:graphicData>
                  </a:graphic>
                </wp:inline>
              </w:drawing>
            </w:r>
          </w:p>
        </w:tc>
        <w:tc>
          <w:tcPr>
            <w:tcW w:w="1314" w:type="dxa"/>
            <w:vAlign w:val="center"/>
          </w:tcPr>
          <w:p w14:paraId="4B1970CC">
            <w:pPr>
              <w:pStyle w:val="13"/>
              <w:rPr>
                <w:rFonts w:hint="eastAsia"/>
                <w:highlight w:val="none"/>
                <w:lang w:val="zh-CN"/>
              </w:rPr>
            </w:pPr>
            <w:r>
              <w:rPr>
                <w:highlight w:val="none"/>
                <w:lang w:val="zh-CN"/>
              </w:rPr>
              <w:t>二次搬运的成品保护</w:t>
            </w:r>
          </w:p>
        </w:tc>
      </w:tr>
      <w:tr w14:paraId="181112E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733" w:hRule="atLeast"/>
          <w:jc w:val="center"/>
        </w:trPr>
        <w:tc>
          <w:tcPr>
            <w:tcW w:w="622" w:type="dxa"/>
            <w:vMerge w:val="restart"/>
            <w:vAlign w:val="center"/>
          </w:tcPr>
          <w:p w14:paraId="3CE36F88">
            <w:pPr>
              <w:pStyle w:val="13"/>
              <w:rPr>
                <w:rFonts w:hint="eastAsia"/>
                <w:highlight w:val="none"/>
                <w:lang w:val="zh-CN"/>
              </w:rPr>
            </w:pPr>
            <w:r>
              <w:rPr>
                <w:highlight w:val="none"/>
                <w:lang w:val="zh-CN"/>
              </w:rPr>
              <w:t>5</w:t>
            </w:r>
          </w:p>
        </w:tc>
        <w:tc>
          <w:tcPr>
            <w:tcW w:w="1434" w:type="dxa"/>
            <w:gridSpan w:val="2"/>
            <w:vMerge w:val="restart"/>
            <w:vAlign w:val="center"/>
          </w:tcPr>
          <w:p w14:paraId="7C3A967C">
            <w:pPr>
              <w:pStyle w:val="13"/>
              <w:rPr>
                <w:rFonts w:hint="eastAsia"/>
                <w:highlight w:val="none"/>
                <w:lang w:val="zh-CN"/>
              </w:rPr>
            </w:pPr>
            <w:r>
              <w:rPr>
                <w:highlight w:val="none"/>
                <w:lang w:val="zh-CN"/>
              </w:rPr>
              <w:t>施工过程中的石材保护</w:t>
            </w:r>
          </w:p>
        </w:tc>
        <w:tc>
          <w:tcPr>
            <w:tcW w:w="2792" w:type="dxa"/>
            <w:vAlign w:val="center"/>
          </w:tcPr>
          <w:p w14:paraId="6EAC0A55">
            <w:pPr>
              <w:pStyle w:val="13"/>
              <w:rPr>
                <w:rFonts w:hint="eastAsia"/>
                <w:highlight w:val="none"/>
                <w:lang w:val="zh-CN"/>
              </w:rPr>
            </w:pPr>
            <w:r>
              <w:rPr>
                <w:highlight w:val="none"/>
                <w:lang w:val="zh-CN"/>
              </w:rPr>
              <w:t>铺装施工时需合理安排施工顺序，避免大量的交叉施 工；如有，应合理规划施工通道，施工养护区域应有效围合，并组织专人疏导交通</w:t>
            </w:r>
          </w:p>
        </w:tc>
        <w:tc>
          <w:tcPr>
            <w:tcW w:w="6922" w:type="dxa"/>
            <w:vAlign w:val="center"/>
          </w:tcPr>
          <w:p w14:paraId="59153F4F">
            <w:pPr>
              <w:pStyle w:val="13"/>
              <w:rPr>
                <w:rFonts w:hint="eastAsia"/>
                <w:highlight w:val="none"/>
                <w:lang w:val="zh-CN"/>
              </w:rPr>
            </w:pPr>
          </w:p>
          <w:p w14:paraId="1F2AB136">
            <w:pPr>
              <w:pStyle w:val="13"/>
              <w:rPr>
                <w:rFonts w:hint="eastAsia"/>
                <w:highlight w:val="none"/>
                <w:lang w:val="zh-CN"/>
              </w:rPr>
            </w:pPr>
            <w:r>
              <w:rPr>
                <w:highlight w:val="none"/>
              </w:rPr>
              <w:drawing>
                <wp:inline distT="0" distB="0" distL="0" distR="0">
                  <wp:extent cx="3068320" cy="2093595"/>
                  <wp:effectExtent l="0" t="0" r="8255" b="1905"/>
                  <wp:docPr id="157"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82.jpeg"/>
                          <pic:cNvPicPr>
                            <a:picLocks noChangeAspect="1"/>
                          </pic:cNvPicPr>
                        </pic:nvPicPr>
                        <pic:blipFill>
                          <a:blip r:embed="rId91" cstate="print"/>
                          <a:stretch>
                            <a:fillRect/>
                          </a:stretch>
                        </pic:blipFill>
                        <pic:spPr>
                          <a:xfrm>
                            <a:off x="0" y="0"/>
                            <a:ext cx="3068496" cy="2093880"/>
                          </a:xfrm>
                          <a:prstGeom prst="rect">
                            <a:avLst/>
                          </a:prstGeom>
                        </pic:spPr>
                      </pic:pic>
                    </a:graphicData>
                  </a:graphic>
                </wp:inline>
              </w:drawing>
            </w:r>
          </w:p>
        </w:tc>
        <w:tc>
          <w:tcPr>
            <w:tcW w:w="1314" w:type="dxa"/>
            <w:vAlign w:val="center"/>
          </w:tcPr>
          <w:p w14:paraId="43DD3397">
            <w:pPr>
              <w:pStyle w:val="13"/>
              <w:rPr>
                <w:rFonts w:hint="eastAsia"/>
                <w:highlight w:val="none"/>
                <w:lang w:val="zh-CN"/>
              </w:rPr>
            </w:pPr>
            <w:r>
              <w:rPr>
                <w:highlight w:val="none"/>
                <w:lang w:val="zh-CN"/>
              </w:rPr>
              <w:t>施工区域的围合措施</w:t>
            </w:r>
          </w:p>
        </w:tc>
      </w:tr>
      <w:tr w14:paraId="5DF09B5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687" w:hRule="atLeast"/>
          <w:jc w:val="center"/>
        </w:trPr>
        <w:tc>
          <w:tcPr>
            <w:tcW w:w="622" w:type="dxa"/>
            <w:vMerge w:val="continue"/>
            <w:tcBorders>
              <w:top w:val="nil"/>
            </w:tcBorders>
            <w:vAlign w:val="center"/>
          </w:tcPr>
          <w:p w14:paraId="620FFD97">
            <w:pPr>
              <w:pStyle w:val="13"/>
              <w:rPr>
                <w:rFonts w:hint="eastAsia"/>
                <w:highlight w:val="none"/>
                <w:lang w:val="zh-CN"/>
              </w:rPr>
            </w:pPr>
          </w:p>
        </w:tc>
        <w:tc>
          <w:tcPr>
            <w:tcW w:w="1434" w:type="dxa"/>
            <w:gridSpan w:val="2"/>
            <w:vMerge w:val="continue"/>
            <w:tcBorders>
              <w:top w:val="nil"/>
            </w:tcBorders>
            <w:vAlign w:val="center"/>
          </w:tcPr>
          <w:p w14:paraId="1A806E7D">
            <w:pPr>
              <w:pStyle w:val="13"/>
              <w:rPr>
                <w:rFonts w:hint="eastAsia"/>
                <w:highlight w:val="none"/>
                <w:lang w:val="zh-CN"/>
              </w:rPr>
            </w:pPr>
          </w:p>
        </w:tc>
        <w:tc>
          <w:tcPr>
            <w:tcW w:w="2792" w:type="dxa"/>
            <w:vAlign w:val="center"/>
          </w:tcPr>
          <w:p w14:paraId="4C1B62B6">
            <w:pPr>
              <w:pStyle w:val="13"/>
              <w:rPr>
                <w:rFonts w:hint="eastAsia"/>
                <w:highlight w:val="none"/>
                <w:lang w:val="zh-CN"/>
              </w:rPr>
            </w:pPr>
            <w:r>
              <w:rPr>
                <w:highlight w:val="none"/>
                <w:lang w:val="zh-CN"/>
              </w:rPr>
              <w:t>铺装过程中，施工人员应做到随铺随用海绵干布等</w:t>
            </w:r>
            <w:r>
              <w:rPr>
                <w:rFonts w:hint="eastAsia"/>
                <w:highlight w:val="none"/>
              </w:rPr>
              <w:t>擦</w:t>
            </w:r>
            <w:r>
              <w:rPr>
                <w:highlight w:val="none"/>
                <w:lang w:val="zh-CN"/>
              </w:rPr>
              <w:t>净花岗石面上的水泥浆痕迹。擦拭完成后，面层铺盖一层塑料薄膜，减少砂浆在硬化过程中的水分蒸发，增强石板与砂浆的粘结牢度，保证地面的铺设质量。</w:t>
            </w:r>
          </w:p>
        </w:tc>
        <w:tc>
          <w:tcPr>
            <w:tcW w:w="6922" w:type="dxa"/>
            <w:vAlign w:val="center"/>
          </w:tcPr>
          <w:p w14:paraId="51A6CDE3">
            <w:pPr>
              <w:pStyle w:val="13"/>
              <w:rPr>
                <w:rFonts w:hint="eastAsia"/>
                <w:highlight w:val="none"/>
                <w:lang w:val="zh-CN"/>
              </w:rPr>
            </w:pPr>
          </w:p>
          <w:p w14:paraId="07355B47">
            <w:pPr>
              <w:pStyle w:val="13"/>
              <w:rPr>
                <w:rFonts w:hint="eastAsia"/>
                <w:highlight w:val="none"/>
                <w:lang w:val="zh-CN"/>
              </w:rPr>
            </w:pPr>
            <w:r>
              <w:rPr>
                <w:highlight w:val="none"/>
              </w:rPr>
              <w:drawing>
                <wp:inline distT="0" distB="0" distL="0" distR="0">
                  <wp:extent cx="4568825" cy="1893570"/>
                  <wp:effectExtent l="0" t="0" r="3175" b="1905"/>
                  <wp:docPr id="159"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83.jpeg"/>
                          <pic:cNvPicPr>
                            <a:picLocks noChangeAspect="1"/>
                          </pic:cNvPicPr>
                        </pic:nvPicPr>
                        <pic:blipFill>
                          <a:blip r:embed="rId92" cstate="print"/>
                          <a:stretch>
                            <a:fillRect/>
                          </a:stretch>
                        </pic:blipFill>
                        <pic:spPr>
                          <a:xfrm>
                            <a:off x="0" y="0"/>
                            <a:ext cx="4569424" cy="1894046"/>
                          </a:xfrm>
                          <a:prstGeom prst="rect">
                            <a:avLst/>
                          </a:prstGeom>
                        </pic:spPr>
                      </pic:pic>
                    </a:graphicData>
                  </a:graphic>
                </wp:inline>
              </w:drawing>
            </w:r>
          </w:p>
        </w:tc>
        <w:tc>
          <w:tcPr>
            <w:tcW w:w="1314" w:type="dxa"/>
            <w:vAlign w:val="center"/>
          </w:tcPr>
          <w:p w14:paraId="24FB7628">
            <w:pPr>
              <w:pStyle w:val="13"/>
              <w:rPr>
                <w:rFonts w:hint="eastAsia"/>
                <w:highlight w:val="none"/>
                <w:lang w:val="zh-CN"/>
              </w:rPr>
            </w:pPr>
            <w:r>
              <w:rPr>
                <w:highlight w:val="none"/>
                <w:lang w:val="zh-CN"/>
              </w:rPr>
              <w:t>铺薄膜保护</w:t>
            </w:r>
          </w:p>
        </w:tc>
      </w:tr>
      <w:tr w14:paraId="645B9A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32" w:hRule="atLeast"/>
          <w:jc w:val="center"/>
        </w:trPr>
        <w:tc>
          <w:tcPr>
            <w:tcW w:w="622" w:type="dxa"/>
            <w:vMerge w:val="restart"/>
            <w:vAlign w:val="center"/>
          </w:tcPr>
          <w:p w14:paraId="72837ADE">
            <w:pPr>
              <w:pStyle w:val="13"/>
              <w:rPr>
                <w:rFonts w:hint="eastAsia"/>
                <w:highlight w:val="none"/>
                <w:lang w:val="zh-CN"/>
              </w:rPr>
            </w:pPr>
            <w:r>
              <w:rPr>
                <w:highlight w:val="none"/>
                <w:lang w:val="zh-CN"/>
              </w:rPr>
              <w:t>5</w:t>
            </w:r>
          </w:p>
        </w:tc>
        <w:tc>
          <w:tcPr>
            <w:tcW w:w="1434" w:type="dxa"/>
            <w:gridSpan w:val="2"/>
            <w:vMerge w:val="restart"/>
            <w:vAlign w:val="center"/>
          </w:tcPr>
          <w:p w14:paraId="390D8DEF">
            <w:pPr>
              <w:pStyle w:val="13"/>
              <w:rPr>
                <w:rFonts w:hint="eastAsia"/>
                <w:highlight w:val="none"/>
                <w:lang w:val="zh-CN"/>
              </w:rPr>
            </w:pPr>
            <w:r>
              <w:rPr>
                <w:highlight w:val="none"/>
                <w:lang w:val="zh-CN"/>
              </w:rPr>
              <w:t>石材铺装完工后的保护</w:t>
            </w:r>
          </w:p>
        </w:tc>
        <w:tc>
          <w:tcPr>
            <w:tcW w:w="2792" w:type="dxa"/>
            <w:vMerge w:val="restart"/>
            <w:vAlign w:val="center"/>
          </w:tcPr>
          <w:p w14:paraId="580AEA41">
            <w:pPr>
              <w:pStyle w:val="13"/>
              <w:rPr>
                <w:rFonts w:hint="eastAsia"/>
                <w:highlight w:val="none"/>
                <w:lang w:val="zh-CN"/>
              </w:rPr>
            </w:pPr>
            <w:r>
              <w:rPr>
                <w:highlight w:val="none"/>
                <w:lang w:val="zh-CN"/>
              </w:rPr>
              <w:t>石材铺装完工后，首先铺塑料薄膜，其次铺设防水</w:t>
            </w:r>
            <w:r>
              <w:rPr>
                <w:highlight w:val="none"/>
              </w:rPr>
              <w:t>防火布</w:t>
            </w:r>
            <w:r>
              <w:rPr>
                <w:highlight w:val="none"/>
                <w:lang w:val="zh-CN"/>
              </w:rPr>
              <w:t>、无纺布、毡布等，再在上面铺设模板作保护；石材铺装养护期为 3—5 天（上手推车需养护7-10 天）， 养护期内禁止上人上车，在楼盘开放或未交付之前，不得撤除保护措施。</w:t>
            </w:r>
          </w:p>
        </w:tc>
        <w:tc>
          <w:tcPr>
            <w:tcW w:w="6922" w:type="dxa"/>
            <w:vAlign w:val="center"/>
          </w:tcPr>
          <w:p w14:paraId="35C9B70D">
            <w:pPr>
              <w:pStyle w:val="13"/>
              <w:rPr>
                <w:rFonts w:hint="eastAsia"/>
                <w:highlight w:val="none"/>
                <w:lang w:val="zh-CN"/>
              </w:rPr>
            </w:pPr>
          </w:p>
          <w:p w14:paraId="168035BB">
            <w:pPr>
              <w:pStyle w:val="13"/>
              <w:rPr>
                <w:rFonts w:hint="eastAsia"/>
                <w:highlight w:val="none"/>
                <w:lang w:val="zh-CN"/>
              </w:rPr>
            </w:pPr>
            <w:r>
              <w:rPr>
                <w:highlight w:val="none"/>
              </w:rPr>
              <w:drawing>
                <wp:inline distT="0" distB="0" distL="0" distR="0">
                  <wp:extent cx="2343150" cy="1817370"/>
                  <wp:effectExtent l="0" t="0" r="0" b="1905"/>
                  <wp:docPr id="161" name="image84.jpeg" descr="DSC_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84.jpeg" descr="DSC_0059.JPG"/>
                          <pic:cNvPicPr>
                            <a:picLocks noChangeAspect="1"/>
                          </pic:cNvPicPr>
                        </pic:nvPicPr>
                        <pic:blipFill>
                          <a:blip r:embed="rId93" cstate="print"/>
                          <a:stretch>
                            <a:fillRect/>
                          </a:stretch>
                        </pic:blipFill>
                        <pic:spPr>
                          <a:xfrm>
                            <a:off x="0" y="0"/>
                            <a:ext cx="2343611" cy="1817370"/>
                          </a:xfrm>
                          <a:prstGeom prst="rect">
                            <a:avLst/>
                          </a:prstGeom>
                        </pic:spPr>
                      </pic:pic>
                    </a:graphicData>
                  </a:graphic>
                </wp:inline>
              </w:drawing>
            </w:r>
            <w:r>
              <w:rPr>
                <w:highlight w:val="none"/>
              </w:rPr>
              <w:drawing>
                <wp:inline distT="0" distB="0" distL="0" distR="0">
                  <wp:extent cx="2266315" cy="1808480"/>
                  <wp:effectExtent l="0" t="0" r="635" b="1270"/>
                  <wp:docPr id="163" name="image85.jpeg" descr="DSC_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85.jpeg" descr="DSC_0055.JPG"/>
                          <pic:cNvPicPr>
                            <a:picLocks noChangeAspect="1"/>
                          </pic:cNvPicPr>
                        </pic:nvPicPr>
                        <pic:blipFill>
                          <a:blip r:embed="rId94" cstate="print"/>
                          <a:stretch>
                            <a:fillRect/>
                          </a:stretch>
                        </pic:blipFill>
                        <pic:spPr>
                          <a:xfrm>
                            <a:off x="0" y="0"/>
                            <a:ext cx="2266352" cy="1808797"/>
                          </a:xfrm>
                          <a:prstGeom prst="rect">
                            <a:avLst/>
                          </a:prstGeom>
                        </pic:spPr>
                      </pic:pic>
                    </a:graphicData>
                  </a:graphic>
                </wp:inline>
              </w:drawing>
            </w:r>
          </w:p>
        </w:tc>
        <w:tc>
          <w:tcPr>
            <w:tcW w:w="1314" w:type="dxa"/>
            <w:vAlign w:val="center"/>
          </w:tcPr>
          <w:p w14:paraId="4F9A0FC3">
            <w:pPr>
              <w:pStyle w:val="13"/>
              <w:rPr>
                <w:rFonts w:hint="eastAsia"/>
                <w:highlight w:val="none"/>
                <w:lang w:val="zh-CN"/>
              </w:rPr>
            </w:pPr>
            <w:r>
              <w:rPr>
                <w:highlight w:val="none"/>
                <w:lang w:val="zh-CN"/>
              </w:rPr>
              <w:t>刚完工时薄膜加毡布保护</w:t>
            </w:r>
          </w:p>
        </w:tc>
      </w:tr>
      <w:tr w14:paraId="4E16ACD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918" w:hRule="atLeast"/>
          <w:jc w:val="center"/>
        </w:trPr>
        <w:tc>
          <w:tcPr>
            <w:tcW w:w="622" w:type="dxa"/>
            <w:vMerge w:val="continue"/>
            <w:tcBorders>
              <w:top w:val="nil"/>
            </w:tcBorders>
            <w:vAlign w:val="center"/>
          </w:tcPr>
          <w:p w14:paraId="29549128">
            <w:pPr>
              <w:pStyle w:val="13"/>
              <w:rPr>
                <w:rFonts w:hint="eastAsia"/>
                <w:highlight w:val="none"/>
                <w:lang w:val="zh-CN"/>
              </w:rPr>
            </w:pPr>
          </w:p>
        </w:tc>
        <w:tc>
          <w:tcPr>
            <w:tcW w:w="1434" w:type="dxa"/>
            <w:gridSpan w:val="2"/>
            <w:vMerge w:val="continue"/>
            <w:tcBorders>
              <w:top w:val="nil"/>
            </w:tcBorders>
            <w:vAlign w:val="center"/>
          </w:tcPr>
          <w:p w14:paraId="2C517171">
            <w:pPr>
              <w:pStyle w:val="13"/>
              <w:rPr>
                <w:rFonts w:hint="eastAsia"/>
                <w:highlight w:val="none"/>
                <w:lang w:val="zh-CN"/>
              </w:rPr>
            </w:pPr>
          </w:p>
        </w:tc>
        <w:tc>
          <w:tcPr>
            <w:tcW w:w="2792" w:type="dxa"/>
            <w:vMerge w:val="continue"/>
            <w:tcBorders>
              <w:top w:val="nil"/>
            </w:tcBorders>
            <w:vAlign w:val="center"/>
          </w:tcPr>
          <w:p w14:paraId="4B79C195">
            <w:pPr>
              <w:pStyle w:val="13"/>
              <w:rPr>
                <w:rFonts w:hint="eastAsia"/>
                <w:highlight w:val="none"/>
                <w:lang w:val="zh-CN"/>
              </w:rPr>
            </w:pPr>
          </w:p>
        </w:tc>
        <w:tc>
          <w:tcPr>
            <w:tcW w:w="6922" w:type="dxa"/>
            <w:vAlign w:val="center"/>
          </w:tcPr>
          <w:p w14:paraId="1904608D">
            <w:pPr>
              <w:pStyle w:val="13"/>
              <w:rPr>
                <w:rFonts w:hint="eastAsia"/>
                <w:highlight w:val="none"/>
                <w:lang w:val="zh-CN"/>
              </w:rPr>
            </w:pPr>
          </w:p>
          <w:p w14:paraId="57F8B885">
            <w:pPr>
              <w:pStyle w:val="13"/>
              <w:rPr>
                <w:rFonts w:hint="eastAsia"/>
                <w:highlight w:val="none"/>
                <w:lang w:val="zh-CN"/>
              </w:rPr>
            </w:pPr>
            <w:r>
              <w:rPr>
                <w:highlight w:val="none"/>
              </w:rPr>
              <w:drawing>
                <wp:inline distT="0" distB="0" distL="0" distR="0">
                  <wp:extent cx="2307590" cy="1614805"/>
                  <wp:effectExtent l="0" t="0" r="6985" b="4445"/>
                  <wp:docPr id="165"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86.jpeg"/>
                          <pic:cNvPicPr>
                            <a:picLocks noChangeAspect="1"/>
                          </pic:cNvPicPr>
                        </pic:nvPicPr>
                        <pic:blipFill>
                          <a:blip r:embed="rId95" cstate="print"/>
                          <a:stretch>
                            <a:fillRect/>
                          </a:stretch>
                        </pic:blipFill>
                        <pic:spPr>
                          <a:xfrm>
                            <a:off x="0" y="0"/>
                            <a:ext cx="2307609" cy="1615249"/>
                          </a:xfrm>
                          <a:prstGeom prst="rect">
                            <a:avLst/>
                          </a:prstGeom>
                        </pic:spPr>
                      </pic:pic>
                    </a:graphicData>
                  </a:graphic>
                </wp:inline>
              </w:drawing>
            </w:r>
            <w:r>
              <w:rPr>
                <w:highlight w:val="none"/>
              </w:rPr>
              <w:drawing>
                <wp:inline distT="0" distB="0" distL="0" distR="0">
                  <wp:extent cx="2242820" cy="1620520"/>
                  <wp:effectExtent l="0" t="0" r="5080" b="8255"/>
                  <wp:docPr id="167"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87.jpeg"/>
                          <pic:cNvPicPr>
                            <a:picLocks noChangeAspect="1"/>
                          </pic:cNvPicPr>
                        </pic:nvPicPr>
                        <pic:blipFill>
                          <a:blip r:embed="rId96" cstate="print"/>
                          <a:stretch>
                            <a:fillRect/>
                          </a:stretch>
                        </pic:blipFill>
                        <pic:spPr>
                          <a:xfrm>
                            <a:off x="0" y="0"/>
                            <a:ext cx="2243192" cy="1620583"/>
                          </a:xfrm>
                          <a:prstGeom prst="rect">
                            <a:avLst/>
                          </a:prstGeom>
                        </pic:spPr>
                      </pic:pic>
                    </a:graphicData>
                  </a:graphic>
                </wp:inline>
              </w:drawing>
            </w:r>
          </w:p>
        </w:tc>
        <w:tc>
          <w:tcPr>
            <w:tcW w:w="1314" w:type="dxa"/>
            <w:vAlign w:val="center"/>
          </w:tcPr>
          <w:p w14:paraId="7BCBA21A">
            <w:pPr>
              <w:pStyle w:val="13"/>
              <w:rPr>
                <w:rFonts w:hint="eastAsia"/>
                <w:highlight w:val="none"/>
                <w:lang w:val="zh-CN"/>
              </w:rPr>
            </w:pPr>
            <w:r>
              <w:rPr>
                <w:highlight w:val="none"/>
                <w:lang w:val="zh-CN"/>
              </w:rPr>
              <w:t>铺装全部完成后的全面保护直到开放</w:t>
            </w:r>
          </w:p>
        </w:tc>
      </w:tr>
      <w:tr w14:paraId="1793945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80" w:hRule="atLeast"/>
          <w:jc w:val="center"/>
        </w:trPr>
        <w:tc>
          <w:tcPr>
            <w:tcW w:w="622" w:type="dxa"/>
            <w:vMerge w:val="restart"/>
            <w:vAlign w:val="center"/>
          </w:tcPr>
          <w:p w14:paraId="56F19570">
            <w:pPr>
              <w:pStyle w:val="13"/>
              <w:rPr>
                <w:rFonts w:hint="eastAsia"/>
                <w:highlight w:val="none"/>
                <w:lang w:val="zh-CN"/>
              </w:rPr>
            </w:pPr>
            <w:r>
              <w:rPr>
                <w:highlight w:val="none"/>
                <w:lang w:val="zh-CN"/>
              </w:rPr>
              <w:t>6</w:t>
            </w:r>
          </w:p>
        </w:tc>
        <w:tc>
          <w:tcPr>
            <w:tcW w:w="1434" w:type="dxa"/>
            <w:gridSpan w:val="2"/>
            <w:vMerge w:val="restart"/>
            <w:vAlign w:val="center"/>
          </w:tcPr>
          <w:p w14:paraId="0CFEC1A8">
            <w:pPr>
              <w:pStyle w:val="13"/>
              <w:rPr>
                <w:rFonts w:hint="eastAsia"/>
                <w:highlight w:val="none"/>
                <w:lang w:val="zh-CN"/>
              </w:rPr>
            </w:pPr>
            <w:r>
              <w:rPr>
                <w:highlight w:val="none"/>
                <w:lang w:val="zh-CN"/>
              </w:rPr>
              <w:t>石材饰面完工后墙面、柱子等的保护</w:t>
            </w:r>
          </w:p>
        </w:tc>
        <w:tc>
          <w:tcPr>
            <w:tcW w:w="2792" w:type="dxa"/>
            <w:vMerge w:val="restart"/>
            <w:vAlign w:val="center"/>
          </w:tcPr>
          <w:p w14:paraId="245806F3">
            <w:pPr>
              <w:pStyle w:val="13"/>
              <w:rPr>
                <w:rFonts w:hint="eastAsia"/>
                <w:highlight w:val="none"/>
                <w:lang w:val="zh-CN"/>
              </w:rPr>
            </w:pPr>
            <w:r>
              <w:rPr>
                <w:highlight w:val="none"/>
                <w:lang w:val="zh-CN"/>
              </w:rPr>
              <w:t>廊架立柱、建筑墙面、树池外饰面等完工后，须对易破损部位的阳角要采取包裹保护，必要时可采取木框围护。</w:t>
            </w:r>
          </w:p>
        </w:tc>
        <w:tc>
          <w:tcPr>
            <w:tcW w:w="6922" w:type="dxa"/>
            <w:vAlign w:val="center"/>
          </w:tcPr>
          <w:p w14:paraId="600F659A">
            <w:pPr>
              <w:pStyle w:val="13"/>
              <w:rPr>
                <w:rFonts w:hint="eastAsia"/>
                <w:highlight w:val="none"/>
                <w:lang w:val="zh-CN"/>
              </w:rPr>
            </w:pPr>
          </w:p>
          <w:p w14:paraId="49B9B02B">
            <w:pPr>
              <w:pStyle w:val="13"/>
              <w:rPr>
                <w:rFonts w:hint="eastAsia"/>
                <w:highlight w:val="none"/>
                <w:lang w:val="zh-CN"/>
              </w:rPr>
            </w:pPr>
            <w:r>
              <w:rPr>
                <w:highlight w:val="none"/>
              </w:rPr>
              <w:drawing>
                <wp:inline distT="0" distB="0" distL="0" distR="0">
                  <wp:extent cx="3025140" cy="2105025"/>
                  <wp:effectExtent l="0" t="0" r="3810" b="0"/>
                  <wp:docPr id="169" name="image88.jpeg" descr="E:\钱\图片\新湖香格里拉\IMG_5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88.jpeg" descr="E:\钱\图片\新湖香格里拉\IMG_5427.JPG"/>
                          <pic:cNvPicPr>
                            <a:picLocks noChangeAspect="1"/>
                          </pic:cNvPicPr>
                        </pic:nvPicPr>
                        <pic:blipFill>
                          <a:blip r:embed="rId97" cstate="print"/>
                          <a:stretch>
                            <a:fillRect/>
                          </a:stretch>
                        </pic:blipFill>
                        <pic:spPr>
                          <a:xfrm>
                            <a:off x="0" y="0"/>
                            <a:ext cx="3025287" cy="2105405"/>
                          </a:xfrm>
                          <a:prstGeom prst="rect">
                            <a:avLst/>
                          </a:prstGeom>
                        </pic:spPr>
                      </pic:pic>
                    </a:graphicData>
                  </a:graphic>
                </wp:inline>
              </w:drawing>
            </w:r>
          </w:p>
        </w:tc>
        <w:tc>
          <w:tcPr>
            <w:tcW w:w="1314" w:type="dxa"/>
            <w:vAlign w:val="center"/>
          </w:tcPr>
          <w:p w14:paraId="73A838AF">
            <w:pPr>
              <w:pStyle w:val="13"/>
              <w:rPr>
                <w:rFonts w:hint="eastAsia"/>
                <w:highlight w:val="none"/>
                <w:lang w:val="zh-CN"/>
              </w:rPr>
            </w:pPr>
            <w:r>
              <w:rPr>
                <w:highlight w:val="none"/>
                <w:lang w:val="zh-CN"/>
              </w:rPr>
              <w:t>柱子的保护措施</w:t>
            </w:r>
          </w:p>
        </w:tc>
      </w:tr>
      <w:tr w14:paraId="653E170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95" w:hRule="atLeast"/>
          <w:jc w:val="center"/>
        </w:trPr>
        <w:tc>
          <w:tcPr>
            <w:tcW w:w="622" w:type="dxa"/>
            <w:vMerge w:val="continue"/>
            <w:tcBorders>
              <w:top w:val="nil"/>
            </w:tcBorders>
            <w:vAlign w:val="center"/>
          </w:tcPr>
          <w:p w14:paraId="13AE0CA5">
            <w:pPr>
              <w:pStyle w:val="13"/>
              <w:rPr>
                <w:rFonts w:hint="eastAsia"/>
                <w:highlight w:val="none"/>
                <w:lang w:val="zh-CN"/>
              </w:rPr>
            </w:pPr>
          </w:p>
        </w:tc>
        <w:tc>
          <w:tcPr>
            <w:tcW w:w="1434" w:type="dxa"/>
            <w:gridSpan w:val="2"/>
            <w:vMerge w:val="continue"/>
            <w:tcBorders>
              <w:top w:val="nil"/>
            </w:tcBorders>
            <w:vAlign w:val="center"/>
          </w:tcPr>
          <w:p w14:paraId="1727DD47">
            <w:pPr>
              <w:pStyle w:val="13"/>
              <w:rPr>
                <w:rFonts w:hint="eastAsia"/>
                <w:highlight w:val="none"/>
                <w:lang w:val="zh-CN"/>
              </w:rPr>
            </w:pPr>
          </w:p>
        </w:tc>
        <w:tc>
          <w:tcPr>
            <w:tcW w:w="2792" w:type="dxa"/>
            <w:vMerge w:val="continue"/>
            <w:tcBorders>
              <w:top w:val="nil"/>
            </w:tcBorders>
            <w:vAlign w:val="center"/>
          </w:tcPr>
          <w:p w14:paraId="6F609D45">
            <w:pPr>
              <w:pStyle w:val="13"/>
              <w:rPr>
                <w:rFonts w:hint="eastAsia"/>
                <w:highlight w:val="none"/>
                <w:lang w:val="zh-CN"/>
              </w:rPr>
            </w:pPr>
          </w:p>
        </w:tc>
        <w:tc>
          <w:tcPr>
            <w:tcW w:w="6922" w:type="dxa"/>
            <w:vAlign w:val="center"/>
          </w:tcPr>
          <w:p w14:paraId="687E4DE9">
            <w:pPr>
              <w:pStyle w:val="13"/>
              <w:rPr>
                <w:rFonts w:hint="eastAsia"/>
                <w:highlight w:val="none"/>
                <w:lang w:val="zh-CN"/>
              </w:rPr>
            </w:pPr>
          </w:p>
          <w:p w14:paraId="507FC892">
            <w:pPr>
              <w:pStyle w:val="13"/>
              <w:rPr>
                <w:rFonts w:hint="eastAsia"/>
                <w:highlight w:val="none"/>
                <w:lang w:val="zh-CN"/>
              </w:rPr>
            </w:pPr>
            <w:r>
              <w:rPr>
                <w:highlight w:val="none"/>
              </w:rPr>
              <w:drawing>
                <wp:inline distT="0" distB="0" distL="0" distR="0">
                  <wp:extent cx="3120390" cy="1860550"/>
                  <wp:effectExtent l="0" t="0" r="3810" b="6350"/>
                  <wp:docPr id="17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89.jpeg"/>
                          <pic:cNvPicPr>
                            <a:picLocks noChangeAspect="1"/>
                          </pic:cNvPicPr>
                        </pic:nvPicPr>
                        <pic:blipFill>
                          <a:blip r:embed="rId98" cstate="print"/>
                          <a:stretch>
                            <a:fillRect/>
                          </a:stretch>
                        </pic:blipFill>
                        <pic:spPr>
                          <a:xfrm>
                            <a:off x="0" y="0"/>
                            <a:ext cx="3120565" cy="1860803"/>
                          </a:xfrm>
                          <a:prstGeom prst="rect">
                            <a:avLst/>
                          </a:prstGeom>
                        </pic:spPr>
                      </pic:pic>
                    </a:graphicData>
                  </a:graphic>
                </wp:inline>
              </w:drawing>
            </w:r>
          </w:p>
        </w:tc>
        <w:tc>
          <w:tcPr>
            <w:tcW w:w="1314" w:type="dxa"/>
            <w:vAlign w:val="center"/>
          </w:tcPr>
          <w:p w14:paraId="513E7C94">
            <w:pPr>
              <w:pStyle w:val="13"/>
              <w:rPr>
                <w:rFonts w:hint="eastAsia"/>
                <w:highlight w:val="none"/>
                <w:lang w:val="zh-CN"/>
              </w:rPr>
            </w:pPr>
            <w:r>
              <w:rPr>
                <w:highlight w:val="none"/>
                <w:lang w:val="zh-CN"/>
              </w:rPr>
              <w:t>施工过程中对交叉部位的成品保护</w:t>
            </w:r>
          </w:p>
        </w:tc>
      </w:tr>
      <w:tr w14:paraId="6D65B09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841" w:hRule="atLeast"/>
          <w:jc w:val="center"/>
        </w:trPr>
        <w:tc>
          <w:tcPr>
            <w:tcW w:w="622" w:type="dxa"/>
            <w:vMerge w:val="continue"/>
            <w:tcBorders>
              <w:top w:val="nil"/>
            </w:tcBorders>
            <w:vAlign w:val="center"/>
          </w:tcPr>
          <w:p w14:paraId="1A072D09">
            <w:pPr>
              <w:pStyle w:val="13"/>
              <w:rPr>
                <w:rFonts w:hint="eastAsia"/>
                <w:highlight w:val="none"/>
                <w:lang w:val="zh-CN"/>
              </w:rPr>
            </w:pPr>
          </w:p>
        </w:tc>
        <w:tc>
          <w:tcPr>
            <w:tcW w:w="1434" w:type="dxa"/>
            <w:gridSpan w:val="2"/>
            <w:vMerge w:val="continue"/>
            <w:tcBorders>
              <w:top w:val="nil"/>
            </w:tcBorders>
            <w:vAlign w:val="center"/>
          </w:tcPr>
          <w:p w14:paraId="2057678C">
            <w:pPr>
              <w:pStyle w:val="13"/>
              <w:rPr>
                <w:rFonts w:hint="eastAsia"/>
                <w:highlight w:val="none"/>
                <w:lang w:val="zh-CN"/>
              </w:rPr>
            </w:pPr>
          </w:p>
        </w:tc>
        <w:tc>
          <w:tcPr>
            <w:tcW w:w="2792" w:type="dxa"/>
            <w:vMerge w:val="continue"/>
            <w:tcBorders>
              <w:top w:val="nil"/>
            </w:tcBorders>
            <w:vAlign w:val="center"/>
          </w:tcPr>
          <w:p w14:paraId="542C1EF4">
            <w:pPr>
              <w:pStyle w:val="13"/>
              <w:rPr>
                <w:rFonts w:hint="eastAsia"/>
                <w:highlight w:val="none"/>
                <w:lang w:val="zh-CN"/>
              </w:rPr>
            </w:pPr>
          </w:p>
        </w:tc>
        <w:tc>
          <w:tcPr>
            <w:tcW w:w="6922" w:type="dxa"/>
            <w:vAlign w:val="center"/>
          </w:tcPr>
          <w:p w14:paraId="3BAC6037">
            <w:pPr>
              <w:pStyle w:val="13"/>
              <w:rPr>
                <w:rFonts w:hint="eastAsia"/>
                <w:highlight w:val="none"/>
                <w:lang w:val="zh-CN"/>
              </w:rPr>
            </w:pPr>
          </w:p>
          <w:p w14:paraId="5EF3F532">
            <w:pPr>
              <w:pStyle w:val="13"/>
              <w:rPr>
                <w:rFonts w:hint="eastAsia"/>
                <w:highlight w:val="none"/>
                <w:lang w:val="zh-CN"/>
              </w:rPr>
            </w:pPr>
            <w:r>
              <w:rPr>
                <w:highlight w:val="none"/>
              </w:rPr>
              <w:drawing>
                <wp:inline distT="0" distB="0" distL="0" distR="0">
                  <wp:extent cx="3180080" cy="2295525"/>
                  <wp:effectExtent l="0" t="0" r="1270" b="0"/>
                  <wp:docPr id="173"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90.jpeg"/>
                          <pic:cNvPicPr>
                            <a:picLocks noChangeAspect="1"/>
                          </pic:cNvPicPr>
                        </pic:nvPicPr>
                        <pic:blipFill>
                          <a:blip r:embed="rId99" cstate="print"/>
                          <a:stretch>
                            <a:fillRect/>
                          </a:stretch>
                        </pic:blipFill>
                        <pic:spPr>
                          <a:xfrm>
                            <a:off x="0" y="0"/>
                            <a:ext cx="3180681" cy="2295715"/>
                          </a:xfrm>
                          <a:prstGeom prst="rect">
                            <a:avLst/>
                          </a:prstGeom>
                        </pic:spPr>
                      </pic:pic>
                    </a:graphicData>
                  </a:graphic>
                </wp:inline>
              </w:drawing>
            </w:r>
          </w:p>
        </w:tc>
        <w:tc>
          <w:tcPr>
            <w:tcW w:w="1314" w:type="dxa"/>
            <w:vAlign w:val="center"/>
          </w:tcPr>
          <w:p w14:paraId="5012697D">
            <w:pPr>
              <w:pStyle w:val="13"/>
              <w:rPr>
                <w:rFonts w:hint="eastAsia"/>
                <w:highlight w:val="none"/>
                <w:lang w:val="zh-CN"/>
              </w:rPr>
            </w:pPr>
            <w:r>
              <w:rPr>
                <w:highlight w:val="none"/>
                <w:lang w:val="zh-CN"/>
              </w:rPr>
              <w:t>挡墙及座凳的护角保护</w:t>
            </w:r>
          </w:p>
        </w:tc>
      </w:tr>
      <w:tr w14:paraId="172F7C0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657" w:hRule="atLeast"/>
          <w:jc w:val="center"/>
        </w:trPr>
        <w:tc>
          <w:tcPr>
            <w:tcW w:w="622" w:type="dxa"/>
            <w:vMerge w:val="continue"/>
            <w:tcBorders>
              <w:top w:val="nil"/>
            </w:tcBorders>
            <w:vAlign w:val="center"/>
          </w:tcPr>
          <w:p w14:paraId="71342B9A">
            <w:pPr>
              <w:pStyle w:val="13"/>
              <w:rPr>
                <w:rFonts w:hint="eastAsia"/>
                <w:highlight w:val="none"/>
                <w:lang w:val="zh-CN"/>
              </w:rPr>
            </w:pPr>
          </w:p>
        </w:tc>
        <w:tc>
          <w:tcPr>
            <w:tcW w:w="1434" w:type="dxa"/>
            <w:gridSpan w:val="2"/>
            <w:vMerge w:val="continue"/>
            <w:tcBorders>
              <w:top w:val="nil"/>
            </w:tcBorders>
            <w:vAlign w:val="center"/>
          </w:tcPr>
          <w:p w14:paraId="7979AD4D">
            <w:pPr>
              <w:pStyle w:val="13"/>
              <w:rPr>
                <w:rFonts w:hint="eastAsia"/>
                <w:highlight w:val="none"/>
                <w:lang w:val="zh-CN"/>
              </w:rPr>
            </w:pPr>
          </w:p>
        </w:tc>
        <w:tc>
          <w:tcPr>
            <w:tcW w:w="2792" w:type="dxa"/>
            <w:vMerge w:val="continue"/>
            <w:tcBorders>
              <w:top w:val="nil"/>
            </w:tcBorders>
            <w:vAlign w:val="center"/>
          </w:tcPr>
          <w:p w14:paraId="4BFA54A3">
            <w:pPr>
              <w:pStyle w:val="13"/>
              <w:rPr>
                <w:rFonts w:hint="eastAsia"/>
                <w:highlight w:val="none"/>
                <w:lang w:val="zh-CN"/>
              </w:rPr>
            </w:pPr>
          </w:p>
        </w:tc>
        <w:tc>
          <w:tcPr>
            <w:tcW w:w="6922" w:type="dxa"/>
            <w:vAlign w:val="center"/>
          </w:tcPr>
          <w:p w14:paraId="5D8DE02F">
            <w:pPr>
              <w:pStyle w:val="13"/>
              <w:rPr>
                <w:rFonts w:hint="eastAsia"/>
                <w:highlight w:val="none"/>
                <w:lang w:val="zh-CN"/>
              </w:rPr>
            </w:pPr>
          </w:p>
          <w:p w14:paraId="26DE454A">
            <w:pPr>
              <w:pStyle w:val="13"/>
              <w:rPr>
                <w:rFonts w:hint="eastAsia"/>
                <w:highlight w:val="none"/>
                <w:lang w:val="zh-CN"/>
              </w:rPr>
            </w:pPr>
            <w:r>
              <w:rPr>
                <w:highlight w:val="none"/>
              </w:rPr>
              <w:drawing>
                <wp:inline distT="0" distB="0" distL="0" distR="0">
                  <wp:extent cx="3202940" cy="2132330"/>
                  <wp:effectExtent l="0" t="0" r="6985" b="1270"/>
                  <wp:docPr id="175"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91.jpeg"/>
                          <pic:cNvPicPr>
                            <a:picLocks noChangeAspect="1"/>
                          </pic:cNvPicPr>
                        </pic:nvPicPr>
                        <pic:blipFill>
                          <a:blip r:embed="rId100" cstate="print"/>
                          <a:stretch>
                            <a:fillRect/>
                          </a:stretch>
                        </pic:blipFill>
                        <pic:spPr>
                          <a:xfrm>
                            <a:off x="0" y="0"/>
                            <a:ext cx="3203274" cy="2132457"/>
                          </a:xfrm>
                          <a:prstGeom prst="rect">
                            <a:avLst/>
                          </a:prstGeom>
                        </pic:spPr>
                      </pic:pic>
                    </a:graphicData>
                  </a:graphic>
                </wp:inline>
              </w:drawing>
            </w:r>
          </w:p>
        </w:tc>
        <w:tc>
          <w:tcPr>
            <w:tcW w:w="1314" w:type="dxa"/>
            <w:vAlign w:val="center"/>
          </w:tcPr>
          <w:p w14:paraId="3814F609">
            <w:pPr>
              <w:pStyle w:val="13"/>
              <w:rPr>
                <w:rFonts w:hint="eastAsia"/>
                <w:highlight w:val="none"/>
                <w:lang w:val="zh-CN"/>
              </w:rPr>
            </w:pPr>
            <w:r>
              <w:rPr>
                <w:highlight w:val="none"/>
                <w:lang w:val="zh-CN"/>
              </w:rPr>
              <w:t>树池压顶的护角保护</w:t>
            </w:r>
          </w:p>
        </w:tc>
      </w:tr>
      <w:tr w14:paraId="17B6398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979" w:hRule="atLeast"/>
          <w:jc w:val="center"/>
        </w:trPr>
        <w:tc>
          <w:tcPr>
            <w:tcW w:w="622" w:type="dxa"/>
            <w:vMerge w:val="restart"/>
            <w:vAlign w:val="center"/>
          </w:tcPr>
          <w:p w14:paraId="13B6F530">
            <w:pPr>
              <w:pStyle w:val="13"/>
              <w:rPr>
                <w:rFonts w:hint="eastAsia"/>
                <w:highlight w:val="none"/>
                <w:lang w:val="zh-CN"/>
              </w:rPr>
            </w:pPr>
            <w:r>
              <w:rPr>
                <w:highlight w:val="none"/>
                <w:lang w:val="zh-CN"/>
              </w:rPr>
              <w:t>7</w:t>
            </w:r>
          </w:p>
        </w:tc>
        <w:tc>
          <w:tcPr>
            <w:tcW w:w="1434" w:type="dxa"/>
            <w:gridSpan w:val="2"/>
            <w:vMerge w:val="restart"/>
            <w:vAlign w:val="center"/>
          </w:tcPr>
          <w:p w14:paraId="6CE8EC94">
            <w:pPr>
              <w:pStyle w:val="13"/>
              <w:rPr>
                <w:rFonts w:hint="eastAsia"/>
                <w:highlight w:val="none"/>
                <w:lang w:val="zh-CN"/>
              </w:rPr>
            </w:pPr>
            <w:r>
              <w:rPr>
                <w:highlight w:val="none"/>
                <w:lang w:val="zh-CN"/>
              </w:rPr>
              <w:t>其他工种施工时对铺装的保护</w:t>
            </w:r>
          </w:p>
        </w:tc>
        <w:tc>
          <w:tcPr>
            <w:tcW w:w="2792" w:type="dxa"/>
            <w:vAlign w:val="center"/>
          </w:tcPr>
          <w:p w14:paraId="3EC8E82C">
            <w:pPr>
              <w:pStyle w:val="13"/>
              <w:rPr>
                <w:rFonts w:hint="eastAsia"/>
                <w:highlight w:val="none"/>
                <w:lang w:val="zh-CN"/>
              </w:rPr>
            </w:pPr>
            <w:r>
              <w:rPr>
                <w:highlight w:val="none"/>
                <w:lang w:val="zh-CN"/>
              </w:rPr>
              <w:t>沥青浇筑过程中必须对侧平石作复盖保护，防止压碎或机油染污</w:t>
            </w:r>
          </w:p>
        </w:tc>
        <w:tc>
          <w:tcPr>
            <w:tcW w:w="6922" w:type="dxa"/>
            <w:vAlign w:val="center"/>
          </w:tcPr>
          <w:p w14:paraId="3C7FA3F2">
            <w:pPr>
              <w:pStyle w:val="13"/>
              <w:rPr>
                <w:rFonts w:hint="eastAsia"/>
                <w:highlight w:val="none"/>
                <w:lang w:val="zh-CN"/>
              </w:rPr>
            </w:pPr>
          </w:p>
          <w:p w14:paraId="07C14B17">
            <w:pPr>
              <w:pStyle w:val="13"/>
              <w:rPr>
                <w:rFonts w:hint="eastAsia"/>
                <w:highlight w:val="none"/>
                <w:lang w:val="zh-CN"/>
              </w:rPr>
            </w:pPr>
            <w:r>
              <w:rPr>
                <w:highlight w:val="none"/>
              </w:rPr>
              <w:drawing>
                <wp:inline distT="0" distB="0" distL="0" distR="0">
                  <wp:extent cx="3408045" cy="2138680"/>
                  <wp:effectExtent l="0" t="0" r="1905" b="4445"/>
                  <wp:docPr id="177"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92.jpeg"/>
                          <pic:cNvPicPr>
                            <a:picLocks noChangeAspect="1"/>
                          </pic:cNvPicPr>
                        </pic:nvPicPr>
                        <pic:blipFill>
                          <a:blip r:embed="rId101" cstate="print"/>
                          <a:stretch>
                            <a:fillRect/>
                          </a:stretch>
                        </pic:blipFill>
                        <pic:spPr>
                          <a:xfrm>
                            <a:off x="0" y="0"/>
                            <a:ext cx="3408240" cy="2138743"/>
                          </a:xfrm>
                          <a:prstGeom prst="rect">
                            <a:avLst/>
                          </a:prstGeom>
                        </pic:spPr>
                      </pic:pic>
                    </a:graphicData>
                  </a:graphic>
                </wp:inline>
              </w:drawing>
            </w:r>
          </w:p>
        </w:tc>
        <w:tc>
          <w:tcPr>
            <w:tcW w:w="1314" w:type="dxa"/>
            <w:vAlign w:val="center"/>
          </w:tcPr>
          <w:p w14:paraId="1D6A7278">
            <w:pPr>
              <w:pStyle w:val="13"/>
              <w:rPr>
                <w:rFonts w:hint="eastAsia"/>
                <w:highlight w:val="none"/>
                <w:lang w:val="zh-CN"/>
              </w:rPr>
            </w:pPr>
            <w:r>
              <w:rPr>
                <w:highlight w:val="none"/>
                <w:lang w:val="zh-CN"/>
              </w:rPr>
              <w:t>侧平石保护</w:t>
            </w:r>
          </w:p>
        </w:tc>
      </w:tr>
      <w:tr w14:paraId="616C95C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873" w:hRule="atLeast"/>
          <w:jc w:val="center"/>
        </w:trPr>
        <w:tc>
          <w:tcPr>
            <w:tcW w:w="622" w:type="dxa"/>
            <w:vMerge w:val="continue"/>
            <w:tcBorders>
              <w:top w:val="nil"/>
            </w:tcBorders>
            <w:vAlign w:val="center"/>
          </w:tcPr>
          <w:p w14:paraId="44C94136">
            <w:pPr>
              <w:pStyle w:val="13"/>
              <w:rPr>
                <w:rFonts w:hint="eastAsia"/>
                <w:highlight w:val="none"/>
                <w:lang w:val="zh-CN"/>
              </w:rPr>
            </w:pPr>
          </w:p>
        </w:tc>
        <w:tc>
          <w:tcPr>
            <w:tcW w:w="1434" w:type="dxa"/>
            <w:gridSpan w:val="2"/>
            <w:vMerge w:val="continue"/>
            <w:tcBorders>
              <w:top w:val="nil"/>
            </w:tcBorders>
            <w:vAlign w:val="center"/>
          </w:tcPr>
          <w:p w14:paraId="77D7A0A9">
            <w:pPr>
              <w:pStyle w:val="13"/>
              <w:rPr>
                <w:rFonts w:hint="eastAsia"/>
                <w:highlight w:val="none"/>
                <w:lang w:val="zh-CN"/>
              </w:rPr>
            </w:pPr>
          </w:p>
        </w:tc>
        <w:tc>
          <w:tcPr>
            <w:tcW w:w="2792" w:type="dxa"/>
            <w:vAlign w:val="center"/>
          </w:tcPr>
          <w:p w14:paraId="263B70C0">
            <w:pPr>
              <w:pStyle w:val="13"/>
              <w:rPr>
                <w:rFonts w:hint="eastAsia"/>
                <w:highlight w:val="none"/>
                <w:lang w:val="zh-CN"/>
              </w:rPr>
            </w:pPr>
            <w:r>
              <w:rPr>
                <w:highlight w:val="none"/>
                <w:lang w:val="zh-CN"/>
              </w:rPr>
              <w:t>装修、幕墙等作业施工时必须对地面铺装作全面保护， 防止二次染污，难以清洗</w:t>
            </w:r>
          </w:p>
        </w:tc>
        <w:tc>
          <w:tcPr>
            <w:tcW w:w="6922" w:type="dxa"/>
            <w:vAlign w:val="center"/>
          </w:tcPr>
          <w:p w14:paraId="51614B3E">
            <w:pPr>
              <w:pStyle w:val="13"/>
              <w:rPr>
                <w:rFonts w:hint="eastAsia"/>
                <w:highlight w:val="none"/>
                <w:lang w:val="zh-CN"/>
              </w:rPr>
            </w:pPr>
          </w:p>
          <w:p w14:paraId="1C906D08">
            <w:pPr>
              <w:pStyle w:val="13"/>
              <w:rPr>
                <w:rFonts w:hint="eastAsia"/>
                <w:highlight w:val="none"/>
                <w:lang w:val="zh-CN"/>
              </w:rPr>
            </w:pPr>
            <w:r>
              <w:rPr>
                <w:highlight w:val="none"/>
              </w:rPr>
              <w:drawing>
                <wp:inline distT="0" distB="0" distL="0" distR="0">
                  <wp:extent cx="3242310" cy="2099945"/>
                  <wp:effectExtent l="0" t="0" r="5715" b="5080"/>
                  <wp:docPr id="179"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93.jpeg"/>
                          <pic:cNvPicPr>
                            <a:picLocks noChangeAspect="1"/>
                          </pic:cNvPicPr>
                        </pic:nvPicPr>
                        <pic:blipFill>
                          <a:blip r:embed="rId102" cstate="print"/>
                          <a:stretch>
                            <a:fillRect/>
                          </a:stretch>
                        </pic:blipFill>
                        <pic:spPr>
                          <a:xfrm>
                            <a:off x="0" y="0"/>
                            <a:ext cx="3242403" cy="2100262"/>
                          </a:xfrm>
                          <a:prstGeom prst="rect">
                            <a:avLst/>
                          </a:prstGeom>
                        </pic:spPr>
                      </pic:pic>
                    </a:graphicData>
                  </a:graphic>
                </wp:inline>
              </w:drawing>
            </w:r>
          </w:p>
        </w:tc>
        <w:tc>
          <w:tcPr>
            <w:tcW w:w="1314" w:type="dxa"/>
            <w:vAlign w:val="center"/>
          </w:tcPr>
          <w:p w14:paraId="6BB387C6">
            <w:pPr>
              <w:pStyle w:val="13"/>
              <w:rPr>
                <w:rFonts w:hint="eastAsia"/>
                <w:highlight w:val="none"/>
                <w:lang w:val="zh-CN"/>
              </w:rPr>
            </w:pPr>
            <w:r>
              <w:rPr>
                <w:highlight w:val="none"/>
                <w:lang w:val="zh-CN"/>
              </w:rPr>
              <w:t>架空层装修过程中的地面成品保护</w:t>
            </w:r>
          </w:p>
        </w:tc>
      </w:tr>
      <w:tr w14:paraId="63489AB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872" w:hRule="atLeast"/>
          <w:jc w:val="center"/>
        </w:trPr>
        <w:tc>
          <w:tcPr>
            <w:tcW w:w="622" w:type="dxa"/>
            <w:vAlign w:val="center"/>
          </w:tcPr>
          <w:p w14:paraId="1DBB3EBA">
            <w:pPr>
              <w:pStyle w:val="13"/>
              <w:rPr>
                <w:rFonts w:hint="eastAsia"/>
                <w:highlight w:val="none"/>
                <w:lang w:val="zh-CN"/>
              </w:rPr>
            </w:pPr>
            <w:r>
              <w:rPr>
                <w:highlight w:val="none"/>
                <w:lang w:val="zh-CN"/>
              </w:rPr>
              <w:t>8</w:t>
            </w:r>
          </w:p>
        </w:tc>
        <w:tc>
          <w:tcPr>
            <w:tcW w:w="1434" w:type="dxa"/>
            <w:gridSpan w:val="2"/>
            <w:vAlign w:val="center"/>
          </w:tcPr>
          <w:p w14:paraId="33621EF7">
            <w:pPr>
              <w:pStyle w:val="13"/>
              <w:rPr>
                <w:rFonts w:hint="eastAsia"/>
                <w:highlight w:val="none"/>
                <w:lang w:val="zh-CN"/>
              </w:rPr>
            </w:pPr>
            <w:r>
              <w:rPr>
                <w:highlight w:val="none"/>
                <w:lang w:val="zh-CN"/>
              </w:rPr>
              <w:t>饰面清洗保护</w:t>
            </w:r>
          </w:p>
        </w:tc>
        <w:tc>
          <w:tcPr>
            <w:tcW w:w="2792" w:type="dxa"/>
            <w:vAlign w:val="center"/>
          </w:tcPr>
          <w:p w14:paraId="564AC8D0">
            <w:pPr>
              <w:pStyle w:val="13"/>
              <w:rPr>
                <w:rFonts w:hint="eastAsia"/>
                <w:highlight w:val="none"/>
                <w:lang w:val="zh-CN"/>
              </w:rPr>
            </w:pPr>
            <w:r>
              <w:rPr>
                <w:highlight w:val="none"/>
                <w:lang w:val="zh-CN"/>
              </w:rPr>
              <w:t>所有饰面清洗时禁止用草酸等有腐蚀性的清洗剂，应用中性清洗剂，或直接用高压水枪清洗</w:t>
            </w:r>
          </w:p>
        </w:tc>
        <w:tc>
          <w:tcPr>
            <w:tcW w:w="6922" w:type="dxa"/>
            <w:vAlign w:val="center"/>
          </w:tcPr>
          <w:p w14:paraId="0E06C0A9">
            <w:pPr>
              <w:pStyle w:val="13"/>
              <w:rPr>
                <w:rFonts w:hint="eastAsia"/>
                <w:highlight w:val="none"/>
                <w:lang w:val="zh-CN"/>
              </w:rPr>
            </w:pPr>
          </w:p>
          <w:p w14:paraId="3419D8DB">
            <w:pPr>
              <w:pStyle w:val="13"/>
              <w:rPr>
                <w:rFonts w:hint="eastAsia"/>
                <w:highlight w:val="none"/>
                <w:lang w:val="zh-CN"/>
              </w:rPr>
            </w:pPr>
            <w:r>
              <w:rPr>
                <w:highlight w:val="none"/>
              </w:rPr>
              <w:drawing>
                <wp:inline distT="0" distB="0" distL="0" distR="0">
                  <wp:extent cx="3234055" cy="2235835"/>
                  <wp:effectExtent l="0" t="0" r="4445" b="2540"/>
                  <wp:docPr id="181"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94.jpeg"/>
                          <pic:cNvPicPr>
                            <a:picLocks noChangeAspect="1"/>
                          </pic:cNvPicPr>
                        </pic:nvPicPr>
                        <pic:blipFill>
                          <a:blip r:embed="rId103" cstate="print"/>
                          <a:stretch>
                            <a:fillRect/>
                          </a:stretch>
                        </pic:blipFill>
                        <pic:spPr>
                          <a:xfrm>
                            <a:off x="0" y="0"/>
                            <a:ext cx="3234071" cy="2236374"/>
                          </a:xfrm>
                          <a:prstGeom prst="rect">
                            <a:avLst/>
                          </a:prstGeom>
                        </pic:spPr>
                      </pic:pic>
                    </a:graphicData>
                  </a:graphic>
                </wp:inline>
              </w:drawing>
            </w:r>
          </w:p>
        </w:tc>
        <w:tc>
          <w:tcPr>
            <w:tcW w:w="1314" w:type="dxa"/>
            <w:vAlign w:val="center"/>
          </w:tcPr>
          <w:p w14:paraId="5EA10BA5">
            <w:pPr>
              <w:pStyle w:val="13"/>
              <w:rPr>
                <w:rFonts w:hint="eastAsia"/>
                <w:highlight w:val="none"/>
                <w:lang w:val="zh-CN"/>
              </w:rPr>
            </w:pPr>
            <w:r>
              <w:rPr>
                <w:highlight w:val="none"/>
                <w:lang w:val="zh-CN"/>
              </w:rPr>
              <w:t>用高压水枪清洗</w:t>
            </w:r>
          </w:p>
        </w:tc>
      </w:tr>
      <w:tr w14:paraId="3F8E150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750" w:hRule="atLeast"/>
          <w:jc w:val="center"/>
        </w:trPr>
        <w:tc>
          <w:tcPr>
            <w:tcW w:w="622" w:type="dxa"/>
            <w:vAlign w:val="center"/>
          </w:tcPr>
          <w:p w14:paraId="7364869E">
            <w:pPr>
              <w:pStyle w:val="13"/>
              <w:rPr>
                <w:rFonts w:hint="eastAsia"/>
                <w:highlight w:val="none"/>
                <w:lang w:val="zh-CN"/>
              </w:rPr>
            </w:pPr>
            <w:r>
              <w:rPr>
                <w:highlight w:val="none"/>
                <w:lang w:val="zh-CN"/>
              </w:rPr>
              <w:t>9</w:t>
            </w:r>
          </w:p>
        </w:tc>
        <w:tc>
          <w:tcPr>
            <w:tcW w:w="1434" w:type="dxa"/>
            <w:gridSpan w:val="2"/>
            <w:vAlign w:val="center"/>
          </w:tcPr>
          <w:p w14:paraId="728D4C50">
            <w:pPr>
              <w:pStyle w:val="13"/>
              <w:rPr>
                <w:rFonts w:hint="eastAsia"/>
                <w:highlight w:val="none"/>
                <w:lang w:val="zh-CN"/>
              </w:rPr>
            </w:pPr>
            <w:r>
              <w:rPr>
                <w:highlight w:val="none"/>
                <w:lang w:val="zh-CN"/>
              </w:rPr>
              <w:t>绿化苗木装车</w:t>
            </w:r>
          </w:p>
          <w:p w14:paraId="31B58F13">
            <w:pPr>
              <w:pStyle w:val="13"/>
              <w:rPr>
                <w:rFonts w:hint="eastAsia"/>
                <w:highlight w:val="none"/>
                <w:lang w:val="zh-CN"/>
              </w:rPr>
            </w:pPr>
            <w:r>
              <w:rPr>
                <w:highlight w:val="none"/>
                <w:lang w:val="zh-CN"/>
              </w:rPr>
              <w:t>、运输</w:t>
            </w:r>
          </w:p>
        </w:tc>
        <w:tc>
          <w:tcPr>
            <w:tcW w:w="2792" w:type="dxa"/>
            <w:vAlign w:val="center"/>
          </w:tcPr>
          <w:p w14:paraId="1D3EA90A">
            <w:pPr>
              <w:pStyle w:val="13"/>
              <w:rPr>
                <w:rFonts w:hint="eastAsia"/>
                <w:highlight w:val="none"/>
                <w:lang w:val="zh-CN"/>
              </w:rPr>
            </w:pPr>
            <w:r>
              <w:rPr>
                <w:highlight w:val="none"/>
                <w:lang w:val="zh-CN"/>
              </w:rPr>
              <w:t>运输中必须对树冠及土球进行全面阴网覆盖处理，尽量减少叶面水份蒸发</w:t>
            </w:r>
          </w:p>
        </w:tc>
        <w:tc>
          <w:tcPr>
            <w:tcW w:w="6922" w:type="dxa"/>
            <w:vAlign w:val="center"/>
          </w:tcPr>
          <w:p w14:paraId="07E7B602">
            <w:pPr>
              <w:pStyle w:val="13"/>
              <w:rPr>
                <w:rFonts w:hint="eastAsia"/>
                <w:highlight w:val="none"/>
                <w:lang w:val="zh-CN"/>
              </w:rPr>
            </w:pPr>
          </w:p>
          <w:p w14:paraId="5F3E283E">
            <w:pPr>
              <w:pStyle w:val="13"/>
              <w:rPr>
                <w:rFonts w:hint="eastAsia"/>
                <w:highlight w:val="none"/>
                <w:lang w:val="zh-CN"/>
              </w:rPr>
            </w:pPr>
            <w:r>
              <w:rPr>
                <w:highlight w:val="none"/>
              </w:rPr>
              <w:drawing>
                <wp:inline distT="0" distB="0" distL="0" distR="0">
                  <wp:extent cx="3210560" cy="2178685"/>
                  <wp:effectExtent l="0" t="0" r="8890" b="2540"/>
                  <wp:docPr id="183"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95.jpeg"/>
                          <pic:cNvPicPr>
                            <a:picLocks noChangeAspect="1"/>
                          </pic:cNvPicPr>
                        </pic:nvPicPr>
                        <pic:blipFill>
                          <a:blip r:embed="rId104" cstate="print"/>
                          <a:stretch>
                            <a:fillRect/>
                          </a:stretch>
                        </pic:blipFill>
                        <pic:spPr>
                          <a:xfrm>
                            <a:off x="0" y="0"/>
                            <a:ext cx="3211154" cy="2178939"/>
                          </a:xfrm>
                          <a:prstGeom prst="rect">
                            <a:avLst/>
                          </a:prstGeom>
                        </pic:spPr>
                      </pic:pic>
                    </a:graphicData>
                  </a:graphic>
                </wp:inline>
              </w:drawing>
            </w:r>
          </w:p>
        </w:tc>
        <w:tc>
          <w:tcPr>
            <w:tcW w:w="1314" w:type="dxa"/>
            <w:vAlign w:val="center"/>
          </w:tcPr>
          <w:p w14:paraId="6E9AB13B">
            <w:pPr>
              <w:pStyle w:val="13"/>
              <w:rPr>
                <w:rFonts w:hint="eastAsia"/>
                <w:highlight w:val="none"/>
                <w:lang w:val="zh-CN"/>
              </w:rPr>
            </w:pPr>
            <w:r>
              <w:rPr>
                <w:highlight w:val="none"/>
                <w:lang w:val="zh-CN"/>
              </w:rPr>
              <w:t>阴网覆盖</w:t>
            </w:r>
          </w:p>
        </w:tc>
      </w:tr>
      <w:tr w14:paraId="28BFBF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49" w:hRule="atLeast"/>
          <w:jc w:val="center"/>
        </w:trPr>
        <w:tc>
          <w:tcPr>
            <w:tcW w:w="622" w:type="dxa"/>
            <w:vAlign w:val="center"/>
          </w:tcPr>
          <w:p w14:paraId="48CA6DDC">
            <w:pPr>
              <w:pStyle w:val="13"/>
              <w:rPr>
                <w:rFonts w:hint="eastAsia"/>
                <w:highlight w:val="none"/>
                <w:lang w:val="zh-CN"/>
              </w:rPr>
            </w:pPr>
            <w:r>
              <w:rPr>
                <w:highlight w:val="none"/>
                <w:lang w:val="zh-CN"/>
              </w:rPr>
              <w:t>10</w:t>
            </w:r>
          </w:p>
        </w:tc>
        <w:tc>
          <w:tcPr>
            <w:tcW w:w="1434" w:type="dxa"/>
            <w:gridSpan w:val="2"/>
            <w:vAlign w:val="center"/>
          </w:tcPr>
          <w:p w14:paraId="18E57E78">
            <w:pPr>
              <w:pStyle w:val="13"/>
              <w:rPr>
                <w:rFonts w:hint="eastAsia"/>
                <w:highlight w:val="none"/>
                <w:lang w:val="zh-CN"/>
              </w:rPr>
            </w:pPr>
            <w:r>
              <w:rPr>
                <w:highlight w:val="none"/>
                <w:lang w:val="zh-CN"/>
              </w:rPr>
              <w:t>绿化苗木种植时保护</w:t>
            </w:r>
          </w:p>
        </w:tc>
        <w:tc>
          <w:tcPr>
            <w:tcW w:w="2792" w:type="dxa"/>
            <w:vAlign w:val="center"/>
          </w:tcPr>
          <w:p w14:paraId="37318A80">
            <w:pPr>
              <w:pStyle w:val="13"/>
              <w:rPr>
                <w:rFonts w:hint="eastAsia"/>
                <w:highlight w:val="none"/>
                <w:lang w:val="zh-CN"/>
              </w:rPr>
            </w:pPr>
            <w:r>
              <w:rPr>
                <w:highlight w:val="none"/>
                <w:lang w:val="zh-CN"/>
              </w:rPr>
              <w:t>大树吊种时必须用棉被、席草、麻布等材料保护树杆，避免邦带直接接触树杆，拉伤树皮</w:t>
            </w:r>
          </w:p>
        </w:tc>
        <w:tc>
          <w:tcPr>
            <w:tcW w:w="6922" w:type="dxa"/>
            <w:vAlign w:val="center"/>
          </w:tcPr>
          <w:p w14:paraId="029B203A">
            <w:pPr>
              <w:pStyle w:val="13"/>
              <w:rPr>
                <w:rFonts w:hint="eastAsia"/>
                <w:highlight w:val="none"/>
                <w:lang w:val="zh-CN"/>
              </w:rPr>
            </w:pPr>
          </w:p>
          <w:p w14:paraId="14300EBD">
            <w:pPr>
              <w:pStyle w:val="13"/>
              <w:rPr>
                <w:rFonts w:hint="eastAsia"/>
                <w:highlight w:val="none"/>
                <w:lang w:val="zh-CN"/>
              </w:rPr>
            </w:pPr>
            <w:r>
              <w:rPr>
                <w:highlight w:val="none"/>
              </w:rPr>
              <w:drawing>
                <wp:inline distT="0" distB="0" distL="0" distR="0">
                  <wp:extent cx="3140710" cy="2170430"/>
                  <wp:effectExtent l="0" t="0" r="2540" b="1270"/>
                  <wp:docPr id="185" name="image96.jpeg"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96.jpeg" descr="6"/>
                          <pic:cNvPicPr>
                            <a:picLocks noChangeAspect="1"/>
                          </pic:cNvPicPr>
                        </pic:nvPicPr>
                        <pic:blipFill>
                          <a:blip r:embed="rId105" cstate="print"/>
                          <a:stretch>
                            <a:fillRect/>
                          </a:stretch>
                        </pic:blipFill>
                        <pic:spPr>
                          <a:xfrm>
                            <a:off x="0" y="0"/>
                            <a:ext cx="3141247" cy="2170842"/>
                          </a:xfrm>
                          <a:prstGeom prst="rect">
                            <a:avLst/>
                          </a:prstGeom>
                        </pic:spPr>
                      </pic:pic>
                    </a:graphicData>
                  </a:graphic>
                </wp:inline>
              </w:drawing>
            </w:r>
          </w:p>
          <w:p w14:paraId="12B22EF3">
            <w:pPr>
              <w:pStyle w:val="13"/>
              <w:rPr>
                <w:rFonts w:hint="eastAsia"/>
                <w:highlight w:val="none"/>
                <w:lang w:val="zh-CN"/>
              </w:rPr>
            </w:pPr>
          </w:p>
          <w:p w14:paraId="58BFD2ED">
            <w:pPr>
              <w:pStyle w:val="13"/>
              <w:rPr>
                <w:rFonts w:hint="eastAsia"/>
                <w:highlight w:val="none"/>
                <w:lang w:val="zh-CN"/>
              </w:rPr>
            </w:pPr>
            <w:r>
              <w:rPr>
                <w:highlight w:val="none"/>
              </w:rPr>
              <w:drawing>
                <wp:inline distT="0" distB="0" distL="0" distR="0">
                  <wp:extent cx="2767965" cy="2540"/>
                  <wp:effectExtent l="0" t="0" r="0" b="0"/>
                  <wp:docPr id="187"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97.png"/>
                          <pic:cNvPicPr>
                            <a:picLocks noChangeAspect="1"/>
                          </pic:cNvPicPr>
                        </pic:nvPicPr>
                        <pic:blipFill>
                          <a:blip r:embed="rId106" cstate="print"/>
                          <a:stretch>
                            <a:fillRect/>
                          </a:stretch>
                        </pic:blipFill>
                        <pic:spPr>
                          <a:xfrm>
                            <a:off x="0" y="0"/>
                            <a:ext cx="2768203" cy="2952"/>
                          </a:xfrm>
                          <a:prstGeom prst="rect">
                            <a:avLst/>
                          </a:prstGeom>
                        </pic:spPr>
                      </pic:pic>
                    </a:graphicData>
                  </a:graphic>
                </wp:inline>
              </w:drawing>
            </w:r>
          </w:p>
        </w:tc>
        <w:tc>
          <w:tcPr>
            <w:tcW w:w="1314" w:type="dxa"/>
            <w:vAlign w:val="center"/>
          </w:tcPr>
          <w:p w14:paraId="520BC635">
            <w:pPr>
              <w:pStyle w:val="13"/>
              <w:rPr>
                <w:rFonts w:hint="eastAsia"/>
                <w:highlight w:val="none"/>
                <w:lang w:val="zh-CN"/>
              </w:rPr>
            </w:pPr>
            <w:r>
              <w:rPr>
                <w:highlight w:val="none"/>
                <w:lang w:val="zh-CN"/>
              </w:rPr>
              <w:t>树杆保护</w:t>
            </w:r>
          </w:p>
        </w:tc>
      </w:tr>
      <w:tr w14:paraId="78BB52E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34" w:hRule="atLeast"/>
          <w:jc w:val="center"/>
        </w:trPr>
        <w:tc>
          <w:tcPr>
            <w:tcW w:w="622" w:type="dxa"/>
            <w:vAlign w:val="center"/>
          </w:tcPr>
          <w:p w14:paraId="5F26B423">
            <w:pPr>
              <w:pStyle w:val="13"/>
              <w:rPr>
                <w:rFonts w:hint="eastAsia"/>
                <w:highlight w:val="none"/>
                <w:lang w:val="zh-CN"/>
              </w:rPr>
            </w:pPr>
            <w:r>
              <w:rPr>
                <w:highlight w:val="none"/>
                <w:lang w:val="zh-CN"/>
              </w:rPr>
              <w:t>11</w:t>
            </w:r>
          </w:p>
        </w:tc>
        <w:tc>
          <w:tcPr>
            <w:tcW w:w="1434" w:type="dxa"/>
            <w:gridSpan w:val="2"/>
            <w:vAlign w:val="center"/>
          </w:tcPr>
          <w:p w14:paraId="6AD99534">
            <w:pPr>
              <w:pStyle w:val="13"/>
              <w:rPr>
                <w:rFonts w:hint="eastAsia"/>
                <w:highlight w:val="none"/>
                <w:lang w:val="zh-CN"/>
              </w:rPr>
            </w:pPr>
            <w:r>
              <w:rPr>
                <w:highlight w:val="none"/>
                <w:lang w:val="zh-CN"/>
              </w:rPr>
              <w:t>绿化苗木种植后围挡保护</w:t>
            </w:r>
          </w:p>
        </w:tc>
        <w:tc>
          <w:tcPr>
            <w:tcW w:w="2792" w:type="dxa"/>
            <w:vAlign w:val="center"/>
          </w:tcPr>
          <w:p w14:paraId="383DDAB6">
            <w:pPr>
              <w:pStyle w:val="13"/>
              <w:rPr>
                <w:rFonts w:hint="eastAsia"/>
                <w:highlight w:val="none"/>
                <w:lang w:val="zh-CN"/>
              </w:rPr>
            </w:pPr>
            <w:r>
              <w:rPr>
                <w:highlight w:val="none"/>
                <w:lang w:val="zh-CN"/>
              </w:rPr>
              <w:t>灌木、草皮种植后必须加围档保护，材料可以为竹杆、木杆、铁线网等，避免踩踏造成的破坏，保护直到楼盘的开放或交付使用。</w:t>
            </w:r>
          </w:p>
        </w:tc>
        <w:tc>
          <w:tcPr>
            <w:tcW w:w="6922" w:type="dxa"/>
            <w:vAlign w:val="center"/>
          </w:tcPr>
          <w:p w14:paraId="37FC4478">
            <w:pPr>
              <w:pStyle w:val="13"/>
              <w:rPr>
                <w:rFonts w:hint="eastAsia"/>
                <w:highlight w:val="none"/>
                <w:lang w:val="zh-CN"/>
              </w:rPr>
            </w:pPr>
            <w:r>
              <w:rPr>
                <w:highlight w:val="none"/>
              </w:rPr>
              <w:drawing>
                <wp:inline distT="0" distB="0" distL="0" distR="0">
                  <wp:extent cx="2869565" cy="2211070"/>
                  <wp:effectExtent l="0" t="0" r="6985" b="8255"/>
                  <wp:docPr id="189"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98.jpeg"/>
                          <pic:cNvPicPr>
                            <a:picLocks noChangeAspect="1"/>
                          </pic:cNvPicPr>
                        </pic:nvPicPr>
                        <pic:blipFill>
                          <a:blip r:embed="rId107" cstate="print"/>
                          <a:stretch>
                            <a:fillRect/>
                          </a:stretch>
                        </pic:blipFill>
                        <pic:spPr>
                          <a:xfrm>
                            <a:off x="0" y="0"/>
                            <a:ext cx="2869858" cy="2211704"/>
                          </a:xfrm>
                          <a:prstGeom prst="rect">
                            <a:avLst/>
                          </a:prstGeom>
                        </pic:spPr>
                      </pic:pic>
                    </a:graphicData>
                  </a:graphic>
                </wp:inline>
              </w:drawing>
            </w:r>
          </w:p>
        </w:tc>
        <w:tc>
          <w:tcPr>
            <w:tcW w:w="1314" w:type="dxa"/>
            <w:vAlign w:val="center"/>
          </w:tcPr>
          <w:p w14:paraId="63DB8CF4">
            <w:pPr>
              <w:pStyle w:val="13"/>
              <w:rPr>
                <w:rFonts w:hint="eastAsia"/>
                <w:highlight w:val="none"/>
                <w:lang w:val="zh-CN"/>
              </w:rPr>
            </w:pPr>
            <w:r>
              <w:rPr>
                <w:highlight w:val="none"/>
                <w:lang w:val="zh-CN"/>
              </w:rPr>
              <w:t>竹杆围合保护</w:t>
            </w:r>
          </w:p>
        </w:tc>
      </w:tr>
    </w:tbl>
    <w:p w14:paraId="4568D8E3">
      <w:pPr>
        <w:spacing w:before="120" w:beforeLines="50" w:after="120" w:afterLines="50"/>
        <w:ind w:left="480" w:leftChars="200" w:firstLine="480"/>
        <w:rPr>
          <w:rFonts w:hint="eastAsia" w:cs="宋体"/>
          <w:highlight w:val="none"/>
        </w:rPr>
      </w:pPr>
      <w:r>
        <w:rPr>
          <w:rFonts w:hint="eastAsia" w:cs="宋体"/>
          <w:highlight w:val="none"/>
        </w:rPr>
        <w:br w:type="page"/>
      </w:r>
    </w:p>
    <w:p w14:paraId="62555C4C">
      <w:pPr>
        <w:pStyle w:val="5"/>
        <w:rPr>
          <w:rFonts w:hint="eastAsia"/>
          <w:highlight w:val="none"/>
        </w:rPr>
      </w:pPr>
      <w:r>
        <w:rPr>
          <w:rFonts w:hint="eastAsia"/>
          <w:highlight w:val="none"/>
        </w:rPr>
        <w:t xml:space="preserve"> 幕墙、铝合金门窗半成品、成品保护做法</w:t>
      </w:r>
    </w:p>
    <w:tbl>
      <w:tblPr>
        <w:tblStyle w:val="20"/>
        <w:tblW w:w="13340" w:type="dxa"/>
        <w:tblInd w:w="13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30"/>
        <w:gridCol w:w="484"/>
        <w:gridCol w:w="570"/>
        <w:gridCol w:w="2447"/>
        <w:gridCol w:w="4200"/>
        <w:gridCol w:w="4414"/>
        <w:gridCol w:w="795"/>
      </w:tblGrid>
      <w:tr w14:paraId="6BBFFD5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13340" w:type="dxa"/>
            <w:gridSpan w:val="7"/>
            <w:tcBorders>
              <w:top w:val="single" w:color="auto" w:sz="4" w:space="0"/>
              <w:left w:val="single" w:color="auto" w:sz="4" w:space="0"/>
              <w:bottom w:val="single" w:color="auto" w:sz="4" w:space="0"/>
              <w:right w:val="single" w:color="auto" w:sz="4" w:space="0"/>
            </w:tcBorders>
            <w:shd w:val="clear" w:color="auto" w:fill="auto"/>
            <w:vAlign w:val="center"/>
          </w:tcPr>
          <w:p w14:paraId="7FC2B5A8">
            <w:pPr>
              <w:pStyle w:val="13"/>
              <w:rPr>
                <w:rFonts w:hint="eastAsia"/>
                <w:b/>
                <w:bCs/>
                <w:highlight w:val="none"/>
                <w:lang w:val="zh-CN"/>
              </w:rPr>
            </w:pPr>
            <w:bookmarkStart w:id="174" w:name="_Hlk145175625"/>
            <w:r>
              <w:rPr>
                <w:rFonts w:hint="eastAsia"/>
                <w:b/>
                <w:bCs/>
                <w:highlight w:val="none"/>
                <w:lang w:val="zh-CN"/>
              </w:rPr>
              <w:t>幕墙、铝合金门窗半成品、成品保护做法</w:t>
            </w:r>
            <w:bookmarkEnd w:id="174"/>
          </w:p>
        </w:tc>
      </w:tr>
      <w:tr w14:paraId="25B4C59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tcBorders>
              <w:top w:val="single" w:color="auto" w:sz="4" w:space="0"/>
              <w:left w:val="single" w:color="auto" w:sz="4" w:space="0"/>
              <w:bottom w:val="single" w:color="auto" w:sz="4" w:space="0"/>
              <w:right w:val="single" w:color="auto" w:sz="4" w:space="0"/>
            </w:tcBorders>
            <w:shd w:val="clear" w:color="auto" w:fill="auto"/>
            <w:vAlign w:val="center"/>
          </w:tcPr>
          <w:p w14:paraId="3F67EB6C">
            <w:pPr>
              <w:pStyle w:val="13"/>
              <w:rPr>
                <w:rFonts w:hint="eastAsia"/>
                <w:b/>
                <w:bCs/>
                <w:highlight w:val="none"/>
                <w:lang w:val="zh-CN"/>
              </w:rPr>
            </w:pPr>
            <w:r>
              <w:rPr>
                <w:rFonts w:hint="eastAsia"/>
                <w:b/>
                <w:bCs/>
                <w:highlight w:val="none"/>
                <w:lang w:val="zh-CN"/>
              </w:rPr>
              <w:t>序号</w:t>
            </w:r>
          </w:p>
        </w:tc>
        <w:tc>
          <w:tcPr>
            <w:tcW w:w="10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0BF53D9">
            <w:pPr>
              <w:pStyle w:val="13"/>
              <w:rPr>
                <w:rFonts w:hint="eastAsia"/>
                <w:b/>
                <w:bCs/>
                <w:highlight w:val="none"/>
                <w:lang w:val="zh-CN"/>
              </w:rPr>
            </w:pPr>
            <w:r>
              <w:rPr>
                <w:rFonts w:hint="eastAsia"/>
                <w:b/>
                <w:bCs/>
                <w:highlight w:val="none"/>
                <w:lang w:val="zh-CN"/>
              </w:rPr>
              <w:t>保护内容</w:t>
            </w:r>
          </w:p>
        </w:tc>
        <w:tc>
          <w:tcPr>
            <w:tcW w:w="2447" w:type="dxa"/>
            <w:tcBorders>
              <w:top w:val="single" w:color="auto" w:sz="4" w:space="0"/>
              <w:left w:val="single" w:color="auto" w:sz="4" w:space="0"/>
              <w:bottom w:val="single" w:color="auto" w:sz="4" w:space="0"/>
              <w:right w:val="single" w:color="auto" w:sz="4" w:space="0"/>
            </w:tcBorders>
            <w:shd w:val="clear" w:color="auto" w:fill="auto"/>
            <w:vAlign w:val="center"/>
          </w:tcPr>
          <w:p w14:paraId="1700557F">
            <w:pPr>
              <w:pStyle w:val="13"/>
              <w:rPr>
                <w:rFonts w:hint="eastAsia"/>
                <w:b/>
                <w:bCs/>
                <w:highlight w:val="none"/>
                <w:lang w:val="zh-CN"/>
              </w:rPr>
            </w:pPr>
            <w:r>
              <w:rPr>
                <w:rFonts w:hint="eastAsia"/>
                <w:b/>
                <w:bCs/>
                <w:highlight w:val="none"/>
                <w:lang w:val="zh-CN"/>
              </w:rPr>
              <w:t>保护标准</w:t>
            </w:r>
          </w:p>
        </w:tc>
        <w:tc>
          <w:tcPr>
            <w:tcW w:w="861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2DC9C51">
            <w:pPr>
              <w:pStyle w:val="13"/>
              <w:rPr>
                <w:rFonts w:hint="eastAsia"/>
                <w:b/>
                <w:bCs/>
                <w:highlight w:val="none"/>
                <w:lang w:val="zh-CN"/>
              </w:rPr>
            </w:pPr>
            <w:r>
              <w:rPr>
                <w:rFonts w:hint="eastAsia"/>
                <w:b/>
                <w:bCs/>
                <w:highlight w:val="none"/>
                <w:lang w:val="zh-CN"/>
              </w:rPr>
              <w:t>图示</w:t>
            </w:r>
          </w:p>
        </w:tc>
        <w:tc>
          <w:tcPr>
            <w:tcW w:w="795" w:type="dxa"/>
            <w:tcBorders>
              <w:top w:val="single" w:color="auto" w:sz="4" w:space="0"/>
              <w:left w:val="single" w:color="auto" w:sz="4" w:space="0"/>
              <w:bottom w:val="single" w:color="auto" w:sz="4" w:space="0"/>
              <w:right w:val="single" w:color="auto" w:sz="4" w:space="0"/>
            </w:tcBorders>
            <w:shd w:val="clear" w:color="auto" w:fill="auto"/>
            <w:vAlign w:val="center"/>
          </w:tcPr>
          <w:p w14:paraId="64658539">
            <w:pPr>
              <w:pStyle w:val="13"/>
              <w:rPr>
                <w:rFonts w:hint="eastAsia"/>
                <w:b/>
                <w:bCs/>
                <w:highlight w:val="none"/>
                <w:lang w:val="zh-CN"/>
              </w:rPr>
            </w:pPr>
            <w:r>
              <w:rPr>
                <w:rFonts w:hint="eastAsia"/>
                <w:b/>
                <w:bCs/>
                <w:highlight w:val="none"/>
                <w:lang w:val="zh-CN"/>
              </w:rPr>
              <w:t>备注</w:t>
            </w:r>
          </w:p>
        </w:tc>
      </w:tr>
      <w:tr w14:paraId="10FF89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14:paraId="230CC8DC">
            <w:pPr>
              <w:pStyle w:val="13"/>
              <w:rPr>
                <w:rFonts w:hint="eastAsia"/>
                <w:highlight w:val="none"/>
                <w:lang w:val="zh-CN"/>
              </w:rPr>
            </w:pPr>
            <w:r>
              <w:rPr>
                <w:highlight w:val="none"/>
                <w:lang w:val="zh-CN"/>
              </w:rPr>
              <w:t>1</w:t>
            </w:r>
          </w:p>
        </w:tc>
        <w:tc>
          <w:tcPr>
            <w:tcW w:w="484" w:type="dxa"/>
            <w:tcBorders>
              <w:top w:val="single" w:color="auto" w:sz="4" w:space="0"/>
              <w:left w:val="single" w:color="auto" w:sz="4" w:space="0"/>
              <w:bottom w:val="single" w:color="auto" w:sz="4" w:space="0"/>
              <w:right w:val="single" w:color="auto" w:sz="4" w:space="0"/>
            </w:tcBorders>
            <w:vAlign w:val="center"/>
          </w:tcPr>
          <w:p w14:paraId="3C8270B2">
            <w:pPr>
              <w:pStyle w:val="13"/>
              <w:rPr>
                <w:rFonts w:hint="eastAsia"/>
                <w:highlight w:val="none"/>
                <w:lang w:val="zh-CN"/>
              </w:rPr>
            </w:pPr>
            <w:r>
              <w:rPr>
                <w:highlight w:val="none"/>
                <w:lang w:val="zh-CN"/>
              </w:rPr>
              <w:t>工厂包装</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14:paraId="732A2F28">
            <w:pPr>
              <w:pStyle w:val="13"/>
              <w:rPr>
                <w:rFonts w:hint="eastAsia"/>
                <w:highlight w:val="none"/>
                <w:lang w:val="zh-CN"/>
              </w:rPr>
            </w:pPr>
            <w:r>
              <w:rPr>
                <w:highlight w:val="none"/>
                <w:lang w:val="zh-CN"/>
              </w:rPr>
              <w:t>单元板块</w:t>
            </w:r>
          </w:p>
        </w:tc>
        <w:tc>
          <w:tcPr>
            <w:tcW w:w="2447" w:type="dxa"/>
            <w:tcBorders>
              <w:top w:val="single" w:color="auto" w:sz="4" w:space="0"/>
              <w:left w:val="single" w:color="auto" w:sz="4" w:space="0"/>
              <w:bottom w:val="single" w:color="auto" w:sz="4" w:space="0"/>
              <w:right w:val="single" w:color="auto" w:sz="4" w:space="0"/>
            </w:tcBorders>
            <w:vAlign w:val="center"/>
          </w:tcPr>
          <w:p w14:paraId="34601136">
            <w:pPr>
              <w:pStyle w:val="13"/>
              <w:rPr>
                <w:rFonts w:hint="eastAsia"/>
                <w:highlight w:val="none"/>
                <w:lang w:val="zh-CN"/>
              </w:rPr>
            </w:pPr>
            <w:r>
              <w:rPr>
                <w:highlight w:val="none"/>
                <w:lang w:val="zh-CN"/>
              </w:rPr>
              <w:t>单元板块角部由软性塑料泡沫保护，板块整体用塑料薄膜包裹；</w:t>
            </w:r>
          </w:p>
        </w:tc>
        <w:tc>
          <w:tcPr>
            <w:tcW w:w="4200" w:type="dxa"/>
            <w:tcBorders>
              <w:top w:val="single" w:color="auto" w:sz="4" w:space="0"/>
              <w:left w:val="single" w:color="auto" w:sz="4" w:space="0"/>
              <w:bottom w:val="single" w:color="auto" w:sz="4" w:space="0"/>
              <w:right w:val="single" w:color="auto" w:sz="4" w:space="0"/>
            </w:tcBorders>
            <w:vAlign w:val="center"/>
          </w:tcPr>
          <w:p w14:paraId="64810BDF">
            <w:pPr>
              <w:pStyle w:val="13"/>
              <w:rPr>
                <w:rFonts w:hint="eastAsia"/>
                <w:highlight w:val="none"/>
                <w:lang w:val="zh-CN"/>
              </w:rPr>
            </w:pPr>
            <w:r>
              <w:rPr>
                <w:highlight w:val="none"/>
              </w:rPr>
              <w:drawing>
                <wp:inline distT="0" distB="0" distL="0" distR="0">
                  <wp:extent cx="2555875" cy="1986280"/>
                  <wp:effectExtent l="0" t="0" r="6350" b="4445"/>
                  <wp:docPr id="19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99.jpeg"/>
                          <pic:cNvPicPr>
                            <a:picLocks noChangeAspect="1"/>
                          </pic:cNvPicPr>
                        </pic:nvPicPr>
                        <pic:blipFill>
                          <a:blip r:embed="rId108" cstate="print"/>
                          <a:stretch>
                            <a:fillRect/>
                          </a:stretch>
                        </pic:blipFill>
                        <pic:spPr>
                          <a:xfrm>
                            <a:off x="0" y="0"/>
                            <a:ext cx="2584014" cy="2007897"/>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45B16040">
            <w:pPr>
              <w:pStyle w:val="13"/>
              <w:rPr>
                <w:rFonts w:hint="eastAsia"/>
                <w:highlight w:val="none"/>
                <w:lang w:val="zh-CN"/>
              </w:rPr>
            </w:pPr>
          </w:p>
        </w:tc>
        <w:tc>
          <w:tcPr>
            <w:tcW w:w="795" w:type="dxa"/>
            <w:tcBorders>
              <w:top w:val="single" w:color="auto" w:sz="4" w:space="0"/>
              <w:left w:val="single" w:color="auto" w:sz="4" w:space="0"/>
              <w:bottom w:val="single" w:color="auto" w:sz="4" w:space="0"/>
              <w:right w:val="single" w:color="auto" w:sz="4" w:space="0"/>
            </w:tcBorders>
            <w:vAlign w:val="center"/>
          </w:tcPr>
          <w:p w14:paraId="40C642DA">
            <w:pPr>
              <w:pStyle w:val="13"/>
              <w:rPr>
                <w:rFonts w:hint="eastAsia"/>
                <w:highlight w:val="none"/>
                <w:lang w:val="zh-CN"/>
              </w:rPr>
            </w:pPr>
          </w:p>
        </w:tc>
      </w:tr>
      <w:tr w14:paraId="21A00A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364E9BB5">
            <w:pPr>
              <w:pStyle w:val="13"/>
              <w:rPr>
                <w:rFonts w:hint="eastAsia"/>
                <w:highlight w:val="none"/>
                <w:lang w:val="zh-CN"/>
              </w:rPr>
            </w:pPr>
          </w:p>
        </w:tc>
        <w:tc>
          <w:tcPr>
            <w:tcW w:w="484" w:type="dxa"/>
            <w:tcBorders>
              <w:top w:val="single" w:color="auto" w:sz="4" w:space="0"/>
              <w:left w:val="single" w:color="auto" w:sz="4" w:space="0"/>
              <w:bottom w:val="single" w:color="auto" w:sz="4" w:space="0"/>
              <w:right w:val="single" w:color="auto" w:sz="4" w:space="0"/>
            </w:tcBorders>
            <w:vAlign w:val="center"/>
          </w:tcPr>
          <w:p w14:paraId="00B84287">
            <w:pPr>
              <w:pStyle w:val="13"/>
              <w:rPr>
                <w:rFonts w:hint="eastAsia"/>
                <w:highlight w:val="none"/>
                <w:lang w:val="zh-CN"/>
              </w:rPr>
            </w:pPr>
            <w:r>
              <w:rPr>
                <w:highlight w:val="none"/>
                <w:lang w:val="zh-CN"/>
              </w:rPr>
              <w:t>堆放</w:t>
            </w: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37DCEB5E">
            <w:pPr>
              <w:pStyle w:val="13"/>
              <w:rPr>
                <w:rFonts w:hint="eastAsia"/>
                <w:highlight w:val="none"/>
                <w:lang w:val="zh-CN"/>
              </w:rPr>
            </w:pPr>
          </w:p>
        </w:tc>
        <w:tc>
          <w:tcPr>
            <w:tcW w:w="2447" w:type="dxa"/>
            <w:tcBorders>
              <w:top w:val="single" w:color="auto" w:sz="4" w:space="0"/>
              <w:left w:val="single" w:color="auto" w:sz="4" w:space="0"/>
              <w:bottom w:val="single" w:color="auto" w:sz="4" w:space="0"/>
              <w:right w:val="single" w:color="auto" w:sz="4" w:space="0"/>
            </w:tcBorders>
            <w:vAlign w:val="center"/>
          </w:tcPr>
          <w:p w14:paraId="313E4314">
            <w:pPr>
              <w:pStyle w:val="13"/>
              <w:rPr>
                <w:rFonts w:hint="eastAsia"/>
                <w:highlight w:val="none"/>
                <w:lang w:val="zh-CN"/>
              </w:rPr>
            </w:pPr>
          </w:p>
          <w:p w14:paraId="3CA0119C">
            <w:pPr>
              <w:pStyle w:val="13"/>
              <w:rPr>
                <w:rFonts w:hint="eastAsia"/>
                <w:highlight w:val="none"/>
                <w:lang w:val="zh-CN"/>
              </w:rPr>
            </w:pPr>
            <w:r>
              <w:rPr>
                <w:highlight w:val="none"/>
                <w:lang w:val="zh-CN"/>
              </w:rPr>
              <w:t>现场单元板块堆放时不得将板块堆叠压放，各板块应独立放置于支撑架上且不得破坏外表保护材料；</w:t>
            </w:r>
          </w:p>
        </w:tc>
        <w:tc>
          <w:tcPr>
            <w:tcW w:w="4200" w:type="dxa"/>
            <w:tcBorders>
              <w:top w:val="single" w:color="auto" w:sz="4" w:space="0"/>
              <w:left w:val="single" w:color="auto" w:sz="4" w:space="0"/>
              <w:bottom w:val="single" w:color="auto" w:sz="4" w:space="0"/>
              <w:right w:val="single" w:color="auto" w:sz="4" w:space="0"/>
            </w:tcBorders>
            <w:vAlign w:val="center"/>
          </w:tcPr>
          <w:p w14:paraId="63D0621D">
            <w:pPr>
              <w:pStyle w:val="13"/>
              <w:rPr>
                <w:rFonts w:hint="eastAsia"/>
                <w:highlight w:val="none"/>
                <w:lang w:val="zh-CN"/>
              </w:rPr>
            </w:pPr>
            <w:r>
              <w:rPr>
                <w:highlight w:val="none"/>
              </w:rPr>
              <w:drawing>
                <wp:inline distT="0" distB="0" distL="0" distR="0">
                  <wp:extent cx="2405380" cy="1875790"/>
                  <wp:effectExtent l="0" t="0" r="4445" b="635"/>
                  <wp:docPr id="193"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00.jpeg"/>
                          <pic:cNvPicPr>
                            <a:picLocks noChangeAspect="1"/>
                          </pic:cNvPicPr>
                        </pic:nvPicPr>
                        <pic:blipFill>
                          <a:blip r:embed="rId109" cstate="print"/>
                          <a:stretch>
                            <a:fillRect/>
                          </a:stretch>
                        </pic:blipFill>
                        <pic:spPr>
                          <a:xfrm>
                            <a:off x="0" y="0"/>
                            <a:ext cx="2425393" cy="1891356"/>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4C50E793">
            <w:pPr>
              <w:pStyle w:val="13"/>
              <w:rPr>
                <w:rFonts w:hint="eastAsia"/>
                <w:highlight w:val="none"/>
                <w:lang w:val="zh-CN"/>
              </w:rPr>
            </w:pPr>
            <w:r>
              <w:rPr>
                <w:highlight w:val="none"/>
              </w:rPr>
              <w:drawing>
                <wp:inline distT="0" distB="0" distL="0" distR="0">
                  <wp:extent cx="2703195" cy="2065020"/>
                  <wp:effectExtent l="0" t="0" r="1905" b="1905"/>
                  <wp:docPr id="195"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01.jpeg"/>
                          <pic:cNvPicPr>
                            <a:picLocks noChangeAspect="1"/>
                          </pic:cNvPicPr>
                        </pic:nvPicPr>
                        <pic:blipFill>
                          <a:blip r:embed="rId110" cstate="print"/>
                          <a:stretch>
                            <a:fillRect/>
                          </a:stretch>
                        </pic:blipFill>
                        <pic:spPr>
                          <a:xfrm>
                            <a:off x="0" y="0"/>
                            <a:ext cx="2723473" cy="2080558"/>
                          </a:xfrm>
                          <a:prstGeom prst="rect">
                            <a:avLst/>
                          </a:prstGeom>
                        </pic:spPr>
                      </pic:pic>
                    </a:graphicData>
                  </a:graphic>
                </wp:inline>
              </w:drawing>
            </w:r>
          </w:p>
        </w:tc>
        <w:tc>
          <w:tcPr>
            <w:tcW w:w="795" w:type="dxa"/>
            <w:tcBorders>
              <w:top w:val="single" w:color="auto" w:sz="4" w:space="0"/>
              <w:left w:val="single" w:color="auto" w:sz="4" w:space="0"/>
              <w:bottom w:val="single" w:color="auto" w:sz="4" w:space="0"/>
              <w:right w:val="single" w:color="auto" w:sz="4" w:space="0"/>
            </w:tcBorders>
            <w:vAlign w:val="center"/>
          </w:tcPr>
          <w:p w14:paraId="56D0C19A">
            <w:pPr>
              <w:pStyle w:val="13"/>
              <w:rPr>
                <w:rFonts w:hint="eastAsia"/>
                <w:highlight w:val="none"/>
                <w:lang w:val="zh-CN"/>
              </w:rPr>
            </w:pPr>
          </w:p>
        </w:tc>
      </w:tr>
      <w:tr w14:paraId="38E34EA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13C1F315">
            <w:pPr>
              <w:pStyle w:val="13"/>
              <w:rPr>
                <w:rFonts w:hint="eastAsia"/>
                <w:highlight w:val="none"/>
                <w:lang w:val="zh-CN"/>
              </w:rPr>
            </w:pPr>
          </w:p>
        </w:tc>
        <w:tc>
          <w:tcPr>
            <w:tcW w:w="484" w:type="dxa"/>
            <w:tcBorders>
              <w:top w:val="single" w:color="auto" w:sz="4" w:space="0"/>
              <w:left w:val="single" w:color="auto" w:sz="4" w:space="0"/>
              <w:bottom w:val="single" w:color="auto" w:sz="4" w:space="0"/>
              <w:right w:val="single" w:color="auto" w:sz="4" w:space="0"/>
            </w:tcBorders>
            <w:vAlign w:val="center"/>
          </w:tcPr>
          <w:p w14:paraId="12972C05">
            <w:pPr>
              <w:pStyle w:val="13"/>
              <w:rPr>
                <w:rFonts w:hint="eastAsia"/>
                <w:highlight w:val="none"/>
                <w:lang w:val="zh-CN"/>
              </w:rPr>
            </w:pPr>
            <w:r>
              <w:rPr>
                <w:highlight w:val="none"/>
                <w:lang w:val="zh-CN"/>
              </w:rPr>
              <w:t>成品安装</w:t>
            </w: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4C8088EB">
            <w:pPr>
              <w:pStyle w:val="13"/>
              <w:rPr>
                <w:rFonts w:hint="eastAsia"/>
                <w:highlight w:val="none"/>
                <w:lang w:val="zh-CN"/>
              </w:rPr>
            </w:pPr>
          </w:p>
        </w:tc>
        <w:tc>
          <w:tcPr>
            <w:tcW w:w="2447" w:type="dxa"/>
            <w:tcBorders>
              <w:top w:val="single" w:color="auto" w:sz="4" w:space="0"/>
              <w:left w:val="single" w:color="auto" w:sz="4" w:space="0"/>
              <w:bottom w:val="single" w:color="auto" w:sz="4" w:space="0"/>
              <w:right w:val="single" w:color="auto" w:sz="4" w:space="0"/>
            </w:tcBorders>
            <w:vAlign w:val="center"/>
          </w:tcPr>
          <w:p w14:paraId="7A1175AF">
            <w:pPr>
              <w:pStyle w:val="13"/>
              <w:rPr>
                <w:rFonts w:hint="eastAsia"/>
                <w:highlight w:val="none"/>
                <w:lang w:val="zh-CN"/>
              </w:rPr>
            </w:pPr>
            <w:r>
              <w:rPr>
                <w:highlight w:val="none"/>
                <w:lang w:val="zh-CN"/>
              </w:rPr>
              <w:t>单元板块安装完成后，在室内侧安装</w:t>
            </w:r>
          </w:p>
          <w:p w14:paraId="0ADCC45F">
            <w:pPr>
              <w:pStyle w:val="13"/>
              <w:rPr>
                <w:rFonts w:hint="eastAsia"/>
                <w:highlight w:val="none"/>
                <w:lang w:val="zh-CN"/>
              </w:rPr>
            </w:pPr>
            <w:r>
              <w:rPr>
                <w:highlight w:val="none"/>
                <w:lang w:val="zh-CN"/>
              </w:rPr>
              <w:t>保护幕墙的塑料膜；</w:t>
            </w:r>
          </w:p>
        </w:tc>
        <w:tc>
          <w:tcPr>
            <w:tcW w:w="4200" w:type="dxa"/>
            <w:tcBorders>
              <w:top w:val="single" w:color="auto" w:sz="4" w:space="0"/>
              <w:left w:val="single" w:color="auto" w:sz="4" w:space="0"/>
              <w:bottom w:val="single" w:color="auto" w:sz="4" w:space="0"/>
              <w:right w:val="single" w:color="auto" w:sz="4" w:space="0"/>
            </w:tcBorders>
            <w:vAlign w:val="center"/>
          </w:tcPr>
          <w:p w14:paraId="5266257C">
            <w:pPr>
              <w:pStyle w:val="13"/>
              <w:rPr>
                <w:rFonts w:hint="eastAsia"/>
                <w:highlight w:val="none"/>
                <w:lang w:val="zh-CN"/>
              </w:rPr>
            </w:pPr>
          </w:p>
          <w:p w14:paraId="33B8EFFF">
            <w:pPr>
              <w:pStyle w:val="13"/>
              <w:rPr>
                <w:rFonts w:hint="eastAsia"/>
                <w:highlight w:val="none"/>
                <w:lang w:val="zh-CN"/>
              </w:rPr>
            </w:pPr>
            <w:r>
              <w:rPr>
                <w:highlight w:val="none"/>
              </w:rPr>
              <w:drawing>
                <wp:inline distT="0" distB="0" distL="0" distR="0">
                  <wp:extent cx="2454275" cy="2379980"/>
                  <wp:effectExtent l="0" t="0" r="3175" b="1270"/>
                  <wp:docPr id="197"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02.jpeg"/>
                          <pic:cNvPicPr>
                            <a:picLocks noChangeAspect="1"/>
                          </pic:cNvPicPr>
                        </pic:nvPicPr>
                        <pic:blipFill>
                          <a:blip r:embed="rId111" cstate="print"/>
                          <a:stretch>
                            <a:fillRect/>
                          </a:stretch>
                        </pic:blipFill>
                        <pic:spPr>
                          <a:xfrm>
                            <a:off x="0" y="0"/>
                            <a:ext cx="2470883" cy="2395811"/>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58DBDD55">
            <w:pPr>
              <w:pStyle w:val="13"/>
              <w:rPr>
                <w:rFonts w:hint="eastAsia"/>
                <w:highlight w:val="none"/>
                <w:lang w:val="zh-CN"/>
              </w:rPr>
            </w:pPr>
          </w:p>
        </w:tc>
        <w:tc>
          <w:tcPr>
            <w:tcW w:w="795" w:type="dxa"/>
            <w:tcBorders>
              <w:top w:val="single" w:color="auto" w:sz="4" w:space="0"/>
              <w:left w:val="single" w:color="auto" w:sz="4" w:space="0"/>
              <w:bottom w:val="single" w:color="auto" w:sz="4" w:space="0"/>
              <w:right w:val="single" w:color="auto" w:sz="4" w:space="0"/>
            </w:tcBorders>
            <w:vAlign w:val="center"/>
          </w:tcPr>
          <w:p w14:paraId="05C6DB9A">
            <w:pPr>
              <w:pStyle w:val="13"/>
              <w:rPr>
                <w:rFonts w:hint="eastAsia"/>
                <w:highlight w:val="none"/>
                <w:lang w:val="zh-CN"/>
              </w:rPr>
            </w:pPr>
          </w:p>
        </w:tc>
      </w:tr>
      <w:tr w14:paraId="1DDD27A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14:paraId="034C4C5C">
            <w:pPr>
              <w:pStyle w:val="13"/>
              <w:rPr>
                <w:rFonts w:hint="eastAsia"/>
                <w:highlight w:val="none"/>
                <w:lang w:val="zh-CN"/>
              </w:rPr>
            </w:pPr>
            <w:r>
              <w:rPr>
                <w:highlight w:val="none"/>
                <w:lang w:val="zh-CN"/>
              </w:rPr>
              <w:t>2</w:t>
            </w:r>
          </w:p>
        </w:tc>
        <w:tc>
          <w:tcPr>
            <w:tcW w:w="484" w:type="dxa"/>
            <w:tcBorders>
              <w:top w:val="single" w:color="auto" w:sz="4" w:space="0"/>
              <w:left w:val="single" w:color="auto" w:sz="4" w:space="0"/>
              <w:bottom w:val="single" w:color="auto" w:sz="4" w:space="0"/>
              <w:right w:val="single" w:color="auto" w:sz="4" w:space="0"/>
            </w:tcBorders>
            <w:vAlign w:val="center"/>
          </w:tcPr>
          <w:p w14:paraId="211A1F0B">
            <w:pPr>
              <w:pStyle w:val="13"/>
              <w:rPr>
                <w:rFonts w:hint="eastAsia"/>
                <w:highlight w:val="none"/>
                <w:lang w:val="zh-CN"/>
              </w:rPr>
            </w:pPr>
            <w:r>
              <w:rPr>
                <w:highlight w:val="none"/>
                <w:lang w:val="zh-CN"/>
              </w:rPr>
              <w:t>工厂包装</w:t>
            </w:r>
          </w:p>
          <w:p w14:paraId="0225B6A1">
            <w:pPr>
              <w:pStyle w:val="13"/>
              <w:rPr>
                <w:rFonts w:hint="eastAsia"/>
                <w:highlight w:val="none"/>
                <w:lang w:val="zh-CN"/>
              </w:rPr>
            </w:pPr>
            <w:r>
              <w:rPr>
                <w:highlight w:val="none"/>
                <w:lang w:val="zh-CN"/>
              </w:rPr>
              <w:t>、堆放</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14:paraId="7BDBE97E">
            <w:pPr>
              <w:pStyle w:val="13"/>
              <w:rPr>
                <w:rFonts w:hint="eastAsia"/>
                <w:highlight w:val="none"/>
                <w:lang w:val="zh-CN"/>
              </w:rPr>
            </w:pPr>
            <w:r>
              <w:rPr>
                <w:highlight w:val="none"/>
                <w:lang w:val="zh-CN"/>
              </w:rPr>
              <w:t>铝型材</w:t>
            </w:r>
          </w:p>
        </w:tc>
        <w:tc>
          <w:tcPr>
            <w:tcW w:w="2447" w:type="dxa"/>
            <w:tcBorders>
              <w:top w:val="single" w:color="auto" w:sz="4" w:space="0"/>
              <w:left w:val="single" w:color="auto" w:sz="4" w:space="0"/>
              <w:bottom w:val="single" w:color="auto" w:sz="4" w:space="0"/>
              <w:right w:val="single" w:color="auto" w:sz="4" w:space="0"/>
            </w:tcBorders>
            <w:vAlign w:val="center"/>
          </w:tcPr>
          <w:p w14:paraId="3E999105">
            <w:pPr>
              <w:pStyle w:val="13"/>
              <w:rPr>
                <w:rFonts w:hint="eastAsia"/>
                <w:highlight w:val="none"/>
                <w:lang w:val="zh-CN"/>
              </w:rPr>
            </w:pPr>
            <w:r>
              <w:rPr>
                <w:highlight w:val="none"/>
                <w:lang w:val="zh-CN"/>
              </w:rPr>
              <w:t>先贴保护胶带， 然后外包带塑料膜的</w:t>
            </w:r>
          </w:p>
          <w:p w14:paraId="245D3C2B">
            <w:pPr>
              <w:pStyle w:val="13"/>
              <w:rPr>
                <w:rFonts w:hint="eastAsia"/>
                <w:highlight w:val="none"/>
                <w:lang w:val="zh-CN"/>
              </w:rPr>
            </w:pPr>
            <w:r>
              <w:rPr>
                <w:highlight w:val="none"/>
                <w:lang w:val="zh-CN"/>
              </w:rPr>
              <w:t>牛皮纸；型材堆放应有专用的摆放；</w:t>
            </w:r>
          </w:p>
        </w:tc>
        <w:tc>
          <w:tcPr>
            <w:tcW w:w="4200" w:type="dxa"/>
            <w:tcBorders>
              <w:top w:val="single" w:color="auto" w:sz="4" w:space="0"/>
              <w:left w:val="single" w:color="auto" w:sz="4" w:space="0"/>
              <w:bottom w:val="single" w:color="auto" w:sz="4" w:space="0"/>
              <w:right w:val="single" w:color="auto" w:sz="4" w:space="0"/>
            </w:tcBorders>
            <w:vAlign w:val="center"/>
          </w:tcPr>
          <w:p w14:paraId="27D9FECF">
            <w:pPr>
              <w:pStyle w:val="13"/>
              <w:rPr>
                <w:rFonts w:hint="eastAsia"/>
                <w:highlight w:val="none"/>
                <w:lang w:val="zh-CN"/>
              </w:rPr>
            </w:pPr>
          </w:p>
          <w:p w14:paraId="71112616">
            <w:pPr>
              <w:pStyle w:val="13"/>
              <w:rPr>
                <w:rFonts w:hint="eastAsia"/>
                <w:highlight w:val="none"/>
                <w:lang w:val="zh-CN"/>
              </w:rPr>
            </w:pPr>
            <w:r>
              <w:rPr>
                <w:highlight w:val="none"/>
              </w:rPr>
              <w:drawing>
                <wp:inline distT="0" distB="0" distL="0" distR="0">
                  <wp:extent cx="2517775" cy="1986280"/>
                  <wp:effectExtent l="0" t="0" r="6350" b="4445"/>
                  <wp:docPr id="199"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03.jpeg"/>
                          <pic:cNvPicPr>
                            <a:picLocks noChangeAspect="1"/>
                          </pic:cNvPicPr>
                        </pic:nvPicPr>
                        <pic:blipFill>
                          <a:blip r:embed="rId112" cstate="print"/>
                          <a:stretch>
                            <a:fillRect/>
                          </a:stretch>
                        </pic:blipFill>
                        <pic:spPr>
                          <a:xfrm>
                            <a:off x="0" y="0"/>
                            <a:ext cx="2532027" cy="1997534"/>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39EF007F">
            <w:pPr>
              <w:pStyle w:val="13"/>
              <w:rPr>
                <w:rFonts w:hint="eastAsia"/>
                <w:highlight w:val="none"/>
                <w:lang w:val="zh-CN"/>
              </w:rPr>
            </w:pPr>
          </w:p>
        </w:tc>
        <w:tc>
          <w:tcPr>
            <w:tcW w:w="795" w:type="dxa"/>
            <w:tcBorders>
              <w:top w:val="single" w:color="auto" w:sz="4" w:space="0"/>
              <w:left w:val="single" w:color="auto" w:sz="4" w:space="0"/>
              <w:bottom w:val="single" w:color="auto" w:sz="4" w:space="0"/>
              <w:right w:val="single" w:color="auto" w:sz="4" w:space="0"/>
            </w:tcBorders>
            <w:vAlign w:val="center"/>
          </w:tcPr>
          <w:p w14:paraId="20F2CE32">
            <w:pPr>
              <w:pStyle w:val="13"/>
              <w:rPr>
                <w:rFonts w:hint="eastAsia"/>
                <w:highlight w:val="none"/>
                <w:lang w:val="zh-CN"/>
              </w:rPr>
            </w:pPr>
          </w:p>
        </w:tc>
      </w:tr>
      <w:tr w14:paraId="5B763E3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bottom w:val="single" w:color="auto" w:sz="4" w:space="0"/>
              <w:right w:val="single" w:color="auto" w:sz="4" w:space="0"/>
            </w:tcBorders>
            <w:vAlign w:val="center"/>
          </w:tcPr>
          <w:p w14:paraId="48465907">
            <w:pPr>
              <w:pStyle w:val="13"/>
              <w:rPr>
                <w:rFonts w:hint="eastAsia"/>
                <w:highlight w:val="none"/>
                <w:lang w:val="zh-CN"/>
              </w:rPr>
            </w:pPr>
          </w:p>
        </w:tc>
        <w:tc>
          <w:tcPr>
            <w:tcW w:w="484" w:type="dxa"/>
            <w:tcBorders>
              <w:top w:val="single" w:color="auto" w:sz="4" w:space="0"/>
              <w:left w:val="single" w:color="auto" w:sz="4" w:space="0"/>
              <w:bottom w:val="single" w:color="auto" w:sz="4" w:space="0"/>
              <w:right w:val="single" w:color="auto" w:sz="4" w:space="0"/>
            </w:tcBorders>
            <w:vAlign w:val="center"/>
          </w:tcPr>
          <w:p w14:paraId="4DD23FF4">
            <w:pPr>
              <w:pStyle w:val="13"/>
              <w:rPr>
                <w:rFonts w:hint="eastAsia"/>
                <w:highlight w:val="none"/>
                <w:lang w:val="zh-CN"/>
              </w:rPr>
            </w:pPr>
            <w:r>
              <w:rPr>
                <w:highlight w:val="none"/>
                <w:lang w:val="zh-CN"/>
              </w:rPr>
              <w:t>成品安装</w:t>
            </w: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15EC4863">
            <w:pPr>
              <w:pStyle w:val="13"/>
              <w:rPr>
                <w:rFonts w:hint="eastAsia"/>
                <w:highlight w:val="none"/>
                <w:lang w:val="zh-CN"/>
              </w:rPr>
            </w:pPr>
          </w:p>
        </w:tc>
        <w:tc>
          <w:tcPr>
            <w:tcW w:w="2447" w:type="dxa"/>
            <w:tcBorders>
              <w:top w:val="single" w:color="auto" w:sz="4" w:space="0"/>
              <w:left w:val="single" w:color="auto" w:sz="4" w:space="0"/>
              <w:bottom w:val="single" w:color="auto" w:sz="4" w:space="0"/>
              <w:right w:val="single" w:color="auto" w:sz="4" w:space="0"/>
            </w:tcBorders>
            <w:vAlign w:val="center"/>
          </w:tcPr>
          <w:p w14:paraId="24A1C227">
            <w:pPr>
              <w:pStyle w:val="13"/>
              <w:rPr>
                <w:rFonts w:hint="eastAsia"/>
                <w:highlight w:val="none"/>
                <w:lang w:val="zh-CN"/>
              </w:rPr>
            </w:pPr>
            <w:r>
              <w:rPr>
                <w:highlight w:val="none"/>
                <w:lang w:val="zh-CN"/>
              </w:rPr>
              <w:t>安装型材时不得将表面贴合的保护膜破坏或除去；在施工通道口的铝型材还应有木板包裹保护；</w:t>
            </w:r>
          </w:p>
        </w:tc>
        <w:tc>
          <w:tcPr>
            <w:tcW w:w="4200" w:type="dxa"/>
            <w:tcBorders>
              <w:top w:val="single" w:color="auto" w:sz="4" w:space="0"/>
              <w:left w:val="single" w:color="auto" w:sz="4" w:space="0"/>
              <w:bottom w:val="single" w:color="auto" w:sz="4" w:space="0"/>
              <w:right w:val="single" w:color="auto" w:sz="4" w:space="0"/>
            </w:tcBorders>
            <w:vAlign w:val="center"/>
          </w:tcPr>
          <w:p w14:paraId="6CA210E1">
            <w:pPr>
              <w:pStyle w:val="13"/>
              <w:rPr>
                <w:rFonts w:hint="eastAsia"/>
                <w:highlight w:val="none"/>
                <w:lang w:val="zh-CN"/>
              </w:rPr>
            </w:pPr>
            <w:r>
              <w:rPr>
                <w:highlight w:val="none"/>
              </w:rPr>
              <w:drawing>
                <wp:inline distT="0" distB="0" distL="0" distR="0">
                  <wp:extent cx="2538095" cy="2159000"/>
                  <wp:effectExtent l="0" t="0" r="5080" b="3175"/>
                  <wp:docPr id="201"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04.jpeg"/>
                          <pic:cNvPicPr>
                            <a:picLocks noChangeAspect="1"/>
                          </pic:cNvPicPr>
                        </pic:nvPicPr>
                        <pic:blipFill>
                          <a:blip r:embed="rId113" cstate="print"/>
                          <a:stretch>
                            <a:fillRect/>
                          </a:stretch>
                        </pic:blipFill>
                        <pic:spPr>
                          <a:xfrm>
                            <a:off x="0" y="0"/>
                            <a:ext cx="2545227" cy="2165110"/>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206E8937">
            <w:pPr>
              <w:pStyle w:val="13"/>
              <w:rPr>
                <w:rFonts w:hint="eastAsia"/>
                <w:highlight w:val="none"/>
                <w:lang w:val="zh-CN"/>
              </w:rPr>
            </w:pPr>
            <w:r>
              <w:rPr>
                <w:highlight w:val="none"/>
              </w:rPr>
              <w:drawing>
                <wp:inline distT="0" distB="0" distL="0" distR="0">
                  <wp:extent cx="2693035" cy="2064385"/>
                  <wp:effectExtent l="0" t="0" r="2540" b="2540"/>
                  <wp:docPr id="203"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05.jpeg"/>
                          <pic:cNvPicPr>
                            <a:picLocks noChangeAspect="1"/>
                          </pic:cNvPicPr>
                        </pic:nvPicPr>
                        <pic:blipFill>
                          <a:blip r:embed="rId114" cstate="print"/>
                          <a:stretch>
                            <a:fillRect/>
                          </a:stretch>
                        </pic:blipFill>
                        <pic:spPr>
                          <a:xfrm>
                            <a:off x="0" y="0"/>
                            <a:ext cx="2698219" cy="2068346"/>
                          </a:xfrm>
                          <a:prstGeom prst="rect">
                            <a:avLst/>
                          </a:prstGeom>
                        </pic:spPr>
                      </pic:pic>
                    </a:graphicData>
                  </a:graphic>
                </wp:inline>
              </w:drawing>
            </w:r>
          </w:p>
        </w:tc>
        <w:tc>
          <w:tcPr>
            <w:tcW w:w="795" w:type="dxa"/>
            <w:tcBorders>
              <w:top w:val="single" w:color="auto" w:sz="4" w:space="0"/>
              <w:left w:val="single" w:color="auto" w:sz="4" w:space="0"/>
              <w:bottom w:val="single" w:color="auto" w:sz="4" w:space="0"/>
              <w:right w:val="single" w:color="auto" w:sz="4" w:space="0"/>
            </w:tcBorders>
            <w:vAlign w:val="center"/>
          </w:tcPr>
          <w:p w14:paraId="4B92D806">
            <w:pPr>
              <w:pStyle w:val="13"/>
              <w:rPr>
                <w:rFonts w:hint="eastAsia"/>
                <w:highlight w:val="none"/>
                <w:lang w:val="zh-CN"/>
              </w:rPr>
            </w:pPr>
          </w:p>
        </w:tc>
      </w:tr>
      <w:tr w14:paraId="2262C3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14:paraId="623E7EC1">
            <w:pPr>
              <w:pStyle w:val="13"/>
              <w:rPr>
                <w:rFonts w:hint="eastAsia"/>
                <w:highlight w:val="none"/>
                <w:lang w:val="zh-CN"/>
              </w:rPr>
            </w:pPr>
            <w:r>
              <w:rPr>
                <w:highlight w:val="none"/>
                <w:lang w:val="zh-CN"/>
              </w:rPr>
              <w:t>3</w:t>
            </w:r>
          </w:p>
        </w:tc>
        <w:tc>
          <w:tcPr>
            <w:tcW w:w="484" w:type="dxa"/>
            <w:vMerge w:val="restart"/>
            <w:tcBorders>
              <w:top w:val="single" w:color="auto" w:sz="4" w:space="0"/>
              <w:left w:val="single" w:color="auto" w:sz="4" w:space="0"/>
              <w:bottom w:val="single" w:color="auto" w:sz="4" w:space="0"/>
              <w:right w:val="single" w:color="auto" w:sz="4" w:space="0"/>
            </w:tcBorders>
            <w:vAlign w:val="center"/>
          </w:tcPr>
          <w:p w14:paraId="12918EBA">
            <w:pPr>
              <w:pStyle w:val="13"/>
              <w:rPr>
                <w:rFonts w:hint="eastAsia"/>
                <w:highlight w:val="none"/>
                <w:lang w:val="zh-CN"/>
              </w:rPr>
            </w:pPr>
            <w:r>
              <w:rPr>
                <w:highlight w:val="none"/>
                <w:lang w:val="zh-CN"/>
              </w:rPr>
              <w:t>工厂包装</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14:paraId="751D3C86">
            <w:pPr>
              <w:pStyle w:val="13"/>
              <w:rPr>
                <w:rFonts w:hint="eastAsia"/>
                <w:highlight w:val="none"/>
                <w:lang w:val="zh-CN"/>
              </w:rPr>
            </w:pPr>
            <w:r>
              <w:rPr>
                <w:highlight w:val="none"/>
                <w:lang w:val="zh-CN"/>
              </w:rPr>
              <w:t>门、窗框</w:t>
            </w:r>
          </w:p>
        </w:tc>
        <w:tc>
          <w:tcPr>
            <w:tcW w:w="2447" w:type="dxa"/>
            <w:tcBorders>
              <w:top w:val="single" w:color="auto" w:sz="4" w:space="0"/>
              <w:left w:val="single" w:color="auto" w:sz="4" w:space="0"/>
              <w:bottom w:val="single" w:color="auto" w:sz="4" w:space="0"/>
              <w:right w:val="single" w:color="auto" w:sz="4" w:space="0"/>
            </w:tcBorders>
            <w:vAlign w:val="center"/>
          </w:tcPr>
          <w:p w14:paraId="7DA7E167">
            <w:pPr>
              <w:pStyle w:val="13"/>
              <w:rPr>
                <w:rFonts w:hint="eastAsia"/>
                <w:highlight w:val="none"/>
              </w:rPr>
            </w:pPr>
            <w:r>
              <w:rPr>
                <w:highlight w:val="none"/>
                <w:lang w:val="zh-CN"/>
              </w:rPr>
              <w:t>生产厂运到工地，应选择洁净、无污染源的车等工具运输；存放门窗的库房应通风、干燥，无热源或腐蚀性介质侵袭。库房场地应平整，地面上垫枕木，枕木顶面离地应不少于200mm。门窗框扇应按型号、规格分类编号捆扎竖放，两端</w:t>
            </w:r>
            <w:r>
              <w:rPr>
                <w:rFonts w:hint="eastAsia"/>
                <w:highlight w:val="none"/>
              </w:rPr>
              <w:t>挑出100mm</w:t>
            </w:r>
          </w:p>
        </w:tc>
        <w:tc>
          <w:tcPr>
            <w:tcW w:w="4200" w:type="dxa"/>
            <w:tcBorders>
              <w:top w:val="single" w:color="auto" w:sz="4" w:space="0"/>
              <w:left w:val="single" w:color="auto" w:sz="4" w:space="0"/>
              <w:bottom w:val="single" w:color="auto" w:sz="4" w:space="0"/>
              <w:right w:val="single" w:color="auto" w:sz="4" w:space="0"/>
            </w:tcBorders>
            <w:vAlign w:val="center"/>
          </w:tcPr>
          <w:p w14:paraId="2C7F2F05">
            <w:pPr>
              <w:pStyle w:val="13"/>
              <w:rPr>
                <w:rFonts w:hint="eastAsia"/>
                <w:highlight w:val="none"/>
                <w:lang w:val="zh-CN"/>
              </w:rPr>
            </w:pPr>
            <w:r>
              <w:rPr>
                <w:highlight w:val="none"/>
              </w:rPr>
              <w:drawing>
                <wp:inline distT="0" distB="0" distL="0" distR="0">
                  <wp:extent cx="3064510" cy="2499995"/>
                  <wp:effectExtent l="0" t="0" r="2540" b="5080"/>
                  <wp:docPr id="205"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06.jpeg"/>
                          <pic:cNvPicPr>
                            <a:picLocks noChangeAspect="1"/>
                          </pic:cNvPicPr>
                        </pic:nvPicPr>
                        <pic:blipFill>
                          <a:blip r:embed="rId115" cstate="print"/>
                          <a:stretch>
                            <a:fillRect/>
                          </a:stretch>
                        </pic:blipFill>
                        <pic:spPr>
                          <a:xfrm>
                            <a:off x="0" y="0"/>
                            <a:ext cx="3064830" cy="2500122"/>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263B9D5F">
            <w:pPr>
              <w:pStyle w:val="13"/>
              <w:rPr>
                <w:rFonts w:hint="eastAsia"/>
                <w:highlight w:val="none"/>
                <w:lang w:val="zh-CN"/>
              </w:rPr>
            </w:pPr>
          </w:p>
        </w:tc>
        <w:tc>
          <w:tcPr>
            <w:tcW w:w="795" w:type="dxa"/>
            <w:tcBorders>
              <w:top w:val="single" w:color="auto" w:sz="4" w:space="0"/>
              <w:left w:val="single" w:color="auto" w:sz="4" w:space="0"/>
              <w:bottom w:val="single" w:color="auto" w:sz="4" w:space="0"/>
              <w:right w:val="single" w:color="auto" w:sz="4" w:space="0"/>
            </w:tcBorders>
            <w:vAlign w:val="center"/>
          </w:tcPr>
          <w:p w14:paraId="58111516">
            <w:pPr>
              <w:pStyle w:val="13"/>
              <w:rPr>
                <w:rFonts w:hint="eastAsia"/>
                <w:highlight w:val="none"/>
                <w:lang w:val="zh-CN"/>
              </w:rPr>
            </w:pPr>
          </w:p>
        </w:tc>
      </w:tr>
      <w:tr w14:paraId="0ED5A67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41E2F184">
            <w:pPr>
              <w:pStyle w:val="13"/>
              <w:rPr>
                <w:rFonts w:hint="eastAsia"/>
                <w:highlight w:val="none"/>
                <w:lang w:val="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14:paraId="3A583C94">
            <w:pPr>
              <w:pStyle w:val="13"/>
              <w:rPr>
                <w:rFonts w:hint="eastAsia"/>
                <w:highlight w:val="none"/>
                <w:lang w:val="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6618DB9F">
            <w:pPr>
              <w:pStyle w:val="13"/>
              <w:rPr>
                <w:rFonts w:hint="eastAsia"/>
                <w:highlight w:val="none"/>
                <w:lang w:val="zh-CN"/>
              </w:rPr>
            </w:pPr>
          </w:p>
        </w:tc>
        <w:tc>
          <w:tcPr>
            <w:tcW w:w="2447" w:type="dxa"/>
            <w:tcBorders>
              <w:top w:val="single" w:color="auto" w:sz="4" w:space="0"/>
              <w:left w:val="single" w:color="auto" w:sz="4" w:space="0"/>
              <w:bottom w:val="single" w:color="auto" w:sz="4" w:space="0"/>
              <w:right w:val="single" w:color="auto" w:sz="4" w:space="0"/>
            </w:tcBorders>
            <w:vAlign w:val="center"/>
          </w:tcPr>
          <w:p w14:paraId="62AE4524">
            <w:pPr>
              <w:pStyle w:val="13"/>
              <w:rPr>
                <w:rFonts w:hint="eastAsia"/>
                <w:highlight w:val="none"/>
                <w:lang w:val="zh-CN"/>
              </w:rPr>
            </w:pPr>
            <w:r>
              <w:rPr>
                <w:highlight w:val="none"/>
                <w:lang w:val="zh-CN"/>
              </w:rPr>
              <w:t>为了门窗铝型材施工过程中成品保护的方便性和有效性，要求铝型材门窗框型材表面必须采用至少双层厚胶膜贴覆保护，底层必须采用不污染铝型材的自粘胶带纸，上层必须采用较厚耐破损胶带。贴膜保护完成后，门窗边角位置需用硬纸壳或硬胶纸做额外的防碰撞保护。</w:t>
            </w:r>
          </w:p>
        </w:tc>
        <w:tc>
          <w:tcPr>
            <w:tcW w:w="4200" w:type="dxa"/>
            <w:tcBorders>
              <w:top w:val="single" w:color="auto" w:sz="4" w:space="0"/>
              <w:left w:val="single" w:color="auto" w:sz="4" w:space="0"/>
              <w:bottom w:val="single" w:color="auto" w:sz="4" w:space="0"/>
              <w:right w:val="single" w:color="auto" w:sz="4" w:space="0"/>
            </w:tcBorders>
            <w:vAlign w:val="center"/>
          </w:tcPr>
          <w:p w14:paraId="529F62E0">
            <w:pPr>
              <w:pStyle w:val="13"/>
              <w:rPr>
                <w:rFonts w:hint="eastAsia"/>
                <w:highlight w:val="none"/>
                <w:lang w:val="zh-CN"/>
              </w:rPr>
            </w:pPr>
            <w:r>
              <w:rPr>
                <w:highlight w:val="none"/>
              </w:rPr>
              <w:drawing>
                <wp:inline distT="0" distB="0" distL="0" distR="0">
                  <wp:extent cx="2495550" cy="2419985"/>
                  <wp:effectExtent l="0" t="0" r="0" b="8890"/>
                  <wp:docPr id="209"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08.jpeg"/>
                          <pic:cNvPicPr>
                            <a:picLocks noChangeAspect="1"/>
                          </pic:cNvPicPr>
                        </pic:nvPicPr>
                        <pic:blipFill>
                          <a:blip r:embed="rId116" cstate="print"/>
                          <a:stretch>
                            <a:fillRect/>
                          </a:stretch>
                        </pic:blipFill>
                        <pic:spPr>
                          <a:xfrm>
                            <a:off x="0" y="0"/>
                            <a:ext cx="2500452" cy="2425220"/>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47A0FB53">
            <w:pPr>
              <w:pStyle w:val="13"/>
              <w:rPr>
                <w:rFonts w:hint="eastAsia"/>
                <w:highlight w:val="none"/>
                <w:lang w:val="zh-CN"/>
              </w:rPr>
            </w:pPr>
          </w:p>
        </w:tc>
        <w:tc>
          <w:tcPr>
            <w:tcW w:w="795" w:type="dxa"/>
            <w:tcBorders>
              <w:top w:val="single" w:color="auto" w:sz="4" w:space="0"/>
              <w:left w:val="single" w:color="auto" w:sz="4" w:space="0"/>
              <w:bottom w:val="single" w:color="auto" w:sz="4" w:space="0"/>
              <w:right w:val="single" w:color="auto" w:sz="4" w:space="0"/>
            </w:tcBorders>
            <w:vAlign w:val="center"/>
          </w:tcPr>
          <w:p w14:paraId="05D671BA">
            <w:pPr>
              <w:pStyle w:val="13"/>
              <w:rPr>
                <w:rFonts w:hint="eastAsia"/>
                <w:highlight w:val="none"/>
                <w:lang w:val="zh-CN"/>
              </w:rPr>
            </w:pPr>
          </w:p>
        </w:tc>
      </w:tr>
      <w:tr w14:paraId="48CFBE9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14:paraId="3560F2E9">
            <w:pPr>
              <w:pStyle w:val="13"/>
              <w:rPr>
                <w:rFonts w:hint="eastAsia"/>
                <w:highlight w:val="none"/>
                <w:lang w:val="zh-CN"/>
              </w:rPr>
            </w:pPr>
            <w:r>
              <w:rPr>
                <w:rFonts w:hint="eastAsia"/>
                <w:highlight w:val="none"/>
                <w:lang w:val="zh-CN"/>
              </w:rPr>
              <w:t>4</w:t>
            </w:r>
          </w:p>
        </w:tc>
        <w:tc>
          <w:tcPr>
            <w:tcW w:w="484" w:type="dxa"/>
            <w:vMerge w:val="restart"/>
            <w:tcBorders>
              <w:top w:val="single" w:color="auto" w:sz="4" w:space="0"/>
              <w:left w:val="single" w:color="auto" w:sz="4" w:space="0"/>
              <w:bottom w:val="single" w:color="auto" w:sz="4" w:space="0"/>
              <w:right w:val="single" w:color="auto" w:sz="4" w:space="0"/>
            </w:tcBorders>
            <w:vAlign w:val="center"/>
          </w:tcPr>
          <w:p w14:paraId="6353A4E4">
            <w:pPr>
              <w:pStyle w:val="13"/>
              <w:rPr>
                <w:rFonts w:hint="eastAsia"/>
                <w:highlight w:val="none"/>
                <w:lang w:val="zh-CN"/>
              </w:rPr>
            </w:pPr>
            <w:r>
              <w:rPr>
                <w:highlight w:val="none"/>
                <w:lang w:val="zh-CN"/>
              </w:rPr>
              <w:t>工厂</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14:paraId="1AE9AD46">
            <w:pPr>
              <w:pStyle w:val="13"/>
              <w:rPr>
                <w:rFonts w:hint="eastAsia"/>
                <w:highlight w:val="none"/>
                <w:lang w:val="zh-CN"/>
              </w:rPr>
            </w:pPr>
            <w:r>
              <w:rPr>
                <w:highlight w:val="none"/>
                <w:lang w:val="zh-CN"/>
              </w:rPr>
              <w:t>包装做法图示</w:t>
            </w:r>
          </w:p>
        </w:tc>
        <w:tc>
          <w:tcPr>
            <w:tcW w:w="2447" w:type="dxa"/>
            <w:vMerge w:val="restart"/>
            <w:tcBorders>
              <w:top w:val="single" w:color="auto" w:sz="4" w:space="0"/>
              <w:left w:val="single" w:color="auto" w:sz="4" w:space="0"/>
              <w:bottom w:val="single" w:color="auto" w:sz="4" w:space="0"/>
              <w:right w:val="single" w:color="auto" w:sz="4" w:space="0"/>
            </w:tcBorders>
            <w:vAlign w:val="center"/>
          </w:tcPr>
          <w:p w14:paraId="11A9263B">
            <w:pPr>
              <w:pStyle w:val="13"/>
              <w:rPr>
                <w:rFonts w:hint="eastAsia"/>
                <w:highlight w:val="none"/>
                <w:lang w:val="zh-CN"/>
              </w:rPr>
            </w:pPr>
            <w:r>
              <w:rPr>
                <w:highlight w:val="none"/>
                <w:lang w:val="zh-CN"/>
              </w:rPr>
              <w:t>为了解决室内外作业时其他施工单位交底不到位，现场抹灰收口时将铝型材保护膜全部撕掉， 造成型材大量污染的问题。现强制要求铝型材厂贴膜和加工厂后贴膜都必须保证膜边距离型材外边5~10mm左  右，具体边距根据室内外抹灰收口压住型材的宽度确定。要求包装时可放大几毫米吸收抹灰误差。</w:t>
            </w:r>
          </w:p>
        </w:tc>
        <w:tc>
          <w:tcPr>
            <w:tcW w:w="4200" w:type="dxa"/>
            <w:tcBorders>
              <w:top w:val="single" w:color="auto" w:sz="4" w:space="0"/>
              <w:left w:val="single" w:color="auto" w:sz="4" w:space="0"/>
              <w:bottom w:val="single" w:color="auto" w:sz="4" w:space="0"/>
              <w:right w:val="single" w:color="auto" w:sz="4" w:space="0"/>
            </w:tcBorders>
            <w:vAlign w:val="center"/>
          </w:tcPr>
          <w:p w14:paraId="212C6A12">
            <w:pPr>
              <w:pStyle w:val="13"/>
              <w:rPr>
                <w:rFonts w:hint="eastAsia"/>
                <w:highlight w:val="none"/>
                <w:lang w:val="zh-CN"/>
              </w:rPr>
            </w:pPr>
            <w:r>
              <w:rPr>
                <w:highlight w:val="none"/>
              </w:rPr>
              <w:drawing>
                <wp:inline distT="0" distB="0" distL="0" distR="0">
                  <wp:extent cx="2101215" cy="2209165"/>
                  <wp:effectExtent l="0" t="0" r="3810" b="635"/>
                  <wp:docPr id="213"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10.png"/>
                          <pic:cNvPicPr>
                            <a:picLocks noChangeAspect="1"/>
                          </pic:cNvPicPr>
                        </pic:nvPicPr>
                        <pic:blipFill>
                          <a:blip r:embed="rId117" cstate="print"/>
                          <a:stretch>
                            <a:fillRect/>
                          </a:stretch>
                        </pic:blipFill>
                        <pic:spPr>
                          <a:xfrm>
                            <a:off x="0" y="0"/>
                            <a:ext cx="2101215" cy="2209165"/>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3FEDF6B3">
            <w:pPr>
              <w:pStyle w:val="13"/>
              <w:rPr>
                <w:rFonts w:hint="eastAsia"/>
                <w:highlight w:val="none"/>
                <w:lang w:val="zh-CN"/>
              </w:rPr>
            </w:pPr>
            <w:r>
              <w:rPr>
                <w:highlight w:val="none"/>
              </w:rPr>
              <w:drawing>
                <wp:inline distT="0" distB="0" distL="0" distR="0">
                  <wp:extent cx="2178685" cy="2350770"/>
                  <wp:effectExtent l="0" t="0" r="2540" b="1905"/>
                  <wp:docPr id="215" name="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111.png"/>
                          <pic:cNvPicPr>
                            <a:picLocks noChangeAspect="1"/>
                          </pic:cNvPicPr>
                        </pic:nvPicPr>
                        <pic:blipFill>
                          <a:blip r:embed="rId118" cstate="print"/>
                          <a:stretch>
                            <a:fillRect/>
                          </a:stretch>
                        </pic:blipFill>
                        <pic:spPr>
                          <a:xfrm>
                            <a:off x="0" y="0"/>
                            <a:ext cx="2178685" cy="2350770"/>
                          </a:xfrm>
                          <a:prstGeom prst="rect">
                            <a:avLst/>
                          </a:prstGeom>
                        </pic:spPr>
                      </pic:pic>
                    </a:graphicData>
                  </a:graphic>
                </wp:inline>
              </w:drawing>
            </w:r>
          </w:p>
        </w:tc>
        <w:tc>
          <w:tcPr>
            <w:tcW w:w="795" w:type="dxa"/>
            <w:vMerge w:val="restart"/>
            <w:tcBorders>
              <w:top w:val="single" w:color="auto" w:sz="4" w:space="0"/>
              <w:left w:val="single" w:color="auto" w:sz="4" w:space="0"/>
              <w:bottom w:val="single" w:color="auto" w:sz="4" w:space="0"/>
              <w:right w:val="single" w:color="auto" w:sz="4" w:space="0"/>
            </w:tcBorders>
            <w:vAlign w:val="center"/>
          </w:tcPr>
          <w:p w14:paraId="271E19C7">
            <w:pPr>
              <w:pStyle w:val="13"/>
              <w:rPr>
                <w:rFonts w:hint="eastAsia"/>
                <w:highlight w:val="none"/>
                <w:lang w:val="zh-CN"/>
              </w:rPr>
            </w:pPr>
          </w:p>
        </w:tc>
      </w:tr>
      <w:tr w14:paraId="1765146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2"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64CF4B6B">
            <w:pPr>
              <w:pStyle w:val="13"/>
              <w:rPr>
                <w:rFonts w:hint="eastAsia"/>
                <w:highlight w:val="none"/>
                <w:lang w:val="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14:paraId="7F8D3A48">
            <w:pPr>
              <w:pStyle w:val="13"/>
              <w:rPr>
                <w:rFonts w:hint="eastAsia"/>
                <w:highlight w:val="none"/>
                <w:lang w:val="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6801EA5E">
            <w:pPr>
              <w:pStyle w:val="13"/>
              <w:rPr>
                <w:rFonts w:hint="eastAsia"/>
                <w:highlight w:val="none"/>
                <w:lang w:val="zh-CN"/>
              </w:rPr>
            </w:pPr>
          </w:p>
        </w:tc>
        <w:tc>
          <w:tcPr>
            <w:tcW w:w="2447" w:type="dxa"/>
            <w:vMerge w:val="continue"/>
            <w:tcBorders>
              <w:top w:val="single" w:color="auto" w:sz="4" w:space="0"/>
              <w:left w:val="single" w:color="auto" w:sz="4" w:space="0"/>
              <w:bottom w:val="single" w:color="auto" w:sz="4" w:space="0"/>
              <w:right w:val="single" w:color="auto" w:sz="4" w:space="0"/>
            </w:tcBorders>
            <w:vAlign w:val="center"/>
          </w:tcPr>
          <w:p w14:paraId="2C890F10">
            <w:pPr>
              <w:pStyle w:val="13"/>
              <w:rPr>
                <w:rFonts w:hint="eastAsia"/>
                <w:highlight w:val="none"/>
                <w:lang w:val="zh-CN"/>
              </w:rPr>
            </w:pPr>
          </w:p>
        </w:tc>
        <w:tc>
          <w:tcPr>
            <w:tcW w:w="4200" w:type="dxa"/>
            <w:vMerge w:val="restart"/>
            <w:tcBorders>
              <w:top w:val="single" w:color="auto" w:sz="4" w:space="0"/>
              <w:left w:val="single" w:color="auto" w:sz="4" w:space="0"/>
              <w:bottom w:val="single" w:color="auto" w:sz="4" w:space="0"/>
              <w:right w:val="single" w:color="auto" w:sz="4" w:space="0"/>
            </w:tcBorders>
            <w:vAlign w:val="center"/>
          </w:tcPr>
          <w:p w14:paraId="21139668">
            <w:pPr>
              <w:pStyle w:val="13"/>
              <w:rPr>
                <w:rFonts w:hint="eastAsia"/>
                <w:highlight w:val="none"/>
                <w:lang w:val="zh-CN"/>
              </w:rPr>
            </w:pPr>
            <w:r>
              <w:rPr>
                <w:rFonts w:hint="eastAsia"/>
                <w:highlight w:val="none"/>
                <w:lang w:val="zh-CN"/>
              </w:rPr>
              <w:t>工厂门窗边框保护膜包裹做法节点详图</w:t>
            </w:r>
          </w:p>
        </w:tc>
        <w:tc>
          <w:tcPr>
            <w:tcW w:w="4414" w:type="dxa"/>
            <w:vMerge w:val="restart"/>
            <w:tcBorders>
              <w:top w:val="single" w:color="auto" w:sz="4" w:space="0"/>
              <w:left w:val="single" w:color="auto" w:sz="4" w:space="0"/>
              <w:bottom w:val="single" w:color="auto" w:sz="4" w:space="0"/>
              <w:right w:val="single" w:color="auto" w:sz="4" w:space="0"/>
            </w:tcBorders>
            <w:vAlign w:val="center"/>
          </w:tcPr>
          <w:p w14:paraId="077DD319">
            <w:pPr>
              <w:pStyle w:val="13"/>
              <w:rPr>
                <w:rFonts w:hint="eastAsia"/>
                <w:highlight w:val="none"/>
                <w:lang w:val="zh-CN"/>
              </w:rPr>
            </w:pPr>
            <w:r>
              <w:rPr>
                <w:rFonts w:hint="eastAsia"/>
                <w:highlight w:val="none"/>
                <w:lang w:val="zh-CN"/>
              </w:rPr>
              <w:t>工厂门窗边框保护膜包裹做法整体示意图</w:t>
            </w:r>
          </w:p>
        </w:tc>
        <w:tc>
          <w:tcPr>
            <w:tcW w:w="795" w:type="dxa"/>
            <w:vMerge w:val="continue"/>
            <w:tcBorders>
              <w:top w:val="single" w:color="auto" w:sz="4" w:space="0"/>
              <w:left w:val="single" w:color="auto" w:sz="4" w:space="0"/>
              <w:bottom w:val="single" w:color="auto" w:sz="4" w:space="0"/>
              <w:right w:val="single" w:color="auto" w:sz="4" w:space="0"/>
            </w:tcBorders>
            <w:vAlign w:val="center"/>
          </w:tcPr>
          <w:p w14:paraId="01182C38">
            <w:pPr>
              <w:pStyle w:val="13"/>
              <w:rPr>
                <w:rFonts w:hint="eastAsia"/>
                <w:highlight w:val="none"/>
                <w:lang w:val="zh-CN"/>
              </w:rPr>
            </w:pPr>
          </w:p>
        </w:tc>
      </w:tr>
      <w:tr w14:paraId="180C9C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1BCD2FEE">
            <w:pPr>
              <w:pStyle w:val="13"/>
              <w:rPr>
                <w:rFonts w:hint="eastAsia"/>
                <w:highlight w:val="none"/>
                <w:lang w:val="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14:paraId="29B48163">
            <w:pPr>
              <w:pStyle w:val="13"/>
              <w:rPr>
                <w:rFonts w:hint="eastAsia"/>
                <w:highlight w:val="none"/>
                <w:lang w:val="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0CD46C7A">
            <w:pPr>
              <w:pStyle w:val="13"/>
              <w:rPr>
                <w:rFonts w:hint="eastAsia"/>
                <w:highlight w:val="none"/>
                <w:lang w:val="zh-CN"/>
              </w:rPr>
            </w:pPr>
          </w:p>
        </w:tc>
        <w:tc>
          <w:tcPr>
            <w:tcW w:w="2447" w:type="dxa"/>
            <w:vMerge w:val="continue"/>
            <w:tcBorders>
              <w:top w:val="single" w:color="auto" w:sz="4" w:space="0"/>
              <w:left w:val="single" w:color="auto" w:sz="4" w:space="0"/>
              <w:bottom w:val="single" w:color="auto" w:sz="4" w:space="0"/>
              <w:right w:val="single" w:color="auto" w:sz="4" w:space="0"/>
            </w:tcBorders>
            <w:vAlign w:val="center"/>
          </w:tcPr>
          <w:p w14:paraId="4C523450">
            <w:pPr>
              <w:pStyle w:val="13"/>
              <w:rPr>
                <w:rFonts w:hint="eastAsia"/>
                <w:highlight w:val="none"/>
                <w:lang w:val="zh-CN"/>
              </w:rPr>
            </w:pPr>
          </w:p>
        </w:tc>
        <w:tc>
          <w:tcPr>
            <w:tcW w:w="4200" w:type="dxa"/>
            <w:vMerge w:val="continue"/>
            <w:tcBorders>
              <w:top w:val="single" w:color="auto" w:sz="4" w:space="0"/>
              <w:left w:val="single" w:color="auto" w:sz="4" w:space="0"/>
              <w:bottom w:val="single" w:color="auto" w:sz="4" w:space="0"/>
              <w:right w:val="single" w:color="auto" w:sz="4" w:space="0"/>
            </w:tcBorders>
            <w:vAlign w:val="center"/>
          </w:tcPr>
          <w:p w14:paraId="08ADB4CC">
            <w:pPr>
              <w:pStyle w:val="13"/>
              <w:rPr>
                <w:rFonts w:hint="eastAsia"/>
                <w:highlight w:val="none"/>
                <w:lang w:val="zh-CN"/>
              </w:rPr>
            </w:pPr>
          </w:p>
        </w:tc>
        <w:tc>
          <w:tcPr>
            <w:tcW w:w="4414" w:type="dxa"/>
            <w:vMerge w:val="continue"/>
            <w:tcBorders>
              <w:top w:val="single" w:color="auto" w:sz="4" w:space="0"/>
              <w:left w:val="single" w:color="auto" w:sz="4" w:space="0"/>
              <w:bottom w:val="single" w:color="auto" w:sz="4" w:space="0"/>
              <w:right w:val="single" w:color="auto" w:sz="4" w:space="0"/>
            </w:tcBorders>
            <w:vAlign w:val="center"/>
          </w:tcPr>
          <w:p w14:paraId="0AFDBC19">
            <w:pPr>
              <w:pStyle w:val="13"/>
              <w:rPr>
                <w:rFonts w:hint="eastAsia"/>
                <w:highlight w:val="none"/>
                <w:lang w:val="zh-CN"/>
              </w:rPr>
            </w:pPr>
          </w:p>
        </w:tc>
        <w:tc>
          <w:tcPr>
            <w:tcW w:w="795" w:type="dxa"/>
            <w:tcBorders>
              <w:top w:val="single" w:color="auto" w:sz="4" w:space="0"/>
              <w:left w:val="single" w:color="auto" w:sz="4" w:space="0"/>
              <w:bottom w:val="single" w:color="auto" w:sz="4" w:space="0"/>
              <w:right w:val="single" w:color="auto" w:sz="4" w:space="0"/>
            </w:tcBorders>
            <w:vAlign w:val="center"/>
          </w:tcPr>
          <w:p w14:paraId="4325B138">
            <w:pPr>
              <w:pStyle w:val="13"/>
              <w:rPr>
                <w:rFonts w:hint="eastAsia"/>
                <w:highlight w:val="none"/>
                <w:lang w:val="zh-CN"/>
              </w:rPr>
            </w:pPr>
          </w:p>
        </w:tc>
      </w:tr>
      <w:tr w14:paraId="04752F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tcBorders>
            <w:vAlign w:val="center"/>
          </w:tcPr>
          <w:p w14:paraId="36E21D9D">
            <w:pPr>
              <w:pStyle w:val="13"/>
              <w:rPr>
                <w:rFonts w:hint="eastAsia"/>
                <w:highlight w:val="none"/>
                <w:lang w:val="zh-CN"/>
              </w:rPr>
            </w:pPr>
          </w:p>
        </w:tc>
        <w:tc>
          <w:tcPr>
            <w:tcW w:w="484" w:type="dxa"/>
            <w:vMerge w:val="restart"/>
            <w:tcBorders>
              <w:top w:val="single" w:color="auto" w:sz="4" w:space="0"/>
            </w:tcBorders>
            <w:vAlign w:val="center"/>
          </w:tcPr>
          <w:p w14:paraId="1B96E84E">
            <w:pPr>
              <w:pStyle w:val="13"/>
              <w:rPr>
                <w:rFonts w:hint="eastAsia"/>
                <w:highlight w:val="none"/>
                <w:lang w:val="zh-CN"/>
              </w:rPr>
            </w:pPr>
            <w:r>
              <w:rPr>
                <w:highlight w:val="none"/>
                <w:lang w:val="zh-CN"/>
              </w:rPr>
              <w:t>包装</w:t>
            </w:r>
          </w:p>
        </w:tc>
        <w:tc>
          <w:tcPr>
            <w:tcW w:w="570" w:type="dxa"/>
            <w:vMerge w:val="restart"/>
            <w:tcBorders>
              <w:top w:val="single" w:color="auto" w:sz="4" w:space="0"/>
            </w:tcBorders>
            <w:vAlign w:val="center"/>
          </w:tcPr>
          <w:p w14:paraId="075AAAC4">
            <w:pPr>
              <w:pStyle w:val="13"/>
              <w:rPr>
                <w:rFonts w:hint="eastAsia"/>
                <w:highlight w:val="none"/>
                <w:lang w:val="zh-CN"/>
              </w:rPr>
            </w:pPr>
            <w:r>
              <w:rPr>
                <w:highlight w:val="none"/>
                <w:lang w:val="zh-CN"/>
              </w:rPr>
              <w:t>开启扇</w:t>
            </w:r>
          </w:p>
        </w:tc>
        <w:tc>
          <w:tcPr>
            <w:tcW w:w="2447" w:type="dxa"/>
            <w:vMerge w:val="restart"/>
            <w:tcBorders>
              <w:top w:val="single" w:color="auto" w:sz="4" w:space="0"/>
            </w:tcBorders>
            <w:vAlign w:val="center"/>
          </w:tcPr>
          <w:p w14:paraId="3C55DE0C">
            <w:pPr>
              <w:pStyle w:val="13"/>
              <w:rPr>
                <w:rFonts w:hint="eastAsia"/>
                <w:highlight w:val="none"/>
                <w:lang w:val="zh-CN"/>
              </w:rPr>
            </w:pPr>
            <w:r>
              <w:rPr>
                <w:highlight w:val="none"/>
                <w:lang w:val="zh-CN"/>
              </w:rPr>
              <w:t>门窗开启扇应在</w:t>
            </w:r>
          </w:p>
          <w:p w14:paraId="453438B8">
            <w:pPr>
              <w:pStyle w:val="13"/>
              <w:rPr>
                <w:rFonts w:hint="eastAsia"/>
                <w:highlight w:val="none"/>
                <w:lang w:val="zh-CN"/>
              </w:rPr>
            </w:pPr>
            <w:r>
              <w:rPr>
                <w:highlight w:val="none"/>
                <w:lang w:val="zh-CN"/>
              </w:rPr>
              <w:t>加工厂完成玻璃</w:t>
            </w:r>
          </w:p>
          <w:p w14:paraId="7F70B3D2">
            <w:pPr>
              <w:pStyle w:val="13"/>
              <w:rPr>
                <w:rFonts w:hint="eastAsia"/>
                <w:highlight w:val="none"/>
                <w:lang w:val="zh-CN"/>
              </w:rPr>
            </w:pPr>
            <w:r>
              <w:rPr>
                <w:highlight w:val="none"/>
                <w:lang w:val="zh-CN"/>
              </w:rPr>
              <w:t>、五金组装，以</w:t>
            </w:r>
          </w:p>
          <w:p w14:paraId="21AF7C59">
            <w:pPr>
              <w:pStyle w:val="13"/>
              <w:rPr>
                <w:rFonts w:hint="eastAsia"/>
                <w:highlight w:val="none"/>
                <w:lang w:val="zh-CN"/>
              </w:rPr>
            </w:pPr>
            <w:r>
              <w:rPr>
                <w:highlight w:val="none"/>
                <w:lang w:val="zh-CN"/>
              </w:rPr>
              <w:t>避免后期现场交</w:t>
            </w:r>
          </w:p>
          <w:p w14:paraId="64421BF3">
            <w:pPr>
              <w:pStyle w:val="13"/>
              <w:rPr>
                <w:rFonts w:hint="eastAsia"/>
                <w:highlight w:val="none"/>
                <w:lang w:val="zh-CN"/>
              </w:rPr>
            </w:pPr>
            <w:r>
              <w:rPr>
                <w:highlight w:val="none"/>
                <w:lang w:val="zh-CN"/>
              </w:rPr>
              <w:t>叉施工破坏成品</w:t>
            </w:r>
          </w:p>
          <w:p w14:paraId="57372D44">
            <w:pPr>
              <w:pStyle w:val="13"/>
              <w:rPr>
                <w:rFonts w:hint="eastAsia"/>
                <w:highlight w:val="none"/>
                <w:lang w:val="zh-CN"/>
              </w:rPr>
            </w:pPr>
            <w:r>
              <w:rPr>
                <w:highlight w:val="none"/>
                <w:lang w:val="zh-CN"/>
              </w:rPr>
              <w:t>保护，加工厂必</w:t>
            </w:r>
          </w:p>
          <w:p w14:paraId="7AD06A6F">
            <w:pPr>
              <w:pStyle w:val="13"/>
              <w:rPr>
                <w:rFonts w:hint="eastAsia"/>
                <w:highlight w:val="none"/>
                <w:lang w:val="zh-CN"/>
              </w:rPr>
            </w:pPr>
            <w:r>
              <w:rPr>
                <w:highlight w:val="none"/>
                <w:lang w:val="zh-CN"/>
              </w:rPr>
              <w:t>须对开启扇进行</w:t>
            </w:r>
          </w:p>
          <w:p w14:paraId="28901146">
            <w:pPr>
              <w:pStyle w:val="13"/>
              <w:rPr>
                <w:rFonts w:hint="eastAsia"/>
                <w:highlight w:val="none"/>
                <w:lang w:val="zh-CN"/>
              </w:rPr>
            </w:pPr>
            <w:r>
              <w:rPr>
                <w:highlight w:val="none"/>
                <w:lang w:val="zh-CN"/>
              </w:rPr>
              <w:t>完善的保护，边</w:t>
            </w:r>
          </w:p>
          <w:p w14:paraId="39F3621A">
            <w:pPr>
              <w:pStyle w:val="13"/>
              <w:rPr>
                <w:rFonts w:hint="eastAsia"/>
                <w:highlight w:val="none"/>
                <w:lang w:val="zh-CN"/>
              </w:rPr>
            </w:pPr>
            <w:r>
              <w:rPr>
                <w:highlight w:val="none"/>
                <w:lang w:val="zh-CN"/>
              </w:rPr>
              <w:t>框用硬质胶纸对五金进行保护。</w:t>
            </w:r>
          </w:p>
          <w:p w14:paraId="490757B6">
            <w:pPr>
              <w:pStyle w:val="13"/>
              <w:rPr>
                <w:rFonts w:hint="eastAsia"/>
                <w:highlight w:val="none"/>
                <w:lang w:val="zh-CN"/>
              </w:rPr>
            </w:pPr>
            <w:r>
              <w:rPr>
                <w:highlight w:val="none"/>
                <w:lang w:val="zh-CN"/>
              </w:rPr>
              <w:t>门窗扇安装后，</w:t>
            </w:r>
          </w:p>
          <w:p w14:paraId="39BCB9E8">
            <w:pPr>
              <w:pStyle w:val="13"/>
              <w:rPr>
                <w:rFonts w:hint="eastAsia"/>
                <w:highlight w:val="none"/>
                <w:lang w:val="zh-CN"/>
              </w:rPr>
            </w:pPr>
            <w:r>
              <w:rPr>
                <w:highlight w:val="none"/>
                <w:lang w:val="zh-CN"/>
              </w:rPr>
              <w:t>关窗锁门，以防</w:t>
            </w:r>
          </w:p>
          <w:p w14:paraId="1834DC7D">
            <w:pPr>
              <w:pStyle w:val="13"/>
              <w:rPr>
                <w:rFonts w:hint="eastAsia"/>
                <w:highlight w:val="none"/>
                <w:lang w:val="zh-CN"/>
              </w:rPr>
            </w:pPr>
            <w:r>
              <w:rPr>
                <w:highlight w:val="none"/>
                <w:lang w:val="zh-CN"/>
              </w:rPr>
              <w:t>风吹损坏门窗。</w:t>
            </w:r>
          </w:p>
          <w:p w14:paraId="3EFB6DC5">
            <w:pPr>
              <w:pStyle w:val="13"/>
              <w:rPr>
                <w:rFonts w:hint="eastAsia"/>
                <w:highlight w:val="none"/>
                <w:lang w:val="zh-CN"/>
              </w:rPr>
            </w:pPr>
            <w:r>
              <w:rPr>
                <w:highlight w:val="none"/>
                <w:lang w:val="zh-CN"/>
              </w:rPr>
              <w:t>如现场存在门窗</w:t>
            </w:r>
          </w:p>
          <w:p w14:paraId="4EAEE78C">
            <w:pPr>
              <w:pStyle w:val="13"/>
              <w:rPr>
                <w:rFonts w:hint="eastAsia"/>
                <w:highlight w:val="none"/>
                <w:lang w:val="zh-CN"/>
              </w:rPr>
            </w:pPr>
            <w:r>
              <w:rPr>
                <w:highlight w:val="none"/>
                <w:lang w:val="zh-CN"/>
              </w:rPr>
              <w:t>未装锁、钢（含</w:t>
            </w:r>
          </w:p>
          <w:p w14:paraId="26F5BC8E">
            <w:pPr>
              <w:pStyle w:val="13"/>
              <w:rPr>
                <w:rFonts w:hint="eastAsia"/>
                <w:highlight w:val="none"/>
                <w:lang w:val="zh-CN"/>
              </w:rPr>
            </w:pPr>
            <w:r>
              <w:rPr>
                <w:highlight w:val="none"/>
                <w:lang w:val="zh-CN"/>
              </w:rPr>
              <w:t>塑料）窗未装撑</w:t>
            </w:r>
          </w:p>
          <w:p w14:paraId="3C4F4D22">
            <w:pPr>
              <w:pStyle w:val="13"/>
              <w:rPr>
                <w:rFonts w:hint="eastAsia"/>
                <w:highlight w:val="none"/>
                <w:lang w:val="zh-CN"/>
              </w:rPr>
            </w:pPr>
            <w:r>
              <w:rPr>
                <w:highlight w:val="none"/>
                <w:lang w:val="zh-CN"/>
              </w:rPr>
              <w:t>挡，则应用木楔</w:t>
            </w:r>
          </w:p>
          <w:p w14:paraId="494ED802">
            <w:pPr>
              <w:pStyle w:val="13"/>
              <w:rPr>
                <w:rFonts w:hint="eastAsia"/>
                <w:highlight w:val="none"/>
                <w:lang w:val="zh-CN"/>
              </w:rPr>
            </w:pPr>
            <w:r>
              <w:rPr>
                <w:highlight w:val="none"/>
                <w:lang w:val="zh-CN"/>
              </w:rPr>
              <w:t>塞紧以防开启，</w:t>
            </w:r>
          </w:p>
          <w:p w14:paraId="70C1A994">
            <w:pPr>
              <w:pStyle w:val="13"/>
              <w:rPr>
                <w:rFonts w:hint="eastAsia"/>
                <w:highlight w:val="none"/>
                <w:lang w:val="zh-CN"/>
              </w:rPr>
            </w:pPr>
            <w:r>
              <w:rPr>
                <w:highlight w:val="none"/>
                <w:lang w:val="zh-CN"/>
              </w:rPr>
              <w:t>并有专人管理。</w:t>
            </w:r>
          </w:p>
        </w:tc>
        <w:tc>
          <w:tcPr>
            <w:tcW w:w="4200" w:type="dxa"/>
            <w:tcBorders>
              <w:top w:val="single" w:color="auto" w:sz="4" w:space="0"/>
            </w:tcBorders>
            <w:vAlign w:val="center"/>
          </w:tcPr>
          <w:p w14:paraId="50937F56">
            <w:pPr>
              <w:pStyle w:val="13"/>
              <w:rPr>
                <w:rFonts w:hint="eastAsia"/>
                <w:highlight w:val="none"/>
                <w:lang w:val="zh-CN"/>
              </w:rPr>
            </w:pPr>
            <w:r>
              <w:rPr>
                <w:highlight w:val="none"/>
              </w:rPr>
              <w:drawing>
                <wp:inline distT="0" distB="0" distL="0" distR="0">
                  <wp:extent cx="2343150" cy="1971040"/>
                  <wp:effectExtent l="0" t="0" r="0" b="635"/>
                  <wp:docPr id="217"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112.jpeg"/>
                          <pic:cNvPicPr>
                            <a:picLocks noChangeAspect="1"/>
                          </pic:cNvPicPr>
                        </pic:nvPicPr>
                        <pic:blipFill>
                          <a:blip r:embed="rId119" cstate="print"/>
                          <a:stretch>
                            <a:fillRect/>
                          </a:stretch>
                        </pic:blipFill>
                        <pic:spPr>
                          <a:xfrm>
                            <a:off x="0" y="0"/>
                            <a:ext cx="2349162" cy="1976338"/>
                          </a:xfrm>
                          <a:prstGeom prst="rect">
                            <a:avLst/>
                          </a:prstGeom>
                        </pic:spPr>
                      </pic:pic>
                    </a:graphicData>
                  </a:graphic>
                </wp:inline>
              </w:drawing>
            </w:r>
          </w:p>
        </w:tc>
        <w:tc>
          <w:tcPr>
            <w:tcW w:w="4414" w:type="dxa"/>
            <w:tcBorders>
              <w:top w:val="single" w:color="auto" w:sz="4" w:space="0"/>
            </w:tcBorders>
            <w:vAlign w:val="center"/>
          </w:tcPr>
          <w:p w14:paraId="4588E7B9">
            <w:pPr>
              <w:pStyle w:val="13"/>
              <w:rPr>
                <w:rFonts w:hint="eastAsia"/>
                <w:highlight w:val="none"/>
                <w:lang w:val="zh-CN"/>
              </w:rPr>
            </w:pPr>
          </w:p>
        </w:tc>
        <w:tc>
          <w:tcPr>
            <w:tcW w:w="795" w:type="dxa"/>
            <w:vMerge w:val="restart"/>
            <w:tcBorders>
              <w:top w:val="single" w:color="auto" w:sz="4" w:space="0"/>
            </w:tcBorders>
            <w:vAlign w:val="center"/>
          </w:tcPr>
          <w:p w14:paraId="302E8A1C">
            <w:pPr>
              <w:pStyle w:val="13"/>
              <w:rPr>
                <w:rFonts w:hint="eastAsia"/>
                <w:highlight w:val="none"/>
                <w:lang w:val="zh-CN"/>
              </w:rPr>
            </w:pPr>
          </w:p>
        </w:tc>
      </w:tr>
      <w:tr w14:paraId="7C68991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nil"/>
              <w:bottom w:val="single" w:color="auto" w:sz="4" w:space="0"/>
            </w:tcBorders>
            <w:vAlign w:val="center"/>
          </w:tcPr>
          <w:p w14:paraId="1EA0F8B2">
            <w:pPr>
              <w:pStyle w:val="13"/>
              <w:rPr>
                <w:rFonts w:hint="eastAsia"/>
                <w:highlight w:val="none"/>
                <w:lang w:val="zh-CN"/>
              </w:rPr>
            </w:pPr>
          </w:p>
        </w:tc>
        <w:tc>
          <w:tcPr>
            <w:tcW w:w="484" w:type="dxa"/>
            <w:vMerge w:val="continue"/>
            <w:tcBorders>
              <w:bottom w:val="single" w:color="auto" w:sz="4" w:space="0"/>
            </w:tcBorders>
            <w:vAlign w:val="center"/>
          </w:tcPr>
          <w:p w14:paraId="2071827B">
            <w:pPr>
              <w:pStyle w:val="13"/>
              <w:rPr>
                <w:rFonts w:hint="eastAsia"/>
                <w:highlight w:val="none"/>
                <w:lang w:val="zh-CN"/>
              </w:rPr>
            </w:pPr>
          </w:p>
        </w:tc>
        <w:tc>
          <w:tcPr>
            <w:tcW w:w="570" w:type="dxa"/>
            <w:vMerge w:val="continue"/>
            <w:tcBorders>
              <w:bottom w:val="single" w:color="auto" w:sz="4" w:space="0"/>
            </w:tcBorders>
            <w:vAlign w:val="center"/>
          </w:tcPr>
          <w:p w14:paraId="3DA77CE7">
            <w:pPr>
              <w:pStyle w:val="13"/>
              <w:rPr>
                <w:rFonts w:hint="eastAsia"/>
                <w:highlight w:val="none"/>
                <w:lang w:val="zh-CN"/>
              </w:rPr>
            </w:pPr>
          </w:p>
        </w:tc>
        <w:tc>
          <w:tcPr>
            <w:tcW w:w="2447" w:type="dxa"/>
            <w:vMerge w:val="continue"/>
            <w:tcBorders>
              <w:bottom w:val="single" w:color="auto" w:sz="4" w:space="0"/>
            </w:tcBorders>
            <w:vAlign w:val="center"/>
          </w:tcPr>
          <w:p w14:paraId="5D6F8A0D">
            <w:pPr>
              <w:pStyle w:val="13"/>
              <w:rPr>
                <w:rFonts w:hint="eastAsia"/>
                <w:highlight w:val="none"/>
                <w:lang w:val="zh-CN"/>
              </w:rPr>
            </w:pPr>
          </w:p>
        </w:tc>
        <w:tc>
          <w:tcPr>
            <w:tcW w:w="4200" w:type="dxa"/>
            <w:tcBorders>
              <w:bottom w:val="single" w:color="auto" w:sz="4" w:space="0"/>
            </w:tcBorders>
            <w:vAlign w:val="center"/>
          </w:tcPr>
          <w:p w14:paraId="1B0FF04A">
            <w:pPr>
              <w:pStyle w:val="13"/>
              <w:rPr>
                <w:rFonts w:hint="eastAsia"/>
                <w:highlight w:val="none"/>
                <w:lang w:val="zh-CN"/>
              </w:rPr>
            </w:pPr>
            <w:r>
              <w:rPr>
                <w:rFonts w:hint="eastAsia"/>
                <w:highlight w:val="none"/>
                <w:lang w:val="zh-CN"/>
              </w:rPr>
              <w:t>开启扇组装完成后边部有硬纸壳保护边框和里面五金</w:t>
            </w:r>
          </w:p>
        </w:tc>
        <w:tc>
          <w:tcPr>
            <w:tcW w:w="4414" w:type="dxa"/>
            <w:tcBorders>
              <w:bottom w:val="single" w:color="auto" w:sz="4" w:space="0"/>
            </w:tcBorders>
            <w:vAlign w:val="center"/>
          </w:tcPr>
          <w:p w14:paraId="4D81F902">
            <w:pPr>
              <w:pStyle w:val="13"/>
              <w:rPr>
                <w:rFonts w:hint="eastAsia"/>
                <w:highlight w:val="none"/>
                <w:lang w:val="zh-CN"/>
              </w:rPr>
            </w:pPr>
          </w:p>
        </w:tc>
        <w:tc>
          <w:tcPr>
            <w:tcW w:w="795" w:type="dxa"/>
            <w:vMerge w:val="continue"/>
            <w:tcBorders>
              <w:top w:val="nil"/>
              <w:bottom w:val="single" w:color="auto" w:sz="4" w:space="0"/>
            </w:tcBorders>
            <w:vAlign w:val="center"/>
          </w:tcPr>
          <w:p w14:paraId="0E3AAF6D">
            <w:pPr>
              <w:pStyle w:val="13"/>
              <w:rPr>
                <w:rFonts w:hint="eastAsia"/>
                <w:highlight w:val="none"/>
                <w:lang w:val="zh-CN"/>
              </w:rPr>
            </w:pPr>
          </w:p>
        </w:tc>
      </w:tr>
      <w:tr w14:paraId="3265D5E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14:paraId="53C55BBF">
            <w:pPr>
              <w:pStyle w:val="13"/>
              <w:rPr>
                <w:rFonts w:hint="eastAsia"/>
                <w:highlight w:val="none"/>
                <w:lang w:val="zh-CN"/>
              </w:rPr>
            </w:pPr>
            <w:r>
              <w:rPr>
                <w:highlight w:val="none"/>
                <w:lang w:val="zh-CN"/>
              </w:rPr>
              <w:t>5</w:t>
            </w:r>
          </w:p>
        </w:tc>
        <w:tc>
          <w:tcPr>
            <w:tcW w:w="484" w:type="dxa"/>
            <w:vMerge w:val="restart"/>
            <w:tcBorders>
              <w:top w:val="single" w:color="auto" w:sz="4" w:space="0"/>
              <w:left w:val="single" w:color="auto" w:sz="4" w:space="0"/>
              <w:bottom w:val="single" w:color="auto" w:sz="4" w:space="0"/>
              <w:right w:val="single" w:color="auto" w:sz="4" w:space="0"/>
            </w:tcBorders>
            <w:vAlign w:val="center"/>
          </w:tcPr>
          <w:p w14:paraId="555D9350">
            <w:pPr>
              <w:pStyle w:val="13"/>
              <w:rPr>
                <w:rFonts w:hint="eastAsia"/>
                <w:highlight w:val="none"/>
                <w:lang w:val="zh-CN"/>
              </w:rPr>
            </w:pPr>
            <w:r>
              <w:rPr>
                <w:highlight w:val="none"/>
                <w:lang w:val="zh-CN"/>
              </w:rPr>
              <w:t>工厂包装</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14:paraId="01E9579B">
            <w:pPr>
              <w:pStyle w:val="13"/>
              <w:rPr>
                <w:rFonts w:hint="eastAsia"/>
                <w:highlight w:val="none"/>
                <w:lang w:val="zh-CN"/>
              </w:rPr>
            </w:pPr>
            <w:r>
              <w:rPr>
                <w:highlight w:val="none"/>
                <w:lang w:val="zh-CN"/>
              </w:rPr>
              <w:t>开启</w:t>
            </w:r>
          </w:p>
          <w:p w14:paraId="6FD28C3A">
            <w:pPr>
              <w:pStyle w:val="13"/>
              <w:rPr>
                <w:rFonts w:hint="eastAsia"/>
                <w:highlight w:val="none"/>
                <w:lang w:val="zh-CN"/>
              </w:rPr>
            </w:pPr>
            <w:r>
              <w:rPr>
                <w:highlight w:val="none"/>
                <w:lang w:val="zh-CN"/>
              </w:rPr>
              <w:t>扇保护做</w:t>
            </w:r>
          </w:p>
          <w:p w14:paraId="7B5A92BE">
            <w:pPr>
              <w:pStyle w:val="13"/>
              <w:rPr>
                <w:rFonts w:hint="eastAsia"/>
                <w:highlight w:val="none"/>
                <w:lang w:val="zh-CN"/>
              </w:rPr>
            </w:pPr>
            <w:r>
              <w:rPr>
                <w:highlight w:val="none"/>
                <w:lang w:val="zh-CN"/>
              </w:rPr>
              <w:t>法图</w:t>
            </w:r>
          </w:p>
          <w:p w14:paraId="5CBC75BD">
            <w:pPr>
              <w:pStyle w:val="13"/>
              <w:rPr>
                <w:rFonts w:hint="eastAsia"/>
                <w:highlight w:val="none"/>
                <w:lang w:val="zh-CN"/>
              </w:rPr>
            </w:pPr>
            <w:r>
              <w:rPr>
                <w:highlight w:val="none"/>
                <w:lang w:val="zh-CN"/>
              </w:rPr>
              <w:t>示</w:t>
            </w:r>
          </w:p>
        </w:tc>
        <w:tc>
          <w:tcPr>
            <w:tcW w:w="2447" w:type="dxa"/>
            <w:vMerge w:val="restart"/>
            <w:tcBorders>
              <w:top w:val="single" w:color="auto" w:sz="4" w:space="0"/>
              <w:left w:val="single" w:color="auto" w:sz="4" w:space="0"/>
              <w:bottom w:val="single" w:color="auto" w:sz="4" w:space="0"/>
              <w:right w:val="single" w:color="auto" w:sz="4" w:space="0"/>
            </w:tcBorders>
            <w:vAlign w:val="center"/>
          </w:tcPr>
          <w:p w14:paraId="44FDB119">
            <w:pPr>
              <w:pStyle w:val="13"/>
              <w:rPr>
                <w:rFonts w:hint="eastAsia"/>
                <w:highlight w:val="none"/>
                <w:lang w:val="zh-CN"/>
              </w:rPr>
            </w:pPr>
          </w:p>
        </w:tc>
        <w:tc>
          <w:tcPr>
            <w:tcW w:w="4200" w:type="dxa"/>
            <w:tcBorders>
              <w:top w:val="single" w:color="auto" w:sz="4" w:space="0"/>
              <w:left w:val="single" w:color="auto" w:sz="4" w:space="0"/>
              <w:bottom w:val="single" w:color="auto" w:sz="4" w:space="0"/>
              <w:right w:val="single" w:color="auto" w:sz="4" w:space="0"/>
            </w:tcBorders>
            <w:vAlign w:val="center"/>
          </w:tcPr>
          <w:p w14:paraId="537FD2F7">
            <w:pPr>
              <w:pStyle w:val="13"/>
              <w:rPr>
                <w:rFonts w:hint="eastAsia"/>
                <w:highlight w:val="none"/>
                <w:lang w:val="zh-CN"/>
              </w:rPr>
            </w:pPr>
            <w:r>
              <w:rPr>
                <w:highlight w:val="none"/>
              </w:rPr>
              <w:drawing>
                <wp:inline distT="0" distB="0" distL="0" distR="0">
                  <wp:extent cx="2305050" cy="1667510"/>
                  <wp:effectExtent l="0" t="0" r="0" b="8890"/>
                  <wp:docPr id="221"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114.png"/>
                          <pic:cNvPicPr>
                            <a:picLocks noChangeAspect="1"/>
                          </pic:cNvPicPr>
                        </pic:nvPicPr>
                        <pic:blipFill>
                          <a:blip r:embed="rId120" cstate="print"/>
                          <a:stretch>
                            <a:fillRect/>
                          </a:stretch>
                        </pic:blipFill>
                        <pic:spPr>
                          <a:xfrm>
                            <a:off x="0" y="0"/>
                            <a:ext cx="2307961" cy="1669841"/>
                          </a:xfrm>
                          <a:prstGeom prst="rect">
                            <a:avLst/>
                          </a:prstGeom>
                        </pic:spPr>
                      </pic:pic>
                    </a:graphicData>
                  </a:graphic>
                </wp:inline>
              </w:drawing>
            </w:r>
          </w:p>
        </w:tc>
        <w:tc>
          <w:tcPr>
            <w:tcW w:w="4414" w:type="dxa"/>
            <w:vMerge w:val="restart"/>
            <w:tcBorders>
              <w:top w:val="single" w:color="auto" w:sz="4" w:space="0"/>
              <w:left w:val="single" w:color="auto" w:sz="4" w:space="0"/>
              <w:bottom w:val="single" w:color="auto" w:sz="4" w:space="0"/>
              <w:right w:val="single" w:color="auto" w:sz="4" w:space="0"/>
            </w:tcBorders>
            <w:vAlign w:val="center"/>
          </w:tcPr>
          <w:p w14:paraId="69CD2120">
            <w:pPr>
              <w:pStyle w:val="13"/>
              <w:rPr>
                <w:rFonts w:hint="eastAsia"/>
                <w:highlight w:val="none"/>
                <w:lang w:val="zh-CN"/>
              </w:rPr>
            </w:pPr>
          </w:p>
        </w:tc>
        <w:tc>
          <w:tcPr>
            <w:tcW w:w="795" w:type="dxa"/>
            <w:vMerge w:val="restart"/>
            <w:tcBorders>
              <w:top w:val="single" w:color="auto" w:sz="4" w:space="0"/>
              <w:left w:val="single" w:color="auto" w:sz="4" w:space="0"/>
              <w:bottom w:val="single" w:color="auto" w:sz="4" w:space="0"/>
              <w:right w:val="single" w:color="auto" w:sz="4" w:space="0"/>
            </w:tcBorders>
            <w:vAlign w:val="center"/>
          </w:tcPr>
          <w:p w14:paraId="7D7CA8D4">
            <w:pPr>
              <w:pStyle w:val="13"/>
              <w:rPr>
                <w:rFonts w:hint="eastAsia"/>
                <w:highlight w:val="none"/>
                <w:lang w:val="zh-CN"/>
              </w:rPr>
            </w:pPr>
          </w:p>
        </w:tc>
      </w:tr>
      <w:tr w14:paraId="7AD7E2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14:paraId="07CC2018">
            <w:pPr>
              <w:pStyle w:val="13"/>
              <w:rPr>
                <w:rFonts w:hint="eastAsia"/>
                <w:highlight w:val="none"/>
                <w:lang w:val="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14:paraId="3CF7E108">
            <w:pPr>
              <w:pStyle w:val="13"/>
              <w:rPr>
                <w:rFonts w:hint="eastAsia"/>
                <w:highlight w:val="none"/>
                <w:lang w:val="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14:paraId="0C80BF1C">
            <w:pPr>
              <w:pStyle w:val="13"/>
              <w:rPr>
                <w:rFonts w:hint="eastAsia"/>
                <w:highlight w:val="none"/>
                <w:lang w:val="zh-CN"/>
              </w:rPr>
            </w:pPr>
          </w:p>
        </w:tc>
        <w:tc>
          <w:tcPr>
            <w:tcW w:w="2447" w:type="dxa"/>
            <w:vMerge w:val="continue"/>
            <w:tcBorders>
              <w:top w:val="single" w:color="auto" w:sz="4" w:space="0"/>
              <w:left w:val="single" w:color="auto" w:sz="4" w:space="0"/>
              <w:bottom w:val="single" w:color="auto" w:sz="4" w:space="0"/>
              <w:right w:val="single" w:color="auto" w:sz="4" w:space="0"/>
            </w:tcBorders>
            <w:vAlign w:val="center"/>
          </w:tcPr>
          <w:p w14:paraId="4230486C">
            <w:pPr>
              <w:pStyle w:val="13"/>
              <w:rPr>
                <w:rFonts w:hint="eastAsia"/>
                <w:highlight w:val="none"/>
                <w:lang w:val="zh-CN"/>
              </w:rPr>
            </w:pPr>
          </w:p>
        </w:tc>
        <w:tc>
          <w:tcPr>
            <w:tcW w:w="4200" w:type="dxa"/>
            <w:tcBorders>
              <w:top w:val="single" w:color="auto" w:sz="4" w:space="0"/>
              <w:left w:val="single" w:color="auto" w:sz="4" w:space="0"/>
              <w:bottom w:val="single" w:color="auto" w:sz="4" w:space="0"/>
              <w:right w:val="single" w:color="auto" w:sz="4" w:space="0"/>
            </w:tcBorders>
            <w:vAlign w:val="center"/>
          </w:tcPr>
          <w:p w14:paraId="51573A5D">
            <w:pPr>
              <w:pStyle w:val="13"/>
              <w:rPr>
                <w:rFonts w:hint="eastAsia"/>
                <w:highlight w:val="none"/>
                <w:lang w:val="zh-CN"/>
              </w:rPr>
            </w:pPr>
            <w:r>
              <w:rPr>
                <w:rFonts w:hint="eastAsia"/>
                <w:highlight w:val="none"/>
                <w:lang w:val="zh-CN"/>
              </w:rPr>
              <w:t>工厂开启扇边框保护包裹做法大样图图</w:t>
            </w:r>
          </w:p>
        </w:tc>
        <w:tc>
          <w:tcPr>
            <w:tcW w:w="4414" w:type="dxa"/>
            <w:vMerge w:val="continue"/>
            <w:tcBorders>
              <w:top w:val="single" w:color="auto" w:sz="4" w:space="0"/>
              <w:left w:val="single" w:color="auto" w:sz="4" w:space="0"/>
              <w:bottom w:val="single" w:color="auto" w:sz="4" w:space="0"/>
              <w:right w:val="single" w:color="auto" w:sz="4" w:space="0"/>
            </w:tcBorders>
            <w:vAlign w:val="center"/>
          </w:tcPr>
          <w:p w14:paraId="1A66E78A">
            <w:pPr>
              <w:pStyle w:val="13"/>
              <w:rPr>
                <w:rFonts w:hint="eastAsia"/>
                <w:highlight w:val="none"/>
                <w:lang w:val="zh-CN"/>
              </w:rPr>
            </w:pPr>
          </w:p>
        </w:tc>
        <w:tc>
          <w:tcPr>
            <w:tcW w:w="795" w:type="dxa"/>
            <w:vMerge w:val="continue"/>
            <w:tcBorders>
              <w:top w:val="single" w:color="auto" w:sz="4" w:space="0"/>
              <w:left w:val="single" w:color="auto" w:sz="4" w:space="0"/>
              <w:bottom w:val="single" w:color="auto" w:sz="4" w:space="0"/>
              <w:right w:val="single" w:color="auto" w:sz="4" w:space="0"/>
            </w:tcBorders>
            <w:vAlign w:val="center"/>
          </w:tcPr>
          <w:p w14:paraId="78CD663B">
            <w:pPr>
              <w:pStyle w:val="13"/>
              <w:rPr>
                <w:rFonts w:hint="eastAsia"/>
                <w:highlight w:val="none"/>
                <w:lang w:val="zh-CN"/>
              </w:rPr>
            </w:pPr>
          </w:p>
        </w:tc>
      </w:tr>
      <w:tr w14:paraId="731546F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tcBorders>
              <w:top w:val="single" w:color="auto" w:sz="4" w:space="0"/>
              <w:left w:val="single" w:color="auto" w:sz="4" w:space="0"/>
              <w:bottom w:val="single" w:color="auto" w:sz="4" w:space="0"/>
              <w:right w:val="single" w:color="auto" w:sz="4" w:space="0"/>
            </w:tcBorders>
            <w:vAlign w:val="center"/>
          </w:tcPr>
          <w:p w14:paraId="470A55F7">
            <w:pPr>
              <w:pStyle w:val="13"/>
              <w:rPr>
                <w:rFonts w:hint="eastAsia"/>
                <w:highlight w:val="none"/>
                <w:lang w:val="zh-CN"/>
              </w:rPr>
            </w:pPr>
            <w:r>
              <w:rPr>
                <w:highlight w:val="none"/>
                <w:lang w:val="zh-CN"/>
              </w:rPr>
              <w:t>6</w:t>
            </w:r>
          </w:p>
        </w:tc>
        <w:tc>
          <w:tcPr>
            <w:tcW w:w="484" w:type="dxa"/>
            <w:tcBorders>
              <w:top w:val="single" w:color="auto" w:sz="4" w:space="0"/>
              <w:left w:val="single" w:color="auto" w:sz="4" w:space="0"/>
              <w:bottom w:val="single" w:color="auto" w:sz="4" w:space="0"/>
              <w:right w:val="single" w:color="auto" w:sz="4" w:space="0"/>
            </w:tcBorders>
            <w:vAlign w:val="center"/>
          </w:tcPr>
          <w:p w14:paraId="7290C011">
            <w:pPr>
              <w:pStyle w:val="13"/>
              <w:rPr>
                <w:rFonts w:hint="eastAsia"/>
                <w:highlight w:val="none"/>
                <w:lang w:val="zh-CN"/>
              </w:rPr>
            </w:pPr>
            <w:r>
              <w:rPr>
                <w:highlight w:val="none"/>
                <w:lang w:val="zh-CN"/>
              </w:rPr>
              <w:t>现场过程保护</w:t>
            </w:r>
          </w:p>
        </w:tc>
        <w:tc>
          <w:tcPr>
            <w:tcW w:w="570" w:type="dxa"/>
            <w:tcBorders>
              <w:top w:val="single" w:color="auto" w:sz="4" w:space="0"/>
              <w:left w:val="single" w:color="auto" w:sz="4" w:space="0"/>
              <w:bottom w:val="single" w:color="auto" w:sz="4" w:space="0"/>
              <w:right w:val="single" w:color="auto" w:sz="4" w:space="0"/>
            </w:tcBorders>
            <w:vAlign w:val="center"/>
          </w:tcPr>
          <w:p w14:paraId="36253620">
            <w:pPr>
              <w:pStyle w:val="13"/>
              <w:rPr>
                <w:rFonts w:hint="eastAsia"/>
                <w:highlight w:val="none"/>
                <w:lang w:val="zh-CN"/>
              </w:rPr>
            </w:pPr>
            <w:r>
              <w:rPr>
                <w:highlight w:val="none"/>
                <w:lang w:val="zh-CN"/>
              </w:rPr>
              <w:t>窗户现场保护</w:t>
            </w:r>
          </w:p>
        </w:tc>
        <w:tc>
          <w:tcPr>
            <w:tcW w:w="2447" w:type="dxa"/>
            <w:tcBorders>
              <w:top w:val="single" w:color="auto" w:sz="4" w:space="0"/>
              <w:left w:val="single" w:color="auto" w:sz="4" w:space="0"/>
              <w:bottom w:val="single" w:color="auto" w:sz="4" w:space="0"/>
              <w:right w:val="single" w:color="auto" w:sz="4" w:space="0"/>
            </w:tcBorders>
            <w:vAlign w:val="center"/>
          </w:tcPr>
          <w:p w14:paraId="4C9A3D78">
            <w:pPr>
              <w:pStyle w:val="13"/>
              <w:rPr>
                <w:rFonts w:hint="eastAsia"/>
                <w:highlight w:val="none"/>
                <w:lang w:val="zh-CN"/>
              </w:rPr>
            </w:pPr>
            <w:r>
              <w:rPr>
                <w:highlight w:val="none"/>
                <w:lang w:val="zh-CN"/>
              </w:rPr>
              <w:t>门窗玻璃以及</w:t>
            </w:r>
            <w:r>
              <w:rPr>
                <w:rFonts w:hint="eastAsia"/>
                <w:highlight w:val="none"/>
              </w:rPr>
              <w:t>开</w:t>
            </w:r>
            <w:r>
              <w:rPr>
                <w:highlight w:val="none"/>
                <w:lang w:val="zh-CN"/>
              </w:rPr>
              <w:t>启扇安装完成</w:t>
            </w:r>
          </w:p>
          <w:p w14:paraId="5435083F">
            <w:pPr>
              <w:pStyle w:val="13"/>
              <w:rPr>
                <w:rFonts w:hint="eastAsia"/>
                <w:highlight w:val="none"/>
                <w:lang w:val="zh-CN"/>
              </w:rPr>
            </w:pPr>
            <w:r>
              <w:rPr>
                <w:highlight w:val="none"/>
                <w:lang w:val="zh-CN"/>
              </w:rPr>
              <w:t>后，由于整体工</w:t>
            </w:r>
          </w:p>
          <w:p w14:paraId="118A490F">
            <w:pPr>
              <w:pStyle w:val="13"/>
              <w:rPr>
                <w:rFonts w:hint="eastAsia"/>
                <w:highlight w:val="none"/>
                <w:lang w:val="zh-CN"/>
              </w:rPr>
            </w:pPr>
            <w:r>
              <w:rPr>
                <w:highlight w:val="none"/>
                <w:lang w:val="zh-CN"/>
              </w:rPr>
              <w:t>期的不确定性以</w:t>
            </w:r>
          </w:p>
          <w:p w14:paraId="012174B5">
            <w:pPr>
              <w:pStyle w:val="13"/>
              <w:rPr>
                <w:rFonts w:hint="eastAsia"/>
                <w:highlight w:val="none"/>
                <w:lang w:val="zh-CN"/>
              </w:rPr>
            </w:pPr>
            <w:r>
              <w:rPr>
                <w:highlight w:val="none"/>
                <w:lang w:val="zh-CN"/>
              </w:rPr>
              <w:t>及室内外可能仍</w:t>
            </w:r>
          </w:p>
          <w:p w14:paraId="7B86F654">
            <w:pPr>
              <w:pStyle w:val="13"/>
              <w:rPr>
                <w:rFonts w:hint="eastAsia"/>
                <w:highlight w:val="none"/>
                <w:lang w:val="zh-CN"/>
              </w:rPr>
            </w:pPr>
            <w:r>
              <w:rPr>
                <w:highlight w:val="none"/>
                <w:lang w:val="zh-CN"/>
              </w:rPr>
              <w:t>有其他作业工作，现可选择性要求施工单位将铝型材原保护膜全部撕掉（避免工期过长膜老化无法撕除），现场重新用糯米胶和硬质塑料将门窗室内外的玻璃以及型材重新全部保护，从根本上杜绝其他后续污染，现场应慎</w:t>
            </w:r>
          </w:p>
          <w:p w14:paraId="03A4E5AA">
            <w:pPr>
              <w:pStyle w:val="13"/>
              <w:rPr>
                <w:rFonts w:hint="eastAsia"/>
                <w:highlight w:val="none"/>
                <w:lang w:val="zh-CN"/>
              </w:rPr>
            </w:pPr>
            <w:r>
              <w:rPr>
                <w:highlight w:val="none"/>
                <w:lang w:val="zh-CN"/>
              </w:rPr>
              <w:t>重选择保护膜，应选择厚质、抗老化薄膜。</w:t>
            </w:r>
          </w:p>
        </w:tc>
        <w:tc>
          <w:tcPr>
            <w:tcW w:w="4200" w:type="dxa"/>
            <w:tcBorders>
              <w:top w:val="single" w:color="auto" w:sz="4" w:space="0"/>
              <w:left w:val="single" w:color="auto" w:sz="4" w:space="0"/>
              <w:bottom w:val="single" w:color="auto" w:sz="4" w:space="0"/>
              <w:right w:val="single" w:color="auto" w:sz="4" w:space="0"/>
            </w:tcBorders>
            <w:vAlign w:val="center"/>
          </w:tcPr>
          <w:p w14:paraId="680B4E0C">
            <w:pPr>
              <w:pStyle w:val="13"/>
              <w:rPr>
                <w:rFonts w:hint="eastAsia"/>
                <w:highlight w:val="none"/>
                <w:lang w:val="zh-CN"/>
              </w:rPr>
            </w:pPr>
            <w:r>
              <w:rPr>
                <w:highlight w:val="none"/>
              </w:rPr>
              <w:drawing>
                <wp:inline distT="0" distB="0" distL="0" distR="0">
                  <wp:extent cx="2437765" cy="1885950"/>
                  <wp:effectExtent l="0" t="0" r="635" b="0"/>
                  <wp:docPr id="223"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115.jpeg"/>
                          <pic:cNvPicPr>
                            <a:picLocks noChangeAspect="1"/>
                          </pic:cNvPicPr>
                        </pic:nvPicPr>
                        <pic:blipFill>
                          <a:blip r:embed="rId121" cstate="print"/>
                          <a:stretch>
                            <a:fillRect/>
                          </a:stretch>
                        </pic:blipFill>
                        <pic:spPr>
                          <a:xfrm>
                            <a:off x="0" y="0"/>
                            <a:ext cx="2445738" cy="1891887"/>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14:paraId="14BE1168">
            <w:pPr>
              <w:pStyle w:val="13"/>
              <w:rPr>
                <w:rFonts w:hint="eastAsia"/>
                <w:highlight w:val="none"/>
                <w:lang w:val="zh-CN"/>
              </w:rPr>
            </w:pPr>
          </w:p>
        </w:tc>
        <w:tc>
          <w:tcPr>
            <w:tcW w:w="795" w:type="dxa"/>
            <w:tcBorders>
              <w:top w:val="single" w:color="auto" w:sz="4" w:space="0"/>
              <w:left w:val="single" w:color="auto" w:sz="4" w:space="0"/>
              <w:bottom w:val="single" w:color="auto" w:sz="4" w:space="0"/>
              <w:right w:val="single" w:color="auto" w:sz="4" w:space="0"/>
            </w:tcBorders>
            <w:vAlign w:val="center"/>
          </w:tcPr>
          <w:p w14:paraId="5AAE7D99">
            <w:pPr>
              <w:pStyle w:val="13"/>
              <w:rPr>
                <w:rFonts w:hint="eastAsia"/>
                <w:highlight w:val="none"/>
                <w:lang w:val="zh-CN"/>
              </w:rPr>
            </w:pPr>
          </w:p>
        </w:tc>
      </w:tr>
      <w:tr w14:paraId="7C2F8ED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vAlign w:val="center"/>
          </w:tcPr>
          <w:p w14:paraId="1250A9FB">
            <w:pPr>
              <w:pStyle w:val="13"/>
              <w:rPr>
                <w:rFonts w:hint="eastAsia"/>
                <w:highlight w:val="none"/>
                <w:lang w:val="zh-CN"/>
              </w:rPr>
            </w:pPr>
            <w:r>
              <w:rPr>
                <w:highlight w:val="none"/>
                <w:lang w:val="zh-CN"/>
              </w:rPr>
              <mc:AlternateContent>
                <mc:Choice Requires="wpg">
                  <w:drawing>
                    <wp:anchor distT="0" distB="0" distL="114300" distR="114300" simplePos="0" relativeHeight="251659264" behindDoc="1" locked="0" layoutInCell="1" allowOverlap="1">
                      <wp:simplePos x="0" y="0"/>
                      <wp:positionH relativeFrom="page">
                        <wp:posOffset>4896485</wp:posOffset>
                      </wp:positionH>
                      <wp:positionV relativeFrom="page">
                        <wp:posOffset>13865225</wp:posOffset>
                      </wp:positionV>
                      <wp:extent cx="3286760" cy="3080385"/>
                      <wp:effectExtent l="635" t="0" r="8255" b="5715"/>
                      <wp:wrapNone/>
                      <wp:docPr id="168" name="组合 6"/>
                      <wp:cNvGraphicFramePr/>
                      <a:graphic xmlns:a="http://schemas.openxmlformats.org/drawingml/2006/main">
                        <a:graphicData uri="http://schemas.microsoft.com/office/word/2010/wordprocessingGroup">
                          <wpg:wgp>
                            <wpg:cNvGrpSpPr/>
                            <wpg:grpSpPr>
                              <a:xfrm>
                                <a:off x="0" y="0"/>
                                <a:ext cx="3286760" cy="3080385"/>
                                <a:chOff x="7712" y="21835"/>
                                <a:chExt cx="5176" cy="4851"/>
                              </a:xfrm>
                              <a:effectLst/>
                            </wpg:grpSpPr>
                            <pic:pic xmlns:pic="http://schemas.openxmlformats.org/drawingml/2006/picture">
                              <pic:nvPicPr>
                                <pic:cNvPr id="32" name="图片 7"/>
                                <pic:cNvPicPr>
                                  <a:picLocks noChangeAspect="1"/>
                                </pic:cNvPicPr>
                              </pic:nvPicPr>
                              <pic:blipFill>
                                <a:blip r:embed="rId122"/>
                                <a:stretch>
                                  <a:fillRect/>
                                </a:stretch>
                              </pic:blipFill>
                              <pic:spPr>
                                <a:xfrm>
                                  <a:off x="7711" y="21835"/>
                                  <a:ext cx="5176" cy="4851"/>
                                </a:xfrm>
                                <a:prstGeom prst="rect">
                                  <a:avLst/>
                                </a:prstGeom>
                                <a:noFill/>
                                <a:ln>
                                  <a:noFill/>
                                </a:ln>
                                <a:effectLst/>
                              </pic:spPr>
                            </pic:pic>
                            <wps:wsp>
                              <wps:cNvPr id="34" name="矩形 8"/>
                              <wps:cNvSpPr/>
                              <wps:spPr>
                                <a:xfrm>
                                  <a:off x="11750" y="24345"/>
                                  <a:ext cx="741" cy="402"/>
                                </a:xfrm>
                                <a:prstGeom prst="rect">
                                  <a:avLst/>
                                </a:prstGeom>
                                <a:solidFill>
                                  <a:srgbClr val="4F81BC"/>
                                </a:solidFill>
                                <a:ln>
                                  <a:noFill/>
                                </a:ln>
                                <a:effectLst/>
                              </wps:spPr>
                              <wps:bodyPr upright="1"/>
                            </wps:wsp>
                            <wps:wsp>
                              <wps:cNvPr id="36" name="直线 9"/>
                              <wps:cNvCnPr/>
                              <wps:spPr>
                                <a:xfrm flipH="1">
                                  <a:off x="11413" y="24420"/>
                                  <a:ext cx="276" cy="192"/>
                                </a:xfrm>
                                <a:prstGeom prst="line">
                                  <a:avLst/>
                                </a:prstGeom>
                                <a:ln w="18148" cap="flat" cmpd="sng">
                                  <a:solidFill>
                                    <a:srgbClr val="385D89"/>
                                  </a:solidFill>
                                  <a:prstDash val="solid"/>
                                  <a:headEnd type="none" w="med" len="med"/>
                                  <a:tailEnd type="none" w="med" len="med"/>
                                </a:ln>
                                <a:effectLst/>
                              </wps:spPr>
                              <wps:bodyPr/>
                            </wps:wsp>
                          </wpg:wgp>
                        </a:graphicData>
                      </a:graphic>
                    </wp:anchor>
                  </w:drawing>
                </mc:Choice>
                <mc:Fallback>
                  <w:pict>
                    <v:group id="组合 6" o:spid="_x0000_s1026" o:spt="203" style="position:absolute;left:0pt;margin-left:385.55pt;margin-top:1091.75pt;height:242.55pt;width:258.8pt;mso-position-horizontal-relative:page;mso-position-vertical-relative:page;z-index:-251657216;mso-width-relative:page;mso-height-relative:page;" coordorigin="7712,21835" coordsize="5176,4851" o:gfxdata="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">
                      <o:lock v:ext="edit" aspectratio="f"/>
                      <v:shape id="图片 7" o:spid="_x0000_s1026" o:spt="75" type="#_x0000_t75" style="position:absolute;left:7711;top:21835;height:4851;width:5176;" filled="f" o:preferrelative="t" stroked="f" coordsize="21600,21600" o:gfxdata="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nvs5C2AAAA2wAAAA8A&#10;AAAAAAAAAQAgAAAAIgAAAGRycy9kb3ducmV2LnhtbFBLAQIUABQAAAAIAIdO4kAzLwWeOwAAADkA&#10;AAAQAAAAAAAAAAEAIAAAAAUBAABkcnMvc2hhcGV4bWwueG1sUEsFBgAAAAAGAAYAWwEAAK8DAAAA&#10;AA==&#10;">
                        <v:fill on="f" focussize="0,0"/>
                        <v:stroke on="f"/>
                        <v:imagedata r:id="rId122" o:title=""/>
                        <o:lock v:ext="edit" aspectratio="t"/>
                      </v:shape>
                      <v:rect id="矩形 8" o:spid="_x0000_s1026" o:spt="1" style="position:absolute;left:11750;top:24345;height:402;width:741;" fillcolor="#4F81BC" filled="t" stroked="f" coordsize="21600,21600" o:gfxdata="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ziDwvQAA&#10;ANsAAAAPAAAAAAAAAAEAIAAAACIAAABkcnMvZG93bnJldi54bWxQSwECFAAUAAAACACHTuJAMy8F&#10;njsAAAA5AAAAEAAAAAAAAAABACAAAAAMAQAAZHJzL3NoYXBleG1sLnhtbFBLBQYAAAAABgAGAFsB&#10;AAC2AwAAAAA=&#10;">
                        <v:fill on="t" focussize="0,0"/>
                        <v:stroke on="f"/>
                        <v:imagedata o:title=""/>
                        <o:lock v:ext="edit" aspectratio="f"/>
                      </v:rect>
                      <v:line id="直线 9" o:spid="_x0000_s1026" o:spt="20" style="position:absolute;left:11413;top:24420;flip:x;height:192;width:276;" filled="f" stroked="t" coordsize="21600,21600" o:gfxdata="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ySf+L4A&#10;AADbAAAADwAAAAAAAAABACAAAAAiAAAAZHJzL2Rvd25yZXYueG1sUEsBAhQAFAAAAAgAh07iQDMv&#10;BZ47AAAAOQAAABAAAAAAAAAAAQAgAAAADQEAAGRycy9zaGFwZXhtbC54bWxQSwUGAAAAAAYABgBb&#10;AQAAtwMAAAAA&#10;">
                        <v:fill on="f" focussize="0,0"/>
                        <v:stroke weight="1.42897637795276pt" color="#385D89" joinstyle="round"/>
                        <v:imagedata o:title=""/>
                        <o:lock v:ext="edit" aspectratio="f"/>
                      </v:line>
                    </v:group>
                  </w:pict>
                </mc:Fallback>
              </mc:AlternateContent>
            </w:r>
            <w:r>
              <w:rPr>
                <w:highlight w:val="none"/>
                <w:lang w:val="zh-CN"/>
              </w:rPr>
              <w:t>7</w:t>
            </w:r>
          </w:p>
        </w:tc>
        <w:tc>
          <w:tcPr>
            <w:tcW w:w="484" w:type="dxa"/>
            <w:vMerge w:val="restart"/>
            <w:vAlign w:val="center"/>
          </w:tcPr>
          <w:p w14:paraId="3B95CED6">
            <w:pPr>
              <w:pStyle w:val="13"/>
              <w:rPr>
                <w:rFonts w:hint="eastAsia"/>
                <w:highlight w:val="none"/>
                <w:lang w:val="zh-CN"/>
              </w:rPr>
            </w:pPr>
            <w:r>
              <w:rPr>
                <w:highlight w:val="none"/>
                <w:lang w:val="zh-CN"/>
              </w:rPr>
              <w:t>现场过程</w:t>
            </w:r>
          </w:p>
          <w:p w14:paraId="7D2CBA9C">
            <w:pPr>
              <w:pStyle w:val="13"/>
              <w:rPr>
                <w:rFonts w:hint="eastAsia"/>
                <w:highlight w:val="none"/>
                <w:lang w:val="zh-CN"/>
              </w:rPr>
            </w:pPr>
            <w:r>
              <w:rPr>
                <w:highlight w:val="none"/>
                <w:lang w:val="zh-CN"/>
              </w:rPr>
              <w:t>保护</w:t>
            </w:r>
          </w:p>
        </w:tc>
        <w:tc>
          <w:tcPr>
            <w:tcW w:w="570" w:type="dxa"/>
            <w:vMerge w:val="restart"/>
            <w:vAlign w:val="center"/>
          </w:tcPr>
          <w:p w14:paraId="37FFEED4">
            <w:pPr>
              <w:pStyle w:val="13"/>
              <w:rPr>
                <w:rFonts w:hint="eastAsia"/>
                <w:highlight w:val="none"/>
                <w:lang w:val="zh-CN"/>
              </w:rPr>
            </w:pPr>
            <w:r>
              <w:rPr>
                <w:highlight w:val="none"/>
                <w:lang w:val="zh-CN"/>
              </w:rPr>
              <w:t>窗户</w:t>
            </w:r>
          </w:p>
          <w:p w14:paraId="707A141A">
            <w:pPr>
              <w:pStyle w:val="13"/>
              <w:rPr>
                <w:rFonts w:hint="eastAsia"/>
                <w:highlight w:val="none"/>
                <w:lang w:val="zh-CN"/>
              </w:rPr>
            </w:pPr>
            <w:r>
              <w:rPr>
                <w:highlight w:val="none"/>
                <w:lang w:val="zh-CN"/>
              </w:rPr>
              <w:t>保护</w:t>
            </w:r>
          </w:p>
          <w:p w14:paraId="16622887">
            <w:pPr>
              <w:pStyle w:val="13"/>
              <w:rPr>
                <w:rFonts w:hint="eastAsia"/>
                <w:highlight w:val="none"/>
                <w:lang w:val="zh-CN"/>
              </w:rPr>
            </w:pPr>
            <w:r>
              <w:rPr>
                <w:highlight w:val="none"/>
                <w:lang w:val="zh-CN"/>
              </w:rPr>
              <w:t>图示</w:t>
            </w:r>
          </w:p>
          <w:p w14:paraId="4EB978EA">
            <w:pPr>
              <w:pStyle w:val="13"/>
              <w:rPr>
                <w:rFonts w:hint="eastAsia"/>
                <w:highlight w:val="none"/>
                <w:lang w:val="zh-CN"/>
              </w:rPr>
            </w:pPr>
            <w:r>
              <w:rPr>
                <w:highlight w:val="none"/>
                <w:lang w:val="zh-CN"/>
              </w:rPr>
              <w:t>整体</w:t>
            </w:r>
          </w:p>
          <w:p w14:paraId="3C6099DA">
            <w:pPr>
              <w:pStyle w:val="13"/>
              <w:rPr>
                <w:rFonts w:hint="eastAsia"/>
                <w:highlight w:val="none"/>
                <w:lang w:val="zh-CN"/>
              </w:rPr>
            </w:pPr>
            <w:r>
              <w:rPr>
                <w:highlight w:val="none"/>
                <w:lang w:val="zh-CN"/>
              </w:rPr>
              <w:t>做法</w:t>
            </w:r>
          </w:p>
        </w:tc>
        <w:tc>
          <w:tcPr>
            <w:tcW w:w="2447" w:type="dxa"/>
            <w:vMerge w:val="restart"/>
            <w:vAlign w:val="center"/>
          </w:tcPr>
          <w:p w14:paraId="60FB08CD">
            <w:pPr>
              <w:pStyle w:val="13"/>
              <w:rPr>
                <w:rFonts w:hint="eastAsia"/>
                <w:highlight w:val="none"/>
                <w:lang w:val="zh-CN"/>
              </w:rPr>
            </w:pPr>
          </w:p>
        </w:tc>
        <w:tc>
          <w:tcPr>
            <w:tcW w:w="4200" w:type="dxa"/>
            <w:vAlign w:val="center"/>
          </w:tcPr>
          <w:p w14:paraId="198D7AB0">
            <w:pPr>
              <w:pStyle w:val="13"/>
              <w:rPr>
                <w:rFonts w:hint="eastAsia"/>
                <w:highlight w:val="none"/>
                <w:lang w:val="zh-CN"/>
              </w:rPr>
            </w:pPr>
          </w:p>
          <w:p w14:paraId="63A88016">
            <w:pPr>
              <w:pStyle w:val="13"/>
              <w:rPr>
                <w:rFonts w:hint="eastAsia"/>
                <w:highlight w:val="none"/>
                <w:lang w:val="zh-CN"/>
              </w:rPr>
            </w:pPr>
            <w:r>
              <w:rPr>
                <w:highlight w:val="none"/>
              </w:rPr>
              <w:drawing>
                <wp:inline distT="0" distB="0" distL="0" distR="0">
                  <wp:extent cx="2482215" cy="1905000"/>
                  <wp:effectExtent l="0" t="0" r="3810" b="0"/>
                  <wp:docPr id="227" name="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118.png"/>
                          <pic:cNvPicPr>
                            <a:picLocks noChangeAspect="1"/>
                          </pic:cNvPicPr>
                        </pic:nvPicPr>
                        <pic:blipFill>
                          <a:blip r:embed="rId123" cstate="print"/>
                          <a:stretch>
                            <a:fillRect/>
                          </a:stretch>
                        </pic:blipFill>
                        <pic:spPr>
                          <a:xfrm>
                            <a:off x="0" y="0"/>
                            <a:ext cx="2489393" cy="1910350"/>
                          </a:xfrm>
                          <a:prstGeom prst="rect">
                            <a:avLst/>
                          </a:prstGeom>
                        </pic:spPr>
                      </pic:pic>
                    </a:graphicData>
                  </a:graphic>
                </wp:inline>
              </w:drawing>
            </w:r>
          </w:p>
        </w:tc>
        <w:tc>
          <w:tcPr>
            <w:tcW w:w="4414" w:type="dxa"/>
            <w:vMerge w:val="restart"/>
            <w:vAlign w:val="center"/>
          </w:tcPr>
          <w:p w14:paraId="5246B724">
            <w:pPr>
              <w:pStyle w:val="13"/>
              <w:rPr>
                <w:rFonts w:hint="eastAsia"/>
                <w:highlight w:val="none"/>
                <w:lang w:val="zh-CN"/>
              </w:rPr>
            </w:pPr>
          </w:p>
        </w:tc>
        <w:tc>
          <w:tcPr>
            <w:tcW w:w="795" w:type="dxa"/>
            <w:vMerge w:val="restart"/>
            <w:vAlign w:val="center"/>
          </w:tcPr>
          <w:p w14:paraId="7DECB02C">
            <w:pPr>
              <w:pStyle w:val="13"/>
              <w:rPr>
                <w:rFonts w:hint="eastAsia"/>
                <w:highlight w:val="none"/>
                <w:lang w:val="zh-CN"/>
              </w:rPr>
            </w:pPr>
          </w:p>
        </w:tc>
      </w:tr>
      <w:tr w14:paraId="3EE88EC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vAlign w:val="center"/>
          </w:tcPr>
          <w:p w14:paraId="47883F99">
            <w:pPr>
              <w:pStyle w:val="13"/>
              <w:rPr>
                <w:rFonts w:hint="eastAsia"/>
                <w:highlight w:val="none"/>
                <w:lang w:val="zh-CN"/>
              </w:rPr>
            </w:pPr>
          </w:p>
        </w:tc>
        <w:tc>
          <w:tcPr>
            <w:tcW w:w="484" w:type="dxa"/>
            <w:vMerge w:val="continue"/>
            <w:vAlign w:val="center"/>
          </w:tcPr>
          <w:p w14:paraId="50FCBAE8">
            <w:pPr>
              <w:pStyle w:val="13"/>
              <w:rPr>
                <w:rFonts w:hint="eastAsia"/>
                <w:highlight w:val="none"/>
                <w:lang w:val="zh-CN"/>
              </w:rPr>
            </w:pPr>
          </w:p>
        </w:tc>
        <w:tc>
          <w:tcPr>
            <w:tcW w:w="570" w:type="dxa"/>
            <w:vMerge w:val="continue"/>
            <w:vAlign w:val="center"/>
          </w:tcPr>
          <w:p w14:paraId="0A9B2675">
            <w:pPr>
              <w:pStyle w:val="13"/>
              <w:rPr>
                <w:rFonts w:hint="eastAsia"/>
                <w:highlight w:val="none"/>
                <w:lang w:val="zh-CN"/>
              </w:rPr>
            </w:pPr>
          </w:p>
        </w:tc>
        <w:tc>
          <w:tcPr>
            <w:tcW w:w="2447" w:type="dxa"/>
            <w:vMerge w:val="continue"/>
            <w:tcBorders>
              <w:top w:val="nil"/>
            </w:tcBorders>
            <w:vAlign w:val="center"/>
          </w:tcPr>
          <w:p w14:paraId="7D1F179D">
            <w:pPr>
              <w:pStyle w:val="13"/>
              <w:rPr>
                <w:rFonts w:hint="eastAsia"/>
                <w:highlight w:val="none"/>
                <w:lang w:val="zh-CN"/>
              </w:rPr>
            </w:pPr>
          </w:p>
        </w:tc>
        <w:tc>
          <w:tcPr>
            <w:tcW w:w="4200" w:type="dxa"/>
            <w:vAlign w:val="center"/>
          </w:tcPr>
          <w:p w14:paraId="2CD9DC52">
            <w:pPr>
              <w:pStyle w:val="13"/>
              <w:rPr>
                <w:rFonts w:hint="eastAsia"/>
                <w:highlight w:val="none"/>
                <w:lang w:val="zh-CN"/>
              </w:rPr>
            </w:pPr>
            <w:r>
              <w:rPr>
                <w:rFonts w:hint="eastAsia"/>
                <w:highlight w:val="none"/>
                <w:lang w:val="zh-CN"/>
              </w:rPr>
              <w:t>门窗玻璃、开启扇安装完成后糯米胶粘保护膜做法大样图</w:t>
            </w:r>
          </w:p>
        </w:tc>
        <w:tc>
          <w:tcPr>
            <w:tcW w:w="4414" w:type="dxa"/>
            <w:vMerge w:val="continue"/>
            <w:tcBorders>
              <w:top w:val="nil"/>
            </w:tcBorders>
            <w:vAlign w:val="center"/>
          </w:tcPr>
          <w:p w14:paraId="3CE5FA0D">
            <w:pPr>
              <w:pStyle w:val="13"/>
              <w:rPr>
                <w:rFonts w:hint="eastAsia"/>
                <w:highlight w:val="none"/>
                <w:lang w:val="zh-CN"/>
              </w:rPr>
            </w:pPr>
          </w:p>
        </w:tc>
        <w:tc>
          <w:tcPr>
            <w:tcW w:w="795" w:type="dxa"/>
            <w:vMerge w:val="continue"/>
            <w:tcBorders>
              <w:top w:val="nil"/>
            </w:tcBorders>
            <w:vAlign w:val="center"/>
          </w:tcPr>
          <w:p w14:paraId="5DB68A68">
            <w:pPr>
              <w:pStyle w:val="13"/>
              <w:rPr>
                <w:rFonts w:hint="eastAsia"/>
                <w:highlight w:val="none"/>
                <w:lang w:val="zh-CN"/>
              </w:rPr>
            </w:pPr>
          </w:p>
        </w:tc>
      </w:tr>
      <w:tr w14:paraId="408D7FD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vAlign w:val="center"/>
          </w:tcPr>
          <w:p w14:paraId="7ABA1758">
            <w:pPr>
              <w:pStyle w:val="13"/>
              <w:rPr>
                <w:rFonts w:hint="eastAsia"/>
                <w:highlight w:val="none"/>
                <w:lang w:val="zh-CN"/>
              </w:rPr>
            </w:pPr>
          </w:p>
        </w:tc>
        <w:tc>
          <w:tcPr>
            <w:tcW w:w="484" w:type="dxa"/>
            <w:vMerge w:val="continue"/>
            <w:vAlign w:val="center"/>
          </w:tcPr>
          <w:p w14:paraId="501E8DDE">
            <w:pPr>
              <w:pStyle w:val="13"/>
              <w:rPr>
                <w:rFonts w:hint="eastAsia"/>
                <w:highlight w:val="none"/>
                <w:lang w:val="zh-CN"/>
              </w:rPr>
            </w:pPr>
          </w:p>
        </w:tc>
        <w:tc>
          <w:tcPr>
            <w:tcW w:w="570" w:type="dxa"/>
            <w:vMerge w:val="restart"/>
            <w:vAlign w:val="center"/>
          </w:tcPr>
          <w:p w14:paraId="3F356413">
            <w:pPr>
              <w:pStyle w:val="13"/>
              <w:rPr>
                <w:rFonts w:hint="eastAsia"/>
                <w:highlight w:val="none"/>
                <w:lang w:val="zh-CN"/>
              </w:rPr>
            </w:pPr>
            <w:r>
              <w:rPr>
                <w:highlight w:val="none"/>
                <w:lang w:val="zh-CN"/>
              </w:rPr>
              <w:t>窗户</w:t>
            </w:r>
          </w:p>
          <w:p w14:paraId="7E4D125A">
            <w:pPr>
              <w:pStyle w:val="13"/>
              <w:rPr>
                <w:rFonts w:hint="eastAsia"/>
                <w:highlight w:val="none"/>
                <w:lang w:val="zh-CN"/>
              </w:rPr>
            </w:pPr>
            <w:r>
              <w:rPr>
                <w:highlight w:val="none"/>
                <w:lang w:val="zh-CN"/>
              </w:rPr>
              <w:t>保护</w:t>
            </w:r>
          </w:p>
          <w:p w14:paraId="6DC604A6">
            <w:pPr>
              <w:pStyle w:val="13"/>
              <w:rPr>
                <w:rFonts w:hint="eastAsia"/>
                <w:highlight w:val="none"/>
                <w:lang w:val="zh-CN"/>
              </w:rPr>
            </w:pPr>
            <w:r>
              <w:rPr>
                <w:highlight w:val="none"/>
                <w:lang w:val="zh-CN"/>
              </w:rPr>
              <w:t>图示</w:t>
            </w:r>
          </w:p>
          <w:p w14:paraId="60AD3B2E">
            <w:pPr>
              <w:pStyle w:val="13"/>
              <w:rPr>
                <w:rFonts w:hint="eastAsia"/>
                <w:highlight w:val="none"/>
                <w:lang w:val="zh-CN"/>
              </w:rPr>
            </w:pPr>
            <w:r>
              <w:rPr>
                <w:highlight w:val="none"/>
                <w:lang w:val="zh-CN"/>
              </w:rPr>
              <w:t>细节</w:t>
            </w:r>
          </w:p>
          <w:p w14:paraId="70C43CAF">
            <w:pPr>
              <w:pStyle w:val="13"/>
              <w:rPr>
                <w:rFonts w:hint="eastAsia"/>
                <w:highlight w:val="none"/>
                <w:lang w:val="zh-CN"/>
              </w:rPr>
            </w:pPr>
            <w:r>
              <w:rPr>
                <w:highlight w:val="none"/>
                <w:lang w:val="zh-CN"/>
              </w:rPr>
              <w:t>做法</w:t>
            </w:r>
          </w:p>
        </w:tc>
        <w:tc>
          <w:tcPr>
            <w:tcW w:w="2447" w:type="dxa"/>
            <w:vMerge w:val="restart"/>
            <w:vAlign w:val="center"/>
          </w:tcPr>
          <w:p w14:paraId="3358F1C6">
            <w:pPr>
              <w:pStyle w:val="13"/>
              <w:rPr>
                <w:rFonts w:hint="eastAsia"/>
                <w:highlight w:val="none"/>
                <w:lang w:val="zh-CN"/>
              </w:rPr>
            </w:pPr>
            <w:r>
              <w:rPr>
                <w:highlight w:val="none"/>
                <w:lang w:val="zh-CN"/>
              </w:rPr>
              <w:t>毛坯交房和精装交房糯米胶贴 膜，边部做法不同</w:t>
            </w:r>
          </w:p>
        </w:tc>
        <w:tc>
          <w:tcPr>
            <w:tcW w:w="4200" w:type="dxa"/>
            <w:vAlign w:val="center"/>
          </w:tcPr>
          <w:p w14:paraId="763FF77E">
            <w:pPr>
              <w:pStyle w:val="13"/>
              <w:rPr>
                <w:rFonts w:hint="eastAsia"/>
                <w:highlight w:val="none"/>
                <w:lang w:val="zh-CN"/>
              </w:rPr>
            </w:pPr>
          </w:p>
          <w:p w14:paraId="0F069051">
            <w:pPr>
              <w:pStyle w:val="13"/>
              <w:rPr>
                <w:rFonts w:hint="eastAsia"/>
                <w:highlight w:val="none"/>
                <w:lang w:val="zh-CN"/>
              </w:rPr>
            </w:pPr>
            <w:r>
              <w:rPr>
                <w:highlight w:val="none"/>
              </w:rPr>
              <w:drawing>
                <wp:inline distT="0" distB="0" distL="0" distR="0">
                  <wp:extent cx="2379980" cy="1905000"/>
                  <wp:effectExtent l="0" t="0" r="1270" b="0"/>
                  <wp:docPr id="229" name="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119.png"/>
                          <pic:cNvPicPr>
                            <a:picLocks noChangeAspect="1"/>
                          </pic:cNvPicPr>
                        </pic:nvPicPr>
                        <pic:blipFill>
                          <a:blip r:embed="rId124" cstate="print"/>
                          <a:stretch>
                            <a:fillRect/>
                          </a:stretch>
                        </pic:blipFill>
                        <pic:spPr>
                          <a:xfrm>
                            <a:off x="0" y="0"/>
                            <a:ext cx="2389732" cy="1912636"/>
                          </a:xfrm>
                          <a:prstGeom prst="rect">
                            <a:avLst/>
                          </a:prstGeom>
                        </pic:spPr>
                      </pic:pic>
                    </a:graphicData>
                  </a:graphic>
                </wp:inline>
              </w:drawing>
            </w:r>
          </w:p>
        </w:tc>
        <w:tc>
          <w:tcPr>
            <w:tcW w:w="4414" w:type="dxa"/>
            <w:vAlign w:val="center"/>
          </w:tcPr>
          <w:p w14:paraId="09DB2A80">
            <w:pPr>
              <w:pStyle w:val="13"/>
              <w:rPr>
                <w:rFonts w:hint="eastAsia"/>
                <w:highlight w:val="none"/>
                <w:lang w:val="zh-CN"/>
              </w:rPr>
            </w:pPr>
          </w:p>
          <w:p w14:paraId="37FA3762">
            <w:pPr>
              <w:pStyle w:val="13"/>
              <w:rPr>
                <w:rFonts w:hint="eastAsia"/>
                <w:highlight w:val="none"/>
                <w:lang w:val="zh-CN"/>
              </w:rPr>
            </w:pPr>
            <w:r>
              <w:rPr>
                <w:highlight w:val="none"/>
              </w:rPr>
              <w:drawing>
                <wp:inline distT="0" distB="0" distL="0" distR="0">
                  <wp:extent cx="2592705" cy="2076450"/>
                  <wp:effectExtent l="0" t="0" r="7620" b="0"/>
                  <wp:docPr id="231" name="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120.png"/>
                          <pic:cNvPicPr>
                            <a:picLocks noChangeAspect="1"/>
                          </pic:cNvPicPr>
                        </pic:nvPicPr>
                        <pic:blipFill>
                          <a:blip r:embed="rId125" cstate="print"/>
                          <a:stretch>
                            <a:fillRect/>
                          </a:stretch>
                        </pic:blipFill>
                        <pic:spPr>
                          <a:xfrm>
                            <a:off x="0" y="0"/>
                            <a:ext cx="2598478" cy="2080981"/>
                          </a:xfrm>
                          <a:prstGeom prst="rect">
                            <a:avLst/>
                          </a:prstGeom>
                        </pic:spPr>
                      </pic:pic>
                    </a:graphicData>
                  </a:graphic>
                </wp:inline>
              </w:drawing>
            </w:r>
          </w:p>
        </w:tc>
        <w:tc>
          <w:tcPr>
            <w:tcW w:w="795" w:type="dxa"/>
            <w:vMerge w:val="restart"/>
            <w:vAlign w:val="center"/>
          </w:tcPr>
          <w:p w14:paraId="152B7E00">
            <w:pPr>
              <w:pStyle w:val="13"/>
              <w:rPr>
                <w:rFonts w:hint="eastAsia"/>
                <w:highlight w:val="none"/>
                <w:lang w:val="zh-CN"/>
              </w:rPr>
            </w:pPr>
          </w:p>
        </w:tc>
      </w:tr>
      <w:tr w14:paraId="7DC566F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vAlign w:val="center"/>
          </w:tcPr>
          <w:p w14:paraId="0F6E6401">
            <w:pPr>
              <w:pStyle w:val="13"/>
              <w:rPr>
                <w:rFonts w:hint="eastAsia"/>
                <w:highlight w:val="none"/>
                <w:lang w:val="zh-CN"/>
              </w:rPr>
            </w:pPr>
          </w:p>
        </w:tc>
        <w:tc>
          <w:tcPr>
            <w:tcW w:w="484" w:type="dxa"/>
            <w:vMerge w:val="continue"/>
            <w:vAlign w:val="center"/>
          </w:tcPr>
          <w:p w14:paraId="18FF285F">
            <w:pPr>
              <w:pStyle w:val="13"/>
              <w:rPr>
                <w:rFonts w:hint="eastAsia"/>
                <w:highlight w:val="none"/>
                <w:lang w:val="zh-CN"/>
              </w:rPr>
            </w:pPr>
          </w:p>
        </w:tc>
        <w:tc>
          <w:tcPr>
            <w:tcW w:w="570" w:type="dxa"/>
            <w:vMerge w:val="continue"/>
            <w:vAlign w:val="center"/>
          </w:tcPr>
          <w:p w14:paraId="0FBC8C39">
            <w:pPr>
              <w:pStyle w:val="13"/>
              <w:rPr>
                <w:rFonts w:hint="eastAsia"/>
                <w:highlight w:val="none"/>
                <w:lang w:val="zh-CN"/>
              </w:rPr>
            </w:pPr>
          </w:p>
        </w:tc>
        <w:tc>
          <w:tcPr>
            <w:tcW w:w="2447" w:type="dxa"/>
            <w:vMerge w:val="continue"/>
            <w:tcBorders>
              <w:top w:val="nil"/>
            </w:tcBorders>
            <w:vAlign w:val="center"/>
          </w:tcPr>
          <w:p w14:paraId="4F5C13AA">
            <w:pPr>
              <w:pStyle w:val="13"/>
              <w:rPr>
                <w:rFonts w:hint="eastAsia"/>
                <w:highlight w:val="none"/>
                <w:lang w:val="zh-CN"/>
              </w:rPr>
            </w:pPr>
          </w:p>
        </w:tc>
        <w:tc>
          <w:tcPr>
            <w:tcW w:w="4200" w:type="dxa"/>
            <w:vAlign w:val="center"/>
          </w:tcPr>
          <w:p w14:paraId="1A6B3A00">
            <w:pPr>
              <w:pStyle w:val="13"/>
              <w:rPr>
                <w:rFonts w:hint="eastAsia"/>
                <w:highlight w:val="none"/>
                <w:lang w:val="zh-CN"/>
              </w:rPr>
            </w:pPr>
            <w:r>
              <w:rPr>
                <w:rFonts w:hint="eastAsia"/>
                <w:highlight w:val="none"/>
                <w:lang w:val="zh-CN"/>
              </w:rPr>
              <w:t>门窗玻璃、开启扇安装完成后糯米胶粘保护膜做法</w:t>
            </w:r>
          </w:p>
        </w:tc>
        <w:tc>
          <w:tcPr>
            <w:tcW w:w="4414" w:type="dxa"/>
            <w:vAlign w:val="center"/>
          </w:tcPr>
          <w:p w14:paraId="1E9CD24A">
            <w:pPr>
              <w:pStyle w:val="13"/>
              <w:rPr>
                <w:rFonts w:hint="eastAsia"/>
                <w:highlight w:val="none"/>
                <w:lang w:val="zh-CN"/>
              </w:rPr>
            </w:pPr>
            <w:r>
              <w:rPr>
                <w:rFonts w:hint="eastAsia"/>
                <w:highlight w:val="none"/>
                <w:lang w:val="zh-CN"/>
              </w:rPr>
              <w:t>门窗玻璃、开启扇安装完成后糯米胶粘保护膜做法细</w:t>
            </w:r>
          </w:p>
        </w:tc>
        <w:tc>
          <w:tcPr>
            <w:tcW w:w="795" w:type="dxa"/>
            <w:vMerge w:val="continue"/>
            <w:tcBorders>
              <w:top w:val="nil"/>
            </w:tcBorders>
            <w:vAlign w:val="center"/>
          </w:tcPr>
          <w:p w14:paraId="013C34E2">
            <w:pPr>
              <w:pStyle w:val="13"/>
              <w:rPr>
                <w:rFonts w:hint="eastAsia"/>
                <w:highlight w:val="none"/>
                <w:lang w:val="zh-CN"/>
              </w:rPr>
            </w:pPr>
          </w:p>
        </w:tc>
      </w:tr>
    </w:tbl>
    <w:p w14:paraId="2F46A236">
      <w:pPr>
        <w:spacing w:before="120" w:beforeLines="50" w:after="120" w:afterLines="50"/>
        <w:ind w:left="851" w:firstLine="0" w:firstLineChars="0"/>
        <w:rPr>
          <w:rFonts w:hint="eastAsia" w:cs="Arial"/>
          <w:highlight w:val="none"/>
        </w:rPr>
        <w:sectPr>
          <w:headerReference r:id="rId6" w:type="default"/>
          <w:footerReference r:id="rId7" w:type="default"/>
          <w:endnotePr>
            <w:numFmt w:val="decimal"/>
          </w:endnotePr>
          <w:pgSz w:w="16838" w:h="11905" w:orient="landscape"/>
          <w:pgMar w:top="1446" w:right="1429" w:bottom="1378" w:left="1310" w:header="0" w:footer="1145" w:gutter="0"/>
          <w:cols w:space="0" w:num="1"/>
          <w:docGrid w:linePitch="326" w:charSpace="0"/>
        </w:sectPr>
      </w:pPr>
    </w:p>
    <w:p w14:paraId="7B758502">
      <w:pPr>
        <w:pStyle w:val="4"/>
        <w:numPr>
          <w:ilvl w:val="2"/>
          <w:numId w:val="13"/>
        </w:numPr>
        <w:rPr>
          <w:rFonts w:hint="eastAsia"/>
          <w:highlight w:val="none"/>
        </w:rPr>
      </w:pPr>
      <w:bookmarkStart w:id="175" w:name="_Toc169722212"/>
      <w:r>
        <w:rPr>
          <w:rFonts w:hint="eastAsia"/>
          <w:highlight w:val="none"/>
        </w:rPr>
        <w:t>质量过程检查</w:t>
      </w:r>
    </w:p>
    <w:p w14:paraId="667C9BE7">
      <w:pPr>
        <w:pStyle w:val="5"/>
        <w:numPr>
          <w:ilvl w:val="3"/>
          <w:numId w:val="13"/>
        </w:numPr>
        <w:rPr>
          <w:rFonts w:hint="eastAsia"/>
          <w:highlight w:val="none"/>
        </w:rPr>
      </w:pPr>
      <w:r>
        <w:rPr>
          <w:rFonts w:hint="eastAsia"/>
          <w:highlight w:val="none"/>
        </w:rPr>
        <w:t>基本要求</w:t>
      </w:r>
    </w:p>
    <w:p w14:paraId="5575E8A0">
      <w:pPr>
        <w:ind w:firstLine="480"/>
        <w:rPr>
          <w:rFonts w:hint="eastAsia"/>
          <w:highlight w:val="none"/>
        </w:rPr>
      </w:pPr>
      <w:r>
        <w:rPr>
          <w:rFonts w:hint="eastAsia"/>
          <w:highlight w:val="none"/>
        </w:rPr>
        <w:t>发包人将根据不同施工阶段进行土建过程检查、精装过程检查、交付预检等专项检查，检查标准参见附件</w:t>
      </w:r>
      <w:r>
        <w:rPr>
          <w:rFonts w:hint="eastAsia"/>
          <w:b/>
          <w:bCs/>
          <w:highlight w:val="none"/>
        </w:rPr>
        <w:t>《【附件B-3】质量过程检查标准》</w:t>
      </w:r>
      <w:r>
        <w:rPr>
          <w:rFonts w:hint="eastAsia"/>
          <w:highlight w:val="none"/>
        </w:rPr>
        <w:t>，对施工单位、监理进行季度检查，施工单位标段综合得分85分以上或触红线项2条以内（包括两条）为合格，同时发包人将委托第三方对原材料+实体检测进行抽查，对材料抽检不合格将进行约谈，如检查分数低于85分或触碰红线项超过2条以及材料抽检不合格，将按合同条款进行违约处罚。</w:t>
      </w:r>
    </w:p>
    <w:p w14:paraId="276A17B2">
      <w:pPr>
        <w:ind w:firstLine="480"/>
        <w:rPr>
          <w:rFonts w:hint="eastAsia"/>
          <w:highlight w:val="none"/>
        </w:rPr>
      </w:pPr>
      <w:r>
        <w:rPr>
          <w:rFonts w:hint="eastAsia"/>
          <w:highlight w:val="none"/>
        </w:rPr>
        <w:t>本技术要求</w:t>
      </w:r>
      <w:r>
        <w:rPr>
          <w:highlight w:val="none"/>
        </w:rPr>
        <w:t>所述的</w:t>
      </w:r>
      <w:r>
        <w:rPr>
          <w:rFonts w:hint="eastAsia"/>
          <w:highlight w:val="none"/>
        </w:rPr>
        <w:t>质量检查内容及</w:t>
      </w:r>
      <w:r>
        <w:rPr>
          <w:rFonts w:hint="eastAsia"/>
          <w:b/>
          <w:bCs/>
          <w:highlight w:val="none"/>
        </w:rPr>
        <w:t>《【附件B-3】质量过程检查标准》</w:t>
      </w:r>
      <w:r>
        <w:rPr>
          <w:rFonts w:hint="eastAsia"/>
          <w:highlight w:val="none"/>
        </w:rPr>
        <w:t>中介绍的检查内容不排除存在更新、调整的可能，检查标准及规则发包人有权根据当季度实际情况进行调整修改。发包人将在检查启动前对总承包人进行文件宣贯交底，总承包人应按照最新检查文件执行</w:t>
      </w:r>
      <w:r>
        <w:rPr>
          <w:highlight w:val="none"/>
        </w:rPr>
        <w:t>；</w:t>
      </w:r>
    </w:p>
    <w:p w14:paraId="2C1BCBC7">
      <w:pPr>
        <w:pStyle w:val="5"/>
        <w:numPr>
          <w:ilvl w:val="3"/>
          <w:numId w:val="13"/>
        </w:numPr>
        <w:rPr>
          <w:rFonts w:hint="eastAsia"/>
          <w:highlight w:val="none"/>
        </w:rPr>
      </w:pPr>
      <w:r>
        <w:rPr>
          <w:rFonts w:hint="eastAsia"/>
          <w:highlight w:val="none"/>
        </w:rPr>
        <w:t>土建过程检查</w:t>
      </w:r>
    </w:p>
    <w:p w14:paraId="4165490A">
      <w:pPr>
        <w:numPr>
          <w:ilvl w:val="0"/>
          <w:numId w:val="14"/>
        </w:numPr>
        <w:ind w:firstLine="480"/>
        <w:rPr>
          <w:rFonts w:hint="eastAsia"/>
          <w:highlight w:val="none"/>
        </w:rPr>
      </w:pPr>
      <w:r>
        <w:rPr>
          <w:rFonts w:hint="eastAsia"/>
          <w:highlight w:val="none"/>
        </w:rPr>
        <w:t>流程介绍</w:t>
      </w:r>
    </w:p>
    <w:p w14:paraId="65AFE3DD">
      <w:pPr>
        <w:numPr>
          <w:ilvl w:val="0"/>
          <w:numId w:val="15"/>
        </w:numPr>
        <w:ind w:firstLine="480"/>
        <w:rPr>
          <w:rFonts w:hint="eastAsia"/>
          <w:highlight w:val="none"/>
        </w:rPr>
      </w:pPr>
      <w:r>
        <w:rPr>
          <w:rFonts w:hint="eastAsia"/>
          <w:highlight w:val="none"/>
        </w:rPr>
        <w:t>早会进行体系宣贯、沟通与说明、测区抽选；</w:t>
      </w:r>
    </w:p>
    <w:p w14:paraId="27C59052">
      <w:pPr>
        <w:numPr>
          <w:ilvl w:val="0"/>
          <w:numId w:val="15"/>
        </w:numPr>
        <w:ind w:firstLine="480"/>
        <w:rPr>
          <w:rFonts w:hint="eastAsia"/>
          <w:highlight w:val="none"/>
        </w:rPr>
      </w:pPr>
      <w:r>
        <w:rPr>
          <w:rFonts w:hint="eastAsia"/>
          <w:highlight w:val="none"/>
        </w:rPr>
        <w:t>现场检查，分质量风险组、实测实量组、管理行为组分别进行检查；</w:t>
      </w:r>
    </w:p>
    <w:p w14:paraId="613E5701">
      <w:pPr>
        <w:numPr>
          <w:ilvl w:val="0"/>
          <w:numId w:val="15"/>
        </w:numPr>
        <w:ind w:firstLine="480"/>
        <w:rPr>
          <w:rFonts w:hint="eastAsia"/>
          <w:highlight w:val="none"/>
        </w:rPr>
      </w:pPr>
      <w:r>
        <w:rPr>
          <w:rFonts w:hint="eastAsia"/>
          <w:highlight w:val="none"/>
        </w:rPr>
        <w:t>总结会（公布结果及分析）</w:t>
      </w:r>
    </w:p>
    <w:p w14:paraId="2F9CAA90">
      <w:pPr>
        <w:numPr>
          <w:ilvl w:val="0"/>
          <w:numId w:val="14"/>
        </w:numPr>
        <w:ind w:firstLine="480"/>
        <w:rPr>
          <w:rFonts w:hint="eastAsia"/>
          <w:highlight w:val="none"/>
        </w:rPr>
      </w:pPr>
      <w:r>
        <w:rPr>
          <w:rFonts w:hint="eastAsia"/>
          <w:highlight w:val="none"/>
        </w:rPr>
        <w:t>体系构成</w:t>
      </w:r>
    </w:p>
    <w:p w14:paraId="2848310D">
      <w:pPr>
        <w:pStyle w:val="26"/>
        <w:rPr>
          <w:highlight w:val="none"/>
        </w:rPr>
      </w:pPr>
      <w:r>
        <w:rPr>
          <w:highlight w:val="none"/>
        </w:rPr>
        <w:drawing>
          <wp:inline distT="0" distB="0" distL="114300" distR="114300">
            <wp:extent cx="4462780" cy="1043305"/>
            <wp:effectExtent l="0" t="0" r="4445" b="4445"/>
            <wp:docPr id="6" name="图片 6" descr="169677944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696779444830"/>
                    <pic:cNvPicPr>
                      <a:picLocks noChangeAspect="1"/>
                    </pic:cNvPicPr>
                  </pic:nvPicPr>
                  <pic:blipFill>
                    <a:blip r:embed="rId126" cstate="print"/>
                    <a:stretch>
                      <a:fillRect/>
                    </a:stretch>
                  </pic:blipFill>
                  <pic:spPr>
                    <a:xfrm>
                      <a:off x="0" y="0"/>
                      <a:ext cx="4462780" cy="1043305"/>
                    </a:xfrm>
                    <a:prstGeom prst="rect">
                      <a:avLst/>
                    </a:prstGeom>
                  </pic:spPr>
                </pic:pic>
              </a:graphicData>
            </a:graphic>
          </wp:inline>
        </w:drawing>
      </w:r>
    </w:p>
    <w:p w14:paraId="748E9849">
      <w:pPr>
        <w:ind w:firstLine="480"/>
        <w:rPr>
          <w:rFonts w:hint="eastAsia"/>
          <w:highlight w:val="none"/>
        </w:rPr>
      </w:pPr>
      <w:r>
        <w:rPr>
          <w:highlight w:val="none"/>
        </w:rPr>
        <w:t>过程检查采用：检查前提前通知；</w:t>
      </w:r>
    </w:p>
    <w:p w14:paraId="1D751D2F">
      <w:pPr>
        <w:ind w:firstLine="480"/>
        <w:rPr>
          <w:rFonts w:hint="eastAsia"/>
          <w:highlight w:val="none"/>
        </w:rPr>
      </w:pPr>
      <w:r>
        <w:rPr>
          <w:highlight w:val="none"/>
        </w:rPr>
        <w:t>过程检查综合得分=（实测实量*30%+质量风险*70%）*90%+管理行为*10%（总包单位综合得分）</w:t>
      </w:r>
    </w:p>
    <w:p w14:paraId="30ED66DF">
      <w:pPr>
        <w:ind w:firstLine="480"/>
        <w:rPr>
          <w:rFonts w:hint="eastAsia"/>
          <w:highlight w:val="none"/>
        </w:rPr>
      </w:pPr>
      <w:r>
        <w:rPr>
          <w:highlight w:val="none"/>
        </w:rPr>
        <w:t>过程检查综合得分=总包单位综合得分*40%+管理行为60%（监理单位综合得分）</w:t>
      </w:r>
    </w:p>
    <w:p w14:paraId="1E9047D7">
      <w:pPr>
        <w:ind w:firstLine="480"/>
        <w:rPr>
          <w:rFonts w:hint="eastAsia"/>
          <w:highlight w:val="none"/>
        </w:rPr>
      </w:pPr>
      <w:r>
        <w:rPr>
          <w:highlight w:val="none"/>
        </w:rPr>
        <w:t>实测实量合格率=总合格点数/总实测点数；</w:t>
      </w:r>
    </w:p>
    <w:p w14:paraId="2020B9E1">
      <w:pPr>
        <w:ind w:firstLine="480"/>
        <w:rPr>
          <w:rFonts w:hint="eastAsia"/>
          <w:highlight w:val="none"/>
        </w:rPr>
      </w:pPr>
      <w:r>
        <w:rPr>
          <w:highlight w:val="none"/>
        </w:rPr>
        <w:t>设置一二类问题判断，对</w:t>
      </w:r>
      <w:r>
        <w:rPr>
          <w:rFonts w:hint="eastAsia"/>
          <w:highlight w:val="none"/>
        </w:rPr>
        <w:t>红</w:t>
      </w:r>
      <w:r>
        <w:rPr>
          <w:highlight w:val="none"/>
        </w:rPr>
        <w:t>线问题重点监控；</w:t>
      </w:r>
    </w:p>
    <w:p w14:paraId="2287BE1D">
      <w:pPr>
        <w:ind w:firstLine="480"/>
        <w:rPr>
          <w:rFonts w:hint="eastAsia"/>
          <w:highlight w:val="none"/>
        </w:rPr>
      </w:pPr>
      <w:r>
        <w:rPr>
          <w:highlight w:val="none"/>
        </w:rPr>
        <w:t>管理行为重点考核监理及总包单位；</w:t>
      </w:r>
    </w:p>
    <w:p w14:paraId="4C951C0D">
      <w:pPr>
        <w:pStyle w:val="26"/>
        <w:rPr>
          <w:highlight w:val="none"/>
        </w:rPr>
      </w:pPr>
      <w:r>
        <w:rPr>
          <w:highlight w:val="none"/>
        </w:rPr>
        <w:drawing>
          <wp:inline distT="0" distB="0" distL="114300" distR="114300">
            <wp:extent cx="5729605" cy="2757805"/>
            <wp:effectExtent l="0" t="0" r="4445" b="4445"/>
            <wp:docPr id="10" name="图片 10" descr="169677950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696779508673"/>
                    <pic:cNvPicPr>
                      <a:picLocks noChangeAspect="1"/>
                    </pic:cNvPicPr>
                  </pic:nvPicPr>
                  <pic:blipFill>
                    <a:blip r:embed="rId127" cstate="print"/>
                    <a:stretch>
                      <a:fillRect/>
                    </a:stretch>
                  </pic:blipFill>
                  <pic:spPr>
                    <a:xfrm>
                      <a:off x="0" y="0"/>
                      <a:ext cx="5729605" cy="2757805"/>
                    </a:xfrm>
                    <a:prstGeom prst="rect">
                      <a:avLst/>
                    </a:prstGeom>
                  </pic:spPr>
                </pic:pic>
              </a:graphicData>
            </a:graphic>
          </wp:inline>
        </w:drawing>
      </w:r>
    </w:p>
    <w:p w14:paraId="0F61FD6F">
      <w:pPr>
        <w:ind w:firstLine="480"/>
        <w:rPr>
          <w:rFonts w:hint="eastAsia"/>
          <w:highlight w:val="none"/>
        </w:rPr>
      </w:pPr>
      <w:r>
        <w:rPr>
          <w:rFonts w:hint="eastAsia"/>
          <w:highlight w:val="none"/>
        </w:rPr>
        <w:t>（3）红线判定规则</w:t>
      </w:r>
      <w:r>
        <w:rPr>
          <w:highlight w:val="none"/>
        </w:rPr>
        <w:t>：</w:t>
      </w:r>
    </w:p>
    <w:p w14:paraId="3D445594">
      <w:pPr>
        <w:ind w:firstLine="480"/>
        <w:rPr>
          <w:rFonts w:hint="eastAsia"/>
          <w:highlight w:val="none"/>
        </w:rPr>
      </w:pPr>
      <w:r>
        <w:rPr>
          <w:rFonts w:hint="eastAsia"/>
          <w:highlight w:val="none"/>
        </w:rPr>
        <w:t>1）、实测实量：检查分项合格率低于90（不含）则判定为为管理失控性问题，低于93（不含）则判定为为管理粗放性问题，低于96（不含）则判定为为管理偶发性问题；触碰红线条件：1个分项管理失控问题，触发1个红线风险；2个分项管理粗放问题，触发1个红线风险。实测实量空鼓/开裂（各种饰面）子项低于60%时，触发1个红线风险</w:t>
      </w:r>
    </w:p>
    <w:p w14:paraId="0193E8D5">
      <w:pPr>
        <w:ind w:firstLine="480"/>
        <w:rPr>
          <w:rFonts w:hint="eastAsia"/>
          <w:highlight w:val="none"/>
        </w:rPr>
      </w:pPr>
      <w:r>
        <w:rPr>
          <w:rFonts w:hint="eastAsia"/>
          <w:highlight w:val="none"/>
        </w:rPr>
        <w:t>2）、质量风险：采用风险判定制，非 ★ 项风险及带★项风险，判定标准：子项1-5处为偶发性问题、 6-10处为粗放性问题，11处及以上为失控性问题；触碰红线条件：如1个 ★ 项触发粗放级及以上问题，触发1个红线风险；2个非 ★ 项触发失控级问题，触发1个红线风险。</w:t>
      </w:r>
    </w:p>
    <w:p w14:paraId="2257F398">
      <w:pPr>
        <w:ind w:firstLine="480"/>
        <w:rPr>
          <w:rFonts w:hint="eastAsia"/>
          <w:highlight w:val="none"/>
        </w:rPr>
      </w:pPr>
      <w:r>
        <w:rPr>
          <w:rFonts w:hint="eastAsia"/>
          <w:highlight w:val="none"/>
        </w:rPr>
        <w:t xml:space="preserve">3）、管理行为：未扣分项及高于90分为合规项；检查分项合格率低于80（不含）则判定为为管理失控性问题，低于85（不含）则判定为为管理粗放性问题，低于90（不含）则判定为为管理偶发性问题；触碰红线条件：分项内1个分项触发管理失控，则触发1个红线风险。2个分项触发管理粗放，则触发1个红线风险。 </w:t>
      </w:r>
    </w:p>
    <w:p w14:paraId="2328DB40">
      <w:pPr>
        <w:ind w:firstLine="480"/>
        <w:rPr>
          <w:rFonts w:hint="eastAsia"/>
          <w:highlight w:val="none"/>
        </w:rPr>
      </w:pPr>
      <w:r>
        <w:rPr>
          <w:rFonts w:hint="eastAsia"/>
          <w:highlight w:val="none"/>
        </w:rPr>
        <w:t>4）、材料专项：每种材料不合格列为一个失控项，判定该材料触碰红线（每种材料测5处，2处不合格判定材料失控）。</w:t>
      </w:r>
    </w:p>
    <w:p w14:paraId="716FDABC">
      <w:pPr>
        <w:pStyle w:val="26"/>
        <w:rPr>
          <w:highlight w:val="none"/>
        </w:rPr>
      </w:pPr>
      <w:r>
        <w:rPr>
          <w:highlight w:val="none"/>
        </w:rPr>
        <w:drawing>
          <wp:inline distT="0" distB="0" distL="0" distR="0">
            <wp:extent cx="3865245" cy="3185795"/>
            <wp:effectExtent l="0" t="0" r="1905" b="5080"/>
            <wp:docPr id="14379376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937699" name="图片 1"/>
                    <pic:cNvPicPr>
                      <a:picLocks noChangeAspect="1"/>
                    </pic:cNvPicPr>
                  </pic:nvPicPr>
                  <pic:blipFill>
                    <a:blip r:embed="rId128" cstate="print"/>
                    <a:stretch>
                      <a:fillRect/>
                    </a:stretch>
                  </pic:blipFill>
                  <pic:spPr>
                    <a:xfrm>
                      <a:off x="0" y="0"/>
                      <a:ext cx="3879688" cy="3197320"/>
                    </a:xfrm>
                    <a:prstGeom prst="rect">
                      <a:avLst/>
                    </a:prstGeom>
                  </pic:spPr>
                </pic:pic>
              </a:graphicData>
            </a:graphic>
          </wp:inline>
        </w:drawing>
      </w:r>
    </w:p>
    <w:p w14:paraId="6B27547E">
      <w:pPr>
        <w:ind w:firstLine="480"/>
        <w:rPr>
          <w:rFonts w:hint="eastAsia"/>
          <w:highlight w:val="none"/>
        </w:rPr>
      </w:pPr>
      <w:r>
        <w:rPr>
          <w:rFonts w:hint="eastAsia"/>
          <w:highlight w:val="none"/>
        </w:rPr>
        <w:t>（4）</w:t>
      </w:r>
      <w:r>
        <w:rPr>
          <w:highlight w:val="none"/>
        </w:rPr>
        <w:t>达标线设定</w:t>
      </w:r>
    </w:p>
    <w:p w14:paraId="5EE16779">
      <w:pPr>
        <w:ind w:firstLine="480"/>
        <w:rPr>
          <w:rFonts w:hint="eastAsia"/>
          <w:highlight w:val="none"/>
        </w:rPr>
      </w:pPr>
      <w:r>
        <w:rPr>
          <w:highlight w:val="none"/>
        </w:rPr>
        <w:t>设置土建过程检查85分为达标线（即合格线以上），90分以上为优良，85-90为合格，85分以下为不合格；过程检查考核达标率,现场公布分数</w:t>
      </w:r>
    </w:p>
    <w:p w14:paraId="084B76FC">
      <w:pPr>
        <w:ind w:firstLine="480"/>
        <w:rPr>
          <w:rFonts w:hint="eastAsia"/>
          <w:highlight w:val="none"/>
        </w:rPr>
      </w:pPr>
      <w:r>
        <w:rPr>
          <w:rFonts w:hint="eastAsia"/>
          <w:highlight w:val="none"/>
        </w:rPr>
        <w:t>（5）</w:t>
      </w:r>
      <w:r>
        <w:rPr>
          <w:highlight w:val="none"/>
        </w:rPr>
        <w:t>检查轮次说明</w:t>
      </w:r>
    </w:p>
    <w:p w14:paraId="522055D9">
      <w:pPr>
        <w:ind w:firstLine="480"/>
        <w:rPr>
          <w:rFonts w:hint="eastAsia"/>
          <w:highlight w:val="none"/>
        </w:rPr>
      </w:pPr>
      <w:r>
        <w:rPr>
          <w:highlight w:val="none"/>
        </w:rPr>
        <w:t>全年四次检查</w:t>
      </w:r>
      <w:r>
        <w:rPr>
          <w:rFonts w:hint="eastAsia"/>
          <w:highlight w:val="none"/>
        </w:rPr>
        <w:t>，</w:t>
      </w:r>
      <w:r>
        <w:rPr>
          <w:highlight w:val="none"/>
        </w:rPr>
        <w:t>检查周期为1-3月、4-6月，7-9月，10-12月为每季度最后一个月检查；</w:t>
      </w:r>
    </w:p>
    <w:p w14:paraId="3D8A376E">
      <w:pPr>
        <w:ind w:firstLine="480"/>
        <w:rPr>
          <w:rFonts w:hint="eastAsia"/>
          <w:highlight w:val="none"/>
        </w:rPr>
      </w:pPr>
      <w:r>
        <w:rPr>
          <w:rFonts w:hint="eastAsia"/>
          <w:highlight w:val="none"/>
        </w:rPr>
        <w:t>（6）</w:t>
      </w:r>
      <w:r>
        <w:rPr>
          <w:highlight w:val="none"/>
        </w:rPr>
        <w:t>检查范围</w:t>
      </w:r>
    </w:p>
    <w:p w14:paraId="7A7D4961">
      <w:pPr>
        <w:ind w:firstLine="480"/>
        <w:rPr>
          <w:rFonts w:hint="eastAsia"/>
          <w:highlight w:val="none"/>
        </w:rPr>
      </w:pPr>
      <w:r>
        <w:rPr>
          <w:highlight w:val="none"/>
        </w:rPr>
        <w:t>检查范围：地下室底板第一块砼浇筑完成至所有塔楼封顶，且最后一次检查已全面覆盖在建楼栋；其中主体结构未拆模3层不具备实测实量条件，则实测实量甩项，按比例权重进行调整。</w:t>
      </w:r>
    </w:p>
    <w:p w14:paraId="337506F3">
      <w:pPr>
        <w:ind w:firstLine="480"/>
        <w:rPr>
          <w:rFonts w:hint="eastAsia"/>
          <w:highlight w:val="none"/>
        </w:rPr>
      </w:pPr>
      <w:r>
        <w:rPr>
          <w:rFonts w:hint="eastAsia"/>
          <w:highlight w:val="none"/>
        </w:rPr>
        <w:t>（7）</w:t>
      </w:r>
      <w:r>
        <w:rPr>
          <w:highlight w:val="none"/>
        </w:rPr>
        <w:t>检查组织</w:t>
      </w:r>
    </w:p>
    <w:p w14:paraId="2B9863BB">
      <w:pPr>
        <w:ind w:firstLine="480"/>
        <w:rPr>
          <w:rFonts w:hint="eastAsia"/>
          <w:highlight w:val="none"/>
        </w:rPr>
      </w:pPr>
      <w:r>
        <w:rPr>
          <w:highlight w:val="none"/>
        </w:rPr>
        <w:t>实测实量、质量风险同时检查；质量风险复查：对不合格项目、判定为高风险项目进行复检，在本次受检30天后安排复检，复检仍不合格项目进行通报。</w:t>
      </w:r>
    </w:p>
    <w:p w14:paraId="1036D367">
      <w:pPr>
        <w:ind w:firstLine="480"/>
        <w:rPr>
          <w:rFonts w:hint="eastAsia"/>
          <w:highlight w:val="none"/>
        </w:rPr>
      </w:pPr>
      <w:r>
        <w:rPr>
          <w:rFonts w:hint="eastAsia"/>
          <w:highlight w:val="none"/>
        </w:rPr>
        <w:t>（8）</w:t>
      </w:r>
      <w:r>
        <w:rPr>
          <w:highlight w:val="none"/>
        </w:rPr>
        <w:t>测区抽选说明：</w:t>
      </w:r>
    </w:p>
    <w:p w14:paraId="2258E16C">
      <w:pPr>
        <w:ind w:firstLine="480"/>
        <w:rPr>
          <w:rFonts w:hint="eastAsia"/>
          <w:highlight w:val="none"/>
        </w:rPr>
      </w:pPr>
      <w:r>
        <w:rPr>
          <w:highlight w:val="none"/>
        </w:rPr>
        <w:t>实测实量：</w:t>
      </w:r>
    </w:p>
    <w:p w14:paraId="46CCBF41">
      <w:pPr>
        <w:ind w:firstLine="480"/>
        <w:rPr>
          <w:rFonts w:hint="eastAsia"/>
          <w:highlight w:val="none"/>
        </w:rPr>
      </w:pPr>
      <w:r>
        <w:rPr>
          <w:highlight w:val="none"/>
        </w:rPr>
        <w:t>A、基本原则：测区抽选在会议室一次抽选。</w:t>
      </w:r>
    </w:p>
    <w:p w14:paraId="37D20458">
      <w:pPr>
        <w:ind w:firstLine="480"/>
        <w:rPr>
          <w:rFonts w:hint="eastAsia"/>
          <w:highlight w:val="none"/>
        </w:rPr>
      </w:pPr>
      <w:r>
        <w:rPr>
          <w:highlight w:val="none"/>
        </w:rPr>
        <w:t>B、具体内容：在每个参评标段达到符合实测条件的情况下,按以下原则进行抽取：混凝土结构阶段每个标段任意抽取3层进行实测（共实测3层）；砌体工程阶段一次任意抽取3层进行实测（共实测3层） ；抹灰工程阶段一次抽取由电脑任意抽取3层进行实测（共实测3层） ；涂饰工程阶段一次任意抽取3层进行实测（共实测3层） 。如果所抽选测区无法测满数据时，采取就近原则选点进行实测补充处理。</w:t>
      </w:r>
    </w:p>
    <w:p w14:paraId="0EFD74BF">
      <w:pPr>
        <w:ind w:firstLine="480"/>
        <w:rPr>
          <w:rFonts w:hint="eastAsia"/>
          <w:highlight w:val="none"/>
        </w:rPr>
      </w:pPr>
      <w:r>
        <w:rPr>
          <w:highlight w:val="none"/>
        </w:rPr>
        <w:t>C、只抽取新工作面。</w:t>
      </w:r>
    </w:p>
    <w:p w14:paraId="2C746F85">
      <w:pPr>
        <w:ind w:firstLine="480"/>
        <w:rPr>
          <w:rFonts w:hint="eastAsia"/>
          <w:highlight w:val="none"/>
        </w:rPr>
      </w:pPr>
      <w:r>
        <w:rPr>
          <w:highlight w:val="none"/>
        </w:rPr>
        <w:t>质量风险：</w:t>
      </w:r>
    </w:p>
    <w:p w14:paraId="09E71AA2">
      <w:pPr>
        <w:ind w:firstLine="480"/>
        <w:rPr>
          <w:rFonts w:hint="eastAsia"/>
          <w:highlight w:val="none"/>
        </w:rPr>
      </w:pPr>
      <w:r>
        <w:rPr>
          <w:highlight w:val="none"/>
        </w:rPr>
        <w:t>A、基本原则：随机抽选楼栋</w:t>
      </w:r>
    </w:p>
    <w:p w14:paraId="01F5801D">
      <w:pPr>
        <w:ind w:firstLine="480"/>
        <w:rPr>
          <w:rFonts w:hint="eastAsia"/>
          <w:highlight w:val="none"/>
        </w:rPr>
      </w:pPr>
      <w:r>
        <w:rPr>
          <w:highlight w:val="none"/>
        </w:rPr>
        <w:t>B、具体内容：根据不同业态及项目建筑面积，质量风险测区分别为：①25万平米以内：高层建筑3栋、小高层4栋（不足4栋时全检）②每增加10万平米，涉及质量风险楼栋测区即增加一栋；多业态同时存在时根据面积比例进行分摊。地下室、所选楼栋内屋面、露台、外墙等为必选部位。质量风险只在所选楼栋户内检查（地下室不限定）；</w:t>
      </w:r>
    </w:p>
    <w:p w14:paraId="4240820C">
      <w:pPr>
        <w:ind w:firstLine="480"/>
        <w:rPr>
          <w:rFonts w:hint="eastAsia"/>
          <w:highlight w:val="none"/>
        </w:rPr>
      </w:pPr>
      <w:r>
        <w:rPr>
          <w:highlight w:val="none"/>
        </w:rPr>
        <w:t>C、所抽选测区按主体、砌筑、抹灰、装修、门窗等分项工程每阶段检查5层（不足5层时全部检查），所选测区内满足参评条件的分项需全部检查；</w:t>
      </w:r>
    </w:p>
    <w:p w14:paraId="3FC9D1F7">
      <w:pPr>
        <w:ind w:firstLine="480"/>
        <w:rPr>
          <w:rFonts w:hint="eastAsia"/>
          <w:highlight w:val="none"/>
        </w:rPr>
      </w:pPr>
      <w:r>
        <w:rPr>
          <w:highlight w:val="none"/>
        </w:rPr>
        <w:t>D、原则上每个检查分项都按照约定的检查介入/退出时间进行评分，如果现场尚不满足检查介入条件，但现场施工存在明显缺陷，则仍需进行评分。</w:t>
      </w:r>
    </w:p>
    <w:p w14:paraId="3C88C5C6">
      <w:pPr>
        <w:ind w:firstLine="480"/>
        <w:rPr>
          <w:rFonts w:hint="eastAsia"/>
          <w:highlight w:val="none"/>
        </w:rPr>
      </w:pPr>
      <w:r>
        <w:rPr>
          <w:rFonts w:hint="eastAsia"/>
          <w:highlight w:val="none"/>
        </w:rPr>
        <w:t>（9）</w:t>
      </w:r>
      <w:r>
        <w:rPr>
          <w:highlight w:val="none"/>
        </w:rPr>
        <w:t>扣分标准说明：</w:t>
      </w:r>
    </w:p>
    <w:p w14:paraId="66181CFC">
      <w:pPr>
        <w:ind w:firstLine="480"/>
        <w:rPr>
          <w:rFonts w:hint="eastAsia"/>
          <w:highlight w:val="none"/>
        </w:rPr>
      </w:pPr>
      <w:r>
        <w:rPr>
          <w:highlight w:val="none"/>
        </w:rPr>
        <w:t>实测实量</w:t>
      </w:r>
    </w:p>
    <w:p w14:paraId="461CEA81">
      <w:pPr>
        <w:ind w:firstLine="480"/>
        <w:rPr>
          <w:rFonts w:hint="eastAsia"/>
          <w:highlight w:val="none"/>
        </w:rPr>
      </w:pPr>
      <w:r>
        <w:rPr>
          <w:rFonts w:hint="eastAsia"/>
          <w:highlight w:val="none"/>
        </w:rPr>
        <w:t>1）</w:t>
      </w:r>
      <w:r>
        <w:rPr>
          <w:highlight w:val="none"/>
        </w:rPr>
        <w:t>按合格点/总实测点数计算。现场所有涉及分项均需进行实测</w:t>
      </w:r>
    </w:p>
    <w:p w14:paraId="5E5D3379">
      <w:pPr>
        <w:ind w:firstLine="480"/>
        <w:rPr>
          <w:rFonts w:hint="eastAsia"/>
          <w:highlight w:val="none"/>
        </w:rPr>
      </w:pPr>
      <w:r>
        <w:rPr>
          <w:rFonts w:hint="eastAsia"/>
          <w:highlight w:val="none"/>
        </w:rPr>
        <w:t>2）</w:t>
      </w:r>
      <w:r>
        <w:rPr>
          <w:highlight w:val="none"/>
        </w:rPr>
        <w:t>板厚不合格对实测总分倒扣分，板厚合格率低于80%倒扣1分、板厚合格率低于75%倒扣总分2分、板厚合格率低于70%倒扣3分。</w:t>
      </w:r>
    </w:p>
    <w:p w14:paraId="388C9647">
      <w:pPr>
        <w:ind w:firstLine="480"/>
        <w:rPr>
          <w:rFonts w:hint="eastAsia"/>
          <w:highlight w:val="none"/>
        </w:rPr>
      </w:pPr>
      <w:r>
        <w:rPr>
          <w:highlight w:val="none"/>
        </w:rPr>
        <w:t>质量风险：</w:t>
      </w:r>
    </w:p>
    <w:p w14:paraId="046DFC29">
      <w:pPr>
        <w:ind w:firstLine="480"/>
        <w:rPr>
          <w:rFonts w:hint="eastAsia"/>
          <w:highlight w:val="none"/>
        </w:rPr>
      </w:pPr>
      <w:r>
        <w:rPr>
          <w:rFonts w:hint="eastAsia"/>
          <w:highlight w:val="none"/>
        </w:rPr>
        <w:t>3）</w:t>
      </w:r>
      <w:r>
        <w:rPr>
          <w:highlight w:val="none"/>
        </w:rPr>
        <w:t>《扣分标准》所列举的质量缺陷都严格按在检查区出现的处数扣分：</w:t>
      </w:r>
    </w:p>
    <w:p w14:paraId="0A6F669F">
      <w:pPr>
        <w:ind w:firstLine="480"/>
        <w:rPr>
          <w:rFonts w:hint="eastAsia"/>
          <w:highlight w:val="none"/>
        </w:rPr>
      </w:pPr>
      <w:r>
        <w:rPr>
          <w:highlight w:val="none"/>
        </w:rPr>
        <w:t>A：测区内存在1-4处缺陷，缺陷判定为A档；</w:t>
      </w:r>
    </w:p>
    <w:p w14:paraId="6EC09E4D">
      <w:pPr>
        <w:ind w:firstLine="480"/>
        <w:rPr>
          <w:rFonts w:hint="eastAsia"/>
          <w:highlight w:val="none"/>
        </w:rPr>
      </w:pPr>
      <w:r>
        <w:rPr>
          <w:highlight w:val="none"/>
        </w:rPr>
        <w:t>B：测区内存在5-7处缺陷，缺陷判定为B档；</w:t>
      </w:r>
    </w:p>
    <w:p w14:paraId="6E85E72E">
      <w:pPr>
        <w:ind w:firstLine="480"/>
        <w:rPr>
          <w:rFonts w:hint="eastAsia"/>
          <w:highlight w:val="none"/>
        </w:rPr>
      </w:pPr>
      <w:r>
        <w:rPr>
          <w:highlight w:val="none"/>
        </w:rPr>
        <w:t>C：测区内存在8-11处缺陷，缺陷判定为C档；</w:t>
      </w:r>
    </w:p>
    <w:p w14:paraId="2202CF9E">
      <w:pPr>
        <w:ind w:firstLine="480"/>
        <w:rPr>
          <w:rFonts w:hint="eastAsia"/>
          <w:highlight w:val="none"/>
        </w:rPr>
      </w:pPr>
      <w:r>
        <w:rPr>
          <w:highlight w:val="none"/>
        </w:rPr>
        <w:t>D：测区内存在12处及以上缺陷，缺陷判定为D档。</w:t>
      </w:r>
    </w:p>
    <w:p w14:paraId="60E39645">
      <w:pPr>
        <w:ind w:firstLine="480"/>
        <w:rPr>
          <w:rFonts w:hint="eastAsia"/>
          <w:highlight w:val="none"/>
        </w:rPr>
      </w:pPr>
      <w:r>
        <w:rPr>
          <w:highlight w:val="none"/>
        </w:rPr>
        <w:t>如项目存在25万平米以上，质量风险测区每增加一栋楼，各子项评判标准增加一个点，ABCD分别为1-5/6-8/9-12/13处以上。</w:t>
      </w:r>
    </w:p>
    <w:p w14:paraId="1608C5E9">
      <w:pPr>
        <w:ind w:firstLine="480"/>
        <w:rPr>
          <w:rFonts w:hint="eastAsia"/>
          <w:highlight w:val="none"/>
        </w:rPr>
      </w:pPr>
      <w:r>
        <w:rPr>
          <w:rFonts w:hint="eastAsia"/>
          <w:highlight w:val="none"/>
        </w:rPr>
        <w:t>（10）检查注意事项</w:t>
      </w:r>
    </w:p>
    <w:p w14:paraId="699D443F">
      <w:pPr>
        <w:ind w:firstLine="480"/>
        <w:rPr>
          <w:rFonts w:hint="eastAsia"/>
          <w:highlight w:val="none"/>
        </w:rPr>
      </w:pPr>
      <w:r>
        <w:rPr>
          <w:highlight w:val="none"/>
        </w:rPr>
        <w:t>1、设计相关图纸（含建筑、结构、机电及其他专业施工图等）由项目部负责提供，供现场使用；</w:t>
      </w:r>
    </w:p>
    <w:p w14:paraId="51502577">
      <w:pPr>
        <w:ind w:firstLine="480"/>
        <w:rPr>
          <w:rFonts w:hint="eastAsia"/>
          <w:highlight w:val="none"/>
        </w:rPr>
      </w:pPr>
      <w:r>
        <w:rPr>
          <w:highlight w:val="none"/>
        </w:rPr>
        <w:t>2、现场检查过程由项目部、施工单位、监理单位共同见证并确认实测数据；</w:t>
      </w:r>
    </w:p>
    <w:p w14:paraId="0ABA1462">
      <w:pPr>
        <w:ind w:firstLine="480"/>
        <w:rPr>
          <w:rFonts w:hint="eastAsia"/>
          <w:highlight w:val="none"/>
        </w:rPr>
      </w:pPr>
      <w:r>
        <w:rPr>
          <w:highlight w:val="none"/>
        </w:rPr>
        <w:t>3、当参加人员对现场条件、实测方法、实测数据、评判标准等存在异议时，需建设总部协调；</w:t>
      </w:r>
    </w:p>
    <w:p w14:paraId="1FACB863">
      <w:pPr>
        <w:ind w:firstLine="480"/>
        <w:rPr>
          <w:rFonts w:hint="eastAsia"/>
          <w:highlight w:val="none"/>
        </w:rPr>
      </w:pPr>
      <w:r>
        <w:rPr>
          <w:highlight w:val="none"/>
        </w:rPr>
        <w:t>4、各参评单位应积极配合现场检查工作，如因参评单位故意不配合造成现场检查工作无法进行的，经与工程管理部沟通确认无法继续进行，即中止该项目检查。该项目当期检查结果按0分计，质安部将对参评项目部进行通报；</w:t>
      </w:r>
    </w:p>
    <w:p w14:paraId="402A7E10">
      <w:pPr>
        <w:ind w:firstLine="480"/>
        <w:rPr>
          <w:rFonts w:hint="eastAsia"/>
          <w:highlight w:val="none"/>
        </w:rPr>
      </w:pPr>
      <w:r>
        <w:rPr>
          <w:highlight w:val="none"/>
        </w:rPr>
        <w:t>5、确定参加和配合人员的数量和分工。原则上检查组每个小组均安排项目部、施工单位、监理单位至少各一人参与；</w:t>
      </w:r>
    </w:p>
    <w:p w14:paraId="39330C52">
      <w:pPr>
        <w:ind w:firstLine="480"/>
        <w:rPr>
          <w:rFonts w:hint="eastAsia"/>
          <w:highlight w:val="none"/>
        </w:rPr>
      </w:pPr>
      <w:r>
        <w:rPr>
          <w:highlight w:val="none"/>
        </w:rPr>
        <w:t>6、需交待的其他事项。</w:t>
      </w:r>
    </w:p>
    <w:p w14:paraId="766C7DD4">
      <w:pPr>
        <w:pStyle w:val="5"/>
        <w:numPr>
          <w:ilvl w:val="3"/>
          <w:numId w:val="13"/>
        </w:numPr>
        <w:rPr>
          <w:rFonts w:hint="eastAsia"/>
          <w:highlight w:val="none"/>
        </w:rPr>
      </w:pPr>
      <w:r>
        <w:rPr>
          <w:rFonts w:hint="eastAsia"/>
          <w:highlight w:val="none"/>
        </w:rPr>
        <w:t>精装过程检查</w:t>
      </w:r>
    </w:p>
    <w:p w14:paraId="3B241844">
      <w:pPr>
        <w:ind w:firstLine="480"/>
        <w:rPr>
          <w:rFonts w:hint="eastAsia"/>
          <w:highlight w:val="none"/>
        </w:rPr>
      </w:pPr>
      <w:r>
        <w:rPr>
          <w:rFonts w:hint="eastAsia"/>
          <w:highlight w:val="none"/>
        </w:rPr>
        <w:t>（1）流程介绍</w:t>
      </w:r>
    </w:p>
    <w:p w14:paraId="72C3B20E">
      <w:pPr>
        <w:ind w:firstLine="480"/>
        <w:rPr>
          <w:rFonts w:hint="eastAsia"/>
          <w:highlight w:val="none"/>
        </w:rPr>
      </w:pPr>
      <w:r>
        <w:rPr>
          <w:rFonts w:hint="eastAsia"/>
          <w:highlight w:val="none"/>
        </w:rPr>
        <w:t>1）早会进行体系宣贯、沟通与说明、测区抽选；</w:t>
      </w:r>
    </w:p>
    <w:p w14:paraId="5892BC9E">
      <w:pPr>
        <w:ind w:firstLine="480"/>
        <w:rPr>
          <w:rFonts w:hint="eastAsia"/>
          <w:highlight w:val="none"/>
        </w:rPr>
      </w:pPr>
      <w:r>
        <w:rPr>
          <w:rFonts w:hint="eastAsia"/>
          <w:highlight w:val="none"/>
        </w:rPr>
        <w:t>2）现场检查，分质量风险组、实测实量组、管理行为组分别进行检查；</w:t>
      </w:r>
    </w:p>
    <w:p w14:paraId="105AEB38">
      <w:pPr>
        <w:ind w:firstLine="480"/>
        <w:rPr>
          <w:rFonts w:hint="eastAsia"/>
          <w:highlight w:val="none"/>
        </w:rPr>
      </w:pPr>
      <w:r>
        <w:rPr>
          <w:rFonts w:hint="eastAsia"/>
          <w:highlight w:val="none"/>
        </w:rPr>
        <w:t>3）总结会（公布结果及分析）</w:t>
      </w:r>
    </w:p>
    <w:p w14:paraId="0AFE7374">
      <w:pPr>
        <w:ind w:firstLine="480"/>
        <w:rPr>
          <w:rFonts w:hint="eastAsia"/>
          <w:highlight w:val="none"/>
        </w:rPr>
      </w:pPr>
      <w:r>
        <w:rPr>
          <w:rFonts w:hint="eastAsia"/>
          <w:highlight w:val="none"/>
        </w:rPr>
        <w:t>（2）体系构成</w:t>
      </w:r>
    </w:p>
    <w:p w14:paraId="5E9FCDC7">
      <w:pPr>
        <w:pStyle w:val="26"/>
        <w:rPr>
          <w:highlight w:val="none"/>
        </w:rPr>
      </w:pPr>
      <w:r>
        <w:rPr>
          <w:highlight w:val="none"/>
        </w:rPr>
        <w:drawing>
          <wp:inline distT="0" distB="0" distL="114300" distR="114300">
            <wp:extent cx="4443730" cy="1348105"/>
            <wp:effectExtent l="0" t="0" r="4445" b="4445"/>
            <wp:docPr id="22" name="图片 22" descr="169678038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96780382097"/>
                    <pic:cNvPicPr>
                      <a:picLocks noChangeAspect="1"/>
                    </pic:cNvPicPr>
                  </pic:nvPicPr>
                  <pic:blipFill>
                    <a:blip r:embed="rId129" cstate="print"/>
                    <a:stretch>
                      <a:fillRect/>
                    </a:stretch>
                  </pic:blipFill>
                  <pic:spPr>
                    <a:xfrm>
                      <a:off x="0" y="0"/>
                      <a:ext cx="4443730" cy="1348105"/>
                    </a:xfrm>
                    <a:prstGeom prst="rect">
                      <a:avLst/>
                    </a:prstGeom>
                  </pic:spPr>
                </pic:pic>
              </a:graphicData>
            </a:graphic>
          </wp:inline>
        </w:drawing>
      </w:r>
    </w:p>
    <w:p w14:paraId="33A644AE">
      <w:pPr>
        <w:ind w:firstLine="480"/>
        <w:rPr>
          <w:rFonts w:hint="eastAsia"/>
          <w:highlight w:val="none"/>
        </w:rPr>
      </w:pPr>
      <w:r>
        <w:rPr>
          <w:highlight w:val="none"/>
        </w:rPr>
        <w:t>精装修工程过程评估介入条件：墙地砖/石材完成3层及以上，项目须及时上报进度；</w:t>
      </w:r>
    </w:p>
    <w:p w14:paraId="0CA58495">
      <w:pPr>
        <w:ind w:firstLine="480"/>
        <w:rPr>
          <w:rFonts w:hint="eastAsia"/>
          <w:highlight w:val="none"/>
        </w:rPr>
      </w:pPr>
      <w:r>
        <w:rPr>
          <w:highlight w:val="none"/>
        </w:rPr>
        <w:t>过程检查综合得分=（实测实量*30%+质量风险*70%）*90%+管理行为*10%（总包单位综合得分）</w:t>
      </w:r>
    </w:p>
    <w:p w14:paraId="44DBF28A">
      <w:pPr>
        <w:ind w:firstLine="480"/>
        <w:rPr>
          <w:rFonts w:hint="eastAsia"/>
          <w:highlight w:val="none"/>
        </w:rPr>
      </w:pPr>
      <w:r>
        <w:rPr>
          <w:highlight w:val="none"/>
        </w:rPr>
        <w:t>过程检查综合得分=总包单位综合得分*40%+管理行为60%（监理单位综合得分）</w:t>
      </w:r>
    </w:p>
    <w:p w14:paraId="44F46AA1">
      <w:pPr>
        <w:ind w:firstLine="480"/>
        <w:rPr>
          <w:rFonts w:hint="eastAsia"/>
          <w:highlight w:val="none"/>
        </w:rPr>
      </w:pPr>
      <w:r>
        <w:rPr>
          <w:highlight w:val="none"/>
        </w:rPr>
        <w:t>实测实量合格率=总合格点数/总实测点数；</w:t>
      </w:r>
    </w:p>
    <w:p w14:paraId="6FAB7BCD">
      <w:pPr>
        <w:ind w:firstLine="480"/>
        <w:rPr>
          <w:rFonts w:hint="eastAsia"/>
          <w:highlight w:val="none"/>
        </w:rPr>
      </w:pPr>
      <w:r>
        <w:rPr>
          <w:highlight w:val="none"/>
        </w:rPr>
        <w:t>管理行为重点考核监理及总包单位；</w:t>
      </w:r>
    </w:p>
    <w:p w14:paraId="20B95518">
      <w:pPr>
        <w:pStyle w:val="26"/>
        <w:rPr>
          <w:highlight w:val="none"/>
        </w:rPr>
      </w:pPr>
      <w:r>
        <w:rPr>
          <w:highlight w:val="none"/>
        </w:rPr>
        <w:drawing>
          <wp:inline distT="0" distB="0" distL="114300" distR="114300">
            <wp:extent cx="5558155" cy="2700655"/>
            <wp:effectExtent l="0" t="0" r="4445" b="4445"/>
            <wp:docPr id="28" name="图片 28" descr="169678045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696780451377"/>
                    <pic:cNvPicPr>
                      <a:picLocks noChangeAspect="1"/>
                    </pic:cNvPicPr>
                  </pic:nvPicPr>
                  <pic:blipFill>
                    <a:blip r:embed="rId130" cstate="print"/>
                    <a:stretch>
                      <a:fillRect/>
                    </a:stretch>
                  </pic:blipFill>
                  <pic:spPr>
                    <a:xfrm>
                      <a:off x="0" y="0"/>
                      <a:ext cx="5558155" cy="2700655"/>
                    </a:xfrm>
                    <a:prstGeom prst="rect">
                      <a:avLst/>
                    </a:prstGeom>
                  </pic:spPr>
                </pic:pic>
              </a:graphicData>
            </a:graphic>
          </wp:inline>
        </w:drawing>
      </w:r>
    </w:p>
    <w:p w14:paraId="010249AC">
      <w:pPr>
        <w:ind w:firstLine="480"/>
        <w:rPr>
          <w:rFonts w:hint="eastAsia"/>
          <w:highlight w:val="none"/>
        </w:rPr>
      </w:pPr>
      <w:r>
        <w:rPr>
          <w:rFonts w:hint="eastAsia"/>
          <w:highlight w:val="none"/>
        </w:rPr>
        <w:t>（3）</w:t>
      </w:r>
      <w:r>
        <w:rPr>
          <w:highlight w:val="none"/>
        </w:rPr>
        <w:t>实测实量测区抽选原则：</w:t>
      </w:r>
    </w:p>
    <w:p w14:paraId="4FD0F7B1">
      <w:pPr>
        <w:ind w:firstLine="480"/>
        <w:rPr>
          <w:rFonts w:hint="eastAsia"/>
          <w:highlight w:val="none"/>
        </w:rPr>
      </w:pPr>
      <w:r>
        <w:rPr>
          <w:highlight w:val="none"/>
        </w:rPr>
        <w:t>A、基本原则：测区抽选由组长会议室随机一次抽选。</w:t>
      </w:r>
    </w:p>
    <w:p w14:paraId="1EBB2196">
      <w:pPr>
        <w:ind w:firstLine="480"/>
        <w:rPr>
          <w:rFonts w:hint="eastAsia"/>
          <w:highlight w:val="none"/>
        </w:rPr>
      </w:pPr>
      <w:r>
        <w:rPr>
          <w:highlight w:val="none"/>
        </w:rPr>
        <w:t>B、具体内容：抹灰/涂饰抽选3层，墙地砖抽选3层，现场涉及的分项不能漏项。如果所抽选测区无法测满数据时，采取就近原则选点进行实测补充处理。</w:t>
      </w:r>
    </w:p>
    <w:p w14:paraId="0C044618">
      <w:pPr>
        <w:ind w:firstLine="480"/>
        <w:rPr>
          <w:rFonts w:hint="eastAsia"/>
          <w:highlight w:val="none"/>
        </w:rPr>
      </w:pPr>
      <w:r>
        <w:rPr>
          <w:rFonts w:hint="eastAsia"/>
          <w:highlight w:val="none"/>
        </w:rPr>
        <w:t>（4）</w:t>
      </w:r>
      <w:r>
        <w:rPr>
          <w:highlight w:val="none"/>
        </w:rPr>
        <w:t>质量风险测区抽选原则：</w:t>
      </w:r>
    </w:p>
    <w:p w14:paraId="1B01CEF4">
      <w:pPr>
        <w:ind w:firstLine="480"/>
        <w:rPr>
          <w:rFonts w:hint="eastAsia"/>
          <w:highlight w:val="none"/>
        </w:rPr>
      </w:pPr>
      <w:r>
        <w:rPr>
          <w:rFonts w:hint="eastAsia"/>
          <w:highlight w:val="none"/>
        </w:rPr>
        <w:t>1）</w:t>
      </w:r>
      <w:r>
        <w:rPr>
          <w:highlight w:val="none"/>
        </w:rPr>
        <w:t>质量风险测区在会议室随机抽选楼栋，根据不同装修单位，质量风险测区分别为：高层建筑3栋、小高层4栋，多业态同时存在时根据面积比例进行分摊。</w:t>
      </w:r>
    </w:p>
    <w:p w14:paraId="2F6D1E04">
      <w:pPr>
        <w:ind w:firstLine="480"/>
        <w:rPr>
          <w:rFonts w:hint="eastAsia"/>
          <w:highlight w:val="none"/>
        </w:rPr>
      </w:pPr>
      <w:r>
        <w:rPr>
          <w:rFonts w:hint="eastAsia"/>
          <w:highlight w:val="none"/>
        </w:rPr>
        <w:t>2）</w:t>
      </w:r>
      <w:r>
        <w:rPr>
          <w:highlight w:val="none"/>
        </w:rPr>
        <w:t>所选单元涉及到的分项全部检查，每道工序检查4层（不足4层时全部检查）。</w:t>
      </w:r>
    </w:p>
    <w:p w14:paraId="08253BD9">
      <w:pPr>
        <w:ind w:firstLine="480"/>
        <w:rPr>
          <w:rFonts w:hint="eastAsia"/>
          <w:highlight w:val="none"/>
        </w:rPr>
      </w:pPr>
      <w:r>
        <w:rPr>
          <w:rFonts w:hint="eastAsia"/>
          <w:highlight w:val="none"/>
        </w:rPr>
        <w:t>（5）</w:t>
      </w:r>
      <w:r>
        <w:rPr>
          <w:highlight w:val="none"/>
        </w:rPr>
        <w:t>质量风险打分细则：</w:t>
      </w:r>
    </w:p>
    <w:p w14:paraId="1775B6BF">
      <w:pPr>
        <w:ind w:firstLine="480"/>
        <w:rPr>
          <w:rFonts w:hint="eastAsia"/>
          <w:highlight w:val="none"/>
        </w:rPr>
      </w:pPr>
      <w:r>
        <w:rPr>
          <w:rFonts w:hint="eastAsia"/>
          <w:highlight w:val="none"/>
        </w:rPr>
        <w:t>1）</w:t>
      </w:r>
      <w:r>
        <w:rPr>
          <w:highlight w:val="none"/>
        </w:rPr>
        <w:t>《扣分标准》所列举的质量缺陷都按在该检查区出现的频率扣分：</w:t>
      </w:r>
    </w:p>
    <w:p w14:paraId="19F078BC">
      <w:pPr>
        <w:ind w:firstLine="480"/>
        <w:rPr>
          <w:rFonts w:hint="eastAsia"/>
          <w:highlight w:val="none"/>
        </w:rPr>
      </w:pPr>
      <w:r>
        <w:rPr>
          <w:highlight w:val="none"/>
        </w:rPr>
        <w:t>A：测区内存在1-2处缺陷，为个别存在缺陷；B：测区内存在3-5处缺陷，为局部存在缺陷；C：测区内存在6-7处缺陷，为普遍存在缺陷；D:  测区内存在8处及以上缺陷，为严重性存在缺陷。</w:t>
      </w:r>
    </w:p>
    <w:p w14:paraId="39547261">
      <w:pPr>
        <w:ind w:firstLine="480"/>
        <w:rPr>
          <w:rFonts w:hint="eastAsia"/>
          <w:highlight w:val="none"/>
        </w:rPr>
      </w:pPr>
      <w:r>
        <w:rPr>
          <w:rFonts w:hint="eastAsia"/>
          <w:highlight w:val="none"/>
        </w:rPr>
        <w:t>2）</w:t>
      </w:r>
      <w:r>
        <w:rPr>
          <w:highlight w:val="none"/>
        </w:rPr>
        <w:t>★红星项倒扣分,触碰C档倒扣质量总分1分，触碰D档倒扣质量总分3分。</w:t>
      </w:r>
    </w:p>
    <w:p w14:paraId="77B4C1E9">
      <w:pPr>
        <w:ind w:firstLine="480"/>
        <w:rPr>
          <w:rFonts w:hint="eastAsia"/>
          <w:highlight w:val="none"/>
        </w:rPr>
      </w:pPr>
      <w:r>
        <w:rPr>
          <w:rFonts w:hint="eastAsia"/>
          <w:highlight w:val="none"/>
        </w:rPr>
        <w:t>3）</w:t>
      </w:r>
      <w:r>
        <w:rPr>
          <w:highlight w:val="none"/>
        </w:rPr>
        <w:t>在红星项基础上新增条数，并设置“精装底线风险清单”进行问题统计和风险提示。</w:t>
      </w:r>
    </w:p>
    <w:p w14:paraId="6C7FFD34">
      <w:pPr>
        <w:ind w:firstLine="480"/>
        <w:rPr>
          <w:rFonts w:hint="eastAsia"/>
          <w:highlight w:val="none"/>
        </w:rPr>
      </w:pPr>
      <w:r>
        <w:rPr>
          <w:rFonts w:hint="eastAsia"/>
          <w:highlight w:val="none"/>
        </w:rPr>
        <w:t>4）</w:t>
      </w:r>
      <w:r>
        <w:rPr>
          <w:highlight w:val="none"/>
        </w:rPr>
        <w:t>精装底线风险清单：触碰C级及以上扣分纳入底线风险清单统计。</w:t>
      </w:r>
    </w:p>
    <w:p w14:paraId="0521B3F2">
      <w:pPr>
        <w:pStyle w:val="26"/>
        <w:rPr>
          <w:highlight w:val="none"/>
        </w:rPr>
      </w:pPr>
      <w:r>
        <w:rPr>
          <w:highlight w:val="none"/>
        </w:rPr>
        <w:drawing>
          <wp:inline distT="0" distB="0" distL="114300" distR="114300">
            <wp:extent cx="5769610" cy="2653030"/>
            <wp:effectExtent l="0" t="0" r="2540" b="4445"/>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131" cstate="print"/>
                    <a:stretch>
                      <a:fillRect/>
                    </a:stretch>
                  </pic:blipFill>
                  <pic:spPr>
                    <a:xfrm>
                      <a:off x="0" y="0"/>
                      <a:ext cx="5769610" cy="2653030"/>
                    </a:xfrm>
                    <a:prstGeom prst="rect">
                      <a:avLst/>
                    </a:prstGeom>
                    <a:noFill/>
                    <a:ln>
                      <a:noFill/>
                    </a:ln>
                  </pic:spPr>
                </pic:pic>
              </a:graphicData>
            </a:graphic>
          </wp:inline>
        </w:drawing>
      </w:r>
    </w:p>
    <w:p w14:paraId="79010EB9">
      <w:pPr>
        <w:pStyle w:val="26"/>
        <w:rPr>
          <w:highlight w:val="none"/>
        </w:rPr>
      </w:pPr>
      <w:r>
        <w:rPr>
          <w:highlight w:val="none"/>
        </w:rPr>
        <w:drawing>
          <wp:inline distT="0" distB="0" distL="114300" distR="114300">
            <wp:extent cx="5773420" cy="2878455"/>
            <wp:effectExtent l="0" t="0" r="8255" b="7620"/>
            <wp:docPr id="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
                    <pic:cNvPicPr>
                      <a:picLocks noChangeAspect="1"/>
                    </pic:cNvPicPr>
                  </pic:nvPicPr>
                  <pic:blipFill>
                    <a:blip r:embed="rId132" cstate="print"/>
                    <a:stretch>
                      <a:fillRect/>
                    </a:stretch>
                  </pic:blipFill>
                  <pic:spPr>
                    <a:xfrm>
                      <a:off x="0" y="0"/>
                      <a:ext cx="5773420" cy="2878455"/>
                    </a:xfrm>
                    <a:prstGeom prst="rect">
                      <a:avLst/>
                    </a:prstGeom>
                    <a:noFill/>
                    <a:ln>
                      <a:noFill/>
                    </a:ln>
                  </pic:spPr>
                </pic:pic>
              </a:graphicData>
            </a:graphic>
          </wp:inline>
        </w:drawing>
      </w:r>
    </w:p>
    <w:p w14:paraId="389EB7CF">
      <w:pPr>
        <w:pStyle w:val="5"/>
        <w:numPr>
          <w:ilvl w:val="3"/>
          <w:numId w:val="13"/>
        </w:numPr>
        <w:rPr>
          <w:rFonts w:hint="eastAsia"/>
          <w:highlight w:val="none"/>
        </w:rPr>
      </w:pPr>
      <w:r>
        <w:rPr>
          <w:rFonts w:hint="eastAsia"/>
          <w:highlight w:val="none"/>
        </w:rPr>
        <w:t>交付预检</w:t>
      </w:r>
    </w:p>
    <w:p w14:paraId="3BFE498E">
      <w:pPr>
        <w:ind w:firstLine="480"/>
        <w:rPr>
          <w:rFonts w:hint="eastAsia"/>
          <w:highlight w:val="none"/>
        </w:rPr>
      </w:pPr>
      <w:r>
        <w:rPr>
          <w:rFonts w:hint="eastAsia"/>
          <w:highlight w:val="none"/>
        </w:rPr>
        <w:t>（1）流程介绍</w:t>
      </w:r>
    </w:p>
    <w:p w14:paraId="25589FC2">
      <w:pPr>
        <w:ind w:firstLine="480"/>
        <w:rPr>
          <w:rFonts w:hint="eastAsia"/>
          <w:highlight w:val="none"/>
        </w:rPr>
      </w:pPr>
      <w:r>
        <w:rPr>
          <w:rFonts w:hint="eastAsia"/>
          <w:highlight w:val="none"/>
        </w:rPr>
        <w:t>1）早会进行体系宣贯、沟通与说明、测区抽选；</w:t>
      </w:r>
    </w:p>
    <w:p w14:paraId="53F5A0C7">
      <w:pPr>
        <w:ind w:firstLine="480"/>
        <w:rPr>
          <w:rFonts w:hint="eastAsia"/>
          <w:highlight w:val="none"/>
        </w:rPr>
      </w:pPr>
      <w:r>
        <w:rPr>
          <w:rFonts w:hint="eastAsia"/>
          <w:highlight w:val="none"/>
        </w:rPr>
        <w:t>2）现场检查，分为四组，第一组检查屋面、外立面、地下室、户内观感、公区观感、园林景观；第二组、第三组分别检查户内观感、公区观感、防渗漏试验；第四组检查机电专项</w:t>
      </w:r>
    </w:p>
    <w:p w14:paraId="1125E131">
      <w:pPr>
        <w:ind w:firstLine="480"/>
        <w:rPr>
          <w:rFonts w:hint="eastAsia"/>
          <w:highlight w:val="none"/>
        </w:rPr>
      </w:pPr>
      <w:r>
        <w:rPr>
          <w:rFonts w:hint="eastAsia"/>
          <w:highlight w:val="none"/>
        </w:rPr>
        <w:t>3）总结会（公布结果及分析）</w:t>
      </w:r>
    </w:p>
    <w:p w14:paraId="753CC1AE">
      <w:pPr>
        <w:ind w:firstLine="480"/>
        <w:rPr>
          <w:rFonts w:hint="eastAsia"/>
          <w:highlight w:val="none"/>
        </w:rPr>
      </w:pPr>
      <w:r>
        <w:rPr>
          <w:rFonts w:hint="eastAsia"/>
          <w:highlight w:val="none"/>
        </w:rPr>
        <w:t>（2）检查体系</w:t>
      </w:r>
    </w:p>
    <w:p w14:paraId="36DF28D9">
      <w:pPr>
        <w:pStyle w:val="26"/>
        <w:rPr>
          <w:highlight w:val="none"/>
        </w:rPr>
      </w:pPr>
      <w:r>
        <w:rPr>
          <w:highlight w:val="none"/>
        </w:rPr>
        <w:drawing>
          <wp:inline distT="0" distB="0" distL="114300" distR="114300">
            <wp:extent cx="4681855" cy="2872105"/>
            <wp:effectExtent l="0" t="0" r="4445" b="4445"/>
            <wp:docPr id="40" name="图片 40" descr="169678107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696781072999"/>
                    <pic:cNvPicPr>
                      <a:picLocks noChangeAspect="1"/>
                    </pic:cNvPicPr>
                  </pic:nvPicPr>
                  <pic:blipFill>
                    <a:blip r:embed="rId133" cstate="print"/>
                    <a:stretch>
                      <a:fillRect/>
                    </a:stretch>
                  </pic:blipFill>
                  <pic:spPr>
                    <a:xfrm>
                      <a:off x="0" y="0"/>
                      <a:ext cx="4681855" cy="2872105"/>
                    </a:xfrm>
                    <a:prstGeom prst="rect">
                      <a:avLst/>
                    </a:prstGeom>
                  </pic:spPr>
                </pic:pic>
              </a:graphicData>
            </a:graphic>
          </wp:inline>
        </w:drawing>
      </w:r>
    </w:p>
    <w:p w14:paraId="2A2ED165">
      <w:pPr>
        <w:pStyle w:val="26"/>
        <w:rPr>
          <w:highlight w:val="none"/>
        </w:rPr>
      </w:pPr>
      <w:r>
        <w:rPr>
          <w:highlight w:val="none"/>
        </w:rPr>
        <w:t>精装户内、公共部位观感检查权重</w:t>
      </w:r>
    </w:p>
    <w:p w14:paraId="6123CAE2">
      <w:pPr>
        <w:pStyle w:val="26"/>
        <w:rPr>
          <w:highlight w:val="none"/>
        </w:rPr>
      </w:pPr>
      <w:r>
        <w:rPr>
          <w:highlight w:val="none"/>
        </w:rPr>
        <w:drawing>
          <wp:inline distT="0" distB="0" distL="114300" distR="114300">
            <wp:extent cx="5462905" cy="2176780"/>
            <wp:effectExtent l="0" t="0" r="4445" b="4445"/>
            <wp:docPr id="41" name="图片 41" descr="169678111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696781113536"/>
                    <pic:cNvPicPr>
                      <a:picLocks noChangeAspect="1"/>
                    </pic:cNvPicPr>
                  </pic:nvPicPr>
                  <pic:blipFill>
                    <a:blip r:embed="rId134" cstate="print"/>
                    <a:stretch>
                      <a:fillRect/>
                    </a:stretch>
                  </pic:blipFill>
                  <pic:spPr>
                    <a:xfrm>
                      <a:off x="0" y="0"/>
                      <a:ext cx="5462905" cy="2176780"/>
                    </a:xfrm>
                    <a:prstGeom prst="rect">
                      <a:avLst/>
                    </a:prstGeom>
                  </pic:spPr>
                </pic:pic>
              </a:graphicData>
            </a:graphic>
          </wp:inline>
        </w:drawing>
      </w:r>
    </w:p>
    <w:p w14:paraId="352B2CF9">
      <w:pPr>
        <w:pStyle w:val="26"/>
        <w:rPr>
          <w:highlight w:val="none"/>
        </w:rPr>
      </w:pPr>
      <w:r>
        <w:rPr>
          <w:highlight w:val="none"/>
        </w:rPr>
        <w:t>外立面检查权重</w:t>
      </w:r>
    </w:p>
    <w:p w14:paraId="5469235F">
      <w:pPr>
        <w:pStyle w:val="26"/>
        <w:rPr>
          <w:highlight w:val="none"/>
        </w:rPr>
      </w:pPr>
      <w:r>
        <w:rPr>
          <w:rFonts w:ascii="宋体" w:hAnsi="宋体" w:cs="宋体"/>
          <w:spacing w:val="5"/>
          <w:position w:val="17"/>
          <w:szCs w:val="24"/>
          <w:highlight w:val="none"/>
        </w:rPr>
        <w:t xml:space="preserve">     </w:t>
      </w:r>
      <w:r>
        <w:rPr>
          <w:highlight w:val="none"/>
        </w:rPr>
        <w:drawing>
          <wp:inline distT="0" distB="0" distL="114300" distR="114300">
            <wp:extent cx="2586355" cy="2091055"/>
            <wp:effectExtent l="0" t="0" r="4445" b="4445"/>
            <wp:docPr id="42" name="图片 42" descr="1696781209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696781209974"/>
                    <pic:cNvPicPr>
                      <a:picLocks noChangeAspect="1"/>
                    </pic:cNvPicPr>
                  </pic:nvPicPr>
                  <pic:blipFill>
                    <a:blip r:embed="rId135" cstate="print"/>
                    <a:stretch>
                      <a:fillRect/>
                    </a:stretch>
                  </pic:blipFill>
                  <pic:spPr>
                    <a:xfrm>
                      <a:off x="0" y="0"/>
                      <a:ext cx="2586355" cy="2091055"/>
                    </a:xfrm>
                    <a:prstGeom prst="rect">
                      <a:avLst/>
                    </a:prstGeom>
                  </pic:spPr>
                </pic:pic>
              </a:graphicData>
            </a:graphic>
          </wp:inline>
        </w:drawing>
      </w:r>
    </w:p>
    <w:p w14:paraId="607EE853">
      <w:pPr>
        <w:pStyle w:val="26"/>
        <w:rPr>
          <w:highlight w:val="none"/>
        </w:rPr>
      </w:pPr>
      <w:r>
        <w:rPr>
          <w:highlight w:val="none"/>
        </w:rPr>
        <w:t>园林景观及机电专项检查权重</w:t>
      </w:r>
    </w:p>
    <w:p w14:paraId="7FA398CE">
      <w:pPr>
        <w:pStyle w:val="26"/>
        <w:rPr>
          <w:highlight w:val="none"/>
        </w:rPr>
      </w:pPr>
      <w:r>
        <w:rPr>
          <w:highlight w:val="none"/>
        </w:rPr>
        <w:drawing>
          <wp:inline distT="0" distB="0" distL="114300" distR="114300">
            <wp:extent cx="5224780" cy="2252980"/>
            <wp:effectExtent l="0" t="0" r="4445" b="4445"/>
            <wp:docPr id="43" name="图片 43" descr="169678128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696781283895"/>
                    <pic:cNvPicPr>
                      <a:picLocks noChangeAspect="1"/>
                    </pic:cNvPicPr>
                  </pic:nvPicPr>
                  <pic:blipFill>
                    <a:blip r:embed="rId136" cstate="print"/>
                    <a:stretch>
                      <a:fillRect/>
                    </a:stretch>
                  </pic:blipFill>
                  <pic:spPr>
                    <a:xfrm>
                      <a:off x="0" y="0"/>
                      <a:ext cx="5224780" cy="2252980"/>
                    </a:xfrm>
                    <a:prstGeom prst="rect">
                      <a:avLst/>
                    </a:prstGeom>
                  </pic:spPr>
                </pic:pic>
              </a:graphicData>
            </a:graphic>
          </wp:inline>
        </w:drawing>
      </w:r>
    </w:p>
    <w:p w14:paraId="422A232D">
      <w:pPr>
        <w:pStyle w:val="26"/>
        <w:rPr>
          <w:highlight w:val="none"/>
        </w:rPr>
      </w:pPr>
      <w:r>
        <w:rPr>
          <w:highlight w:val="none"/>
        </w:rPr>
        <w:t>防渗漏专项倒扣分</w:t>
      </w:r>
    </w:p>
    <w:p w14:paraId="6594576D">
      <w:pPr>
        <w:pStyle w:val="26"/>
        <w:rPr>
          <w:highlight w:val="none"/>
        </w:rPr>
      </w:pPr>
      <w:r>
        <w:rPr>
          <w:highlight w:val="none"/>
        </w:rPr>
        <w:drawing>
          <wp:inline distT="0" distB="0" distL="114300" distR="114300">
            <wp:extent cx="3395980" cy="2357755"/>
            <wp:effectExtent l="0" t="0" r="4445" b="4445"/>
            <wp:docPr id="44" name="图片 44" descr="1696781336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696781336039"/>
                    <pic:cNvPicPr>
                      <a:picLocks noChangeAspect="1"/>
                    </pic:cNvPicPr>
                  </pic:nvPicPr>
                  <pic:blipFill>
                    <a:blip r:embed="rId137" cstate="print"/>
                    <a:stretch>
                      <a:fillRect/>
                    </a:stretch>
                  </pic:blipFill>
                  <pic:spPr>
                    <a:xfrm>
                      <a:off x="0" y="0"/>
                      <a:ext cx="3395980" cy="2357755"/>
                    </a:xfrm>
                    <a:prstGeom prst="rect">
                      <a:avLst/>
                    </a:prstGeom>
                  </pic:spPr>
                </pic:pic>
              </a:graphicData>
            </a:graphic>
          </wp:inline>
        </w:drawing>
      </w:r>
    </w:p>
    <w:p w14:paraId="06EAE7E3">
      <w:pPr>
        <w:ind w:firstLine="480"/>
        <w:rPr>
          <w:rFonts w:hint="eastAsia"/>
          <w:highlight w:val="none"/>
        </w:rPr>
      </w:pPr>
      <w:r>
        <w:rPr>
          <w:highlight w:val="none"/>
        </w:rPr>
        <w:t>对交付少于10栋（含）的标段在抽选楼层全部闭水，大于10栋的随机选取10栋，每栋随机抽选1层闭水。闭水范围为50%屋面面积（含公区），如为坡屋面（别墅项目），则随机抽取16个顶层露台进行蓄水；对于地下室调整渗的扣分0.1，漏、流的标准不变，上不封顶（机房渗漏按地库新渗漏标准）。</w:t>
      </w:r>
    </w:p>
    <w:p w14:paraId="7CCEA988">
      <w:pPr>
        <w:ind w:firstLine="480"/>
        <w:rPr>
          <w:rFonts w:hint="eastAsia"/>
          <w:highlight w:val="none"/>
        </w:rPr>
      </w:pPr>
      <w:r>
        <w:rPr>
          <w:rFonts w:hint="eastAsia"/>
          <w:highlight w:val="none"/>
        </w:rPr>
        <w:t>（3）</w:t>
      </w:r>
      <w:r>
        <w:rPr>
          <w:highlight w:val="none"/>
        </w:rPr>
        <w:t>交付检查、交付检查的时间设定</w:t>
      </w:r>
    </w:p>
    <w:p w14:paraId="1F4ABDD8">
      <w:pPr>
        <w:ind w:firstLine="480"/>
        <w:rPr>
          <w:rFonts w:hint="eastAsia"/>
          <w:highlight w:val="none"/>
        </w:rPr>
      </w:pPr>
      <w:r>
        <w:rPr>
          <w:highlight w:val="none"/>
        </w:rPr>
        <w:t>计划交付节点前30-45天组织交付检查、交付节点前5-10天组织复查。</w:t>
      </w:r>
    </w:p>
    <w:p w14:paraId="1161CFA1">
      <w:pPr>
        <w:ind w:firstLine="480"/>
        <w:rPr>
          <w:rFonts w:hint="eastAsia"/>
          <w:highlight w:val="none"/>
        </w:rPr>
      </w:pPr>
      <w:r>
        <w:rPr>
          <w:rFonts w:hint="eastAsia"/>
          <w:highlight w:val="none"/>
        </w:rPr>
        <w:t>（4）</w:t>
      </w:r>
      <w:r>
        <w:rPr>
          <w:highlight w:val="none"/>
        </w:rPr>
        <w:t>观感扣分规则</w:t>
      </w:r>
    </w:p>
    <w:p w14:paraId="706703E4">
      <w:pPr>
        <w:ind w:firstLine="480"/>
        <w:rPr>
          <w:rFonts w:hint="eastAsia"/>
          <w:highlight w:val="none"/>
        </w:rPr>
      </w:pPr>
      <w:r>
        <w:rPr>
          <w:rFonts w:hint="eastAsia"/>
          <w:highlight w:val="none"/>
        </w:rPr>
        <w:t>1）</w:t>
      </w:r>
      <w:r>
        <w:rPr>
          <w:highlight w:val="none"/>
        </w:rPr>
        <w:t>对观感的缺陷问题，通过定性及定量的方式进行判断。</w:t>
      </w:r>
    </w:p>
    <w:p w14:paraId="3B0D28B5">
      <w:pPr>
        <w:ind w:firstLine="480"/>
        <w:rPr>
          <w:rFonts w:hint="eastAsia"/>
          <w:highlight w:val="none"/>
        </w:rPr>
      </w:pPr>
      <w:r>
        <w:rPr>
          <w:rFonts w:hint="eastAsia"/>
          <w:highlight w:val="none"/>
        </w:rPr>
        <w:t>2）</w:t>
      </w:r>
      <w:r>
        <w:rPr>
          <w:highlight w:val="none"/>
        </w:rPr>
        <w:t>问题的定性：严重（对后期交付影响较大，无法整改），一般（对后期交付存在一定影响，但是不易整改），轻微（对后期交付影响较小，易及时整改）。</w:t>
      </w:r>
    </w:p>
    <w:p w14:paraId="02DF6A5F">
      <w:pPr>
        <w:ind w:firstLine="480"/>
        <w:rPr>
          <w:rFonts w:hint="eastAsia"/>
          <w:highlight w:val="none"/>
        </w:rPr>
      </w:pPr>
      <w:r>
        <w:rPr>
          <w:rFonts w:hint="eastAsia"/>
          <w:highlight w:val="none"/>
        </w:rPr>
        <w:t>3）</w:t>
      </w:r>
      <w:r>
        <w:rPr>
          <w:highlight w:val="none"/>
        </w:rPr>
        <w:t>问题的定量：个别（1-2处问题）、局部（3-5处问题）、普遍（5处以上问题），对于单项问题，以问题的严重程度进行判断。</w:t>
      </w:r>
    </w:p>
    <w:p w14:paraId="50005DFB">
      <w:pPr>
        <w:ind w:firstLine="480"/>
        <w:rPr>
          <w:rFonts w:hint="eastAsia"/>
          <w:highlight w:val="none"/>
        </w:rPr>
      </w:pPr>
      <w:r>
        <w:rPr>
          <w:rFonts w:hint="eastAsia"/>
          <w:highlight w:val="none"/>
        </w:rPr>
        <w:t>（5）</w:t>
      </w:r>
      <w:r>
        <w:rPr>
          <w:highlight w:val="none"/>
        </w:rPr>
        <w:t>高风险项扣分规则</w:t>
      </w:r>
    </w:p>
    <w:p w14:paraId="39224B1D">
      <w:pPr>
        <w:ind w:firstLine="480"/>
        <w:rPr>
          <w:rFonts w:hint="eastAsia"/>
          <w:highlight w:val="none"/>
        </w:rPr>
      </w:pPr>
      <w:r>
        <w:rPr>
          <w:rFonts w:hint="eastAsia"/>
          <w:highlight w:val="none"/>
        </w:rPr>
        <w:t>1）</w:t>
      </w:r>
      <w:r>
        <w:rPr>
          <w:highlight w:val="none"/>
        </w:rPr>
        <w:t>高风险项测区同交付检查观感测区；</w:t>
      </w:r>
    </w:p>
    <w:p w14:paraId="73A87BB6">
      <w:pPr>
        <w:ind w:firstLine="480"/>
        <w:rPr>
          <w:rFonts w:hint="eastAsia"/>
          <w:highlight w:val="none"/>
        </w:rPr>
      </w:pPr>
      <w:r>
        <w:rPr>
          <w:rFonts w:hint="eastAsia"/>
          <w:highlight w:val="none"/>
        </w:rPr>
        <w:t>2）</w:t>
      </w:r>
      <w:r>
        <w:rPr>
          <w:highlight w:val="none"/>
        </w:rPr>
        <w:t>触碰高风险项，则对分项观感总分进行倒扣分，扣分可累计；</w:t>
      </w:r>
    </w:p>
    <w:p w14:paraId="219EEFB4">
      <w:pPr>
        <w:ind w:firstLine="480"/>
        <w:rPr>
          <w:rFonts w:hint="eastAsia"/>
          <w:highlight w:val="none"/>
        </w:rPr>
      </w:pPr>
      <w:r>
        <w:rPr>
          <w:rFonts w:hint="eastAsia"/>
          <w:highlight w:val="none"/>
        </w:rPr>
        <w:t>3）</w:t>
      </w:r>
      <w:r>
        <w:rPr>
          <w:highlight w:val="none"/>
        </w:rPr>
        <w:t>所有检查子分项均按A、B、C、D四档进行扣分：A档（测区内1处）仅做风险提示；B档（测区内2处）扣减0.2分；C档（测区内3处）扣减0.4分；D档（测区内4处及以上）扣减1分。</w:t>
      </w:r>
    </w:p>
    <w:p w14:paraId="695E8628">
      <w:pPr>
        <w:ind w:firstLine="480"/>
        <w:rPr>
          <w:rFonts w:hint="eastAsia"/>
          <w:highlight w:val="none"/>
        </w:rPr>
      </w:pPr>
      <w:r>
        <w:rPr>
          <w:rFonts w:hint="eastAsia"/>
          <w:highlight w:val="none"/>
        </w:rPr>
        <w:t>4）</w:t>
      </w:r>
      <w:r>
        <w:rPr>
          <w:highlight w:val="none"/>
        </w:rPr>
        <w:t>红星项扣分项说明：带星项为一票否决项，如出现则按分项总分倒扣1分执行。</w:t>
      </w:r>
    </w:p>
    <w:p w14:paraId="6A4DAE74">
      <w:pPr>
        <w:ind w:firstLine="480"/>
        <w:rPr>
          <w:rFonts w:hint="eastAsia"/>
          <w:highlight w:val="none"/>
        </w:rPr>
      </w:pPr>
      <w:r>
        <w:rPr>
          <w:rFonts w:hint="eastAsia"/>
          <w:highlight w:val="none"/>
        </w:rPr>
        <w:t>（6）</w:t>
      </w:r>
      <w:r>
        <w:rPr>
          <w:highlight w:val="none"/>
        </w:rPr>
        <w:t>测区抽选规则</w:t>
      </w:r>
    </w:p>
    <w:p w14:paraId="412A96FF">
      <w:pPr>
        <w:ind w:firstLine="480"/>
        <w:rPr>
          <w:rFonts w:hint="eastAsia"/>
          <w:highlight w:val="none"/>
        </w:rPr>
      </w:pPr>
      <w:r>
        <w:rPr>
          <w:highlight w:val="none"/>
        </w:rPr>
        <w:t>户内观感测区：按不同装修标准及装修单位随机抽取一层且不少于6套，由三位检查人员进行分组评分，当同一交付批次存在多家单位时，抽选测区进行平均分配。</w:t>
      </w:r>
    </w:p>
    <w:p w14:paraId="19EF7BF9">
      <w:pPr>
        <w:ind w:firstLine="480"/>
        <w:rPr>
          <w:rFonts w:hint="eastAsia"/>
          <w:highlight w:val="none"/>
        </w:rPr>
      </w:pPr>
      <w:r>
        <w:rPr>
          <w:highlight w:val="none"/>
        </w:rPr>
        <w:t>公共部位测区：地下室车库全部进行测评；地下室的电梯厅（归家路线）及首层大堂各抽取4个，不足4个全数检查；标准层电梯厅随机抽取5%，抽样总数不少于5层不多于10层；由三位检查人员进行分组评分。</w:t>
      </w:r>
    </w:p>
    <w:p w14:paraId="1373AFF0">
      <w:pPr>
        <w:ind w:firstLine="480"/>
        <w:rPr>
          <w:rFonts w:hint="eastAsia"/>
          <w:highlight w:val="none"/>
        </w:rPr>
      </w:pPr>
      <w:r>
        <w:rPr>
          <w:highlight w:val="none"/>
        </w:rPr>
        <w:t>外立面测区：全部外立面观感测评；组长进行检查。</w:t>
      </w:r>
    </w:p>
    <w:p w14:paraId="583151AB">
      <w:pPr>
        <w:ind w:firstLine="480"/>
        <w:rPr>
          <w:rFonts w:hint="eastAsia"/>
          <w:highlight w:val="none"/>
        </w:rPr>
      </w:pPr>
      <w:r>
        <w:rPr>
          <w:highlight w:val="none"/>
        </w:rPr>
        <w:t>园林景观测区：全部园林观感测评；组长进行检查。</w:t>
      </w:r>
    </w:p>
    <w:p w14:paraId="7716F1E6">
      <w:pPr>
        <w:ind w:firstLine="480"/>
        <w:rPr>
          <w:rFonts w:hint="eastAsia"/>
          <w:highlight w:val="none"/>
        </w:rPr>
      </w:pPr>
      <w:r>
        <w:rPr>
          <w:highlight w:val="none"/>
        </w:rPr>
        <w:t>机电测区：全部测评；机电专员进行检查。</w:t>
      </w:r>
    </w:p>
    <w:p w14:paraId="464AEA28">
      <w:pPr>
        <w:ind w:firstLine="480"/>
        <w:rPr>
          <w:rFonts w:hint="eastAsia"/>
          <w:highlight w:val="none"/>
        </w:rPr>
      </w:pPr>
      <w:r>
        <w:rPr>
          <w:highlight w:val="none"/>
        </w:rPr>
        <w:t>防渗漏测区：抽选12樘外窗、12面外墙、6个卫生间，6个阳/露台，交付标段内所有屋面（每个屋面不少于户数的50%进行蓄水，含公区，计16个测点）、如为坡屋面，则随机抽取 16个顶层露台进行蓄水，地下室全检（计20个测点）。精装交付项目阳台闭水检查资料。</w:t>
      </w:r>
    </w:p>
    <w:p w14:paraId="4305E60F">
      <w:pPr>
        <w:ind w:firstLine="480"/>
        <w:rPr>
          <w:rFonts w:hint="eastAsia"/>
          <w:highlight w:val="none"/>
        </w:rPr>
      </w:pPr>
      <w:r>
        <w:rPr>
          <w:rFonts w:hint="eastAsia"/>
          <w:highlight w:val="none"/>
        </w:rPr>
        <w:t>（7）</w:t>
      </w:r>
      <w:r>
        <w:rPr>
          <w:highlight w:val="none"/>
        </w:rPr>
        <w:t>评定等级设定</w:t>
      </w:r>
    </w:p>
    <w:p w14:paraId="5457AC02">
      <w:pPr>
        <w:ind w:firstLine="480"/>
        <w:rPr>
          <w:rFonts w:hint="eastAsia"/>
          <w:highlight w:val="none"/>
        </w:rPr>
      </w:pPr>
      <w:r>
        <w:rPr>
          <w:highlight w:val="none"/>
        </w:rPr>
        <w:t>检查评定设三个等级：低风险、中风险、高风险。</w:t>
      </w:r>
    </w:p>
    <w:p w14:paraId="426EAB68">
      <w:pPr>
        <w:ind w:firstLine="480"/>
        <w:rPr>
          <w:rFonts w:hint="eastAsia"/>
          <w:highlight w:val="none"/>
        </w:rPr>
      </w:pPr>
      <w:r>
        <w:rPr>
          <w:highlight w:val="none"/>
        </w:rPr>
        <w:t>低风险：检查分数82分以上，且防渗漏倒扣分不超过1分。</w:t>
      </w:r>
    </w:p>
    <w:p w14:paraId="2AB29717">
      <w:pPr>
        <w:ind w:firstLine="480"/>
        <w:rPr>
          <w:rFonts w:hint="eastAsia"/>
          <w:highlight w:val="none"/>
        </w:rPr>
      </w:pPr>
      <w:r>
        <w:rPr>
          <w:highlight w:val="none"/>
        </w:rPr>
        <w:t>中风险：检查分数76分以上，且防渗漏倒扣分不超过2分。</w:t>
      </w:r>
    </w:p>
    <w:p w14:paraId="205B0CD2">
      <w:pPr>
        <w:ind w:firstLine="480"/>
        <w:rPr>
          <w:rFonts w:hint="eastAsia"/>
          <w:highlight w:val="none"/>
        </w:rPr>
      </w:pPr>
      <w:r>
        <w:rPr>
          <w:highlight w:val="none"/>
        </w:rPr>
        <w:t>高风险:检查分数76分以下或者防渗漏倒扣分超过2分。</w:t>
      </w:r>
    </w:p>
    <w:p w14:paraId="6007A85B">
      <w:pPr>
        <w:ind w:firstLine="480"/>
        <w:rPr>
          <w:rFonts w:hint="eastAsia"/>
          <w:highlight w:val="none"/>
        </w:rPr>
      </w:pPr>
      <w:r>
        <w:rPr>
          <w:highlight w:val="none"/>
        </w:rPr>
        <w:t>以上包含本数，以下不包含本数。</w:t>
      </w:r>
    </w:p>
    <w:p w14:paraId="20D2A39F">
      <w:pPr>
        <w:ind w:firstLine="480"/>
        <w:rPr>
          <w:rFonts w:hint="eastAsia"/>
          <w:highlight w:val="none"/>
        </w:rPr>
      </w:pPr>
      <w:r>
        <w:rPr>
          <w:rFonts w:hint="eastAsia"/>
          <w:highlight w:val="none"/>
        </w:rPr>
        <w:t>（8）检查注意事项</w:t>
      </w:r>
    </w:p>
    <w:p w14:paraId="4BDBC834">
      <w:pPr>
        <w:ind w:firstLine="480"/>
        <w:rPr>
          <w:rFonts w:hint="eastAsia"/>
          <w:highlight w:val="none"/>
        </w:rPr>
      </w:pPr>
      <w:r>
        <w:rPr>
          <w:highlight w:val="none"/>
        </w:rPr>
        <w:t>检查当天如存在针对测区突击整改的，项目/标段综合分扣1分。</w:t>
      </w:r>
    </w:p>
    <w:p w14:paraId="499C4AA2">
      <w:pPr>
        <w:ind w:firstLine="480"/>
        <w:rPr>
          <w:rFonts w:hint="eastAsia"/>
          <w:highlight w:val="none"/>
        </w:rPr>
      </w:pPr>
      <w:r>
        <w:rPr>
          <w:highlight w:val="none"/>
        </w:rPr>
        <w:t>公区检查：同一个单元的公区测区，单元门、信报箱得分为同一合格率。</w:t>
      </w:r>
    </w:p>
    <w:p w14:paraId="0BE7F73B">
      <w:pPr>
        <w:ind w:firstLine="480"/>
        <w:rPr>
          <w:rFonts w:hint="eastAsia"/>
          <w:highlight w:val="none"/>
        </w:rPr>
      </w:pPr>
      <w:r>
        <w:rPr>
          <w:highlight w:val="none"/>
        </w:rPr>
        <w:t>同一项目分多个标段，地下室为同一单位施工，各标段合格率均为同一个合格率。</w:t>
      </w:r>
    </w:p>
    <w:p w14:paraId="5D0445C2">
      <w:pPr>
        <w:ind w:firstLine="480"/>
        <w:rPr>
          <w:rFonts w:hint="eastAsia"/>
          <w:highlight w:val="none"/>
        </w:rPr>
      </w:pPr>
      <w:r>
        <w:rPr>
          <w:highlight w:val="none"/>
        </w:rPr>
        <w:t>现场检查如因项目配合问题而无法进行测试或评判的，则直接判定为不合格，计0分。</w:t>
      </w:r>
    </w:p>
    <w:p w14:paraId="07F50D94">
      <w:pPr>
        <w:ind w:firstLine="480"/>
        <w:rPr>
          <w:rFonts w:hint="eastAsia"/>
          <w:highlight w:val="none"/>
        </w:rPr>
      </w:pPr>
      <w:r>
        <w:rPr>
          <w:highlight w:val="none"/>
        </w:rPr>
        <w:t>其他因不可预见或不可抗力导致不能进行正常检查的另行商议。</w:t>
      </w:r>
    </w:p>
    <w:p w14:paraId="5F16A208">
      <w:pPr>
        <w:ind w:firstLine="480"/>
        <w:rPr>
          <w:rFonts w:hint="eastAsia"/>
          <w:highlight w:val="none"/>
        </w:rPr>
      </w:pPr>
      <w:r>
        <w:rPr>
          <w:highlight w:val="none"/>
        </w:rPr>
        <w:t>装修施工未完成，无空气质量检测报告，消防、电梯不具备正常使用条件，小区正式围合未完成、道路未施工完成，检查组按现场实际进度进行打分并将以高风险警示反馈至总部。</w:t>
      </w:r>
    </w:p>
    <w:p w14:paraId="025300C0">
      <w:pPr>
        <w:ind w:firstLine="480"/>
        <w:rPr>
          <w:rFonts w:hint="eastAsia"/>
          <w:highlight w:val="none"/>
        </w:rPr>
      </w:pPr>
      <w:r>
        <w:rPr>
          <w:highlight w:val="none"/>
        </w:rPr>
        <w:t>正式水电不具备正常使用条件，如采取临时措施且能满足基本需要，检查组将以高风险警示反馈至总部。</w:t>
      </w:r>
    </w:p>
    <w:p w14:paraId="4550722F">
      <w:pPr>
        <w:ind w:firstLine="480"/>
        <w:rPr>
          <w:rFonts w:hint="eastAsia"/>
          <w:highlight w:val="none"/>
        </w:rPr>
      </w:pPr>
      <w:r>
        <w:rPr>
          <w:highlight w:val="none"/>
        </w:rPr>
        <w:t>室内未通水，则需试水项目均按严重问题打分（0-20）。</w:t>
      </w:r>
    </w:p>
    <w:p w14:paraId="3A3943E7">
      <w:pPr>
        <w:ind w:firstLine="480"/>
        <w:rPr>
          <w:rFonts w:hint="eastAsia"/>
          <w:highlight w:val="none"/>
        </w:rPr>
      </w:pPr>
      <w:r>
        <w:rPr>
          <w:highlight w:val="none"/>
        </w:rPr>
        <w:t>同一验收批次存在多家总包及装修总包，根据现场实际情况，套数，层数按面积加权抽取。</w:t>
      </w:r>
    </w:p>
    <w:p w14:paraId="41EEC2B2">
      <w:pPr>
        <w:ind w:firstLine="480"/>
        <w:rPr>
          <w:rFonts w:hint="eastAsia"/>
          <w:highlight w:val="none"/>
        </w:rPr>
      </w:pPr>
      <w:r>
        <w:rPr>
          <w:highlight w:val="none"/>
        </w:rPr>
        <w:t>资料准备：消防验收资料、竣工备案资料；</w:t>
      </w:r>
    </w:p>
    <w:p w14:paraId="7FAFEEF7">
      <w:pPr>
        <w:ind w:firstLine="480"/>
        <w:rPr>
          <w:rFonts w:hint="eastAsia"/>
          <w:highlight w:val="none"/>
        </w:rPr>
      </w:pPr>
      <w:r>
        <w:rPr>
          <w:highlight w:val="none"/>
        </w:rPr>
        <w:t>楼栋需通水、通电；</w:t>
      </w:r>
    </w:p>
    <w:p w14:paraId="1B6F84CD">
      <w:pPr>
        <w:ind w:firstLine="480"/>
        <w:rPr>
          <w:rFonts w:hint="eastAsia"/>
          <w:highlight w:val="none"/>
        </w:rPr>
      </w:pPr>
      <w:r>
        <w:rPr>
          <w:highlight w:val="none"/>
        </w:rPr>
        <w:t>对于户内门、管井门、各种机房等，提前准备好钥匙；</w:t>
      </w:r>
    </w:p>
    <w:p w14:paraId="204664BF">
      <w:pPr>
        <w:ind w:firstLine="480"/>
        <w:rPr>
          <w:rFonts w:hint="eastAsia"/>
          <w:highlight w:val="none"/>
        </w:rPr>
      </w:pPr>
      <w:r>
        <w:rPr>
          <w:highlight w:val="none"/>
        </w:rPr>
        <w:t>人员安排：项目、总包单位人员，提前做好各项设备调试、功能测试准备工作。</w:t>
      </w:r>
    </w:p>
    <w:p w14:paraId="4793B6AC">
      <w:pPr>
        <w:pStyle w:val="5"/>
        <w:numPr>
          <w:ilvl w:val="3"/>
          <w:numId w:val="13"/>
        </w:numPr>
        <w:rPr>
          <w:rFonts w:hint="eastAsia"/>
          <w:highlight w:val="none"/>
        </w:rPr>
      </w:pPr>
      <w:r>
        <w:rPr>
          <w:rFonts w:hint="eastAsia"/>
          <w:highlight w:val="none"/>
        </w:rPr>
        <w:t>材料抽选（材料飞检）</w:t>
      </w:r>
    </w:p>
    <w:p w14:paraId="08D3C2AC">
      <w:pPr>
        <w:ind w:firstLine="480"/>
        <w:rPr>
          <w:rFonts w:hint="eastAsia"/>
          <w:highlight w:val="none"/>
        </w:rPr>
      </w:pPr>
      <w:r>
        <w:rPr>
          <w:rFonts w:hint="eastAsia"/>
          <w:highlight w:val="none"/>
        </w:rPr>
        <w:t>（1）</w:t>
      </w:r>
      <w:r>
        <w:rPr>
          <w:highlight w:val="none"/>
        </w:rPr>
        <w:t>根据</w:t>
      </w:r>
      <w:r>
        <w:rPr>
          <w:rFonts w:hint="eastAsia"/>
          <w:highlight w:val="none"/>
        </w:rPr>
        <w:t>发包人</w:t>
      </w:r>
      <w:r>
        <w:rPr>
          <w:highlight w:val="none"/>
        </w:rPr>
        <w:t>指定材料，现场随机取样异地送检。</w:t>
      </w:r>
    </w:p>
    <w:p w14:paraId="3EE00053">
      <w:pPr>
        <w:ind w:firstLine="480"/>
        <w:rPr>
          <w:rFonts w:hint="eastAsia"/>
          <w:highlight w:val="none"/>
        </w:rPr>
      </w:pPr>
      <w:r>
        <w:rPr>
          <w:rFonts w:hint="eastAsia"/>
          <w:highlight w:val="none"/>
        </w:rPr>
        <w:t>1）</w:t>
      </w:r>
      <w:r>
        <w:rPr>
          <w:highlight w:val="none"/>
        </w:rPr>
        <w:t>材料抽检范围包括</w:t>
      </w:r>
      <w:r>
        <w:rPr>
          <w:rFonts w:hint="eastAsia"/>
          <w:highlight w:val="none"/>
        </w:rPr>
        <w:t>但不限于</w:t>
      </w:r>
      <w:r>
        <w:rPr>
          <w:highlight w:val="none"/>
        </w:rPr>
        <w:t>：钢筋、钢筋接头、钢筋机械连接件、钢筋机械连接用套筒、角钢、钢方管、受力钢筋（型钢类）、砼、搅拌砂浆、蒸压灰砂砖、砂子、蒸压加气块、镀锌钢管、泡沫隔热板、岩棉板、不锈钢紧固件（包括石材背栓）、外墙保温材料、外墙涂料、喷涂铝型材、铝板、板材、室内石材、人造革、电线、塑料管材、衬塑钢管给水管、阀门等。</w:t>
      </w:r>
    </w:p>
    <w:p w14:paraId="327940B4">
      <w:pPr>
        <w:ind w:firstLine="480"/>
        <w:rPr>
          <w:rFonts w:hint="eastAsia"/>
          <w:highlight w:val="none"/>
        </w:rPr>
      </w:pPr>
      <w:r>
        <w:rPr>
          <w:rFonts w:hint="eastAsia"/>
          <w:highlight w:val="none"/>
        </w:rPr>
        <w:t>2）实体检测，由发包人委托第三方对现场工程实体进行检测，现场随机抽检不少于三个构件，检测范围包括但不限于：混凝土结构剪力墙强度（回弹法），剪力墙钢筋保护层厚度，管桩、灌注桩桩身完整性检查等，如检测实体不合格，由施工单位在监理单位见证下进行自检的同时增加样本数量，并委托有资质的单位进行扩大检查，必要时进行实体抽芯检查，并将检测结果报送发包人。</w:t>
      </w:r>
    </w:p>
    <w:p w14:paraId="70B3F6FB">
      <w:pPr>
        <w:ind w:firstLine="480"/>
        <w:rPr>
          <w:rFonts w:hint="eastAsia"/>
          <w:highlight w:val="none"/>
        </w:rPr>
      </w:pPr>
      <w:r>
        <w:rPr>
          <w:rFonts w:hint="eastAsia"/>
          <w:highlight w:val="none"/>
        </w:rPr>
        <w:t>3）</w:t>
      </w:r>
      <w:r>
        <w:rPr>
          <w:highlight w:val="none"/>
        </w:rPr>
        <w:t>材料抽检样品分为一式三份，评估组送检一份，项目封样留存两份。若材料出现不合格，项目二次送检留存的两份封样样品。项目二次送检样品如存在丢失、封样单破损、调包等现象，则直接判定材料不合格。</w:t>
      </w:r>
    </w:p>
    <w:p w14:paraId="4316E0DD">
      <w:pPr>
        <w:ind w:firstLine="480"/>
        <w:rPr>
          <w:rFonts w:hint="eastAsia"/>
          <w:highlight w:val="none"/>
        </w:rPr>
      </w:pPr>
      <w:r>
        <w:rPr>
          <w:rFonts w:hint="eastAsia"/>
          <w:highlight w:val="none"/>
        </w:rPr>
        <w:t>4）</w:t>
      </w:r>
      <w:r>
        <w:rPr>
          <w:highlight w:val="none"/>
        </w:rPr>
        <w:t>关于人造板和饰面板，甲醛的测试方法已经更新为GB 18580-2017,新标准正式执行时间为2018年5月1日，全部按照新标准来测试。</w:t>
      </w:r>
    </w:p>
    <w:p w14:paraId="5FBD447E">
      <w:pPr>
        <w:ind w:firstLine="480"/>
        <w:rPr>
          <w:rFonts w:hint="eastAsia"/>
          <w:highlight w:val="none"/>
        </w:rPr>
      </w:pPr>
      <w:r>
        <w:rPr>
          <w:rFonts w:hint="eastAsia"/>
          <w:highlight w:val="none"/>
        </w:rPr>
        <w:t>5）对于两次抽检不合格材料，将对该施工单位按照合同条款进行违约处罚。</w:t>
      </w:r>
    </w:p>
    <w:p w14:paraId="7AF9772D">
      <w:pPr>
        <w:pStyle w:val="3"/>
        <w:numPr>
          <w:ilvl w:val="1"/>
          <w:numId w:val="13"/>
        </w:numPr>
        <w:rPr>
          <w:rFonts w:hint="eastAsia"/>
          <w:highlight w:val="none"/>
        </w:rPr>
      </w:pPr>
      <w:bookmarkStart w:id="176" w:name="_Toc31536"/>
      <w:bookmarkStart w:id="177" w:name="_Toc31549"/>
      <w:bookmarkStart w:id="178" w:name="_Toc32688"/>
      <w:bookmarkStart w:id="179" w:name="_Toc1984"/>
      <w:bookmarkStart w:id="180" w:name="_Toc2700"/>
      <w:bookmarkStart w:id="181" w:name="_Toc21495"/>
      <w:bookmarkStart w:id="182" w:name="_Toc17344"/>
      <w:bookmarkStart w:id="183" w:name="_Toc28931"/>
      <w:bookmarkStart w:id="184" w:name="_Toc17428"/>
      <w:bookmarkStart w:id="185" w:name="_Toc8765"/>
      <w:r>
        <w:rPr>
          <w:highlight w:val="none"/>
        </w:rPr>
        <w:t>进度管理要求</w:t>
      </w:r>
      <w:bookmarkEnd w:id="175"/>
      <w:bookmarkEnd w:id="176"/>
      <w:bookmarkEnd w:id="177"/>
      <w:bookmarkEnd w:id="178"/>
      <w:bookmarkEnd w:id="179"/>
      <w:bookmarkEnd w:id="180"/>
      <w:bookmarkEnd w:id="181"/>
      <w:bookmarkEnd w:id="182"/>
      <w:bookmarkEnd w:id="183"/>
      <w:bookmarkEnd w:id="184"/>
      <w:bookmarkEnd w:id="185"/>
    </w:p>
    <w:p w14:paraId="4F5DFEA5">
      <w:pPr>
        <w:ind w:firstLine="480"/>
        <w:rPr>
          <w:rFonts w:hint="eastAsia"/>
          <w:highlight w:val="none"/>
        </w:rPr>
      </w:pPr>
      <w:r>
        <w:rPr>
          <w:rFonts w:hint="eastAsia"/>
          <w:highlight w:val="none"/>
        </w:rPr>
        <w:t>总承包人应依据发包人提供的工</w:t>
      </w:r>
      <w:r>
        <w:rPr>
          <w:highlight w:val="none"/>
        </w:rPr>
        <w:t>期要求</w:t>
      </w:r>
      <w:r>
        <w:rPr>
          <w:rFonts w:hint="eastAsia"/>
          <w:highlight w:val="none"/>
        </w:rPr>
        <w:t>，通过编制《总承包工程施工进度计划》，把工程施工准备至竣工验收、移交小业主为止期间的，包括总承包自行承建部分、专业承包人/独立承包人承建部分、与总承包管理相关的所有工作以计划的形式合理地组织起来。总承包人以此为依据协调参建各方推动工程建设、及时检查项目施工进度、分析计划执行的偏差并进行调整或修正，以保证实现合同约定的目标工期。</w:t>
      </w:r>
    </w:p>
    <w:p w14:paraId="63FEDF2C">
      <w:pPr>
        <w:pStyle w:val="4"/>
        <w:numPr>
          <w:ilvl w:val="2"/>
          <w:numId w:val="13"/>
        </w:numPr>
        <w:rPr>
          <w:rFonts w:hint="eastAsia"/>
          <w:highlight w:val="none"/>
        </w:rPr>
      </w:pPr>
      <w:r>
        <w:rPr>
          <w:rFonts w:hint="eastAsia"/>
          <w:highlight w:val="none"/>
        </w:rPr>
        <w:t>工程进度</w:t>
      </w:r>
      <w:r>
        <w:rPr>
          <w:highlight w:val="none"/>
        </w:rPr>
        <w:t>计划的分类</w:t>
      </w:r>
    </w:p>
    <w:p w14:paraId="43C49604">
      <w:pPr>
        <w:pStyle w:val="5"/>
        <w:rPr>
          <w:rFonts w:hint="eastAsia"/>
          <w:highlight w:val="none"/>
        </w:rPr>
      </w:pPr>
      <w:r>
        <w:rPr>
          <w:highlight w:val="none"/>
        </w:rPr>
        <w:t>按计划内容分</w:t>
      </w:r>
    </w:p>
    <w:p w14:paraId="67BBFB08">
      <w:pPr>
        <w:numPr>
          <w:ilvl w:val="0"/>
          <w:numId w:val="16"/>
        </w:numPr>
        <w:ind w:firstLine="480"/>
        <w:rPr>
          <w:rFonts w:hint="eastAsia"/>
          <w:highlight w:val="none"/>
        </w:rPr>
      </w:pPr>
      <w:r>
        <w:rPr>
          <w:rFonts w:hint="eastAsia"/>
          <w:highlight w:val="none"/>
        </w:rPr>
        <w:t>《总承包工程施工进度计划》（除总承包人自施内容外，还应包括：精装修、红线内小市政、电梯工程、园林景观、竣工验收、工程移交等）</w:t>
      </w:r>
    </w:p>
    <w:p w14:paraId="319A4B1B">
      <w:pPr>
        <w:numPr>
          <w:ilvl w:val="0"/>
          <w:numId w:val="16"/>
        </w:numPr>
        <w:ind w:firstLine="480"/>
        <w:rPr>
          <w:rFonts w:hint="eastAsia"/>
          <w:highlight w:val="none"/>
        </w:rPr>
      </w:pPr>
      <w:r>
        <w:rPr>
          <w:rFonts w:hint="eastAsia"/>
          <w:highlight w:val="none"/>
        </w:rPr>
        <w:t>《专业承包人/独立承包人进场计划》</w:t>
      </w:r>
    </w:p>
    <w:p w14:paraId="0740258D">
      <w:pPr>
        <w:numPr>
          <w:ilvl w:val="0"/>
          <w:numId w:val="16"/>
        </w:numPr>
        <w:ind w:firstLine="480"/>
        <w:rPr>
          <w:rFonts w:hint="eastAsia"/>
          <w:highlight w:val="none"/>
        </w:rPr>
      </w:pPr>
      <w:r>
        <w:rPr>
          <w:rFonts w:hint="eastAsia"/>
          <w:highlight w:val="none"/>
        </w:rPr>
        <w:t>《劳动力</w:t>
      </w:r>
      <w:r>
        <w:rPr>
          <w:highlight w:val="none"/>
        </w:rPr>
        <w:t>计划</w:t>
      </w:r>
      <w:r>
        <w:rPr>
          <w:rFonts w:hint="eastAsia"/>
          <w:highlight w:val="none"/>
        </w:rPr>
        <w:t>》</w:t>
      </w:r>
    </w:p>
    <w:p w14:paraId="42ED446D">
      <w:pPr>
        <w:numPr>
          <w:ilvl w:val="0"/>
          <w:numId w:val="16"/>
        </w:numPr>
        <w:ind w:firstLine="480"/>
        <w:rPr>
          <w:rFonts w:hint="eastAsia"/>
          <w:highlight w:val="none"/>
        </w:rPr>
      </w:pPr>
      <w:r>
        <w:rPr>
          <w:rFonts w:hint="eastAsia"/>
          <w:highlight w:val="none"/>
        </w:rPr>
        <w:t>《机械</w:t>
      </w:r>
      <w:r>
        <w:rPr>
          <w:highlight w:val="none"/>
        </w:rPr>
        <w:t>设备进退场计划</w:t>
      </w:r>
      <w:r>
        <w:rPr>
          <w:rFonts w:hint="eastAsia"/>
          <w:highlight w:val="none"/>
        </w:rPr>
        <w:t>》</w:t>
      </w:r>
    </w:p>
    <w:p w14:paraId="2366D7E6">
      <w:pPr>
        <w:numPr>
          <w:ilvl w:val="0"/>
          <w:numId w:val="16"/>
        </w:numPr>
        <w:ind w:firstLine="480"/>
        <w:rPr>
          <w:rFonts w:hint="eastAsia"/>
          <w:highlight w:val="none"/>
        </w:rPr>
      </w:pPr>
      <w:r>
        <w:rPr>
          <w:rFonts w:hint="eastAsia"/>
          <w:highlight w:val="none"/>
        </w:rPr>
        <w:t>《材料</w:t>
      </w:r>
      <w:r>
        <w:rPr>
          <w:highlight w:val="none"/>
        </w:rPr>
        <w:t>设备采购供应计划</w:t>
      </w:r>
      <w:r>
        <w:rPr>
          <w:rFonts w:hint="eastAsia"/>
          <w:highlight w:val="none"/>
        </w:rPr>
        <w:t>》（含</w:t>
      </w:r>
      <w:r>
        <w:rPr>
          <w:highlight w:val="none"/>
        </w:rPr>
        <w:t>甲供材料进场计划</w:t>
      </w:r>
      <w:r>
        <w:rPr>
          <w:rFonts w:hint="eastAsia"/>
          <w:highlight w:val="none"/>
        </w:rPr>
        <w:t>）</w:t>
      </w:r>
    </w:p>
    <w:p w14:paraId="3B756547">
      <w:pPr>
        <w:numPr>
          <w:ilvl w:val="0"/>
          <w:numId w:val="16"/>
        </w:numPr>
        <w:ind w:firstLine="480"/>
        <w:rPr>
          <w:rFonts w:hint="eastAsia"/>
          <w:highlight w:val="none"/>
        </w:rPr>
      </w:pPr>
      <w:r>
        <w:rPr>
          <w:rFonts w:hint="eastAsia"/>
          <w:highlight w:val="none"/>
        </w:rPr>
        <w:t>《深化</w:t>
      </w:r>
      <w:r>
        <w:rPr>
          <w:highlight w:val="none"/>
        </w:rPr>
        <w:t>设计计划</w:t>
      </w:r>
      <w:r>
        <w:rPr>
          <w:rFonts w:hint="eastAsia"/>
          <w:highlight w:val="none"/>
        </w:rPr>
        <w:t>》</w:t>
      </w:r>
    </w:p>
    <w:p w14:paraId="21BB1CA7">
      <w:pPr>
        <w:numPr>
          <w:ilvl w:val="0"/>
          <w:numId w:val="16"/>
        </w:numPr>
        <w:ind w:firstLine="480"/>
        <w:rPr>
          <w:rFonts w:hint="eastAsia"/>
          <w:highlight w:val="none"/>
        </w:rPr>
      </w:pPr>
      <w:r>
        <w:rPr>
          <w:rFonts w:hint="eastAsia"/>
          <w:highlight w:val="none"/>
        </w:rPr>
        <w:t>《施工</w:t>
      </w:r>
      <w:r>
        <w:rPr>
          <w:highlight w:val="none"/>
        </w:rPr>
        <w:t>工艺样板计划</w:t>
      </w:r>
      <w:r>
        <w:rPr>
          <w:rFonts w:hint="eastAsia"/>
          <w:highlight w:val="none"/>
        </w:rPr>
        <w:t>》</w:t>
      </w:r>
    </w:p>
    <w:p w14:paraId="2246ED90">
      <w:pPr>
        <w:numPr>
          <w:ilvl w:val="0"/>
          <w:numId w:val="16"/>
        </w:numPr>
        <w:ind w:firstLine="480"/>
        <w:rPr>
          <w:rFonts w:hint="eastAsia"/>
          <w:highlight w:val="none"/>
        </w:rPr>
      </w:pPr>
      <w:r>
        <w:rPr>
          <w:rFonts w:hint="eastAsia"/>
          <w:highlight w:val="none"/>
        </w:rPr>
        <w:t>《工作面</w:t>
      </w:r>
      <w:r>
        <w:rPr>
          <w:highlight w:val="none"/>
        </w:rPr>
        <w:t>移交计划</w:t>
      </w:r>
      <w:r>
        <w:rPr>
          <w:rFonts w:hint="eastAsia"/>
          <w:highlight w:val="none"/>
        </w:rPr>
        <w:t>》</w:t>
      </w:r>
    </w:p>
    <w:p w14:paraId="16147E50">
      <w:pPr>
        <w:numPr>
          <w:ilvl w:val="0"/>
          <w:numId w:val="16"/>
        </w:numPr>
        <w:ind w:firstLine="480"/>
        <w:rPr>
          <w:rFonts w:hint="eastAsia"/>
          <w:highlight w:val="none"/>
        </w:rPr>
      </w:pPr>
      <w:r>
        <w:rPr>
          <w:rFonts w:hint="eastAsia"/>
          <w:highlight w:val="none"/>
        </w:rPr>
        <w:t>《竣工</w:t>
      </w:r>
      <w:r>
        <w:rPr>
          <w:highlight w:val="none"/>
        </w:rPr>
        <w:t>验收计划</w:t>
      </w:r>
      <w:r>
        <w:rPr>
          <w:rFonts w:hint="eastAsia"/>
          <w:highlight w:val="none"/>
        </w:rPr>
        <w:t>》</w:t>
      </w:r>
    </w:p>
    <w:p w14:paraId="2B3E841A">
      <w:pPr>
        <w:numPr>
          <w:ilvl w:val="0"/>
          <w:numId w:val="16"/>
        </w:numPr>
        <w:ind w:firstLine="480"/>
        <w:rPr>
          <w:rFonts w:hint="eastAsia"/>
          <w:highlight w:val="none"/>
        </w:rPr>
      </w:pPr>
      <w:r>
        <w:rPr>
          <w:rFonts w:hint="eastAsia"/>
          <w:highlight w:val="none"/>
        </w:rPr>
        <w:t>《工程移交</w:t>
      </w:r>
      <w:r>
        <w:rPr>
          <w:highlight w:val="none"/>
        </w:rPr>
        <w:t>计划</w:t>
      </w:r>
      <w:r>
        <w:rPr>
          <w:rFonts w:hint="eastAsia"/>
          <w:highlight w:val="none"/>
        </w:rPr>
        <w:t>》</w:t>
      </w:r>
    </w:p>
    <w:p w14:paraId="185EA666">
      <w:pPr>
        <w:pStyle w:val="5"/>
        <w:rPr>
          <w:rFonts w:hint="eastAsia"/>
          <w:highlight w:val="none"/>
        </w:rPr>
      </w:pPr>
      <w:r>
        <w:rPr>
          <w:highlight w:val="none"/>
        </w:rPr>
        <w:t>编制要求</w:t>
      </w:r>
    </w:p>
    <w:p w14:paraId="02225F71">
      <w:pPr>
        <w:numPr>
          <w:ilvl w:val="0"/>
          <w:numId w:val="17"/>
        </w:numPr>
        <w:ind w:firstLine="480"/>
        <w:rPr>
          <w:rFonts w:hint="eastAsia"/>
          <w:highlight w:val="none"/>
        </w:rPr>
      </w:pPr>
      <w:r>
        <w:rPr>
          <w:rFonts w:hint="eastAsia"/>
          <w:highlight w:val="none"/>
        </w:rPr>
        <w:t>项目工程施工进度计划组成应分为施工准备、现场施工、竣工验收（包括移交）三个阶段，现场施工中应体现与营销配合的工作：</w:t>
      </w:r>
    </w:p>
    <w:p w14:paraId="7BB410FE">
      <w:pPr>
        <w:numPr>
          <w:ilvl w:val="0"/>
          <w:numId w:val="17"/>
        </w:numPr>
        <w:ind w:firstLine="480"/>
        <w:rPr>
          <w:rFonts w:hint="eastAsia"/>
          <w:highlight w:val="none"/>
        </w:rPr>
      </w:pPr>
      <w:r>
        <w:rPr>
          <w:rFonts w:hint="eastAsia"/>
          <w:highlight w:val="none"/>
        </w:rPr>
        <w:t>施工准备：进场接收场地、临设搭建、图纸审核、施组方案编制报审报批、交底培训等。</w:t>
      </w:r>
    </w:p>
    <w:p w14:paraId="45FCE127">
      <w:pPr>
        <w:numPr>
          <w:ilvl w:val="0"/>
          <w:numId w:val="17"/>
        </w:numPr>
        <w:ind w:firstLine="480"/>
        <w:rPr>
          <w:rFonts w:hint="eastAsia"/>
          <w:highlight w:val="none"/>
        </w:rPr>
      </w:pPr>
      <w:r>
        <w:rPr>
          <w:rFonts w:hint="eastAsia"/>
          <w:highlight w:val="none"/>
        </w:rPr>
        <w:t>现场施工：土方工程、基础工程、结构工程、粗装修工程、外窗安装（</w:t>
      </w:r>
      <w:r>
        <w:rPr>
          <w:highlight w:val="none"/>
        </w:rPr>
        <w:t>幕墙工程）</w:t>
      </w:r>
      <w:r>
        <w:rPr>
          <w:rFonts w:hint="eastAsia"/>
          <w:highlight w:val="none"/>
        </w:rPr>
        <w:t>相关工程、机电工程（包括电气、水暖、通风）、消防工程、精装修工程、市政工程、燃气工程、电力工程、热力工程、园林工程、标识工程等。</w:t>
      </w:r>
    </w:p>
    <w:p w14:paraId="11566FE9">
      <w:pPr>
        <w:numPr>
          <w:ilvl w:val="0"/>
          <w:numId w:val="17"/>
        </w:numPr>
        <w:ind w:firstLine="480"/>
        <w:rPr>
          <w:rFonts w:hint="eastAsia"/>
          <w:highlight w:val="none"/>
        </w:rPr>
      </w:pPr>
      <w:r>
        <w:rPr>
          <w:rFonts w:hint="eastAsia"/>
          <w:highlight w:val="none"/>
        </w:rPr>
        <w:t>竣工验收及移交：规划验收、消防验收、竣工验收及备案、移交物业、移交发包人。</w:t>
      </w:r>
    </w:p>
    <w:p w14:paraId="3C0FEFD9">
      <w:pPr>
        <w:numPr>
          <w:ilvl w:val="0"/>
          <w:numId w:val="17"/>
        </w:numPr>
        <w:ind w:firstLine="480"/>
        <w:rPr>
          <w:rFonts w:hint="eastAsia"/>
          <w:highlight w:val="none"/>
        </w:rPr>
      </w:pPr>
      <w:r>
        <w:rPr>
          <w:rFonts w:hint="eastAsia"/>
          <w:highlight w:val="none"/>
        </w:rPr>
        <w:t>应在工程进度计划中体现主要关键节点、关键线路的逻辑关系、任务项工期、重要性、资源名称，在关键线路上的任务项受到其它专业任务限制而采取无逻辑连接的输入时，应给予说明。</w:t>
      </w:r>
    </w:p>
    <w:p w14:paraId="4A712622">
      <w:pPr>
        <w:numPr>
          <w:ilvl w:val="0"/>
          <w:numId w:val="17"/>
        </w:numPr>
        <w:ind w:firstLine="480"/>
        <w:rPr>
          <w:rFonts w:hint="eastAsia"/>
          <w:highlight w:val="none"/>
        </w:rPr>
      </w:pPr>
      <w:r>
        <w:rPr>
          <w:rFonts w:hint="eastAsia"/>
          <w:highlight w:val="none"/>
        </w:rPr>
        <w:t>主要关键节点应包括：进场、开工、验槽、基础、正负零、分段验收、回填土及防水、结构封顶、二次砌筑、塔吊及施工电梯安拆，并根据项目具体情况编制粗装开始及完成、精装开始及完成、市政开始及完成、园林开始及完成、消防验收、规划验收、竣工验收及备案、移交计划。</w:t>
      </w:r>
    </w:p>
    <w:p w14:paraId="71D0B912">
      <w:pPr>
        <w:numPr>
          <w:ilvl w:val="0"/>
          <w:numId w:val="17"/>
        </w:numPr>
        <w:ind w:firstLine="480"/>
        <w:rPr>
          <w:rFonts w:hint="eastAsia"/>
          <w:highlight w:val="none"/>
        </w:rPr>
      </w:pPr>
      <w:r>
        <w:rPr>
          <w:rFonts w:hint="eastAsia"/>
          <w:highlight w:val="none"/>
        </w:rPr>
        <w:t>总承包工程施工进度计划应深入至总承包施工界面内的具体工序的组织，时间刻度不应大于每月。</w:t>
      </w:r>
    </w:p>
    <w:p w14:paraId="6F58D5C2">
      <w:pPr>
        <w:numPr>
          <w:ilvl w:val="0"/>
          <w:numId w:val="17"/>
        </w:numPr>
        <w:ind w:firstLine="480"/>
        <w:rPr>
          <w:rFonts w:hint="eastAsia"/>
          <w:highlight w:val="none"/>
        </w:rPr>
      </w:pPr>
      <w:r>
        <w:rPr>
          <w:rFonts w:hint="eastAsia"/>
          <w:highlight w:val="none"/>
        </w:rPr>
        <w:t>总承包人应编制材料、设备供应及甲供材排产计划，以便发包人组织订货及排产。</w:t>
      </w:r>
    </w:p>
    <w:p w14:paraId="3E0D54CF">
      <w:pPr>
        <w:numPr>
          <w:ilvl w:val="0"/>
          <w:numId w:val="17"/>
        </w:numPr>
        <w:ind w:firstLine="480"/>
        <w:rPr>
          <w:rFonts w:hint="eastAsia"/>
          <w:highlight w:val="none"/>
        </w:rPr>
      </w:pPr>
      <w:r>
        <w:rPr>
          <w:rFonts w:hint="eastAsia"/>
          <w:highlight w:val="none"/>
        </w:rPr>
        <w:t>总承包人须报送自行采购主要材料、设备的加工及分阶段进场详细计划，该计划与施工进度计划分部分项工程计划须相符，保证及时供应。</w:t>
      </w:r>
    </w:p>
    <w:p w14:paraId="207B613E">
      <w:pPr>
        <w:numPr>
          <w:ilvl w:val="0"/>
          <w:numId w:val="17"/>
        </w:numPr>
        <w:ind w:firstLine="480"/>
        <w:rPr>
          <w:rFonts w:hint="eastAsia"/>
          <w:highlight w:val="none"/>
        </w:rPr>
      </w:pPr>
      <w:r>
        <w:rPr>
          <w:rFonts w:hint="eastAsia"/>
          <w:highlight w:val="none"/>
        </w:rPr>
        <w:t>总承包人应根据里程碑节点及各工程阶段编制劳动力进场计划，必须细化到工种及劳务来源地及承包形式。</w:t>
      </w:r>
    </w:p>
    <w:p w14:paraId="384E4B69">
      <w:pPr>
        <w:numPr>
          <w:ilvl w:val="0"/>
          <w:numId w:val="17"/>
        </w:numPr>
        <w:ind w:firstLine="480"/>
        <w:rPr>
          <w:rFonts w:hint="eastAsia"/>
          <w:highlight w:val="none"/>
        </w:rPr>
      </w:pPr>
      <w:r>
        <w:rPr>
          <w:rFonts w:hint="eastAsia"/>
          <w:highlight w:val="none"/>
        </w:rPr>
        <w:t>由发包人直接管理的独立承包人所编制的专业工程施工进度计划，由监理人负责与总承包人的计划进行协调并审批，最终报发包人审批确定。</w:t>
      </w:r>
    </w:p>
    <w:p w14:paraId="2EAFC45A">
      <w:pPr>
        <w:numPr>
          <w:ilvl w:val="0"/>
          <w:numId w:val="17"/>
        </w:numPr>
        <w:ind w:firstLine="480"/>
        <w:rPr>
          <w:rFonts w:hint="eastAsia"/>
          <w:highlight w:val="none"/>
        </w:rPr>
      </w:pPr>
      <w:r>
        <w:rPr>
          <w:rFonts w:hint="eastAsia"/>
          <w:highlight w:val="none"/>
        </w:rPr>
        <w:t>编制计划时应充分考虑施工工艺、周边环境、季节影响、农忙、重大庆典和传统节日、重要政府会议、环保督查、中高考等因素的影响。</w:t>
      </w:r>
    </w:p>
    <w:p w14:paraId="280C75EE">
      <w:pPr>
        <w:pStyle w:val="5"/>
        <w:rPr>
          <w:rFonts w:hint="eastAsia"/>
          <w:highlight w:val="none"/>
        </w:rPr>
      </w:pPr>
      <w:r>
        <w:rPr>
          <w:rFonts w:hint="eastAsia"/>
          <w:highlight w:val="none"/>
        </w:rPr>
        <w:t>总承包工程施工进度计划的</w:t>
      </w:r>
      <w:r>
        <w:rPr>
          <w:highlight w:val="none"/>
        </w:rPr>
        <w:t>审批</w:t>
      </w:r>
    </w:p>
    <w:p w14:paraId="0114FF03">
      <w:pPr>
        <w:numPr>
          <w:ilvl w:val="0"/>
          <w:numId w:val="18"/>
        </w:numPr>
        <w:ind w:left="480" w:firstLine="480"/>
        <w:rPr>
          <w:rFonts w:hint="eastAsia"/>
          <w:highlight w:val="none"/>
        </w:rPr>
      </w:pPr>
      <w:r>
        <w:rPr>
          <w:rFonts w:hint="eastAsia"/>
          <w:highlight w:val="none"/>
        </w:rPr>
        <w:t>总承包工程施工进度计划编制完成后报监理人，由监理人审核是否满足项目整体开发计划要求及销售需求，审核并确定其它专业计划是否与项目施工进度计划匹配。</w:t>
      </w:r>
    </w:p>
    <w:p w14:paraId="1D87B783">
      <w:pPr>
        <w:numPr>
          <w:ilvl w:val="0"/>
          <w:numId w:val="18"/>
        </w:numPr>
        <w:ind w:left="480" w:firstLine="480"/>
        <w:rPr>
          <w:rFonts w:hint="eastAsia"/>
          <w:highlight w:val="none"/>
        </w:rPr>
      </w:pPr>
      <w:r>
        <w:rPr>
          <w:rFonts w:hint="eastAsia"/>
          <w:highlight w:val="none"/>
        </w:rPr>
        <w:t>总承包工程施工进度计划经监理人和发包人审核通过后，作为项目施工阶段各项工作开展依据。</w:t>
      </w:r>
    </w:p>
    <w:p w14:paraId="7A97D083">
      <w:pPr>
        <w:pStyle w:val="5"/>
        <w:rPr>
          <w:rFonts w:hint="eastAsia"/>
          <w:highlight w:val="none"/>
        </w:rPr>
      </w:pPr>
      <w:r>
        <w:rPr>
          <w:rFonts w:hint="eastAsia"/>
          <w:highlight w:val="none"/>
        </w:rPr>
        <w:t>总承包工程施工进度计划的</w:t>
      </w:r>
      <w:r>
        <w:rPr>
          <w:highlight w:val="none"/>
        </w:rPr>
        <w:t>调整</w:t>
      </w:r>
    </w:p>
    <w:p w14:paraId="2D273893">
      <w:pPr>
        <w:ind w:firstLine="480"/>
        <w:rPr>
          <w:rFonts w:hint="eastAsia"/>
          <w:highlight w:val="none"/>
        </w:rPr>
      </w:pPr>
      <w:r>
        <w:rPr>
          <w:rFonts w:hint="eastAsia"/>
          <w:highlight w:val="none"/>
        </w:rPr>
        <w:t>总承包工程施工进度计划不能随意调整，若发包人项目整体开发计划或销售计划发生变化，总承包工程施工进度计划可进行相应调整。</w:t>
      </w:r>
    </w:p>
    <w:p w14:paraId="54B22EC0">
      <w:pPr>
        <w:ind w:firstLine="480"/>
        <w:rPr>
          <w:rFonts w:hint="eastAsia"/>
          <w:highlight w:val="none"/>
        </w:rPr>
      </w:pPr>
      <w:r>
        <w:rPr>
          <w:rFonts w:hint="eastAsia"/>
          <w:highlight w:val="none"/>
        </w:rPr>
        <w:t>承包人进场后应对项目所有不利条件进行充分探勘，因场地条件、周边环境、交通运输、供水供电、排水排污等施工前置条件的影响、不作为工期调整及索赔的依据。</w:t>
      </w:r>
    </w:p>
    <w:p w14:paraId="52B8634D">
      <w:pPr>
        <w:ind w:firstLine="480"/>
        <w:rPr>
          <w:rFonts w:hint="eastAsia"/>
          <w:highlight w:val="none"/>
        </w:rPr>
      </w:pPr>
      <w:r>
        <w:rPr>
          <w:rFonts w:hint="eastAsia"/>
          <w:highlight w:val="none"/>
        </w:rPr>
        <w:t>根据节点工期要求编制各节点机械设备、劳动力、材料投入计划并进行考核，对材料、机械设备、劳动力投入不足等情况追究施工方的违约责任。</w:t>
      </w:r>
    </w:p>
    <w:p w14:paraId="06C65BDD">
      <w:pPr>
        <w:ind w:firstLine="480"/>
        <w:rPr>
          <w:rFonts w:hint="eastAsia"/>
          <w:highlight w:val="none"/>
        </w:rPr>
      </w:pPr>
      <w:r>
        <w:rPr>
          <w:rFonts w:hint="eastAsia"/>
          <w:highlight w:val="none"/>
        </w:rPr>
        <w:t>承包人在施工过程中需要为政府部门、建设单位、监理单位、检测单位的检查、检测预留足够的时间，其时间相应计入总工期中，不作为工期调整的依据。</w:t>
      </w:r>
    </w:p>
    <w:p w14:paraId="02BEED6E">
      <w:pPr>
        <w:ind w:firstLine="480"/>
        <w:rPr>
          <w:rFonts w:hint="eastAsia"/>
          <w:highlight w:val="none"/>
        </w:rPr>
      </w:pPr>
      <w:r>
        <w:rPr>
          <w:rFonts w:hint="eastAsia"/>
          <w:highlight w:val="none"/>
        </w:rPr>
        <w:t>承包人在施工过程中需要给各专业承包单位的施工及调试和成品保护预留足够的时间，其时间相应计入总工期中，不作为工期调整的依据。</w:t>
      </w:r>
    </w:p>
    <w:p w14:paraId="71A734A7">
      <w:pPr>
        <w:ind w:firstLine="480"/>
        <w:rPr>
          <w:rFonts w:hint="eastAsia"/>
          <w:highlight w:val="none"/>
        </w:rPr>
      </w:pPr>
      <w:r>
        <w:rPr>
          <w:rFonts w:hint="eastAsia"/>
          <w:highlight w:val="none"/>
        </w:rPr>
        <w:t>地质条件变化、地下障碍物等不作为工期调整的依据。</w:t>
      </w:r>
    </w:p>
    <w:p w14:paraId="369BE481">
      <w:pPr>
        <w:ind w:firstLine="480"/>
        <w:rPr>
          <w:rFonts w:hint="eastAsia"/>
          <w:highlight w:val="none"/>
        </w:rPr>
      </w:pPr>
      <w:r>
        <w:rPr>
          <w:rFonts w:hint="eastAsia"/>
          <w:highlight w:val="none"/>
        </w:rPr>
        <w:t>工期调整的其他要求按合同相关条款进行。</w:t>
      </w:r>
    </w:p>
    <w:p w14:paraId="159A00C2">
      <w:pPr>
        <w:pStyle w:val="4"/>
        <w:numPr>
          <w:ilvl w:val="2"/>
          <w:numId w:val="13"/>
        </w:numPr>
        <w:rPr>
          <w:rFonts w:hint="eastAsia"/>
          <w:highlight w:val="none"/>
        </w:rPr>
      </w:pPr>
      <w:r>
        <w:rPr>
          <w:rFonts w:hint="eastAsia"/>
          <w:highlight w:val="none"/>
        </w:rPr>
        <w:t>工程进度</w:t>
      </w:r>
      <w:r>
        <w:rPr>
          <w:highlight w:val="none"/>
        </w:rPr>
        <w:t>计划的</w:t>
      </w:r>
      <w:r>
        <w:rPr>
          <w:rFonts w:hint="eastAsia"/>
          <w:highlight w:val="none"/>
        </w:rPr>
        <w:t>管理</w:t>
      </w:r>
      <w:r>
        <w:rPr>
          <w:highlight w:val="none"/>
        </w:rPr>
        <w:t>要求</w:t>
      </w:r>
    </w:p>
    <w:p w14:paraId="501BC86D">
      <w:pPr>
        <w:pStyle w:val="5"/>
        <w:rPr>
          <w:rFonts w:hint="eastAsia"/>
          <w:highlight w:val="none"/>
        </w:rPr>
      </w:pPr>
      <w:r>
        <w:rPr>
          <w:rFonts w:hint="eastAsia"/>
          <w:highlight w:val="none"/>
        </w:rPr>
        <w:t>工程</w:t>
      </w:r>
      <w:r>
        <w:rPr>
          <w:highlight w:val="none"/>
        </w:rPr>
        <w:t>进度计划的检查和纠偏</w:t>
      </w:r>
    </w:p>
    <w:p w14:paraId="54E4CF0B">
      <w:pPr>
        <w:numPr>
          <w:ilvl w:val="0"/>
          <w:numId w:val="19"/>
        </w:numPr>
        <w:ind w:firstLine="480"/>
        <w:rPr>
          <w:rFonts w:hint="eastAsia"/>
          <w:highlight w:val="none"/>
        </w:rPr>
      </w:pPr>
      <w:r>
        <w:rPr>
          <w:rFonts w:hint="eastAsia"/>
          <w:highlight w:val="none"/>
        </w:rPr>
        <w:t>发包人、监理人对总承包人的施工组织、进度、资源投入进行检查，发现不符合施工组织设计和计划的施工组织方法、工作面管理，或者施工投入不足、效率低下，影响计划时，总承包人应积极配合调整。</w:t>
      </w:r>
    </w:p>
    <w:p w14:paraId="68E7C3D7">
      <w:pPr>
        <w:numPr>
          <w:ilvl w:val="0"/>
          <w:numId w:val="19"/>
        </w:numPr>
        <w:ind w:firstLine="480"/>
        <w:rPr>
          <w:rFonts w:hint="eastAsia"/>
          <w:highlight w:val="none"/>
        </w:rPr>
      </w:pPr>
      <w:r>
        <w:rPr>
          <w:rFonts w:hint="eastAsia"/>
          <w:highlight w:val="none"/>
        </w:rPr>
        <w:t>纠偏措施审批：</w:t>
      </w:r>
    </w:p>
    <w:p w14:paraId="1E51100F">
      <w:pPr>
        <w:numPr>
          <w:ilvl w:val="0"/>
          <w:numId w:val="19"/>
        </w:numPr>
        <w:ind w:firstLine="480"/>
        <w:rPr>
          <w:rFonts w:hint="eastAsia"/>
          <w:highlight w:val="none"/>
        </w:rPr>
      </w:pPr>
      <w:r>
        <w:rPr>
          <w:rFonts w:hint="eastAsia"/>
          <w:highlight w:val="none"/>
        </w:rPr>
        <w:t>周进度偏差：针对周进度偏差，分析偏差原因，总承包人应根据发包人和监理人意见提出纠偏措施，由监理人、发包人确认并督促执行。</w:t>
      </w:r>
    </w:p>
    <w:p w14:paraId="26E1DA14">
      <w:pPr>
        <w:numPr>
          <w:ilvl w:val="0"/>
          <w:numId w:val="19"/>
        </w:numPr>
        <w:ind w:firstLine="480"/>
        <w:rPr>
          <w:rFonts w:hint="eastAsia"/>
          <w:highlight w:val="none"/>
        </w:rPr>
      </w:pPr>
      <w:r>
        <w:rPr>
          <w:rFonts w:hint="eastAsia"/>
          <w:highlight w:val="none"/>
        </w:rPr>
        <w:t>累积偏差：当实际进度与总承包人整体施工计划累计偏差超过两周时，监理人应向发包人提交专项报告，并责令总承包人提交进度纠偏方案，三方共同就总承包人进度纠偏方案确认，总承包人必须按纠偏方案执行。</w:t>
      </w:r>
    </w:p>
    <w:p w14:paraId="417807CF">
      <w:pPr>
        <w:pStyle w:val="5"/>
        <w:rPr>
          <w:rFonts w:hint="eastAsia"/>
          <w:highlight w:val="none"/>
        </w:rPr>
      </w:pPr>
      <w:r>
        <w:rPr>
          <w:highlight w:val="none"/>
        </w:rPr>
        <w:t>进度管理报表</w:t>
      </w:r>
    </w:p>
    <w:p w14:paraId="34D0622C">
      <w:pPr>
        <w:ind w:firstLine="480"/>
        <w:rPr>
          <w:rFonts w:hint="eastAsia"/>
          <w:highlight w:val="none"/>
        </w:rPr>
      </w:pPr>
      <w:r>
        <w:rPr>
          <w:rFonts w:hint="eastAsia"/>
          <w:highlight w:val="none"/>
        </w:rPr>
        <w:t>总承包人应向监理人和发包人按时提交《周工作报告》、《月工作报告》，在《周工作报告》、《月工作报告》中应包含周、月度工作计划，其中属总承包人照管的专业承包人报表应同时报送总承包人、监理人、发包人。</w:t>
      </w:r>
    </w:p>
    <w:p w14:paraId="395300E2">
      <w:pPr>
        <w:numPr>
          <w:ilvl w:val="0"/>
          <w:numId w:val="20"/>
        </w:numPr>
        <w:ind w:left="480" w:firstLine="480"/>
        <w:rPr>
          <w:rFonts w:hint="eastAsia"/>
          <w:highlight w:val="none"/>
        </w:rPr>
      </w:pPr>
      <w:r>
        <w:rPr>
          <w:rFonts w:hint="eastAsia"/>
          <w:highlight w:val="none"/>
        </w:rPr>
        <w:t>各进度报表的内容</w:t>
      </w:r>
    </w:p>
    <w:p w14:paraId="4055C235">
      <w:pPr>
        <w:numPr>
          <w:ilvl w:val="0"/>
          <w:numId w:val="21"/>
        </w:numPr>
        <w:ind w:left="480" w:firstLine="480"/>
        <w:rPr>
          <w:rFonts w:hint="eastAsia"/>
          <w:highlight w:val="none"/>
        </w:rPr>
      </w:pPr>
      <w:r>
        <w:rPr>
          <w:rFonts w:hint="eastAsia"/>
          <w:highlight w:val="none"/>
        </w:rPr>
        <w:t>在现场工作的技术管理人员数量、工程技术工人和非技术工人数量，同时包括专业承包人的人员数量, 是否满足工程需要。</w:t>
      </w:r>
    </w:p>
    <w:p w14:paraId="35083882">
      <w:pPr>
        <w:numPr>
          <w:ilvl w:val="0"/>
          <w:numId w:val="21"/>
        </w:numPr>
        <w:ind w:left="480" w:firstLine="480"/>
        <w:rPr>
          <w:rFonts w:hint="eastAsia"/>
          <w:highlight w:val="none"/>
        </w:rPr>
      </w:pPr>
      <w:r>
        <w:rPr>
          <w:rFonts w:hint="eastAsia"/>
          <w:highlight w:val="none"/>
        </w:rPr>
        <w:t>现场所使用的各种主要机械设备和车辆的型号、数量和台班，工作区段，工程进度情况，天气情况记录，诸如停工、事故等特别事项说明。</w:t>
      </w:r>
    </w:p>
    <w:p w14:paraId="176C911F">
      <w:pPr>
        <w:numPr>
          <w:ilvl w:val="0"/>
          <w:numId w:val="21"/>
        </w:numPr>
        <w:ind w:left="480" w:firstLine="480"/>
        <w:rPr>
          <w:rFonts w:hint="eastAsia"/>
          <w:highlight w:val="none"/>
        </w:rPr>
      </w:pPr>
      <w:r>
        <w:rPr>
          <w:rFonts w:hint="eastAsia"/>
          <w:highlight w:val="none"/>
        </w:rPr>
        <w:t>专业承包人、作业队、班组进度计划完成情况，进场材料、物品或设备分类汇总表、用于次周或下月的工程进度计划。</w:t>
      </w:r>
    </w:p>
    <w:p w14:paraId="3B080716">
      <w:pPr>
        <w:numPr>
          <w:ilvl w:val="0"/>
          <w:numId w:val="21"/>
        </w:numPr>
        <w:ind w:left="480" w:firstLine="480"/>
        <w:rPr>
          <w:rFonts w:hint="eastAsia"/>
          <w:highlight w:val="none"/>
        </w:rPr>
      </w:pPr>
      <w:r>
        <w:rPr>
          <w:rFonts w:hint="eastAsia"/>
          <w:highlight w:val="none"/>
        </w:rPr>
        <w:t>工程变更、价格调整、索赔及工程款收支情况。</w:t>
      </w:r>
    </w:p>
    <w:p w14:paraId="3E04B301">
      <w:pPr>
        <w:numPr>
          <w:ilvl w:val="0"/>
          <w:numId w:val="21"/>
        </w:numPr>
        <w:ind w:left="480" w:firstLine="480"/>
        <w:rPr>
          <w:rFonts w:hint="eastAsia"/>
          <w:highlight w:val="none"/>
        </w:rPr>
      </w:pPr>
      <w:r>
        <w:rPr>
          <w:rFonts w:hint="eastAsia"/>
          <w:highlight w:val="none"/>
        </w:rPr>
        <w:t>工期偏差的状况和导致偏差的原因分析。</w:t>
      </w:r>
    </w:p>
    <w:p w14:paraId="5554094D">
      <w:pPr>
        <w:numPr>
          <w:ilvl w:val="0"/>
          <w:numId w:val="20"/>
        </w:numPr>
        <w:ind w:left="480" w:firstLine="480"/>
        <w:rPr>
          <w:rFonts w:hint="eastAsia"/>
          <w:highlight w:val="none"/>
        </w:rPr>
      </w:pPr>
      <w:r>
        <w:rPr>
          <w:rFonts w:hint="eastAsia"/>
          <w:highlight w:val="none"/>
        </w:rPr>
        <w:t>报告制度</w:t>
      </w:r>
    </w:p>
    <w:p w14:paraId="13F5A3F2">
      <w:pPr>
        <w:numPr>
          <w:ilvl w:val="0"/>
          <w:numId w:val="22"/>
        </w:numPr>
        <w:ind w:left="480" w:firstLine="480"/>
        <w:rPr>
          <w:rFonts w:hint="eastAsia"/>
          <w:highlight w:val="none"/>
        </w:rPr>
      </w:pPr>
      <w:r>
        <w:rPr>
          <w:rFonts w:hint="eastAsia"/>
          <w:highlight w:val="none"/>
        </w:rPr>
        <w:t>总承包人应设立专人负责工程</w:t>
      </w:r>
      <w:r>
        <w:rPr>
          <w:highlight w:val="none"/>
        </w:rPr>
        <w:t>实施的</w:t>
      </w:r>
      <w:r>
        <w:rPr>
          <w:rFonts w:hint="eastAsia"/>
          <w:highlight w:val="none"/>
        </w:rPr>
        <w:t>进度管理，对施工全过程进度管理，重点是协调专业承包人的进度管理。</w:t>
      </w:r>
    </w:p>
    <w:p w14:paraId="519F2DA4">
      <w:pPr>
        <w:numPr>
          <w:ilvl w:val="0"/>
          <w:numId w:val="22"/>
        </w:numPr>
        <w:ind w:left="480" w:firstLine="480"/>
        <w:rPr>
          <w:rFonts w:hint="eastAsia"/>
          <w:highlight w:val="none"/>
        </w:rPr>
      </w:pPr>
      <w:r>
        <w:rPr>
          <w:rFonts w:hint="eastAsia"/>
          <w:highlight w:val="none"/>
        </w:rPr>
        <w:t>总承包人应向发包人呈递一式三份周进度报表和月进度报表。</w:t>
      </w:r>
    </w:p>
    <w:p w14:paraId="62A6C54B">
      <w:pPr>
        <w:numPr>
          <w:ilvl w:val="0"/>
          <w:numId w:val="22"/>
        </w:numPr>
        <w:ind w:left="480" w:firstLine="480"/>
        <w:rPr>
          <w:rFonts w:hint="eastAsia"/>
          <w:highlight w:val="none"/>
        </w:rPr>
      </w:pPr>
      <w:r>
        <w:rPr>
          <w:rFonts w:hint="eastAsia"/>
          <w:highlight w:val="none"/>
        </w:rPr>
        <w:t>月度施工进度报告经项目负责人审核，每月</w:t>
      </w:r>
      <w:r>
        <w:rPr>
          <w:highlight w:val="none"/>
        </w:rPr>
        <w:t>24</w:t>
      </w:r>
      <w:r>
        <w:rPr>
          <w:rFonts w:hint="eastAsia"/>
          <w:highlight w:val="none"/>
        </w:rPr>
        <w:t>日前上报。</w:t>
      </w:r>
    </w:p>
    <w:p w14:paraId="32EBAA7C">
      <w:pPr>
        <w:pStyle w:val="5"/>
        <w:rPr>
          <w:rFonts w:hint="eastAsia"/>
          <w:highlight w:val="none"/>
        </w:rPr>
      </w:pPr>
      <w:r>
        <w:rPr>
          <w:rFonts w:hint="eastAsia"/>
          <w:highlight w:val="none"/>
        </w:rPr>
        <w:t>工程</w:t>
      </w:r>
      <w:r>
        <w:rPr>
          <w:highlight w:val="none"/>
        </w:rPr>
        <w:t>进度计划考核</w:t>
      </w:r>
    </w:p>
    <w:p w14:paraId="15F82187">
      <w:pPr>
        <w:numPr>
          <w:ilvl w:val="0"/>
          <w:numId w:val="23"/>
        </w:numPr>
        <w:spacing w:before="120" w:beforeLines="50" w:after="120" w:afterLines="50"/>
        <w:ind w:firstLine="480"/>
        <w:rPr>
          <w:rFonts w:hint="eastAsia"/>
          <w:highlight w:val="none"/>
        </w:rPr>
      </w:pPr>
      <w:r>
        <w:rPr>
          <w:rFonts w:hint="eastAsia"/>
          <w:highlight w:val="none"/>
        </w:rPr>
        <w:t>不符合计划进度，进度拖延累计超过3天，由总承包人项目负责人汇报原因并制定措施。</w:t>
      </w:r>
    </w:p>
    <w:p w14:paraId="6B2B00A5">
      <w:pPr>
        <w:numPr>
          <w:ilvl w:val="0"/>
          <w:numId w:val="23"/>
        </w:numPr>
        <w:spacing w:before="120" w:beforeLines="50" w:after="120" w:afterLines="50"/>
        <w:ind w:firstLine="480"/>
        <w:rPr>
          <w:rFonts w:hint="eastAsia"/>
          <w:highlight w:val="none"/>
        </w:rPr>
      </w:pPr>
      <w:r>
        <w:rPr>
          <w:rFonts w:hint="eastAsia"/>
          <w:highlight w:val="none"/>
        </w:rPr>
        <w:t>不符合计划进度，进度拖延累计超过7天或15天内没有抢回拖后的3天工期，总承包人项目指挥长制定措施。</w:t>
      </w:r>
    </w:p>
    <w:p w14:paraId="6BC4BA84">
      <w:pPr>
        <w:numPr>
          <w:ilvl w:val="0"/>
          <w:numId w:val="23"/>
        </w:numPr>
        <w:spacing w:before="120" w:beforeLines="50" w:after="120" w:afterLines="50"/>
        <w:ind w:firstLine="480"/>
        <w:rPr>
          <w:rFonts w:hint="eastAsia"/>
          <w:highlight w:val="none"/>
        </w:rPr>
      </w:pPr>
      <w:r>
        <w:rPr>
          <w:rFonts w:hint="eastAsia"/>
          <w:highlight w:val="none"/>
        </w:rPr>
        <w:t>不符合计划进度，进度拖延累计超过10天或20天内没有抢回拖后的5天工期，总承包人项目指挥长驻场制定措施，</w:t>
      </w:r>
      <w:r>
        <w:rPr>
          <w:highlight w:val="none"/>
        </w:rPr>
        <w:t>并直至赶回工期</w:t>
      </w:r>
      <w:r>
        <w:rPr>
          <w:rFonts w:hint="eastAsia"/>
          <w:highlight w:val="none"/>
        </w:rPr>
        <w:t>。</w:t>
      </w:r>
    </w:p>
    <w:p w14:paraId="75344E77">
      <w:pPr>
        <w:numPr>
          <w:ilvl w:val="0"/>
          <w:numId w:val="23"/>
        </w:numPr>
        <w:spacing w:before="120" w:beforeLines="50" w:after="120" w:afterLines="50"/>
        <w:ind w:firstLine="480"/>
        <w:rPr>
          <w:rFonts w:hint="eastAsia"/>
          <w:highlight w:val="none"/>
        </w:rPr>
      </w:pPr>
      <w:r>
        <w:rPr>
          <w:rFonts w:hint="eastAsia"/>
          <w:highlight w:val="none"/>
        </w:rPr>
        <w:t>如果进度计划累计15天或30天内未抢回拖后的7天工期，总承包人公司总经理制定措施。</w:t>
      </w:r>
    </w:p>
    <w:p w14:paraId="72B31673">
      <w:pPr>
        <w:pStyle w:val="5"/>
        <w:rPr>
          <w:rFonts w:hint="eastAsia"/>
          <w:highlight w:val="none"/>
        </w:rPr>
      </w:pPr>
      <w:r>
        <w:rPr>
          <w:highlight w:val="none"/>
        </w:rPr>
        <w:t>工程进度管理会议</w:t>
      </w:r>
    </w:p>
    <w:p w14:paraId="5B713748">
      <w:pPr>
        <w:numPr>
          <w:ilvl w:val="0"/>
          <w:numId w:val="24"/>
        </w:numPr>
        <w:ind w:firstLine="480"/>
        <w:rPr>
          <w:rFonts w:hint="eastAsia"/>
          <w:highlight w:val="none"/>
        </w:rPr>
      </w:pPr>
      <w:r>
        <w:rPr>
          <w:rFonts w:hint="eastAsia"/>
          <w:highlight w:val="none"/>
        </w:rPr>
        <w:t>每周召开由发包人工程经理、总承包人项目负责人、监理人总监参加的监理例会。监理例会包括进度协调议题，内容包括上周现场进度核对、下周重点现场工作安排、进度偏差原因分析、纠偏措施、重要施工方案进展、现场质量情况、样板进展、安全文明施工等情况安排责任单位进行通报，对存在的问题协调解决。</w:t>
      </w:r>
    </w:p>
    <w:p w14:paraId="2162A897">
      <w:pPr>
        <w:numPr>
          <w:ilvl w:val="0"/>
          <w:numId w:val="24"/>
        </w:numPr>
        <w:ind w:firstLine="480"/>
        <w:rPr>
          <w:rFonts w:hint="eastAsia"/>
          <w:highlight w:val="none"/>
        </w:rPr>
      </w:pPr>
      <w:r>
        <w:rPr>
          <w:rFonts w:hint="eastAsia"/>
          <w:highlight w:val="none"/>
        </w:rPr>
        <w:t>不定期召开专项工作会，重点解决项目推进中的难点问题。</w:t>
      </w:r>
    </w:p>
    <w:p w14:paraId="60EA5DC1">
      <w:pPr>
        <w:pStyle w:val="5"/>
        <w:rPr>
          <w:rFonts w:hint="eastAsia"/>
          <w:highlight w:val="none"/>
        </w:rPr>
      </w:pPr>
      <w:r>
        <w:rPr>
          <w:rFonts w:hint="eastAsia"/>
          <w:highlight w:val="none"/>
        </w:rPr>
        <w:t>影像</w:t>
      </w:r>
      <w:r>
        <w:rPr>
          <w:highlight w:val="none"/>
        </w:rPr>
        <w:t>资料</w:t>
      </w:r>
    </w:p>
    <w:p w14:paraId="1A1B9819">
      <w:pPr>
        <w:ind w:firstLine="480"/>
        <w:rPr>
          <w:rFonts w:hint="eastAsia"/>
          <w:highlight w:val="none"/>
        </w:rPr>
      </w:pPr>
      <w:r>
        <w:rPr>
          <w:rFonts w:hint="eastAsia"/>
          <w:highlight w:val="none"/>
        </w:rPr>
        <w:t>总承包人每半月应呈交给发包人工程进度照片，并在经监理人批准的不同位置定期拍摄。要求每月呈交的每套照片中，每栋单体不少于2张，以两个不同的固定位置拍摄的最能体现本工程特点的全貌照片2张，每张照片都应标上相应的拍摄日期和简要文字说明。</w:t>
      </w:r>
    </w:p>
    <w:p w14:paraId="2FA6A889">
      <w:pPr>
        <w:ind w:firstLine="480"/>
        <w:rPr>
          <w:rFonts w:hint="eastAsia"/>
          <w:highlight w:val="none"/>
        </w:rPr>
      </w:pPr>
      <w:r>
        <w:rPr>
          <w:rFonts w:hint="eastAsia"/>
          <w:highlight w:val="none"/>
        </w:rPr>
        <w:t>每道工序样板施工验收完成后及大面施工完成后，拍摄最能体现本工序施工质量亮点的照片不少于2张。</w:t>
      </w:r>
    </w:p>
    <w:p w14:paraId="279C651D">
      <w:pPr>
        <w:pStyle w:val="3"/>
        <w:numPr>
          <w:ilvl w:val="1"/>
          <w:numId w:val="13"/>
        </w:numPr>
        <w:rPr>
          <w:rFonts w:hint="eastAsia"/>
          <w:highlight w:val="none"/>
        </w:rPr>
      </w:pPr>
      <w:bookmarkStart w:id="186" w:name="_Toc30340"/>
      <w:bookmarkStart w:id="187" w:name="_Toc169722213"/>
      <w:bookmarkStart w:id="188" w:name="_Toc12821"/>
      <w:bookmarkStart w:id="189" w:name="_Toc6347"/>
      <w:bookmarkStart w:id="190" w:name="_Toc18220"/>
      <w:bookmarkStart w:id="191" w:name="_Toc2919"/>
      <w:bookmarkStart w:id="192" w:name="_Toc11919"/>
      <w:bookmarkStart w:id="193" w:name="_Toc16226"/>
      <w:bookmarkStart w:id="194" w:name="_Toc24953"/>
      <w:bookmarkStart w:id="195" w:name="_Toc17061"/>
      <w:bookmarkStart w:id="196" w:name="_Toc2635"/>
      <w:r>
        <w:rPr>
          <w:highlight w:val="none"/>
        </w:rPr>
        <w:t>深化设计要求</w:t>
      </w:r>
      <w:bookmarkEnd w:id="186"/>
      <w:bookmarkEnd w:id="187"/>
      <w:bookmarkEnd w:id="188"/>
      <w:bookmarkEnd w:id="189"/>
      <w:bookmarkEnd w:id="190"/>
      <w:bookmarkEnd w:id="191"/>
      <w:bookmarkEnd w:id="192"/>
      <w:bookmarkEnd w:id="193"/>
      <w:bookmarkEnd w:id="194"/>
      <w:bookmarkEnd w:id="195"/>
      <w:bookmarkEnd w:id="196"/>
    </w:p>
    <w:p w14:paraId="35DFDF1B">
      <w:pPr>
        <w:pStyle w:val="4"/>
        <w:numPr>
          <w:ilvl w:val="2"/>
          <w:numId w:val="13"/>
        </w:numPr>
        <w:rPr>
          <w:rFonts w:hint="eastAsia"/>
          <w:highlight w:val="none"/>
        </w:rPr>
      </w:pPr>
      <w:r>
        <w:rPr>
          <w:rFonts w:hint="eastAsia"/>
          <w:highlight w:val="none"/>
        </w:rPr>
        <w:t>深化</w:t>
      </w:r>
      <w:r>
        <w:rPr>
          <w:highlight w:val="none"/>
        </w:rPr>
        <w:t>设计的</w:t>
      </w:r>
      <w:r>
        <w:rPr>
          <w:rFonts w:hint="eastAsia"/>
          <w:highlight w:val="none"/>
        </w:rPr>
        <w:t>基本要求</w:t>
      </w:r>
    </w:p>
    <w:p w14:paraId="687ED2EB">
      <w:pPr>
        <w:pStyle w:val="5"/>
        <w:rPr>
          <w:rFonts w:hint="eastAsia"/>
          <w:highlight w:val="none"/>
        </w:rPr>
      </w:pPr>
      <w:r>
        <w:rPr>
          <w:highlight w:val="none"/>
        </w:rPr>
        <w:t>深化设计是指项目在施工图设计</w:t>
      </w:r>
      <w:r>
        <w:rPr>
          <w:rFonts w:hint="eastAsia"/>
          <w:highlight w:val="none"/>
        </w:rPr>
        <w:t>完成的</w:t>
      </w:r>
      <w:r>
        <w:rPr>
          <w:highlight w:val="none"/>
        </w:rPr>
        <w:t>前提下，在施工图纸范围内，针对某一项或者某一专业进行的专业设计，</w:t>
      </w:r>
      <w:r>
        <w:rPr>
          <w:rFonts w:hint="eastAsia"/>
          <w:highlight w:val="none"/>
        </w:rPr>
        <w:t>完善和细化设计细节，规范现场施工方法，使施工人员在操作时有图可依，使质检人员有据可查，使工程施工规范有序，从而保证工程质量，最终保证高品质工程目标的实现。深化</w:t>
      </w:r>
      <w:r>
        <w:rPr>
          <w:highlight w:val="none"/>
        </w:rPr>
        <w:t>设计成果必须符合与之相关的所有技术规范要求。</w:t>
      </w:r>
    </w:p>
    <w:p w14:paraId="646E5F7B">
      <w:pPr>
        <w:pStyle w:val="5"/>
        <w:rPr>
          <w:rFonts w:hint="eastAsia"/>
          <w:highlight w:val="none"/>
        </w:rPr>
      </w:pPr>
      <w:r>
        <w:rPr>
          <w:rFonts w:hint="eastAsia"/>
          <w:highlight w:val="none"/>
        </w:rPr>
        <w:t>深化设计范围包括工程全过程与全部相关专业，总承包人应对深化设计工作量有充分预计。</w:t>
      </w:r>
    </w:p>
    <w:p w14:paraId="7951D0EA">
      <w:pPr>
        <w:pStyle w:val="5"/>
        <w:rPr>
          <w:rFonts w:hint="eastAsia"/>
          <w:highlight w:val="none"/>
        </w:rPr>
      </w:pPr>
      <w:r>
        <w:rPr>
          <w:highlight w:val="none"/>
        </w:rPr>
        <w:t>总承包人负责自身承建范围内各相关专业的深化设计工作</w:t>
      </w:r>
      <w:r>
        <w:rPr>
          <w:rFonts w:hint="eastAsia"/>
          <w:highlight w:val="none"/>
        </w:rPr>
        <w:t>。</w:t>
      </w:r>
    </w:p>
    <w:p w14:paraId="52C89C0A">
      <w:pPr>
        <w:pStyle w:val="5"/>
        <w:rPr>
          <w:rFonts w:hint="eastAsia"/>
          <w:highlight w:val="none"/>
        </w:rPr>
      </w:pPr>
      <w:r>
        <w:rPr>
          <w:highlight w:val="none"/>
        </w:rPr>
        <w:t>深化设计时间要求：总承包人收到发包人发出的施工图后应立即开展深化设计工作，最迟必须在具体项目/施工部位实施前30天完成深化设计审核批复。</w:t>
      </w:r>
    </w:p>
    <w:p w14:paraId="75170F5C">
      <w:pPr>
        <w:pStyle w:val="5"/>
        <w:rPr>
          <w:rFonts w:hint="eastAsia"/>
          <w:highlight w:val="none"/>
        </w:rPr>
      </w:pPr>
      <w:r>
        <w:rPr>
          <w:highlight w:val="none"/>
        </w:rPr>
        <w:t>深化设计选用的材料厂家及品牌应</w:t>
      </w:r>
      <w:r>
        <w:rPr>
          <w:rFonts w:hint="eastAsia"/>
          <w:highlight w:val="none"/>
        </w:rPr>
        <w:t>等同或相当于</w:t>
      </w:r>
      <w:r>
        <w:rPr>
          <w:highlight w:val="none"/>
        </w:rPr>
        <w:t>《主要设备材料推荐品牌表》</w:t>
      </w:r>
      <w:r>
        <w:rPr>
          <w:rFonts w:hint="eastAsia"/>
          <w:highlight w:val="none"/>
        </w:rPr>
        <w:t>中的材料品牌标准</w:t>
      </w:r>
      <w:r>
        <w:rPr>
          <w:highlight w:val="none"/>
        </w:rPr>
        <w:t>。如经考察，</w:t>
      </w:r>
      <w:r>
        <w:rPr>
          <w:rFonts w:hint="eastAsia"/>
          <w:highlight w:val="none"/>
        </w:rPr>
        <w:t>总承包人</w:t>
      </w:r>
      <w:r>
        <w:rPr>
          <w:highlight w:val="none"/>
        </w:rPr>
        <w:t>选用的材料不满足工程需要，发包人有权在</w:t>
      </w:r>
      <w:r>
        <w:rPr>
          <w:rFonts w:hint="eastAsia"/>
          <w:highlight w:val="none"/>
        </w:rPr>
        <w:t>《主要设备材料推荐品牌表》</w:t>
      </w:r>
      <w:r>
        <w:rPr>
          <w:highlight w:val="none"/>
        </w:rPr>
        <w:t>中选择其他满足规定的材料厂家及品牌，合同价款不作调整。</w:t>
      </w:r>
    </w:p>
    <w:p w14:paraId="10B53390">
      <w:pPr>
        <w:pStyle w:val="5"/>
        <w:rPr>
          <w:rFonts w:hint="eastAsia"/>
          <w:highlight w:val="none"/>
        </w:rPr>
      </w:pPr>
      <w:r>
        <w:rPr>
          <w:rFonts w:hint="eastAsia"/>
          <w:highlight w:val="none"/>
        </w:rPr>
        <w:t>深化设计的计量计价原则：在满足招标技术要求（包括强制性条款、推荐品牌要求）的前提下，深化设计引起的材质、参数（含规格、型号等)的调整均不作为调价的依据，若造成工程量变化参照合同相关条款。</w:t>
      </w:r>
    </w:p>
    <w:p w14:paraId="1287C799">
      <w:pPr>
        <w:pStyle w:val="4"/>
        <w:numPr>
          <w:ilvl w:val="2"/>
          <w:numId w:val="13"/>
        </w:numPr>
        <w:rPr>
          <w:rFonts w:hint="eastAsia"/>
          <w:highlight w:val="none"/>
        </w:rPr>
      </w:pPr>
      <w:r>
        <w:rPr>
          <w:rFonts w:hint="eastAsia"/>
          <w:highlight w:val="none"/>
        </w:rPr>
        <w:t>深化</w:t>
      </w:r>
      <w:r>
        <w:rPr>
          <w:highlight w:val="none"/>
        </w:rPr>
        <w:t>设计</w:t>
      </w:r>
      <w:r>
        <w:rPr>
          <w:rFonts w:hint="eastAsia"/>
          <w:highlight w:val="none"/>
        </w:rPr>
        <w:t>审核</w:t>
      </w:r>
      <w:r>
        <w:rPr>
          <w:highlight w:val="none"/>
        </w:rPr>
        <w:t>的要求</w:t>
      </w:r>
    </w:p>
    <w:p w14:paraId="7E00F977">
      <w:pPr>
        <w:pStyle w:val="5"/>
        <w:rPr>
          <w:rFonts w:hint="eastAsia"/>
          <w:highlight w:val="none"/>
        </w:rPr>
      </w:pPr>
      <w:r>
        <w:rPr>
          <w:rFonts w:hint="eastAsia"/>
          <w:highlight w:val="none"/>
        </w:rPr>
        <w:t>深化设计工作由总承包人中标后立即进行，深化设计图纸应提交监理人、发包人，由监理人、发包人组织相关单位进行审定。深化设计审批单位主要包括监理人、设计人、发包人。</w:t>
      </w:r>
    </w:p>
    <w:p w14:paraId="066F55FA">
      <w:pPr>
        <w:pStyle w:val="5"/>
        <w:rPr>
          <w:rFonts w:hint="eastAsia"/>
          <w:highlight w:val="none"/>
        </w:rPr>
      </w:pPr>
      <w:r>
        <w:rPr>
          <w:rFonts w:hint="eastAsia"/>
          <w:highlight w:val="none"/>
        </w:rPr>
        <w:t>深化设计成果应分阶段报批，审批单位应根据分阶段报批计划审查总承包人提交的任何深化设计成果，并在规定时间内给予审查意见。</w:t>
      </w:r>
    </w:p>
    <w:p w14:paraId="78420227">
      <w:pPr>
        <w:pStyle w:val="5"/>
        <w:rPr>
          <w:rFonts w:hint="eastAsia"/>
          <w:highlight w:val="none"/>
        </w:rPr>
      </w:pPr>
      <w:r>
        <w:rPr>
          <w:rFonts w:hint="eastAsia"/>
          <w:highlight w:val="none"/>
        </w:rPr>
        <w:t>总承包人应认真对待审批单位的审查意见，及时修订重报，同时积极跟踪审查进度，不得因审批进度为由追加工程费用和工期。</w:t>
      </w:r>
    </w:p>
    <w:p w14:paraId="17598410">
      <w:pPr>
        <w:pStyle w:val="5"/>
        <w:rPr>
          <w:rFonts w:hint="eastAsia"/>
          <w:highlight w:val="none"/>
        </w:rPr>
      </w:pPr>
      <w:r>
        <w:rPr>
          <w:rFonts w:hint="eastAsia"/>
          <w:highlight w:val="none"/>
        </w:rPr>
        <w:t>深化设计获得批准后，由深化设计单位根据各自负责内容分别向相关单位和人员交底。</w:t>
      </w:r>
    </w:p>
    <w:p w14:paraId="602C10E2">
      <w:pPr>
        <w:pStyle w:val="3"/>
        <w:numPr>
          <w:ilvl w:val="1"/>
          <w:numId w:val="13"/>
        </w:numPr>
        <w:rPr>
          <w:rFonts w:hint="eastAsia"/>
          <w:highlight w:val="none"/>
        </w:rPr>
      </w:pPr>
      <w:bookmarkStart w:id="197" w:name="_Toc26418"/>
      <w:bookmarkStart w:id="198" w:name="_Toc2081"/>
      <w:bookmarkStart w:id="199" w:name="_Toc6501"/>
      <w:bookmarkStart w:id="200" w:name="_Toc2059"/>
      <w:bookmarkStart w:id="201" w:name="_Toc12013"/>
      <w:r>
        <w:rPr>
          <w:rFonts w:hint="eastAsia"/>
          <w:highlight w:val="none"/>
        </w:rPr>
        <w:t>施工策划管理要求</w:t>
      </w:r>
      <w:bookmarkEnd w:id="197"/>
      <w:bookmarkEnd w:id="198"/>
      <w:bookmarkEnd w:id="199"/>
      <w:bookmarkEnd w:id="200"/>
      <w:bookmarkEnd w:id="201"/>
    </w:p>
    <w:p w14:paraId="664ABE92">
      <w:pPr>
        <w:ind w:firstLine="500"/>
        <w:rPr>
          <w:rFonts w:hint="eastAsia"/>
          <w:highlight w:val="none"/>
        </w:rPr>
        <w:sectPr>
          <w:pgSz w:w="11905" w:h="16839"/>
          <w:pgMar w:top="1431" w:right="1520" w:bottom="1309" w:left="1448" w:header="0" w:footer="1144" w:gutter="0"/>
          <w:cols w:space="720" w:num="1"/>
        </w:sectPr>
      </w:pPr>
      <w:r>
        <w:rPr>
          <w:rFonts w:hint="eastAsia" w:cs="宋体"/>
          <w:spacing w:val="5"/>
          <w:position w:val="17"/>
          <w:highlight w:val="none"/>
        </w:rPr>
        <w:t>根据发包人要求完成项目管理策划，包括但不限于以下内容：项目管理实施规划策划（承包人进场后1个月内完成）、项目创优策划（收到全套结构、建筑设计图纸后3个月内完成）、项目防水防渗漏策划（第一块垫层浇筑之前完成）、外立面施工管理策划（首栋塔楼出±0后1个月内完成）、精装策划（首栋塔楼第一个标准层拆模完成后1个月内，参与）、机电安装策划（地下室顶板（不含后浇带）封闭完成1个月内）、园林景观施工策划（首栋塔楼封顶之前完成，参与）、交付策划（所有塔楼封顶3个月内）。以上时间节点为暂定时间具体以发包人要求为准。以上策划经发包人、发包委托管理单位、监理单位以及专家评审通过后由承包人上报纸质盖章版到发包人处留档。</w:t>
      </w:r>
    </w:p>
    <w:p w14:paraId="67A478BA">
      <w:pPr>
        <w:pStyle w:val="3"/>
        <w:numPr>
          <w:ilvl w:val="1"/>
          <w:numId w:val="13"/>
        </w:numPr>
        <w:rPr>
          <w:rFonts w:hint="eastAsia"/>
          <w:highlight w:val="none"/>
        </w:rPr>
      </w:pPr>
      <w:bookmarkStart w:id="202" w:name="_Toc14389"/>
      <w:bookmarkStart w:id="203" w:name="_Toc21063"/>
      <w:bookmarkStart w:id="204" w:name="_Toc31507"/>
      <w:bookmarkStart w:id="205" w:name="_Toc9957"/>
      <w:bookmarkStart w:id="206" w:name="_Toc29675"/>
      <w:bookmarkStart w:id="207" w:name="_Toc15352"/>
      <w:bookmarkStart w:id="208" w:name="_Toc3167"/>
      <w:bookmarkStart w:id="209" w:name="_Toc169722214"/>
      <w:bookmarkStart w:id="210" w:name="_Toc11467"/>
      <w:bookmarkStart w:id="211" w:name="_Toc10905"/>
      <w:bookmarkStart w:id="212" w:name="_Toc23402"/>
      <w:r>
        <w:rPr>
          <w:highlight w:val="none"/>
        </w:rPr>
        <w:t>样板管理要求</w:t>
      </w:r>
      <w:bookmarkEnd w:id="202"/>
      <w:bookmarkEnd w:id="203"/>
      <w:bookmarkEnd w:id="204"/>
      <w:bookmarkEnd w:id="205"/>
      <w:bookmarkEnd w:id="206"/>
      <w:bookmarkEnd w:id="207"/>
      <w:bookmarkEnd w:id="208"/>
      <w:bookmarkEnd w:id="209"/>
      <w:bookmarkEnd w:id="210"/>
      <w:bookmarkEnd w:id="211"/>
      <w:bookmarkEnd w:id="212"/>
    </w:p>
    <w:p w14:paraId="2BB857C8">
      <w:pPr>
        <w:pStyle w:val="4"/>
        <w:numPr>
          <w:ilvl w:val="2"/>
          <w:numId w:val="13"/>
        </w:numPr>
        <w:rPr>
          <w:rFonts w:hint="eastAsia"/>
          <w:highlight w:val="none"/>
        </w:rPr>
      </w:pPr>
      <w:r>
        <w:rPr>
          <w:rFonts w:hint="eastAsia"/>
          <w:highlight w:val="none"/>
        </w:rPr>
        <w:t>样板实施基本要求</w:t>
      </w:r>
    </w:p>
    <w:p w14:paraId="5A0C4FD3">
      <w:pPr>
        <w:pStyle w:val="5"/>
        <w:rPr>
          <w:rFonts w:hint="eastAsia"/>
          <w:highlight w:val="none"/>
        </w:rPr>
      </w:pPr>
      <w:r>
        <w:rPr>
          <w:rFonts w:hint="eastAsia"/>
          <w:highlight w:val="none"/>
        </w:rPr>
        <w:t>全面施工前由总承包人制定施工方案并选定样板施工的位置，报监理人、发包人审批。</w:t>
      </w:r>
    </w:p>
    <w:p w14:paraId="255F2606">
      <w:pPr>
        <w:pStyle w:val="5"/>
        <w:rPr>
          <w:rFonts w:hint="eastAsia"/>
          <w:highlight w:val="none"/>
        </w:rPr>
      </w:pPr>
      <w:r>
        <w:rPr>
          <w:rFonts w:hint="eastAsia"/>
          <w:highlight w:val="none"/>
        </w:rPr>
        <w:t>样板选用的原材料、构配件、设备等必须符合设计要求、国家和地方规范标准及合同约定。材料、构配件、设备进场应履行申报制度，提供产品合格证、材料质量检测报告及产品说明书，由监理人按有关规范要求见证取样。</w:t>
      </w:r>
    </w:p>
    <w:p w14:paraId="4E427BE3">
      <w:pPr>
        <w:pStyle w:val="5"/>
        <w:rPr>
          <w:rFonts w:hint="eastAsia"/>
          <w:highlight w:val="none"/>
        </w:rPr>
      </w:pPr>
      <w:r>
        <w:rPr>
          <w:rFonts w:hint="eastAsia"/>
          <w:highlight w:val="none"/>
        </w:rPr>
        <w:t>样板施工质量应体现施工队伍的综合技术水平，经确定的样板施工人员应为该分项工程固定的施工人员，不得随意更换。监理人/发包人对样板操作过程进行监控，对关键点、关键部位进行旁站监督。</w:t>
      </w:r>
    </w:p>
    <w:p w14:paraId="679786C8">
      <w:pPr>
        <w:pStyle w:val="5"/>
        <w:rPr>
          <w:rFonts w:hint="eastAsia"/>
          <w:highlight w:val="none"/>
        </w:rPr>
      </w:pPr>
      <w:r>
        <w:rPr>
          <w:rFonts w:hint="eastAsia"/>
          <w:highlight w:val="none"/>
        </w:rPr>
        <w:t>样板完成后由总承包人进行自检，做好记录，报监理人、发包人验收，验收合格后方可开始现场的全面施工。</w:t>
      </w:r>
    </w:p>
    <w:p w14:paraId="3B1AA642">
      <w:pPr>
        <w:pStyle w:val="5"/>
        <w:rPr>
          <w:rFonts w:hint="eastAsia"/>
          <w:highlight w:val="none"/>
        </w:rPr>
      </w:pPr>
      <w:r>
        <w:rPr>
          <w:highlight w:val="none"/>
        </w:rPr>
        <w:t>总承包人负责</w:t>
      </w:r>
      <w:r>
        <w:rPr>
          <w:rFonts w:hint="eastAsia"/>
          <w:highlight w:val="none"/>
        </w:rPr>
        <w:t>项目样板实施的整体策划工作，负责</w:t>
      </w:r>
      <w:r>
        <w:rPr>
          <w:highlight w:val="none"/>
        </w:rPr>
        <w:t>自身承建范围内</w:t>
      </w:r>
      <w:r>
        <w:rPr>
          <w:rFonts w:hint="eastAsia"/>
          <w:highlight w:val="none"/>
        </w:rPr>
        <w:t>工作内容</w:t>
      </w:r>
      <w:r>
        <w:rPr>
          <w:highlight w:val="none"/>
        </w:rPr>
        <w:t>的</w:t>
      </w:r>
      <w:r>
        <w:rPr>
          <w:rFonts w:hint="eastAsia"/>
          <w:highlight w:val="none"/>
        </w:rPr>
        <w:t>样板实施</w:t>
      </w:r>
      <w:r>
        <w:rPr>
          <w:highlight w:val="none"/>
        </w:rPr>
        <w:t>工作，</w:t>
      </w:r>
      <w:r>
        <w:rPr>
          <w:rFonts w:hint="eastAsia"/>
          <w:highlight w:val="none"/>
        </w:rPr>
        <w:t>并</w:t>
      </w:r>
      <w:r>
        <w:rPr>
          <w:highlight w:val="none"/>
        </w:rPr>
        <w:t>协调管理所需照管的</w:t>
      </w:r>
      <w:r>
        <w:rPr>
          <w:rFonts w:hint="eastAsia"/>
          <w:highlight w:val="none"/>
        </w:rPr>
        <w:t>各类专业承包</w:t>
      </w:r>
      <w:r>
        <w:rPr>
          <w:highlight w:val="none"/>
        </w:rPr>
        <w:t>人的</w:t>
      </w:r>
      <w:r>
        <w:rPr>
          <w:rFonts w:hint="eastAsia"/>
          <w:highlight w:val="none"/>
        </w:rPr>
        <w:t>样板实施</w:t>
      </w:r>
      <w:r>
        <w:rPr>
          <w:highlight w:val="none"/>
        </w:rPr>
        <w:t>工作</w:t>
      </w:r>
      <w:r>
        <w:rPr>
          <w:rFonts w:hint="eastAsia"/>
          <w:highlight w:val="none"/>
        </w:rPr>
        <w:t>。</w:t>
      </w:r>
    </w:p>
    <w:p w14:paraId="086918A2">
      <w:pPr>
        <w:pStyle w:val="5"/>
        <w:numPr>
          <w:ilvl w:val="3"/>
          <w:numId w:val="13"/>
        </w:numPr>
        <w:rPr>
          <w:rFonts w:hint="eastAsia"/>
          <w:highlight w:val="none"/>
        </w:rPr>
      </w:pPr>
      <w:r>
        <w:rPr>
          <w:rFonts w:hint="eastAsia"/>
          <w:highlight w:val="none"/>
        </w:rPr>
        <w:t>本项目需要施工的样板清单详见《</w:t>
      </w:r>
      <w:r>
        <w:rPr>
          <w:highlight w:val="none"/>
        </w:rPr>
        <w:t>【附件B-</w:t>
      </w:r>
      <w:r>
        <w:rPr>
          <w:rFonts w:hint="eastAsia"/>
          <w:highlight w:val="none"/>
        </w:rPr>
        <w:t>2</w:t>
      </w:r>
      <w:r>
        <w:rPr>
          <w:highlight w:val="none"/>
        </w:rPr>
        <w:t>】样板管理清单</w:t>
      </w:r>
      <w:r>
        <w:rPr>
          <w:rFonts w:hint="eastAsia"/>
          <w:highlight w:val="none"/>
        </w:rPr>
        <w:t>》</w:t>
      </w:r>
    </w:p>
    <w:p w14:paraId="42E2AC7C">
      <w:pPr>
        <w:pStyle w:val="5"/>
        <w:numPr>
          <w:ilvl w:val="3"/>
          <w:numId w:val="13"/>
        </w:numPr>
        <w:rPr>
          <w:rFonts w:hint="eastAsia"/>
          <w:highlight w:val="none"/>
        </w:rPr>
      </w:pPr>
      <w:r>
        <w:rPr>
          <w:rFonts w:hint="eastAsia"/>
          <w:highlight w:val="none"/>
        </w:rPr>
        <w:t>参建单位进场后 7 天按照《</w:t>
      </w:r>
      <w:r>
        <w:rPr>
          <w:highlight w:val="none"/>
        </w:rPr>
        <w:t>【附件B-</w:t>
      </w:r>
      <w:r>
        <w:rPr>
          <w:rFonts w:hint="eastAsia"/>
          <w:highlight w:val="none"/>
        </w:rPr>
        <w:t>2</w:t>
      </w:r>
      <w:r>
        <w:rPr>
          <w:highlight w:val="none"/>
        </w:rPr>
        <w:t>】</w:t>
      </w:r>
      <w:r>
        <w:rPr>
          <w:rFonts w:hint="eastAsia"/>
          <w:highlight w:val="none"/>
        </w:rPr>
        <w:t>样板管理清单》编制本项目工程样板计划表并报监理人、发包人审批；</w:t>
      </w:r>
    </w:p>
    <w:p w14:paraId="0CFFDC47">
      <w:pPr>
        <w:pStyle w:val="5"/>
        <w:numPr>
          <w:ilvl w:val="3"/>
          <w:numId w:val="13"/>
        </w:numPr>
        <w:rPr>
          <w:rFonts w:hint="eastAsia"/>
          <w:highlight w:val="none"/>
        </w:rPr>
      </w:pPr>
      <w:r>
        <w:rPr>
          <w:highlight w:val="none"/>
        </w:rPr>
        <w:t>面积开工前，工艺样板交底完成后，在实体制作施工样板，施工样板经</w:t>
      </w:r>
      <w:r>
        <w:rPr>
          <w:rFonts w:hint="eastAsia"/>
          <w:highlight w:val="none"/>
        </w:rPr>
        <w:t>监理人/发包人</w:t>
      </w:r>
      <w:r>
        <w:rPr>
          <w:highlight w:val="none"/>
        </w:rPr>
        <w:t>验收合格后，再进行大面积施工</w:t>
      </w:r>
      <w:r>
        <w:rPr>
          <w:rFonts w:hint="eastAsia"/>
          <w:highlight w:val="none"/>
        </w:rPr>
        <w:t>，样板审核表格式详见《</w:t>
      </w:r>
      <w:r>
        <w:rPr>
          <w:highlight w:val="none"/>
        </w:rPr>
        <w:t>【附件B-</w:t>
      </w:r>
      <w:r>
        <w:rPr>
          <w:rFonts w:hint="eastAsia"/>
          <w:highlight w:val="none"/>
        </w:rPr>
        <w:t>2</w:t>
      </w:r>
      <w:r>
        <w:rPr>
          <w:highlight w:val="none"/>
        </w:rPr>
        <w:t>】样板管理清单</w:t>
      </w:r>
      <w:r>
        <w:rPr>
          <w:rFonts w:hint="eastAsia"/>
          <w:highlight w:val="none"/>
        </w:rPr>
        <w:t>》；</w:t>
      </w:r>
    </w:p>
    <w:p w14:paraId="4EB2515B">
      <w:pPr>
        <w:pStyle w:val="4"/>
        <w:numPr>
          <w:ilvl w:val="2"/>
          <w:numId w:val="13"/>
        </w:numPr>
        <w:rPr>
          <w:rFonts w:hint="eastAsia"/>
          <w:highlight w:val="none"/>
        </w:rPr>
      </w:pPr>
      <w:r>
        <w:rPr>
          <w:rFonts w:hint="eastAsia"/>
          <w:highlight w:val="none"/>
        </w:rPr>
        <w:t>样板管理要求</w:t>
      </w:r>
    </w:p>
    <w:p w14:paraId="29E7E76D">
      <w:pPr>
        <w:ind w:firstLine="480"/>
        <w:rPr>
          <w:rFonts w:hint="eastAsia"/>
          <w:highlight w:val="none"/>
        </w:rPr>
      </w:pPr>
      <w:r>
        <w:rPr>
          <w:rFonts w:hint="eastAsia"/>
          <w:highlight w:val="none"/>
        </w:rPr>
        <w:t>本项目样板设置主要分为：</w:t>
      </w:r>
    </w:p>
    <w:p w14:paraId="40A6127F">
      <w:pPr>
        <w:numPr>
          <w:ilvl w:val="0"/>
          <w:numId w:val="25"/>
        </w:numPr>
        <w:ind w:firstLine="480"/>
        <w:rPr>
          <w:rFonts w:hint="eastAsia"/>
          <w:highlight w:val="none"/>
        </w:rPr>
      </w:pPr>
      <w:r>
        <w:rPr>
          <w:rFonts w:hint="eastAsia"/>
          <w:highlight w:val="none"/>
        </w:rPr>
        <w:t>材料样板：要求设置单位材料封样间，保证所有主控材料百分百封样，达到材料品控管理的目的。</w:t>
      </w:r>
    </w:p>
    <w:p w14:paraId="3E205A11">
      <w:pPr>
        <w:numPr>
          <w:ilvl w:val="0"/>
          <w:numId w:val="25"/>
        </w:numPr>
        <w:ind w:firstLine="480"/>
        <w:rPr>
          <w:rFonts w:hint="eastAsia"/>
          <w:highlight w:val="none"/>
        </w:rPr>
      </w:pPr>
      <w:r>
        <w:rPr>
          <w:rFonts w:hint="eastAsia"/>
          <w:highlight w:val="none"/>
        </w:rPr>
        <w:t>工艺展示样板;为工艺实体样板，项目主要工艺做法、重点控制节点，以节点模型的方式统一放置于户外的“展示样板区”，节点模型比例尺可根据实际情况进行调整；</w:t>
      </w:r>
    </w:p>
    <w:p w14:paraId="7A2C2666">
      <w:pPr>
        <w:numPr>
          <w:ilvl w:val="0"/>
          <w:numId w:val="25"/>
        </w:numPr>
        <w:ind w:firstLine="480"/>
        <w:rPr>
          <w:rFonts w:hint="eastAsia"/>
          <w:highlight w:val="none"/>
        </w:rPr>
      </w:pPr>
      <w:r>
        <w:rPr>
          <w:rFonts w:hint="eastAsia"/>
          <w:highlight w:val="none"/>
        </w:rPr>
        <w:t>实体工序样板：每道工序开始施工的第一块区域，严格按照规范、图纸设计要求及交底进行施工。施工完成后由承包人、设计人、监理人、发包人共同进行验收，验收合格后按照样板标准进行大面积施工。有条件的情况下还需要保留工序工艺做法，形成工序样板展示间。</w:t>
      </w:r>
    </w:p>
    <w:p w14:paraId="0ACA0A4C">
      <w:pPr>
        <w:numPr>
          <w:ilvl w:val="0"/>
          <w:numId w:val="25"/>
        </w:numPr>
        <w:ind w:firstLine="480"/>
        <w:rPr>
          <w:rFonts w:hint="eastAsia"/>
          <w:highlight w:val="none"/>
        </w:rPr>
      </w:pPr>
      <w:r>
        <w:rPr>
          <w:rFonts w:hint="eastAsia"/>
          <w:highlight w:val="none"/>
        </w:rPr>
        <w:t>大货样板：指在工序施工完成后，明确交付标准且无质量问题的建筑结构区域，即地下室、精装、外立面、景观园林大面施工前，按照交付标准首先完成一定范围的施工展示。由承包人、设计人、监理人、发包人共同进行验收，验收合格后按照样板标准进行大面积施工。</w:t>
      </w:r>
    </w:p>
    <w:p w14:paraId="03F9C72D">
      <w:pPr>
        <w:pStyle w:val="5"/>
        <w:rPr>
          <w:rFonts w:hint="eastAsia"/>
          <w:highlight w:val="none"/>
        </w:rPr>
      </w:pPr>
      <w:r>
        <w:rPr>
          <w:rFonts w:hint="eastAsia"/>
          <w:highlight w:val="none"/>
        </w:rPr>
        <w:t>乙供材料看样定板</w:t>
      </w:r>
    </w:p>
    <w:p w14:paraId="205ABA5A">
      <w:pPr>
        <w:ind w:firstLine="480"/>
        <w:rPr>
          <w:rFonts w:hint="eastAsia"/>
          <w:highlight w:val="none"/>
        </w:rPr>
      </w:pPr>
      <w:r>
        <w:rPr>
          <w:rFonts w:hint="eastAsia"/>
          <w:highlight w:val="none"/>
        </w:rPr>
        <w:t>（1）涉及观感类：承包人按施工进度节点提供样品，经发包人现场看样签认后进行进行封样留存，保证后期进场的材料与封样样品完全一致。</w:t>
      </w:r>
    </w:p>
    <w:p w14:paraId="53ABE097">
      <w:pPr>
        <w:ind w:firstLine="480"/>
        <w:rPr>
          <w:rFonts w:hint="eastAsia"/>
          <w:highlight w:val="none"/>
        </w:rPr>
      </w:pPr>
      <w:r>
        <w:rPr>
          <w:rFonts w:hint="eastAsia"/>
          <w:highlight w:val="none"/>
        </w:rPr>
        <w:t>（2）非观感类：承包人采购的材料设备必须符合合同文件约定的规格、质量和性能，材料设备品牌选择范围应等同或相当于《主要设备材料推荐品牌表》并按看样定板制度里的申报附件要求提供资料，并经监理人审议后确定。</w:t>
      </w:r>
    </w:p>
    <w:p w14:paraId="03D3EF27">
      <w:pPr>
        <w:pStyle w:val="5"/>
        <w:rPr>
          <w:rFonts w:hint="eastAsia"/>
          <w:highlight w:val="none"/>
        </w:rPr>
      </w:pPr>
      <w:r>
        <w:rPr>
          <w:rFonts w:hint="eastAsia"/>
          <w:highlight w:val="none"/>
        </w:rPr>
        <w:t>工艺展示样板</w:t>
      </w:r>
    </w:p>
    <w:p w14:paraId="748A6D07">
      <w:pPr>
        <w:ind w:firstLine="480"/>
        <w:rPr>
          <w:rFonts w:hint="eastAsia"/>
          <w:highlight w:val="none"/>
        </w:rPr>
      </w:pPr>
      <w:r>
        <w:rPr>
          <w:rFonts w:hint="eastAsia"/>
          <w:highlight w:val="none"/>
        </w:rPr>
        <w:t>（1）承包人需按照发包人要求依据本项目设计图纸在现场制作全过程主要工序的工艺样板，根据项目工程特点在施工过程中或在施工现场划出一定范围的区域，做为样板展示区，样板区内的各专业工种细部构造均应以剖断面的形式展示。所有剖断面部位应有施工工艺标准说明、工艺流程说明、工序交接标准说明、常见的质量常见问题防治措施说明等。由此产生的任何费用发包人不另行补偿，且不得因此影响工程进度。</w:t>
      </w:r>
    </w:p>
    <w:p w14:paraId="7D8598C7">
      <w:pPr>
        <w:ind w:firstLine="480"/>
        <w:rPr>
          <w:rFonts w:hint="eastAsia"/>
          <w:highlight w:val="none"/>
        </w:rPr>
      </w:pPr>
      <w:r>
        <w:rPr>
          <w:rFonts w:hint="eastAsia"/>
          <w:highlight w:val="none"/>
        </w:rPr>
        <w:t>（</w:t>
      </w:r>
      <w:r>
        <w:rPr>
          <w:highlight w:val="none"/>
        </w:rPr>
        <w:t>2</w:t>
      </w:r>
      <w:r>
        <w:rPr>
          <w:rFonts w:hint="eastAsia"/>
          <w:highlight w:val="none"/>
        </w:rPr>
        <w:t>）外墙装饰施工工程将按照要求进行上墙打样，样板位置及区域由发包人指定。承包人报价及施工组织安排时考虑此因素，后期若因外墙装饰上墙打样而产生的进度延误及所需费用均由承包人自行承担，后期不予进行费用调整且不得因此影响工程进度。</w:t>
      </w:r>
    </w:p>
    <w:p w14:paraId="09431896">
      <w:pPr>
        <w:pStyle w:val="5"/>
        <w:rPr>
          <w:rFonts w:hint="eastAsia"/>
          <w:highlight w:val="none"/>
        </w:rPr>
      </w:pPr>
      <w:r>
        <w:rPr>
          <w:rFonts w:hint="eastAsia"/>
          <w:highlight w:val="none"/>
        </w:rPr>
        <w:t>实体工序样板</w:t>
      </w:r>
    </w:p>
    <w:p w14:paraId="6E12E391">
      <w:pPr>
        <w:ind w:firstLine="480"/>
        <w:rPr>
          <w:rFonts w:hint="eastAsia"/>
          <w:highlight w:val="none"/>
        </w:rPr>
      </w:pPr>
      <w:r>
        <w:rPr>
          <w:rFonts w:hint="eastAsia"/>
          <w:highlight w:val="none"/>
        </w:rPr>
        <w:t>（1）正式蓝图下发后30日内，承包人需结合项目自身质量管理实际的基础上，就做样类别及范围与发包人充分沟通，编制《工程样板清单及实施计划》，经监理人审核后方可实施。</w:t>
      </w:r>
    </w:p>
    <w:p w14:paraId="65B130E7">
      <w:pPr>
        <w:ind w:firstLine="480"/>
        <w:rPr>
          <w:rFonts w:hint="eastAsia"/>
          <w:highlight w:val="none"/>
        </w:rPr>
      </w:pPr>
      <w:r>
        <w:rPr>
          <w:rFonts w:hint="eastAsia"/>
          <w:highlight w:val="none"/>
        </w:rPr>
        <w:t>（2）承包人应在施工前为提前了解施工工序，统一施工工艺做法，确保大面积施工按要求顺利展开，应在每一分项工程施工前，进行样板的施工,在施工完成后经监理人验收并签确样板验收确认单，样板确认过程中的整改承包人需无条件配合，工程样板清单内的所有工序均需在样板确认单签确后实施。</w:t>
      </w:r>
    </w:p>
    <w:p w14:paraId="59ADF83D">
      <w:pPr>
        <w:ind w:firstLine="480"/>
        <w:rPr>
          <w:rFonts w:hint="eastAsia"/>
          <w:highlight w:val="none"/>
        </w:rPr>
      </w:pPr>
      <w:r>
        <w:rPr>
          <w:rFonts w:hint="eastAsia"/>
          <w:highlight w:val="none"/>
        </w:rPr>
        <w:t>（3）实体工序样板包含但不限于：</w:t>
      </w:r>
    </w:p>
    <w:p w14:paraId="021932B3">
      <w:pPr>
        <w:ind w:firstLine="480"/>
        <w:rPr>
          <w:rFonts w:hint="eastAsia"/>
          <w:highlight w:val="none"/>
        </w:rPr>
      </w:pPr>
      <w:r>
        <w:rPr>
          <w:rFonts w:hint="eastAsia"/>
          <w:highlight w:val="none"/>
        </w:rPr>
        <w:t xml:space="preserve">钢筋工程、混凝土工程（含模板工程）、砌体工程、抹灰工程、腻子工程、屋面工程、地下室底板（外墙）防水样板、CMC样板（若有）、室内地坪及楼梯踏步、机电工程、装饰装修工程（包括但不限于一个完整标准层、首层大堂、地下室电梯厅等）、园林工程（包括不限于铺装、乔木灌木草坪、铁艺、灯具、标识、垃圾桶）等。 </w:t>
      </w:r>
    </w:p>
    <w:p w14:paraId="1BBABE24">
      <w:pPr>
        <w:ind w:firstLine="480"/>
        <w:rPr>
          <w:rFonts w:hint="eastAsia"/>
          <w:highlight w:val="none"/>
        </w:rPr>
      </w:pPr>
      <w:r>
        <w:rPr>
          <w:rFonts w:hint="eastAsia"/>
          <w:highlight w:val="none"/>
        </w:rPr>
        <w:t>当每项实体工序样板中存在材料不同将引起工艺改变时，应分不同材料加做样板。特别说明，对于砌体/ALC样板除完成砌体/ALC外，尚应完成样板范围内所有机电专业管线、设备设施的安装工作（包括强弱电线管安装，强弱电箱安装，开关、插座及弱电设备底盒预埋，空调洞口预留，给排水管道安装），当受条件影响不能以实物安装时，应以同规格尺寸的替代物模拟安装完成。</w:t>
      </w:r>
    </w:p>
    <w:p w14:paraId="661D3F00">
      <w:pPr>
        <w:pStyle w:val="3"/>
        <w:numPr>
          <w:ilvl w:val="1"/>
          <w:numId w:val="13"/>
        </w:numPr>
        <w:rPr>
          <w:rFonts w:hint="eastAsia"/>
          <w:highlight w:val="none"/>
        </w:rPr>
      </w:pPr>
      <w:bookmarkStart w:id="213" w:name="_Toc11168"/>
      <w:bookmarkStart w:id="214" w:name="_Toc17202"/>
      <w:bookmarkStart w:id="215" w:name="_Toc14637"/>
      <w:bookmarkStart w:id="216" w:name="_Toc15187"/>
      <w:bookmarkStart w:id="217" w:name="_Toc169722217"/>
      <w:bookmarkStart w:id="218" w:name="_Toc10251"/>
      <w:bookmarkStart w:id="219" w:name="_Toc6328"/>
      <w:bookmarkStart w:id="220" w:name="_Toc26739"/>
      <w:bookmarkStart w:id="221" w:name="_Toc19640"/>
      <w:bookmarkStart w:id="222" w:name="_Toc22156"/>
      <w:bookmarkStart w:id="223" w:name="_Toc29290"/>
      <w:r>
        <w:rPr>
          <w:highlight w:val="none"/>
        </w:rPr>
        <w:t>成品保护要求</w:t>
      </w:r>
      <w:bookmarkEnd w:id="213"/>
      <w:bookmarkEnd w:id="214"/>
      <w:bookmarkEnd w:id="215"/>
      <w:bookmarkEnd w:id="216"/>
      <w:bookmarkEnd w:id="217"/>
      <w:bookmarkEnd w:id="218"/>
      <w:bookmarkEnd w:id="219"/>
      <w:bookmarkEnd w:id="220"/>
      <w:bookmarkEnd w:id="221"/>
      <w:bookmarkEnd w:id="222"/>
      <w:bookmarkEnd w:id="223"/>
    </w:p>
    <w:p w14:paraId="0B06BE44">
      <w:pPr>
        <w:pStyle w:val="4"/>
        <w:numPr>
          <w:ilvl w:val="2"/>
          <w:numId w:val="13"/>
        </w:numPr>
        <w:rPr>
          <w:rFonts w:hint="eastAsia"/>
          <w:highlight w:val="none"/>
        </w:rPr>
      </w:pPr>
      <w:r>
        <w:rPr>
          <w:rFonts w:hint="eastAsia"/>
          <w:highlight w:val="none"/>
        </w:rPr>
        <w:t>总则</w:t>
      </w:r>
    </w:p>
    <w:p w14:paraId="1CBDF353">
      <w:pPr>
        <w:ind w:firstLine="480"/>
        <w:rPr>
          <w:rFonts w:hint="eastAsia"/>
          <w:highlight w:val="none"/>
        </w:rPr>
      </w:pPr>
      <w:r>
        <w:rPr>
          <w:rFonts w:hint="eastAsia"/>
          <w:highlight w:val="none"/>
        </w:rPr>
        <w:t>工程竣工移交前，总承包人负责其自身承建工程项目的成品保护责任。</w:t>
      </w:r>
    </w:p>
    <w:p w14:paraId="3E2C689B">
      <w:pPr>
        <w:pStyle w:val="4"/>
        <w:numPr>
          <w:ilvl w:val="2"/>
          <w:numId w:val="13"/>
        </w:numPr>
        <w:rPr>
          <w:rFonts w:hint="eastAsia"/>
          <w:highlight w:val="none"/>
        </w:rPr>
      </w:pPr>
      <w:r>
        <w:rPr>
          <w:rFonts w:hint="eastAsia"/>
          <w:highlight w:val="none"/>
        </w:rPr>
        <w:t>责任划分</w:t>
      </w:r>
    </w:p>
    <w:p w14:paraId="48B5D7A7">
      <w:pPr>
        <w:pStyle w:val="5"/>
        <w:rPr>
          <w:rFonts w:hint="eastAsia"/>
          <w:highlight w:val="none"/>
        </w:rPr>
      </w:pPr>
      <w:r>
        <w:rPr>
          <w:rFonts w:hint="eastAsia"/>
          <w:highlight w:val="none"/>
        </w:rPr>
        <w:t>成品保护应遵循“谁生产，谁保护”、“谁破坏，谁负责”、“总承包人监管”原则。</w:t>
      </w:r>
    </w:p>
    <w:p w14:paraId="031EF73D">
      <w:pPr>
        <w:pStyle w:val="5"/>
        <w:rPr>
          <w:rFonts w:hint="eastAsia"/>
          <w:highlight w:val="none"/>
        </w:rPr>
      </w:pPr>
      <w:r>
        <w:rPr>
          <w:rFonts w:hint="eastAsia"/>
          <w:highlight w:val="none"/>
        </w:rPr>
        <w:t>如果成品保护责任方未按要求完成成品保护工作，或未做到位而造成的成品破坏，无论是否有明确责任单位，所有损失由成品保护责任方承担。</w:t>
      </w:r>
    </w:p>
    <w:p w14:paraId="55FFA345">
      <w:pPr>
        <w:pStyle w:val="5"/>
        <w:rPr>
          <w:rFonts w:hint="eastAsia"/>
          <w:highlight w:val="none"/>
        </w:rPr>
      </w:pPr>
      <w:r>
        <w:rPr>
          <w:rFonts w:hint="eastAsia"/>
          <w:highlight w:val="none"/>
        </w:rPr>
        <w:t>如果成品保护责任方已按要求完成成品保护工作，其产品仍被破坏，若成品保护责任方有明确证据指证责任单位的，由责任单位赔付所有直接和间接损失。若不能明确责任单位，则由成品保护责任方负责。如各当事方对责任争执不下，则由监理人鉴定责任，发包人给出结果。</w:t>
      </w:r>
    </w:p>
    <w:p w14:paraId="4B276C2E">
      <w:pPr>
        <w:pStyle w:val="4"/>
        <w:numPr>
          <w:ilvl w:val="2"/>
          <w:numId w:val="13"/>
        </w:numPr>
        <w:rPr>
          <w:rFonts w:hint="eastAsia"/>
          <w:highlight w:val="none"/>
        </w:rPr>
      </w:pPr>
      <w:r>
        <w:rPr>
          <w:rFonts w:hint="eastAsia"/>
          <w:highlight w:val="none"/>
        </w:rPr>
        <w:t>实施细则</w:t>
      </w:r>
    </w:p>
    <w:p w14:paraId="426DF096">
      <w:pPr>
        <w:pStyle w:val="5"/>
        <w:rPr>
          <w:rFonts w:hint="eastAsia"/>
          <w:highlight w:val="none"/>
        </w:rPr>
      </w:pPr>
      <w:r>
        <w:rPr>
          <w:rFonts w:hint="eastAsia"/>
          <w:highlight w:val="none"/>
        </w:rPr>
        <w:t>总承包人须向发包人提供详细的成品保护方案，包括相关工序的具体成品、半成品保护措施，并对其承建范围内的工程项目的成品保护负责。</w:t>
      </w:r>
    </w:p>
    <w:p w14:paraId="0EB37619">
      <w:pPr>
        <w:pStyle w:val="5"/>
        <w:rPr>
          <w:rFonts w:hint="eastAsia"/>
          <w:highlight w:val="none"/>
        </w:rPr>
      </w:pPr>
      <w:r>
        <w:rPr>
          <w:rFonts w:hint="eastAsia"/>
          <w:highlight w:val="none"/>
        </w:rPr>
        <w:t>总承包人现场成品保护应有专人负责对整个施工现场巡视和检查，防止成品、半成品被破坏。</w:t>
      </w:r>
    </w:p>
    <w:p w14:paraId="15C65B20">
      <w:pPr>
        <w:pStyle w:val="5"/>
        <w:rPr>
          <w:rFonts w:hint="eastAsia"/>
          <w:highlight w:val="none"/>
        </w:rPr>
      </w:pPr>
      <w:r>
        <w:rPr>
          <w:rFonts w:hint="eastAsia"/>
          <w:highlight w:val="none"/>
        </w:rPr>
        <w:t>先施工的单位必须向后施工办理书面交接手续，双方签字认可，后施工单位应对施工区域内的所有成品、半成品履行保护的责任和义务。</w:t>
      </w:r>
    </w:p>
    <w:p w14:paraId="75A29D62">
      <w:pPr>
        <w:pStyle w:val="5"/>
        <w:rPr>
          <w:rFonts w:hint="eastAsia"/>
          <w:highlight w:val="none"/>
        </w:rPr>
      </w:pPr>
      <w:r>
        <w:rPr>
          <w:rFonts w:hint="eastAsia"/>
          <w:highlight w:val="none"/>
        </w:rPr>
        <w:t>施工过程中未按成品保护方案执行或成品保护执行严重不到位的，将予以处罚。</w:t>
      </w:r>
    </w:p>
    <w:p w14:paraId="7A7CB2BB">
      <w:pPr>
        <w:pStyle w:val="5"/>
        <w:rPr>
          <w:rFonts w:hint="eastAsia"/>
          <w:highlight w:val="none"/>
        </w:rPr>
      </w:pPr>
      <w:r>
        <w:rPr>
          <w:rFonts w:hint="eastAsia"/>
          <w:highlight w:val="none"/>
        </w:rPr>
        <w:t>工程交接验收单、成品移交以监理人/发包人签字确认为准。无正式工程交接验收单，成品或半成品损坏丢失由总承包人自行承担。</w:t>
      </w:r>
    </w:p>
    <w:p w14:paraId="1CE1B323">
      <w:pPr>
        <w:pStyle w:val="3"/>
        <w:numPr>
          <w:ilvl w:val="1"/>
          <w:numId w:val="13"/>
        </w:numPr>
        <w:rPr>
          <w:rFonts w:hint="eastAsia"/>
          <w:highlight w:val="none"/>
        </w:rPr>
      </w:pPr>
      <w:bookmarkStart w:id="224" w:name="_Toc169722218"/>
      <w:bookmarkStart w:id="225" w:name="_Toc4929"/>
      <w:bookmarkStart w:id="226" w:name="_Toc18600"/>
      <w:bookmarkStart w:id="227" w:name="_Toc6225"/>
      <w:bookmarkStart w:id="228" w:name="_Toc15390"/>
      <w:bookmarkStart w:id="229" w:name="_Toc4551"/>
      <w:bookmarkStart w:id="230" w:name="_Toc25131"/>
      <w:bookmarkStart w:id="231" w:name="_Toc26943"/>
      <w:bookmarkStart w:id="232" w:name="_Toc28863"/>
      <w:bookmarkStart w:id="233" w:name="_Toc22500"/>
      <w:bookmarkStart w:id="234" w:name="_Toc19462"/>
      <w:r>
        <w:rPr>
          <w:rFonts w:hint="eastAsia"/>
          <w:highlight w:val="none"/>
        </w:rPr>
        <w:t>甲供物资</w:t>
      </w:r>
      <w:r>
        <w:rPr>
          <w:highlight w:val="none"/>
        </w:rPr>
        <w:t>管理要求</w:t>
      </w:r>
      <w:bookmarkEnd w:id="224"/>
      <w:bookmarkEnd w:id="225"/>
      <w:bookmarkEnd w:id="226"/>
      <w:bookmarkEnd w:id="227"/>
      <w:r>
        <w:rPr>
          <w:rFonts w:hint="eastAsia"/>
          <w:highlight w:val="none"/>
        </w:rPr>
        <w:t>（如有）</w:t>
      </w:r>
      <w:bookmarkEnd w:id="228"/>
      <w:bookmarkEnd w:id="229"/>
      <w:bookmarkEnd w:id="230"/>
      <w:bookmarkEnd w:id="231"/>
      <w:bookmarkEnd w:id="232"/>
      <w:bookmarkEnd w:id="233"/>
      <w:bookmarkEnd w:id="234"/>
    </w:p>
    <w:p w14:paraId="19A1FB4B">
      <w:pPr>
        <w:pStyle w:val="4"/>
        <w:numPr>
          <w:ilvl w:val="2"/>
          <w:numId w:val="13"/>
        </w:numPr>
        <w:rPr>
          <w:rFonts w:hint="eastAsia"/>
          <w:highlight w:val="none"/>
        </w:rPr>
      </w:pPr>
      <w:bookmarkStart w:id="235" w:name="_Toc328755017"/>
      <w:bookmarkStart w:id="236" w:name="_Toc329131560"/>
      <w:bookmarkStart w:id="237" w:name="_Toc406435935"/>
      <w:r>
        <w:rPr>
          <w:rFonts w:hint="eastAsia"/>
          <w:highlight w:val="none"/>
        </w:rPr>
        <w:t>甲供物资</w:t>
      </w:r>
    </w:p>
    <w:p w14:paraId="76321AD9">
      <w:pPr>
        <w:ind w:firstLine="480"/>
        <w:rPr>
          <w:rFonts w:hint="eastAsia"/>
          <w:highlight w:val="none"/>
        </w:rPr>
      </w:pPr>
      <w:r>
        <w:rPr>
          <w:rFonts w:hint="eastAsia"/>
          <w:highlight w:val="none"/>
        </w:rPr>
        <w:t>发包人招标，与供应商签订供货合同，发包人直接付款。</w:t>
      </w:r>
    </w:p>
    <w:p w14:paraId="7B3CF648">
      <w:pPr>
        <w:pStyle w:val="4"/>
        <w:numPr>
          <w:ilvl w:val="2"/>
          <w:numId w:val="13"/>
        </w:numPr>
        <w:rPr>
          <w:rFonts w:hint="eastAsia"/>
          <w:highlight w:val="none"/>
        </w:rPr>
      </w:pPr>
      <w:r>
        <w:rPr>
          <w:rFonts w:hint="eastAsia"/>
          <w:highlight w:val="none"/>
        </w:rPr>
        <w:t>供应计划管理流程</w:t>
      </w:r>
    </w:p>
    <w:p w14:paraId="6CC1274F">
      <w:pPr>
        <w:ind w:firstLine="480"/>
        <w:rPr>
          <w:rFonts w:hint="eastAsia"/>
          <w:highlight w:val="none"/>
        </w:rPr>
      </w:pPr>
      <w:bookmarkStart w:id="238" w:name="_Hlk168667710"/>
      <w:bookmarkStart w:id="239" w:name="_Hlk168668529"/>
      <w:bookmarkStart w:id="240" w:name="_Toc329131558"/>
      <w:bookmarkStart w:id="241" w:name="_Toc406435933"/>
      <w:bookmarkStart w:id="242" w:name="_Toc437937241"/>
      <w:bookmarkStart w:id="243" w:name="_Toc436410967"/>
      <w:bookmarkStart w:id="244" w:name="_Toc436410800"/>
      <w:bookmarkStart w:id="245" w:name="_Toc328755015"/>
      <w:r>
        <w:rPr>
          <w:rFonts w:hint="eastAsia"/>
          <w:highlight w:val="none"/>
        </w:rPr>
        <w:t>总承包人应组织专业承包人共同编制并提交包含自身及专业承包人的《甲供物资供应计划表》→监理人审核确认→发包人审核确认→发包人核对供货合约、确认→发包人于甲供材系统发起《甲供材料要货订单》→发包人督促供应商确认订单→发包人督促供应商按要求及时、保质、足量交货→发包人督促供应商于甲供材系统及时确认到货→发包人督促并配合甲供材单位完成线上四方验收→发包人于甲供材系统发起付款流程</w:t>
      </w:r>
      <w:bookmarkEnd w:id="238"/>
      <w:r>
        <w:rPr>
          <w:rFonts w:hint="eastAsia"/>
          <w:highlight w:val="none"/>
        </w:rPr>
        <w:t>。</w:t>
      </w:r>
    </w:p>
    <w:bookmarkEnd w:id="239"/>
    <w:p w14:paraId="490DE4FB">
      <w:pPr>
        <w:pStyle w:val="4"/>
        <w:numPr>
          <w:ilvl w:val="2"/>
          <w:numId w:val="13"/>
        </w:numPr>
        <w:rPr>
          <w:rFonts w:hint="eastAsia" w:cs="Arial"/>
          <w:highlight w:val="none"/>
        </w:rPr>
      </w:pPr>
      <w:r>
        <w:rPr>
          <w:rFonts w:hint="eastAsia" w:cs="Arial"/>
          <w:highlight w:val="none"/>
        </w:rPr>
        <w:t>甲供</w:t>
      </w:r>
      <w:r>
        <w:rPr>
          <w:rFonts w:hint="eastAsia"/>
          <w:highlight w:val="none"/>
        </w:rPr>
        <w:t>物资</w:t>
      </w:r>
      <w:r>
        <w:rPr>
          <w:rFonts w:hint="eastAsia" w:cs="Arial"/>
          <w:highlight w:val="none"/>
        </w:rPr>
        <w:t>采购供应计划编制与排产</w:t>
      </w:r>
      <w:bookmarkEnd w:id="240"/>
      <w:bookmarkEnd w:id="241"/>
      <w:bookmarkEnd w:id="242"/>
      <w:bookmarkEnd w:id="243"/>
      <w:bookmarkEnd w:id="244"/>
      <w:bookmarkEnd w:id="245"/>
      <w:r>
        <w:rPr>
          <w:rFonts w:cs="Arial"/>
          <w:highlight w:val="none"/>
        </w:rPr>
        <w:tab/>
      </w:r>
    </w:p>
    <w:p w14:paraId="35163E96">
      <w:pPr>
        <w:pStyle w:val="5"/>
        <w:rPr>
          <w:rFonts w:hint="eastAsia"/>
          <w:highlight w:val="none"/>
        </w:rPr>
      </w:pPr>
      <w:r>
        <w:rPr>
          <w:rFonts w:hint="eastAsia"/>
          <w:highlight w:val="none"/>
        </w:rPr>
        <w:t>总承包人依据合同约定，根据已审批的工程总施工进度计划，考虑招标、排产、加工、运输、验收等因素，提前编制《甲供材料设备进场计划》报发包人，并对数量和规格的准确性负责。</w:t>
      </w:r>
    </w:p>
    <w:p w14:paraId="316BCC52">
      <w:pPr>
        <w:pStyle w:val="5"/>
        <w:rPr>
          <w:rFonts w:hint="eastAsia"/>
          <w:highlight w:val="none"/>
        </w:rPr>
      </w:pPr>
      <w:r>
        <w:rPr>
          <w:rFonts w:hint="eastAsia"/>
          <w:highlight w:val="none"/>
        </w:rPr>
        <w:t>发包人根据每种甲供物资现场使用时间及各自的制造周期，适时向供应商发出《甲供材料设备要货订单》。</w:t>
      </w:r>
    </w:p>
    <w:p w14:paraId="0F8A38BD">
      <w:pPr>
        <w:pStyle w:val="4"/>
        <w:numPr>
          <w:ilvl w:val="2"/>
          <w:numId w:val="13"/>
        </w:numPr>
        <w:rPr>
          <w:rFonts w:hint="eastAsia"/>
          <w:highlight w:val="none"/>
        </w:rPr>
      </w:pPr>
      <w:r>
        <w:rPr>
          <w:rFonts w:hint="eastAsia"/>
          <w:highlight w:val="none"/>
        </w:rPr>
        <w:t>发包人根据每种甲供物资现场使用时间及合同约定的供货周期，适时于甲供材系统向供应商发起《甲供材料要货订单》</w:t>
      </w:r>
    </w:p>
    <w:p w14:paraId="44AF610F">
      <w:pPr>
        <w:pStyle w:val="5"/>
        <w:rPr>
          <w:rFonts w:hint="eastAsia"/>
          <w:highlight w:val="none"/>
        </w:rPr>
      </w:pPr>
      <w:r>
        <w:rPr>
          <w:rFonts w:hint="eastAsia"/>
          <w:highlight w:val="none"/>
        </w:rPr>
        <w:t>首批甲供物资到场：发包人在接到通知后组织监理人、总承包人等参与到货验收。总承包人填报《工程材料、构配件、设备报审表》，并报监理人。</w:t>
      </w:r>
    </w:p>
    <w:p w14:paraId="172B5159">
      <w:pPr>
        <w:pStyle w:val="5"/>
        <w:rPr>
          <w:rFonts w:hint="eastAsia"/>
          <w:highlight w:val="none"/>
        </w:rPr>
      </w:pPr>
      <w:r>
        <w:rPr>
          <w:rFonts w:hint="eastAsia"/>
          <w:highlight w:val="none"/>
        </w:rPr>
        <w:t>以后批次物资进场：由监理人组织供货商、总承包人、发包人等相关单位共同验收。</w:t>
      </w:r>
    </w:p>
    <w:p w14:paraId="73DC6F16">
      <w:pPr>
        <w:pStyle w:val="5"/>
        <w:rPr>
          <w:rFonts w:hint="eastAsia"/>
          <w:highlight w:val="none"/>
        </w:rPr>
      </w:pPr>
      <w:bookmarkStart w:id="246" w:name="_Hlk168668669"/>
      <w:r>
        <w:rPr>
          <w:rFonts w:hint="eastAsia"/>
          <w:highlight w:val="none"/>
        </w:rPr>
        <w:t>参加验收人员应按供货合同、供货样板及《甲供材料要货订单》的订单信息，对到货物料的数量、外观、包装、质量等进行现场验收。</w:t>
      </w:r>
    </w:p>
    <w:bookmarkEnd w:id="246"/>
    <w:p w14:paraId="6A9EA230">
      <w:pPr>
        <w:pStyle w:val="5"/>
        <w:rPr>
          <w:rFonts w:hint="eastAsia"/>
          <w:highlight w:val="none"/>
        </w:rPr>
      </w:pPr>
      <w:r>
        <w:rPr>
          <w:rFonts w:hint="eastAsia"/>
          <w:highlight w:val="none"/>
        </w:rPr>
        <w:t>各方检查验收结束后，应于货到现场</w:t>
      </w:r>
      <w:r>
        <w:rPr>
          <w:highlight w:val="none"/>
        </w:rPr>
        <w:t>24</w:t>
      </w:r>
      <w:r>
        <w:rPr>
          <w:rFonts w:hint="eastAsia"/>
          <w:highlight w:val="none"/>
        </w:rPr>
        <w:t>小时内于甲供材管理系统上签署验收单，各方签字确认并注明意见及日期，有不合格物资需退场的应注明。</w:t>
      </w:r>
    </w:p>
    <w:p w14:paraId="62C10DBC">
      <w:pPr>
        <w:pStyle w:val="5"/>
        <w:rPr>
          <w:rFonts w:hint="eastAsia"/>
          <w:highlight w:val="none"/>
        </w:rPr>
      </w:pPr>
      <w:r>
        <w:rPr>
          <w:rFonts w:hint="eastAsia"/>
          <w:highlight w:val="none"/>
        </w:rPr>
        <w:t>若甲供物资需现场见证送检的，由监理人见证取样，由相关施工安装单位送检，检验所需费用按合同有关规定执行，检验所需时间应纳入计划。</w:t>
      </w:r>
    </w:p>
    <w:p w14:paraId="2338E0A2">
      <w:pPr>
        <w:pStyle w:val="5"/>
        <w:rPr>
          <w:rFonts w:hint="eastAsia"/>
          <w:highlight w:val="none"/>
        </w:rPr>
      </w:pPr>
      <w:r>
        <w:rPr>
          <w:rFonts w:hint="eastAsia"/>
          <w:highlight w:val="none"/>
        </w:rPr>
        <w:t>对在设备工厂内做定型试验的大型设备（如制冷机组、空调机组、新风机组、水泵、冷却塔、高低压配电柜等），必要时，发包人组织相关部门（总承包人及监理人）到工厂进行监督及设备试验参数的采集。</w:t>
      </w:r>
    </w:p>
    <w:p w14:paraId="580E5994">
      <w:pPr>
        <w:pStyle w:val="5"/>
        <w:rPr>
          <w:rFonts w:hint="eastAsia"/>
          <w:highlight w:val="none"/>
        </w:rPr>
      </w:pPr>
      <w:r>
        <w:rPr>
          <w:rFonts w:hint="eastAsia"/>
          <w:highlight w:val="none"/>
        </w:rPr>
        <w:t>对重要物资，必要时，发包人组织监理人、总承包人及专业承包人相关人员到工厂进行驻场监造，费用由各自单位承担。</w:t>
      </w:r>
    </w:p>
    <w:p w14:paraId="398F5B7B">
      <w:pPr>
        <w:pStyle w:val="5"/>
        <w:rPr>
          <w:rFonts w:hint="eastAsia"/>
          <w:highlight w:val="none"/>
        </w:rPr>
      </w:pPr>
      <w:r>
        <w:rPr>
          <w:rFonts w:hint="eastAsia"/>
          <w:highlight w:val="none"/>
        </w:rPr>
        <w:t>总承包人应根据甲供材管理系统上签署的验收单登记《甲供材料设备验收入库台帐》，每月统计一次报送发包人。</w:t>
      </w:r>
    </w:p>
    <w:p w14:paraId="4BB559EC">
      <w:pPr>
        <w:pStyle w:val="5"/>
        <w:rPr>
          <w:rFonts w:hint="eastAsia"/>
          <w:highlight w:val="none"/>
        </w:rPr>
      </w:pPr>
      <w:r>
        <w:rPr>
          <w:rFonts w:hint="eastAsia"/>
          <w:highlight w:val="none"/>
        </w:rPr>
        <w:t>所有发包人采购供应的物资由供应商运送到施工工地现场并卸货至发包人指定地点（汽车可到达区域）。到场后，由相应安装单位负责上述材料设备的二次运输和搬运、接收、验收、保管等管理工作。若因接收单位管理不当造成的损失，接收单位负责补偿。</w:t>
      </w:r>
    </w:p>
    <w:bookmarkEnd w:id="235"/>
    <w:bookmarkEnd w:id="236"/>
    <w:bookmarkEnd w:id="237"/>
    <w:p w14:paraId="07477D38">
      <w:pPr>
        <w:pStyle w:val="3"/>
        <w:numPr>
          <w:ilvl w:val="1"/>
          <w:numId w:val="13"/>
        </w:numPr>
        <w:rPr>
          <w:rFonts w:hint="eastAsia"/>
          <w:highlight w:val="none"/>
        </w:rPr>
      </w:pPr>
      <w:bookmarkStart w:id="247" w:name="_Toc31479"/>
      <w:bookmarkStart w:id="248" w:name="_Toc14084"/>
      <w:bookmarkStart w:id="249" w:name="_Toc24101"/>
      <w:bookmarkStart w:id="250" w:name="_Toc6112"/>
      <w:bookmarkStart w:id="251" w:name="_Toc169722219"/>
      <w:bookmarkStart w:id="252" w:name="_Toc3704"/>
      <w:bookmarkStart w:id="253" w:name="_Toc1003"/>
      <w:bookmarkStart w:id="254" w:name="_Toc27384"/>
      <w:bookmarkStart w:id="255" w:name="_Toc983"/>
      <w:bookmarkStart w:id="256" w:name="_Toc21301"/>
      <w:bookmarkStart w:id="257" w:name="_Toc22876"/>
      <w:r>
        <w:rPr>
          <w:rFonts w:hint="eastAsia"/>
          <w:highlight w:val="none"/>
        </w:rPr>
        <w:t>乙</w:t>
      </w:r>
      <w:r>
        <w:rPr>
          <w:highlight w:val="none"/>
        </w:rPr>
        <w:t>供</w:t>
      </w:r>
      <w:r>
        <w:rPr>
          <w:rFonts w:hint="eastAsia"/>
          <w:highlight w:val="none"/>
        </w:rPr>
        <w:t>物资</w:t>
      </w:r>
      <w:r>
        <w:rPr>
          <w:highlight w:val="none"/>
        </w:rPr>
        <w:t>管理要求</w:t>
      </w:r>
      <w:bookmarkEnd w:id="247"/>
      <w:bookmarkEnd w:id="248"/>
      <w:bookmarkEnd w:id="249"/>
      <w:bookmarkEnd w:id="250"/>
      <w:bookmarkEnd w:id="251"/>
      <w:bookmarkEnd w:id="252"/>
      <w:bookmarkEnd w:id="253"/>
      <w:bookmarkEnd w:id="254"/>
      <w:bookmarkEnd w:id="255"/>
      <w:bookmarkEnd w:id="256"/>
      <w:bookmarkEnd w:id="257"/>
    </w:p>
    <w:p w14:paraId="5C9B6F96">
      <w:pPr>
        <w:pStyle w:val="4"/>
        <w:numPr>
          <w:ilvl w:val="2"/>
          <w:numId w:val="13"/>
        </w:numPr>
        <w:rPr>
          <w:rFonts w:hint="eastAsia"/>
          <w:highlight w:val="none"/>
        </w:rPr>
      </w:pPr>
      <w:bookmarkStart w:id="258" w:name="_Toc436410804"/>
      <w:bookmarkStart w:id="259" w:name="_Toc406435937"/>
      <w:bookmarkStart w:id="260" w:name="_Toc437937245"/>
      <w:bookmarkStart w:id="261" w:name="_Toc436410971"/>
      <w:bookmarkStart w:id="262" w:name="_Toc329131562"/>
      <w:bookmarkStart w:id="263" w:name="_Toc328755019"/>
      <w:bookmarkStart w:id="264" w:name="_Toc490829813"/>
      <w:bookmarkStart w:id="265" w:name="_Toc491089032"/>
      <w:bookmarkStart w:id="266" w:name="_Toc491332899"/>
      <w:bookmarkStart w:id="267" w:name="_Toc491453747"/>
      <w:r>
        <w:rPr>
          <w:rFonts w:hint="eastAsia"/>
          <w:highlight w:val="none"/>
        </w:rPr>
        <w:t>乙供物资分类</w:t>
      </w:r>
      <w:bookmarkEnd w:id="258"/>
      <w:bookmarkEnd w:id="259"/>
      <w:bookmarkEnd w:id="260"/>
      <w:bookmarkEnd w:id="261"/>
      <w:bookmarkEnd w:id="262"/>
      <w:bookmarkEnd w:id="263"/>
    </w:p>
    <w:p w14:paraId="5214A7B4">
      <w:pPr>
        <w:ind w:firstLine="480"/>
        <w:rPr>
          <w:rFonts w:hint="eastAsia"/>
          <w:highlight w:val="none"/>
        </w:rPr>
      </w:pPr>
      <w:r>
        <w:rPr>
          <w:rFonts w:hint="eastAsia"/>
          <w:highlight w:val="none"/>
        </w:rPr>
        <w:t>乙方供应：材料设备品牌选择范围应等同或相当于《主要设备材料推荐品牌表》，并按看样定板制度里的申报附件要求提供资料，并经监理人审议后确定，总承包人自行与供应商签订合同并付款。</w:t>
      </w:r>
    </w:p>
    <w:p w14:paraId="7D7298E7">
      <w:pPr>
        <w:pStyle w:val="4"/>
        <w:numPr>
          <w:ilvl w:val="2"/>
          <w:numId w:val="13"/>
        </w:numPr>
        <w:rPr>
          <w:rFonts w:hint="eastAsia"/>
          <w:highlight w:val="none"/>
        </w:rPr>
      </w:pPr>
      <w:bookmarkStart w:id="268" w:name="_Toc29009"/>
      <w:bookmarkStart w:id="269" w:name="_Toc436410972"/>
      <w:bookmarkStart w:id="270" w:name="_Toc406435938"/>
      <w:bookmarkStart w:id="271" w:name="_Toc328755020"/>
      <w:bookmarkStart w:id="272" w:name="_Toc329131563"/>
      <w:bookmarkStart w:id="273" w:name="_Toc437937246"/>
      <w:bookmarkStart w:id="274" w:name="_Toc436410805"/>
      <w:r>
        <w:rPr>
          <w:rFonts w:hint="eastAsia"/>
          <w:highlight w:val="none"/>
        </w:rPr>
        <w:t>乙供物资计划管理</w:t>
      </w:r>
      <w:bookmarkEnd w:id="268"/>
    </w:p>
    <w:p w14:paraId="3060C111">
      <w:pPr>
        <w:ind w:firstLine="480"/>
        <w:rPr>
          <w:rFonts w:hint="eastAsia"/>
          <w:highlight w:val="none"/>
        </w:rPr>
      </w:pPr>
      <w:r>
        <w:rPr>
          <w:rFonts w:hint="eastAsia"/>
          <w:highlight w:val="none"/>
        </w:rPr>
        <w:t>承包人进场后应根据设计图纸及施工进度计划制定主要材料设备采购计划，及时签订采购合同（签订供货合同的时间必须至少比第一批货物计划进场的时间提前两个月+备货期），影响工程造价较大的大批量材料设备，承包人必须提前定制或锁定价格，否则由此引起的工期调整或价格调整，发包人有权不予批准。其中：</w:t>
      </w:r>
    </w:p>
    <w:p w14:paraId="0ADB796D">
      <w:pPr>
        <w:pStyle w:val="5"/>
        <w:numPr>
          <w:ilvl w:val="3"/>
          <w:numId w:val="13"/>
        </w:numPr>
        <w:rPr>
          <w:rFonts w:hint="eastAsia"/>
          <w:highlight w:val="none"/>
        </w:rPr>
      </w:pPr>
      <w:r>
        <w:rPr>
          <w:rFonts w:hint="eastAsia"/>
          <w:highlight w:val="none"/>
        </w:rPr>
        <w:t>主要材料设备采购计划需报监理单位审核，审核合格后报发包人备案，并作为第一期工程进度款的支付条件之一；</w:t>
      </w:r>
    </w:p>
    <w:p w14:paraId="20CE12AE">
      <w:pPr>
        <w:pStyle w:val="5"/>
        <w:numPr>
          <w:ilvl w:val="3"/>
          <w:numId w:val="13"/>
        </w:numPr>
        <w:rPr>
          <w:rFonts w:hint="eastAsia"/>
          <w:highlight w:val="none"/>
        </w:rPr>
      </w:pPr>
      <w:r>
        <w:rPr>
          <w:rFonts w:hint="eastAsia"/>
          <w:highlight w:val="none"/>
        </w:rPr>
        <w:t>主要材料设备的采购合同必须报发包人备案（具体需要备案的材料设备采购合同种类由发包人根据项目实际需要确定），作为涉及相应材料设备的中间计量进度款的支付条件之一。</w:t>
      </w:r>
    </w:p>
    <w:p w14:paraId="1CAF6D03">
      <w:pPr>
        <w:pStyle w:val="4"/>
        <w:numPr>
          <w:ilvl w:val="2"/>
          <w:numId w:val="13"/>
        </w:numPr>
        <w:rPr>
          <w:rFonts w:hint="eastAsia"/>
          <w:highlight w:val="none"/>
        </w:rPr>
      </w:pPr>
      <w:bookmarkStart w:id="275" w:name="_Toc4922"/>
      <w:r>
        <w:rPr>
          <w:rFonts w:hint="eastAsia"/>
          <w:highlight w:val="none"/>
        </w:rPr>
        <w:t>乙供物资采购管理</w:t>
      </w:r>
      <w:bookmarkEnd w:id="275"/>
    </w:p>
    <w:p w14:paraId="10F5D0BA">
      <w:pPr>
        <w:spacing w:before="120" w:beforeLines="50" w:after="120" w:afterLines="50"/>
        <w:ind w:firstLine="480"/>
        <w:rPr>
          <w:rFonts w:hint="eastAsia"/>
          <w:highlight w:val="none"/>
        </w:rPr>
      </w:pPr>
      <w:r>
        <w:rPr>
          <w:rFonts w:hint="eastAsia"/>
          <w:highlight w:val="none"/>
        </w:rPr>
        <w:t>承包人必须确保在满足或优于招标文件（包括招标文件各专业主要设备材料技术参数）、招标图纸和相关规范要求的条件下采购主要材料设备。甲方保留对材料设备进行集中采购的权利，乙方须无条件配合。其中：</w:t>
      </w:r>
    </w:p>
    <w:p w14:paraId="415531BB">
      <w:pPr>
        <w:pStyle w:val="5"/>
        <w:numPr>
          <w:ilvl w:val="3"/>
          <w:numId w:val="13"/>
        </w:numPr>
        <w:rPr>
          <w:rFonts w:hint="eastAsia"/>
          <w:highlight w:val="none"/>
        </w:rPr>
      </w:pPr>
      <w:r>
        <w:rPr>
          <w:rFonts w:hint="eastAsia"/>
          <w:highlight w:val="none"/>
        </w:rPr>
        <w:t>招标文件有推荐品牌范围的主要材料设备，推荐承包人在推荐品牌范围内选用（具体见《主要设备材料推荐品牌表》）。</w:t>
      </w:r>
    </w:p>
    <w:p w14:paraId="7C61BBAE">
      <w:pPr>
        <w:pStyle w:val="5"/>
        <w:numPr>
          <w:ilvl w:val="3"/>
          <w:numId w:val="13"/>
        </w:numPr>
        <w:rPr>
          <w:rFonts w:hint="eastAsia"/>
          <w:highlight w:val="none"/>
        </w:rPr>
      </w:pPr>
      <w:r>
        <w:rPr>
          <w:rFonts w:hint="eastAsia"/>
          <w:highlight w:val="none"/>
        </w:rPr>
        <w:t>若承包人选用同等或优于推荐品牌的，在采购前必须经发包人审批同意，否则，视为承包人自行更换品牌，按招标文件和合同规定承担违约责任。</w:t>
      </w:r>
    </w:p>
    <w:p w14:paraId="4C69FFDE">
      <w:pPr>
        <w:pStyle w:val="5"/>
        <w:numPr>
          <w:ilvl w:val="3"/>
          <w:numId w:val="13"/>
        </w:numPr>
        <w:rPr>
          <w:rFonts w:hint="eastAsia"/>
          <w:highlight w:val="none"/>
        </w:rPr>
      </w:pPr>
      <w:r>
        <w:rPr>
          <w:rFonts w:hint="eastAsia"/>
          <w:highlight w:val="none"/>
        </w:rPr>
        <w:t>不在推荐品牌范围的主要材料设备，承包人按中国名牌、国家免检产品、省知名品牌的顺序选定，同时须严格按照发包人看样定板的相关规定执行。</w:t>
      </w:r>
    </w:p>
    <w:p w14:paraId="1989B2A8">
      <w:pPr>
        <w:pStyle w:val="5"/>
        <w:numPr>
          <w:ilvl w:val="3"/>
          <w:numId w:val="13"/>
        </w:numPr>
        <w:rPr>
          <w:rFonts w:hint="eastAsia"/>
          <w:highlight w:val="none"/>
        </w:rPr>
      </w:pPr>
      <w:r>
        <w:rPr>
          <w:rFonts w:hint="eastAsia"/>
          <w:highlight w:val="none"/>
        </w:rPr>
        <w:t>本项目主要设备材料品牌/生产厂家推荐表，详见合同《主要设备材料推荐品牌表》。</w:t>
      </w:r>
    </w:p>
    <w:p w14:paraId="529783B0">
      <w:pPr>
        <w:pStyle w:val="4"/>
        <w:numPr>
          <w:ilvl w:val="2"/>
          <w:numId w:val="13"/>
        </w:numPr>
        <w:rPr>
          <w:rFonts w:hint="eastAsia"/>
          <w:highlight w:val="none"/>
        </w:rPr>
      </w:pPr>
      <w:bookmarkStart w:id="276" w:name="_Toc19132"/>
      <w:r>
        <w:rPr>
          <w:rFonts w:hint="eastAsia"/>
          <w:highlight w:val="none"/>
        </w:rPr>
        <w:t>乙供物资检验、试验管理</w:t>
      </w:r>
      <w:bookmarkEnd w:id="276"/>
    </w:p>
    <w:p w14:paraId="19A3DAAB">
      <w:pPr>
        <w:ind w:firstLine="0" w:firstLineChars="0"/>
        <w:jc w:val="left"/>
        <w:rPr>
          <w:rFonts w:hint="eastAsia"/>
          <w:highlight w:val="none"/>
        </w:rPr>
      </w:pPr>
      <w:r>
        <w:rPr>
          <w:highlight w:val="none"/>
        </w:rPr>
        <w:t xml:space="preserve"> </w:t>
      </w:r>
      <w:r>
        <w:rPr>
          <w:rFonts w:hint="eastAsia"/>
          <w:highlight w:val="none"/>
        </w:rPr>
        <w:t xml:space="preserve">  无论发包人是否推荐品牌范围，所有用于本工程的材料设备必须严格按合同条款的约定进行检验、试验，确保材料设备质量。材料进场批次要与见证取样检测批次一致， 否则，多出批次的检测费由承包人承担。本项目应进行节能、室内环境检测，需委托具有相应资质检测机构实施的相关工作。</w:t>
      </w:r>
    </w:p>
    <w:p w14:paraId="3E08A2E5">
      <w:pPr>
        <w:pStyle w:val="4"/>
        <w:numPr>
          <w:ilvl w:val="2"/>
          <w:numId w:val="13"/>
        </w:numPr>
        <w:rPr>
          <w:rFonts w:hint="eastAsia"/>
          <w:highlight w:val="none"/>
        </w:rPr>
      </w:pPr>
      <w:bookmarkStart w:id="277" w:name="_Toc2801"/>
      <w:r>
        <w:rPr>
          <w:rFonts w:hint="eastAsia"/>
          <w:highlight w:val="none"/>
        </w:rPr>
        <w:t>乙供材料设备看样定板管理</w:t>
      </w:r>
      <w:bookmarkEnd w:id="277"/>
    </w:p>
    <w:p w14:paraId="6C5DFDAF">
      <w:pPr>
        <w:ind w:firstLine="480"/>
        <w:jc w:val="left"/>
        <w:rPr>
          <w:rFonts w:hint="eastAsia"/>
          <w:highlight w:val="none"/>
        </w:rPr>
      </w:pPr>
      <w:r>
        <w:rPr>
          <w:rFonts w:hint="eastAsia"/>
          <w:highlight w:val="none"/>
        </w:rPr>
        <w:t>为加强本工程所使用的乙供材料设备的质量管理，确保承包人所选购的材料设备的 质量、技术性能、款式、效果等方面满足设计和使用需求，所有主要材料设备在看样定板之前，发包人、使用业主、监理单位、设计单位有权对乙供材料设备厂家的生产能力、 制造水平、生产工艺等方面进行综合考察评估，考核评估合格的方能采购。如经综合考察评估不合格，发包人有权在《主要设备材料推荐品牌表》中选择其他满足规定的材料厂家及品牌，经考核评估合格后予以选用，合同价款不作调整。</w:t>
      </w:r>
    </w:p>
    <w:p w14:paraId="6CDA2240">
      <w:pPr>
        <w:pStyle w:val="4"/>
        <w:numPr>
          <w:ilvl w:val="2"/>
          <w:numId w:val="13"/>
        </w:numPr>
        <w:rPr>
          <w:rFonts w:hint="eastAsia"/>
          <w:highlight w:val="none"/>
        </w:rPr>
      </w:pPr>
      <w:bookmarkStart w:id="278" w:name="_Toc6871"/>
      <w:r>
        <w:rPr>
          <w:rFonts w:hint="eastAsia"/>
          <w:highlight w:val="none"/>
        </w:rPr>
        <w:t>乙供材料设备供应商管理</w:t>
      </w:r>
      <w:bookmarkEnd w:id="278"/>
    </w:p>
    <w:p w14:paraId="0760DEE0">
      <w:pPr>
        <w:ind w:firstLine="480"/>
        <w:jc w:val="left"/>
        <w:rPr>
          <w:rFonts w:hint="eastAsia"/>
          <w:highlight w:val="none"/>
        </w:rPr>
      </w:pPr>
      <w:r>
        <w:rPr>
          <w:rFonts w:hint="eastAsia"/>
          <w:highlight w:val="none"/>
        </w:rPr>
        <w:t>承包人应在确定主要乙供材料设备供应商的 7 个工作日内，将供应商的清单明细（包括供应商的名称、联系人、联系电话、联系地址等）报监理单位和发包人备案。供应商须服从监理单位和发包人的管理，并按要求参加相关工作例会。</w:t>
      </w:r>
    </w:p>
    <w:p w14:paraId="2A52E0F6">
      <w:pPr>
        <w:pStyle w:val="4"/>
        <w:numPr>
          <w:ilvl w:val="2"/>
          <w:numId w:val="13"/>
        </w:numPr>
        <w:rPr>
          <w:rFonts w:hint="eastAsia"/>
          <w:highlight w:val="none"/>
        </w:rPr>
      </w:pPr>
      <w:bookmarkStart w:id="279" w:name="_Toc11145"/>
      <w:r>
        <w:rPr>
          <w:rFonts w:hint="eastAsia"/>
          <w:highlight w:val="none"/>
        </w:rPr>
        <w:t>材料设备专用于本工程</w:t>
      </w:r>
      <w:bookmarkEnd w:id="279"/>
    </w:p>
    <w:p w14:paraId="488D0FF0">
      <w:pPr>
        <w:ind w:firstLine="0" w:firstLineChars="0"/>
        <w:jc w:val="left"/>
        <w:rPr>
          <w:rFonts w:hint="eastAsia"/>
          <w:highlight w:val="none"/>
        </w:rPr>
      </w:pPr>
      <w:r>
        <w:rPr>
          <w:rFonts w:hint="eastAsia"/>
          <w:highlight w:val="none"/>
        </w:rPr>
        <w:t>承包人运入施工现场的材料、工程设备、施工设备以及在施工场地建设的临时设施， 包括备品备件、安装工具与资料，必须专用于工程。未经发包人批准不得运出施工现场或挪作他用。</w:t>
      </w:r>
    </w:p>
    <w:bookmarkEnd w:id="269"/>
    <w:bookmarkEnd w:id="270"/>
    <w:bookmarkEnd w:id="271"/>
    <w:bookmarkEnd w:id="272"/>
    <w:bookmarkEnd w:id="273"/>
    <w:bookmarkEnd w:id="274"/>
    <w:p w14:paraId="66A94A78">
      <w:pPr>
        <w:pStyle w:val="3"/>
        <w:numPr>
          <w:ilvl w:val="1"/>
          <w:numId w:val="13"/>
        </w:numPr>
        <w:rPr>
          <w:rFonts w:hint="eastAsia"/>
          <w:highlight w:val="none"/>
        </w:rPr>
      </w:pPr>
      <w:bookmarkStart w:id="280" w:name="_Toc169722220"/>
      <w:bookmarkStart w:id="281" w:name="_Toc30835"/>
      <w:bookmarkStart w:id="282" w:name="_Toc26913"/>
      <w:bookmarkStart w:id="283" w:name="_Toc32704"/>
      <w:bookmarkStart w:id="284" w:name="_Toc30030"/>
      <w:bookmarkStart w:id="285" w:name="_Toc8685"/>
      <w:bookmarkStart w:id="286" w:name="_Toc25860"/>
      <w:bookmarkStart w:id="287" w:name="_Toc15817"/>
      <w:bookmarkStart w:id="288" w:name="_Toc11310"/>
      <w:bookmarkStart w:id="289" w:name="_Toc14281"/>
      <w:bookmarkStart w:id="290" w:name="_Toc22411"/>
      <w:r>
        <w:rPr>
          <w:highlight w:val="none"/>
        </w:rPr>
        <w:t>主要机械设备</w:t>
      </w:r>
      <w:r>
        <w:rPr>
          <w:rFonts w:hint="eastAsia"/>
          <w:highlight w:val="none"/>
        </w:rPr>
        <w:t>管理</w:t>
      </w:r>
      <w:r>
        <w:rPr>
          <w:highlight w:val="none"/>
        </w:rPr>
        <w:t>要求</w:t>
      </w:r>
      <w:bookmarkEnd w:id="264"/>
      <w:bookmarkEnd w:id="265"/>
      <w:bookmarkEnd w:id="266"/>
      <w:bookmarkEnd w:id="267"/>
      <w:bookmarkEnd w:id="280"/>
      <w:bookmarkEnd w:id="281"/>
      <w:bookmarkEnd w:id="282"/>
      <w:bookmarkEnd w:id="283"/>
      <w:bookmarkEnd w:id="284"/>
      <w:bookmarkEnd w:id="285"/>
      <w:bookmarkEnd w:id="286"/>
      <w:bookmarkEnd w:id="287"/>
      <w:bookmarkEnd w:id="288"/>
      <w:bookmarkEnd w:id="289"/>
      <w:bookmarkEnd w:id="290"/>
    </w:p>
    <w:p w14:paraId="079AC719">
      <w:pPr>
        <w:pStyle w:val="4"/>
        <w:numPr>
          <w:ilvl w:val="2"/>
          <w:numId w:val="13"/>
        </w:numPr>
        <w:rPr>
          <w:rFonts w:hint="eastAsia"/>
          <w:highlight w:val="none"/>
        </w:rPr>
      </w:pPr>
      <w:r>
        <w:rPr>
          <w:rFonts w:hint="eastAsia"/>
          <w:highlight w:val="none"/>
        </w:rPr>
        <w:t>通用</w:t>
      </w:r>
      <w:r>
        <w:rPr>
          <w:highlight w:val="none"/>
        </w:rPr>
        <w:t>要求</w:t>
      </w:r>
    </w:p>
    <w:p w14:paraId="57D4B3F7">
      <w:pPr>
        <w:pStyle w:val="5"/>
        <w:numPr>
          <w:ilvl w:val="3"/>
          <w:numId w:val="13"/>
        </w:numPr>
        <w:rPr>
          <w:rFonts w:hint="eastAsia"/>
          <w:highlight w:val="none"/>
        </w:rPr>
      </w:pPr>
      <w:r>
        <w:rPr>
          <w:rFonts w:hint="eastAsia"/>
          <w:highlight w:val="none"/>
        </w:rPr>
        <w:t>塔吊、施工电梯等设备须满足施工当地备案要求，检测合格并取得使用证。</w:t>
      </w:r>
    </w:p>
    <w:p w14:paraId="1608F92D">
      <w:pPr>
        <w:pStyle w:val="5"/>
        <w:numPr>
          <w:ilvl w:val="3"/>
          <w:numId w:val="13"/>
        </w:numPr>
        <w:rPr>
          <w:rFonts w:hint="eastAsia"/>
          <w:highlight w:val="none"/>
        </w:rPr>
      </w:pPr>
      <w:r>
        <w:rPr>
          <w:rFonts w:hint="eastAsia"/>
          <w:highlight w:val="none"/>
        </w:rPr>
        <w:t>塔吊、施工电梯、电焊机等特种作业操作人员必须取得上岗资格且年检合格。</w:t>
      </w:r>
    </w:p>
    <w:p w14:paraId="714C0325">
      <w:pPr>
        <w:pStyle w:val="5"/>
        <w:numPr>
          <w:ilvl w:val="3"/>
          <w:numId w:val="13"/>
        </w:numPr>
        <w:rPr>
          <w:rFonts w:hint="eastAsia"/>
          <w:highlight w:val="none"/>
        </w:rPr>
      </w:pPr>
      <w:r>
        <w:rPr>
          <w:rFonts w:hint="eastAsia"/>
          <w:highlight w:val="none"/>
        </w:rPr>
        <w:t>塔吊、施工电梯等设备数量、规格、性能、设置位置需满足工程使用要求。</w:t>
      </w:r>
    </w:p>
    <w:p w14:paraId="0C218D71">
      <w:pPr>
        <w:pStyle w:val="5"/>
        <w:numPr>
          <w:ilvl w:val="3"/>
          <w:numId w:val="13"/>
        </w:numPr>
        <w:rPr>
          <w:rFonts w:hint="eastAsia"/>
          <w:highlight w:val="none"/>
        </w:rPr>
      </w:pPr>
      <w:r>
        <w:rPr>
          <w:rFonts w:hint="eastAsia"/>
          <w:highlight w:val="none"/>
        </w:rPr>
        <w:t>总承包人必须定期进行检查现场机械设备，并提交检查记录给监理人及发包人。</w:t>
      </w:r>
    </w:p>
    <w:p w14:paraId="7E3BEA36">
      <w:pPr>
        <w:pStyle w:val="5"/>
        <w:numPr>
          <w:ilvl w:val="3"/>
          <w:numId w:val="13"/>
        </w:numPr>
        <w:rPr>
          <w:rFonts w:hint="eastAsia"/>
          <w:highlight w:val="none"/>
        </w:rPr>
      </w:pPr>
      <w:r>
        <w:rPr>
          <w:rFonts w:hint="eastAsia"/>
          <w:highlight w:val="none"/>
        </w:rPr>
        <w:t>塔吊、施工电梯拆卸应报监理人及发包人审核同意后方可实施。</w:t>
      </w:r>
    </w:p>
    <w:p w14:paraId="5B95025E">
      <w:pPr>
        <w:pStyle w:val="5"/>
        <w:numPr>
          <w:ilvl w:val="3"/>
          <w:numId w:val="13"/>
        </w:numPr>
        <w:rPr>
          <w:rFonts w:hint="eastAsia"/>
          <w:highlight w:val="none"/>
        </w:rPr>
      </w:pPr>
      <w:r>
        <w:rPr>
          <w:rFonts w:hint="eastAsia"/>
          <w:highlight w:val="none"/>
        </w:rPr>
        <w:t>承包人进场后必须按合同约定时间提交机械设备进场计划，确保机械设备来源可靠，按期进场。对于自有机械设备，承包人必须说明当前的使用情况及计划进场时间，必要时发包人有权组织现场核查；对于租凭机械设备，承包人必须随机械设备进场计划及租凭合同报发包人备案；对于新购机械设备，承包人必须随机械设备进场计划提供订购或采购合同报发包人备案。</w:t>
      </w:r>
    </w:p>
    <w:p w14:paraId="7E88A796">
      <w:pPr>
        <w:pStyle w:val="5"/>
        <w:numPr>
          <w:ilvl w:val="3"/>
          <w:numId w:val="13"/>
        </w:numPr>
        <w:rPr>
          <w:rFonts w:hint="eastAsia"/>
          <w:highlight w:val="none"/>
        </w:rPr>
      </w:pPr>
      <w:r>
        <w:rPr>
          <w:rFonts w:hint="eastAsia"/>
          <w:highlight w:val="none"/>
        </w:rPr>
        <w:t>塔吊、施工电梯等起重设备应每月至少维保2次，且塔吊、施工电梯等起重备除满足广州市建设主管部门要求装备的附属设备外，还应安装具有定点检修、巡查功能的设备或系统（如检到位、设备卫士等），由此产生的费用由承包人自行承担。</w:t>
      </w:r>
    </w:p>
    <w:p w14:paraId="5B9224B8">
      <w:pPr>
        <w:pStyle w:val="5"/>
        <w:numPr>
          <w:ilvl w:val="3"/>
          <w:numId w:val="13"/>
        </w:numPr>
        <w:rPr>
          <w:rFonts w:hint="eastAsia"/>
          <w:highlight w:val="none"/>
        </w:rPr>
      </w:pPr>
      <w:r>
        <w:rPr>
          <w:rFonts w:hint="eastAsia"/>
          <w:highlight w:val="none"/>
        </w:rPr>
        <w:t>塔吊、施工电梯除投入使用前需做第三方检测外，之后应每隔半年或台风等极端恶劣天气后做一次第三方检测，检测报告报监理人审查，相关费用应在投标时一并考虑。</w:t>
      </w:r>
    </w:p>
    <w:p w14:paraId="1097912C">
      <w:pPr>
        <w:pStyle w:val="5"/>
        <w:numPr>
          <w:ilvl w:val="3"/>
          <w:numId w:val="13"/>
        </w:numPr>
        <w:rPr>
          <w:rFonts w:hint="eastAsia"/>
          <w:highlight w:val="none"/>
        </w:rPr>
      </w:pPr>
      <w:r>
        <w:rPr>
          <w:rFonts w:hint="eastAsia"/>
          <w:highlight w:val="none"/>
        </w:rPr>
        <w:t>承包人应按照政府监管部门、业主方要求，积极配合台风等异常天气对塔吊、施工电梯等大型设备的管控举措，如加固、降节、二次检测等，由此产生的费用由承包人自行承担。</w:t>
      </w:r>
    </w:p>
    <w:p w14:paraId="21A8EECC">
      <w:pPr>
        <w:pStyle w:val="5"/>
        <w:numPr>
          <w:ilvl w:val="3"/>
          <w:numId w:val="13"/>
        </w:numPr>
        <w:rPr>
          <w:rFonts w:hint="eastAsia"/>
          <w:highlight w:val="none"/>
        </w:rPr>
      </w:pPr>
      <w:r>
        <w:rPr>
          <w:rFonts w:hint="eastAsia"/>
          <w:highlight w:val="none"/>
        </w:rPr>
        <w:t>承包人必须确保机械设备的性能良好，可正常使用。对于影响工程进度较大的主要机械设备，必须有一定备用量，确保在机械设备检修或维护期间，现场仍能正常施工，主要机械设备退场必须经监理工程师及业主同意方可退场，确保进度。</w:t>
      </w:r>
    </w:p>
    <w:p w14:paraId="68DDC938">
      <w:pPr>
        <w:pStyle w:val="5"/>
        <w:numPr>
          <w:ilvl w:val="3"/>
          <w:numId w:val="13"/>
        </w:numPr>
        <w:rPr>
          <w:rFonts w:hint="eastAsia"/>
          <w:highlight w:val="none"/>
        </w:rPr>
      </w:pPr>
      <w:r>
        <w:rPr>
          <w:rFonts w:hint="eastAsia"/>
          <w:highlight w:val="none"/>
        </w:rPr>
        <w:t>为确保工程进度，承包人必须无条件增加机械设备的投入，除合同约定有赶工措施费外，发包人不另行增加相关费用。</w:t>
      </w:r>
    </w:p>
    <w:p w14:paraId="1F7D63A1">
      <w:pPr>
        <w:ind w:firstLine="480"/>
        <w:rPr>
          <w:rFonts w:hint="eastAsia"/>
          <w:highlight w:val="none"/>
        </w:rPr>
      </w:pPr>
      <w:r>
        <w:rPr>
          <w:rFonts w:hint="eastAsia"/>
          <w:highlight w:val="none"/>
        </w:rPr>
        <w:t>本项目需投入的施工机械基本要求详见下表。总承包人需根据本项目工程的特点，结合本企业的实力和资源情况配备，配备要求如下：</w:t>
      </w:r>
    </w:p>
    <w:p w14:paraId="2863DBC0">
      <w:pPr>
        <w:pStyle w:val="4"/>
        <w:numPr>
          <w:ilvl w:val="2"/>
          <w:numId w:val="13"/>
        </w:numPr>
        <w:rPr>
          <w:rFonts w:hint="eastAsia"/>
          <w:highlight w:val="none"/>
        </w:rPr>
      </w:pPr>
      <w:r>
        <w:rPr>
          <w:highlight w:val="none"/>
        </w:rPr>
        <w:t xml:space="preserve">  主要设备基本要求</w:t>
      </w:r>
    </w:p>
    <w:tbl>
      <w:tblPr>
        <w:tblStyle w:val="20"/>
        <w:tblW w:w="9218" w:type="dxa"/>
        <w:tblInd w:w="100" w:type="dxa"/>
        <w:tblLayout w:type="autofit"/>
        <w:tblCellMar>
          <w:top w:w="0" w:type="dxa"/>
          <w:left w:w="108" w:type="dxa"/>
          <w:bottom w:w="0" w:type="dxa"/>
          <w:right w:w="108" w:type="dxa"/>
        </w:tblCellMar>
      </w:tblPr>
      <w:tblGrid>
        <w:gridCol w:w="591"/>
        <w:gridCol w:w="1461"/>
        <w:gridCol w:w="1086"/>
        <w:gridCol w:w="6080"/>
      </w:tblGrid>
      <w:tr w14:paraId="0F28CAB8">
        <w:tblPrEx>
          <w:tblCellMar>
            <w:top w:w="0" w:type="dxa"/>
            <w:left w:w="108" w:type="dxa"/>
            <w:bottom w:w="0" w:type="dxa"/>
            <w:right w:w="108" w:type="dxa"/>
          </w:tblCellMar>
        </w:tblPrEx>
        <w:trPr>
          <w:trHeight w:val="404" w:hRule="atLeast"/>
        </w:trPr>
        <w:tc>
          <w:tcPr>
            <w:tcW w:w="0" w:type="auto"/>
            <w:tcBorders>
              <w:top w:val="single" w:color="auto" w:sz="8" w:space="0"/>
              <w:left w:val="single" w:color="auto" w:sz="8" w:space="0"/>
              <w:bottom w:val="single" w:color="000000" w:sz="8" w:space="0"/>
              <w:right w:val="single" w:color="000000" w:sz="8" w:space="0"/>
            </w:tcBorders>
            <w:shd w:val="clear" w:color="auto" w:fill="auto"/>
            <w:vAlign w:val="center"/>
          </w:tcPr>
          <w:p w14:paraId="19F21A70">
            <w:pPr>
              <w:pStyle w:val="13"/>
              <w:rPr>
                <w:rFonts w:hint="eastAsia"/>
                <w:highlight w:val="none"/>
              </w:rPr>
            </w:pPr>
            <w:r>
              <w:rPr>
                <w:rFonts w:hint="eastAsia"/>
                <w:highlight w:val="none"/>
              </w:rPr>
              <w:t>序号</w:t>
            </w:r>
          </w:p>
        </w:tc>
        <w:tc>
          <w:tcPr>
            <w:tcW w:w="0" w:type="auto"/>
            <w:tcBorders>
              <w:top w:val="single" w:color="auto" w:sz="8" w:space="0"/>
              <w:left w:val="single" w:color="000000" w:sz="8" w:space="0"/>
              <w:bottom w:val="single" w:color="000000" w:sz="8" w:space="0"/>
              <w:right w:val="single" w:color="000000" w:sz="8" w:space="0"/>
            </w:tcBorders>
            <w:shd w:val="clear" w:color="auto" w:fill="auto"/>
            <w:vAlign w:val="center"/>
          </w:tcPr>
          <w:p w14:paraId="77ECEB50">
            <w:pPr>
              <w:pStyle w:val="13"/>
              <w:rPr>
                <w:rFonts w:hint="eastAsia"/>
                <w:highlight w:val="none"/>
              </w:rPr>
            </w:pPr>
            <w:r>
              <w:rPr>
                <w:rFonts w:hint="eastAsia"/>
                <w:highlight w:val="none"/>
              </w:rPr>
              <w:t>设备、材料名称</w:t>
            </w:r>
          </w:p>
        </w:tc>
        <w:tc>
          <w:tcPr>
            <w:tcW w:w="0" w:type="auto"/>
            <w:tcBorders>
              <w:top w:val="single" w:color="auto" w:sz="8" w:space="0"/>
              <w:left w:val="single" w:color="000000" w:sz="8" w:space="0"/>
              <w:bottom w:val="single" w:color="000000" w:sz="8" w:space="0"/>
              <w:right w:val="single" w:color="000000" w:sz="8" w:space="0"/>
            </w:tcBorders>
            <w:shd w:val="clear" w:color="auto" w:fill="auto"/>
            <w:vAlign w:val="center"/>
          </w:tcPr>
          <w:p w14:paraId="570C57D8">
            <w:pPr>
              <w:pStyle w:val="13"/>
              <w:rPr>
                <w:rFonts w:hint="eastAsia"/>
                <w:highlight w:val="none"/>
              </w:rPr>
            </w:pPr>
            <w:r>
              <w:rPr>
                <w:rFonts w:hint="eastAsia"/>
                <w:highlight w:val="none"/>
              </w:rPr>
              <w:t>设备</w:t>
            </w:r>
          </w:p>
        </w:tc>
        <w:tc>
          <w:tcPr>
            <w:tcW w:w="0" w:type="auto"/>
            <w:tcBorders>
              <w:top w:val="single" w:color="auto" w:sz="8" w:space="0"/>
              <w:left w:val="single" w:color="000000" w:sz="8" w:space="0"/>
              <w:bottom w:val="single" w:color="000000" w:sz="8" w:space="0"/>
              <w:right w:val="single" w:color="auto" w:sz="8" w:space="0"/>
            </w:tcBorders>
            <w:shd w:val="clear" w:color="auto" w:fill="auto"/>
            <w:vAlign w:val="center"/>
          </w:tcPr>
          <w:p w14:paraId="0F92D602">
            <w:pPr>
              <w:pStyle w:val="13"/>
              <w:rPr>
                <w:rFonts w:hint="eastAsia"/>
                <w:highlight w:val="none"/>
              </w:rPr>
            </w:pPr>
            <w:r>
              <w:rPr>
                <w:rFonts w:hint="eastAsia"/>
                <w:highlight w:val="none"/>
              </w:rPr>
              <w:t>备注</w:t>
            </w:r>
          </w:p>
        </w:tc>
      </w:tr>
      <w:tr w14:paraId="07CFE086">
        <w:tblPrEx>
          <w:tblCellMar>
            <w:top w:w="0" w:type="dxa"/>
            <w:left w:w="108" w:type="dxa"/>
            <w:bottom w:w="0" w:type="dxa"/>
            <w:right w:w="108" w:type="dxa"/>
          </w:tblCellMar>
        </w:tblPrEx>
        <w:trPr>
          <w:trHeight w:val="404" w:hRule="atLeast"/>
        </w:trPr>
        <w:tc>
          <w:tcPr>
            <w:tcW w:w="0" w:type="auto"/>
            <w:vMerge w:val="restart"/>
            <w:tcBorders>
              <w:top w:val="nil"/>
              <w:left w:val="single" w:color="auto" w:sz="8" w:space="0"/>
              <w:bottom w:val="single" w:color="000000" w:sz="8" w:space="0"/>
              <w:right w:val="single" w:color="000000" w:sz="8" w:space="0"/>
            </w:tcBorders>
            <w:shd w:val="clear" w:color="auto" w:fill="auto"/>
            <w:vAlign w:val="center"/>
          </w:tcPr>
          <w:p w14:paraId="2AF5ACF7">
            <w:pPr>
              <w:pStyle w:val="13"/>
              <w:rPr>
                <w:rFonts w:hint="eastAsia"/>
                <w:highlight w:val="none"/>
              </w:rPr>
            </w:pPr>
            <w:r>
              <w:rPr>
                <w:rFonts w:hint="eastAsia"/>
                <w:highlight w:val="none"/>
              </w:rPr>
              <w:t>1</w:t>
            </w:r>
          </w:p>
        </w:tc>
        <w:tc>
          <w:tcPr>
            <w:tcW w:w="0" w:type="auto"/>
            <w:vMerge w:val="restart"/>
            <w:tcBorders>
              <w:top w:val="nil"/>
              <w:left w:val="single" w:color="000000" w:sz="8" w:space="0"/>
              <w:bottom w:val="single" w:color="000000" w:sz="8" w:space="0"/>
              <w:right w:val="single" w:color="000000" w:sz="8" w:space="0"/>
            </w:tcBorders>
            <w:shd w:val="clear" w:color="auto" w:fill="auto"/>
            <w:vAlign w:val="center"/>
          </w:tcPr>
          <w:p w14:paraId="2DF95B72">
            <w:pPr>
              <w:pStyle w:val="13"/>
              <w:rPr>
                <w:rFonts w:hint="eastAsia"/>
                <w:highlight w:val="none"/>
              </w:rPr>
            </w:pPr>
            <w:r>
              <w:rPr>
                <w:rFonts w:hint="eastAsia"/>
                <w:highlight w:val="none"/>
              </w:rPr>
              <w:t>塔吊</w:t>
            </w:r>
          </w:p>
        </w:tc>
        <w:tc>
          <w:tcPr>
            <w:tcW w:w="0" w:type="auto"/>
            <w:vMerge w:val="restart"/>
            <w:tcBorders>
              <w:top w:val="nil"/>
              <w:left w:val="single" w:color="000000" w:sz="8" w:space="0"/>
              <w:bottom w:val="single" w:color="000000" w:sz="8" w:space="0"/>
              <w:right w:val="single" w:color="000000" w:sz="8" w:space="0"/>
            </w:tcBorders>
            <w:shd w:val="clear" w:color="auto" w:fill="auto"/>
            <w:vAlign w:val="center"/>
          </w:tcPr>
          <w:p w14:paraId="5235E47A">
            <w:pPr>
              <w:pStyle w:val="13"/>
              <w:rPr>
                <w:rFonts w:hint="eastAsia"/>
                <w:highlight w:val="none"/>
              </w:rPr>
            </w:pPr>
            <w:r>
              <w:rPr>
                <w:rFonts w:hint="eastAsia"/>
                <w:highlight w:val="none"/>
              </w:rPr>
              <w:t>不少于1台</w:t>
            </w:r>
          </w:p>
        </w:tc>
        <w:tc>
          <w:tcPr>
            <w:tcW w:w="0" w:type="auto"/>
            <w:tcBorders>
              <w:top w:val="nil"/>
              <w:left w:val="single" w:color="000000" w:sz="8" w:space="0"/>
              <w:bottom w:val="nil"/>
              <w:right w:val="single" w:color="auto" w:sz="8" w:space="0"/>
            </w:tcBorders>
            <w:shd w:val="clear" w:color="auto" w:fill="auto"/>
            <w:vAlign w:val="center"/>
          </w:tcPr>
          <w:p w14:paraId="788B01C5">
            <w:pPr>
              <w:pStyle w:val="13"/>
              <w:jc w:val="left"/>
              <w:rPr>
                <w:rFonts w:hint="eastAsia"/>
                <w:highlight w:val="none"/>
              </w:rPr>
            </w:pPr>
            <w:r>
              <w:rPr>
                <w:rFonts w:hint="eastAsia"/>
                <w:highlight w:val="none"/>
              </w:rPr>
              <w:t>1.按平面图合理排布，同时满足地下室范围材料运输及装配式构件的吊装需求。</w:t>
            </w:r>
          </w:p>
        </w:tc>
      </w:tr>
      <w:tr w14:paraId="74E4918E">
        <w:tblPrEx>
          <w:tblCellMar>
            <w:top w:w="0" w:type="dxa"/>
            <w:left w:w="108" w:type="dxa"/>
            <w:bottom w:w="0" w:type="dxa"/>
            <w:right w:w="108" w:type="dxa"/>
          </w:tblCellMar>
        </w:tblPrEx>
        <w:trPr>
          <w:trHeight w:val="240" w:hRule="atLeast"/>
        </w:trPr>
        <w:tc>
          <w:tcPr>
            <w:tcW w:w="0" w:type="auto"/>
            <w:vMerge w:val="continue"/>
            <w:tcBorders>
              <w:top w:val="nil"/>
              <w:left w:val="single" w:color="auto" w:sz="8" w:space="0"/>
              <w:bottom w:val="single" w:color="000000" w:sz="8" w:space="0"/>
              <w:right w:val="single" w:color="000000" w:sz="8" w:space="0"/>
            </w:tcBorders>
            <w:shd w:val="clear" w:color="auto" w:fill="auto"/>
            <w:vAlign w:val="center"/>
          </w:tcPr>
          <w:p w14:paraId="4CE53531">
            <w:pPr>
              <w:pStyle w:val="13"/>
              <w:rPr>
                <w:rFonts w:hint="eastAsia"/>
                <w:highlight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vAlign w:val="center"/>
          </w:tcPr>
          <w:p w14:paraId="103681B4">
            <w:pPr>
              <w:pStyle w:val="13"/>
              <w:rPr>
                <w:rFonts w:hint="eastAsia"/>
                <w:highlight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vAlign w:val="center"/>
          </w:tcPr>
          <w:p w14:paraId="161A9542">
            <w:pPr>
              <w:pStyle w:val="13"/>
              <w:rPr>
                <w:rFonts w:hint="eastAsia"/>
                <w:highlight w:val="none"/>
              </w:rPr>
            </w:pPr>
          </w:p>
        </w:tc>
        <w:tc>
          <w:tcPr>
            <w:tcW w:w="0" w:type="auto"/>
            <w:tcBorders>
              <w:top w:val="nil"/>
              <w:left w:val="single" w:color="000000" w:sz="8" w:space="0"/>
              <w:bottom w:val="nil"/>
              <w:right w:val="single" w:color="auto" w:sz="8" w:space="0"/>
            </w:tcBorders>
            <w:shd w:val="clear" w:color="auto" w:fill="auto"/>
            <w:vAlign w:val="center"/>
          </w:tcPr>
          <w:p w14:paraId="14DCC7AA">
            <w:pPr>
              <w:pStyle w:val="13"/>
              <w:jc w:val="left"/>
              <w:rPr>
                <w:rFonts w:hint="eastAsia"/>
                <w:highlight w:val="none"/>
              </w:rPr>
            </w:pPr>
            <w:r>
              <w:rPr>
                <w:rFonts w:hint="eastAsia"/>
                <w:highlight w:val="none"/>
              </w:rPr>
              <w:t>2.塔吊出厂至报装之日起不能超过6个月，全新塔吊。</w:t>
            </w:r>
          </w:p>
        </w:tc>
      </w:tr>
      <w:tr w14:paraId="573E14D1">
        <w:tblPrEx>
          <w:tblCellMar>
            <w:top w:w="0" w:type="dxa"/>
            <w:left w:w="108" w:type="dxa"/>
            <w:bottom w:w="0" w:type="dxa"/>
            <w:right w:w="108" w:type="dxa"/>
          </w:tblCellMar>
        </w:tblPrEx>
        <w:trPr>
          <w:trHeight w:val="390" w:hRule="atLeast"/>
        </w:trPr>
        <w:tc>
          <w:tcPr>
            <w:tcW w:w="0" w:type="auto"/>
            <w:vMerge w:val="continue"/>
            <w:tcBorders>
              <w:top w:val="nil"/>
              <w:left w:val="single" w:color="auto" w:sz="8" w:space="0"/>
              <w:bottom w:val="single" w:color="000000" w:sz="8" w:space="0"/>
              <w:right w:val="single" w:color="000000" w:sz="8" w:space="0"/>
            </w:tcBorders>
            <w:shd w:val="clear" w:color="auto" w:fill="auto"/>
            <w:vAlign w:val="center"/>
          </w:tcPr>
          <w:p w14:paraId="7FB0FBC1">
            <w:pPr>
              <w:pStyle w:val="13"/>
              <w:rPr>
                <w:rFonts w:hint="eastAsia"/>
                <w:highlight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vAlign w:val="center"/>
          </w:tcPr>
          <w:p w14:paraId="43B70F07">
            <w:pPr>
              <w:pStyle w:val="13"/>
              <w:rPr>
                <w:rFonts w:hint="eastAsia"/>
                <w:highlight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vAlign w:val="center"/>
          </w:tcPr>
          <w:p w14:paraId="60C85961">
            <w:pPr>
              <w:pStyle w:val="13"/>
              <w:rPr>
                <w:rFonts w:hint="eastAsia"/>
                <w:highlight w:val="none"/>
              </w:rPr>
            </w:pPr>
          </w:p>
        </w:tc>
        <w:tc>
          <w:tcPr>
            <w:tcW w:w="0" w:type="auto"/>
            <w:tcBorders>
              <w:top w:val="nil"/>
              <w:left w:val="single" w:color="000000" w:sz="8" w:space="0"/>
              <w:bottom w:val="nil"/>
              <w:right w:val="single" w:color="auto" w:sz="8" w:space="0"/>
            </w:tcBorders>
            <w:shd w:val="clear" w:color="auto" w:fill="auto"/>
            <w:vAlign w:val="center"/>
          </w:tcPr>
          <w:p w14:paraId="0119D647">
            <w:pPr>
              <w:pStyle w:val="13"/>
              <w:jc w:val="left"/>
              <w:rPr>
                <w:rFonts w:hint="eastAsia"/>
                <w:highlight w:val="none"/>
              </w:rPr>
            </w:pPr>
            <w:r>
              <w:rPr>
                <w:rFonts w:hint="eastAsia"/>
                <w:highlight w:val="none"/>
              </w:rPr>
              <w:t>3.严禁使用事故塔吊、大修塔吊、套牌塔吊等存在异常的塔吊。</w:t>
            </w:r>
          </w:p>
        </w:tc>
      </w:tr>
      <w:tr w14:paraId="7990AF77">
        <w:tblPrEx>
          <w:tblCellMar>
            <w:top w:w="0" w:type="dxa"/>
            <w:left w:w="108" w:type="dxa"/>
            <w:bottom w:w="0" w:type="dxa"/>
            <w:right w:w="108" w:type="dxa"/>
          </w:tblCellMar>
        </w:tblPrEx>
        <w:trPr>
          <w:trHeight w:val="404" w:hRule="atLeast"/>
        </w:trPr>
        <w:tc>
          <w:tcPr>
            <w:tcW w:w="0" w:type="auto"/>
            <w:vMerge w:val="continue"/>
            <w:tcBorders>
              <w:top w:val="nil"/>
              <w:left w:val="single" w:color="auto" w:sz="8" w:space="0"/>
              <w:bottom w:val="single" w:color="auto" w:sz="4" w:space="0"/>
              <w:right w:val="single" w:color="000000" w:sz="8" w:space="0"/>
            </w:tcBorders>
            <w:shd w:val="clear" w:color="auto" w:fill="auto"/>
            <w:vAlign w:val="center"/>
          </w:tcPr>
          <w:p w14:paraId="03B18A85">
            <w:pPr>
              <w:pStyle w:val="13"/>
              <w:rPr>
                <w:rFonts w:hint="eastAsia"/>
                <w:highlight w:val="none"/>
              </w:rPr>
            </w:pPr>
          </w:p>
        </w:tc>
        <w:tc>
          <w:tcPr>
            <w:tcW w:w="0" w:type="auto"/>
            <w:vMerge w:val="continue"/>
            <w:tcBorders>
              <w:top w:val="nil"/>
              <w:left w:val="single" w:color="000000" w:sz="8" w:space="0"/>
              <w:bottom w:val="single" w:color="auto" w:sz="4" w:space="0"/>
              <w:right w:val="single" w:color="000000" w:sz="8" w:space="0"/>
            </w:tcBorders>
            <w:shd w:val="clear" w:color="auto" w:fill="auto"/>
            <w:vAlign w:val="center"/>
          </w:tcPr>
          <w:p w14:paraId="4D1BC12B">
            <w:pPr>
              <w:pStyle w:val="13"/>
              <w:rPr>
                <w:rFonts w:hint="eastAsia"/>
                <w:highlight w:val="none"/>
              </w:rPr>
            </w:pPr>
          </w:p>
        </w:tc>
        <w:tc>
          <w:tcPr>
            <w:tcW w:w="0" w:type="auto"/>
            <w:vMerge w:val="continue"/>
            <w:tcBorders>
              <w:top w:val="nil"/>
              <w:left w:val="single" w:color="000000" w:sz="8" w:space="0"/>
              <w:bottom w:val="single" w:color="auto" w:sz="4" w:space="0"/>
              <w:right w:val="single" w:color="000000" w:sz="8" w:space="0"/>
            </w:tcBorders>
            <w:shd w:val="clear" w:color="auto" w:fill="auto"/>
            <w:vAlign w:val="center"/>
          </w:tcPr>
          <w:p w14:paraId="3CCE78F2">
            <w:pPr>
              <w:pStyle w:val="13"/>
              <w:rPr>
                <w:rFonts w:hint="eastAsia"/>
                <w:highlight w:val="none"/>
              </w:rPr>
            </w:pPr>
          </w:p>
        </w:tc>
        <w:tc>
          <w:tcPr>
            <w:tcW w:w="0" w:type="auto"/>
            <w:tcBorders>
              <w:top w:val="nil"/>
              <w:left w:val="single" w:color="000000" w:sz="8" w:space="0"/>
              <w:bottom w:val="single" w:color="auto" w:sz="4" w:space="0"/>
              <w:right w:val="single" w:color="auto" w:sz="8" w:space="0"/>
            </w:tcBorders>
            <w:shd w:val="clear" w:color="auto" w:fill="auto"/>
            <w:vAlign w:val="center"/>
          </w:tcPr>
          <w:p w14:paraId="5802AC16">
            <w:pPr>
              <w:pStyle w:val="13"/>
              <w:jc w:val="left"/>
              <w:rPr>
                <w:rFonts w:hint="eastAsia"/>
                <w:highlight w:val="none"/>
              </w:rPr>
            </w:pPr>
            <w:r>
              <w:rPr>
                <w:rFonts w:hint="eastAsia"/>
                <w:highlight w:val="none"/>
              </w:rPr>
              <w:t>4.标准节内塔吊司机上下的爬梯，应选择之字形楼梯，避免使用垂直爬梯。</w:t>
            </w:r>
          </w:p>
        </w:tc>
      </w:tr>
    </w:tbl>
    <w:p w14:paraId="3EA86284">
      <w:pPr>
        <w:ind w:firstLine="480"/>
        <w:rPr>
          <w:rFonts w:hint="eastAsia"/>
          <w:highlight w:val="none"/>
        </w:rPr>
      </w:pPr>
      <w:r>
        <w:rPr>
          <w:rFonts w:hint="eastAsia"/>
          <w:highlight w:val="none"/>
        </w:rPr>
        <w:t>注：</w:t>
      </w:r>
    </w:p>
    <w:p w14:paraId="5CD82636">
      <w:pPr>
        <w:ind w:firstLine="480"/>
        <w:rPr>
          <w:rFonts w:hint="eastAsia"/>
          <w:highlight w:val="none"/>
        </w:rPr>
      </w:pPr>
      <w:r>
        <w:rPr>
          <w:rFonts w:hint="eastAsia"/>
          <w:highlight w:val="none"/>
        </w:rPr>
        <w:t>1）需配备熟练施工人员。</w:t>
      </w:r>
    </w:p>
    <w:p w14:paraId="6B3ED1A9">
      <w:pPr>
        <w:ind w:firstLine="480"/>
        <w:rPr>
          <w:rFonts w:hint="eastAsia"/>
          <w:highlight w:val="none"/>
        </w:rPr>
      </w:pPr>
      <w:r>
        <w:rPr>
          <w:rFonts w:hint="eastAsia"/>
          <w:highlight w:val="none"/>
        </w:rPr>
        <w:t>2）塔吊司机、司索工、指挥工需配备不少于3个班次的人员。</w:t>
      </w:r>
    </w:p>
    <w:p w14:paraId="63FE3DBF">
      <w:pPr>
        <w:ind w:firstLine="480"/>
        <w:rPr>
          <w:rFonts w:hint="eastAsia"/>
          <w:highlight w:val="none"/>
        </w:rPr>
      </w:pPr>
      <w:r>
        <w:rPr>
          <w:rFonts w:hint="eastAsia"/>
          <w:highlight w:val="none"/>
        </w:rPr>
        <w:t>3）施工设备涉及的所有建筑行业特种作业人员必须持有省级建设主管部门认可的特种作业人员操作证，并确保在有效内。</w:t>
      </w:r>
    </w:p>
    <w:p w14:paraId="2B93C43F">
      <w:pPr>
        <w:pStyle w:val="4"/>
        <w:numPr>
          <w:ilvl w:val="2"/>
          <w:numId w:val="13"/>
        </w:numPr>
        <w:rPr>
          <w:rFonts w:hint="eastAsia"/>
          <w:highlight w:val="none"/>
        </w:rPr>
      </w:pPr>
      <w:r>
        <w:rPr>
          <w:rFonts w:hint="eastAsia"/>
          <w:highlight w:val="none"/>
        </w:rPr>
        <w:t>塔吊</w:t>
      </w:r>
    </w:p>
    <w:p w14:paraId="5EDC6207">
      <w:pPr>
        <w:pStyle w:val="5"/>
        <w:rPr>
          <w:rFonts w:hint="eastAsia"/>
          <w:highlight w:val="none"/>
        </w:rPr>
      </w:pPr>
      <w:r>
        <w:rPr>
          <w:rFonts w:hint="eastAsia"/>
          <w:highlight w:val="none"/>
        </w:rPr>
        <w:t>配置数量：</w:t>
      </w:r>
      <w:r>
        <w:rPr>
          <w:highlight w:val="none"/>
        </w:rPr>
        <w:t>配置</w:t>
      </w:r>
      <w:r>
        <w:rPr>
          <w:rFonts w:hint="eastAsia"/>
          <w:highlight w:val="none"/>
        </w:rPr>
        <w:t>塔吊数量至少要求能做到施工区域全覆盖无死角且满足施工进度的要求。</w:t>
      </w:r>
    </w:p>
    <w:p w14:paraId="47A988C6">
      <w:pPr>
        <w:numPr>
          <w:ilvl w:val="0"/>
          <w:numId w:val="26"/>
        </w:numPr>
        <w:ind w:firstLine="480"/>
        <w:rPr>
          <w:rFonts w:hint="eastAsia"/>
          <w:highlight w:val="none"/>
        </w:rPr>
      </w:pPr>
      <w:r>
        <w:rPr>
          <w:rFonts w:hint="eastAsia"/>
          <w:highlight w:val="none"/>
        </w:rPr>
        <w:t>安装位置：塔吊安装位置要考虑覆盖的工作面大小、基础设置、附墙设置、材料堆场及场平道路、群塔作业、拆卸便利等。塔吊标准节与外墙、外边梁的距离要考虑整个立面轮廓线、脚手架或幕墙施工，避免冲突。</w:t>
      </w:r>
    </w:p>
    <w:p w14:paraId="4DF0F2CA">
      <w:pPr>
        <w:numPr>
          <w:ilvl w:val="0"/>
          <w:numId w:val="26"/>
        </w:numPr>
        <w:ind w:firstLine="480"/>
        <w:rPr>
          <w:rFonts w:hint="eastAsia"/>
          <w:highlight w:val="none"/>
        </w:rPr>
      </w:pPr>
      <w:r>
        <w:rPr>
          <w:rFonts w:hint="eastAsia"/>
          <w:highlight w:val="none"/>
        </w:rPr>
        <w:t>安装位置还需考虑大臂不得与其他塔吊塔身相碰，不在架空高压线、变压器上方，否则须做好防护措施。</w:t>
      </w:r>
    </w:p>
    <w:p w14:paraId="2F9F0793">
      <w:pPr>
        <w:numPr>
          <w:ilvl w:val="0"/>
          <w:numId w:val="26"/>
        </w:numPr>
        <w:ind w:firstLine="480"/>
        <w:rPr>
          <w:rFonts w:hint="eastAsia"/>
          <w:highlight w:val="none"/>
        </w:rPr>
      </w:pPr>
      <w:r>
        <w:rPr>
          <w:rFonts w:hint="eastAsia"/>
          <w:highlight w:val="none"/>
        </w:rPr>
        <w:t>塔吊大臂覆盖范围应靠近道路、材料堆场、加工场，减少水平运输距离。</w:t>
      </w:r>
    </w:p>
    <w:p w14:paraId="02F2643A">
      <w:pPr>
        <w:numPr>
          <w:ilvl w:val="0"/>
          <w:numId w:val="26"/>
        </w:numPr>
        <w:ind w:firstLine="480"/>
        <w:rPr>
          <w:rFonts w:hint="eastAsia"/>
          <w:highlight w:val="none"/>
        </w:rPr>
      </w:pPr>
      <w:r>
        <w:rPr>
          <w:rFonts w:hint="eastAsia"/>
          <w:highlight w:val="none"/>
        </w:rPr>
        <w:t>塔吊位置要便于安装、拆卸及配件的进退场，拆卸降节时不与建筑物相碰，拆卸时一般汽车吊能到指定位置。</w:t>
      </w:r>
    </w:p>
    <w:p w14:paraId="27FBC609">
      <w:pPr>
        <w:pStyle w:val="5"/>
        <w:rPr>
          <w:rFonts w:hint="eastAsia"/>
          <w:highlight w:val="none"/>
        </w:rPr>
      </w:pPr>
      <w:r>
        <w:rPr>
          <w:rFonts w:hint="eastAsia"/>
          <w:highlight w:val="none"/>
        </w:rPr>
        <w:t>塔吊的规格型号：塔吊进场使用前使用年限以出厂铭牌时间计算，塔吊的规格型号选择主要从臂长和末端吊重两方面来考虑，臂长回转半径要尽量覆盖较多工程面，吊重主要考虑结构施工的钢筋、模板、钢管、混凝土、钢结构的吊装，机电工程设备的吊装。</w:t>
      </w:r>
    </w:p>
    <w:p w14:paraId="00E90D42">
      <w:pPr>
        <w:pStyle w:val="5"/>
        <w:rPr>
          <w:rFonts w:hint="eastAsia"/>
          <w:highlight w:val="none"/>
        </w:rPr>
      </w:pPr>
      <w:r>
        <w:rPr>
          <w:rFonts w:hint="eastAsia"/>
          <w:highlight w:val="none"/>
        </w:rPr>
        <w:t>塔吊使用期限：</w:t>
      </w:r>
    </w:p>
    <w:p w14:paraId="07AE5A1F">
      <w:pPr>
        <w:numPr>
          <w:ilvl w:val="0"/>
          <w:numId w:val="27"/>
        </w:numPr>
        <w:ind w:firstLine="480"/>
        <w:rPr>
          <w:rFonts w:hint="eastAsia"/>
          <w:highlight w:val="none"/>
        </w:rPr>
      </w:pPr>
      <w:r>
        <w:rPr>
          <w:rFonts w:hint="eastAsia"/>
          <w:highlight w:val="none"/>
        </w:rPr>
        <w:t>塔吊进场：桩基、土方施工期间完成塔吊基础的施工，底板施工前完成塔吊安装、调试、检测，按底板流水施工分批进行安装交付使用。</w:t>
      </w:r>
    </w:p>
    <w:p w14:paraId="46C41321">
      <w:pPr>
        <w:numPr>
          <w:ilvl w:val="0"/>
          <w:numId w:val="27"/>
        </w:numPr>
        <w:ind w:firstLine="480"/>
        <w:rPr>
          <w:rFonts w:hint="eastAsia"/>
          <w:highlight w:val="none"/>
        </w:rPr>
      </w:pPr>
      <w:r>
        <w:rPr>
          <w:rFonts w:hint="eastAsia"/>
          <w:highlight w:val="none"/>
        </w:rPr>
        <w:t>塔吊拆卸退场：结构</w:t>
      </w:r>
      <w:r>
        <w:rPr>
          <w:highlight w:val="none"/>
        </w:rPr>
        <w:t>封顶</w:t>
      </w:r>
      <w:r>
        <w:rPr>
          <w:rFonts w:hint="eastAsia"/>
          <w:highlight w:val="none"/>
        </w:rPr>
        <w:t>并</w:t>
      </w:r>
      <w:r>
        <w:rPr>
          <w:highlight w:val="none"/>
        </w:rPr>
        <w:t>完成相关工序后，经监理人和发包人批准后</w:t>
      </w:r>
      <w:r>
        <w:rPr>
          <w:rFonts w:hint="eastAsia"/>
          <w:highlight w:val="none"/>
        </w:rPr>
        <w:t>，</w:t>
      </w:r>
      <w:r>
        <w:rPr>
          <w:highlight w:val="none"/>
        </w:rPr>
        <w:t>可以开始拆卸塔吊。</w:t>
      </w:r>
    </w:p>
    <w:p w14:paraId="6B1EC359">
      <w:pPr>
        <w:numPr>
          <w:ilvl w:val="0"/>
          <w:numId w:val="27"/>
        </w:numPr>
        <w:ind w:firstLine="480"/>
        <w:rPr>
          <w:rFonts w:hint="eastAsia"/>
          <w:highlight w:val="none"/>
        </w:rPr>
      </w:pPr>
      <w:r>
        <w:rPr>
          <w:rFonts w:hint="eastAsia"/>
          <w:highlight w:val="none"/>
        </w:rPr>
        <w:t>塔吊拆除前，应</w:t>
      </w:r>
      <w:r>
        <w:rPr>
          <w:highlight w:val="none"/>
        </w:rPr>
        <w:t>完成以下主要工序：主体结构封顶；需要塔吊屋顶作业的二次结构完成；</w:t>
      </w:r>
      <w:r>
        <w:rPr>
          <w:rFonts w:hint="eastAsia"/>
          <w:highlight w:val="none"/>
        </w:rPr>
        <w:t>屋顶</w:t>
      </w:r>
      <w:r>
        <w:rPr>
          <w:highlight w:val="none"/>
        </w:rPr>
        <w:t>的设备吊装完成：外架或爬架拆除完成等。</w:t>
      </w:r>
    </w:p>
    <w:p w14:paraId="16391423">
      <w:pPr>
        <w:pStyle w:val="5"/>
        <w:numPr>
          <w:ilvl w:val="3"/>
          <w:numId w:val="13"/>
        </w:numPr>
        <w:ind w:left="253"/>
        <w:rPr>
          <w:rFonts w:hint="eastAsia"/>
          <w:highlight w:val="none"/>
        </w:rPr>
      </w:pPr>
      <w:r>
        <w:rPr>
          <w:rFonts w:hint="eastAsia"/>
          <w:highlight w:val="none"/>
        </w:rPr>
        <w:t>总承包人应提供本项目塔吊配置计划，如下表所示：</w:t>
      </w:r>
    </w:p>
    <w:tbl>
      <w:tblPr>
        <w:tblStyle w:val="20"/>
        <w:tblW w:w="4997" w:type="pct"/>
        <w:jc w:val="right"/>
        <w:tblLayout w:type="autofit"/>
        <w:tblCellMar>
          <w:top w:w="0" w:type="dxa"/>
          <w:left w:w="108" w:type="dxa"/>
          <w:bottom w:w="0" w:type="dxa"/>
          <w:right w:w="108" w:type="dxa"/>
        </w:tblCellMar>
      </w:tblPr>
      <w:tblGrid>
        <w:gridCol w:w="797"/>
        <w:gridCol w:w="798"/>
        <w:gridCol w:w="930"/>
        <w:gridCol w:w="1062"/>
        <w:gridCol w:w="1986"/>
        <w:gridCol w:w="1324"/>
        <w:gridCol w:w="798"/>
        <w:gridCol w:w="798"/>
        <w:gridCol w:w="798"/>
      </w:tblGrid>
      <w:tr w14:paraId="68CB200B">
        <w:tblPrEx>
          <w:tblCellMar>
            <w:top w:w="0" w:type="dxa"/>
            <w:left w:w="108" w:type="dxa"/>
            <w:bottom w:w="0" w:type="dxa"/>
            <w:right w:w="108" w:type="dxa"/>
          </w:tblCellMar>
        </w:tblPrEx>
        <w:trPr>
          <w:trHeight w:val="619" w:hRule="atLeast"/>
          <w:jc w:val="right"/>
        </w:trPr>
        <w:tc>
          <w:tcPr>
            <w:tcW w:w="429" w:type="pct"/>
            <w:tcBorders>
              <w:top w:val="single" w:color="auto" w:sz="12" w:space="0"/>
              <w:left w:val="single" w:color="auto" w:sz="12" w:space="0"/>
              <w:bottom w:val="single" w:color="auto" w:sz="12" w:space="0"/>
            </w:tcBorders>
            <w:shd w:val="clear" w:color="auto" w:fill="FFC000"/>
            <w:vAlign w:val="center"/>
          </w:tcPr>
          <w:p w14:paraId="26C63E49">
            <w:pPr>
              <w:pStyle w:val="13"/>
              <w:rPr>
                <w:rFonts w:hint="eastAsia"/>
                <w:highlight w:val="none"/>
              </w:rPr>
            </w:pPr>
            <w:r>
              <w:rPr>
                <w:rFonts w:hint="eastAsia"/>
                <w:highlight w:val="none"/>
              </w:rPr>
              <w:t>编号</w:t>
            </w:r>
          </w:p>
        </w:tc>
        <w:tc>
          <w:tcPr>
            <w:tcW w:w="429" w:type="pct"/>
            <w:tcBorders>
              <w:top w:val="single" w:color="auto" w:sz="12" w:space="0"/>
              <w:left w:val="single" w:color="auto" w:sz="4" w:space="0"/>
              <w:bottom w:val="single" w:color="auto" w:sz="12" w:space="0"/>
              <w:right w:val="single" w:color="auto" w:sz="4" w:space="0"/>
            </w:tcBorders>
            <w:shd w:val="clear" w:color="auto" w:fill="FFC000"/>
            <w:vAlign w:val="center"/>
          </w:tcPr>
          <w:p w14:paraId="1E503982">
            <w:pPr>
              <w:pStyle w:val="13"/>
              <w:rPr>
                <w:rFonts w:hint="eastAsia"/>
                <w:highlight w:val="none"/>
              </w:rPr>
            </w:pPr>
            <w:r>
              <w:rPr>
                <w:rFonts w:hint="eastAsia"/>
                <w:highlight w:val="none"/>
              </w:rPr>
              <w:t>型号</w:t>
            </w:r>
          </w:p>
        </w:tc>
        <w:tc>
          <w:tcPr>
            <w:tcW w:w="500" w:type="pct"/>
            <w:tcBorders>
              <w:top w:val="single" w:color="auto" w:sz="12" w:space="0"/>
              <w:left w:val="single" w:color="auto" w:sz="4" w:space="0"/>
              <w:bottom w:val="single" w:color="auto" w:sz="12" w:space="0"/>
              <w:right w:val="single" w:color="auto" w:sz="6" w:space="0"/>
            </w:tcBorders>
            <w:shd w:val="clear" w:color="auto" w:fill="FFC000"/>
            <w:vAlign w:val="center"/>
          </w:tcPr>
          <w:p w14:paraId="06BAF28B">
            <w:pPr>
              <w:pStyle w:val="13"/>
              <w:rPr>
                <w:rFonts w:hint="eastAsia"/>
                <w:highlight w:val="none"/>
              </w:rPr>
            </w:pPr>
            <w:r>
              <w:rPr>
                <w:rFonts w:hint="eastAsia"/>
                <w:highlight w:val="none"/>
              </w:rPr>
              <w:t>臂长</w:t>
            </w:r>
          </w:p>
          <w:p w14:paraId="4CF76875">
            <w:pPr>
              <w:pStyle w:val="13"/>
              <w:rPr>
                <w:rFonts w:hint="eastAsia"/>
                <w:highlight w:val="none"/>
              </w:rPr>
            </w:pPr>
            <w:r>
              <w:rPr>
                <w:rFonts w:hint="eastAsia"/>
                <w:highlight w:val="none"/>
              </w:rPr>
              <w:t>（m）</w:t>
            </w:r>
          </w:p>
        </w:tc>
        <w:tc>
          <w:tcPr>
            <w:tcW w:w="571" w:type="pct"/>
            <w:tcBorders>
              <w:top w:val="single" w:color="auto" w:sz="12" w:space="0"/>
              <w:left w:val="single" w:color="auto" w:sz="6" w:space="0"/>
              <w:bottom w:val="single" w:color="auto" w:sz="12" w:space="0"/>
              <w:right w:val="single" w:color="auto" w:sz="6" w:space="0"/>
            </w:tcBorders>
            <w:shd w:val="clear" w:color="auto" w:fill="FFC000"/>
            <w:vAlign w:val="center"/>
          </w:tcPr>
          <w:p w14:paraId="4A6F1F8E">
            <w:pPr>
              <w:pStyle w:val="13"/>
              <w:rPr>
                <w:rFonts w:hint="eastAsia"/>
                <w:highlight w:val="none"/>
              </w:rPr>
            </w:pPr>
            <w:r>
              <w:rPr>
                <w:rFonts w:hint="eastAsia"/>
                <w:highlight w:val="none"/>
              </w:rPr>
              <w:t>起重量</w:t>
            </w:r>
          </w:p>
          <w:p w14:paraId="241A5644">
            <w:pPr>
              <w:pStyle w:val="13"/>
              <w:rPr>
                <w:rFonts w:hint="eastAsia"/>
                <w:highlight w:val="none"/>
              </w:rPr>
            </w:pPr>
            <w:r>
              <w:rPr>
                <w:rFonts w:hint="eastAsia"/>
                <w:highlight w:val="none"/>
              </w:rPr>
              <w:t>（t）</w:t>
            </w:r>
          </w:p>
        </w:tc>
        <w:tc>
          <w:tcPr>
            <w:tcW w:w="1068" w:type="pct"/>
            <w:tcBorders>
              <w:top w:val="single" w:color="auto" w:sz="12" w:space="0"/>
              <w:left w:val="single" w:color="auto" w:sz="6" w:space="0"/>
              <w:bottom w:val="single" w:color="auto" w:sz="12" w:space="0"/>
              <w:right w:val="single" w:color="auto" w:sz="6" w:space="0"/>
            </w:tcBorders>
            <w:shd w:val="clear" w:color="auto" w:fill="FFC000"/>
            <w:vAlign w:val="center"/>
          </w:tcPr>
          <w:p w14:paraId="216C33B7">
            <w:pPr>
              <w:pStyle w:val="13"/>
              <w:rPr>
                <w:rFonts w:hint="eastAsia"/>
                <w:highlight w:val="none"/>
              </w:rPr>
            </w:pPr>
            <w:r>
              <w:rPr>
                <w:rFonts w:hint="eastAsia"/>
                <w:highlight w:val="none"/>
              </w:rPr>
              <w:t>自由高度（m）</w:t>
            </w:r>
          </w:p>
        </w:tc>
        <w:tc>
          <w:tcPr>
            <w:tcW w:w="712" w:type="pct"/>
            <w:tcBorders>
              <w:top w:val="single" w:color="auto" w:sz="12" w:space="0"/>
              <w:left w:val="single" w:color="auto" w:sz="4" w:space="0"/>
              <w:bottom w:val="single" w:color="auto" w:sz="12" w:space="0"/>
              <w:right w:val="single" w:color="auto" w:sz="6" w:space="0"/>
            </w:tcBorders>
            <w:shd w:val="clear" w:color="auto" w:fill="FFC000"/>
            <w:vAlign w:val="center"/>
          </w:tcPr>
          <w:p w14:paraId="4F08B21F">
            <w:pPr>
              <w:pStyle w:val="13"/>
              <w:rPr>
                <w:rFonts w:hint="eastAsia"/>
                <w:highlight w:val="none"/>
              </w:rPr>
            </w:pPr>
            <w:r>
              <w:rPr>
                <w:rFonts w:hint="eastAsia"/>
                <w:highlight w:val="none"/>
              </w:rPr>
              <w:t>安装高度</w:t>
            </w:r>
          </w:p>
          <w:p w14:paraId="1BA62369">
            <w:pPr>
              <w:pStyle w:val="13"/>
              <w:rPr>
                <w:rFonts w:hint="eastAsia"/>
                <w:highlight w:val="none"/>
              </w:rPr>
            </w:pPr>
            <w:r>
              <w:rPr>
                <w:rFonts w:hint="eastAsia"/>
                <w:highlight w:val="none"/>
              </w:rPr>
              <w:t>（m）</w:t>
            </w:r>
          </w:p>
        </w:tc>
        <w:tc>
          <w:tcPr>
            <w:tcW w:w="429" w:type="pct"/>
            <w:tcBorders>
              <w:top w:val="single" w:color="auto" w:sz="12" w:space="0"/>
              <w:left w:val="single" w:color="auto" w:sz="6" w:space="0"/>
              <w:bottom w:val="single" w:color="auto" w:sz="12" w:space="0"/>
              <w:right w:val="single" w:color="auto" w:sz="6" w:space="0"/>
            </w:tcBorders>
            <w:shd w:val="clear" w:color="auto" w:fill="FFC000"/>
            <w:vAlign w:val="center"/>
          </w:tcPr>
          <w:p w14:paraId="4FA925F2">
            <w:pPr>
              <w:pStyle w:val="13"/>
              <w:rPr>
                <w:rFonts w:hint="eastAsia"/>
                <w:highlight w:val="none"/>
              </w:rPr>
            </w:pPr>
            <w:r>
              <w:rPr>
                <w:rFonts w:hint="eastAsia"/>
                <w:highlight w:val="none"/>
              </w:rPr>
              <w:t>安装</w:t>
            </w:r>
          </w:p>
          <w:p w14:paraId="27219499">
            <w:pPr>
              <w:pStyle w:val="13"/>
              <w:rPr>
                <w:rFonts w:hint="eastAsia"/>
                <w:highlight w:val="none"/>
              </w:rPr>
            </w:pPr>
            <w:r>
              <w:rPr>
                <w:rFonts w:hint="eastAsia"/>
                <w:highlight w:val="none"/>
              </w:rPr>
              <w:t>时间</w:t>
            </w:r>
          </w:p>
        </w:tc>
        <w:tc>
          <w:tcPr>
            <w:tcW w:w="429" w:type="pct"/>
            <w:tcBorders>
              <w:top w:val="single" w:color="auto" w:sz="12" w:space="0"/>
              <w:left w:val="single" w:color="auto" w:sz="6" w:space="0"/>
              <w:bottom w:val="single" w:color="auto" w:sz="12" w:space="0"/>
              <w:right w:val="single" w:color="auto" w:sz="2" w:space="0"/>
            </w:tcBorders>
            <w:shd w:val="clear" w:color="auto" w:fill="FFC000"/>
            <w:vAlign w:val="center"/>
          </w:tcPr>
          <w:p w14:paraId="4E4E89B2">
            <w:pPr>
              <w:pStyle w:val="13"/>
              <w:rPr>
                <w:rFonts w:hint="eastAsia"/>
                <w:highlight w:val="none"/>
              </w:rPr>
            </w:pPr>
            <w:r>
              <w:rPr>
                <w:rFonts w:hint="eastAsia"/>
                <w:highlight w:val="none"/>
              </w:rPr>
              <w:t>拆卸</w:t>
            </w:r>
          </w:p>
          <w:p w14:paraId="360562E2">
            <w:pPr>
              <w:pStyle w:val="13"/>
              <w:rPr>
                <w:rFonts w:hint="eastAsia"/>
                <w:highlight w:val="none"/>
              </w:rPr>
            </w:pPr>
            <w:r>
              <w:rPr>
                <w:rFonts w:hint="eastAsia"/>
                <w:highlight w:val="none"/>
              </w:rPr>
              <w:t>时间</w:t>
            </w:r>
          </w:p>
        </w:tc>
        <w:tc>
          <w:tcPr>
            <w:tcW w:w="429" w:type="pct"/>
            <w:tcBorders>
              <w:top w:val="single" w:color="auto" w:sz="12" w:space="0"/>
              <w:left w:val="single" w:color="auto" w:sz="2" w:space="0"/>
              <w:bottom w:val="single" w:color="auto" w:sz="12" w:space="0"/>
              <w:right w:val="single" w:color="auto" w:sz="12" w:space="0"/>
            </w:tcBorders>
            <w:shd w:val="clear" w:color="auto" w:fill="FFC000"/>
            <w:vAlign w:val="center"/>
          </w:tcPr>
          <w:p w14:paraId="07AF3D30">
            <w:pPr>
              <w:pStyle w:val="13"/>
              <w:rPr>
                <w:rFonts w:hint="eastAsia"/>
                <w:highlight w:val="none"/>
              </w:rPr>
            </w:pPr>
            <w:r>
              <w:rPr>
                <w:rFonts w:hint="eastAsia"/>
                <w:highlight w:val="none"/>
              </w:rPr>
              <w:t>备注</w:t>
            </w:r>
          </w:p>
        </w:tc>
      </w:tr>
      <w:tr w14:paraId="0A2AF4F4">
        <w:tblPrEx>
          <w:tblCellMar>
            <w:top w:w="0" w:type="dxa"/>
            <w:left w:w="108" w:type="dxa"/>
            <w:bottom w:w="0" w:type="dxa"/>
            <w:right w:w="108" w:type="dxa"/>
          </w:tblCellMar>
        </w:tblPrEx>
        <w:trPr>
          <w:trHeight w:val="503" w:hRule="exact"/>
          <w:jc w:val="right"/>
        </w:trPr>
        <w:tc>
          <w:tcPr>
            <w:tcW w:w="429" w:type="pct"/>
            <w:tcBorders>
              <w:top w:val="single" w:color="auto" w:sz="12" w:space="0"/>
              <w:left w:val="single" w:color="auto" w:sz="12" w:space="0"/>
              <w:bottom w:val="single" w:color="auto" w:sz="6" w:space="0"/>
            </w:tcBorders>
            <w:shd w:val="clear" w:color="auto" w:fill="auto"/>
            <w:vAlign w:val="center"/>
          </w:tcPr>
          <w:p w14:paraId="53993C62">
            <w:pPr>
              <w:pStyle w:val="13"/>
              <w:rPr>
                <w:rFonts w:hint="eastAsia"/>
                <w:highlight w:val="none"/>
              </w:rPr>
            </w:pPr>
          </w:p>
        </w:tc>
        <w:tc>
          <w:tcPr>
            <w:tcW w:w="429" w:type="pct"/>
            <w:tcBorders>
              <w:top w:val="single" w:color="auto" w:sz="12" w:space="0"/>
              <w:left w:val="single" w:color="auto" w:sz="4" w:space="0"/>
              <w:bottom w:val="single" w:color="auto" w:sz="6" w:space="0"/>
              <w:right w:val="single" w:color="auto" w:sz="4" w:space="0"/>
            </w:tcBorders>
            <w:shd w:val="clear" w:color="auto" w:fill="auto"/>
            <w:vAlign w:val="center"/>
          </w:tcPr>
          <w:p w14:paraId="38AE5524">
            <w:pPr>
              <w:pStyle w:val="13"/>
              <w:rPr>
                <w:rFonts w:hint="eastAsia"/>
                <w:highlight w:val="none"/>
              </w:rPr>
            </w:pPr>
          </w:p>
        </w:tc>
        <w:tc>
          <w:tcPr>
            <w:tcW w:w="500" w:type="pct"/>
            <w:tcBorders>
              <w:top w:val="single" w:color="auto" w:sz="12" w:space="0"/>
              <w:left w:val="single" w:color="auto" w:sz="4" w:space="0"/>
              <w:bottom w:val="single" w:color="auto" w:sz="6" w:space="0"/>
              <w:right w:val="single" w:color="auto" w:sz="6" w:space="0"/>
            </w:tcBorders>
            <w:shd w:val="clear" w:color="auto" w:fill="auto"/>
            <w:vAlign w:val="center"/>
          </w:tcPr>
          <w:p w14:paraId="1305223E">
            <w:pPr>
              <w:pStyle w:val="13"/>
              <w:rPr>
                <w:rFonts w:hint="eastAsia"/>
                <w:highlight w:val="none"/>
              </w:rPr>
            </w:pPr>
          </w:p>
        </w:tc>
        <w:tc>
          <w:tcPr>
            <w:tcW w:w="571" w:type="pct"/>
            <w:tcBorders>
              <w:top w:val="single" w:color="auto" w:sz="12" w:space="0"/>
              <w:left w:val="single" w:color="auto" w:sz="6" w:space="0"/>
              <w:bottom w:val="single" w:color="auto" w:sz="6" w:space="0"/>
              <w:right w:val="single" w:color="auto" w:sz="6" w:space="0"/>
            </w:tcBorders>
            <w:shd w:val="clear" w:color="auto" w:fill="auto"/>
            <w:vAlign w:val="center"/>
          </w:tcPr>
          <w:p w14:paraId="46FF6809">
            <w:pPr>
              <w:pStyle w:val="13"/>
              <w:rPr>
                <w:rFonts w:hint="eastAsia"/>
                <w:highlight w:val="none"/>
              </w:rPr>
            </w:pPr>
          </w:p>
        </w:tc>
        <w:tc>
          <w:tcPr>
            <w:tcW w:w="1068" w:type="pct"/>
            <w:tcBorders>
              <w:top w:val="single" w:color="auto" w:sz="12" w:space="0"/>
              <w:left w:val="single" w:color="auto" w:sz="6" w:space="0"/>
              <w:bottom w:val="single" w:color="auto" w:sz="6" w:space="0"/>
              <w:right w:val="single" w:color="auto" w:sz="6" w:space="0"/>
            </w:tcBorders>
            <w:shd w:val="clear" w:color="auto" w:fill="auto"/>
            <w:vAlign w:val="center"/>
          </w:tcPr>
          <w:p w14:paraId="4F46EDFF">
            <w:pPr>
              <w:pStyle w:val="13"/>
              <w:rPr>
                <w:rFonts w:hint="eastAsia"/>
                <w:highlight w:val="none"/>
              </w:rPr>
            </w:pPr>
          </w:p>
        </w:tc>
        <w:tc>
          <w:tcPr>
            <w:tcW w:w="712" w:type="pct"/>
            <w:tcBorders>
              <w:top w:val="single" w:color="auto" w:sz="12" w:space="0"/>
              <w:left w:val="single" w:color="auto" w:sz="4" w:space="0"/>
              <w:bottom w:val="single" w:color="auto" w:sz="6" w:space="0"/>
              <w:right w:val="single" w:color="auto" w:sz="6" w:space="0"/>
            </w:tcBorders>
            <w:shd w:val="clear" w:color="auto" w:fill="auto"/>
            <w:vAlign w:val="center"/>
          </w:tcPr>
          <w:p w14:paraId="6F252979">
            <w:pPr>
              <w:pStyle w:val="13"/>
              <w:rPr>
                <w:rFonts w:hint="eastAsia"/>
                <w:highlight w:val="none"/>
              </w:rPr>
            </w:pPr>
          </w:p>
        </w:tc>
        <w:tc>
          <w:tcPr>
            <w:tcW w:w="429" w:type="pct"/>
            <w:tcBorders>
              <w:top w:val="single" w:color="auto" w:sz="12" w:space="0"/>
              <w:left w:val="single" w:color="auto" w:sz="6" w:space="0"/>
              <w:bottom w:val="single" w:color="auto" w:sz="6" w:space="0"/>
              <w:right w:val="single" w:color="auto" w:sz="6" w:space="0"/>
            </w:tcBorders>
            <w:shd w:val="clear" w:color="auto" w:fill="auto"/>
            <w:noWrap/>
            <w:vAlign w:val="center"/>
          </w:tcPr>
          <w:p w14:paraId="7FB4FEFD">
            <w:pPr>
              <w:pStyle w:val="13"/>
              <w:rPr>
                <w:rFonts w:hint="eastAsia"/>
                <w:highlight w:val="none"/>
              </w:rPr>
            </w:pPr>
          </w:p>
        </w:tc>
        <w:tc>
          <w:tcPr>
            <w:tcW w:w="429" w:type="pct"/>
            <w:tcBorders>
              <w:top w:val="single" w:color="auto" w:sz="12" w:space="0"/>
              <w:left w:val="single" w:color="auto" w:sz="6" w:space="0"/>
              <w:bottom w:val="single" w:color="auto" w:sz="6" w:space="0"/>
              <w:right w:val="single" w:color="auto" w:sz="2" w:space="0"/>
            </w:tcBorders>
            <w:shd w:val="clear" w:color="auto" w:fill="auto"/>
            <w:noWrap/>
            <w:vAlign w:val="center"/>
          </w:tcPr>
          <w:p w14:paraId="5DA72FD0">
            <w:pPr>
              <w:pStyle w:val="13"/>
              <w:rPr>
                <w:rFonts w:hint="eastAsia"/>
                <w:highlight w:val="none"/>
              </w:rPr>
            </w:pPr>
          </w:p>
        </w:tc>
        <w:tc>
          <w:tcPr>
            <w:tcW w:w="429" w:type="pct"/>
            <w:tcBorders>
              <w:top w:val="single" w:color="auto" w:sz="12" w:space="0"/>
              <w:left w:val="single" w:color="auto" w:sz="2" w:space="0"/>
              <w:bottom w:val="single" w:color="auto" w:sz="6" w:space="0"/>
              <w:right w:val="single" w:color="auto" w:sz="12" w:space="0"/>
            </w:tcBorders>
            <w:shd w:val="clear" w:color="auto" w:fill="auto"/>
            <w:vAlign w:val="center"/>
          </w:tcPr>
          <w:p w14:paraId="71E21ACC">
            <w:pPr>
              <w:pStyle w:val="13"/>
              <w:rPr>
                <w:rFonts w:hint="eastAsia"/>
                <w:highlight w:val="none"/>
              </w:rPr>
            </w:pPr>
          </w:p>
        </w:tc>
      </w:tr>
      <w:tr w14:paraId="00795258">
        <w:tblPrEx>
          <w:tblCellMar>
            <w:top w:w="0" w:type="dxa"/>
            <w:left w:w="108" w:type="dxa"/>
            <w:bottom w:w="0" w:type="dxa"/>
            <w:right w:w="108" w:type="dxa"/>
          </w:tblCellMar>
        </w:tblPrEx>
        <w:trPr>
          <w:trHeight w:val="410" w:hRule="exact"/>
          <w:jc w:val="right"/>
        </w:trPr>
        <w:tc>
          <w:tcPr>
            <w:tcW w:w="429" w:type="pct"/>
            <w:tcBorders>
              <w:top w:val="single" w:color="auto" w:sz="4" w:space="0"/>
              <w:left w:val="single" w:color="auto" w:sz="12" w:space="0"/>
              <w:bottom w:val="single" w:color="auto" w:sz="12" w:space="0"/>
            </w:tcBorders>
            <w:shd w:val="clear" w:color="auto" w:fill="auto"/>
            <w:vAlign w:val="center"/>
          </w:tcPr>
          <w:p w14:paraId="2D03FD66">
            <w:pPr>
              <w:pStyle w:val="13"/>
              <w:rPr>
                <w:rFonts w:hint="eastAsia"/>
                <w:highlight w:val="none"/>
              </w:rPr>
            </w:pPr>
          </w:p>
        </w:tc>
        <w:tc>
          <w:tcPr>
            <w:tcW w:w="429" w:type="pct"/>
            <w:tcBorders>
              <w:top w:val="single" w:color="auto" w:sz="4" w:space="0"/>
              <w:left w:val="single" w:color="auto" w:sz="4" w:space="0"/>
              <w:bottom w:val="single" w:color="auto" w:sz="12" w:space="0"/>
              <w:right w:val="single" w:color="auto" w:sz="4" w:space="0"/>
            </w:tcBorders>
            <w:shd w:val="clear" w:color="auto" w:fill="auto"/>
            <w:vAlign w:val="center"/>
          </w:tcPr>
          <w:p w14:paraId="0D1CF3D8">
            <w:pPr>
              <w:pStyle w:val="13"/>
              <w:rPr>
                <w:rFonts w:hint="eastAsia"/>
                <w:highlight w:val="none"/>
              </w:rPr>
            </w:pPr>
          </w:p>
        </w:tc>
        <w:tc>
          <w:tcPr>
            <w:tcW w:w="500" w:type="pct"/>
            <w:tcBorders>
              <w:top w:val="single" w:color="auto" w:sz="4" w:space="0"/>
              <w:left w:val="single" w:color="auto" w:sz="4" w:space="0"/>
              <w:bottom w:val="single" w:color="auto" w:sz="12" w:space="0"/>
              <w:right w:val="single" w:color="auto" w:sz="6" w:space="0"/>
            </w:tcBorders>
            <w:shd w:val="clear" w:color="auto" w:fill="auto"/>
            <w:vAlign w:val="center"/>
          </w:tcPr>
          <w:p w14:paraId="2AC36B61">
            <w:pPr>
              <w:pStyle w:val="13"/>
              <w:rPr>
                <w:rFonts w:hint="eastAsia"/>
                <w:highlight w:val="none"/>
              </w:rPr>
            </w:pPr>
          </w:p>
        </w:tc>
        <w:tc>
          <w:tcPr>
            <w:tcW w:w="571" w:type="pct"/>
            <w:tcBorders>
              <w:top w:val="single" w:color="auto" w:sz="4" w:space="0"/>
              <w:left w:val="single" w:color="auto" w:sz="6" w:space="0"/>
              <w:bottom w:val="single" w:color="auto" w:sz="12" w:space="0"/>
              <w:right w:val="single" w:color="auto" w:sz="6" w:space="0"/>
            </w:tcBorders>
            <w:shd w:val="clear" w:color="auto" w:fill="auto"/>
            <w:vAlign w:val="center"/>
          </w:tcPr>
          <w:p w14:paraId="25FB2DC6">
            <w:pPr>
              <w:pStyle w:val="13"/>
              <w:rPr>
                <w:rFonts w:hint="eastAsia"/>
                <w:highlight w:val="none"/>
              </w:rPr>
            </w:pPr>
          </w:p>
        </w:tc>
        <w:tc>
          <w:tcPr>
            <w:tcW w:w="1068" w:type="pct"/>
            <w:tcBorders>
              <w:top w:val="single" w:color="auto" w:sz="4" w:space="0"/>
              <w:left w:val="single" w:color="auto" w:sz="6" w:space="0"/>
              <w:bottom w:val="single" w:color="auto" w:sz="12" w:space="0"/>
              <w:right w:val="single" w:color="auto" w:sz="6" w:space="0"/>
            </w:tcBorders>
            <w:shd w:val="clear" w:color="auto" w:fill="auto"/>
            <w:vAlign w:val="center"/>
          </w:tcPr>
          <w:p w14:paraId="3017CDFC">
            <w:pPr>
              <w:pStyle w:val="13"/>
              <w:rPr>
                <w:rFonts w:hint="eastAsia"/>
                <w:highlight w:val="none"/>
              </w:rPr>
            </w:pPr>
          </w:p>
        </w:tc>
        <w:tc>
          <w:tcPr>
            <w:tcW w:w="712" w:type="pct"/>
            <w:tcBorders>
              <w:top w:val="single" w:color="auto" w:sz="4" w:space="0"/>
              <w:left w:val="single" w:color="auto" w:sz="4" w:space="0"/>
              <w:bottom w:val="single" w:color="auto" w:sz="12" w:space="0"/>
              <w:right w:val="single" w:color="auto" w:sz="6" w:space="0"/>
            </w:tcBorders>
            <w:shd w:val="clear" w:color="auto" w:fill="auto"/>
            <w:vAlign w:val="center"/>
          </w:tcPr>
          <w:p w14:paraId="1C461A36">
            <w:pPr>
              <w:pStyle w:val="13"/>
              <w:rPr>
                <w:rFonts w:hint="eastAsia"/>
                <w:highlight w:val="none"/>
              </w:rPr>
            </w:pPr>
          </w:p>
        </w:tc>
        <w:tc>
          <w:tcPr>
            <w:tcW w:w="429" w:type="pct"/>
            <w:tcBorders>
              <w:top w:val="single" w:color="auto" w:sz="4" w:space="0"/>
              <w:left w:val="single" w:color="auto" w:sz="6" w:space="0"/>
              <w:bottom w:val="single" w:color="auto" w:sz="12" w:space="0"/>
              <w:right w:val="single" w:color="auto" w:sz="6" w:space="0"/>
            </w:tcBorders>
            <w:shd w:val="clear" w:color="auto" w:fill="auto"/>
            <w:noWrap/>
            <w:vAlign w:val="center"/>
          </w:tcPr>
          <w:p w14:paraId="48683F0A">
            <w:pPr>
              <w:pStyle w:val="13"/>
              <w:rPr>
                <w:rFonts w:hint="eastAsia"/>
                <w:highlight w:val="none"/>
              </w:rPr>
            </w:pPr>
          </w:p>
        </w:tc>
        <w:tc>
          <w:tcPr>
            <w:tcW w:w="429" w:type="pct"/>
            <w:tcBorders>
              <w:top w:val="single" w:color="auto" w:sz="4" w:space="0"/>
              <w:left w:val="single" w:color="auto" w:sz="6" w:space="0"/>
              <w:bottom w:val="single" w:color="auto" w:sz="12" w:space="0"/>
              <w:right w:val="single" w:color="auto" w:sz="2" w:space="0"/>
            </w:tcBorders>
            <w:shd w:val="clear" w:color="auto" w:fill="auto"/>
            <w:noWrap/>
            <w:vAlign w:val="center"/>
          </w:tcPr>
          <w:p w14:paraId="62475007">
            <w:pPr>
              <w:pStyle w:val="13"/>
              <w:rPr>
                <w:rFonts w:hint="eastAsia"/>
                <w:highlight w:val="none"/>
              </w:rPr>
            </w:pPr>
          </w:p>
        </w:tc>
        <w:tc>
          <w:tcPr>
            <w:tcW w:w="429" w:type="pct"/>
            <w:tcBorders>
              <w:top w:val="single" w:color="auto" w:sz="4" w:space="0"/>
              <w:left w:val="single" w:color="auto" w:sz="2" w:space="0"/>
              <w:bottom w:val="single" w:color="auto" w:sz="12" w:space="0"/>
              <w:right w:val="single" w:color="auto" w:sz="12" w:space="0"/>
            </w:tcBorders>
            <w:shd w:val="clear" w:color="auto" w:fill="auto"/>
            <w:vAlign w:val="center"/>
          </w:tcPr>
          <w:p w14:paraId="64D5FDDF">
            <w:pPr>
              <w:pStyle w:val="13"/>
              <w:rPr>
                <w:rFonts w:hint="eastAsia"/>
                <w:highlight w:val="none"/>
              </w:rPr>
            </w:pPr>
          </w:p>
        </w:tc>
      </w:tr>
    </w:tbl>
    <w:p w14:paraId="4958B6E3">
      <w:pPr>
        <w:pStyle w:val="3"/>
        <w:numPr>
          <w:ilvl w:val="1"/>
          <w:numId w:val="13"/>
        </w:numPr>
        <w:rPr>
          <w:rFonts w:hint="eastAsia"/>
          <w:highlight w:val="none"/>
        </w:rPr>
      </w:pPr>
      <w:bookmarkStart w:id="291" w:name="_Toc520244624"/>
      <w:bookmarkEnd w:id="291"/>
      <w:bookmarkStart w:id="292" w:name="_Toc520245252"/>
      <w:bookmarkEnd w:id="292"/>
      <w:bookmarkStart w:id="293" w:name="_Toc5548"/>
      <w:bookmarkStart w:id="294" w:name="_Toc32722"/>
      <w:bookmarkStart w:id="295" w:name="_Toc3138"/>
      <w:bookmarkStart w:id="296" w:name="_Toc19297"/>
      <w:bookmarkStart w:id="297" w:name="_Toc7875"/>
      <w:bookmarkStart w:id="298" w:name="_Toc264"/>
      <w:bookmarkStart w:id="299" w:name="_Toc491332901"/>
      <w:bookmarkStart w:id="300" w:name="_Toc490829815"/>
      <w:bookmarkStart w:id="301" w:name="_Toc19201"/>
      <w:bookmarkStart w:id="302" w:name="_Toc9323"/>
      <w:bookmarkStart w:id="303" w:name="_Toc22983"/>
      <w:bookmarkStart w:id="304" w:name="_Toc491089034"/>
      <w:bookmarkStart w:id="305" w:name="_Toc21904"/>
      <w:bookmarkStart w:id="306" w:name="_Toc491453749"/>
      <w:bookmarkStart w:id="307" w:name="_Toc169722222"/>
      <w:r>
        <w:rPr>
          <w:rFonts w:hint="eastAsia"/>
          <w:highlight w:val="none"/>
        </w:rPr>
        <w:t>工程验收及移交要求</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6B6CEFCA">
      <w:pPr>
        <w:pStyle w:val="4"/>
        <w:numPr>
          <w:ilvl w:val="2"/>
          <w:numId w:val="13"/>
        </w:numPr>
        <w:rPr>
          <w:rFonts w:hint="eastAsia"/>
          <w:highlight w:val="none"/>
        </w:rPr>
      </w:pPr>
      <w:bookmarkStart w:id="308" w:name="_Toc385333225"/>
      <w:r>
        <w:rPr>
          <w:rFonts w:hint="eastAsia"/>
          <w:highlight w:val="none"/>
        </w:rPr>
        <w:t>工程</w:t>
      </w:r>
      <w:r>
        <w:rPr>
          <w:highlight w:val="none"/>
        </w:rPr>
        <w:t>验收</w:t>
      </w:r>
      <w:bookmarkEnd w:id="308"/>
    </w:p>
    <w:p w14:paraId="4D380F12">
      <w:pPr>
        <w:pStyle w:val="5"/>
        <w:numPr>
          <w:ilvl w:val="3"/>
          <w:numId w:val="13"/>
        </w:numPr>
        <w:rPr>
          <w:rFonts w:hint="eastAsia"/>
          <w:highlight w:val="none"/>
        </w:rPr>
      </w:pPr>
      <w:r>
        <w:rPr>
          <w:rFonts w:hint="eastAsia"/>
          <w:highlight w:val="none"/>
        </w:rPr>
        <w:t>承包人必须在工程具备验收条件时的 3 周前编制验收计划（包括专业工程 验收计划、消防等专项验收计划等），按工程竣工验收有关规定及验收计划分阶段逐项申报验收，确保工程一次验收合格。</w:t>
      </w:r>
    </w:p>
    <w:p w14:paraId="7AA6F496">
      <w:pPr>
        <w:pStyle w:val="5"/>
        <w:numPr>
          <w:ilvl w:val="3"/>
          <w:numId w:val="13"/>
        </w:numPr>
        <w:rPr>
          <w:rFonts w:hint="eastAsia"/>
          <w:highlight w:val="none"/>
        </w:rPr>
      </w:pPr>
      <w:r>
        <w:rPr>
          <w:rFonts w:hint="eastAsia"/>
          <w:highlight w:val="none"/>
        </w:rPr>
        <w:t>竣工验收执行《房屋建筑和市政基础设施工程竣工验收规定》（建质〔2013〕 171 号）和《关于规范广州市房屋建筑工程和市政基础设施工程竣工验收程序的通知》 （穗建质监字〔2014〕53 号）、《广州市房屋建筑和市政基础设施工程竣工联合验收工作方案》（穗建质[2020]446 号）（注：如有新规定则按新规定执行）。</w:t>
      </w:r>
    </w:p>
    <w:p w14:paraId="72021088">
      <w:pPr>
        <w:pStyle w:val="5"/>
        <w:numPr>
          <w:ilvl w:val="3"/>
          <w:numId w:val="13"/>
        </w:numPr>
        <w:rPr>
          <w:rFonts w:hint="eastAsia"/>
          <w:highlight w:val="none"/>
        </w:rPr>
      </w:pPr>
      <w:r>
        <w:rPr>
          <w:rFonts w:hint="eastAsia"/>
          <w:highlight w:val="none"/>
        </w:rPr>
        <w:t>经验收评定，工程质量不合格或工程内容有尚未完成者，由承包人在商 定的期限内进行修补后，再进行竣工验收，直至达到完全符合合同要求为止，并按最后验收合格的日期作为竣工日期，由此产生的一切费用均由承包人负责。</w:t>
      </w:r>
    </w:p>
    <w:p w14:paraId="54411CED">
      <w:pPr>
        <w:pStyle w:val="5"/>
        <w:numPr>
          <w:ilvl w:val="3"/>
          <w:numId w:val="13"/>
        </w:numPr>
        <w:rPr>
          <w:rFonts w:hint="eastAsia"/>
          <w:highlight w:val="none"/>
        </w:rPr>
      </w:pPr>
      <w:r>
        <w:rPr>
          <w:rFonts w:hint="eastAsia"/>
          <w:highlight w:val="none"/>
        </w:rPr>
        <w:t>总承包人</w:t>
      </w:r>
      <w:r>
        <w:rPr>
          <w:highlight w:val="none"/>
        </w:rPr>
        <w:t>应在本工程的竣工验收完成日后按</w:t>
      </w:r>
      <w:r>
        <w:rPr>
          <w:rFonts w:hint="eastAsia"/>
          <w:highlight w:val="none"/>
        </w:rPr>
        <w:t>发包人</w:t>
      </w:r>
      <w:r>
        <w:rPr>
          <w:highlight w:val="none"/>
        </w:rPr>
        <w:t>要求时间</w:t>
      </w:r>
      <w:r>
        <w:rPr>
          <w:rFonts w:hint="eastAsia"/>
          <w:highlight w:val="none"/>
        </w:rPr>
        <w:t>，</w:t>
      </w:r>
      <w:r>
        <w:rPr>
          <w:highlight w:val="none"/>
        </w:rPr>
        <w:t>完成符合城建档案馆要求的档案资料（必须归集所有</w:t>
      </w:r>
      <w:r>
        <w:rPr>
          <w:rFonts w:hint="eastAsia"/>
          <w:highlight w:val="none"/>
        </w:rPr>
        <w:t>工程</w:t>
      </w:r>
      <w:r>
        <w:rPr>
          <w:highlight w:val="none"/>
        </w:rPr>
        <w:t>资料）。</w:t>
      </w:r>
      <w:r>
        <w:rPr>
          <w:rFonts w:hint="eastAsia"/>
          <w:highlight w:val="none"/>
        </w:rPr>
        <w:t>专业承包</w:t>
      </w:r>
      <w:r>
        <w:rPr>
          <w:highlight w:val="none"/>
        </w:rPr>
        <w:t>人的档案资料由</w:t>
      </w:r>
      <w:r>
        <w:rPr>
          <w:rFonts w:hint="eastAsia"/>
          <w:highlight w:val="none"/>
        </w:rPr>
        <w:t>专业承包人</w:t>
      </w:r>
      <w:r>
        <w:rPr>
          <w:highlight w:val="none"/>
        </w:rPr>
        <w:t>完善后提交</w:t>
      </w:r>
      <w:r>
        <w:rPr>
          <w:rFonts w:hint="eastAsia"/>
          <w:highlight w:val="none"/>
        </w:rPr>
        <w:t>总承包人</w:t>
      </w:r>
      <w:r>
        <w:rPr>
          <w:highlight w:val="none"/>
        </w:rPr>
        <w:t>归总、装订，</w:t>
      </w:r>
      <w:r>
        <w:rPr>
          <w:rFonts w:hint="eastAsia"/>
          <w:highlight w:val="none"/>
        </w:rPr>
        <w:t>总承包人</w:t>
      </w:r>
      <w:r>
        <w:rPr>
          <w:highlight w:val="none"/>
        </w:rPr>
        <w:t>对此提供协助。</w:t>
      </w:r>
      <w:r>
        <w:rPr>
          <w:rFonts w:hint="eastAsia"/>
          <w:highlight w:val="none"/>
        </w:rPr>
        <w:t>总承包人</w:t>
      </w:r>
      <w:r>
        <w:rPr>
          <w:highlight w:val="none"/>
        </w:rPr>
        <w:t>应及时为</w:t>
      </w:r>
      <w:r>
        <w:rPr>
          <w:rFonts w:hint="eastAsia"/>
          <w:highlight w:val="none"/>
        </w:rPr>
        <w:t>专业承包</w:t>
      </w:r>
      <w:r>
        <w:rPr>
          <w:highlight w:val="none"/>
        </w:rPr>
        <w:t>人的档案资料办理签字盖章等手续，否则影响本工程竣工验收，一切责任由</w:t>
      </w:r>
      <w:r>
        <w:rPr>
          <w:rFonts w:hint="eastAsia"/>
          <w:highlight w:val="none"/>
        </w:rPr>
        <w:t>总承包人</w:t>
      </w:r>
      <w:r>
        <w:rPr>
          <w:highlight w:val="none"/>
        </w:rPr>
        <w:t>承担。</w:t>
      </w:r>
      <w:r>
        <w:rPr>
          <w:rFonts w:hint="eastAsia"/>
          <w:highlight w:val="none"/>
        </w:rPr>
        <w:t>工程资料按月整理，作为进度款申请依据。</w:t>
      </w:r>
    </w:p>
    <w:p w14:paraId="60FFA31C">
      <w:pPr>
        <w:pStyle w:val="5"/>
        <w:numPr>
          <w:ilvl w:val="3"/>
          <w:numId w:val="13"/>
        </w:numPr>
        <w:rPr>
          <w:rFonts w:hint="eastAsia"/>
          <w:highlight w:val="none"/>
        </w:rPr>
      </w:pPr>
      <w:r>
        <w:rPr>
          <w:rFonts w:hint="eastAsia"/>
          <w:highlight w:val="none"/>
        </w:rPr>
        <w:t>竣工</w:t>
      </w:r>
      <w:r>
        <w:rPr>
          <w:highlight w:val="none"/>
        </w:rPr>
        <w:t>验收后，</w:t>
      </w:r>
      <w:r>
        <w:rPr>
          <w:rFonts w:hint="eastAsia"/>
          <w:highlight w:val="none"/>
        </w:rPr>
        <w:t>总承包人应</w:t>
      </w:r>
      <w:r>
        <w:rPr>
          <w:highlight w:val="none"/>
        </w:rPr>
        <w:t>在规定的时限内，送交资料到相关政府部门进行备案</w:t>
      </w:r>
      <w:r>
        <w:rPr>
          <w:rFonts w:hint="eastAsia"/>
          <w:highlight w:val="none"/>
        </w:rPr>
        <w:t>，</w:t>
      </w:r>
      <w:r>
        <w:rPr>
          <w:highlight w:val="none"/>
        </w:rPr>
        <w:t>并为</w:t>
      </w:r>
      <w:r>
        <w:rPr>
          <w:rFonts w:hint="eastAsia"/>
          <w:highlight w:val="none"/>
        </w:rPr>
        <w:t>发包人</w:t>
      </w:r>
      <w:r>
        <w:rPr>
          <w:highlight w:val="none"/>
        </w:rPr>
        <w:t>取得《建设工程竣工验收备案证明书》。</w:t>
      </w:r>
    </w:p>
    <w:p w14:paraId="4A216268">
      <w:pPr>
        <w:pStyle w:val="4"/>
        <w:numPr>
          <w:ilvl w:val="2"/>
          <w:numId w:val="13"/>
        </w:numPr>
        <w:rPr>
          <w:rFonts w:hint="eastAsia"/>
          <w:highlight w:val="none"/>
        </w:rPr>
      </w:pPr>
      <w:bookmarkStart w:id="309" w:name="_Toc385333226"/>
      <w:r>
        <w:rPr>
          <w:rFonts w:hint="eastAsia"/>
          <w:highlight w:val="none"/>
        </w:rPr>
        <w:t>保洁要求</w:t>
      </w:r>
    </w:p>
    <w:p w14:paraId="7DC90592">
      <w:pPr>
        <w:ind w:firstLine="480"/>
        <w:rPr>
          <w:rFonts w:hint="eastAsia"/>
          <w:highlight w:val="none"/>
        </w:rPr>
      </w:pPr>
      <w:r>
        <w:rPr>
          <w:rFonts w:hint="eastAsia"/>
          <w:highlight w:val="none"/>
        </w:rPr>
        <w:t>总承包人竣工移交对于自身承包范围工作内容应满足无肉眼可见垃圾并满足以下保洁移交标准：</w:t>
      </w:r>
    </w:p>
    <w:tbl>
      <w:tblPr>
        <w:tblStyle w:val="20"/>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17"/>
        <w:gridCol w:w="2015"/>
        <w:gridCol w:w="6661"/>
      </w:tblGrid>
      <w:tr w14:paraId="0A92B8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2" w:hRule="atLeast"/>
          <w:tblHeader/>
        </w:trPr>
        <w:tc>
          <w:tcPr>
            <w:tcW w:w="1416" w:type="pct"/>
            <w:gridSpan w:val="2"/>
            <w:vAlign w:val="center"/>
          </w:tcPr>
          <w:p w14:paraId="23E7B16B">
            <w:pPr>
              <w:pStyle w:val="13"/>
              <w:rPr>
                <w:rFonts w:hint="eastAsia"/>
                <w:highlight w:val="none"/>
              </w:rPr>
            </w:pPr>
            <w:r>
              <w:rPr>
                <w:rFonts w:hint="eastAsia"/>
                <w:highlight w:val="none"/>
              </w:rPr>
              <w:t>部位</w:t>
            </w:r>
          </w:p>
        </w:tc>
        <w:tc>
          <w:tcPr>
            <w:tcW w:w="3583" w:type="pct"/>
            <w:tcBorders>
              <w:right w:val="single" w:color="auto" w:sz="4" w:space="0"/>
            </w:tcBorders>
            <w:vAlign w:val="center"/>
          </w:tcPr>
          <w:p w14:paraId="0A8E279F">
            <w:pPr>
              <w:pStyle w:val="13"/>
              <w:rPr>
                <w:rFonts w:hint="eastAsia"/>
                <w:highlight w:val="none"/>
              </w:rPr>
            </w:pPr>
            <w:r>
              <w:rPr>
                <w:rFonts w:hint="eastAsia"/>
                <w:highlight w:val="none"/>
              </w:rPr>
              <w:t>保洁移交标准</w:t>
            </w:r>
          </w:p>
        </w:tc>
      </w:tr>
      <w:tr w14:paraId="26978E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restart"/>
            <w:tcBorders>
              <w:right w:val="single" w:color="auto" w:sz="4" w:space="0"/>
            </w:tcBorders>
            <w:vAlign w:val="center"/>
          </w:tcPr>
          <w:p w14:paraId="39C6B495">
            <w:pPr>
              <w:pStyle w:val="13"/>
              <w:rPr>
                <w:rFonts w:hint="eastAsia"/>
                <w:highlight w:val="none"/>
              </w:rPr>
            </w:pPr>
            <w:r>
              <w:rPr>
                <w:rFonts w:hint="eastAsia"/>
                <w:highlight w:val="none"/>
              </w:rPr>
              <w:t>室内区域(毛坯交付)</w:t>
            </w:r>
          </w:p>
        </w:tc>
        <w:tc>
          <w:tcPr>
            <w:tcW w:w="1083" w:type="pct"/>
            <w:tcBorders>
              <w:left w:val="single" w:color="auto" w:sz="4" w:space="0"/>
            </w:tcBorders>
            <w:vAlign w:val="center"/>
          </w:tcPr>
          <w:p w14:paraId="170A8442">
            <w:pPr>
              <w:pStyle w:val="13"/>
              <w:rPr>
                <w:rFonts w:hint="eastAsia"/>
                <w:highlight w:val="none"/>
              </w:rPr>
            </w:pPr>
            <w:r>
              <w:rPr>
                <w:rFonts w:hint="eastAsia"/>
                <w:highlight w:val="none"/>
              </w:rPr>
              <w:t>楼地面</w:t>
            </w:r>
          </w:p>
        </w:tc>
        <w:tc>
          <w:tcPr>
            <w:tcW w:w="3583" w:type="pct"/>
            <w:vAlign w:val="center"/>
          </w:tcPr>
          <w:p w14:paraId="0980A070">
            <w:pPr>
              <w:pStyle w:val="13"/>
              <w:rPr>
                <w:rFonts w:hint="eastAsia"/>
                <w:highlight w:val="none"/>
              </w:rPr>
            </w:pPr>
            <w:r>
              <w:rPr>
                <w:rFonts w:hint="eastAsia"/>
                <w:highlight w:val="none"/>
              </w:rPr>
              <w:t>无积水、无泥沙、无灰尘、无污渍、无垃圾杂物、无建筑装修材料残留。</w:t>
            </w:r>
          </w:p>
        </w:tc>
      </w:tr>
      <w:tr w14:paraId="7C776D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1F468057">
            <w:pPr>
              <w:pStyle w:val="13"/>
              <w:rPr>
                <w:rFonts w:hint="eastAsia"/>
                <w:highlight w:val="none"/>
              </w:rPr>
            </w:pPr>
          </w:p>
        </w:tc>
        <w:tc>
          <w:tcPr>
            <w:tcW w:w="1083" w:type="pct"/>
            <w:tcBorders>
              <w:left w:val="single" w:color="auto" w:sz="4" w:space="0"/>
            </w:tcBorders>
            <w:vAlign w:val="center"/>
          </w:tcPr>
          <w:p w14:paraId="6EB64DA3">
            <w:pPr>
              <w:pStyle w:val="13"/>
              <w:rPr>
                <w:rFonts w:hint="eastAsia"/>
                <w:highlight w:val="none"/>
              </w:rPr>
            </w:pPr>
            <w:r>
              <w:rPr>
                <w:rFonts w:hint="eastAsia"/>
                <w:highlight w:val="none"/>
              </w:rPr>
              <w:t>墙面</w:t>
            </w:r>
          </w:p>
        </w:tc>
        <w:tc>
          <w:tcPr>
            <w:tcW w:w="3583" w:type="pct"/>
            <w:vAlign w:val="center"/>
          </w:tcPr>
          <w:p w14:paraId="62CD63B8">
            <w:pPr>
              <w:pStyle w:val="13"/>
              <w:rPr>
                <w:rFonts w:hint="eastAsia"/>
                <w:highlight w:val="none"/>
              </w:rPr>
            </w:pPr>
            <w:r>
              <w:rPr>
                <w:rFonts w:hint="eastAsia"/>
                <w:highlight w:val="none"/>
              </w:rPr>
              <w:t>无粘贴物、无灰尘、无污渍、无建筑装修材料残留。</w:t>
            </w:r>
            <w:r>
              <w:rPr>
                <w:highlight w:val="none"/>
              </w:rPr>
              <w:t xml:space="preserve"> </w:t>
            </w:r>
          </w:p>
        </w:tc>
      </w:tr>
      <w:tr w14:paraId="29409C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0CA7F1B2">
            <w:pPr>
              <w:pStyle w:val="13"/>
              <w:rPr>
                <w:rFonts w:hint="eastAsia"/>
                <w:highlight w:val="none"/>
              </w:rPr>
            </w:pPr>
          </w:p>
        </w:tc>
        <w:tc>
          <w:tcPr>
            <w:tcW w:w="1083" w:type="pct"/>
            <w:tcBorders>
              <w:left w:val="single" w:color="auto" w:sz="4" w:space="0"/>
            </w:tcBorders>
            <w:vAlign w:val="center"/>
          </w:tcPr>
          <w:p w14:paraId="21EFF66F">
            <w:pPr>
              <w:pStyle w:val="13"/>
              <w:rPr>
                <w:rFonts w:hint="eastAsia"/>
                <w:highlight w:val="none"/>
              </w:rPr>
            </w:pPr>
            <w:r>
              <w:rPr>
                <w:rFonts w:hint="eastAsia"/>
                <w:highlight w:val="none"/>
              </w:rPr>
              <w:t>天棚</w:t>
            </w:r>
          </w:p>
        </w:tc>
        <w:tc>
          <w:tcPr>
            <w:tcW w:w="3583" w:type="pct"/>
            <w:vAlign w:val="center"/>
          </w:tcPr>
          <w:p w14:paraId="0DCDBFB8">
            <w:pPr>
              <w:pStyle w:val="13"/>
              <w:rPr>
                <w:rFonts w:hint="eastAsia"/>
                <w:highlight w:val="none"/>
              </w:rPr>
            </w:pPr>
            <w:r>
              <w:rPr>
                <w:rFonts w:hint="eastAsia"/>
                <w:highlight w:val="none"/>
              </w:rPr>
              <w:t>无蛛网、无灰尘、无污渍、无建筑装修材料残留。</w:t>
            </w:r>
          </w:p>
        </w:tc>
      </w:tr>
      <w:tr w14:paraId="6EAF83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2EC3D673">
            <w:pPr>
              <w:pStyle w:val="13"/>
              <w:rPr>
                <w:rFonts w:hint="eastAsia"/>
                <w:highlight w:val="none"/>
              </w:rPr>
            </w:pPr>
          </w:p>
        </w:tc>
        <w:tc>
          <w:tcPr>
            <w:tcW w:w="1083" w:type="pct"/>
            <w:tcBorders>
              <w:left w:val="single" w:color="auto" w:sz="4" w:space="0"/>
            </w:tcBorders>
            <w:vAlign w:val="center"/>
          </w:tcPr>
          <w:p w14:paraId="2A06B6D8">
            <w:pPr>
              <w:pStyle w:val="13"/>
              <w:rPr>
                <w:rFonts w:hint="eastAsia"/>
                <w:highlight w:val="none"/>
              </w:rPr>
            </w:pPr>
            <w:r>
              <w:rPr>
                <w:rFonts w:hint="eastAsia"/>
                <w:highlight w:val="none"/>
              </w:rPr>
              <w:t>开关面板、电箱</w:t>
            </w:r>
          </w:p>
        </w:tc>
        <w:tc>
          <w:tcPr>
            <w:tcW w:w="3583" w:type="pct"/>
            <w:vAlign w:val="center"/>
          </w:tcPr>
          <w:p w14:paraId="5EA157BB">
            <w:pPr>
              <w:pStyle w:val="13"/>
              <w:rPr>
                <w:rFonts w:hint="eastAsia"/>
                <w:highlight w:val="none"/>
              </w:rPr>
            </w:pPr>
            <w:r>
              <w:rPr>
                <w:rFonts w:hint="eastAsia"/>
                <w:highlight w:val="none"/>
              </w:rPr>
              <w:t>无灰尘、无划痕、无污渍、无水泥迹。</w:t>
            </w:r>
          </w:p>
        </w:tc>
      </w:tr>
      <w:tr w14:paraId="0C63D7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5E647FD2">
            <w:pPr>
              <w:pStyle w:val="13"/>
              <w:rPr>
                <w:rFonts w:hint="eastAsia"/>
                <w:highlight w:val="none"/>
              </w:rPr>
            </w:pPr>
          </w:p>
        </w:tc>
        <w:tc>
          <w:tcPr>
            <w:tcW w:w="1083" w:type="pct"/>
            <w:tcBorders>
              <w:left w:val="single" w:color="auto" w:sz="4" w:space="0"/>
            </w:tcBorders>
            <w:vAlign w:val="center"/>
          </w:tcPr>
          <w:p w14:paraId="508896FF">
            <w:pPr>
              <w:pStyle w:val="13"/>
              <w:rPr>
                <w:rFonts w:hint="eastAsia"/>
                <w:highlight w:val="none"/>
              </w:rPr>
            </w:pPr>
            <w:r>
              <w:rPr>
                <w:rFonts w:hint="eastAsia"/>
                <w:highlight w:val="none"/>
              </w:rPr>
              <w:t>线管及管道</w:t>
            </w:r>
          </w:p>
        </w:tc>
        <w:tc>
          <w:tcPr>
            <w:tcW w:w="3583" w:type="pct"/>
            <w:vAlign w:val="center"/>
          </w:tcPr>
          <w:p w14:paraId="23158A35">
            <w:pPr>
              <w:pStyle w:val="13"/>
              <w:rPr>
                <w:rFonts w:hint="eastAsia"/>
                <w:highlight w:val="none"/>
              </w:rPr>
            </w:pPr>
            <w:r>
              <w:rPr>
                <w:rFonts w:hint="eastAsia"/>
                <w:highlight w:val="none"/>
              </w:rPr>
              <w:t>无粘贴物、内部无杂物、无泥沙、无污渍，外部表面清洁、金属制品无锈渍。</w:t>
            </w:r>
          </w:p>
        </w:tc>
      </w:tr>
      <w:tr w14:paraId="5F1C6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6D49E8E5">
            <w:pPr>
              <w:pStyle w:val="13"/>
              <w:rPr>
                <w:rFonts w:hint="eastAsia"/>
                <w:highlight w:val="none"/>
              </w:rPr>
            </w:pPr>
          </w:p>
        </w:tc>
        <w:tc>
          <w:tcPr>
            <w:tcW w:w="1083" w:type="pct"/>
            <w:tcBorders>
              <w:left w:val="single" w:color="auto" w:sz="4" w:space="0"/>
            </w:tcBorders>
            <w:vAlign w:val="center"/>
          </w:tcPr>
          <w:p w14:paraId="4778786D">
            <w:pPr>
              <w:pStyle w:val="13"/>
              <w:rPr>
                <w:rFonts w:hint="eastAsia"/>
                <w:highlight w:val="none"/>
              </w:rPr>
            </w:pPr>
            <w:r>
              <w:rPr>
                <w:rFonts w:hint="eastAsia"/>
                <w:highlight w:val="none"/>
              </w:rPr>
              <w:t>空调机位、空调孔</w:t>
            </w:r>
          </w:p>
        </w:tc>
        <w:tc>
          <w:tcPr>
            <w:tcW w:w="3583" w:type="pct"/>
            <w:vAlign w:val="center"/>
          </w:tcPr>
          <w:p w14:paraId="73B0C257">
            <w:pPr>
              <w:pStyle w:val="13"/>
              <w:rPr>
                <w:rFonts w:hint="eastAsia"/>
                <w:highlight w:val="none"/>
              </w:rPr>
            </w:pPr>
            <w:r>
              <w:rPr>
                <w:rFonts w:hint="eastAsia"/>
                <w:highlight w:val="none"/>
              </w:rPr>
              <w:t>无杂物，无灰尘。</w:t>
            </w:r>
          </w:p>
        </w:tc>
      </w:tr>
      <w:tr w14:paraId="1409B2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60BAB365">
            <w:pPr>
              <w:pStyle w:val="13"/>
              <w:rPr>
                <w:rFonts w:hint="eastAsia"/>
                <w:highlight w:val="none"/>
              </w:rPr>
            </w:pPr>
          </w:p>
        </w:tc>
        <w:tc>
          <w:tcPr>
            <w:tcW w:w="1083" w:type="pct"/>
            <w:tcBorders>
              <w:left w:val="single" w:color="auto" w:sz="4" w:space="0"/>
            </w:tcBorders>
            <w:vAlign w:val="center"/>
          </w:tcPr>
          <w:p w14:paraId="758112BD">
            <w:pPr>
              <w:pStyle w:val="13"/>
              <w:rPr>
                <w:rFonts w:hint="eastAsia"/>
                <w:highlight w:val="none"/>
              </w:rPr>
            </w:pPr>
            <w:r>
              <w:rPr>
                <w:rFonts w:hint="eastAsia"/>
                <w:highlight w:val="none"/>
              </w:rPr>
              <w:t>窗台</w:t>
            </w:r>
          </w:p>
        </w:tc>
        <w:tc>
          <w:tcPr>
            <w:tcW w:w="3583" w:type="pct"/>
            <w:vAlign w:val="center"/>
          </w:tcPr>
          <w:p w14:paraId="73B8CFD2">
            <w:pPr>
              <w:pStyle w:val="13"/>
              <w:rPr>
                <w:rFonts w:hint="eastAsia"/>
                <w:highlight w:val="none"/>
              </w:rPr>
            </w:pPr>
            <w:r>
              <w:rPr>
                <w:rFonts w:hint="eastAsia"/>
                <w:highlight w:val="none"/>
              </w:rPr>
              <w:t>无杂物、无污迹、无灰尘。</w:t>
            </w:r>
          </w:p>
        </w:tc>
      </w:tr>
      <w:tr w14:paraId="515467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restart"/>
            <w:tcBorders>
              <w:right w:val="single" w:color="auto" w:sz="4" w:space="0"/>
            </w:tcBorders>
            <w:vAlign w:val="center"/>
          </w:tcPr>
          <w:p w14:paraId="5313065D">
            <w:pPr>
              <w:pStyle w:val="13"/>
              <w:rPr>
                <w:rFonts w:hint="eastAsia"/>
                <w:highlight w:val="none"/>
              </w:rPr>
            </w:pPr>
            <w:r>
              <w:rPr>
                <w:rFonts w:hint="eastAsia"/>
                <w:highlight w:val="none"/>
              </w:rPr>
              <w:t>公共区域</w:t>
            </w:r>
          </w:p>
        </w:tc>
        <w:tc>
          <w:tcPr>
            <w:tcW w:w="1083" w:type="pct"/>
            <w:tcBorders>
              <w:left w:val="single" w:color="auto" w:sz="4" w:space="0"/>
            </w:tcBorders>
            <w:vAlign w:val="center"/>
          </w:tcPr>
          <w:p w14:paraId="1BE7FA66">
            <w:pPr>
              <w:pStyle w:val="13"/>
              <w:rPr>
                <w:rFonts w:hint="eastAsia"/>
                <w:highlight w:val="none"/>
              </w:rPr>
            </w:pPr>
            <w:r>
              <w:rPr>
                <w:rFonts w:hint="eastAsia"/>
                <w:highlight w:val="none"/>
              </w:rPr>
              <w:t>楼地面（楼梯）</w:t>
            </w:r>
          </w:p>
        </w:tc>
        <w:tc>
          <w:tcPr>
            <w:tcW w:w="3583" w:type="pct"/>
            <w:vAlign w:val="center"/>
          </w:tcPr>
          <w:p w14:paraId="2D7DE203">
            <w:pPr>
              <w:pStyle w:val="13"/>
              <w:rPr>
                <w:rFonts w:hint="eastAsia"/>
                <w:highlight w:val="none"/>
              </w:rPr>
            </w:pPr>
            <w:r>
              <w:rPr>
                <w:rFonts w:hint="eastAsia"/>
                <w:highlight w:val="none"/>
              </w:rPr>
              <w:t>无灰尘、无垃圾杂物、无污渍、无涂料斑点，踢脚线上无涂料和水泥迹。</w:t>
            </w:r>
          </w:p>
        </w:tc>
      </w:tr>
      <w:tr w14:paraId="4ECBFC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2E11A93B">
            <w:pPr>
              <w:pStyle w:val="13"/>
              <w:rPr>
                <w:rFonts w:hint="eastAsia"/>
                <w:highlight w:val="none"/>
              </w:rPr>
            </w:pPr>
          </w:p>
        </w:tc>
        <w:tc>
          <w:tcPr>
            <w:tcW w:w="1083" w:type="pct"/>
            <w:tcBorders>
              <w:left w:val="single" w:color="auto" w:sz="4" w:space="0"/>
            </w:tcBorders>
            <w:vAlign w:val="center"/>
          </w:tcPr>
          <w:p w14:paraId="7695F8F9">
            <w:pPr>
              <w:pStyle w:val="13"/>
              <w:rPr>
                <w:rFonts w:hint="eastAsia"/>
                <w:highlight w:val="none"/>
              </w:rPr>
            </w:pPr>
            <w:r>
              <w:rPr>
                <w:rFonts w:hint="eastAsia"/>
                <w:highlight w:val="none"/>
              </w:rPr>
              <w:t>墙面（楼梯）</w:t>
            </w:r>
          </w:p>
        </w:tc>
        <w:tc>
          <w:tcPr>
            <w:tcW w:w="3583" w:type="pct"/>
            <w:vAlign w:val="center"/>
          </w:tcPr>
          <w:p w14:paraId="727D5FAA">
            <w:pPr>
              <w:pStyle w:val="13"/>
              <w:rPr>
                <w:rFonts w:hint="eastAsia"/>
                <w:highlight w:val="none"/>
              </w:rPr>
            </w:pPr>
            <w:r>
              <w:rPr>
                <w:rFonts w:hint="eastAsia"/>
                <w:highlight w:val="none"/>
              </w:rPr>
              <w:t>无粘贴物、无灰尘、无污渍、无建筑装修材料残留、无印迹、无划痕、无胶渍等异物、无异色污染。</w:t>
            </w:r>
          </w:p>
        </w:tc>
      </w:tr>
      <w:tr w14:paraId="1A2DD7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02A8BBA3">
            <w:pPr>
              <w:pStyle w:val="13"/>
              <w:rPr>
                <w:rFonts w:hint="eastAsia"/>
                <w:highlight w:val="none"/>
              </w:rPr>
            </w:pPr>
          </w:p>
        </w:tc>
        <w:tc>
          <w:tcPr>
            <w:tcW w:w="1083" w:type="pct"/>
            <w:tcBorders>
              <w:left w:val="single" w:color="auto" w:sz="4" w:space="0"/>
            </w:tcBorders>
            <w:vAlign w:val="center"/>
          </w:tcPr>
          <w:p w14:paraId="1E330055">
            <w:pPr>
              <w:pStyle w:val="13"/>
              <w:rPr>
                <w:rFonts w:hint="eastAsia"/>
                <w:highlight w:val="none"/>
              </w:rPr>
            </w:pPr>
            <w:r>
              <w:rPr>
                <w:rFonts w:hint="eastAsia"/>
                <w:highlight w:val="none"/>
              </w:rPr>
              <w:t>天棚（楼梯）</w:t>
            </w:r>
          </w:p>
        </w:tc>
        <w:tc>
          <w:tcPr>
            <w:tcW w:w="3583" w:type="pct"/>
            <w:vAlign w:val="center"/>
          </w:tcPr>
          <w:p w14:paraId="25A0857D">
            <w:pPr>
              <w:pStyle w:val="13"/>
              <w:rPr>
                <w:rFonts w:hint="eastAsia"/>
                <w:highlight w:val="none"/>
              </w:rPr>
            </w:pPr>
            <w:r>
              <w:rPr>
                <w:rFonts w:hint="eastAsia"/>
                <w:highlight w:val="none"/>
              </w:rPr>
              <w:t>无蛛网、无灰尘、无划痕、无污渍、无建筑装修材料残留，阴阳角无暗灰、无异色污染。</w:t>
            </w:r>
          </w:p>
        </w:tc>
      </w:tr>
      <w:tr w14:paraId="31CBA7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6BA810C9">
            <w:pPr>
              <w:pStyle w:val="13"/>
              <w:rPr>
                <w:rFonts w:hint="eastAsia"/>
                <w:highlight w:val="none"/>
              </w:rPr>
            </w:pPr>
          </w:p>
        </w:tc>
        <w:tc>
          <w:tcPr>
            <w:tcW w:w="1083" w:type="pct"/>
            <w:tcBorders>
              <w:left w:val="single" w:color="auto" w:sz="4" w:space="0"/>
            </w:tcBorders>
            <w:vAlign w:val="center"/>
          </w:tcPr>
          <w:p w14:paraId="2998DAFE">
            <w:pPr>
              <w:pStyle w:val="13"/>
              <w:rPr>
                <w:rFonts w:hint="eastAsia"/>
                <w:highlight w:val="none"/>
              </w:rPr>
            </w:pPr>
            <w:r>
              <w:rPr>
                <w:rFonts w:hint="eastAsia"/>
                <w:highlight w:val="none"/>
              </w:rPr>
              <w:t>开关面板</w:t>
            </w:r>
          </w:p>
        </w:tc>
        <w:tc>
          <w:tcPr>
            <w:tcW w:w="3583" w:type="pct"/>
            <w:vAlign w:val="center"/>
          </w:tcPr>
          <w:p w14:paraId="6816125F">
            <w:pPr>
              <w:pStyle w:val="13"/>
              <w:rPr>
                <w:rFonts w:hint="eastAsia"/>
                <w:highlight w:val="none"/>
              </w:rPr>
            </w:pPr>
            <w:r>
              <w:rPr>
                <w:rFonts w:hint="eastAsia"/>
                <w:highlight w:val="none"/>
              </w:rPr>
              <w:t>无灰尘、无划痕、无污渍、无水泥迹、无涂料斑点。</w:t>
            </w:r>
          </w:p>
        </w:tc>
      </w:tr>
      <w:tr w14:paraId="2B470D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6CD342DB">
            <w:pPr>
              <w:pStyle w:val="13"/>
              <w:rPr>
                <w:rFonts w:hint="eastAsia"/>
                <w:highlight w:val="none"/>
              </w:rPr>
            </w:pPr>
          </w:p>
        </w:tc>
        <w:tc>
          <w:tcPr>
            <w:tcW w:w="1083" w:type="pct"/>
            <w:tcBorders>
              <w:left w:val="single" w:color="auto" w:sz="4" w:space="0"/>
            </w:tcBorders>
            <w:vAlign w:val="center"/>
          </w:tcPr>
          <w:p w14:paraId="7FB8B5CE">
            <w:pPr>
              <w:pStyle w:val="13"/>
              <w:rPr>
                <w:rFonts w:hint="eastAsia"/>
                <w:highlight w:val="none"/>
              </w:rPr>
            </w:pPr>
            <w:r>
              <w:rPr>
                <w:rFonts w:hint="eastAsia"/>
                <w:highlight w:val="none"/>
              </w:rPr>
              <w:t>电箱</w:t>
            </w:r>
          </w:p>
        </w:tc>
        <w:tc>
          <w:tcPr>
            <w:tcW w:w="3583" w:type="pct"/>
            <w:vAlign w:val="center"/>
          </w:tcPr>
          <w:p w14:paraId="6C238F8D">
            <w:pPr>
              <w:pStyle w:val="13"/>
              <w:rPr>
                <w:rFonts w:hint="eastAsia"/>
                <w:highlight w:val="none"/>
              </w:rPr>
            </w:pPr>
            <w:r>
              <w:rPr>
                <w:rFonts w:hint="eastAsia"/>
                <w:highlight w:val="none"/>
              </w:rPr>
              <w:t>无粘贴物、无灰尘、无划痕、无污渍、无水泥迹、无涂料斑点、金属制品无锈渍。</w:t>
            </w:r>
          </w:p>
        </w:tc>
      </w:tr>
      <w:tr w14:paraId="46B61E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5FEA76B9">
            <w:pPr>
              <w:pStyle w:val="13"/>
              <w:rPr>
                <w:rFonts w:hint="eastAsia"/>
                <w:highlight w:val="none"/>
              </w:rPr>
            </w:pPr>
          </w:p>
        </w:tc>
        <w:tc>
          <w:tcPr>
            <w:tcW w:w="1083" w:type="pct"/>
            <w:tcBorders>
              <w:left w:val="single" w:color="auto" w:sz="4" w:space="0"/>
            </w:tcBorders>
            <w:vAlign w:val="center"/>
          </w:tcPr>
          <w:p w14:paraId="40D988F3">
            <w:pPr>
              <w:pStyle w:val="13"/>
              <w:rPr>
                <w:rFonts w:hint="eastAsia"/>
                <w:highlight w:val="none"/>
              </w:rPr>
            </w:pPr>
            <w:r>
              <w:rPr>
                <w:rFonts w:hint="eastAsia"/>
                <w:highlight w:val="none"/>
              </w:rPr>
              <w:t>线管及管道</w:t>
            </w:r>
          </w:p>
        </w:tc>
        <w:tc>
          <w:tcPr>
            <w:tcW w:w="3583" w:type="pct"/>
            <w:vAlign w:val="center"/>
          </w:tcPr>
          <w:p w14:paraId="7467A1C6">
            <w:pPr>
              <w:pStyle w:val="13"/>
              <w:rPr>
                <w:rFonts w:hint="eastAsia"/>
                <w:highlight w:val="none"/>
              </w:rPr>
            </w:pPr>
            <w:r>
              <w:rPr>
                <w:rFonts w:hint="eastAsia"/>
                <w:highlight w:val="none"/>
              </w:rPr>
              <w:t>内部无杂物、无泥沙、无污渍，外部表面清洁、金属制品无锈渍。</w:t>
            </w:r>
          </w:p>
        </w:tc>
      </w:tr>
      <w:tr w14:paraId="570043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restart"/>
            <w:tcBorders>
              <w:right w:val="single" w:color="auto" w:sz="4" w:space="0"/>
            </w:tcBorders>
            <w:vAlign w:val="center"/>
          </w:tcPr>
          <w:p w14:paraId="53B9C184">
            <w:pPr>
              <w:pStyle w:val="13"/>
              <w:rPr>
                <w:rFonts w:hint="eastAsia"/>
                <w:highlight w:val="none"/>
              </w:rPr>
            </w:pPr>
            <w:r>
              <w:rPr>
                <w:rFonts w:hint="eastAsia"/>
                <w:highlight w:val="none"/>
              </w:rPr>
              <w:t>室外区域</w:t>
            </w:r>
          </w:p>
        </w:tc>
        <w:tc>
          <w:tcPr>
            <w:tcW w:w="1083" w:type="pct"/>
            <w:tcBorders>
              <w:left w:val="single" w:color="auto" w:sz="4" w:space="0"/>
            </w:tcBorders>
            <w:vAlign w:val="center"/>
          </w:tcPr>
          <w:p w14:paraId="1841CC35">
            <w:pPr>
              <w:pStyle w:val="13"/>
              <w:rPr>
                <w:rFonts w:hint="eastAsia"/>
                <w:highlight w:val="none"/>
              </w:rPr>
            </w:pPr>
            <w:r>
              <w:rPr>
                <w:rFonts w:hint="eastAsia"/>
                <w:highlight w:val="none"/>
              </w:rPr>
              <w:t>外墙面</w:t>
            </w:r>
          </w:p>
        </w:tc>
        <w:tc>
          <w:tcPr>
            <w:tcW w:w="3583" w:type="pct"/>
            <w:vAlign w:val="center"/>
          </w:tcPr>
          <w:p w14:paraId="2F43CC45">
            <w:pPr>
              <w:pStyle w:val="13"/>
              <w:rPr>
                <w:rFonts w:hint="eastAsia"/>
                <w:highlight w:val="none"/>
              </w:rPr>
            </w:pPr>
            <w:r>
              <w:rPr>
                <w:rFonts w:hint="eastAsia"/>
                <w:highlight w:val="none"/>
              </w:rPr>
              <w:t>无粘贴物、无灰尘、无污渍、无建筑装修材料残留、无印迹、无划痕、无胶渍等异物、无异色污染，石材、瓷砖墙面需保持光亮。</w:t>
            </w:r>
          </w:p>
        </w:tc>
      </w:tr>
      <w:tr w14:paraId="683CF5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4031A1DC">
            <w:pPr>
              <w:pStyle w:val="13"/>
              <w:rPr>
                <w:rFonts w:hint="eastAsia"/>
                <w:highlight w:val="none"/>
              </w:rPr>
            </w:pPr>
          </w:p>
        </w:tc>
        <w:tc>
          <w:tcPr>
            <w:tcW w:w="1083" w:type="pct"/>
            <w:tcBorders>
              <w:left w:val="single" w:color="auto" w:sz="4" w:space="0"/>
            </w:tcBorders>
            <w:vAlign w:val="center"/>
          </w:tcPr>
          <w:p w14:paraId="4B1B567A">
            <w:pPr>
              <w:pStyle w:val="13"/>
              <w:rPr>
                <w:rFonts w:hint="eastAsia"/>
                <w:highlight w:val="none"/>
              </w:rPr>
            </w:pPr>
            <w:r>
              <w:rPr>
                <w:rFonts w:hint="eastAsia"/>
                <w:highlight w:val="none"/>
              </w:rPr>
              <w:t>屋顶（含天沟）</w:t>
            </w:r>
          </w:p>
        </w:tc>
        <w:tc>
          <w:tcPr>
            <w:tcW w:w="3583" w:type="pct"/>
            <w:vAlign w:val="center"/>
          </w:tcPr>
          <w:p w14:paraId="72D17330">
            <w:pPr>
              <w:pStyle w:val="13"/>
              <w:rPr>
                <w:rFonts w:hint="eastAsia"/>
                <w:highlight w:val="none"/>
              </w:rPr>
            </w:pPr>
            <w:r>
              <w:rPr>
                <w:rFonts w:hint="eastAsia"/>
                <w:highlight w:val="none"/>
              </w:rPr>
              <w:t>无积水、无泥沙、无垃圾杂物、无建筑材料残留，面层显本色。</w:t>
            </w:r>
          </w:p>
        </w:tc>
      </w:tr>
      <w:tr w14:paraId="062479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05AB624C">
            <w:pPr>
              <w:pStyle w:val="13"/>
              <w:rPr>
                <w:rFonts w:hint="eastAsia"/>
                <w:highlight w:val="none"/>
              </w:rPr>
            </w:pPr>
          </w:p>
        </w:tc>
        <w:tc>
          <w:tcPr>
            <w:tcW w:w="1083" w:type="pct"/>
            <w:tcBorders>
              <w:left w:val="single" w:color="auto" w:sz="4" w:space="0"/>
            </w:tcBorders>
            <w:vAlign w:val="center"/>
          </w:tcPr>
          <w:p w14:paraId="1AE6B7E8">
            <w:pPr>
              <w:pStyle w:val="13"/>
              <w:rPr>
                <w:rFonts w:hint="eastAsia"/>
                <w:highlight w:val="none"/>
              </w:rPr>
            </w:pPr>
            <w:r>
              <w:rPr>
                <w:rFonts w:hint="eastAsia"/>
                <w:highlight w:val="none"/>
              </w:rPr>
              <w:t>室外地面</w:t>
            </w:r>
          </w:p>
        </w:tc>
        <w:tc>
          <w:tcPr>
            <w:tcW w:w="3583" w:type="pct"/>
            <w:vAlign w:val="center"/>
          </w:tcPr>
          <w:p w14:paraId="2029FEE6">
            <w:pPr>
              <w:pStyle w:val="13"/>
              <w:rPr>
                <w:rFonts w:hint="eastAsia"/>
                <w:highlight w:val="none"/>
              </w:rPr>
            </w:pPr>
            <w:r>
              <w:rPr>
                <w:rFonts w:hint="eastAsia"/>
                <w:highlight w:val="none"/>
              </w:rPr>
              <w:t>无粘贴物、无垃圾、无积砂、无印迹、无异色污染。</w:t>
            </w:r>
          </w:p>
        </w:tc>
      </w:tr>
      <w:tr w14:paraId="050A81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404A637B">
            <w:pPr>
              <w:pStyle w:val="13"/>
              <w:rPr>
                <w:rFonts w:hint="eastAsia"/>
                <w:highlight w:val="none"/>
              </w:rPr>
            </w:pPr>
          </w:p>
        </w:tc>
        <w:tc>
          <w:tcPr>
            <w:tcW w:w="1083" w:type="pct"/>
            <w:tcBorders>
              <w:left w:val="single" w:color="auto" w:sz="4" w:space="0"/>
            </w:tcBorders>
            <w:vAlign w:val="center"/>
          </w:tcPr>
          <w:p w14:paraId="00D74A3E">
            <w:pPr>
              <w:pStyle w:val="13"/>
              <w:rPr>
                <w:rFonts w:hint="eastAsia"/>
                <w:highlight w:val="none"/>
              </w:rPr>
            </w:pPr>
            <w:r>
              <w:rPr>
                <w:rFonts w:hint="eastAsia"/>
                <w:highlight w:val="none"/>
              </w:rPr>
              <w:t>室外道路</w:t>
            </w:r>
          </w:p>
        </w:tc>
        <w:tc>
          <w:tcPr>
            <w:tcW w:w="3583" w:type="pct"/>
            <w:vAlign w:val="center"/>
          </w:tcPr>
          <w:p w14:paraId="5E47D6DB">
            <w:pPr>
              <w:pStyle w:val="13"/>
              <w:rPr>
                <w:rFonts w:hint="eastAsia"/>
                <w:highlight w:val="none"/>
              </w:rPr>
            </w:pPr>
            <w:r>
              <w:rPr>
                <w:rFonts w:hint="eastAsia"/>
                <w:highlight w:val="none"/>
              </w:rPr>
              <w:t>无粘贴物、无垃圾、无积砂、无异色污染。</w:t>
            </w:r>
          </w:p>
        </w:tc>
      </w:tr>
      <w:tr w14:paraId="264941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7F1501AC">
            <w:pPr>
              <w:pStyle w:val="13"/>
              <w:rPr>
                <w:rFonts w:hint="eastAsia"/>
                <w:highlight w:val="none"/>
              </w:rPr>
            </w:pPr>
          </w:p>
        </w:tc>
        <w:tc>
          <w:tcPr>
            <w:tcW w:w="1083" w:type="pct"/>
            <w:tcBorders>
              <w:left w:val="single" w:color="auto" w:sz="4" w:space="0"/>
            </w:tcBorders>
            <w:vAlign w:val="center"/>
          </w:tcPr>
          <w:p w14:paraId="63EE2F13">
            <w:pPr>
              <w:pStyle w:val="13"/>
              <w:rPr>
                <w:rFonts w:hint="eastAsia"/>
                <w:highlight w:val="none"/>
              </w:rPr>
            </w:pPr>
            <w:r>
              <w:rPr>
                <w:rFonts w:hint="eastAsia"/>
                <w:highlight w:val="none"/>
              </w:rPr>
              <w:t>线管及管道</w:t>
            </w:r>
          </w:p>
        </w:tc>
        <w:tc>
          <w:tcPr>
            <w:tcW w:w="3583" w:type="pct"/>
            <w:vAlign w:val="center"/>
          </w:tcPr>
          <w:p w14:paraId="4390D507">
            <w:pPr>
              <w:pStyle w:val="13"/>
              <w:rPr>
                <w:rFonts w:hint="eastAsia"/>
                <w:highlight w:val="none"/>
              </w:rPr>
            </w:pPr>
            <w:r>
              <w:rPr>
                <w:rFonts w:hint="eastAsia"/>
                <w:highlight w:val="none"/>
              </w:rPr>
              <w:t>内部无杂物、无泥沙、无污渍，外部表面清洁、金属制品无锈渍。</w:t>
            </w:r>
          </w:p>
        </w:tc>
      </w:tr>
      <w:tr w14:paraId="123BD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restart"/>
            <w:tcBorders>
              <w:right w:val="single" w:color="auto" w:sz="4" w:space="0"/>
            </w:tcBorders>
            <w:vAlign w:val="center"/>
          </w:tcPr>
          <w:p w14:paraId="635B76BF">
            <w:pPr>
              <w:pStyle w:val="13"/>
              <w:rPr>
                <w:rFonts w:hint="eastAsia"/>
                <w:highlight w:val="none"/>
              </w:rPr>
            </w:pPr>
            <w:r>
              <w:rPr>
                <w:rFonts w:hint="eastAsia"/>
                <w:highlight w:val="none"/>
              </w:rPr>
              <w:t>地下车库</w:t>
            </w:r>
          </w:p>
        </w:tc>
        <w:tc>
          <w:tcPr>
            <w:tcW w:w="1083" w:type="pct"/>
            <w:tcBorders>
              <w:left w:val="single" w:color="auto" w:sz="4" w:space="0"/>
            </w:tcBorders>
            <w:vAlign w:val="center"/>
          </w:tcPr>
          <w:p w14:paraId="46E771AD">
            <w:pPr>
              <w:pStyle w:val="13"/>
              <w:rPr>
                <w:rFonts w:hint="eastAsia"/>
                <w:highlight w:val="none"/>
              </w:rPr>
            </w:pPr>
            <w:r>
              <w:rPr>
                <w:rFonts w:hint="eastAsia"/>
                <w:highlight w:val="none"/>
              </w:rPr>
              <w:t>地面</w:t>
            </w:r>
          </w:p>
        </w:tc>
        <w:tc>
          <w:tcPr>
            <w:tcW w:w="3583" w:type="pct"/>
            <w:vAlign w:val="center"/>
          </w:tcPr>
          <w:p w14:paraId="3800D017">
            <w:pPr>
              <w:pStyle w:val="13"/>
              <w:rPr>
                <w:rFonts w:hint="eastAsia"/>
                <w:highlight w:val="none"/>
              </w:rPr>
            </w:pPr>
            <w:r>
              <w:rPr>
                <w:rFonts w:hint="eastAsia"/>
                <w:highlight w:val="none"/>
              </w:rPr>
              <w:t>无积水、无泥沙、无灰尘、无污渍、无垃圾杂物、无建筑装修材料残留。</w:t>
            </w:r>
          </w:p>
        </w:tc>
      </w:tr>
      <w:tr w14:paraId="5008A3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1DDFD750">
            <w:pPr>
              <w:pStyle w:val="13"/>
              <w:rPr>
                <w:rFonts w:hint="eastAsia"/>
                <w:highlight w:val="none"/>
              </w:rPr>
            </w:pPr>
          </w:p>
        </w:tc>
        <w:tc>
          <w:tcPr>
            <w:tcW w:w="1083" w:type="pct"/>
            <w:tcBorders>
              <w:left w:val="single" w:color="auto" w:sz="4" w:space="0"/>
            </w:tcBorders>
            <w:vAlign w:val="center"/>
          </w:tcPr>
          <w:p w14:paraId="2F53D44E">
            <w:pPr>
              <w:pStyle w:val="13"/>
              <w:rPr>
                <w:rFonts w:hint="eastAsia"/>
                <w:highlight w:val="none"/>
              </w:rPr>
            </w:pPr>
            <w:r>
              <w:rPr>
                <w:rFonts w:hint="eastAsia"/>
                <w:highlight w:val="none"/>
              </w:rPr>
              <w:t>墙面</w:t>
            </w:r>
          </w:p>
        </w:tc>
        <w:tc>
          <w:tcPr>
            <w:tcW w:w="3583" w:type="pct"/>
            <w:vAlign w:val="center"/>
          </w:tcPr>
          <w:p w14:paraId="3E048FAD">
            <w:pPr>
              <w:pStyle w:val="13"/>
              <w:rPr>
                <w:rFonts w:hint="eastAsia"/>
                <w:highlight w:val="none"/>
              </w:rPr>
            </w:pPr>
            <w:r>
              <w:rPr>
                <w:rFonts w:hint="eastAsia"/>
                <w:highlight w:val="none"/>
              </w:rPr>
              <w:t>无粘贴物、无灰尘、无污渍、无建筑装修材料残留、无印迹、无划痕、无胶渍等异物、无异色污染，石材面须打蜡处理</w:t>
            </w:r>
          </w:p>
        </w:tc>
      </w:tr>
      <w:tr w14:paraId="578FDA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7672AD04">
            <w:pPr>
              <w:pStyle w:val="13"/>
              <w:rPr>
                <w:rFonts w:hint="eastAsia"/>
                <w:highlight w:val="none"/>
              </w:rPr>
            </w:pPr>
          </w:p>
        </w:tc>
        <w:tc>
          <w:tcPr>
            <w:tcW w:w="1083" w:type="pct"/>
            <w:tcBorders>
              <w:left w:val="single" w:color="auto" w:sz="4" w:space="0"/>
            </w:tcBorders>
            <w:vAlign w:val="center"/>
          </w:tcPr>
          <w:p w14:paraId="28646E89">
            <w:pPr>
              <w:pStyle w:val="13"/>
              <w:rPr>
                <w:rFonts w:hint="eastAsia"/>
                <w:highlight w:val="none"/>
              </w:rPr>
            </w:pPr>
            <w:r>
              <w:rPr>
                <w:rFonts w:hint="eastAsia"/>
                <w:highlight w:val="none"/>
              </w:rPr>
              <w:t>天棚</w:t>
            </w:r>
          </w:p>
        </w:tc>
        <w:tc>
          <w:tcPr>
            <w:tcW w:w="3583" w:type="pct"/>
            <w:vAlign w:val="center"/>
          </w:tcPr>
          <w:p w14:paraId="2FF14FD1">
            <w:pPr>
              <w:pStyle w:val="13"/>
              <w:rPr>
                <w:rFonts w:hint="eastAsia"/>
                <w:highlight w:val="none"/>
              </w:rPr>
            </w:pPr>
            <w:r>
              <w:rPr>
                <w:rFonts w:hint="eastAsia"/>
                <w:highlight w:val="none"/>
              </w:rPr>
              <w:t>无蛛网、无灰尘、无划痕、无污渍、无建筑装修材料残留，阴阳角无暗灰、无异色污染。</w:t>
            </w:r>
          </w:p>
        </w:tc>
      </w:tr>
      <w:tr w14:paraId="3A9D7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44C97DBB">
            <w:pPr>
              <w:pStyle w:val="13"/>
              <w:rPr>
                <w:rFonts w:hint="eastAsia"/>
                <w:highlight w:val="none"/>
              </w:rPr>
            </w:pPr>
          </w:p>
        </w:tc>
        <w:tc>
          <w:tcPr>
            <w:tcW w:w="1083" w:type="pct"/>
            <w:tcBorders>
              <w:left w:val="single" w:color="auto" w:sz="4" w:space="0"/>
            </w:tcBorders>
            <w:shd w:val="clear" w:color="auto" w:fill="auto"/>
            <w:vAlign w:val="center"/>
          </w:tcPr>
          <w:p w14:paraId="00E93C90">
            <w:pPr>
              <w:pStyle w:val="13"/>
              <w:rPr>
                <w:rFonts w:hint="eastAsia"/>
                <w:highlight w:val="none"/>
              </w:rPr>
            </w:pPr>
            <w:r>
              <w:rPr>
                <w:rFonts w:hint="eastAsia"/>
                <w:highlight w:val="none"/>
              </w:rPr>
              <w:t>扶手</w:t>
            </w:r>
          </w:p>
        </w:tc>
        <w:tc>
          <w:tcPr>
            <w:tcW w:w="3583" w:type="pct"/>
            <w:shd w:val="clear" w:color="auto" w:fill="auto"/>
            <w:vAlign w:val="center"/>
          </w:tcPr>
          <w:p w14:paraId="0EC51AAF">
            <w:pPr>
              <w:pStyle w:val="13"/>
              <w:rPr>
                <w:rFonts w:hint="eastAsia"/>
                <w:highlight w:val="none"/>
              </w:rPr>
            </w:pPr>
            <w:r>
              <w:rPr>
                <w:rFonts w:hint="eastAsia"/>
                <w:highlight w:val="none"/>
              </w:rPr>
              <w:t>无水泥渍、无灰尘、无涂料、无水迹、无污迹、洁净</w:t>
            </w:r>
          </w:p>
        </w:tc>
      </w:tr>
      <w:tr w14:paraId="77C8F6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453151EB">
            <w:pPr>
              <w:pStyle w:val="13"/>
              <w:rPr>
                <w:rFonts w:hint="eastAsia"/>
                <w:highlight w:val="none"/>
              </w:rPr>
            </w:pPr>
          </w:p>
        </w:tc>
        <w:tc>
          <w:tcPr>
            <w:tcW w:w="1083" w:type="pct"/>
            <w:tcBorders>
              <w:left w:val="single" w:color="auto" w:sz="4" w:space="0"/>
            </w:tcBorders>
            <w:shd w:val="clear" w:color="auto" w:fill="auto"/>
            <w:vAlign w:val="center"/>
          </w:tcPr>
          <w:p w14:paraId="10207D64">
            <w:pPr>
              <w:pStyle w:val="13"/>
              <w:rPr>
                <w:rFonts w:hint="eastAsia"/>
                <w:highlight w:val="none"/>
              </w:rPr>
            </w:pPr>
            <w:r>
              <w:rPr>
                <w:rFonts w:hint="eastAsia"/>
                <w:highlight w:val="none"/>
              </w:rPr>
              <w:t>消防栓、灭火器</w:t>
            </w:r>
          </w:p>
        </w:tc>
        <w:tc>
          <w:tcPr>
            <w:tcW w:w="3583" w:type="pct"/>
            <w:shd w:val="clear" w:color="auto" w:fill="auto"/>
            <w:vAlign w:val="center"/>
          </w:tcPr>
          <w:p w14:paraId="497710B6">
            <w:pPr>
              <w:pStyle w:val="13"/>
              <w:rPr>
                <w:rFonts w:hint="eastAsia"/>
                <w:highlight w:val="none"/>
              </w:rPr>
            </w:pPr>
            <w:r>
              <w:rPr>
                <w:rFonts w:hint="eastAsia"/>
                <w:highlight w:val="none"/>
              </w:rPr>
              <w:t>无水泥渍、无油漆、涂料及污渍、无灰尘、无水迹、无蜘蛛网</w:t>
            </w:r>
          </w:p>
        </w:tc>
      </w:tr>
      <w:tr w14:paraId="63FE43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73A4706C">
            <w:pPr>
              <w:pStyle w:val="13"/>
              <w:rPr>
                <w:rFonts w:hint="eastAsia"/>
                <w:highlight w:val="none"/>
              </w:rPr>
            </w:pPr>
          </w:p>
        </w:tc>
        <w:tc>
          <w:tcPr>
            <w:tcW w:w="1083" w:type="pct"/>
            <w:tcBorders>
              <w:left w:val="single" w:color="auto" w:sz="4" w:space="0"/>
            </w:tcBorders>
            <w:shd w:val="clear" w:color="auto" w:fill="auto"/>
            <w:vAlign w:val="center"/>
          </w:tcPr>
          <w:p w14:paraId="0679D1CE">
            <w:pPr>
              <w:pStyle w:val="13"/>
              <w:rPr>
                <w:rFonts w:hint="eastAsia"/>
                <w:highlight w:val="none"/>
              </w:rPr>
            </w:pPr>
            <w:r>
              <w:rPr>
                <w:rFonts w:hint="eastAsia"/>
                <w:highlight w:val="none"/>
              </w:rPr>
              <w:t>电源开关、盖板</w:t>
            </w:r>
          </w:p>
        </w:tc>
        <w:tc>
          <w:tcPr>
            <w:tcW w:w="3583" w:type="pct"/>
            <w:shd w:val="clear" w:color="auto" w:fill="auto"/>
            <w:vAlign w:val="center"/>
          </w:tcPr>
          <w:p w14:paraId="0A7274FA">
            <w:pPr>
              <w:pStyle w:val="13"/>
              <w:rPr>
                <w:rFonts w:hint="eastAsia"/>
                <w:highlight w:val="none"/>
              </w:rPr>
            </w:pPr>
            <w:r>
              <w:rPr>
                <w:rFonts w:hint="eastAsia"/>
                <w:highlight w:val="none"/>
              </w:rPr>
              <w:t>无水泥渍、无油漆、涂料及污渍、无灰尘、洁净</w:t>
            </w:r>
          </w:p>
        </w:tc>
      </w:tr>
      <w:tr w14:paraId="701A80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2C737DC7">
            <w:pPr>
              <w:pStyle w:val="13"/>
              <w:rPr>
                <w:rFonts w:hint="eastAsia"/>
                <w:highlight w:val="none"/>
              </w:rPr>
            </w:pPr>
          </w:p>
        </w:tc>
        <w:tc>
          <w:tcPr>
            <w:tcW w:w="1983" w:type="dxa"/>
            <w:tcBorders>
              <w:left w:val="single" w:color="auto" w:sz="4" w:space="0"/>
            </w:tcBorders>
            <w:shd w:val="clear" w:color="auto" w:fill="auto"/>
            <w:vAlign w:val="center"/>
          </w:tcPr>
          <w:p w14:paraId="65ACFC2E">
            <w:pPr>
              <w:pStyle w:val="13"/>
              <w:rPr>
                <w:rFonts w:hint="eastAsia"/>
                <w:highlight w:val="none"/>
              </w:rPr>
            </w:pPr>
            <w:r>
              <w:rPr>
                <w:rFonts w:hint="eastAsia"/>
                <w:highlight w:val="none"/>
              </w:rPr>
              <w:t>贴脚线</w:t>
            </w:r>
          </w:p>
        </w:tc>
        <w:tc>
          <w:tcPr>
            <w:tcW w:w="6559" w:type="dxa"/>
            <w:shd w:val="clear" w:color="auto" w:fill="auto"/>
            <w:vAlign w:val="center"/>
          </w:tcPr>
          <w:p w14:paraId="38535617">
            <w:pPr>
              <w:pStyle w:val="13"/>
              <w:rPr>
                <w:rFonts w:hint="eastAsia"/>
                <w:highlight w:val="none"/>
              </w:rPr>
            </w:pPr>
            <w:r>
              <w:rPr>
                <w:rFonts w:hint="eastAsia"/>
                <w:highlight w:val="none"/>
              </w:rPr>
              <w:t>无水泥渍、无油漆、无涂料及污迹、无垃圾、无灰尘、无水迹、光亮、无蜘蛛网、无乱贴乱画、石材面须打蜡处理</w:t>
            </w:r>
          </w:p>
        </w:tc>
      </w:tr>
      <w:tr w14:paraId="21D82F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43D2E1BE">
            <w:pPr>
              <w:pStyle w:val="13"/>
              <w:rPr>
                <w:rFonts w:hint="eastAsia"/>
                <w:highlight w:val="none"/>
              </w:rPr>
            </w:pPr>
          </w:p>
        </w:tc>
        <w:tc>
          <w:tcPr>
            <w:tcW w:w="1983" w:type="dxa"/>
            <w:tcBorders>
              <w:left w:val="single" w:color="auto" w:sz="4" w:space="0"/>
            </w:tcBorders>
            <w:shd w:val="clear" w:color="auto" w:fill="auto"/>
            <w:vAlign w:val="center"/>
          </w:tcPr>
          <w:p w14:paraId="0C2B17A9">
            <w:pPr>
              <w:pStyle w:val="13"/>
              <w:rPr>
                <w:rFonts w:hint="eastAsia"/>
                <w:highlight w:val="none"/>
              </w:rPr>
            </w:pPr>
            <w:r>
              <w:rPr>
                <w:rFonts w:hint="eastAsia"/>
                <w:highlight w:val="none"/>
              </w:rPr>
              <w:t>灯罩</w:t>
            </w:r>
          </w:p>
        </w:tc>
        <w:tc>
          <w:tcPr>
            <w:tcW w:w="6559" w:type="dxa"/>
            <w:shd w:val="clear" w:color="auto" w:fill="auto"/>
            <w:vAlign w:val="center"/>
          </w:tcPr>
          <w:p w14:paraId="6C375581">
            <w:pPr>
              <w:pStyle w:val="13"/>
              <w:rPr>
                <w:rFonts w:hint="eastAsia"/>
                <w:highlight w:val="none"/>
              </w:rPr>
            </w:pPr>
            <w:r>
              <w:rPr>
                <w:rFonts w:hint="eastAsia"/>
                <w:highlight w:val="none"/>
              </w:rPr>
              <w:t>无涂料、无胶迹、无污渍、无灰尘</w:t>
            </w:r>
          </w:p>
        </w:tc>
      </w:tr>
      <w:tr w14:paraId="367685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7D90C813">
            <w:pPr>
              <w:pStyle w:val="13"/>
              <w:rPr>
                <w:rFonts w:hint="eastAsia"/>
                <w:highlight w:val="none"/>
              </w:rPr>
            </w:pPr>
          </w:p>
        </w:tc>
        <w:tc>
          <w:tcPr>
            <w:tcW w:w="1983" w:type="dxa"/>
            <w:tcBorders>
              <w:left w:val="single" w:color="auto" w:sz="4" w:space="0"/>
            </w:tcBorders>
            <w:shd w:val="clear" w:color="auto" w:fill="auto"/>
            <w:vAlign w:val="center"/>
          </w:tcPr>
          <w:p w14:paraId="36588B5F">
            <w:pPr>
              <w:pStyle w:val="13"/>
              <w:rPr>
                <w:rFonts w:hint="eastAsia"/>
                <w:highlight w:val="none"/>
              </w:rPr>
            </w:pPr>
            <w:r>
              <w:rPr>
                <w:rFonts w:hint="eastAsia"/>
                <w:highlight w:val="none"/>
              </w:rPr>
              <w:t>配电箱及附属管道</w:t>
            </w:r>
          </w:p>
        </w:tc>
        <w:tc>
          <w:tcPr>
            <w:tcW w:w="6559" w:type="dxa"/>
            <w:shd w:val="clear" w:color="auto" w:fill="auto"/>
            <w:vAlign w:val="center"/>
          </w:tcPr>
          <w:p w14:paraId="7DE788C2">
            <w:pPr>
              <w:pStyle w:val="13"/>
              <w:rPr>
                <w:rFonts w:hint="eastAsia"/>
                <w:highlight w:val="none"/>
              </w:rPr>
            </w:pPr>
            <w:r>
              <w:rPr>
                <w:rFonts w:hint="eastAsia"/>
                <w:highlight w:val="none"/>
              </w:rPr>
              <w:t>无涂料、无水泥渍、无胶迹、无污迹、无灰尘</w:t>
            </w:r>
          </w:p>
        </w:tc>
      </w:tr>
      <w:tr w14:paraId="5F1DC9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7BDCC50E">
            <w:pPr>
              <w:pStyle w:val="13"/>
              <w:rPr>
                <w:rFonts w:hint="eastAsia"/>
                <w:highlight w:val="none"/>
              </w:rPr>
            </w:pPr>
          </w:p>
        </w:tc>
        <w:tc>
          <w:tcPr>
            <w:tcW w:w="1983" w:type="dxa"/>
            <w:tcBorders>
              <w:left w:val="single" w:color="auto" w:sz="4" w:space="0"/>
            </w:tcBorders>
            <w:shd w:val="clear" w:color="auto" w:fill="auto"/>
            <w:vAlign w:val="center"/>
          </w:tcPr>
          <w:p w14:paraId="5F809408">
            <w:pPr>
              <w:pStyle w:val="13"/>
              <w:rPr>
                <w:rFonts w:hint="eastAsia"/>
                <w:highlight w:val="none"/>
              </w:rPr>
            </w:pPr>
            <w:r>
              <w:rPr>
                <w:rFonts w:hint="eastAsia"/>
                <w:highlight w:val="none"/>
              </w:rPr>
              <w:t>管道井及附属管道</w:t>
            </w:r>
          </w:p>
        </w:tc>
        <w:tc>
          <w:tcPr>
            <w:tcW w:w="6559" w:type="dxa"/>
            <w:shd w:val="clear" w:color="auto" w:fill="auto"/>
            <w:vAlign w:val="center"/>
          </w:tcPr>
          <w:p w14:paraId="62BBF11D">
            <w:pPr>
              <w:pStyle w:val="13"/>
              <w:rPr>
                <w:rFonts w:hint="eastAsia"/>
                <w:highlight w:val="none"/>
              </w:rPr>
            </w:pPr>
            <w:r>
              <w:rPr>
                <w:rFonts w:hint="eastAsia"/>
                <w:highlight w:val="none"/>
              </w:rPr>
              <w:t>无垃圾、无杂物、管道上无涂料、无水泥渍、无污迹、无灰尘</w:t>
            </w:r>
          </w:p>
        </w:tc>
      </w:tr>
      <w:tr w14:paraId="3FEB61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14BC269C">
            <w:pPr>
              <w:pStyle w:val="13"/>
              <w:rPr>
                <w:rFonts w:hint="eastAsia"/>
                <w:highlight w:val="none"/>
              </w:rPr>
            </w:pPr>
          </w:p>
        </w:tc>
        <w:tc>
          <w:tcPr>
            <w:tcW w:w="1983" w:type="dxa"/>
            <w:tcBorders>
              <w:left w:val="single" w:color="auto" w:sz="4" w:space="0"/>
            </w:tcBorders>
            <w:shd w:val="clear" w:color="auto" w:fill="auto"/>
            <w:vAlign w:val="center"/>
          </w:tcPr>
          <w:p w14:paraId="1121DEEE">
            <w:pPr>
              <w:pStyle w:val="13"/>
              <w:rPr>
                <w:rFonts w:hint="eastAsia"/>
                <w:highlight w:val="none"/>
              </w:rPr>
            </w:pPr>
            <w:r>
              <w:rPr>
                <w:rFonts w:hint="eastAsia"/>
                <w:highlight w:val="none"/>
              </w:rPr>
              <w:t>不锈钢、钛金部件</w:t>
            </w:r>
          </w:p>
        </w:tc>
        <w:tc>
          <w:tcPr>
            <w:tcW w:w="6559" w:type="dxa"/>
            <w:shd w:val="clear" w:color="auto" w:fill="auto"/>
            <w:vAlign w:val="center"/>
          </w:tcPr>
          <w:p w14:paraId="5B720309">
            <w:pPr>
              <w:pStyle w:val="13"/>
              <w:rPr>
                <w:rFonts w:hint="eastAsia"/>
                <w:highlight w:val="none"/>
              </w:rPr>
            </w:pPr>
            <w:r>
              <w:rPr>
                <w:rFonts w:hint="eastAsia"/>
                <w:highlight w:val="none"/>
              </w:rPr>
              <w:t>无油漆、无涂料、无胶迹、无污迹、无灰尘、无水印、无手印、有光泽度、上专用金属光亮剂</w:t>
            </w:r>
          </w:p>
        </w:tc>
      </w:tr>
      <w:tr w14:paraId="7922B7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4404DDA0">
            <w:pPr>
              <w:pStyle w:val="13"/>
              <w:rPr>
                <w:rFonts w:hint="eastAsia"/>
                <w:highlight w:val="none"/>
              </w:rPr>
            </w:pPr>
          </w:p>
        </w:tc>
        <w:tc>
          <w:tcPr>
            <w:tcW w:w="1983" w:type="dxa"/>
            <w:tcBorders>
              <w:left w:val="single" w:color="auto" w:sz="4" w:space="0"/>
            </w:tcBorders>
            <w:shd w:val="clear" w:color="auto" w:fill="auto"/>
            <w:vAlign w:val="center"/>
          </w:tcPr>
          <w:p w14:paraId="09B70CDC">
            <w:pPr>
              <w:pStyle w:val="13"/>
              <w:rPr>
                <w:rFonts w:hint="eastAsia"/>
                <w:highlight w:val="none"/>
              </w:rPr>
            </w:pPr>
            <w:r>
              <w:rPr>
                <w:rFonts w:hint="eastAsia"/>
                <w:highlight w:val="none"/>
              </w:rPr>
              <w:t>车挡</w:t>
            </w:r>
          </w:p>
        </w:tc>
        <w:tc>
          <w:tcPr>
            <w:tcW w:w="6559" w:type="dxa"/>
            <w:shd w:val="clear" w:color="auto" w:fill="auto"/>
            <w:vAlign w:val="center"/>
          </w:tcPr>
          <w:p w14:paraId="4E74FD35">
            <w:pPr>
              <w:pStyle w:val="13"/>
              <w:rPr>
                <w:rFonts w:hint="eastAsia"/>
                <w:highlight w:val="none"/>
              </w:rPr>
            </w:pPr>
            <w:r>
              <w:rPr>
                <w:rFonts w:hint="eastAsia"/>
                <w:highlight w:val="none"/>
              </w:rPr>
              <w:t>无涂料、无胶迹、无污渍、无灰尘</w:t>
            </w:r>
          </w:p>
        </w:tc>
      </w:tr>
      <w:tr w14:paraId="566995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43DF68D4">
            <w:pPr>
              <w:pStyle w:val="13"/>
              <w:rPr>
                <w:rFonts w:hint="eastAsia"/>
                <w:highlight w:val="none"/>
              </w:rPr>
            </w:pPr>
          </w:p>
        </w:tc>
        <w:tc>
          <w:tcPr>
            <w:tcW w:w="1983" w:type="dxa"/>
            <w:tcBorders>
              <w:left w:val="single" w:color="auto" w:sz="4" w:space="0"/>
            </w:tcBorders>
            <w:shd w:val="clear" w:color="auto" w:fill="auto"/>
            <w:vAlign w:val="center"/>
          </w:tcPr>
          <w:p w14:paraId="6CC57517">
            <w:pPr>
              <w:pStyle w:val="13"/>
              <w:rPr>
                <w:rFonts w:hint="eastAsia"/>
                <w:highlight w:val="none"/>
              </w:rPr>
            </w:pPr>
            <w:r>
              <w:rPr>
                <w:rFonts w:hint="eastAsia"/>
                <w:highlight w:val="none"/>
              </w:rPr>
              <w:t>贴脚线</w:t>
            </w:r>
          </w:p>
        </w:tc>
        <w:tc>
          <w:tcPr>
            <w:tcW w:w="6559" w:type="dxa"/>
            <w:shd w:val="clear" w:color="auto" w:fill="auto"/>
            <w:vAlign w:val="center"/>
          </w:tcPr>
          <w:p w14:paraId="6E29D8A8">
            <w:pPr>
              <w:pStyle w:val="13"/>
              <w:rPr>
                <w:rFonts w:hint="eastAsia"/>
                <w:highlight w:val="none"/>
              </w:rPr>
            </w:pPr>
            <w:r>
              <w:rPr>
                <w:rFonts w:hint="eastAsia"/>
                <w:highlight w:val="none"/>
              </w:rPr>
              <w:t>无水泥渍、无油漆、无涂料及污迹、无垃圾、无灰尘、无水迹、光亮、无蜘蛛网、无乱贴乱画、石材面须打蜡处理</w:t>
            </w:r>
          </w:p>
        </w:tc>
      </w:tr>
      <w:tr w14:paraId="7F25F1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2B87DC7B">
            <w:pPr>
              <w:pStyle w:val="13"/>
              <w:rPr>
                <w:rFonts w:hint="eastAsia"/>
                <w:highlight w:val="none"/>
              </w:rPr>
            </w:pPr>
          </w:p>
        </w:tc>
        <w:tc>
          <w:tcPr>
            <w:tcW w:w="1083" w:type="pct"/>
            <w:tcBorders>
              <w:left w:val="single" w:color="auto" w:sz="4" w:space="0"/>
            </w:tcBorders>
            <w:vAlign w:val="center"/>
          </w:tcPr>
          <w:p w14:paraId="16221C79">
            <w:pPr>
              <w:pStyle w:val="13"/>
              <w:rPr>
                <w:rFonts w:hint="eastAsia"/>
                <w:highlight w:val="none"/>
              </w:rPr>
            </w:pPr>
            <w:r>
              <w:rPr>
                <w:rFonts w:hint="eastAsia"/>
                <w:highlight w:val="none"/>
              </w:rPr>
              <w:t>机电管道</w:t>
            </w:r>
          </w:p>
        </w:tc>
        <w:tc>
          <w:tcPr>
            <w:tcW w:w="3583" w:type="pct"/>
            <w:vAlign w:val="center"/>
          </w:tcPr>
          <w:p w14:paraId="35AB13DE">
            <w:pPr>
              <w:pStyle w:val="13"/>
              <w:rPr>
                <w:rFonts w:hint="eastAsia"/>
                <w:highlight w:val="none"/>
              </w:rPr>
            </w:pPr>
            <w:r>
              <w:rPr>
                <w:rFonts w:hint="eastAsia"/>
                <w:highlight w:val="none"/>
              </w:rPr>
              <w:t>无涂料、胶迹污染，无灰尘，目测洁净。</w:t>
            </w:r>
          </w:p>
        </w:tc>
      </w:tr>
      <w:tr w14:paraId="4AB961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14:paraId="6DA26120">
            <w:pPr>
              <w:pStyle w:val="13"/>
              <w:rPr>
                <w:rFonts w:hint="eastAsia"/>
                <w:highlight w:val="none"/>
              </w:rPr>
            </w:pPr>
          </w:p>
        </w:tc>
        <w:tc>
          <w:tcPr>
            <w:tcW w:w="1083" w:type="pct"/>
            <w:tcBorders>
              <w:left w:val="single" w:color="auto" w:sz="4" w:space="0"/>
            </w:tcBorders>
            <w:vAlign w:val="center"/>
          </w:tcPr>
          <w:p w14:paraId="09750CBA">
            <w:pPr>
              <w:pStyle w:val="13"/>
              <w:rPr>
                <w:rFonts w:hint="eastAsia"/>
                <w:highlight w:val="none"/>
              </w:rPr>
            </w:pPr>
            <w:r>
              <w:rPr>
                <w:rFonts w:hint="eastAsia"/>
                <w:highlight w:val="none"/>
              </w:rPr>
              <w:t>水泵房、设备间等</w:t>
            </w:r>
          </w:p>
        </w:tc>
        <w:tc>
          <w:tcPr>
            <w:tcW w:w="3583" w:type="pct"/>
            <w:vAlign w:val="center"/>
          </w:tcPr>
          <w:p w14:paraId="6A75F809">
            <w:pPr>
              <w:pStyle w:val="13"/>
              <w:rPr>
                <w:rFonts w:hint="eastAsia"/>
                <w:highlight w:val="none"/>
              </w:rPr>
            </w:pPr>
            <w:r>
              <w:rPr>
                <w:rFonts w:hint="eastAsia"/>
                <w:highlight w:val="none"/>
              </w:rPr>
              <w:t>地面无涂料污染，内外无垃圾灰尘。</w:t>
            </w:r>
          </w:p>
        </w:tc>
      </w:tr>
    </w:tbl>
    <w:p w14:paraId="44DEBC2D">
      <w:pPr>
        <w:pStyle w:val="4"/>
        <w:numPr>
          <w:ilvl w:val="2"/>
          <w:numId w:val="13"/>
        </w:numPr>
        <w:rPr>
          <w:rFonts w:hint="eastAsia"/>
          <w:highlight w:val="none"/>
        </w:rPr>
      </w:pPr>
      <w:r>
        <w:rPr>
          <w:highlight w:val="none"/>
        </w:rPr>
        <w:t>工程移交</w:t>
      </w:r>
      <w:bookmarkEnd w:id="309"/>
    </w:p>
    <w:p w14:paraId="2FE5DF2B">
      <w:pPr>
        <w:ind w:firstLine="480"/>
        <w:rPr>
          <w:rFonts w:hint="eastAsia"/>
          <w:highlight w:val="none"/>
        </w:rPr>
      </w:pPr>
      <w:r>
        <w:rPr>
          <w:rFonts w:hint="eastAsia"/>
          <w:highlight w:val="none"/>
        </w:rPr>
        <w:t>竣工</w:t>
      </w:r>
      <w:r>
        <w:rPr>
          <w:highlight w:val="none"/>
        </w:rPr>
        <w:t>备案完成且移交验收完成合格后7日内，</w:t>
      </w:r>
      <w:r>
        <w:rPr>
          <w:rFonts w:hint="eastAsia"/>
          <w:highlight w:val="none"/>
        </w:rPr>
        <w:t>总承包人</w:t>
      </w:r>
      <w:r>
        <w:rPr>
          <w:highlight w:val="none"/>
        </w:rPr>
        <w:t>提交《工程</w:t>
      </w:r>
      <w:r>
        <w:rPr>
          <w:rFonts w:hint="eastAsia"/>
          <w:highlight w:val="none"/>
        </w:rPr>
        <w:t>移交书</w:t>
      </w:r>
      <w:r>
        <w:rPr>
          <w:highlight w:val="none"/>
        </w:rPr>
        <w:t>》，经</w:t>
      </w:r>
      <w:r>
        <w:rPr>
          <w:rFonts w:hint="eastAsia"/>
          <w:highlight w:val="none"/>
        </w:rPr>
        <w:t>监理人、发包人</w:t>
      </w:r>
      <w:r>
        <w:rPr>
          <w:highlight w:val="none"/>
        </w:rPr>
        <w:t>、物业单位（</w:t>
      </w:r>
      <w:r>
        <w:rPr>
          <w:rFonts w:hint="eastAsia"/>
          <w:highlight w:val="none"/>
        </w:rPr>
        <w:t>或发包人</w:t>
      </w:r>
      <w:r>
        <w:rPr>
          <w:highlight w:val="none"/>
        </w:rPr>
        <w:t>指定的其他部门）</w:t>
      </w:r>
      <w:r>
        <w:rPr>
          <w:rFonts w:hint="eastAsia"/>
          <w:highlight w:val="none"/>
        </w:rPr>
        <w:t>检查确认合同范围内工作已完成后</w:t>
      </w:r>
      <w:r>
        <w:rPr>
          <w:highlight w:val="none"/>
        </w:rPr>
        <w:t>签字认可，工程移交完成。</w:t>
      </w:r>
    </w:p>
    <w:p w14:paraId="20AF3FC7">
      <w:pPr>
        <w:pStyle w:val="5"/>
        <w:numPr>
          <w:ilvl w:val="3"/>
          <w:numId w:val="13"/>
        </w:numPr>
        <w:rPr>
          <w:rFonts w:hint="eastAsia"/>
          <w:highlight w:val="none"/>
        </w:rPr>
      </w:pPr>
      <w:r>
        <w:rPr>
          <w:rFonts w:hint="eastAsia"/>
          <w:highlight w:val="none"/>
        </w:rPr>
        <w:t>移交范围</w:t>
      </w:r>
    </w:p>
    <w:p w14:paraId="7E2E6FE2">
      <w:pPr>
        <w:ind w:firstLine="480"/>
        <w:rPr>
          <w:rFonts w:hint="eastAsia"/>
          <w:highlight w:val="none"/>
        </w:rPr>
      </w:pPr>
      <w:r>
        <w:rPr>
          <w:highlight w:val="none"/>
        </w:rPr>
        <w:t xml:space="preserve"> </w:t>
      </w:r>
      <w:r>
        <w:rPr>
          <w:rFonts w:hint="eastAsia"/>
          <w:highlight w:val="none"/>
        </w:rPr>
        <w:t>工程项目移交的范围包括工程资料移交、工程实体移交（含备品备件）和使用维护管理移交（含设备维护培训及交底）。</w:t>
      </w:r>
    </w:p>
    <w:p w14:paraId="568732F4">
      <w:pPr>
        <w:ind w:firstLine="480"/>
        <w:rPr>
          <w:rFonts w:hint="eastAsia"/>
          <w:highlight w:val="none"/>
        </w:rPr>
      </w:pPr>
      <w:r>
        <w:rPr>
          <w:rFonts w:hint="eastAsia"/>
          <w:highlight w:val="none"/>
        </w:rPr>
        <w:t>（1）工程资料移交</w:t>
      </w:r>
    </w:p>
    <w:p w14:paraId="1BBA8C3D">
      <w:pPr>
        <w:ind w:firstLine="480"/>
        <w:rPr>
          <w:rFonts w:hint="eastAsia"/>
          <w:highlight w:val="none"/>
        </w:rPr>
      </w:pPr>
      <w:r>
        <w:rPr>
          <w:rFonts w:hint="eastAsia"/>
          <w:highlight w:val="none"/>
        </w:rPr>
        <w:t>工程竣工资料包括工程建设前期有关资料、工程技术管理资料、竣工验收备案资 料等。承包人在工程实施过程中及工程竣工后，应对各类工程文件档案进行收集、整理和查验，确保向发包人移交的工程文件档案资料是真实的、完整的。</w:t>
      </w:r>
    </w:p>
    <w:p w14:paraId="5EA2D294">
      <w:pPr>
        <w:ind w:firstLine="480"/>
        <w:rPr>
          <w:rFonts w:hint="eastAsia"/>
          <w:highlight w:val="none"/>
        </w:rPr>
      </w:pPr>
      <w:r>
        <w:rPr>
          <w:rFonts w:hint="eastAsia"/>
          <w:highlight w:val="none"/>
        </w:rPr>
        <w:t>（2）工程实体移交</w:t>
      </w:r>
    </w:p>
    <w:p w14:paraId="2775707A">
      <w:pPr>
        <w:ind w:firstLine="480"/>
        <w:rPr>
          <w:rFonts w:hint="eastAsia"/>
          <w:highlight w:val="none"/>
        </w:rPr>
      </w:pPr>
      <w:r>
        <w:rPr>
          <w:rFonts w:hint="eastAsia"/>
          <w:highlight w:val="none"/>
        </w:rPr>
        <w:t>承包人在工程移交前，应编制完整的《工程实体移交清单》（含设备材料移交清单、备品备件移交清单），并提供给发包人、监理单位和工程接收单位审核并盖章确认。</w:t>
      </w:r>
    </w:p>
    <w:p w14:paraId="5F68C3B2">
      <w:pPr>
        <w:pStyle w:val="5"/>
        <w:numPr>
          <w:ilvl w:val="3"/>
          <w:numId w:val="13"/>
        </w:numPr>
        <w:rPr>
          <w:rFonts w:hint="eastAsia"/>
          <w:highlight w:val="none"/>
        </w:rPr>
      </w:pPr>
      <w:r>
        <w:rPr>
          <w:rFonts w:hint="eastAsia"/>
          <w:highlight w:val="none"/>
        </w:rPr>
        <w:t>移交前维护</w:t>
      </w:r>
    </w:p>
    <w:p w14:paraId="51287987">
      <w:pPr>
        <w:ind w:firstLine="480"/>
        <w:rPr>
          <w:rFonts w:hint="eastAsia"/>
          <w:highlight w:val="none"/>
        </w:rPr>
      </w:pPr>
      <w:r>
        <w:rPr>
          <w:rFonts w:hint="eastAsia"/>
          <w:highlight w:val="none"/>
        </w:rPr>
        <w:t>在工程竣工验收后至工程移交之前，承包人必须保障：智能化工程、机电工程的正常运行及维护，如在此期间发现工程或工程设备损坏或存在缺陷的，由承包人按质量保证期服务要求的约定进行修复。有关机电设备（含智能化设备）的检测、登记、 使用、运行、维护、耗材、水电气等费用已包含在合同总价中，发包人不另支付；如承包人拒绝维护，且经发包人书面催告后仍未维护的，发包人有权委托第三方维护所需费用由承包人承担。</w:t>
      </w:r>
    </w:p>
    <w:p w14:paraId="18CAFF2C">
      <w:pPr>
        <w:pStyle w:val="5"/>
        <w:numPr>
          <w:ilvl w:val="3"/>
          <w:numId w:val="13"/>
        </w:numPr>
        <w:rPr>
          <w:rFonts w:hint="eastAsia"/>
          <w:highlight w:val="none"/>
        </w:rPr>
      </w:pPr>
      <w:r>
        <w:rPr>
          <w:rFonts w:hint="eastAsia"/>
          <w:highlight w:val="none"/>
        </w:rPr>
        <w:t>移交计划</w:t>
      </w:r>
    </w:p>
    <w:p w14:paraId="3EABE744">
      <w:pPr>
        <w:ind w:firstLine="480"/>
        <w:rPr>
          <w:rFonts w:hint="eastAsia"/>
          <w:highlight w:val="none"/>
        </w:rPr>
      </w:pPr>
      <w:r>
        <w:rPr>
          <w:rFonts w:hint="eastAsia"/>
          <w:highlight w:val="none"/>
        </w:rPr>
        <w:t>承包人应在进行移交工作前编写工程项目移交计划，且移交计划需报发包人及监理单位审核，在经发包人及监理单位审核同意后按计划进行移交。</w:t>
      </w:r>
    </w:p>
    <w:p w14:paraId="63D402F4">
      <w:pPr>
        <w:pStyle w:val="5"/>
        <w:numPr>
          <w:ilvl w:val="3"/>
          <w:numId w:val="13"/>
        </w:numPr>
        <w:rPr>
          <w:rFonts w:hint="eastAsia"/>
          <w:highlight w:val="none"/>
        </w:rPr>
      </w:pPr>
      <w:r>
        <w:rPr>
          <w:rFonts w:hint="eastAsia"/>
          <w:highlight w:val="none"/>
        </w:rPr>
        <w:t>工程移交</w:t>
      </w:r>
    </w:p>
    <w:p w14:paraId="57823004">
      <w:pPr>
        <w:ind w:firstLine="480"/>
        <w:rPr>
          <w:rFonts w:hint="eastAsia"/>
          <w:highlight w:val="none"/>
        </w:rPr>
      </w:pPr>
      <w:r>
        <w:rPr>
          <w:rFonts w:hint="eastAsia"/>
          <w:highlight w:val="none"/>
        </w:rPr>
        <w:t>承包人应在发包人组织的工程移交中向使用单位办理好工程移交，并做好相关的保障、维修及服务。</w:t>
      </w:r>
    </w:p>
    <w:p w14:paraId="38790071">
      <w:pPr>
        <w:ind w:firstLine="480"/>
        <w:rPr>
          <w:rFonts w:hint="eastAsia"/>
          <w:highlight w:val="none"/>
        </w:rPr>
      </w:pPr>
      <w:r>
        <w:rPr>
          <w:rFonts w:hint="eastAsia"/>
          <w:highlight w:val="none"/>
        </w:rPr>
        <w:t>承包人负责对工程竣工验收及工程移交中提出的质量及工程资料问题进行整改，完成 整改后向监理单位提交《工程整改完工报告》申请整改后正式移交。</w:t>
      </w:r>
    </w:p>
    <w:p w14:paraId="1512B39D">
      <w:pPr>
        <w:pStyle w:val="4"/>
        <w:numPr>
          <w:ilvl w:val="2"/>
          <w:numId w:val="13"/>
        </w:numPr>
        <w:rPr>
          <w:rFonts w:hint="eastAsia"/>
          <w:highlight w:val="none"/>
        </w:rPr>
      </w:pPr>
      <w:bookmarkStart w:id="310" w:name="_Toc385333227"/>
      <w:r>
        <w:rPr>
          <w:highlight w:val="none"/>
        </w:rPr>
        <w:t>竣工资料</w:t>
      </w:r>
      <w:bookmarkEnd w:id="310"/>
    </w:p>
    <w:p w14:paraId="0981493B">
      <w:pPr>
        <w:ind w:firstLine="480"/>
        <w:rPr>
          <w:rFonts w:hint="eastAsia"/>
          <w:highlight w:val="none"/>
        </w:rPr>
      </w:pPr>
      <w:r>
        <w:rPr>
          <w:rFonts w:hint="eastAsia"/>
          <w:highlight w:val="none"/>
        </w:rPr>
        <w:t>竣工验收前总承包人</w:t>
      </w:r>
      <w:r>
        <w:rPr>
          <w:highlight w:val="none"/>
        </w:rPr>
        <w:t>必须向</w:t>
      </w:r>
      <w:r>
        <w:rPr>
          <w:rFonts w:hint="eastAsia"/>
          <w:highlight w:val="none"/>
        </w:rPr>
        <w:t>发包人</w:t>
      </w:r>
      <w:r>
        <w:rPr>
          <w:highlight w:val="none"/>
        </w:rPr>
        <w:t>提交完整的按档案馆规定格式装订成册的竣工资料</w:t>
      </w:r>
      <w:r>
        <w:rPr>
          <w:rFonts w:hint="eastAsia"/>
          <w:highlight w:val="none"/>
        </w:rPr>
        <w:t>和</w:t>
      </w:r>
      <w:r>
        <w:rPr>
          <w:highlight w:val="none"/>
        </w:rPr>
        <w:t>竣工图</w:t>
      </w:r>
      <w:r>
        <w:rPr>
          <w:rFonts w:hint="eastAsia"/>
          <w:b/>
          <w:bCs/>
          <w:highlight w:val="none"/>
        </w:rPr>
        <w:t>共6</w:t>
      </w:r>
      <w:r>
        <w:rPr>
          <w:rFonts w:hint="eastAsia"/>
          <w:b/>
          <w:bCs/>
          <w:highlight w:val="none"/>
          <w:u w:val="single"/>
        </w:rPr>
        <w:t>套</w:t>
      </w:r>
      <w:r>
        <w:rPr>
          <w:rFonts w:hint="eastAsia"/>
          <w:highlight w:val="none"/>
        </w:rPr>
        <w:t>。</w:t>
      </w:r>
    </w:p>
    <w:p w14:paraId="3FE322F1">
      <w:pPr>
        <w:pStyle w:val="4"/>
        <w:numPr>
          <w:ilvl w:val="2"/>
          <w:numId w:val="13"/>
        </w:numPr>
        <w:rPr>
          <w:rFonts w:hint="eastAsia"/>
          <w:highlight w:val="none"/>
        </w:rPr>
      </w:pPr>
      <w:r>
        <w:rPr>
          <w:rFonts w:hint="eastAsia"/>
          <w:highlight w:val="none"/>
        </w:rPr>
        <w:t>交付快修</w:t>
      </w:r>
      <w:r>
        <w:rPr>
          <w:highlight w:val="none"/>
        </w:rPr>
        <w:t>要求</w:t>
      </w:r>
    </w:p>
    <w:p w14:paraId="07C04E79">
      <w:pPr>
        <w:ind w:firstLine="480"/>
        <w:rPr>
          <w:rFonts w:hint="eastAsia"/>
          <w:highlight w:val="none"/>
        </w:rPr>
      </w:pPr>
      <w:r>
        <w:rPr>
          <w:rFonts w:hint="eastAsia"/>
          <w:highlight w:val="none"/>
        </w:rPr>
        <w:t>要求承包人</w:t>
      </w:r>
      <w:r>
        <w:rPr>
          <w:highlight w:val="none"/>
        </w:rPr>
        <w:t>正式交付前</w:t>
      </w:r>
      <w:r>
        <w:rPr>
          <w:rFonts w:hint="eastAsia"/>
          <w:highlight w:val="none"/>
        </w:rPr>
        <w:t>3</w:t>
      </w:r>
      <w:r>
        <w:rPr>
          <w:highlight w:val="none"/>
        </w:rPr>
        <w:t>个月</w:t>
      </w:r>
      <w:r>
        <w:rPr>
          <w:rFonts w:hint="eastAsia"/>
          <w:highlight w:val="none"/>
        </w:rPr>
        <w:t>成立交付专项小组，组织进行交付专项策划及资源筹备，承包人需组织各专业承包人成立集中交付快修指挥组，快修队人员不得少于60人，建立快修队责任人通讯录；交付前5日对快修队维修标准进行集中交底培训；由发包人对快修指挥组组长及工人每日进行交底，交底内容包括着装统一、文明用语、快修响应流程及注意事项等；每天晚上召开快修组例会，总结当天快修情况并进行风险提示；每周召开快修专项总结会，对快修队施工进度开展奖罚措施</w:t>
      </w:r>
      <w:r>
        <w:rPr>
          <w:highlight w:val="none"/>
        </w:rPr>
        <w:t>。</w:t>
      </w:r>
    </w:p>
    <w:p w14:paraId="778F200A">
      <w:pPr>
        <w:pStyle w:val="3"/>
        <w:numPr>
          <w:ilvl w:val="1"/>
          <w:numId w:val="13"/>
        </w:numPr>
        <w:rPr>
          <w:rFonts w:hint="eastAsia"/>
          <w:highlight w:val="none"/>
        </w:rPr>
      </w:pPr>
      <w:bookmarkStart w:id="311" w:name="_Toc25825"/>
      <w:bookmarkStart w:id="312" w:name="_Toc27332"/>
      <w:bookmarkStart w:id="313" w:name="_Toc16207"/>
      <w:bookmarkStart w:id="314" w:name="_Toc26173"/>
      <w:bookmarkStart w:id="315" w:name="_Toc2521"/>
      <w:bookmarkStart w:id="316" w:name="_Toc29353"/>
      <w:bookmarkStart w:id="317" w:name="_Toc28011"/>
      <w:bookmarkStart w:id="318" w:name="_Toc7098"/>
      <w:bookmarkStart w:id="319" w:name="_Toc5338"/>
      <w:bookmarkStart w:id="320" w:name="_Toc32355"/>
      <w:bookmarkStart w:id="321" w:name="_Toc19979"/>
      <w:bookmarkStart w:id="322" w:name="_Toc169722223"/>
      <w:bookmarkStart w:id="323" w:name="_Toc491453750"/>
      <w:bookmarkStart w:id="324" w:name="_Toc491332902"/>
      <w:bookmarkStart w:id="325" w:name="_Toc437939420"/>
      <w:bookmarkStart w:id="326" w:name="_Toc422854848"/>
      <w:bookmarkStart w:id="327" w:name="_Toc490829816"/>
      <w:bookmarkStart w:id="328" w:name="_Toc436899071"/>
      <w:bookmarkStart w:id="329" w:name="_Toc491089035"/>
      <w:r>
        <w:rPr>
          <w:rFonts w:hint="eastAsia"/>
          <w:highlight w:val="none"/>
        </w:rPr>
        <w:t>质量保证期和售后服务</w:t>
      </w:r>
      <w:bookmarkEnd w:id="311"/>
      <w:bookmarkEnd w:id="312"/>
      <w:bookmarkEnd w:id="313"/>
      <w:bookmarkEnd w:id="314"/>
      <w:bookmarkEnd w:id="315"/>
      <w:bookmarkEnd w:id="316"/>
      <w:bookmarkEnd w:id="317"/>
      <w:bookmarkEnd w:id="318"/>
      <w:bookmarkEnd w:id="319"/>
      <w:bookmarkEnd w:id="320"/>
      <w:bookmarkEnd w:id="321"/>
    </w:p>
    <w:p w14:paraId="48CD26A7">
      <w:pPr>
        <w:pStyle w:val="4"/>
        <w:numPr>
          <w:ilvl w:val="2"/>
          <w:numId w:val="13"/>
        </w:numPr>
        <w:rPr>
          <w:rFonts w:hint="eastAsia"/>
          <w:highlight w:val="none"/>
        </w:rPr>
      </w:pPr>
      <w:r>
        <w:rPr>
          <w:rFonts w:hint="eastAsia"/>
          <w:highlight w:val="none"/>
        </w:rPr>
        <w:t>在质量保证期内，承包人按保修协议约定免费提供设备的维修及保养服务。</w:t>
      </w:r>
    </w:p>
    <w:p w14:paraId="0150BACD">
      <w:pPr>
        <w:pStyle w:val="4"/>
        <w:numPr>
          <w:ilvl w:val="2"/>
          <w:numId w:val="13"/>
        </w:numPr>
        <w:rPr>
          <w:rFonts w:hint="eastAsia"/>
          <w:highlight w:val="none"/>
        </w:rPr>
      </w:pPr>
      <w:r>
        <w:rPr>
          <w:rFonts w:hint="eastAsia"/>
          <w:highlight w:val="none"/>
        </w:rPr>
        <w:t>质保期内须免费提供设备的维修及保养服务，定期派工程师到现场巡查，并配合对各系统进行每年一次的年检且提供年检报告。</w:t>
      </w:r>
    </w:p>
    <w:p w14:paraId="111AEDB1">
      <w:pPr>
        <w:pStyle w:val="4"/>
        <w:numPr>
          <w:ilvl w:val="2"/>
          <w:numId w:val="13"/>
        </w:numPr>
        <w:rPr>
          <w:rFonts w:hint="eastAsia"/>
          <w:highlight w:val="none"/>
        </w:rPr>
      </w:pPr>
      <w:r>
        <w:rPr>
          <w:rFonts w:hint="eastAsia"/>
          <w:highlight w:val="none"/>
        </w:rPr>
        <w:t>质保期内设备本身质量出现问题或由于设备本身质量原因造成的任何损伤 或损坏，承包人应及时给予免费维修或免费更换，由此引起的施工费、人工费、材料费等其他一切费用由承包人负责。新更换的零部件的质保期则从更换之日起计。</w:t>
      </w:r>
    </w:p>
    <w:p w14:paraId="511D6103">
      <w:pPr>
        <w:pStyle w:val="4"/>
        <w:numPr>
          <w:ilvl w:val="2"/>
          <w:numId w:val="13"/>
        </w:numPr>
        <w:rPr>
          <w:rFonts w:hint="eastAsia"/>
          <w:highlight w:val="none"/>
        </w:rPr>
      </w:pPr>
      <w:r>
        <w:rPr>
          <w:rFonts w:hint="eastAsia"/>
          <w:highlight w:val="none"/>
        </w:rPr>
        <w:t>承包人在故障保修响应方面应做到：承包人须在接到业主通知的 1 小时内予以答复；在业主要求时，承包人的技术人员须在收到业主通知后3小时之内到现场进行修理，相关的维修必须连续进行，直至故障完全修复为止。若在 24小时内不能排除故障，承包人应立即采取切实有效的补救措施（包括免费提供应急设备），全力防止损失的扩大。</w:t>
      </w:r>
    </w:p>
    <w:p w14:paraId="6F1FA0E4">
      <w:pPr>
        <w:pStyle w:val="4"/>
        <w:numPr>
          <w:ilvl w:val="2"/>
          <w:numId w:val="13"/>
        </w:numPr>
        <w:rPr>
          <w:rFonts w:hint="eastAsia"/>
          <w:highlight w:val="none"/>
        </w:rPr>
      </w:pPr>
      <w:r>
        <w:rPr>
          <w:rFonts w:hint="eastAsia"/>
          <w:highlight w:val="none"/>
        </w:rPr>
        <w:t>从工程竣工验收合格正式运行之日起的质量保证期（含潜在缺陷质量保证 期）内，由于设备材料因素造成的损坏，均由承包人免费维修、更换，由于人为（非承包人人员）和自然灾害造成的损坏，收取成本费用。</w:t>
      </w:r>
    </w:p>
    <w:p w14:paraId="2B6C4975">
      <w:pPr>
        <w:pStyle w:val="4"/>
        <w:numPr>
          <w:ilvl w:val="2"/>
          <w:numId w:val="13"/>
        </w:numPr>
        <w:rPr>
          <w:rFonts w:hint="eastAsia"/>
          <w:highlight w:val="none"/>
        </w:rPr>
      </w:pPr>
      <w:r>
        <w:rPr>
          <w:rFonts w:hint="eastAsia"/>
          <w:highlight w:val="none"/>
        </w:rPr>
        <w:t>在质量保证期结束前，承包人须与业主代表对合同项下设备进行全面的检 查，对任何缺陷由承包人负责修理。在修理之后，承包人须将缺陷原因、修理的内容、完成修理及恢复正常的时间和日期等情况报告给业主。</w:t>
      </w:r>
    </w:p>
    <w:p w14:paraId="744AE671">
      <w:pPr>
        <w:pStyle w:val="4"/>
        <w:numPr>
          <w:ilvl w:val="2"/>
          <w:numId w:val="13"/>
        </w:numPr>
        <w:rPr>
          <w:rFonts w:hint="eastAsia"/>
          <w:highlight w:val="none"/>
        </w:rPr>
      </w:pPr>
      <w:r>
        <w:rPr>
          <w:rFonts w:hint="eastAsia"/>
          <w:highlight w:val="none"/>
        </w:rPr>
        <w:t>承包人必提供满足质量保证期内正常运行的备品备件和易损、易耗件，并随时优惠提供易损件，优惠提供产品更新、改造服务。</w:t>
      </w:r>
    </w:p>
    <w:p w14:paraId="78776E30">
      <w:pPr>
        <w:pStyle w:val="4"/>
        <w:numPr>
          <w:ilvl w:val="2"/>
          <w:numId w:val="13"/>
        </w:numPr>
        <w:rPr>
          <w:rFonts w:hint="eastAsia"/>
          <w:highlight w:val="none"/>
        </w:rPr>
      </w:pPr>
      <w:r>
        <w:rPr>
          <w:rFonts w:hint="eastAsia"/>
          <w:highlight w:val="none"/>
        </w:rPr>
        <w:t>在质量保证期内，以下主要设备提供原厂售后保修服务，若本项目的质量 保证期比主要设备供应商规定的售后保修服务期长的，须相应延长主要设备的原厂售后保修服务期，所发生的相关费用由承包人承担，发包人不另行增加费用。原厂提供售后保修服务的主要设备包括不限于：空调、水泵、电气元器件、控制器、智能化设备等。</w:t>
      </w:r>
    </w:p>
    <w:p w14:paraId="18CB326F">
      <w:pPr>
        <w:pStyle w:val="4"/>
        <w:numPr>
          <w:ilvl w:val="2"/>
          <w:numId w:val="13"/>
        </w:numPr>
        <w:rPr>
          <w:rFonts w:hint="eastAsia"/>
          <w:highlight w:val="none"/>
        </w:rPr>
      </w:pPr>
      <w:r>
        <w:rPr>
          <w:rFonts w:hint="eastAsia"/>
          <w:highlight w:val="none"/>
        </w:rPr>
        <w:t>质保期满，由承包人提出退还质量保证金申请，按要求提交《工程质量保修责任期终止证书》，经监理单位、使用单位和发包人确认后按合同要求退还。</w:t>
      </w:r>
    </w:p>
    <w:p w14:paraId="465A7DB4">
      <w:pPr>
        <w:pStyle w:val="4"/>
        <w:numPr>
          <w:ilvl w:val="2"/>
          <w:numId w:val="13"/>
        </w:numPr>
        <w:rPr>
          <w:rFonts w:hint="eastAsia"/>
          <w:highlight w:val="none"/>
        </w:rPr>
      </w:pPr>
      <w:r>
        <w:rPr>
          <w:rFonts w:hint="eastAsia"/>
          <w:highlight w:val="none"/>
        </w:rPr>
        <w:t>建设项目通过验收后，在使用过程中发现的较大质量隐患，发包人有权将合同质保期延长至隐患消除为止。</w:t>
      </w:r>
    </w:p>
    <w:p w14:paraId="189530C5">
      <w:pPr>
        <w:pStyle w:val="4"/>
        <w:numPr>
          <w:ilvl w:val="2"/>
          <w:numId w:val="13"/>
        </w:numPr>
        <w:rPr>
          <w:rFonts w:hint="eastAsia"/>
          <w:highlight w:val="none"/>
        </w:rPr>
      </w:pPr>
      <w:r>
        <w:rPr>
          <w:rFonts w:hint="eastAsia"/>
          <w:highlight w:val="none"/>
        </w:rPr>
        <w:t>本项目的质量保修金的支付与缺陷责任期内防水工程的质量情况挂钩具体详见合同约定。</w:t>
      </w:r>
    </w:p>
    <w:p w14:paraId="2E7CA8E5">
      <w:pPr>
        <w:pStyle w:val="3"/>
        <w:numPr>
          <w:ilvl w:val="1"/>
          <w:numId w:val="13"/>
        </w:numPr>
        <w:rPr>
          <w:rFonts w:hint="eastAsia"/>
          <w:highlight w:val="none"/>
        </w:rPr>
      </w:pPr>
      <w:bookmarkStart w:id="330" w:name="_Toc26159"/>
      <w:bookmarkStart w:id="331" w:name="_Toc6554"/>
      <w:bookmarkStart w:id="332" w:name="_Toc7917"/>
      <w:bookmarkStart w:id="333" w:name="_Toc8286"/>
      <w:bookmarkStart w:id="334" w:name="_Toc31491"/>
      <w:bookmarkStart w:id="335" w:name="_Toc28938"/>
      <w:bookmarkStart w:id="336" w:name="_Toc32093"/>
      <w:bookmarkStart w:id="337" w:name="_Toc11944"/>
      <w:bookmarkStart w:id="338" w:name="_Toc967"/>
      <w:bookmarkStart w:id="339" w:name="_Toc13001"/>
      <w:r>
        <w:rPr>
          <w:rFonts w:hint="eastAsia"/>
          <w:highlight w:val="none"/>
        </w:rPr>
        <w:t>检测与试验要求</w:t>
      </w:r>
      <w:bookmarkEnd w:id="322"/>
      <w:bookmarkEnd w:id="330"/>
      <w:bookmarkEnd w:id="331"/>
      <w:bookmarkEnd w:id="332"/>
      <w:bookmarkEnd w:id="333"/>
      <w:bookmarkEnd w:id="334"/>
      <w:bookmarkEnd w:id="335"/>
      <w:bookmarkEnd w:id="336"/>
      <w:bookmarkEnd w:id="337"/>
      <w:bookmarkEnd w:id="338"/>
      <w:bookmarkEnd w:id="339"/>
    </w:p>
    <w:p w14:paraId="7F681CEC">
      <w:pPr>
        <w:ind w:firstLine="480"/>
        <w:rPr>
          <w:rFonts w:hint="eastAsia"/>
          <w:highlight w:val="none"/>
        </w:rPr>
      </w:pPr>
      <w:r>
        <w:rPr>
          <w:rFonts w:hint="eastAsia"/>
          <w:highlight w:val="none"/>
        </w:rPr>
        <w:t>总承包人需做的材料检测和试验包括但不限于</w:t>
      </w:r>
      <w:r>
        <w:rPr>
          <w:highlight w:val="none"/>
        </w:rPr>
        <w:t>:</w:t>
      </w:r>
    </w:p>
    <w:p w14:paraId="582A91BA">
      <w:pPr>
        <w:pStyle w:val="4"/>
        <w:numPr>
          <w:ilvl w:val="2"/>
          <w:numId w:val="13"/>
        </w:numPr>
        <w:rPr>
          <w:rFonts w:hint="eastAsia"/>
          <w:highlight w:val="none"/>
        </w:rPr>
      </w:pPr>
      <w:r>
        <w:rPr>
          <w:rFonts w:hint="eastAsia"/>
          <w:highlight w:val="none"/>
        </w:rPr>
        <w:t>材料检测</w:t>
      </w:r>
    </w:p>
    <w:p w14:paraId="7425807B">
      <w:pPr>
        <w:ind w:firstLine="480"/>
        <w:rPr>
          <w:rFonts w:hint="eastAsia"/>
          <w:highlight w:val="none"/>
        </w:rPr>
      </w:pPr>
      <w:r>
        <w:rPr>
          <w:rFonts w:hint="eastAsia"/>
          <w:highlight w:val="none"/>
        </w:rPr>
        <w:t>总承包人工程范围内的钢筋、混凝土、砌体、节能保温材料、机电类材料等须按照国家、行业和地方相关检验标准进行检验，合格后方可使用。</w:t>
      </w:r>
    </w:p>
    <w:p w14:paraId="5DBEEECF">
      <w:pPr>
        <w:pStyle w:val="4"/>
        <w:numPr>
          <w:ilvl w:val="2"/>
          <w:numId w:val="13"/>
        </w:numPr>
        <w:rPr>
          <w:rFonts w:hint="eastAsia"/>
          <w:highlight w:val="none"/>
        </w:rPr>
      </w:pPr>
      <w:r>
        <w:rPr>
          <w:rFonts w:hint="eastAsia"/>
          <w:highlight w:val="none"/>
        </w:rPr>
        <w:t>性能试验</w:t>
      </w:r>
    </w:p>
    <w:p w14:paraId="00DC6C6C">
      <w:pPr>
        <w:ind w:firstLine="480"/>
        <w:rPr>
          <w:rFonts w:hint="eastAsia"/>
          <w:highlight w:val="none"/>
        </w:rPr>
      </w:pPr>
      <w:r>
        <w:rPr>
          <w:rFonts w:hint="eastAsia"/>
          <w:highlight w:val="none"/>
        </w:rPr>
        <w:t>总承包人须按照国家、行业和地方及发包人的相关标准进行有关性能试验。</w:t>
      </w:r>
    </w:p>
    <w:p w14:paraId="233809F5">
      <w:pPr>
        <w:pStyle w:val="3"/>
        <w:numPr>
          <w:ilvl w:val="1"/>
          <w:numId w:val="13"/>
        </w:numPr>
        <w:rPr>
          <w:rFonts w:hint="eastAsia"/>
          <w:highlight w:val="none"/>
        </w:rPr>
      </w:pPr>
      <w:bookmarkStart w:id="340" w:name="_Toc10097"/>
      <w:bookmarkStart w:id="341" w:name="_Toc10407"/>
      <w:bookmarkStart w:id="342" w:name="_Toc26450"/>
      <w:bookmarkStart w:id="343" w:name="_Toc4879"/>
      <w:bookmarkStart w:id="344" w:name="_Toc9246"/>
      <w:bookmarkStart w:id="345" w:name="_Toc18510"/>
      <w:bookmarkStart w:id="346" w:name="_Toc21213"/>
      <w:bookmarkStart w:id="347" w:name="_Toc3766"/>
      <w:bookmarkStart w:id="348" w:name="_Toc19664"/>
      <w:bookmarkStart w:id="349" w:name="_Toc8929"/>
      <w:bookmarkStart w:id="350" w:name="_Toc169722224"/>
      <w:r>
        <w:rPr>
          <w:rFonts w:hint="eastAsia"/>
          <w:highlight w:val="none"/>
        </w:rPr>
        <w:t>撤场程序</w:t>
      </w:r>
      <w:bookmarkEnd w:id="323"/>
      <w:bookmarkEnd w:id="324"/>
      <w:bookmarkEnd w:id="325"/>
      <w:bookmarkEnd w:id="326"/>
      <w:bookmarkEnd w:id="327"/>
      <w:bookmarkEnd w:id="328"/>
      <w:bookmarkEnd w:id="329"/>
      <w:bookmarkEnd w:id="340"/>
      <w:bookmarkEnd w:id="341"/>
      <w:bookmarkEnd w:id="342"/>
      <w:bookmarkEnd w:id="343"/>
      <w:bookmarkEnd w:id="344"/>
      <w:bookmarkEnd w:id="345"/>
      <w:bookmarkEnd w:id="346"/>
      <w:bookmarkEnd w:id="347"/>
      <w:bookmarkEnd w:id="348"/>
      <w:bookmarkEnd w:id="349"/>
      <w:bookmarkEnd w:id="350"/>
    </w:p>
    <w:p w14:paraId="37E2C19D">
      <w:pPr>
        <w:pStyle w:val="4"/>
        <w:numPr>
          <w:ilvl w:val="2"/>
          <w:numId w:val="13"/>
        </w:numPr>
        <w:rPr>
          <w:rFonts w:hint="eastAsia"/>
          <w:highlight w:val="none"/>
        </w:rPr>
      </w:pPr>
      <w:bookmarkStart w:id="351" w:name="_Toc436899072"/>
      <w:r>
        <w:rPr>
          <w:rFonts w:hint="eastAsia"/>
          <w:highlight w:val="none"/>
        </w:rPr>
        <w:t>总则</w:t>
      </w:r>
      <w:bookmarkEnd w:id="351"/>
    </w:p>
    <w:p w14:paraId="112A7F90">
      <w:pPr>
        <w:ind w:firstLine="480"/>
        <w:rPr>
          <w:rFonts w:hint="eastAsia"/>
          <w:highlight w:val="none"/>
        </w:rPr>
      </w:pPr>
      <w:r>
        <w:rPr>
          <w:rFonts w:hint="eastAsia"/>
          <w:highlight w:val="none"/>
        </w:rPr>
        <w:t>经友好协商，总承包人同意调整原合同的施工范围，同意撤场。具体各方在权责、范围等事宜由后期发包人与总承包人签订的《总承包合同补充协议》中详细说明。</w:t>
      </w:r>
    </w:p>
    <w:p w14:paraId="266C791A">
      <w:pPr>
        <w:pStyle w:val="4"/>
        <w:numPr>
          <w:ilvl w:val="2"/>
          <w:numId w:val="13"/>
        </w:numPr>
        <w:rPr>
          <w:rFonts w:hint="eastAsia"/>
          <w:highlight w:val="none"/>
        </w:rPr>
      </w:pPr>
      <w:bookmarkStart w:id="352" w:name="_Toc436899073"/>
      <w:r>
        <w:rPr>
          <w:rFonts w:hint="eastAsia"/>
          <w:highlight w:val="none"/>
        </w:rPr>
        <w:t>成立撤场协调小组</w:t>
      </w:r>
      <w:bookmarkEnd w:id="352"/>
    </w:p>
    <w:p w14:paraId="2A6EA05B">
      <w:pPr>
        <w:ind w:firstLine="480"/>
        <w:rPr>
          <w:rFonts w:hint="eastAsia"/>
          <w:highlight w:val="none"/>
        </w:rPr>
      </w:pPr>
      <w:r>
        <w:rPr>
          <w:rFonts w:hint="eastAsia"/>
          <w:highlight w:val="none"/>
        </w:rPr>
        <w:t>明确总承包人撤场的大原则情况下，双方需在2个工作日内成立各自的撤场协调小组，明确小组成员、分工及详细的工作职责和义务。小组成员应包括但不限于双方的法人代表或法定授权人、项目负责人、合约人员等。</w:t>
      </w:r>
    </w:p>
    <w:p w14:paraId="710A8897">
      <w:pPr>
        <w:pStyle w:val="4"/>
        <w:numPr>
          <w:ilvl w:val="2"/>
          <w:numId w:val="13"/>
        </w:numPr>
        <w:rPr>
          <w:rFonts w:hint="eastAsia"/>
          <w:highlight w:val="none"/>
        </w:rPr>
      </w:pPr>
      <w:bookmarkStart w:id="353" w:name="_Toc436899074"/>
      <w:r>
        <w:rPr>
          <w:rFonts w:hint="eastAsia"/>
          <w:highlight w:val="none"/>
        </w:rPr>
        <w:t>现场盘点</w:t>
      </w:r>
      <w:bookmarkEnd w:id="353"/>
    </w:p>
    <w:p w14:paraId="3C26F846">
      <w:pPr>
        <w:pStyle w:val="5"/>
        <w:rPr>
          <w:rFonts w:hint="eastAsia"/>
          <w:highlight w:val="none"/>
        </w:rPr>
      </w:pPr>
      <w:r>
        <w:rPr>
          <w:rFonts w:hint="eastAsia"/>
          <w:highlight w:val="none"/>
        </w:rPr>
        <w:t>工程实体的盘点：双方对总承包人自身完成的工程实体工作量确认，总承包人需保证已完成的实体工程质量满足合同、国家、地方政府质量验收标准与规范要求。此项工作在总承包人收到发包人撤场通知单后，双方15天内完成全部盘点工作，20天内总承包人逐步提供后续施工的工作面，并最终在45天内完成质量整改工作和全部撤场工作。</w:t>
      </w:r>
    </w:p>
    <w:p w14:paraId="3E0F732A">
      <w:pPr>
        <w:pStyle w:val="5"/>
        <w:rPr>
          <w:rFonts w:hint="eastAsia"/>
          <w:highlight w:val="none"/>
        </w:rPr>
      </w:pPr>
      <w:r>
        <w:rPr>
          <w:rFonts w:hint="eastAsia"/>
          <w:highlight w:val="none"/>
        </w:rPr>
        <w:t>现场材料及配套设施的盘点：双方对现场剩余材料，临时水电、办公区、场地硬化、大型施工机械设备、临时防护、临时设施等进行盘点后，由发包人告知总承包人需要撤场的配套物资、材料、机械设施等。</w:t>
      </w:r>
    </w:p>
    <w:p w14:paraId="71C1F503">
      <w:pPr>
        <w:pStyle w:val="5"/>
        <w:rPr>
          <w:rFonts w:hint="eastAsia"/>
          <w:highlight w:val="none"/>
        </w:rPr>
      </w:pPr>
      <w:r>
        <w:rPr>
          <w:rFonts w:hint="eastAsia"/>
          <w:highlight w:val="none"/>
        </w:rPr>
        <w:t>若《总承包合同补充协议》包含上述内容，按协议执行。</w:t>
      </w:r>
    </w:p>
    <w:p w14:paraId="38E15D5D">
      <w:pPr>
        <w:pStyle w:val="4"/>
        <w:numPr>
          <w:ilvl w:val="2"/>
          <w:numId w:val="13"/>
        </w:numPr>
        <w:rPr>
          <w:rFonts w:hint="eastAsia"/>
          <w:highlight w:val="none"/>
        </w:rPr>
      </w:pPr>
      <w:bookmarkStart w:id="354" w:name="_Toc436899075"/>
      <w:r>
        <w:rPr>
          <w:rFonts w:hint="eastAsia"/>
          <w:highlight w:val="none"/>
        </w:rPr>
        <w:t>总承包人尚需要完成的工作</w:t>
      </w:r>
      <w:bookmarkEnd w:id="354"/>
    </w:p>
    <w:p w14:paraId="38C79A91">
      <w:pPr>
        <w:ind w:firstLine="480"/>
        <w:rPr>
          <w:rFonts w:hint="eastAsia"/>
          <w:highlight w:val="none"/>
        </w:rPr>
      </w:pPr>
      <w:r>
        <w:rPr>
          <w:rFonts w:hint="eastAsia"/>
          <w:highlight w:val="none"/>
        </w:rPr>
        <w:t>总承包人必须在45天内陆续交接并最终完成以下内容：</w:t>
      </w:r>
    </w:p>
    <w:p w14:paraId="5C818816">
      <w:pPr>
        <w:pStyle w:val="5"/>
        <w:rPr>
          <w:rFonts w:hint="eastAsia"/>
          <w:highlight w:val="none"/>
        </w:rPr>
      </w:pPr>
      <w:r>
        <w:rPr>
          <w:rFonts w:hint="eastAsia"/>
          <w:highlight w:val="none"/>
        </w:rPr>
        <w:t>总承包人前期未完成的设计变更、已完工程中图纸漏项及未盘点到的相关内容。</w:t>
      </w:r>
    </w:p>
    <w:p w14:paraId="704EA4E8">
      <w:pPr>
        <w:pStyle w:val="5"/>
        <w:rPr>
          <w:rFonts w:hint="eastAsia"/>
          <w:highlight w:val="none"/>
        </w:rPr>
      </w:pPr>
      <w:r>
        <w:rPr>
          <w:rFonts w:hint="eastAsia"/>
          <w:highlight w:val="none"/>
        </w:rPr>
        <w:t>由于工序、气候条件、工作界面、工料等原因需要连续作业完成的内容。</w:t>
      </w:r>
    </w:p>
    <w:p w14:paraId="14194E39">
      <w:pPr>
        <w:pStyle w:val="5"/>
        <w:rPr>
          <w:rFonts w:hint="eastAsia"/>
          <w:highlight w:val="none"/>
        </w:rPr>
      </w:pPr>
      <w:r>
        <w:rPr>
          <w:rFonts w:hint="eastAsia"/>
          <w:highlight w:val="none"/>
        </w:rPr>
        <w:t>总承包人依据合同中明确的资料内容、备案资料内容将其所涉及的全部施工过程资料移交于发包人，并签署资料移交清单。总承包人同时承诺在本工程办理后续有关手续过程中提供全部配合工作。</w:t>
      </w:r>
    </w:p>
    <w:p w14:paraId="29DA9097">
      <w:pPr>
        <w:pStyle w:val="5"/>
        <w:rPr>
          <w:rFonts w:hint="eastAsia"/>
          <w:highlight w:val="none"/>
        </w:rPr>
      </w:pPr>
      <w:r>
        <w:rPr>
          <w:rFonts w:hint="eastAsia"/>
          <w:highlight w:val="none"/>
        </w:rPr>
        <w:t>总承包人必须根据发包人下发的撤场通知单在规定时间内完成全部撤场（包括人员、材料、机械）。</w:t>
      </w:r>
    </w:p>
    <w:p w14:paraId="40E9A6F4">
      <w:pPr>
        <w:pStyle w:val="5"/>
        <w:rPr>
          <w:rFonts w:hint="eastAsia"/>
          <w:highlight w:val="none"/>
        </w:rPr>
      </w:pPr>
      <w:r>
        <w:rPr>
          <w:rFonts w:hint="eastAsia"/>
          <w:highlight w:val="none"/>
        </w:rPr>
        <w:t>总承包人必须自行妥善处理农民工、材料商、租赁公司等与总承包人有合同关系单位的一切纠纷，并完成上述单位的结算，保证不影响交接和后续施工进程。</w:t>
      </w:r>
    </w:p>
    <w:p w14:paraId="5EB6BE06">
      <w:pPr>
        <w:pStyle w:val="4"/>
        <w:numPr>
          <w:ilvl w:val="2"/>
          <w:numId w:val="13"/>
        </w:numPr>
        <w:rPr>
          <w:rFonts w:hint="eastAsia"/>
          <w:highlight w:val="none"/>
        </w:rPr>
      </w:pPr>
      <w:bookmarkStart w:id="355" w:name="_Toc436899076"/>
      <w:r>
        <w:rPr>
          <w:rFonts w:hint="eastAsia"/>
          <w:highlight w:val="none"/>
        </w:rPr>
        <w:t>责任和义务</w:t>
      </w:r>
      <w:bookmarkEnd w:id="355"/>
    </w:p>
    <w:p w14:paraId="23A4CECA">
      <w:pPr>
        <w:pStyle w:val="5"/>
        <w:rPr>
          <w:rFonts w:hint="eastAsia"/>
          <w:highlight w:val="none"/>
        </w:rPr>
      </w:pPr>
      <w:r>
        <w:rPr>
          <w:rFonts w:hint="eastAsia"/>
          <w:highlight w:val="none"/>
        </w:rPr>
        <w:t>双方协议撤场后，安全文明措施费、社保费、农民工保证金依据地方政府法律法规或依据发包人与总承包人后期签署的《总承包合同补充协议》执行，水电费依据水表、电表进行确定。</w:t>
      </w:r>
    </w:p>
    <w:p w14:paraId="049DD05C">
      <w:pPr>
        <w:pStyle w:val="5"/>
        <w:rPr>
          <w:rFonts w:hint="eastAsia"/>
          <w:highlight w:val="none"/>
        </w:rPr>
      </w:pPr>
      <w:r>
        <w:rPr>
          <w:rFonts w:hint="eastAsia"/>
          <w:highlight w:val="none"/>
        </w:rPr>
        <w:t>总承包人应积极、及时、有效的配合发包人面积测绘、环保验收、消防验收、规划验收、电梯准用检测、卫生防疫验收、配套工程验收、竣工备案等一切后续验收及备案工作。在接到需要配合的通知后3日内按照通知要求派相关人员到场履行配合工作，若遇签字或盖章等需要，须在接到通知后3天内完成相应的签字及盖章工作。</w:t>
      </w:r>
    </w:p>
    <w:p w14:paraId="354F1D02">
      <w:pPr>
        <w:pStyle w:val="5"/>
        <w:rPr>
          <w:rFonts w:hint="eastAsia"/>
          <w:highlight w:val="none"/>
        </w:rPr>
      </w:pPr>
      <w:r>
        <w:rPr>
          <w:rFonts w:hint="eastAsia"/>
          <w:highlight w:val="none"/>
        </w:rPr>
        <w:t>总承包人对其施工的工程质量负有维保的义务。</w:t>
      </w:r>
      <w:bookmarkStart w:id="356" w:name="_附表5：工程进度日报表"/>
      <w:bookmarkEnd w:id="356"/>
      <w:bookmarkStart w:id="357" w:name="_附表一：项目经理（项目总工/现场经理）资格一览表(盖章)"/>
      <w:bookmarkEnd w:id="357"/>
      <w:bookmarkStart w:id="358" w:name="_附表1：项目经理（项目总工/现场经理）资格一览表(盖章)"/>
      <w:bookmarkEnd w:id="358"/>
      <w:bookmarkStart w:id="359" w:name="_附表2：项目人员面试评价表格"/>
      <w:bookmarkEnd w:id="359"/>
      <w:bookmarkStart w:id="360" w:name="_附表二：项目人员面试评价表格"/>
      <w:bookmarkEnd w:id="360"/>
    </w:p>
    <w:p w14:paraId="3718A96C">
      <w:pPr>
        <w:pStyle w:val="3"/>
        <w:numPr>
          <w:ilvl w:val="1"/>
          <w:numId w:val="13"/>
        </w:numPr>
        <w:rPr>
          <w:rFonts w:hint="eastAsia"/>
          <w:highlight w:val="none"/>
        </w:rPr>
      </w:pPr>
      <w:bookmarkStart w:id="361" w:name="_Toc7635"/>
      <w:bookmarkStart w:id="362" w:name="_Toc20215"/>
      <w:bookmarkStart w:id="363" w:name="_Toc20015"/>
      <w:bookmarkStart w:id="364" w:name="_Toc20732"/>
      <w:bookmarkStart w:id="365" w:name="_Toc21413"/>
      <w:bookmarkStart w:id="366" w:name="_Toc19846"/>
      <w:bookmarkStart w:id="367" w:name="_Toc169722225"/>
      <w:bookmarkStart w:id="368" w:name="_Toc31657"/>
      <w:bookmarkStart w:id="369" w:name="_Toc7773"/>
      <w:bookmarkStart w:id="370" w:name="_Toc24999"/>
      <w:bookmarkStart w:id="371" w:name="_Toc20786"/>
      <w:r>
        <w:rPr>
          <w:rFonts w:hint="eastAsia"/>
          <w:highlight w:val="none"/>
        </w:rPr>
        <w:t>治污减霾要求</w:t>
      </w:r>
      <w:bookmarkEnd w:id="361"/>
      <w:bookmarkEnd w:id="362"/>
      <w:bookmarkEnd w:id="363"/>
      <w:bookmarkEnd w:id="364"/>
      <w:bookmarkEnd w:id="365"/>
      <w:bookmarkEnd w:id="366"/>
      <w:bookmarkEnd w:id="367"/>
      <w:bookmarkEnd w:id="368"/>
      <w:bookmarkEnd w:id="369"/>
      <w:bookmarkEnd w:id="370"/>
      <w:bookmarkEnd w:id="371"/>
    </w:p>
    <w:p w14:paraId="482869F4">
      <w:pPr>
        <w:pStyle w:val="4"/>
        <w:numPr>
          <w:ilvl w:val="2"/>
          <w:numId w:val="13"/>
        </w:numPr>
        <w:rPr>
          <w:rFonts w:hint="eastAsia"/>
          <w:highlight w:val="none"/>
        </w:rPr>
      </w:pPr>
      <w:r>
        <w:rPr>
          <w:rFonts w:hint="eastAsia"/>
          <w:highlight w:val="none"/>
        </w:rPr>
        <w:t>总承包人应充分了解当地政府治污减霾、大气污染综合治理的要求，落实相关措施。</w:t>
      </w:r>
    </w:p>
    <w:p w14:paraId="517587B0">
      <w:pPr>
        <w:pStyle w:val="4"/>
        <w:numPr>
          <w:ilvl w:val="2"/>
          <w:numId w:val="13"/>
        </w:numPr>
        <w:rPr>
          <w:rFonts w:hint="eastAsia"/>
          <w:highlight w:val="none"/>
        </w:rPr>
      </w:pPr>
      <w:r>
        <w:rPr>
          <w:rFonts w:hint="eastAsia"/>
          <w:highlight w:val="none"/>
        </w:rPr>
        <w:t>总承包人应积极应对雾霾天气对施工的影响，采取必要的措施，确保工程质量、安全、进度等目标的实现。</w:t>
      </w:r>
    </w:p>
    <w:p w14:paraId="24E340CF">
      <w:pPr>
        <w:pStyle w:val="3"/>
        <w:numPr>
          <w:ilvl w:val="1"/>
          <w:numId w:val="13"/>
        </w:numPr>
        <w:rPr>
          <w:rFonts w:hint="eastAsia"/>
          <w:highlight w:val="none"/>
        </w:rPr>
      </w:pPr>
      <w:bookmarkStart w:id="372" w:name="_Toc5598"/>
      <w:bookmarkStart w:id="373" w:name="_Toc14822"/>
      <w:bookmarkStart w:id="374" w:name="_Toc23589"/>
      <w:bookmarkStart w:id="375" w:name="_Toc17261"/>
      <w:bookmarkStart w:id="376" w:name="_Toc15089"/>
      <w:bookmarkStart w:id="377" w:name="_Toc30578"/>
      <w:bookmarkStart w:id="378" w:name="_Toc13398"/>
      <w:bookmarkStart w:id="379" w:name="_Toc15470"/>
      <w:bookmarkStart w:id="380" w:name="_Toc9265"/>
      <w:bookmarkStart w:id="381" w:name="_Toc2930"/>
      <w:bookmarkStart w:id="382" w:name="_Toc6346"/>
      <w:r>
        <w:rPr>
          <w:rFonts w:hint="eastAsia"/>
          <w:highlight w:val="none"/>
        </w:rPr>
        <w:t>绿色施工管理要求</w:t>
      </w:r>
      <w:bookmarkEnd w:id="372"/>
      <w:bookmarkEnd w:id="373"/>
      <w:bookmarkEnd w:id="374"/>
      <w:bookmarkEnd w:id="375"/>
      <w:bookmarkEnd w:id="376"/>
      <w:bookmarkEnd w:id="377"/>
      <w:bookmarkEnd w:id="378"/>
      <w:bookmarkEnd w:id="379"/>
      <w:bookmarkEnd w:id="380"/>
      <w:bookmarkEnd w:id="381"/>
      <w:bookmarkEnd w:id="382"/>
    </w:p>
    <w:p w14:paraId="3D39FED2">
      <w:pPr>
        <w:pStyle w:val="5"/>
        <w:numPr>
          <w:ilvl w:val="3"/>
          <w:numId w:val="13"/>
        </w:numPr>
        <w:rPr>
          <w:rFonts w:hint="eastAsia"/>
          <w:highlight w:val="none"/>
        </w:rPr>
      </w:pPr>
      <w:r>
        <w:rPr>
          <w:rFonts w:hint="eastAsia"/>
          <w:highlight w:val="none"/>
        </w:rPr>
        <w:t>施工管理要求。加强绿色施工管理，主要包括组织管理、规划管理、实施管理、 评价管理和人员安全与健康管理五个方面。建立绿色施工管理体系，并制定相应的管理 制度与目标；编制绿色施工方案，该方案应在施工组织设计中独立成章，并按有关规定 进行审批；绿色施工应对整个施工过程实施动态管理，加强对施工策划、施工准备、材料采购、现场施工、工程验收等各阶段的管理和监督。</w:t>
      </w:r>
    </w:p>
    <w:p w14:paraId="74F18BE9">
      <w:pPr>
        <w:pStyle w:val="5"/>
        <w:numPr>
          <w:ilvl w:val="3"/>
          <w:numId w:val="13"/>
        </w:numPr>
        <w:rPr>
          <w:rFonts w:hint="eastAsia"/>
          <w:highlight w:val="none"/>
        </w:rPr>
      </w:pPr>
      <w:r>
        <w:rPr>
          <w:rFonts w:hint="eastAsia"/>
          <w:highlight w:val="none"/>
        </w:rPr>
        <w:t>环境保护要求。对土方作业阶段、结构安装装饰阶段作业区扬尘高度进行监控， 采用喷雾、洒水等措施进行治理；同时做好对噪音与振动控制、光污染控制、水污染控制、土壤保护、建筑垃圾控制、地下设施、文物和资源保护等方面控制。</w:t>
      </w:r>
    </w:p>
    <w:p w14:paraId="719170BD">
      <w:pPr>
        <w:pStyle w:val="5"/>
        <w:numPr>
          <w:ilvl w:val="3"/>
          <w:numId w:val="13"/>
        </w:numPr>
        <w:rPr>
          <w:rFonts w:hint="eastAsia"/>
          <w:highlight w:val="none"/>
        </w:rPr>
      </w:pPr>
      <w:r>
        <w:rPr>
          <w:rFonts w:hint="eastAsia"/>
          <w:highlight w:val="none"/>
        </w:rPr>
        <w:t>节材与材料资源利用。优化模板及支撑体系方案，采用工具式模板、钢制大模板和早拆支撑体系，采用定型钢模、钢框木模、木塑板；钢筋制作采用专业化加工、配送；使用预拌混凝土和商品砂浆。</w:t>
      </w:r>
    </w:p>
    <w:p w14:paraId="739EEFAE">
      <w:pPr>
        <w:pStyle w:val="5"/>
        <w:numPr>
          <w:ilvl w:val="3"/>
          <w:numId w:val="13"/>
        </w:numPr>
        <w:rPr>
          <w:rFonts w:hint="eastAsia" w:cs="Arial"/>
          <w:bCs/>
          <w:highlight w:val="none"/>
        </w:rPr>
      </w:pPr>
      <w:r>
        <w:rPr>
          <w:rFonts w:hint="eastAsia"/>
          <w:highlight w:val="none"/>
        </w:rPr>
        <w:t>推广使用节水与水资源利用技术，要求采取多种措施提高用水效率。如施工中 采用先进的节水施工工艺；现场搅拌用水、养护用水应采取有效的节水措施，严禁无措施浇水养护混凝土；施工现场分别对生活用水与工程用水确定用水定额指标，并分别计量管理；大型工程的不同单项工程、不同标段、不同专业承包生活区，凡具备条件的应分别计量用水量；对混凝土搅拌站点等用水集中的区域和工艺点进行专项计量考核，施工现场建立雨水、中水或可再利用水的搜集利用系统。</w:t>
      </w:r>
    </w:p>
    <w:p w14:paraId="375CDCC2">
      <w:pPr>
        <w:pStyle w:val="3"/>
        <w:bidi w:val="0"/>
        <w:rPr>
          <w:color w:val="auto"/>
          <w:highlight w:val="none"/>
        </w:rPr>
      </w:pPr>
      <w:r>
        <w:rPr>
          <w:rFonts w:hint="eastAsia"/>
          <w:color w:val="auto"/>
          <w:highlight w:val="none"/>
        </w:rPr>
        <w:t>垃圾</w:t>
      </w:r>
      <w:r>
        <w:rPr>
          <w:color w:val="auto"/>
          <w:highlight w:val="none"/>
        </w:rPr>
        <w:t>清运</w:t>
      </w:r>
    </w:p>
    <w:p w14:paraId="7842BA85">
      <w:pPr>
        <w:pStyle w:val="4"/>
        <w:widowControl/>
        <w:snapToGrid/>
        <w:spacing w:line="360" w:lineRule="auto"/>
        <w:jc w:val="left"/>
        <w:rPr>
          <w:rFonts w:hint="default" w:ascii="宋体" w:hAnsi="宋体" w:eastAsia="宋体"/>
          <w:highlight w:val="none"/>
          <w:lang w:val="zh-TW"/>
        </w:rPr>
      </w:pPr>
      <w:r>
        <w:rPr>
          <w:rFonts w:hint="default" w:ascii="宋体" w:hAnsi="宋体" w:eastAsia="宋体"/>
          <w:highlight w:val="none"/>
          <w:lang w:val="zh-TW"/>
        </w:rPr>
        <w:t>本工程按照国家有关规定、规范进行施工、验收，具体以施工图纸及相关技术和验收标准、遵照发包人相关规定要求为准。</w:t>
      </w:r>
    </w:p>
    <w:p w14:paraId="650510ED">
      <w:pPr>
        <w:widowControl/>
        <w:snapToGrid/>
        <w:spacing w:line="360" w:lineRule="auto"/>
        <w:ind w:firstLine="480"/>
        <w:jc w:val="left"/>
        <w:rPr>
          <w:rFonts w:hint="eastAsia"/>
          <w:highlight w:val="none"/>
          <w:lang w:val="zh-TW"/>
        </w:rPr>
      </w:pPr>
      <w:r>
        <w:rPr>
          <w:rFonts w:hint="eastAsia"/>
          <w:highlight w:val="none"/>
        </w:rPr>
        <w:t>（1）</w:t>
      </w:r>
      <w:r>
        <w:rPr>
          <w:rFonts w:hint="eastAsia"/>
          <w:highlight w:val="none"/>
          <w:lang w:val="zh-TW"/>
        </w:rPr>
        <w:t>本工程采用的工程建设标准、规范必须遵守现行中华人民共和国以及广东省、广州市或行业最新的工程建设标准及规范，且必须满足设计文件的相关要求，和上级主管部门对配售型</w:t>
      </w:r>
      <w:r>
        <w:rPr>
          <w:rFonts w:hint="eastAsia"/>
          <w:highlight w:val="none"/>
        </w:rPr>
        <w:t>住</w:t>
      </w:r>
      <w:r>
        <w:rPr>
          <w:rFonts w:hint="eastAsia"/>
          <w:highlight w:val="none"/>
          <w:lang w:val="zh-TW"/>
        </w:rPr>
        <w:t>房的要求。</w:t>
      </w:r>
    </w:p>
    <w:p w14:paraId="338815B6">
      <w:pPr>
        <w:widowControl/>
        <w:snapToGrid/>
        <w:spacing w:line="360" w:lineRule="auto"/>
        <w:ind w:firstLine="480"/>
        <w:jc w:val="left"/>
        <w:rPr>
          <w:highlight w:val="none"/>
        </w:rPr>
      </w:pPr>
      <w:r>
        <w:rPr>
          <w:rFonts w:hint="eastAsia"/>
          <w:highlight w:val="none"/>
        </w:rPr>
        <w:t>（2）</w:t>
      </w:r>
      <w:r>
        <w:rPr>
          <w:rFonts w:hint="eastAsia"/>
          <w:highlight w:val="none"/>
          <w:lang w:val="zh-TW"/>
        </w:rPr>
        <w:t>本工程实</w:t>
      </w:r>
      <w:r>
        <w:rPr>
          <w:rFonts w:hint="default"/>
          <w:highlight w:val="none"/>
          <w:lang w:val="en-US"/>
        </w:rPr>
        <w:t>施中采用的材料、设备与工艺，都必须符合上述标准、规范及设计文件的相应要求。</w:t>
      </w:r>
    </w:p>
    <w:p w14:paraId="6AF1D40E">
      <w:pPr>
        <w:pStyle w:val="4"/>
        <w:ind w:firstLineChars="200"/>
        <w:rPr>
          <w:highlight w:val="none"/>
        </w:rPr>
      </w:pPr>
      <w:r>
        <w:rPr>
          <w:highlight w:val="none"/>
        </w:rPr>
        <w:t>总承包人应严格遵守并执行《广东省建筑垃圾管理条例》，应通过施工图纸深化、施工方案优化、永临结合、临时设施和周转材料重复利用、施工过程管理等控制措施，从源头控制施工现场建筑垃圾的产生。</w:t>
      </w:r>
    </w:p>
    <w:p w14:paraId="78BF8F0D">
      <w:pPr>
        <w:pStyle w:val="4"/>
        <w:ind w:firstLineChars="200"/>
        <w:rPr>
          <w:highlight w:val="none"/>
        </w:rPr>
      </w:pPr>
      <w:r>
        <w:rPr>
          <w:highlight w:val="none"/>
        </w:rPr>
        <w:t>总承包人应落实《广东省建筑垃圾管理条例》要求，对施工现场的建筑垃圾精细化分类分质利用，将符合条件的建筑垃圾用于生产以建筑垃圾为主要原料的再生粉料、再生骨料、再生骨料混凝土及其构件、再生骨料砂浆、再生混合料、再生混凝土砖、再生混凝土砌块、再生混凝土墙板、烧结砖和烧结砌块等建筑垃圾综合利用产品。对建筑垃圾里分拣出来的废钢筋、废电线、废铁丝等，可用于材料再生；废竹木料可用于制造人造板材或者生产生物质碳等产品。</w:t>
      </w:r>
    </w:p>
    <w:p w14:paraId="4CBC523D">
      <w:pPr>
        <w:pStyle w:val="4"/>
        <w:ind w:firstLineChars="200"/>
        <w:rPr>
          <w:highlight w:val="none"/>
        </w:rPr>
      </w:pPr>
      <w:r>
        <w:rPr>
          <w:highlight w:val="none"/>
        </w:rPr>
        <w:t>总承包单位应当编制建筑垃圾处理方案，采取污染防治措施，并在开工前报工程所在地建筑垃圾主管部门备案。建筑垃圾处理方案内容有调整的，应当及时报告接受备案的部门。建筑垃圾处理方案应当包括下列内容：</w:t>
      </w:r>
    </w:p>
    <w:p w14:paraId="621E7979">
      <w:pPr>
        <w:ind w:firstLine="480"/>
        <w:rPr>
          <w:highlight w:val="none"/>
        </w:rPr>
      </w:pPr>
      <w:r>
        <w:rPr>
          <w:rFonts w:hint="eastAsia"/>
          <w:highlight w:val="none"/>
        </w:rPr>
        <w:t>（</w:t>
      </w:r>
      <w:r>
        <w:rPr>
          <w:highlight w:val="none"/>
        </w:rPr>
        <w:t>1）工程概况和施工单位基本信息；</w:t>
      </w:r>
    </w:p>
    <w:p w14:paraId="0127AA07">
      <w:pPr>
        <w:ind w:firstLine="480"/>
        <w:rPr>
          <w:highlight w:val="none"/>
        </w:rPr>
      </w:pPr>
      <w:r>
        <w:rPr>
          <w:rFonts w:hint="eastAsia"/>
          <w:highlight w:val="none"/>
        </w:rPr>
        <w:t>（</w:t>
      </w:r>
      <w:r>
        <w:rPr>
          <w:highlight w:val="none"/>
        </w:rPr>
        <w:t>2）建筑垃圾产生量与种类；</w:t>
      </w:r>
    </w:p>
    <w:p w14:paraId="20D837A9">
      <w:pPr>
        <w:ind w:firstLine="480"/>
        <w:rPr>
          <w:highlight w:val="none"/>
        </w:rPr>
      </w:pPr>
      <w:r>
        <w:rPr>
          <w:rFonts w:hint="eastAsia"/>
          <w:highlight w:val="none"/>
        </w:rPr>
        <w:t>（</w:t>
      </w:r>
      <w:r>
        <w:rPr>
          <w:highlight w:val="none"/>
        </w:rPr>
        <w:t>3）建筑垃圾源头减量、分类收集、综合利用、污染防治的措施和目标；</w:t>
      </w:r>
    </w:p>
    <w:p w14:paraId="755837E6">
      <w:pPr>
        <w:ind w:firstLine="480"/>
        <w:rPr>
          <w:highlight w:val="none"/>
        </w:rPr>
      </w:pPr>
      <w:r>
        <w:rPr>
          <w:rFonts w:hint="eastAsia"/>
          <w:highlight w:val="none"/>
        </w:rPr>
        <w:t>（</w:t>
      </w:r>
      <w:r>
        <w:rPr>
          <w:highlight w:val="none"/>
        </w:rPr>
        <w:t>4）需要外运的建筑垃圾种类、数量与运输的时间、路线、方式和运输单位；</w:t>
      </w:r>
    </w:p>
    <w:p w14:paraId="2DE268B6">
      <w:pPr>
        <w:ind w:firstLine="480"/>
        <w:rPr>
          <w:highlight w:val="none"/>
        </w:rPr>
      </w:pPr>
      <w:r>
        <w:rPr>
          <w:rFonts w:hint="eastAsia"/>
          <w:highlight w:val="none"/>
        </w:rPr>
        <w:t>（</w:t>
      </w:r>
      <w:r>
        <w:rPr>
          <w:highlight w:val="none"/>
        </w:rPr>
        <w:t>5）建筑垃圾回填、消纳、综合利用场所名称；</w:t>
      </w:r>
    </w:p>
    <w:p w14:paraId="4A6EE6B2">
      <w:pPr>
        <w:ind w:firstLine="480"/>
        <w:rPr>
          <w:highlight w:val="none"/>
        </w:rPr>
      </w:pPr>
      <w:r>
        <w:rPr>
          <w:rFonts w:hint="eastAsia"/>
          <w:highlight w:val="none"/>
        </w:rPr>
        <w:t>（</w:t>
      </w:r>
      <w:r>
        <w:rPr>
          <w:highlight w:val="none"/>
        </w:rPr>
        <w:t>6）法律、法规规定的其他内容。</w:t>
      </w:r>
    </w:p>
    <w:p w14:paraId="74DD0B14">
      <w:pPr>
        <w:pStyle w:val="4"/>
        <w:ind w:firstLineChars="200"/>
        <w:rPr>
          <w:highlight w:val="none"/>
        </w:rPr>
      </w:pPr>
      <w:r>
        <w:rPr>
          <w:highlight w:val="none"/>
        </w:rPr>
        <w:t>总承包单位应当按照国家有关规定对施工现场的建筑垃圾进行分类，实行分类收集、分类贮存、分类运输、分类处置。</w:t>
      </w:r>
    </w:p>
    <w:p w14:paraId="237E3A00">
      <w:pPr>
        <w:pStyle w:val="4"/>
        <w:ind w:firstLineChars="200"/>
        <w:rPr>
          <w:highlight w:val="none"/>
        </w:rPr>
      </w:pPr>
      <w:r>
        <w:rPr>
          <w:highlight w:val="none"/>
        </w:rPr>
        <w:t>总承包单位应开展建筑垃圾分类和合法装载，并及时向工程所在地建筑垃圾主管部门报送建筑垃圾处理方案。总承包单位应当建立建筑垃圾管理台账，分类收集、贮存和及时清运施工过程中产生的建筑垃圾，采取有效措施防止混合已分类的建筑垃圾。总承包单位应当将建筑垃圾的产生量与种类、清运时间、最终去向等信息在施工现场公示，接受社会监督。</w:t>
      </w:r>
    </w:p>
    <w:p w14:paraId="3A79B1A5">
      <w:pPr>
        <w:ind w:firstLine="480"/>
        <w:rPr>
          <w:highlight w:val="none"/>
        </w:rPr>
      </w:pPr>
      <w:r>
        <w:rPr>
          <w:rFonts w:hint="eastAsia"/>
          <w:highlight w:val="none"/>
        </w:rPr>
        <w:t>运输建筑垃圾应当遵守下列规定：</w:t>
      </w:r>
    </w:p>
    <w:p w14:paraId="631E9A3C">
      <w:pPr>
        <w:ind w:firstLine="480"/>
        <w:rPr>
          <w:highlight w:val="none"/>
        </w:rPr>
      </w:pPr>
      <w:r>
        <w:rPr>
          <w:rFonts w:hint="eastAsia"/>
          <w:highlight w:val="none"/>
        </w:rPr>
        <w:t>（</w:t>
      </w:r>
      <w:r>
        <w:rPr>
          <w:highlight w:val="none"/>
        </w:rPr>
        <w:t>1）建立建筑垃圾运输管理台账；</w:t>
      </w:r>
    </w:p>
    <w:p w14:paraId="21AC5660">
      <w:pPr>
        <w:ind w:firstLine="480"/>
        <w:rPr>
          <w:highlight w:val="none"/>
        </w:rPr>
      </w:pPr>
      <w:r>
        <w:rPr>
          <w:rFonts w:hint="eastAsia"/>
          <w:highlight w:val="none"/>
        </w:rPr>
        <w:t>（</w:t>
      </w:r>
      <w:r>
        <w:rPr>
          <w:highlight w:val="none"/>
        </w:rPr>
        <w:t>2）不得将工程渣土、工程泥浆与其他建筑垃圾混合运输；</w:t>
      </w:r>
    </w:p>
    <w:p w14:paraId="30B90E79">
      <w:pPr>
        <w:ind w:firstLine="480"/>
        <w:rPr>
          <w:highlight w:val="none"/>
        </w:rPr>
      </w:pPr>
      <w:r>
        <w:rPr>
          <w:rFonts w:hint="eastAsia"/>
          <w:highlight w:val="none"/>
        </w:rPr>
        <w:t>（</w:t>
      </w:r>
      <w:r>
        <w:rPr>
          <w:highlight w:val="none"/>
        </w:rPr>
        <w:t>3）保持运输车辆、船舶等运输工具的行驶记录、卫星定位等电子装置正常使用；</w:t>
      </w:r>
    </w:p>
    <w:p w14:paraId="75CA4EC0">
      <w:pPr>
        <w:ind w:firstLine="480"/>
        <w:rPr>
          <w:highlight w:val="none"/>
        </w:rPr>
      </w:pPr>
      <w:r>
        <w:rPr>
          <w:rFonts w:hint="eastAsia"/>
          <w:highlight w:val="none"/>
        </w:rPr>
        <w:t>（</w:t>
      </w:r>
      <w:r>
        <w:rPr>
          <w:highlight w:val="none"/>
        </w:rPr>
        <w:t>4）运输过程中保持运输工具整洁，采取密闭或者其他有效措施防止遗撒建筑垃圾，不得擅自倾倒、抛撒建筑垃圾；</w:t>
      </w:r>
    </w:p>
    <w:p w14:paraId="09A93609">
      <w:pPr>
        <w:ind w:firstLine="480"/>
        <w:rPr>
          <w:highlight w:val="none"/>
        </w:rPr>
      </w:pPr>
      <w:r>
        <w:rPr>
          <w:rFonts w:hint="eastAsia"/>
          <w:highlight w:val="none"/>
        </w:rPr>
        <w:t>（</w:t>
      </w:r>
      <w:r>
        <w:rPr>
          <w:highlight w:val="none"/>
        </w:rPr>
        <w:t>5）按照建筑垃圾处理方案确定的时间、路线、方式、场所进行运输。建筑垃圾运输车辆、船舶应当符合相应的载运技术条件。建筑垃圾处置场所为陆域的，不得采用开底式船舶运输建筑垃圾。</w:t>
      </w:r>
    </w:p>
    <w:p w14:paraId="370B8BEA">
      <w:pPr>
        <w:pStyle w:val="4"/>
        <w:ind w:firstLineChars="200"/>
        <w:rPr>
          <w:highlight w:val="none"/>
        </w:rPr>
      </w:pPr>
      <w:r>
        <w:rPr>
          <w:highlight w:val="none"/>
        </w:rPr>
        <w:t>工程泥浆应当在施工现场进行脱水固化处理。施工现场不具备条件的，应当采用罐装器具密闭运输至依法设置的建筑垃圾处置场所进行处置。水上工程中依法无需经脱水处理的除外。建筑垃圾应当按照下列方式，优先就地就近利用：</w:t>
      </w:r>
    </w:p>
    <w:p w14:paraId="436690B1">
      <w:pPr>
        <w:ind w:firstLine="480"/>
        <w:rPr>
          <w:highlight w:val="none"/>
        </w:rPr>
      </w:pPr>
      <w:r>
        <w:rPr>
          <w:rFonts w:hint="eastAsia"/>
          <w:highlight w:val="none"/>
        </w:rPr>
        <w:t>（</w:t>
      </w:r>
      <w:r>
        <w:rPr>
          <w:highlight w:val="none"/>
        </w:rPr>
        <w:t>1）工程渣土及脱水后的工程泥浆优先用于土方平衡、矿坑修复、环境治理、烧结制品及回填等；</w:t>
      </w:r>
    </w:p>
    <w:p w14:paraId="0B33F99D">
      <w:pPr>
        <w:ind w:firstLine="480"/>
        <w:rPr>
          <w:highlight w:val="none"/>
        </w:rPr>
      </w:pPr>
      <w:r>
        <w:rPr>
          <w:rFonts w:hint="eastAsia"/>
          <w:highlight w:val="none"/>
        </w:rPr>
        <w:t>（</w:t>
      </w:r>
      <w:r>
        <w:rPr>
          <w:highlight w:val="none"/>
        </w:rPr>
        <w:t>2）工程垃圾、拆除垃圾和装修垃圾优先用于生产再生骨料、再生砖、再生砌块、再生沥青混合料等建筑垃圾综合利用产品。具备现场综合利用条件的建设工程，应当进行建筑垃圾现场综合利用。</w:t>
      </w:r>
    </w:p>
    <w:p w14:paraId="6BF58401">
      <w:pPr>
        <w:pStyle w:val="4"/>
        <w:ind w:firstLineChars="200"/>
        <w:rPr>
          <w:highlight w:val="none"/>
        </w:rPr>
      </w:pPr>
      <w:r>
        <w:rPr>
          <w:rFonts w:hint="eastAsia"/>
          <w:highlight w:val="none"/>
        </w:rPr>
        <w:t>总承包人须在施工现场的合理位置设置废弃物与垃圾堆场，并根据施工现场总平面的变化及时变更废弃物与垃圾堆场的位置。</w:t>
      </w:r>
    </w:p>
    <w:p w14:paraId="4202B1B4">
      <w:pPr>
        <w:rPr>
          <w:rFonts w:hint="eastAsia"/>
          <w:highlight w:val="none"/>
        </w:rPr>
      </w:pPr>
    </w:p>
    <w:p w14:paraId="335DCB24">
      <w:pPr>
        <w:pStyle w:val="3"/>
        <w:numPr>
          <w:ilvl w:val="1"/>
          <w:numId w:val="13"/>
        </w:numPr>
        <w:rPr>
          <w:rFonts w:hint="eastAsia"/>
          <w:highlight w:val="none"/>
        </w:rPr>
      </w:pPr>
      <w:bookmarkStart w:id="383" w:name="_Toc29235"/>
      <w:bookmarkStart w:id="384" w:name="_Toc10246"/>
      <w:bookmarkStart w:id="385" w:name="_Toc18663"/>
      <w:bookmarkStart w:id="386" w:name="_Toc18909"/>
      <w:bookmarkStart w:id="387" w:name="_Toc25835"/>
      <w:bookmarkStart w:id="388" w:name="_Toc18876"/>
      <w:bookmarkStart w:id="389" w:name="_Toc3822"/>
      <w:r>
        <w:rPr>
          <w:rFonts w:hint="eastAsia"/>
          <w:highlight w:val="none"/>
        </w:rPr>
        <w:t>其他施工管理要求</w:t>
      </w:r>
      <w:bookmarkEnd w:id="383"/>
      <w:bookmarkEnd w:id="384"/>
      <w:bookmarkEnd w:id="385"/>
      <w:bookmarkEnd w:id="386"/>
      <w:bookmarkEnd w:id="387"/>
      <w:bookmarkEnd w:id="388"/>
      <w:bookmarkEnd w:id="389"/>
    </w:p>
    <w:p w14:paraId="3046F155">
      <w:pPr>
        <w:pStyle w:val="4"/>
        <w:numPr>
          <w:ilvl w:val="2"/>
          <w:numId w:val="13"/>
        </w:numPr>
        <w:rPr>
          <w:rFonts w:hint="eastAsia"/>
          <w:highlight w:val="none"/>
        </w:rPr>
      </w:pPr>
      <w:r>
        <w:rPr>
          <w:rFonts w:hint="eastAsia"/>
          <w:highlight w:val="none"/>
        </w:rPr>
        <w:t>总平面管理要求</w:t>
      </w:r>
    </w:p>
    <w:p w14:paraId="2CA507C5">
      <w:pPr>
        <w:pStyle w:val="5"/>
        <w:numPr>
          <w:ilvl w:val="3"/>
          <w:numId w:val="13"/>
        </w:numPr>
        <w:rPr>
          <w:rFonts w:hint="eastAsia"/>
          <w:highlight w:val="none"/>
        </w:rPr>
      </w:pPr>
      <w:r>
        <w:rPr>
          <w:rFonts w:hint="eastAsia"/>
          <w:highlight w:val="none"/>
        </w:rPr>
        <w:t>承包人应严格按已审批的施工总平面图或相关的单位工程施工平面图规定的位置，布置施工项目的主要机械设备、脚手架、密封式安全网和围挡、施工临时道路、各类管道或线路、施工材料加工场地及堆放位置或仓库、土方及建筑垃圾堆放位置、警卫室、现场的办公及生产和生活设施、变配电间、消防设施等。涉及到专业承包工程的，专业工程承包单位也必须按此条执行。</w:t>
      </w:r>
    </w:p>
    <w:p w14:paraId="5227EBC1">
      <w:pPr>
        <w:pStyle w:val="5"/>
        <w:numPr>
          <w:ilvl w:val="3"/>
          <w:numId w:val="13"/>
        </w:numPr>
        <w:rPr>
          <w:rFonts w:hint="eastAsia"/>
          <w:highlight w:val="none"/>
        </w:rPr>
      </w:pPr>
      <w:r>
        <w:rPr>
          <w:highlight w:val="none"/>
        </w:rPr>
        <w:t>若因影响后续施工而产生二次或多次临建设施搬迁，承包人必须无条件服从施工安排，并恢复原状，由此引起的恢复费用，发包人不做任何补偿。</w:t>
      </w:r>
    </w:p>
    <w:p w14:paraId="608C2720">
      <w:pPr>
        <w:pStyle w:val="5"/>
        <w:numPr>
          <w:ilvl w:val="3"/>
          <w:numId w:val="13"/>
        </w:numPr>
        <w:rPr>
          <w:rFonts w:hint="eastAsia"/>
          <w:highlight w:val="none"/>
        </w:rPr>
      </w:pPr>
      <w:r>
        <w:rPr>
          <w:rFonts w:hint="eastAsia"/>
          <w:highlight w:val="none"/>
        </w:rPr>
        <w:t>承包人需为发包人/监理人/顾问提供、维护符合发包人要求的办公室及卫生设施，包括空调设施，并负责保洁工作，承包人进场后需上报临建布置图并报监理人及发包人审批后实施。</w:t>
      </w:r>
    </w:p>
    <w:p w14:paraId="7BC5D28F">
      <w:pPr>
        <w:pStyle w:val="4"/>
        <w:numPr>
          <w:ilvl w:val="2"/>
          <w:numId w:val="13"/>
        </w:numPr>
        <w:rPr>
          <w:rFonts w:hint="eastAsia"/>
          <w:highlight w:val="none"/>
        </w:rPr>
      </w:pPr>
      <w:r>
        <w:rPr>
          <w:highlight w:val="none"/>
        </w:rPr>
        <w:t>防水工程质量问题处理要求</w:t>
      </w:r>
    </w:p>
    <w:p w14:paraId="6F2BB347">
      <w:pPr>
        <w:ind w:firstLine="480"/>
        <w:rPr>
          <w:rFonts w:hint="eastAsia"/>
          <w:highlight w:val="none"/>
        </w:rPr>
      </w:pPr>
      <w:r>
        <w:rPr>
          <w:highlight w:val="none"/>
        </w:rPr>
        <w:t>若在质保期内出现渗水、漏水等影响正常办公、生活的情况，在收到通知后 24 小时内必须赶到现场并及时进行维修，并赔偿由此引起的所有损失；未在约定期限内派人维修，发包人有权指定</w:t>
      </w:r>
      <w:r>
        <w:rPr>
          <w:rFonts w:hint="eastAsia"/>
          <w:highlight w:val="none"/>
        </w:rPr>
        <w:t>第三方</w:t>
      </w:r>
      <w:r>
        <w:rPr>
          <w:highlight w:val="none"/>
        </w:rPr>
        <w:t>其他人员维修。</w:t>
      </w:r>
    </w:p>
    <w:p w14:paraId="7A89AA65">
      <w:pPr>
        <w:pStyle w:val="4"/>
        <w:numPr>
          <w:ilvl w:val="2"/>
          <w:numId w:val="13"/>
        </w:numPr>
        <w:rPr>
          <w:rFonts w:hint="eastAsia"/>
          <w:highlight w:val="none"/>
        </w:rPr>
      </w:pPr>
      <w:r>
        <w:rPr>
          <w:highlight w:val="none"/>
        </w:rPr>
        <w:t>水电空转要求</w:t>
      </w:r>
    </w:p>
    <w:p w14:paraId="0E5ACB6C">
      <w:pPr>
        <w:ind w:firstLine="480"/>
        <w:rPr>
          <w:rFonts w:hint="eastAsia"/>
          <w:highlight w:val="none"/>
        </w:rPr>
      </w:pPr>
      <w:r>
        <w:rPr>
          <w:rFonts w:hint="eastAsia"/>
          <w:highlight w:val="none"/>
        </w:rPr>
        <w:t>（1）水电接设完成至水电正式使用过程中</w:t>
      </w:r>
      <w:r>
        <w:rPr>
          <w:highlight w:val="none"/>
        </w:rPr>
        <w:t>的空置（损耗）费用由承包人自行承担；</w:t>
      </w:r>
    </w:p>
    <w:p w14:paraId="4C3AA2E9">
      <w:pPr>
        <w:ind w:firstLine="480"/>
        <w:rPr>
          <w:rFonts w:hint="eastAsia"/>
          <w:highlight w:val="none"/>
        </w:rPr>
      </w:pPr>
      <w:r>
        <w:rPr>
          <w:rFonts w:hint="eastAsia"/>
          <w:highlight w:val="none"/>
        </w:rPr>
        <w:t>（2）</w:t>
      </w:r>
      <w:r>
        <w:rPr>
          <w:highlight w:val="none"/>
        </w:rPr>
        <w:t>所产生的费用已在投标总价中综合考虑，不要求发包人增加；</w:t>
      </w:r>
    </w:p>
    <w:p w14:paraId="008892B9">
      <w:pPr>
        <w:pStyle w:val="4"/>
        <w:numPr>
          <w:ilvl w:val="2"/>
          <w:numId w:val="13"/>
        </w:numPr>
        <w:rPr>
          <w:rFonts w:hint="eastAsia"/>
          <w:highlight w:val="none"/>
        </w:rPr>
      </w:pPr>
      <w:r>
        <w:rPr>
          <w:highlight w:val="none"/>
        </w:rPr>
        <w:t>周边管线及地下管线保护要求</w:t>
      </w:r>
    </w:p>
    <w:p w14:paraId="12718107">
      <w:pPr>
        <w:ind w:firstLine="480"/>
        <w:rPr>
          <w:rFonts w:hint="eastAsia"/>
          <w:highlight w:val="none"/>
        </w:rPr>
      </w:pPr>
      <w:r>
        <w:rPr>
          <w:highlight w:val="none"/>
        </w:rPr>
        <w:t>承包人应</w:t>
      </w:r>
      <w:r>
        <w:rPr>
          <w:rFonts w:hint="eastAsia"/>
          <w:highlight w:val="none"/>
        </w:rPr>
        <w:t>对周边管线及地下管线采取有效的保护措施，若造成周边管线及地下管线等损坏的，</w:t>
      </w:r>
      <w:r>
        <w:rPr>
          <w:highlight w:val="none"/>
        </w:rPr>
        <w:t>由承包人负责修复，并承担所造成的的所有损失。</w:t>
      </w:r>
      <w:r>
        <w:rPr>
          <w:rFonts w:hint="eastAsia"/>
          <w:highlight w:val="none"/>
        </w:rPr>
        <w:t>权属单位提出的施工配合费等一切费用均由</w:t>
      </w:r>
      <w:r>
        <w:rPr>
          <w:highlight w:val="none"/>
        </w:rPr>
        <w:t>承包人</w:t>
      </w:r>
      <w:r>
        <w:rPr>
          <w:rFonts w:hint="eastAsia"/>
          <w:highlight w:val="none"/>
        </w:rPr>
        <w:t>承担。</w:t>
      </w:r>
    </w:p>
    <w:p w14:paraId="276F9767">
      <w:pPr>
        <w:pStyle w:val="4"/>
        <w:numPr>
          <w:ilvl w:val="2"/>
          <w:numId w:val="13"/>
        </w:numPr>
        <w:rPr>
          <w:rFonts w:hint="eastAsia"/>
          <w:highlight w:val="none"/>
        </w:rPr>
      </w:pPr>
      <w:r>
        <w:rPr>
          <w:highlight w:val="none"/>
        </w:rPr>
        <w:t>周边管线（建筑物、构筑物等）变形监测要求</w:t>
      </w:r>
    </w:p>
    <w:p w14:paraId="7F100FB0">
      <w:pPr>
        <w:ind w:firstLine="480"/>
        <w:rPr>
          <w:rFonts w:hint="eastAsia"/>
          <w:highlight w:val="none"/>
        </w:rPr>
      </w:pPr>
      <w:r>
        <w:rPr>
          <w:highlight w:val="none"/>
        </w:rPr>
        <w:t>在工程整体交付使用前，承包人需已充分考虑现场周边管线（建筑物、构筑物、高 压电塔、城际铁路、燃油管道）等情况，并加强周边管线（建筑物、构筑物、高压电塔、城际铁路、燃油管道等）变形监测和采取有效的保护措施。</w:t>
      </w:r>
    </w:p>
    <w:p w14:paraId="2636BD26">
      <w:pPr>
        <w:pStyle w:val="4"/>
        <w:numPr>
          <w:ilvl w:val="2"/>
          <w:numId w:val="13"/>
        </w:numPr>
        <w:rPr>
          <w:rFonts w:hint="eastAsia"/>
          <w:highlight w:val="none"/>
        </w:rPr>
      </w:pPr>
      <w:r>
        <w:rPr>
          <w:highlight w:val="none"/>
        </w:rPr>
        <w:t>基坑、高支模、主体沉降监测要求</w:t>
      </w:r>
    </w:p>
    <w:p w14:paraId="1D0333BF">
      <w:pPr>
        <w:ind w:firstLine="480"/>
        <w:rPr>
          <w:rFonts w:hint="eastAsia"/>
          <w:highlight w:val="none"/>
        </w:rPr>
      </w:pPr>
      <w:r>
        <w:rPr>
          <w:highlight w:val="none"/>
        </w:rPr>
        <w:t>在基坑支护和高大支模施工时，承包人需采用合理科学先进工艺，确保按图施工，确保工程安全，避免出现基坑支护和高大支模、主体沉降监测异常（或到达报警值）需要第三方监测单位增加监测点、加大监测频率（次数）的情况。不得因第三方监测单位 进行监测而取消或暂停该项工作，保证与第三方监测单位独立同步实时进行基坑、高支模、主体沉降监测。</w:t>
      </w:r>
    </w:p>
    <w:p w14:paraId="1EE4F12B">
      <w:pPr>
        <w:ind w:firstLine="480"/>
        <w:rPr>
          <w:rFonts w:hint="eastAsia"/>
          <w:highlight w:val="none"/>
        </w:rPr>
      </w:pPr>
      <w:r>
        <w:rPr>
          <w:rFonts w:hint="eastAsia"/>
          <w:highlight w:val="none"/>
        </w:rPr>
        <w:t>承包人应按照规定对基坑变形、周边建筑物沉降等进行复测，并定期与第三方监测数据进行比对，确保基坑安全。</w:t>
      </w:r>
    </w:p>
    <w:p w14:paraId="5004BCBC">
      <w:pPr>
        <w:pStyle w:val="4"/>
        <w:numPr>
          <w:ilvl w:val="2"/>
          <w:numId w:val="13"/>
        </w:numPr>
        <w:rPr>
          <w:rFonts w:hint="eastAsia"/>
          <w:highlight w:val="none"/>
        </w:rPr>
      </w:pPr>
      <w:r>
        <w:rPr>
          <w:highlight w:val="none"/>
        </w:rPr>
        <w:t>及时支付劳动者报酬要求</w:t>
      </w:r>
    </w:p>
    <w:p w14:paraId="60C96863">
      <w:pPr>
        <w:ind w:firstLine="480"/>
        <w:rPr>
          <w:rFonts w:hint="eastAsia"/>
          <w:highlight w:val="none"/>
        </w:rPr>
      </w:pPr>
      <w:r>
        <w:rPr>
          <w:rFonts w:hint="eastAsia"/>
          <w:highlight w:val="none"/>
        </w:rPr>
        <w:t>（1）</w:t>
      </w:r>
      <w:r>
        <w:rPr>
          <w:highlight w:val="none"/>
        </w:rPr>
        <w:t>根据国家和当地劳动法规，需与本项目施工的所有劳动者（含农民工、下同）签订了劳动合同，并严格履行支付劳动报酬等合同义务。</w:t>
      </w:r>
    </w:p>
    <w:p w14:paraId="29B693FB">
      <w:pPr>
        <w:ind w:firstLine="480"/>
        <w:rPr>
          <w:rFonts w:hint="eastAsia"/>
          <w:highlight w:val="none"/>
        </w:rPr>
      </w:pPr>
      <w:r>
        <w:rPr>
          <w:rFonts w:hint="eastAsia"/>
          <w:highlight w:val="none"/>
        </w:rPr>
        <w:t>（2）</w:t>
      </w:r>
      <w:r>
        <w:rPr>
          <w:highlight w:val="none"/>
        </w:rPr>
        <w:t>工程款应优先用于支付劳动者报酬。</w:t>
      </w:r>
    </w:p>
    <w:p w14:paraId="5C57BAE1">
      <w:pPr>
        <w:ind w:firstLine="480"/>
        <w:rPr>
          <w:rFonts w:hint="eastAsia"/>
          <w:highlight w:val="none"/>
        </w:rPr>
      </w:pPr>
      <w:r>
        <w:rPr>
          <w:rFonts w:hint="eastAsia"/>
          <w:highlight w:val="none"/>
        </w:rPr>
        <w:t>（3）</w:t>
      </w:r>
      <w:r>
        <w:rPr>
          <w:highlight w:val="none"/>
        </w:rPr>
        <w:t>若在本项目上发生拖欠、克扣劳动者报酬行为的，或者因该项目劳动者报酬 纠纷使得发包人可能涉及诉讼、仲裁、或其他不利影响时，发包人有权从承包人工程款 中扣除相应款项，直接支付给相关的劳动者，并有权解除施工合同，承包人赔偿因此而给发包人造成的一切损失。</w:t>
      </w:r>
    </w:p>
    <w:p w14:paraId="2CA93A82">
      <w:pPr>
        <w:pStyle w:val="4"/>
        <w:numPr>
          <w:ilvl w:val="2"/>
          <w:numId w:val="13"/>
        </w:numPr>
        <w:rPr>
          <w:rFonts w:hint="eastAsia"/>
          <w:highlight w:val="none"/>
        </w:rPr>
      </w:pPr>
      <w:r>
        <w:rPr>
          <w:highlight w:val="none"/>
        </w:rPr>
        <w:t>水土保持监测要求</w:t>
      </w:r>
    </w:p>
    <w:p w14:paraId="73364EDC">
      <w:pPr>
        <w:ind w:firstLine="480"/>
        <w:rPr>
          <w:rFonts w:hint="eastAsia"/>
          <w:highlight w:val="none"/>
        </w:rPr>
      </w:pPr>
      <w:r>
        <w:rPr>
          <w:rFonts w:hint="eastAsia"/>
          <w:highlight w:val="none"/>
        </w:rPr>
        <w:t>（1）</w:t>
      </w:r>
      <w:r>
        <w:rPr>
          <w:highlight w:val="none"/>
        </w:rPr>
        <w:t>项目开工后，承包人自行安排人员进行水土保持监测工作。</w:t>
      </w:r>
    </w:p>
    <w:p w14:paraId="057C52A0">
      <w:pPr>
        <w:ind w:firstLine="480"/>
        <w:rPr>
          <w:rFonts w:hint="eastAsia"/>
          <w:highlight w:val="none"/>
        </w:rPr>
      </w:pPr>
      <w:r>
        <w:rPr>
          <w:rFonts w:hint="eastAsia"/>
          <w:highlight w:val="none"/>
        </w:rPr>
        <w:t>（2）</w:t>
      </w:r>
      <w:r>
        <w:rPr>
          <w:highlight w:val="none"/>
        </w:rPr>
        <w:t>承包人及时将监测结果上报至发包人及监理单位。</w:t>
      </w:r>
    </w:p>
    <w:p w14:paraId="0D7A6B9E">
      <w:pPr>
        <w:ind w:firstLine="480"/>
        <w:rPr>
          <w:rFonts w:hint="eastAsia"/>
          <w:highlight w:val="none"/>
        </w:rPr>
      </w:pPr>
      <w:r>
        <w:rPr>
          <w:rFonts w:hint="eastAsia"/>
          <w:highlight w:val="none"/>
        </w:rPr>
        <w:t>（3）</w:t>
      </w:r>
      <w:r>
        <w:rPr>
          <w:highlight w:val="none"/>
        </w:rPr>
        <w:t>承包人收集、编制、汇总监测资料，配合发包人进行水土保持验收及备案等工作。</w:t>
      </w:r>
    </w:p>
    <w:p w14:paraId="2C7F3550">
      <w:pPr>
        <w:ind w:firstLine="480"/>
        <w:rPr>
          <w:rFonts w:hint="eastAsia"/>
          <w:highlight w:val="none"/>
        </w:rPr>
      </w:pPr>
      <w:r>
        <w:rPr>
          <w:rFonts w:hint="eastAsia"/>
          <w:highlight w:val="none"/>
        </w:rPr>
        <w:t>（4）</w:t>
      </w:r>
      <w:r>
        <w:rPr>
          <w:highlight w:val="none"/>
        </w:rPr>
        <w:t>所产生的费用已在投标总价中综合考虑，不要求发包人增加。</w:t>
      </w:r>
    </w:p>
    <w:p w14:paraId="272CF849">
      <w:pPr>
        <w:pStyle w:val="4"/>
        <w:numPr>
          <w:ilvl w:val="2"/>
          <w:numId w:val="13"/>
        </w:numPr>
        <w:rPr>
          <w:rFonts w:hint="eastAsia"/>
          <w:highlight w:val="none"/>
        </w:rPr>
      </w:pPr>
      <w:r>
        <w:rPr>
          <w:highlight w:val="none"/>
        </w:rPr>
        <w:t>信息化管理及智慧工地建设</w:t>
      </w:r>
      <w:r>
        <w:rPr>
          <w:rFonts w:hint="eastAsia"/>
          <w:highlight w:val="none"/>
        </w:rPr>
        <w:t>要求</w:t>
      </w:r>
    </w:p>
    <w:p w14:paraId="033DC12B">
      <w:pPr>
        <w:pStyle w:val="5"/>
        <w:numPr>
          <w:ilvl w:val="3"/>
          <w:numId w:val="13"/>
        </w:numPr>
        <w:rPr>
          <w:rFonts w:hint="eastAsia"/>
          <w:highlight w:val="none"/>
        </w:rPr>
      </w:pPr>
      <w:r>
        <w:rPr>
          <w:highlight w:val="none"/>
        </w:rPr>
        <w:t>信息系统对接</w:t>
      </w:r>
    </w:p>
    <w:p w14:paraId="73284E62">
      <w:pPr>
        <w:ind w:firstLine="480"/>
        <w:rPr>
          <w:rFonts w:hint="eastAsia"/>
          <w:highlight w:val="none"/>
        </w:rPr>
      </w:pPr>
      <w:r>
        <w:rPr>
          <w:highlight w:val="none"/>
        </w:rPr>
        <w:t>承包人自行配置优质的网络硬件、软件环境与</w:t>
      </w:r>
      <w:r>
        <w:rPr>
          <w:rFonts w:hint="eastAsia"/>
          <w:highlight w:val="none"/>
        </w:rPr>
        <w:t>发包人</w:t>
      </w:r>
      <w:r>
        <w:rPr>
          <w:highlight w:val="none"/>
        </w:rPr>
        <w:t>的综合管理平台对接</w:t>
      </w:r>
      <w:r>
        <w:rPr>
          <w:rFonts w:hint="eastAsia"/>
          <w:highlight w:val="none"/>
        </w:rPr>
        <w:t>并按照发包人要求进行相关数据上传工作</w:t>
      </w:r>
      <w:r>
        <w:rPr>
          <w:highlight w:val="none"/>
        </w:rPr>
        <w:t>，配备专业的信息化管理人员，并承担相应费用。</w:t>
      </w:r>
    </w:p>
    <w:p w14:paraId="6C53F58B">
      <w:pPr>
        <w:pStyle w:val="5"/>
        <w:numPr>
          <w:ilvl w:val="3"/>
          <w:numId w:val="13"/>
        </w:numPr>
        <w:rPr>
          <w:rFonts w:hint="eastAsia"/>
          <w:highlight w:val="none"/>
        </w:rPr>
      </w:pPr>
      <w:r>
        <w:rPr>
          <w:highlight w:val="none"/>
        </w:rPr>
        <w:t>智慧工地建设</w:t>
      </w:r>
      <w:r>
        <w:rPr>
          <w:rFonts w:hint="eastAsia"/>
          <w:highlight w:val="none"/>
        </w:rPr>
        <w:t>要求</w:t>
      </w:r>
    </w:p>
    <w:p w14:paraId="6BFFD4A6">
      <w:pPr>
        <w:ind w:firstLine="480"/>
        <w:rPr>
          <w:rFonts w:hint="eastAsia"/>
          <w:highlight w:val="none"/>
        </w:rPr>
      </w:pPr>
      <w:r>
        <w:rPr>
          <w:highlight w:val="none"/>
        </w:rPr>
        <w:t>承包人需实现工程建设过程中的智慧工地全过程监控，</w:t>
      </w:r>
      <w:r>
        <w:rPr>
          <w:rFonts w:hint="eastAsia"/>
          <w:highlight w:val="none"/>
        </w:rPr>
        <w:t>满足《建筑工程智慧工地技术规程DB4401/T 235-2023》的要求</w:t>
      </w:r>
      <w:r>
        <w:rPr>
          <w:highlight w:val="none"/>
        </w:rPr>
        <w:t>并</w:t>
      </w:r>
      <w:r>
        <w:rPr>
          <w:rFonts w:hint="eastAsia"/>
          <w:highlight w:val="none"/>
        </w:rPr>
        <w:t>达到二星级智慧工地评价标准，承包人应投入足够的人员并配备足够的设备与发包人工程项目信息管理系统连接，确保及时准确地按发包人要求进行信息沟通及管理。</w:t>
      </w:r>
      <w:r>
        <w:rPr>
          <w:highlight w:val="none"/>
        </w:rPr>
        <w:t>包括不限于：安全监控（塔吊升降机监控、吊钩可视化监控、无人值守深基坑监测、 高支模监测、脚手架管理、临边防护预警、烟感消防预警等）、质量监控（实测实量、 混凝土生产信息、关键质量检测报告等）、文明施工（视频监控、扬尘噪声、车辆管理、实名制管理、智能水电管理、安全帽 AI 抓拍、联动喷淋等）等数据。</w:t>
      </w:r>
    </w:p>
    <w:p w14:paraId="508DC796">
      <w:pPr>
        <w:pStyle w:val="4"/>
        <w:numPr>
          <w:ilvl w:val="2"/>
          <w:numId w:val="13"/>
        </w:numPr>
        <w:rPr>
          <w:rFonts w:hint="eastAsia"/>
          <w:highlight w:val="none"/>
        </w:rPr>
      </w:pPr>
      <w:r>
        <w:rPr>
          <w:rFonts w:hint="eastAsia"/>
          <w:highlight w:val="none"/>
        </w:rPr>
        <w:t>总承包人履约要求</w:t>
      </w:r>
    </w:p>
    <w:p w14:paraId="6A2E92E4">
      <w:pPr>
        <w:spacing w:line="264" w:lineRule="auto"/>
        <w:ind w:firstLine="480"/>
        <w:rPr>
          <w:rFonts w:hint="eastAsia"/>
          <w:highlight w:val="none"/>
        </w:rPr>
      </w:pPr>
      <w:r>
        <w:rPr>
          <w:rFonts w:hint="eastAsia"/>
          <w:highlight w:val="none"/>
        </w:rPr>
        <w:t>总承包人在施工过程中拒不履行本合同要求内容或者履行标准不符合要求的，发包人有权委托第三方单位替代履行，所造成的</w:t>
      </w:r>
      <w:r>
        <w:rPr>
          <w:rFonts w:hint="eastAsia" w:cs="宋体"/>
          <w:highlight w:val="none"/>
        </w:rPr>
        <w:t>费用按第三方单位实际发生费用</w:t>
      </w:r>
      <w:r>
        <w:rPr>
          <w:rFonts w:hint="eastAsia" w:cs="Times New Roman"/>
          <w:highlight w:val="none"/>
        </w:rPr>
        <w:t>与承包人合同费用之间的高值扣除，并赔偿由此引起的所有损失。</w:t>
      </w:r>
    </w:p>
    <w:p w14:paraId="17C62706">
      <w:pPr>
        <w:ind w:firstLine="480"/>
        <w:rPr>
          <w:rFonts w:hint="eastAsia"/>
          <w:highlight w:val="none"/>
        </w:rPr>
      </w:pPr>
      <w:bookmarkStart w:id="390" w:name="_Toc32168"/>
      <w:bookmarkStart w:id="391" w:name="_Toc26687"/>
      <w:bookmarkStart w:id="392" w:name="_Toc27700"/>
      <w:bookmarkStart w:id="393" w:name="_Toc18333"/>
      <w:bookmarkStart w:id="394" w:name="_Toc2881"/>
      <w:bookmarkStart w:id="395" w:name="_Toc10269"/>
      <w:bookmarkStart w:id="396" w:name="_Toc169722229"/>
      <w:r>
        <w:rPr>
          <w:rFonts w:hint="eastAsia"/>
          <w:highlight w:val="none"/>
        </w:rPr>
        <w:br w:type="page"/>
      </w:r>
    </w:p>
    <w:p w14:paraId="27D3BDC4">
      <w:pPr>
        <w:pStyle w:val="2"/>
        <w:numPr>
          <w:ilvl w:val="0"/>
          <w:numId w:val="13"/>
        </w:numPr>
        <w:spacing w:before="120"/>
        <w:rPr>
          <w:rFonts w:hint="eastAsia"/>
          <w:highlight w:val="none"/>
        </w:rPr>
      </w:pPr>
      <w:bookmarkStart w:id="397" w:name="_Toc14726"/>
      <w:bookmarkStart w:id="398" w:name="_Toc15469"/>
      <w:bookmarkStart w:id="399" w:name="_Toc4704"/>
      <w:bookmarkStart w:id="400" w:name="_Toc19727"/>
      <w:r>
        <w:rPr>
          <w:rFonts w:hint="eastAsia"/>
          <w:highlight w:val="none"/>
        </w:rPr>
        <w:t>技术要求</w:t>
      </w:r>
      <w:bookmarkEnd w:id="390"/>
      <w:bookmarkEnd w:id="391"/>
      <w:bookmarkEnd w:id="392"/>
      <w:bookmarkEnd w:id="393"/>
      <w:bookmarkEnd w:id="394"/>
      <w:bookmarkEnd w:id="395"/>
      <w:bookmarkEnd w:id="396"/>
      <w:bookmarkEnd w:id="397"/>
      <w:bookmarkEnd w:id="398"/>
      <w:bookmarkEnd w:id="399"/>
      <w:bookmarkEnd w:id="400"/>
    </w:p>
    <w:p w14:paraId="0123BE9B">
      <w:pPr>
        <w:pStyle w:val="3"/>
        <w:numPr>
          <w:ilvl w:val="1"/>
          <w:numId w:val="13"/>
        </w:numPr>
        <w:rPr>
          <w:rFonts w:hint="eastAsia"/>
          <w:highlight w:val="none"/>
        </w:rPr>
      </w:pPr>
      <w:bookmarkStart w:id="401" w:name="_Toc29940"/>
      <w:bookmarkStart w:id="402" w:name="_Toc169722230"/>
      <w:bookmarkStart w:id="403" w:name="_Toc8345"/>
      <w:bookmarkStart w:id="404" w:name="_Toc24527"/>
      <w:bookmarkStart w:id="405" w:name="_Toc4172"/>
      <w:bookmarkStart w:id="406" w:name="_Toc14586"/>
      <w:bookmarkStart w:id="407" w:name="_Toc4683"/>
      <w:bookmarkStart w:id="408" w:name="_Toc17160"/>
      <w:bookmarkStart w:id="409" w:name="_Toc25992"/>
      <w:bookmarkStart w:id="410" w:name="_Toc30936"/>
      <w:bookmarkStart w:id="411" w:name="_Toc32693"/>
      <w:r>
        <w:rPr>
          <w:highlight w:val="none"/>
        </w:rPr>
        <w:t>技术规范和标准</w:t>
      </w:r>
      <w:bookmarkEnd w:id="401"/>
      <w:bookmarkEnd w:id="402"/>
      <w:bookmarkEnd w:id="403"/>
      <w:bookmarkEnd w:id="404"/>
      <w:bookmarkEnd w:id="405"/>
      <w:bookmarkEnd w:id="406"/>
      <w:bookmarkEnd w:id="407"/>
      <w:bookmarkEnd w:id="408"/>
      <w:bookmarkEnd w:id="409"/>
      <w:bookmarkEnd w:id="410"/>
      <w:bookmarkEnd w:id="411"/>
      <w:bookmarkStart w:id="412" w:name="_Toc489516866"/>
      <w:bookmarkStart w:id="413" w:name="_Toc490643538"/>
      <w:bookmarkStart w:id="414" w:name="_Toc489520047"/>
      <w:bookmarkStart w:id="415" w:name="_Toc422854852"/>
    </w:p>
    <w:p w14:paraId="5353EED7">
      <w:pPr>
        <w:ind w:firstLine="480"/>
        <w:rPr>
          <w:rFonts w:hint="eastAsia"/>
          <w:highlight w:val="none"/>
        </w:rPr>
      </w:pPr>
      <w:r>
        <w:rPr>
          <w:rFonts w:hint="eastAsia"/>
          <w:highlight w:val="none"/>
        </w:rPr>
        <w:t>总承包人应严格执行最新的现行国家、行业和地方相关技术</w:t>
      </w:r>
      <w:r>
        <w:rPr>
          <w:highlight w:val="none"/>
        </w:rPr>
        <w:t>规范</w:t>
      </w:r>
      <w:r>
        <w:rPr>
          <w:rFonts w:hint="eastAsia"/>
          <w:highlight w:val="none"/>
        </w:rPr>
        <w:t>和</w:t>
      </w:r>
      <w:r>
        <w:rPr>
          <w:highlight w:val="none"/>
        </w:rPr>
        <w:t>标准</w:t>
      </w:r>
      <w:r>
        <w:rPr>
          <w:rFonts w:hint="eastAsia"/>
          <w:highlight w:val="none"/>
        </w:rPr>
        <w:t>。</w:t>
      </w:r>
      <w:r>
        <w:rPr>
          <w:highlight w:val="none"/>
        </w:rPr>
        <w:t>若</w:t>
      </w:r>
      <w:r>
        <w:rPr>
          <w:rFonts w:hint="eastAsia"/>
          <w:highlight w:val="none"/>
        </w:rPr>
        <w:t>上</w:t>
      </w:r>
      <w:r>
        <w:rPr>
          <w:highlight w:val="none"/>
        </w:rPr>
        <w:t>述规范和标准内容有互相抵触时，应按较严格的条款执行</w:t>
      </w:r>
      <w:r>
        <w:rPr>
          <w:rFonts w:hint="eastAsia"/>
          <w:highlight w:val="none"/>
        </w:rPr>
        <w:t>。</w:t>
      </w:r>
      <w:bookmarkEnd w:id="412"/>
      <w:bookmarkEnd w:id="413"/>
      <w:bookmarkEnd w:id="414"/>
    </w:p>
    <w:p w14:paraId="55FE803A">
      <w:pPr>
        <w:pStyle w:val="3"/>
        <w:numPr>
          <w:ilvl w:val="1"/>
          <w:numId w:val="13"/>
        </w:numPr>
        <w:rPr>
          <w:rFonts w:hint="eastAsia"/>
          <w:highlight w:val="none"/>
        </w:rPr>
      </w:pPr>
      <w:bookmarkStart w:id="416" w:name="_Toc12036"/>
      <w:bookmarkStart w:id="417" w:name="_Toc169722231"/>
      <w:bookmarkStart w:id="418" w:name="_Toc32675"/>
      <w:bookmarkStart w:id="419" w:name="_Toc16158"/>
      <w:bookmarkStart w:id="420" w:name="_Toc2078"/>
      <w:bookmarkStart w:id="421" w:name="_Toc10959"/>
      <w:bookmarkStart w:id="422" w:name="_Toc7467"/>
      <w:bookmarkStart w:id="423" w:name="_Toc14325"/>
      <w:bookmarkStart w:id="424" w:name="_Toc15076"/>
      <w:bookmarkStart w:id="425" w:name="_Toc9540"/>
      <w:bookmarkStart w:id="426" w:name="_Toc1463"/>
      <w:r>
        <w:rPr>
          <w:rFonts w:hint="eastAsia"/>
          <w:highlight w:val="none"/>
        </w:rPr>
        <w:t>一般施工技术要求</w:t>
      </w:r>
      <w:bookmarkEnd w:id="415"/>
      <w:bookmarkEnd w:id="416"/>
      <w:bookmarkEnd w:id="417"/>
      <w:bookmarkEnd w:id="418"/>
      <w:bookmarkEnd w:id="419"/>
      <w:bookmarkEnd w:id="420"/>
      <w:bookmarkEnd w:id="421"/>
      <w:bookmarkEnd w:id="422"/>
      <w:bookmarkEnd w:id="423"/>
      <w:bookmarkEnd w:id="424"/>
      <w:bookmarkEnd w:id="425"/>
      <w:bookmarkEnd w:id="426"/>
      <w:bookmarkStart w:id="427" w:name="_Toc246820711"/>
    </w:p>
    <w:bookmarkEnd w:id="427"/>
    <w:p w14:paraId="1F8A195F">
      <w:pPr>
        <w:pStyle w:val="4"/>
        <w:numPr>
          <w:ilvl w:val="2"/>
          <w:numId w:val="13"/>
        </w:numPr>
        <w:rPr>
          <w:rFonts w:hint="eastAsia"/>
          <w:highlight w:val="none"/>
        </w:rPr>
      </w:pPr>
      <w:bookmarkStart w:id="428" w:name="_Toc308696229"/>
      <w:bookmarkStart w:id="429" w:name="_Toc308643217"/>
      <w:bookmarkStart w:id="430" w:name="_Toc246820716"/>
      <w:r>
        <w:rPr>
          <w:highlight w:val="none"/>
        </w:rPr>
        <w:t>测量</w:t>
      </w:r>
      <w:bookmarkEnd w:id="428"/>
      <w:bookmarkEnd w:id="429"/>
      <w:bookmarkEnd w:id="430"/>
      <w:bookmarkStart w:id="431" w:name="_Toc246820717"/>
    </w:p>
    <w:p w14:paraId="0FFC255C">
      <w:pPr>
        <w:ind w:firstLine="480"/>
        <w:rPr>
          <w:rFonts w:hint="eastAsia"/>
          <w:highlight w:val="none"/>
        </w:rPr>
      </w:pPr>
      <w:r>
        <w:rPr>
          <w:rFonts w:hint="eastAsia"/>
          <w:highlight w:val="none"/>
        </w:rPr>
        <w:t>总承包人应该为所有的专业承包人，包括但不限于门窗、机电、保温、精装修等，提供准确、齐备、统一的坐标线和标高线。如坐标线或标高线因后续施工被隐蔽，总承包人应重新提供，并保证前后完全一致。</w:t>
      </w:r>
    </w:p>
    <w:p w14:paraId="5731F7B6">
      <w:pPr>
        <w:pStyle w:val="5"/>
        <w:rPr>
          <w:rFonts w:hint="eastAsia"/>
          <w:highlight w:val="none"/>
        </w:rPr>
      </w:pPr>
      <w:r>
        <w:rPr>
          <w:highlight w:val="none"/>
        </w:rPr>
        <w:t>场地测量基准点移交</w:t>
      </w:r>
    </w:p>
    <w:p w14:paraId="32F8F149">
      <w:pPr>
        <w:ind w:firstLine="480"/>
        <w:rPr>
          <w:rFonts w:hint="eastAsia"/>
          <w:highlight w:val="none"/>
        </w:rPr>
      </w:pPr>
      <w:r>
        <w:rPr>
          <w:rFonts w:hint="eastAsia"/>
          <w:highlight w:val="none"/>
        </w:rPr>
        <w:t>总承包人</w:t>
      </w:r>
      <w:r>
        <w:rPr>
          <w:highlight w:val="none"/>
        </w:rPr>
        <w:t>进场施工前，由</w:t>
      </w:r>
      <w:r>
        <w:rPr>
          <w:rFonts w:hint="eastAsia"/>
          <w:highlight w:val="none"/>
        </w:rPr>
        <w:t>发包人</w:t>
      </w:r>
      <w:r>
        <w:rPr>
          <w:highlight w:val="none"/>
        </w:rPr>
        <w:t>进行基准点的书面移交，</w:t>
      </w:r>
      <w:r>
        <w:rPr>
          <w:rFonts w:hint="eastAsia"/>
          <w:highlight w:val="none"/>
        </w:rPr>
        <w:t>总承包人</w:t>
      </w:r>
      <w:r>
        <w:rPr>
          <w:highlight w:val="none"/>
        </w:rPr>
        <w:t>应安排测量人员对测量基准点进行复测。工程的测量基准点由</w:t>
      </w:r>
      <w:r>
        <w:rPr>
          <w:rFonts w:hint="eastAsia"/>
          <w:highlight w:val="none"/>
        </w:rPr>
        <w:t>总承包人负责</w:t>
      </w:r>
      <w:r>
        <w:rPr>
          <w:highlight w:val="none"/>
        </w:rPr>
        <w:t>管理及保护，并负责损坏后的</w:t>
      </w:r>
      <w:r>
        <w:rPr>
          <w:rFonts w:hint="eastAsia"/>
          <w:highlight w:val="none"/>
        </w:rPr>
        <w:t>修补</w:t>
      </w:r>
      <w:r>
        <w:rPr>
          <w:highlight w:val="none"/>
        </w:rPr>
        <w:t>工作</w:t>
      </w:r>
      <w:r>
        <w:rPr>
          <w:rFonts w:hint="eastAsia"/>
          <w:highlight w:val="none"/>
        </w:rPr>
        <w:t>。</w:t>
      </w:r>
    </w:p>
    <w:p w14:paraId="134D5424">
      <w:pPr>
        <w:pStyle w:val="5"/>
        <w:rPr>
          <w:rFonts w:hint="eastAsia"/>
          <w:highlight w:val="none"/>
        </w:rPr>
      </w:pPr>
      <w:r>
        <w:rPr>
          <w:highlight w:val="none"/>
        </w:rPr>
        <w:t>测量组织管理</w:t>
      </w:r>
      <w:bookmarkEnd w:id="431"/>
    </w:p>
    <w:p w14:paraId="18A19BA8">
      <w:pPr>
        <w:ind w:firstLine="480"/>
        <w:rPr>
          <w:rFonts w:hint="eastAsia"/>
          <w:highlight w:val="none"/>
        </w:rPr>
      </w:pPr>
      <w:r>
        <w:rPr>
          <w:rFonts w:hint="eastAsia"/>
          <w:highlight w:val="none"/>
        </w:rPr>
        <w:t>总承包人</w:t>
      </w:r>
      <w:r>
        <w:rPr>
          <w:highlight w:val="none"/>
        </w:rPr>
        <w:t>应安排专业的测量人员持证上岗，设立专门的测量组负责管理。</w:t>
      </w:r>
    </w:p>
    <w:p w14:paraId="0ADD46D0">
      <w:pPr>
        <w:numPr>
          <w:ilvl w:val="0"/>
          <w:numId w:val="28"/>
        </w:numPr>
        <w:ind w:firstLine="480"/>
        <w:rPr>
          <w:rFonts w:hint="eastAsia"/>
          <w:highlight w:val="none"/>
        </w:rPr>
      </w:pPr>
      <w:r>
        <w:rPr>
          <w:rFonts w:hint="eastAsia"/>
          <w:highlight w:val="none"/>
        </w:rPr>
        <w:t>总承包人应配备满足本工程需要的测量放线人员，人员应有测量资质和三年以上同类住宅项目测量经验。</w:t>
      </w:r>
    </w:p>
    <w:p w14:paraId="65F257AD">
      <w:pPr>
        <w:numPr>
          <w:ilvl w:val="0"/>
          <w:numId w:val="28"/>
        </w:numPr>
        <w:ind w:firstLine="480"/>
        <w:rPr>
          <w:rFonts w:hint="eastAsia"/>
          <w:highlight w:val="none"/>
        </w:rPr>
      </w:pPr>
      <w:r>
        <w:rPr>
          <w:rFonts w:hint="eastAsia"/>
          <w:highlight w:val="none"/>
        </w:rPr>
        <w:t>总承包人应配备满足本工程需要的测量设备，测量设备应按规定进行年检，并保证工程测量精度。</w:t>
      </w:r>
    </w:p>
    <w:p w14:paraId="1D1A77F1">
      <w:pPr>
        <w:numPr>
          <w:ilvl w:val="0"/>
          <w:numId w:val="28"/>
        </w:numPr>
        <w:ind w:firstLine="480"/>
        <w:rPr>
          <w:rFonts w:hint="eastAsia"/>
          <w:highlight w:val="none"/>
        </w:rPr>
      </w:pPr>
      <w:r>
        <w:rPr>
          <w:rFonts w:hint="eastAsia"/>
          <w:highlight w:val="none"/>
        </w:rPr>
        <w:t>总承包人应编制专项测量方案，并对实体工程平整度、垂直度、净高等指标制定相关的控制保证措施，在工程实施过程中切实执行。</w:t>
      </w:r>
    </w:p>
    <w:p w14:paraId="1B782834">
      <w:pPr>
        <w:pStyle w:val="5"/>
        <w:rPr>
          <w:rFonts w:hint="eastAsia"/>
          <w:highlight w:val="none"/>
        </w:rPr>
      </w:pPr>
      <w:bookmarkStart w:id="432" w:name="_Toc246820718"/>
      <w:r>
        <w:rPr>
          <w:rFonts w:hint="eastAsia"/>
          <w:highlight w:val="none"/>
        </w:rPr>
        <w:t>总承包人</w:t>
      </w:r>
      <w:r>
        <w:rPr>
          <w:highlight w:val="none"/>
        </w:rPr>
        <w:t>负责测量工作内容</w:t>
      </w:r>
      <w:bookmarkEnd w:id="432"/>
    </w:p>
    <w:p w14:paraId="6BAB0996">
      <w:pPr>
        <w:numPr>
          <w:ilvl w:val="0"/>
          <w:numId w:val="29"/>
        </w:numPr>
        <w:ind w:firstLine="480"/>
        <w:rPr>
          <w:rFonts w:hint="eastAsia"/>
          <w:highlight w:val="none"/>
        </w:rPr>
      </w:pPr>
      <w:r>
        <w:rPr>
          <w:rFonts w:hint="eastAsia"/>
          <w:highlight w:val="none"/>
        </w:rPr>
        <w:t>维护发包人提供的首级控制网。</w:t>
      </w:r>
    </w:p>
    <w:p w14:paraId="1B9BB043">
      <w:pPr>
        <w:numPr>
          <w:ilvl w:val="0"/>
          <w:numId w:val="29"/>
        </w:numPr>
        <w:ind w:firstLine="480"/>
        <w:rPr>
          <w:rFonts w:hint="eastAsia"/>
          <w:highlight w:val="none"/>
        </w:rPr>
      </w:pPr>
      <w:r>
        <w:rPr>
          <w:rFonts w:hint="eastAsia"/>
          <w:highlight w:val="none"/>
        </w:rPr>
        <w:t>测设场地内的次级控制网。</w:t>
      </w:r>
    </w:p>
    <w:p w14:paraId="3EC5BC0D">
      <w:pPr>
        <w:numPr>
          <w:ilvl w:val="0"/>
          <w:numId w:val="29"/>
        </w:numPr>
        <w:ind w:firstLine="480"/>
        <w:rPr>
          <w:rFonts w:hint="eastAsia"/>
          <w:highlight w:val="none"/>
        </w:rPr>
      </w:pPr>
      <w:r>
        <w:rPr>
          <w:rFonts w:hint="eastAsia"/>
          <w:highlight w:val="none"/>
        </w:rPr>
        <w:t>负责建筑物内三级控制网主轴线的测设工作。</w:t>
      </w:r>
    </w:p>
    <w:p w14:paraId="42CC2407">
      <w:pPr>
        <w:numPr>
          <w:ilvl w:val="0"/>
          <w:numId w:val="29"/>
        </w:numPr>
        <w:ind w:firstLine="480"/>
        <w:rPr>
          <w:rFonts w:hint="eastAsia"/>
          <w:highlight w:val="none"/>
        </w:rPr>
      </w:pPr>
      <w:r>
        <w:rPr>
          <w:rFonts w:hint="eastAsia"/>
          <w:highlight w:val="none"/>
        </w:rPr>
        <w:t>负责场地内基准标高的测设工作。</w:t>
      </w:r>
    </w:p>
    <w:p w14:paraId="2C8EEA33">
      <w:pPr>
        <w:numPr>
          <w:ilvl w:val="0"/>
          <w:numId w:val="29"/>
        </w:numPr>
        <w:ind w:firstLine="480"/>
        <w:rPr>
          <w:rFonts w:hint="eastAsia"/>
          <w:highlight w:val="none"/>
        </w:rPr>
      </w:pPr>
      <w:r>
        <w:rPr>
          <w:rFonts w:hint="eastAsia"/>
          <w:highlight w:val="none"/>
        </w:rPr>
        <w:t>负责同一分期内不同标段间的测量复核工作。</w:t>
      </w:r>
    </w:p>
    <w:p w14:paraId="01BB6F36">
      <w:pPr>
        <w:numPr>
          <w:ilvl w:val="0"/>
          <w:numId w:val="29"/>
        </w:numPr>
        <w:ind w:firstLine="480"/>
        <w:rPr>
          <w:rFonts w:hint="eastAsia"/>
          <w:highlight w:val="none"/>
        </w:rPr>
      </w:pPr>
      <w:r>
        <w:rPr>
          <w:rFonts w:hint="eastAsia"/>
          <w:highlight w:val="none"/>
        </w:rPr>
        <w:t>向专业承包人进行主轴线及基准标高的移交工作。</w:t>
      </w:r>
    </w:p>
    <w:p w14:paraId="0EA62570">
      <w:pPr>
        <w:numPr>
          <w:ilvl w:val="0"/>
          <w:numId w:val="29"/>
        </w:numPr>
        <w:ind w:firstLine="480"/>
        <w:rPr>
          <w:rFonts w:hint="eastAsia"/>
          <w:highlight w:val="none"/>
        </w:rPr>
      </w:pPr>
      <w:r>
        <w:rPr>
          <w:rFonts w:hint="eastAsia"/>
          <w:highlight w:val="none"/>
        </w:rPr>
        <w:t>对专业承包人的测量工作进行管理及检查复核。</w:t>
      </w:r>
    </w:p>
    <w:p w14:paraId="16F703B9">
      <w:pPr>
        <w:numPr>
          <w:ilvl w:val="0"/>
          <w:numId w:val="29"/>
        </w:numPr>
        <w:ind w:firstLine="480"/>
        <w:rPr>
          <w:rFonts w:hint="eastAsia"/>
          <w:highlight w:val="none"/>
        </w:rPr>
      </w:pPr>
      <w:r>
        <w:rPr>
          <w:rFonts w:hint="eastAsia"/>
          <w:highlight w:val="none"/>
        </w:rPr>
        <w:t>负责测量资料的整理归档工作。</w:t>
      </w:r>
    </w:p>
    <w:p w14:paraId="1D568602">
      <w:pPr>
        <w:numPr>
          <w:ilvl w:val="0"/>
          <w:numId w:val="29"/>
        </w:numPr>
        <w:ind w:firstLine="480"/>
        <w:rPr>
          <w:rFonts w:hint="eastAsia"/>
          <w:highlight w:val="none"/>
        </w:rPr>
      </w:pPr>
      <w:r>
        <w:rPr>
          <w:rFonts w:hint="eastAsia"/>
          <w:highlight w:val="none"/>
        </w:rPr>
        <w:t>配合发包人做好政府规划部门的测量验线工作。</w:t>
      </w:r>
      <w:bookmarkStart w:id="433" w:name="_Toc246820726"/>
    </w:p>
    <w:bookmarkEnd w:id="433"/>
    <w:p w14:paraId="1B5FBE3D">
      <w:pPr>
        <w:pStyle w:val="4"/>
        <w:numPr>
          <w:ilvl w:val="2"/>
          <w:numId w:val="13"/>
        </w:numPr>
        <w:rPr>
          <w:rFonts w:hint="eastAsia"/>
          <w:highlight w:val="none"/>
        </w:rPr>
      </w:pPr>
      <w:bookmarkStart w:id="434" w:name="_Toc308696233"/>
      <w:bookmarkStart w:id="435" w:name="_Toc154742379"/>
      <w:bookmarkStart w:id="436" w:name="_Toc146361422"/>
      <w:bookmarkStart w:id="437" w:name="_Toc308643221"/>
      <w:bookmarkStart w:id="438" w:name="_Toc246820740"/>
      <w:bookmarkStart w:id="439" w:name="_Toc152173050"/>
      <w:bookmarkStart w:id="440" w:name="_Toc146516999"/>
      <w:r>
        <w:rPr>
          <w:highlight w:val="none"/>
        </w:rPr>
        <w:t>雨季施工措施</w:t>
      </w:r>
      <w:bookmarkEnd w:id="434"/>
      <w:bookmarkEnd w:id="435"/>
      <w:bookmarkEnd w:id="436"/>
      <w:bookmarkEnd w:id="437"/>
      <w:bookmarkEnd w:id="438"/>
      <w:bookmarkEnd w:id="439"/>
      <w:bookmarkEnd w:id="440"/>
      <w:bookmarkStart w:id="441" w:name="_Toc146361423"/>
      <w:bookmarkStart w:id="442" w:name="_Toc154742380"/>
      <w:bookmarkStart w:id="443" w:name="_Toc152173051"/>
      <w:bookmarkStart w:id="444" w:name="_Toc246820741"/>
      <w:bookmarkStart w:id="445" w:name="_Toc75851495"/>
    </w:p>
    <w:bookmarkEnd w:id="441"/>
    <w:bookmarkEnd w:id="442"/>
    <w:bookmarkEnd w:id="443"/>
    <w:bookmarkEnd w:id="444"/>
    <w:bookmarkEnd w:id="445"/>
    <w:p w14:paraId="4311F6E3">
      <w:pPr>
        <w:pStyle w:val="5"/>
        <w:rPr>
          <w:rFonts w:hint="eastAsia"/>
          <w:highlight w:val="none"/>
        </w:rPr>
      </w:pPr>
      <w:r>
        <w:rPr>
          <w:highlight w:val="none"/>
        </w:rPr>
        <w:t>组织措施</w:t>
      </w:r>
    </w:p>
    <w:p w14:paraId="23393C4E">
      <w:pPr>
        <w:numPr>
          <w:ilvl w:val="0"/>
          <w:numId w:val="30"/>
        </w:numPr>
        <w:ind w:firstLine="480"/>
        <w:rPr>
          <w:rFonts w:hint="eastAsia"/>
          <w:highlight w:val="none"/>
        </w:rPr>
      </w:pPr>
      <w:r>
        <w:rPr>
          <w:rFonts w:hint="eastAsia"/>
          <w:highlight w:val="none"/>
        </w:rPr>
        <w:t>总承包人</w:t>
      </w:r>
      <w:r>
        <w:rPr>
          <w:highlight w:val="none"/>
        </w:rPr>
        <w:t>应成立以</w:t>
      </w:r>
      <w:r>
        <w:rPr>
          <w:rFonts w:hint="eastAsia"/>
          <w:highlight w:val="none"/>
        </w:rPr>
        <w:t>项目负责人</w:t>
      </w:r>
      <w:r>
        <w:rPr>
          <w:highlight w:val="none"/>
        </w:rPr>
        <w:t>为第一责任人的应急小组，配备劳动力、应急水泵、电箱电缆、防雨布等物资和设备，并明确</w:t>
      </w:r>
      <w:r>
        <w:rPr>
          <w:rFonts w:hint="eastAsia"/>
          <w:highlight w:val="none"/>
        </w:rPr>
        <w:t>相关</w:t>
      </w:r>
      <w:r>
        <w:rPr>
          <w:highlight w:val="none"/>
        </w:rPr>
        <w:t>责任人。</w:t>
      </w:r>
    </w:p>
    <w:p w14:paraId="65CB4E01">
      <w:pPr>
        <w:numPr>
          <w:ilvl w:val="0"/>
          <w:numId w:val="30"/>
        </w:numPr>
        <w:ind w:firstLine="480"/>
        <w:rPr>
          <w:rFonts w:hint="eastAsia"/>
          <w:highlight w:val="none"/>
        </w:rPr>
      </w:pPr>
      <w:r>
        <w:rPr>
          <w:highlight w:val="none"/>
        </w:rPr>
        <w:t>暴雨来临前，增加夜间值班人员，项目领导参与夜间值班，主要管理人员24小时</w:t>
      </w:r>
      <w:r>
        <w:rPr>
          <w:rFonts w:hint="eastAsia"/>
          <w:highlight w:val="none"/>
        </w:rPr>
        <w:t>手机</w:t>
      </w:r>
      <w:r>
        <w:rPr>
          <w:highlight w:val="none"/>
        </w:rPr>
        <w:t>开机。</w:t>
      </w:r>
    </w:p>
    <w:p w14:paraId="437C7C1E">
      <w:pPr>
        <w:numPr>
          <w:ilvl w:val="0"/>
          <w:numId w:val="30"/>
        </w:numPr>
        <w:ind w:firstLine="480"/>
        <w:rPr>
          <w:rFonts w:hint="eastAsia"/>
          <w:highlight w:val="none"/>
        </w:rPr>
      </w:pPr>
      <w:r>
        <w:rPr>
          <w:highlight w:val="none"/>
        </w:rPr>
        <w:t>雨季施工主要以预防为主，采取防雨措施及排水措施。</w:t>
      </w:r>
    </w:p>
    <w:p w14:paraId="19B25920">
      <w:pPr>
        <w:numPr>
          <w:ilvl w:val="0"/>
          <w:numId w:val="30"/>
        </w:numPr>
        <w:ind w:firstLine="480"/>
        <w:rPr>
          <w:rFonts w:hint="eastAsia"/>
          <w:highlight w:val="none"/>
        </w:rPr>
      </w:pPr>
      <w:r>
        <w:rPr>
          <w:rFonts w:hint="eastAsia"/>
          <w:highlight w:val="none"/>
        </w:rPr>
        <w:t>总承包人</w:t>
      </w:r>
      <w:r>
        <w:rPr>
          <w:highlight w:val="none"/>
        </w:rPr>
        <w:t>应做好施工人员的雨季施工培训工作，组织相关人员进行施工现场的准备工作，并进行一次全面的施工现场检查，包括检查临时设施、临时用电、机械设备等各项工作。</w:t>
      </w:r>
    </w:p>
    <w:p w14:paraId="6A11EC60">
      <w:pPr>
        <w:numPr>
          <w:ilvl w:val="0"/>
          <w:numId w:val="30"/>
        </w:numPr>
        <w:ind w:firstLine="480"/>
        <w:rPr>
          <w:rFonts w:hint="eastAsia"/>
          <w:highlight w:val="none"/>
        </w:rPr>
      </w:pPr>
      <w:r>
        <w:rPr>
          <w:highlight w:val="none"/>
        </w:rPr>
        <w:t>加强雨季施工的信息反馈，对容易发生问题的要采取防范措施，设法排除隐患，同时合理的安排日常工作。</w:t>
      </w:r>
    </w:p>
    <w:p w14:paraId="4CA61137">
      <w:pPr>
        <w:pStyle w:val="5"/>
        <w:rPr>
          <w:rFonts w:hint="eastAsia"/>
          <w:highlight w:val="none"/>
        </w:rPr>
      </w:pPr>
      <w:r>
        <w:rPr>
          <w:rFonts w:hint="eastAsia"/>
          <w:highlight w:val="none"/>
        </w:rPr>
        <w:t>雨季施工方案</w:t>
      </w:r>
    </w:p>
    <w:p w14:paraId="19EF4BDE">
      <w:pPr>
        <w:ind w:firstLine="480"/>
        <w:rPr>
          <w:rFonts w:hint="eastAsia"/>
          <w:highlight w:val="none"/>
        </w:rPr>
      </w:pPr>
      <w:r>
        <w:rPr>
          <w:rFonts w:hint="eastAsia"/>
          <w:highlight w:val="none"/>
        </w:rPr>
        <w:t>总承包人</w:t>
      </w:r>
      <w:r>
        <w:rPr>
          <w:highlight w:val="none"/>
        </w:rPr>
        <w:t>应编制详细的雨季施工方案，报监理人</w:t>
      </w:r>
      <w:r>
        <w:rPr>
          <w:rFonts w:hint="eastAsia"/>
          <w:highlight w:val="none"/>
        </w:rPr>
        <w:t>审批</w:t>
      </w:r>
      <w:r>
        <w:rPr>
          <w:highlight w:val="none"/>
        </w:rPr>
        <w:t>。该方案</w:t>
      </w:r>
      <w:r>
        <w:rPr>
          <w:rFonts w:hint="eastAsia"/>
          <w:highlight w:val="none"/>
        </w:rPr>
        <w:t>应</w:t>
      </w:r>
      <w:r>
        <w:rPr>
          <w:highlight w:val="none"/>
        </w:rPr>
        <w:t>根据具体施工图、工程进度</w:t>
      </w:r>
      <w:r>
        <w:rPr>
          <w:rFonts w:hint="eastAsia"/>
          <w:highlight w:val="none"/>
        </w:rPr>
        <w:t>计划</w:t>
      </w:r>
      <w:r>
        <w:rPr>
          <w:highlight w:val="none"/>
        </w:rPr>
        <w:t>及</w:t>
      </w:r>
      <w:r>
        <w:rPr>
          <w:rFonts w:hint="eastAsia"/>
          <w:highlight w:val="none"/>
        </w:rPr>
        <w:t>本地</w:t>
      </w:r>
      <w:r>
        <w:rPr>
          <w:highlight w:val="none"/>
        </w:rPr>
        <w:t>雨季</w:t>
      </w:r>
      <w:r>
        <w:rPr>
          <w:rFonts w:hint="eastAsia"/>
          <w:highlight w:val="none"/>
        </w:rPr>
        <w:t>特点</w:t>
      </w:r>
      <w:r>
        <w:rPr>
          <w:highlight w:val="none"/>
        </w:rPr>
        <w:t>编制完成，提出切实可行的雨季施工措施。</w:t>
      </w:r>
    </w:p>
    <w:p w14:paraId="0C3E31CF">
      <w:pPr>
        <w:pStyle w:val="5"/>
        <w:rPr>
          <w:rFonts w:hint="eastAsia"/>
          <w:highlight w:val="none"/>
        </w:rPr>
      </w:pPr>
      <w:r>
        <w:rPr>
          <w:highlight w:val="none"/>
        </w:rPr>
        <w:t>施工现场措施</w:t>
      </w:r>
    </w:p>
    <w:p w14:paraId="4909817B">
      <w:pPr>
        <w:numPr>
          <w:ilvl w:val="0"/>
          <w:numId w:val="31"/>
        </w:numPr>
        <w:ind w:firstLine="480"/>
        <w:rPr>
          <w:rFonts w:hint="eastAsia"/>
          <w:highlight w:val="none"/>
        </w:rPr>
      </w:pPr>
      <w:r>
        <w:rPr>
          <w:highlight w:val="none"/>
        </w:rPr>
        <w:t>施工现场道路在雨季之前要进行修理，</w:t>
      </w:r>
      <w:r>
        <w:rPr>
          <w:rFonts w:hint="eastAsia"/>
          <w:highlight w:val="none"/>
        </w:rPr>
        <w:t>做</w:t>
      </w:r>
      <w:r>
        <w:rPr>
          <w:highlight w:val="none"/>
        </w:rPr>
        <w:t>到道路不积水。道路</w:t>
      </w:r>
      <w:r>
        <w:rPr>
          <w:rFonts w:hint="eastAsia"/>
          <w:highlight w:val="none"/>
        </w:rPr>
        <w:t>两</w:t>
      </w:r>
      <w:r>
        <w:rPr>
          <w:highlight w:val="none"/>
        </w:rPr>
        <w:t>侧设排水沟，每间隔一段距离加设集水坑，排水沟要经常维护，保持通畅，场地内部要作好有组织排水。</w:t>
      </w:r>
    </w:p>
    <w:p w14:paraId="0CB916C4">
      <w:pPr>
        <w:numPr>
          <w:ilvl w:val="0"/>
          <w:numId w:val="31"/>
        </w:numPr>
        <w:ind w:firstLine="480"/>
        <w:rPr>
          <w:rFonts w:hint="eastAsia"/>
          <w:highlight w:val="none"/>
        </w:rPr>
      </w:pPr>
      <w:r>
        <w:rPr>
          <w:highlight w:val="none"/>
        </w:rPr>
        <w:t>室外露天的中、小型机械需按规定搭设防雨棚，电闸箱防漏电保护装置要灵敏有效，同时设专人定期检测并做好记录。机电设备需经常检查接零、接地保护。雨季前要对避雷装置进行一次全面的检查，遇雷雨天停止使用高大设备，以防雷击。</w:t>
      </w:r>
    </w:p>
    <w:p w14:paraId="33AB10D4">
      <w:pPr>
        <w:numPr>
          <w:ilvl w:val="0"/>
          <w:numId w:val="31"/>
        </w:numPr>
        <w:ind w:firstLine="480"/>
        <w:rPr>
          <w:rFonts w:hint="eastAsia"/>
          <w:highlight w:val="none"/>
        </w:rPr>
      </w:pPr>
      <w:r>
        <w:rPr>
          <w:highlight w:val="none"/>
        </w:rPr>
        <w:t>雨季期间所需的塑料布提前准备好，污水泵要作到运转良好。库房及堆放场地四周要求有良好的排水。模板、脚手架、木方等堆放场地均在底部垫方木，上面用塑料布遮盖以防雨淋。</w:t>
      </w:r>
      <w:bookmarkStart w:id="446" w:name="_Toc246820744"/>
      <w:bookmarkStart w:id="447" w:name="_Toc146361424"/>
      <w:bookmarkStart w:id="448" w:name="_Toc75851498"/>
      <w:bookmarkStart w:id="449" w:name="_Toc154742381"/>
      <w:bookmarkStart w:id="450" w:name="_Toc152173052"/>
    </w:p>
    <w:p w14:paraId="44B174A0">
      <w:pPr>
        <w:pStyle w:val="5"/>
        <w:rPr>
          <w:rFonts w:hint="eastAsia"/>
          <w:highlight w:val="none"/>
        </w:rPr>
      </w:pPr>
      <w:r>
        <w:rPr>
          <w:highlight w:val="none"/>
        </w:rPr>
        <w:t>主要部位雨季施工措施</w:t>
      </w:r>
      <w:bookmarkEnd w:id="446"/>
      <w:bookmarkEnd w:id="447"/>
      <w:bookmarkEnd w:id="448"/>
      <w:bookmarkEnd w:id="449"/>
      <w:bookmarkEnd w:id="450"/>
    </w:p>
    <w:p w14:paraId="66D3EF45">
      <w:pPr>
        <w:numPr>
          <w:ilvl w:val="0"/>
          <w:numId w:val="32"/>
        </w:numPr>
        <w:ind w:firstLine="480"/>
        <w:rPr>
          <w:rFonts w:hint="eastAsia"/>
          <w:highlight w:val="none"/>
        </w:rPr>
      </w:pPr>
      <w:r>
        <w:rPr>
          <w:highlight w:val="none"/>
        </w:rPr>
        <w:t>为防止首层及屋面平面洞口大量渗水至下部工作面，对地下室顶板上及屋面上外露的所有洞口应</w:t>
      </w:r>
      <w:r>
        <w:rPr>
          <w:rFonts w:hint="eastAsia"/>
          <w:highlight w:val="none"/>
        </w:rPr>
        <w:t>采用临时</w:t>
      </w:r>
      <w:r>
        <w:rPr>
          <w:highlight w:val="none"/>
        </w:rPr>
        <w:t>挡水措施。</w:t>
      </w:r>
    </w:p>
    <w:p w14:paraId="6B8F1F67">
      <w:pPr>
        <w:numPr>
          <w:ilvl w:val="0"/>
          <w:numId w:val="32"/>
        </w:numPr>
        <w:ind w:firstLine="480"/>
        <w:rPr>
          <w:rFonts w:hint="eastAsia"/>
          <w:highlight w:val="none"/>
        </w:rPr>
      </w:pPr>
      <w:bookmarkStart w:id="451" w:name="_Toc246820746"/>
      <w:bookmarkStart w:id="452" w:name="_Toc75851499"/>
      <w:bookmarkStart w:id="453" w:name="_Toc146361425"/>
      <w:r>
        <w:rPr>
          <w:highlight w:val="none"/>
        </w:rPr>
        <w:t>在地下室、电梯底坑等</w:t>
      </w:r>
      <w:bookmarkEnd w:id="451"/>
      <w:r>
        <w:rPr>
          <w:highlight w:val="none"/>
        </w:rPr>
        <w:t>极易积水区域设置足够功率及数量的水泵，安排专人巡视，检查水泵工作情况，并根据现场积水情况及时调整水泵数量或采取其他挡水等措施。</w:t>
      </w:r>
    </w:p>
    <w:p w14:paraId="6CB49D7D">
      <w:pPr>
        <w:numPr>
          <w:ilvl w:val="0"/>
          <w:numId w:val="32"/>
        </w:numPr>
        <w:ind w:firstLine="480"/>
        <w:rPr>
          <w:rFonts w:hint="eastAsia"/>
          <w:highlight w:val="none"/>
        </w:rPr>
      </w:pPr>
      <w:r>
        <w:rPr>
          <w:highlight w:val="none"/>
        </w:rPr>
        <w:t>钢筋堆放时，下部要垫砌体、混凝土条块或</w:t>
      </w:r>
      <w:r>
        <w:rPr>
          <w:rFonts w:hint="eastAsia"/>
          <w:highlight w:val="none"/>
        </w:rPr>
        <w:t>木枋</w:t>
      </w:r>
      <w:r>
        <w:rPr>
          <w:highlight w:val="none"/>
        </w:rPr>
        <w:t>，雨天要覆盖塑料布。雨后要对钢筋表面进行检查，做好除锈工作。雨天不得在无任何防雨措施的场地进行焊接施工。</w:t>
      </w:r>
    </w:p>
    <w:p w14:paraId="680AB3FA">
      <w:pPr>
        <w:numPr>
          <w:ilvl w:val="0"/>
          <w:numId w:val="32"/>
        </w:numPr>
        <w:ind w:firstLine="480"/>
        <w:rPr>
          <w:rFonts w:hint="eastAsia"/>
          <w:highlight w:val="none"/>
        </w:rPr>
      </w:pPr>
      <w:bookmarkStart w:id="454" w:name="_Toc246820748"/>
      <w:r>
        <w:rPr>
          <w:highlight w:val="none"/>
        </w:rPr>
        <w:t>混凝土浇筑前应了解当天的气象情况，以防因大雨被迫中断混凝土浇筑。对浇筑完未终凝的混凝土如遇突然降雨，及时用塑料布覆盖，以防水泥浆流失</w:t>
      </w:r>
      <w:bookmarkEnd w:id="454"/>
      <w:r>
        <w:rPr>
          <w:highlight w:val="none"/>
        </w:rPr>
        <w:t>。</w:t>
      </w:r>
    </w:p>
    <w:p w14:paraId="7DA7697D">
      <w:pPr>
        <w:numPr>
          <w:ilvl w:val="0"/>
          <w:numId w:val="32"/>
        </w:numPr>
        <w:ind w:firstLine="480"/>
        <w:rPr>
          <w:rFonts w:hint="eastAsia"/>
          <w:highlight w:val="none"/>
        </w:rPr>
      </w:pPr>
      <w:r>
        <w:rPr>
          <w:highlight w:val="none"/>
        </w:rPr>
        <w:t>室内装修时，应将门窗关闭，防止雨</w:t>
      </w:r>
      <w:r>
        <w:rPr>
          <w:rFonts w:hint="eastAsia"/>
          <w:highlight w:val="none"/>
        </w:rPr>
        <w:t>水</w:t>
      </w:r>
      <w:r>
        <w:rPr>
          <w:highlight w:val="none"/>
        </w:rPr>
        <w:t>进入室内，破坏已装修完毕的饰面层。易受潮的装修材料</w:t>
      </w:r>
      <w:r>
        <w:rPr>
          <w:rFonts w:hint="eastAsia"/>
          <w:highlight w:val="none"/>
        </w:rPr>
        <w:t>应</w:t>
      </w:r>
      <w:r>
        <w:rPr>
          <w:highlight w:val="none"/>
        </w:rPr>
        <w:t>堆放至室内或用防雨材料覆盖。雨期抹灰工程应采取防雨措施。</w:t>
      </w:r>
    </w:p>
    <w:p w14:paraId="1A86E14A">
      <w:pPr>
        <w:numPr>
          <w:ilvl w:val="0"/>
          <w:numId w:val="32"/>
        </w:numPr>
        <w:ind w:firstLine="480"/>
        <w:rPr>
          <w:rFonts w:hint="eastAsia"/>
          <w:highlight w:val="none"/>
        </w:rPr>
      </w:pPr>
      <w:r>
        <w:rPr>
          <w:rFonts w:hint="eastAsia"/>
          <w:highlight w:val="none"/>
        </w:rPr>
        <w:t>雨季</w:t>
      </w:r>
      <w:r>
        <w:rPr>
          <w:highlight w:val="none"/>
        </w:rPr>
        <w:t>期间</w:t>
      </w:r>
      <w:r>
        <w:rPr>
          <w:rFonts w:hint="eastAsia"/>
          <w:highlight w:val="none"/>
        </w:rPr>
        <w:t>应</w:t>
      </w:r>
      <w:r>
        <w:rPr>
          <w:highlight w:val="none"/>
        </w:rPr>
        <w:t>对所有脚手架工程进行全面检查，脚手架立杆底座必须牢固，基土应夯实，外用脚手架要与墙体拉接牢固。</w:t>
      </w:r>
    </w:p>
    <w:p w14:paraId="437D978B">
      <w:pPr>
        <w:numPr>
          <w:ilvl w:val="0"/>
          <w:numId w:val="32"/>
        </w:numPr>
        <w:ind w:firstLine="480"/>
        <w:rPr>
          <w:rFonts w:hint="eastAsia"/>
          <w:highlight w:val="none"/>
        </w:rPr>
      </w:pPr>
      <w:r>
        <w:rPr>
          <w:highlight w:val="none"/>
        </w:rPr>
        <w:t>雨天应停止外脚手架施工，大雨后要对架体进行全面检查，确认无沉降和松动后</w:t>
      </w:r>
      <w:r>
        <w:rPr>
          <w:rFonts w:hint="eastAsia"/>
          <w:highlight w:val="none"/>
        </w:rPr>
        <w:t>方</w:t>
      </w:r>
      <w:r>
        <w:rPr>
          <w:highlight w:val="none"/>
        </w:rPr>
        <w:t>可使用。</w:t>
      </w:r>
    </w:p>
    <w:bookmarkEnd w:id="452"/>
    <w:bookmarkEnd w:id="453"/>
    <w:p w14:paraId="442B8A29">
      <w:pPr>
        <w:pStyle w:val="4"/>
        <w:numPr>
          <w:ilvl w:val="2"/>
          <w:numId w:val="13"/>
        </w:numPr>
        <w:rPr>
          <w:rFonts w:hint="eastAsia"/>
          <w:highlight w:val="none"/>
        </w:rPr>
      </w:pPr>
      <w:bookmarkStart w:id="455" w:name="_Toc75851503"/>
      <w:bookmarkStart w:id="456" w:name="_Toc246820757"/>
      <w:bookmarkStart w:id="457" w:name="_Toc152173054"/>
      <w:bookmarkStart w:id="458" w:name="_Toc146361426"/>
      <w:bookmarkStart w:id="459" w:name="_Toc154742383"/>
      <w:r>
        <w:rPr>
          <w:highlight w:val="none"/>
        </w:rPr>
        <w:t>高温天气施工措施</w:t>
      </w:r>
      <w:bookmarkEnd w:id="455"/>
      <w:bookmarkEnd w:id="456"/>
      <w:bookmarkEnd w:id="457"/>
      <w:bookmarkEnd w:id="458"/>
      <w:bookmarkEnd w:id="459"/>
    </w:p>
    <w:p w14:paraId="5560187E">
      <w:pPr>
        <w:ind w:firstLine="480"/>
        <w:rPr>
          <w:rFonts w:hint="eastAsia"/>
          <w:highlight w:val="none"/>
        </w:rPr>
      </w:pPr>
      <w:bookmarkStart w:id="460" w:name="_Toc146361427"/>
      <w:r>
        <w:rPr>
          <w:highlight w:val="none"/>
        </w:rPr>
        <w:t>在高温天气下(气温达35℃以上)，</w:t>
      </w:r>
      <w:r>
        <w:rPr>
          <w:rFonts w:hint="eastAsia"/>
          <w:highlight w:val="none"/>
        </w:rPr>
        <w:t>需</w:t>
      </w:r>
      <w:r>
        <w:rPr>
          <w:highlight w:val="none"/>
        </w:rPr>
        <w:t>采取预防措施，防止作业人员的中暑</w:t>
      </w:r>
      <w:r>
        <w:rPr>
          <w:rFonts w:hint="eastAsia"/>
          <w:highlight w:val="none"/>
        </w:rPr>
        <w:t>。</w:t>
      </w:r>
      <w:r>
        <w:rPr>
          <w:highlight w:val="none"/>
        </w:rPr>
        <w:t>在关系</w:t>
      </w:r>
      <w:r>
        <w:rPr>
          <w:rFonts w:hint="eastAsia"/>
          <w:highlight w:val="none"/>
        </w:rPr>
        <w:t>到</w:t>
      </w:r>
      <w:r>
        <w:rPr>
          <w:highlight w:val="none"/>
        </w:rPr>
        <w:t>工程质量的工艺上，要采取有效的温度控制措施。</w:t>
      </w:r>
    </w:p>
    <w:p w14:paraId="62986C31">
      <w:pPr>
        <w:pStyle w:val="5"/>
        <w:rPr>
          <w:rFonts w:hint="eastAsia"/>
          <w:highlight w:val="none"/>
        </w:rPr>
      </w:pPr>
      <w:bookmarkStart w:id="461" w:name="_Toc246820758"/>
      <w:bookmarkStart w:id="462" w:name="_Toc75851504"/>
      <w:r>
        <w:rPr>
          <w:highlight w:val="none"/>
        </w:rPr>
        <w:t>人员防暑的保护</w:t>
      </w:r>
      <w:bookmarkEnd w:id="461"/>
      <w:bookmarkEnd w:id="462"/>
    </w:p>
    <w:p w14:paraId="0C7B8C84">
      <w:pPr>
        <w:numPr>
          <w:ilvl w:val="0"/>
          <w:numId w:val="33"/>
        </w:numPr>
        <w:ind w:firstLine="480"/>
        <w:rPr>
          <w:rFonts w:hint="eastAsia"/>
          <w:highlight w:val="none"/>
        </w:rPr>
      </w:pPr>
      <w:r>
        <w:rPr>
          <w:rFonts w:hint="eastAsia"/>
          <w:highlight w:val="none"/>
        </w:rPr>
        <w:t>总承包人</w:t>
      </w:r>
      <w:r>
        <w:rPr>
          <w:highlight w:val="none"/>
        </w:rPr>
        <w:t>应在现场配备防暑急救器材和药品</w:t>
      </w:r>
      <w:r>
        <w:rPr>
          <w:rFonts w:hint="eastAsia"/>
          <w:highlight w:val="none"/>
        </w:rPr>
        <w:t>，</w:t>
      </w:r>
      <w:r>
        <w:rPr>
          <w:highlight w:val="none"/>
        </w:rPr>
        <w:t>加强对防暑降温知识的宣传，组织现场作业人员进行中暑急救知识培训。</w:t>
      </w:r>
    </w:p>
    <w:p w14:paraId="7ACA48F7">
      <w:pPr>
        <w:numPr>
          <w:ilvl w:val="0"/>
          <w:numId w:val="33"/>
        </w:numPr>
        <w:ind w:firstLine="480"/>
        <w:rPr>
          <w:rFonts w:hint="eastAsia"/>
          <w:highlight w:val="none"/>
        </w:rPr>
      </w:pPr>
      <w:r>
        <w:rPr>
          <w:highlight w:val="none"/>
        </w:rPr>
        <w:t>房间保持良好通风，增加屋面隔热厚度或安装遮阳棚、防晒网，使工人能够有个较好的休息环境。发放防暑用品到每个员工并指导使用，在施工现场提供足够茶水、清凉饮料</w:t>
      </w:r>
      <w:r>
        <w:rPr>
          <w:rFonts w:hint="eastAsia"/>
          <w:highlight w:val="none"/>
        </w:rPr>
        <w:t>等</w:t>
      </w:r>
      <w:r>
        <w:rPr>
          <w:highlight w:val="none"/>
        </w:rPr>
        <w:t>。</w:t>
      </w:r>
    </w:p>
    <w:p w14:paraId="3D5E2198">
      <w:pPr>
        <w:numPr>
          <w:ilvl w:val="0"/>
          <w:numId w:val="33"/>
        </w:numPr>
        <w:ind w:firstLine="480"/>
        <w:rPr>
          <w:rFonts w:hint="eastAsia"/>
          <w:highlight w:val="none"/>
        </w:rPr>
      </w:pPr>
      <w:r>
        <w:rPr>
          <w:highlight w:val="none"/>
        </w:rPr>
        <w:t>当天气预报气温达35℃以上时，通过</w:t>
      </w:r>
      <w:r>
        <w:rPr>
          <w:rFonts w:hint="eastAsia"/>
          <w:highlight w:val="none"/>
        </w:rPr>
        <w:t>“</w:t>
      </w:r>
      <w:r>
        <w:rPr>
          <w:highlight w:val="none"/>
        </w:rPr>
        <w:t>抓两头、歇中间</w:t>
      </w:r>
      <w:r>
        <w:rPr>
          <w:rFonts w:hint="eastAsia"/>
          <w:highlight w:val="none"/>
        </w:rPr>
        <w:t>”</w:t>
      </w:r>
      <w:r>
        <w:rPr>
          <w:highlight w:val="none"/>
        </w:rPr>
        <w:t>等措施，尽量避免高温时段进行露天室外作业，严格控制加班加点，减轻工人劳动强度，避免疲劳作业。</w:t>
      </w:r>
    </w:p>
    <w:p w14:paraId="5F3B936B">
      <w:pPr>
        <w:numPr>
          <w:ilvl w:val="0"/>
          <w:numId w:val="33"/>
        </w:numPr>
        <w:ind w:firstLine="480"/>
        <w:rPr>
          <w:rFonts w:hint="eastAsia"/>
          <w:highlight w:val="none"/>
        </w:rPr>
      </w:pPr>
      <w:r>
        <w:rPr>
          <w:highlight w:val="none"/>
        </w:rPr>
        <w:t>做好施工现场环境及卫生防疫工作，加强对饮用水、食品的卫生管理，加强对夏季易发疾病的监控，避免食物中毒和传染病的发生。</w:t>
      </w:r>
    </w:p>
    <w:p w14:paraId="0B93497D">
      <w:pPr>
        <w:pStyle w:val="5"/>
        <w:rPr>
          <w:rFonts w:hint="eastAsia"/>
          <w:highlight w:val="none"/>
        </w:rPr>
      </w:pPr>
      <w:bookmarkStart w:id="463" w:name="_Toc75851505"/>
      <w:bookmarkStart w:id="464" w:name="_Toc246820759"/>
      <w:r>
        <w:rPr>
          <w:highlight w:val="none"/>
        </w:rPr>
        <w:t>施工工艺的保护</w:t>
      </w:r>
      <w:bookmarkEnd w:id="463"/>
      <w:bookmarkEnd w:id="464"/>
    </w:p>
    <w:p w14:paraId="2C76FD2E">
      <w:pPr>
        <w:numPr>
          <w:ilvl w:val="0"/>
          <w:numId w:val="34"/>
        </w:numPr>
        <w:ind w:firstLine="480"/>
        <w:rPr>
          <w:rFonts w:hint="eastAsia"/>
          <w:highlight w:val="none"/>
        </w:rPr>
      </w:pPr>
      <w:r>
        <w:rPr>
          <w:highlight w:val="none"/>
        </w:rPr>
        <w:t>露天焊接作业，一是要挡阳光曝晒，二是用挡风罩挡风，防止焊接过程风吹焊接熔池，造成焊缝氧化或产生气孔。</w:t>
      </w:r>
    </w:p>
    <w:p w14:paraId="6BDB8D19">
      <w:pPr>
        <w:numPr>
          <w:ilvl w:val="0"/>
          <w:numId w:val="34"/>
        </w:numPr>
        <w:ind w:firstLine="480"/>
        <w:rPr>
          <w:rFonts w:hint="eastAsia"/>
          <w:highlight w:val="none"/>
        </w:rPr>
      </w:pPr>
      <w:r>
        <w:rPr>
          <w:highlight w:val="none"/>
        </w:rPr>
        <w:t>垂直测量时间选择清晨时段，减小因太阳直射的不均匀造成的热胀冷缩，给测量带来的偏差。</w:t>
      </w:r>
    </w:p>
    <w:p w14:paraId="60C0EB8B">
      <w:pPr>
        <w:numPr>
          <w:ilvl w:val="0"/>
          <w:numId w:val="34"/>
        </w:numPr>
        <w:ind w:firstLine="480"/>
        <w:rPr>
          <w:rFonts w:hint="eastAsia"/>
          <w:highlight w:val="none"/>
        </w:rPr>
      </w:pPr>
      <w:r>
        <w:rPr>
          <w:highlight w:val="none"/>
        </w:rPr>
        <w:t>油漆或涂料的施工中，根据材料的性能或使用要求，要避免在阳光下暴晒作业，采用阴干、风干的措施，防止涂层干燥过快引起的粘结不牢而脱落。</w:t>
      </w:r>
      <w:bookmarkEnd w:id="460"/>
      <w:bookmarkStart w:id="465" w:name="_Toc489257377"/>
      <w:bookmarkEnd w:id="465"/>
      <w:bookmarkStart w:id="466" w:name="_Toc417461517"/>
      <w:bookmarkEnd w:id="466"/>
      <w:bookmarkStart w:id="467" w:name="_Toc490036466"/>
      <w:bookmarkEnd w:id="467"/>
      <w:bookmarkStart w:id="468" w:name="_Toc489519955"/>
      <w:bookmarkEnd w:id="468"/>
      <w:bookmarkStart w:id="469" w:name="_Toc415675005"/>
      <w:bookmarkEnd w:id="469"/>
      <w:bookmarkStart w:id="470" w:name="_Toc489257267"/>
      <w:bookmarkEnd w:id="470"/>
      <w:bookmarkStart w:id="471" w:name="_Toc489888533"/>
      <w:bookmarkEnd w:id="471"/>
      <w:bookmarkStart w:id="472" w:name="_Toc489277291"/>
      <w:bookmarkEnd w:id="472"/>
      <w:bookmarkStart w:id="473" w:name="_Toc414454385"/>
      <w:bookmarkEnd w:id="473"/>
      <w:bookmarkStart w:id="474" w:name="_Toc415745624"/>
      <w:bookmarkEnd w:id="474"/>
      <w:bookmarkStart w:id="475" w:name="_Toc415745664"/>
      <w:bookmarkEnd w:id="475"/>
      <w:bookmarkStart w:id="476" w:name="_Toc410745635"/>
      <w:bookmarkEnd w:id="476"/>
      <w:bookmarkStart w:id="477" w:name="_Toc489219095"/>
      <w:bookmarkEnd w:id="477"/>
      <w:bookmarkStart w:id="478" w:name="_Toc416364276"/>
      <w:bookmarkEnd w:id="478"/>
      <w:bookmarkStart w:id="479" w:name="_Toc414525184"/>
      <w:bookmarkEnd w:id="479"/>
      <w:bookmarkStart w:id="480" w:name="_Toc489519956"/>
      <w:bookmarkEnd w:id="480"/>
      <w:bookmarkStart w:id="481" w:name="_Toc422854853"/>
      <w:bookmarkEnd w:id="481"/>
      <w:bookmarkStart w:id="482" w:name="_Toc410745245"/>
      <w:bookmarkEnd w:id="482"/>
      <w:bookmarkStart w:id="483" w:name="_Toc414454386"/>
      <w:bookmarkEnd w:id="483"/>
      <w:bookmarkStart w:id="484" w:name="_Toc489520050"/>
      <w:bookmarkEnd w:id="484"/>
      <w:bookmarkStart w:id="485" w:name="_Toc489888370"/>
      <w:bookmarkEnd w:id="485"/>
      <w:bookmarkStart w:id="486" w:name="_Toc489519768"/>
      <w:bookmarkEnd w:id="486"/>
      <w:bookmarkStart w:id="487" w:name="_Toc417564838"/>
      <w:bookmarkEnd w:id="487"/>
      <w:bookmarkStart w:id="488" w:name="_Toc414624408"/>
      <w:bookmarkEnd w:id="488"/>
      <w:bookmarkStart w:id="489" w:name="_Toc415745625"/>
      <w:bookmarkEnd w:id="489"/>
      <w:bookmarkStart w:id="490" w:name="_Toc489257155"/>
      <w:bookmarkEnd w:id="490"/>
      <w:bookmarkStart w:id="491" w:name="_Toc488312927"/>
      <w:bookmarkEnd w:id="491"/>
      <w:bookmarkStart w:id="492" w:name="_Toc414624409"/>
      <w:bookmarkEnd w:id="492"/>
      <w:bookmarkStart w:id="493" w:name="_Toc489516869"/>
      <w:bookmarkEnd w:id="493"/>
      <w:bookmarkStart w:id="494" w:name="_Toc488312813"/>
      <w:bookmarkEnd w:id="494"/>
      <w:bookmarkStart w:id="495" w:name="_Toc414525185"/>
      <w:bookmarkEnd w:id="495"/>
      <w:bookmarkStart w:id="496" w:name="_Toc410745634"/>
      <w:bookmarkEnd w:id="496"/>
      <w:bookmarkStart w:id="497" w:name="_Toc489277292"/>
      <w:bookmarkEnd w:id="497"/>
      <w:bookmarkStart w:id="498" w:name="_Toc416949227"/>
      <w:bookmarkEnd w:id="498"/>
      <w:bookmarkStart w:id="499" w:name="_Toc422842579"/>
      <w:bookmarkEnd w:id="499"/>
      <w:bookmarkStart w:id="500" w:name="_Toc489519861"/>
      <w:bookmarkEnd w:id="500"/>
      <w:bookmarkStart w:id="501" w:name="_Toc415745665"/>
      <w:bookmarkEnd w:id="501"/>
      <w:bookmarkStart w:id="502" w:name="_Toc417488784"/>
      <w:bookmarkEnd w:id="502"/>
      <w:bookmarkStart w:id="503" w:name="_Toc489516868"/>
      <w:bookmarkEnd w:id="503"/>
      <w:bookmarkStart w:id="504" w:name="_Toc411253359"/>
      <w:bookmarkEnd w:id="504"/>
      <w:bookmarkStart w:id="505" w:name="_Toc415675053"/>
      <w:bookmarkEnd w:id="505"/>
      <w:bookmarkStart w:id="506" w:name="_Toc422854854"/>
      <w:bookmarkEnd w:id="506"/>
      <w:bookmarkStart w:id="507" w:name="_Toc417461516"/>
      <w:bookmarkEnd w:id="507"/>
      <w:bookmarkStart w:id="508" w:name="_Toc410745725"/>
      <w:bookmarkEnd w:id="508"/>
      <w:bookmarkStart w:id="509" w:name="_Toc489257266"/>
      <w:bookmarkEnd w:id="509"/>
      <w:bookmarkStart w:id="510" w:name="_Toc417564839"/>
      <w:bookmarkEnd w:id="510"/>
      <w:bookmarkStart w:id="511" w:name="_Toc489520049"/>
      <w:bookmarkEnd w:id="511"/>
      <w:bookmarkStart w:id="512" w:name="_Toc415675054"/>
      <w:bookmarkEnd w:id="512"/>
      <w:bookmarkStart w:id="513" w:name="_Toc490643541"/>
      <w:bookmarkEnd w:id="513"/>
      <w:bookmarkStart w:id="514" w:name="_Toc489519767"/>
      <w:bookmarkEnd w:id="514"/>
      <w:bookmarkStart w:id="515" w:name="_Toc416255272"/>
      <w:bookmarkEnd w:id="515"/>
      <w:bookmarkStart w:id="516" w:name="_Toc416255273"/>
      <w:bookmarkEnd w:id="516"/>
      <w:bookmarkStart w:id="517" w:name="_Toc415675004"/>
      <w:bookmarkEnd w:id="517"/>
      <w:bookmarkStart w:id="518" w:name="_Toc488312650"/>
      <w:bookmarkEnd w:id="518"/>
      <w:bookmarkStart w:id="519" w:name="_Toc422842580"/>
      <w:bookmarkEnd w:id="519"/>
      <w:bookmarkStart w:id="520" w:name="_Toc488312812"/>
      <w:bookmarkEnd w:id="520"/>
      <w:bookmarkStart w:id="521" w:name="_Toc489219096"/>
      <w:bookmarkEnd w:id="521"/>
      <w:bookmarkStart w:id="522" w:name="_Toc410745040"/>
      <w:bookmarkEnd w:id="522"/>
      <w:bookmarkStart w:id="523" w:name="_Toc411253358"/>
      <w:bookmarkEnd w:id="523"/>
      <w:bookmarkStart w:id="524" w:name="_Toc410745726"/>
      <w:bookmarkEnd w:id="524"/>
      <w:bookmarkStart w:id="525" w:name="_Toc489888534"/>
      <w:bookmarkEnd w:id="525"/>
      <w:bookmarkStart w:id="526" w:name="_Toc410745041"/>
      <w:bookmarkEnd w:id="526"/>
      <w:bookmarkStart w:id="527" w:name="_Toc488312651"/>
      <w:bookmarkEnd w:id="527"/>
      <w:bookmarkStart w:id="528" w:name="_Toc489888371"/>
      <w:bookmarkEnd w:id="528"/>
      <w:bookmarkStart w:id="529" w:name="_Toc410745246"/>
      <w:bookmarkEnd w:id="529"/>
      <w:bookmarkStart w:id="530" w:name="_Toc489257154"/>
      <w:bookmarkEnd w:id="530"/>
      <w:bookmarkStart w:id="531" w:name="_Toc417488783"/>
      <w:bookmarkEnd w:id="531"/>
      <w:bookmarkStart w:id="532" w:name="_Toc489257378"/>
      <w:bookmarkEnd w:id="532"/>
      <w:bookmarkStart w:id="533" w:name="_Toc416949228"/>
      <w:bookmarkEnd w:id="533"/>
      <w:bookmarkStart w:id="534" w:name="_Toc416364277"/>
      <w:bookmarkEnd w:id="534"/>
      <w:bookmarkStart w:id="535" w:name="_Toc410744633"/>
      <w:bookmarkEnd w:id="535"/>
      <w:bookmarkStart w:id="536" w:name="_Toc490036465"/>
      <w:bookmarkEnd w:id="536"/>
      <w:bookmarkStart w:id="537" w:name="_Toc489519862"/>
      <w:bookmarkEnd w:id="537"/>
      <w:bookmarkStart w:id="538" w:name="_Toc417651250"/>
      <w:bookmarkEnd w:id="538"/>
      <w:bookmarkStart w:id="539" w:name="_Toc488312928"/>
      <w:bookmarkEnd w:id="539"/>
      <w:bookmarkStart w:id="540" w:name="_Toc490643540"/>
      <w:bookmarkEnd w:id="540"/>
      <w:bookmarkStart w:id="541" w:name="_Toc410744632"/>
      <w:bookmarkEnd w:id="541"/>
      <w:bookmarkStart w:id="542" w:name="_Toc417651251"/>
      <w:bookmarkEnd w:id="542"/>
    </w:p>
    <w:p w14:paraId="64193040">
      <w:pPr>
        <w:pStyle w:val="4"/>
        <w:numPr>
          <w:ilvl w:val="2"/>
          <w:numId w:val="13"/>
        </w:numPr>
        <w:rPr>
          <w:rFonts w:hint="eastAsia"/>
          <w:highlight w:val="none"/>
        </w:rPr>
      </w:pPr>
      <w:r>
        <w:rPr>
          <w:rFonts w:hint="eastAsia"/>
          <w:highlight w:val="none"/>
        </w:rPr>
        <w:t>防台风施工措施</w:t>
      </w:r>
    </w:p>
    <w:p w14:paraId="355CF1A6">
      <w:pPr>
        <w:pStyle w:val="5"/>
        <w:numPr>
          <w:ilvl w:val="3"/>
          <w:numId w:val="13"/>
        </w:numPr>
        <w:rPr>
          <w:rFonts w:hint="eastAsia"/>
          <w:highlight w:val="none"/>
        </w:rPr>
      </w:pPr>
      <w:r>
        <w:rPr>
          <w:rFonts w:hint="eastAsia"/>
          <w:highlight w:val="none"/>
        </w:rPr>
        <w:t>组织措施</w:t>
      </w:r>
    </w:p>
    <w:p w14:paraId="49AF4472">
      <w:pPr>
        <w:ind w:firstLine="480"/>
        <w:rPr>
          <w:rFonts w:hint="eastAsia" w:cs="Times New Roman"/>
          <w:highlight w:val="none"/>
        </w:rPr>
      </w:pPr>
      <w:r>
        <w:rPr>
          <w:rFonts w:hint="eastAsia" w:cs="宋体"/>
          <w:highlight w:val="none"/>
        </w:rPr>
        <w:t>1）以项目负责人为现场防台风责任人，建立现场安全防台风领导小组。防台风小组职责为制定防台风预案及防台风检查制度，教育现场每个施工人员要认真执行各项防台风安全管理制度。在气象部门每次台风预警信息发布后，项目负责人立即组织防台风小组成员开会，进行防台风工作布置，并组织各项防台风措施落实。</w:t>
      </w:r>
    </w:p>
    <w:p w14:paraId="63E1ACC4">
      <w:pPr>
        <w:ind w:firstLine="480"/>
        <w:rPr>
          <w:rFonts w:hint="eastAsia" w:cs="Times New Roman"/>
          <w:highlight w:val="none"/>
        </w:rPr>
      </w:pPr>
      <w:r>
        <w:rPr>
          <w:rFonts w:hint="eastAsia" w:cs="宋体"/>
          <w:highlight w:val="none"/>
        </w:rPr>
        <w:t>2）防台风管理制度</w:t>
      </w:r>
    </w:p>
    <w:p w14:paraId="63ADD5DC">
      <w:pPr>
        <w:ind w:firstLine="480"/>
        <w:rPr>
          <w:rFonts w:hint="eastAsia" w:cs="Times New Roman"/>
          <w:highlight w:val="none"/>
        </w:rPr>
      </w:pPr>
      <w:r>
        <w:rPr>
          <w:rFonts w:hint="eastAsia" w:cs="宋体"/>
          <w:highlight w:val="none"/>
        </w:rPr>
        <w:t>a.在通讯群组、宣传栏等发布台风预警信息及停工通知，要求室外作业全部停工。</w:t>
      </w:r>
    </w:p>
    <w:p w14:paraId="1EF24007">
      <w:pPr>
        <w:ind w:firstLine="480"/>
        <w:rPr>
          <w:rFonts w:hint="eastAsia" w:cs="Times New Roman"/>
          <w:highlight w:val="none"/>
        </w:rPr>
      </w:pPr>
      <w:r>
        <w:rPr>
          <w:rFonts w:hint="eastAsia" w:cs="宋体"/>
          <w:highlight w:val="none"/>
        </w:rPr>
        <w:t>b.所有临建房屋要求对屋面进行加固，防止台风掀翻屋盖。</w:t>
      </w:r>
    </w:p>
    <w:p w14:paraId="4E8EFD9F">
      <w:pPr>
        <w:ind w:firstLine="480"/>
        <w:rPr>
          <w:rFonts w:hint="eastAsia" w:cs="Times New Roman"/>
          <w:highlight w:val="none"/>
        </w:rPr>
      </w:pPr>
      <w:r>
        <w:rPr>
          <w:rFonts w:hint="eastAsia" w:cs="宋体"/>
          <w:highlight w:val="none"/>
        </w:rPr>
        <w:t>c.电气设备要求覆盖或安装防雨设施，室外配电箱安装防雨设备。</w:t>
      </w:r>
    </w:p>
    <w:p w14:paraId="5EA495A0">
      <w:pPr>
        <w:ind w:firstLine="480"/>
        <w:rPr>
          <w:rFonts w:hint="eastAsia" w:cs="Times New Roman"/>
          <w:highlight w:val="none"/>
        </w:rPr>
      </w:pPr>
      <w:r>
        <w:rPr>
          <w:rFonts w:hint="eastAsia" w:cs="宋体"/>
          <w:highlight w:val="none"/>
        </w:rPr>
        <w:t>d.起重运输机械井架未附墙的，要求及时附墙。</w:t>
      </w:r>
    </w:p>
    <w:p w14:paraId="6B0D054C">
      <w:pPr>
        <w:ind w:firstLine="480"/>
        <w:rPr>
          <w:rFonts w:hint="eastAsia" w:cs="Times New Roman"/>
          <w:highlight w:val="none"/>
        </w:rPr>
      </w:pPr>
      <w:r>
        <w:rPr>
          <w:rFonts w:hint="eastAsia" w:cs="宋体"/>
          <w:highlight w:val="none"/>
        </w:rPr>
        <w:t>e.外脚手架在顶部高度不能超过两步架，并要求安装好连墙件。</w:t>
      </w:r>
    </w:p>
    <w:p w14:paraId="6D911D35">
      <w:pPr>
        <w:ind w:firstLine="480"/>
        <w:rPr>
          <w:rFonts w:hint="eastAsia" w:cs="Times New Roman"/>
          <w:highlight w:val="none"/>
        </w:rPr>
      </w:pPr>
      <w:r>
        <w:rPr>
          <w:rFonts w:hint="eastAsia" w:cs="宋体"/>
          <w:highlight w:val="none"/>
        </w:rPr>
        <w:t>f.台风预警信息收到后，不能进行大型混凝土浇注。如楼面、地下室混凝土浇筑。</w:t>
      </w:r>
    </w:p>
    <w:p w14:paraId="731A69F8">
      <w:pPr>
        <w:pStyle w:val="5"/>
        <w:numPr>
          <w:ilvl w:val="3"/>
          <w:numId w:val="13"/>
        </w:numPr>
        <w:rPr>
          <w:rFonts w:hint="eastAsia"/>
          <w:highlight w:val="none"/>
        </w:rPr>
      </w:pPr>
      <w:r>
        <w:rPr>
          <w:rFonts w:hint="eastAsia"/>
          <w:highlight w:val="none"/>
        </w:rPr>
        <w:t>防台风安全专项施工方案</w:t>
      </w:r>
    </w:p>
    <w:p w14:paraId="576048B4">
      <w:pPr>
        <w:ind w:firstLine="0" w:firstLineChars="0"/>
        <w:rPr>
          <w:rFonts w:hint="eastAsia" w:cs="Times New Roman"/>
          <w:highlight w:val="none"/>
        </w:rPr>
      </w:pPr>
      <w:r>
        <w:rPr>
          <w:rFonts w:hint="eastAsia" w:cs="宋体"/>
          <w:highlight w:val="none"/>
        </w:rPr>
        <w:t>总承包人应编制详细的防台风安全专项施工方案，报监理人审批。该方案应根据具体施工图、工程进度计划及本地台风气候特点编制完成，提出切实可行的防台风措施。</w:t>
      </w:r>
    </w:p>
    <w:p w14:paraId="23D1F3BD">
      <w:pPr>
        <w:pStyle w:val="5"/>
        <w:numPr>
          <w:ilvl w:val="3"/>
          <w:numId w:val="13"/>
        </w:numPr>
        <w:rPr>
          <w:rFonts w:hint="eastAsia"/>
          <w:highlight w:val="none"/>
        </w:rPr>
      </w:pPr>
      <w:r>
        <w:rPr>
          <w:rFonts w:hint="eastAsia"/>
          <w:highlight w:val="none"/>
        </w:rPr>
        <w:t>施工现场措施</w:t>
      </w:r>
    </w:p>
    <w:p w14:paraId="4880650A">
      <w:pPr>
        <w:ind w:firstLine="480"/>
        <w:rPr>
          <w:rFonts w:hint="eastAsia" w:cs="Times New Roman"/>
          <w:highlight w:val="none"/>
        </w:rPr>
      </w:pPr>
      <w:r>
        <w:rPr>
          <w:rFonts w:hint="eastAsia" w:cs="宋体"/>
          <w:highlight w:val="none"/>
        </w:rPr>
        <w:t>1）加强高处作业安全管理。排查高处作业情况，重点检查建筑工地“三宝”使用情况和临边洞口的防护情况。对存在问题的，立即予以整改。遇暴雨、六级以上强风，一律禁止进行攀登、悬空露天作业，确保人员安全。</w:t>
      </w:r>
    </w:p>
    <w:p w14:paraId="00B10023">
      <w:pPr>
        <w:ind w:firstLine="480"/>
        <w:rPr>
          <w:rFonts w:hint="eastAsia" w:cs="Times New Roman"/>
          <w:highlight w:val="none"/>
        </w:rPr>
      </w:pPr>
      <w:r>
        <w:rPr>
          <w:rFonts w:hint="eastAsia" w:cs="宋体"/>
          <w:highlight w:val="none"/>
        </w:rPr>
        <w:t>2）加强工地应急处置准备管理。做好建筑工地应急处置的准备用工作，储备应急物资、检查应急设备，组织应急队伍，要确保排水设施、机电设备的安全正常运行，确保垂直运输设施的稳固和防风安全，确保临时用电设施防水防触电的安全措施落实到位。</w:t>
      </w:r>
    </w:p>
    <w:p w14:paraId="215EE77A">
      <w:pPr>
        <w:ind w:firstLine="480"/>
        <w:rPr>
          <w:rFonts w:hint="eastAsia" w:cs="Times New Roman"/>
          <w:highlight w:val="none"/>
        </w:rPr>
      </w:pPr>
      <w:r>
        <w:rPr>
          <w:rFonts w:hint="eastAsia" w:cs="宋体"/>
          <w:highlight w:val="none"/>
        </w:rPr>
        <w:t>3）注意及时收听收看气象灾害预警信息。本市气象台、电视台、广播电台、气象专线等媒体发布的台风、暴雨等气象灾害预警信息，根据天气变化及时做好工地防台风工作。</w:t>
      </w:r>
    </w:p>
    <w:p w14:paraId="50E305F7">
      <w:pPr>
        <w:ind w:firstLine="480"/>
        <w:rPr>
          <w:rFonts w:hint="eastAsia" w:cs="Times New Roman"/>
          <w:highlight w:val="none"/>
        </w:rPr>
      </w:pPr>
      <w:r>
        <w:rPr>
          <w:rFonts w:hint="eastAsia" w:cs="宋体"/>
          <w:highlight w:val="none"/>
        </w:rPr>
        <w:t>4）台风到来前严格按规定停止作业。台风橙色预警信号发布后，要停止施工和高空作业。作业人员要减少户外停留时间，特别注意不可在工地围墙下躲风避雨。</w:t>
      </w:r>
    </w:p>
    <w:p w14:paraId="3068C77C">
      <w:pPr>
        <w:ind w:firstLine="480"/>
        <w:rPr>
          <w:rFonts w:hint="eastAsia" w:cs="Times New Roman"/>
          <w:highlight w:val="none"/>
        </w:rPr>
      </w:pPr>
      <w:r>
        <w:rPr>
          <w:rFonts w:hint="eastAsia" w:cs="宋体"/>
          <w:highlight w:val="none"/>
        </w:rPr>
        <w:t>5）特殊情况下在高空作业突然来大风或台风来临时，施工人员不能及时下来躲避，要充分利用好安全带，将安全带牢牢系挂在牢固的结构上，并确保安全带的紧固性，必要时双手紧抱钢性构件或躲在设备挡风侧系挂好安全带，就近寻找避风点，保持镇定。</w:t>
      </w:r>
    </w:p>
    <w:p w14:paraId="3EB9ADAC">
      <w:pPr>
        <w:ind w:firstLine="480"/>
        <w:rPr>
          <w:rFonts w:hint="eastAsia" w:cs="宋体"/>
          <w:highlight w:val="none"/>
        </w:rPr>
      </w:pPr>
      <w:r>
        <w:rPr>
          <w:rFonts w:hint="eastAsia" w:cs="宋体"/>
          <w:highlight w:val="none"/>
        </w:rPr>
        <w:t>6）加强工地排水，确保管网畅通。对周围的排水管道进行清理，确保排水畅通，减少台风期间工地积水，一旦出现堵水或内涝，要及时采取措施处理。</w:t>
      </w:r>
    </w:p>
    <w:p w14:paraId="74488037">
      <w:pPr>
        <w:ind w:firstLine="480"/>
        <w:rPr>
          <w:rFonts w:hint="eastAsia" w:cs="宋体"/>
          <w:highlight w:val="none"/>
        </w:rPr>
      </w:pPr>
      <w:r>
        <w:rPr>
          <w:rFonts w:hint="eastAsia" w:cs="宋体"/>
          <w:highlight w:val="none"/>
        </w:rPr>
        <w:t>7）土建施工争取赶在台风期到来前，完成大基础和主要构筑物的施工。必须进行混凝土浇筑时，应用两倍的草袋进行防护，并确保压牢。</w:t>
      </w:r>
    </w:p>
    <w:p w14:paraId="1C6BAAEE">
      <w:pPr>
        <w:ind w:firstLine="480"/>
        <w:rPr>
          <w:rFonts w:hint="eastAsia" w:cs="宋体"/>
          <w:highlight w:val="none"/>
        </w:rPr>
      </w:pPr>
      <w:r>
        <w:rPr>
          <w:rFonts w:hint="eastAsia" w:cs="宋体"/>
          <w:highlight w:val="none"/>
        </w:rPr>
        <w:t>8）现场的铁皮、木板、石棉瓦等易被大风吹起的东西应打扫干净，材料设备摆好放牢。</w:t>
      </w:r>
    </w:p>
    <w:p w14:paraId="69892421">
      <w:pPr>
        <w:pStyle w:val="5"/>
        <w:numPr>
          <w:ilvl w:val="3"/>
          <w:numId w:val="13"/>
        </w:numPr>
        <w:rPr>
          <w:rFonts w:hint="eastAsia"/>
          <w:highlight w:val="none"/>
        </w:rPr>
      </w:pPr>
      <w:r>
        <w:rPr>
          <w:rFonts w:hint="eastAsia"/>
          <w:highlight w:val="none"/>
        </w:rPr>
        <w:t>暴雨防御措施</w:t>
      </w:r>
    </w:p>
    <w:p w14:paraId="4D3C049E">
      <w:pPr>
        <w:ind w:firstLine="480"/>
        <w:rPr>
          <w:rFonts w:hint="eastAsia" w:cs="宋体"/>
          <w:highlight w:val="none"/>
        </w:rPr>
      </w:pPr>
      <w:r>
        <w:rPr>
          <w:rFonts w:hint="eastAsia" w:cs="宋体"/>
          <w:highlight w:val="none"/>
        </w:rPr>
        <w:t>1）检查排水设施或通道的可用性，检查应排水设备的可用性，检查门、窗、天台等易进雨的设施，收盖露天存放的物品，疏散低洼易浸地区物资，要注意广播、电视有关暴雨信息的最新广播。发现险情，在保证安全的情况下，组织抢险。雨后组织检查，排除险情和隐患。</w:t>
      </w:r>
    </w:p>
    <w:p w14:paraId="1289FA31">
      <w:pPr>
        <w:ind w:firstLine="480"/>
        <w:rPr>
          <w:rFonts w:hint="eastAsia" w:cs="宋体"/>
          <w:highlight w:val="none"/>
        </w:rPr>
      </w:pPr>
      <w:r>
        <w:rPr>
          <w:rFonts w:hint="eastAsia" w:cs="宋体"/>
          <w:highlight w:val="none"/>
        </w:rPr>
        <w:t>2）暂停在空矿地方的户外作业；外出应考虑天气和道路情况是否许可；检查户外电气设备、临时电气设备的抗风、抗雨措施；切断低洼地带有危险的室外电源；发现险情，在采取了安全措施的情况下，组织抢险。雨后组织检查，排除险情和隐患。</w:t>
      </w:r>
    </w:p>
    <w:p w14:paraId="524FE6A4">
      <w:pPr>
        <w:ind w:firstLine="480"/>
        <w:rPr>
          <w:rFonts w:hint="eastAsia" w:cs="宋体"/>
          <w:highlight w:val="none"/>
        </w:rPr>
      </w:pPr>
      <w:r>
        <w:rPr>
          <w:rFonts w:hint="eastAsia" w:cs="宋体"/>
          <w:highlight w:val="none"/>
        </w:rPr>
        <w:t>3）室内停留人员，如办公区可能出现严重水淹，则报警，组织救援，到安全地方暂避；停止户外作业；停止非事故抢险的交通运输活动；雨后组织检查，排除险情和隐患。</w:t>
      </w:r>
    </w:p>
    <w:p w14:paraId="5E500E4C">
      <w:pPr>
        <w:pStyle w:val="5"/>
        <w:numPr>
          <w:ilvl w:val="3"/>
          <w:numId w:val="13"/>
        </w:numPr>
        <w:rPr>
          <w:rFonts w:hint="eastAsia"/>
          <w:highlight w:val="none"/>
        </w:rPr>
      </w:pPr>
      <w:r>
        <w:rPr>
          <w:rFonts w:hint="eastAsia"/>
          <w:highlight w:val="none"/>
        </w:rPr>
        <w:t>雷暴防御措施</w:t>
      </w:r>
    </w:p>
    <w:p w14:paraId="404168F4">
      <w:pPr>
        <w:ind w:firstLine="480"/>
        <w:rPr>
          <w:rFonts w:hint="eastAsia" w:cs="Times New Roman"/>
          <w:highlight w:val="none"/>
        </w:rPr>
      </w:pPr>
      <w:r>
        <w:rPr>
          <w:rFonts w:hint="eastAsia" w:cs="宋体"/>
          <w:highlight w:val="none"/>
        </w:rPr>
        <w:t>在雷暴来临之前完成所有防雷接地的检查。雷暴期间，停止一切户外活动，防雷暴措施方法如下：</w:t>
      </w:r>
    </w:p>
    <w:p w14:paraId="28642F56">
      <w:pPr>
        <w:ind w:firstLine="480"/>
        <w:rPr>
          <w:rFonts w:hint="eastAsia" w:cs="宋体"/>
          <w:highlight w:val="none"/>
        </w:rPr>
      </w:pPr>
      <w:r>
        <w:rPr>
          <w:rFonts w:hint="eastAsia" w:cs="宋体"/>
          <w:highlight w:val="none"/>
        </w:rPr>
        <w:t>1）避雷针设置</w:t>
      </w:r>
    </w:p>
    <w:p w14:paraId="2678AFCA">
      <w:pPr>
        <w:ind w:firstLine="480"/>
        <w:rPr>
          <w:rFonts w:hint="eastAsia" w:cs="宋体"/>
          <w:highlight w:val="none"/>
        </w:rPr>
      </w:pPr>
      <w:r>
        <w:rPr>
          <w:rFonts w:hint="eastAsia" w:cs="宋体"/>
          <w:highlight w:val="none"/>
        </w:rPr>
        <w:t>所有正在施工建造的建筑物，当高度在20m以上应装设避雷针。施工现场内的塔吊及脚手架机械设备，若在相邻建筑物、构筑物的防雷设置的保护范围以外，则应安装避雷针。机械设备上的避雷针的防雷引下线可利用该设备的金属结构体，但应保证电气联接。机械设备所有的动力、控制、照明、信号及通信等线路，应采用钢管敷设。钢管与机械设备的金属结构体作焊接以保证其接地通道的电气连接。</w:t>
      </w:r>
    </w:p>
    <w:p w14:paraId="7EFC9F09">
      <w:pPr>
        <w:ind w:left="480" w:leftChars="200" w:firstLine="0" w:firstLineChars="0"/>
        <w:rPr>
          <w:rFonts w:hint="eastAsia" w:cs="宋体"/>
          <w:highlight w:val="none"/>
        </w:rPr>
      </w:pPr>
      <w:r>
        <w:rPr>
          <w:rFonts w:hint="eastAsia" w:cs="宋体"/>
          <w:highlight w:val="none"/>
        </w:rPr>
        <w:t>2）防止感应雷击的措施</w:t>
      </w:r>
    </w:p>
    <w:p w14:paraId="3C6E277D">
      <w:pPr>
        <w:ind w:firstLine="480"/>
        <w:rPr>
          <w:rFonts w:hint="eastAsia"/>
          <w:highlight w:val="none"/>
        </w:rPr>
      </w:pPr>
      <w:r>
        <w:rPr>
          <w:rFonts w:hint="eastAsia" w:cs="宋体"/>
          <w:highlight w:val="none"/>
        </w:rPr>
        <w:t>建筑物在施工过程中，其避雷针（网、带）及其接地装置，应采取自下而上的施工程序，即首先安装集中接地装置，后安装引下线，最后安装接闪器。建筑物内的金属设备、金属管道、结构钢筋均应做到有良好的接地。</w:t>
      </w:r>
    </w:p>
    <w:p w14:paraId="68EDACC4">
      <w:pPr>
        <w:pStyle w:val="4"/>
        <w:numPr>
          <w:ilvl w:val="2"/>
          <w:numId w:val="13"/>
        </w:numPr>
        <w:rPr>
          <w:rFonts w:hint="eastAsia"/>
          <w:highlight w:val="none"/>
        </w:rPr>
      </w:pPr>
      <w:r>
        <w:rPr>
          <w:rFonts w:hint="eastAsia"/>
          <w:highlight w:val="none"/>
        </w:rPr>
        <w:t>夜间施工措施</w:t>
      </w:r>
    </w:p>
    <w:p w14:paraId="0109CA8D">
      <w:pPr>
        <w:pStyle w:val="5"/>
        <w:rPr>
          <w:rFonts w:hint="eastAsia"/>
          <w:highlight w:val="none"/>
        </w:rPr>
      </w:pPr>
      <w:r>
        <w:rPr>
          <w:rFonts w:hint="eastAsia"/>
          <w:highlight w:val="none"/>
        </w:rPr>
        <w:t>夜间施工应满足当地政府要求，办理相关许可证。</w:t>
      </w:r>
    </w:p>
    <w:p w14:paraId="6FAC338C">
      <w:pPr>
        <w:pStyle w:val="5"/>
        <w:rPr>
          <w:rFonts w:hint="eastAsia"/>
          <w:highlight w:val="none"/>
        </w:rPr>
      </w:pPr>
      <w:r>
        <w:rPr>
          <w:highlight w:val="none"/>
        </w:rPr>
        <w:t>根据现场情况，夜间施工尽量安排噪音小的工作，避免影响邻近居民休息。</w:t>
      </w:r>
    </w:p>
    <w:p w14:paraId="3C428822">
      <w:pPr>
        <w:pStyle w:val="5"/>
        <w:rPr>
          <w:rFonts w:hint="eastAsia"/>
          <w:highlight w:val="none"/>
        </w:rPr>
      </w:pPr>
      <w:r>
        <w:rPr>
          <w:highlight w:val="none"/>
        </w:rPr>
        <w:t>夜间施工时，应保证有足够的照明设施，能满足夜间施工需要，并准备备用电源。</w:t>
      </w:r>
    </w:p>
    <w:p w14:paraId="5F6D528C">
      <w:pPr>
        <w:pStyle w:val="5"/>
        <w:rPr>
          <w:rFonts w:hint="eastAsia"/>
          <w:highlight w:val="none"/>
        </w:rPr>
      </w:pPr>
      <w:r>
        <w:rPr>
          <w:highlight w:val="none"/>
        </w:rPr>
        <w:t>施工现场设置明显的交通标志、安全标牌、警戒灯等标志，标志牌具备夜间荧光功能</w:t>
      </w:r>
      <w:r>
        <w:rPr>
          <w:rFonts w:hint="eastAsia"/>
          <w:highlight w:val="none"/>
        </w:rPr>
        <w:t>，</w:t>
      </w:r>
      <w:r>
        <w:rPr>
          <w:highlight w:val="none"/>
        </w:rPr>
        <w:t>保证施工机械和施工人员的施工安全。施工人员需穿戴反光警示服。</w:t>
      </w:r>
    </w:p>
    <w:p w14:paraId="0004A8AB">
      <w:pPr>
        <w:pStyle w:val="5"/>
        <w:rPr>
          <w:rFonts w:hint="eastAsia"/>
          <w:highlight w:val="none"/>
        </w:rPr>
      </w:pPr>
      <w:r>
        <w:rPr>
          <w:highlight w:val="none"/>
        </w:rPr>
        <w:t>夜间气候恶劣的情况下严禁施工作业。</w:t>
      </w:r>
    </w:p>
    <w:p w14:paraId="4DC75980">
      <w:pPr>
        <w:pStyle w:val="3"/>
        <w:numPr>
          <w:ilvl w:val="1"/>
          <w:numId w:val="13"/>
        </w:numPr>
        <w:rPr>
          <w:rFonts w:hint="eastAsia"/>
          <w:highlight w:val="none"/>
        </w:rPr>
      </w:pPr>
      <w:bookmarkStart w:id="543" w:name="_Toc520244632"/>
      <w:bookmarkEnd w:id="543"/>
      <w:bookmarkStart w:id="544" w:name="_Toc520245260"/>
      <w:bookmarkEnd w:id="544"/>
      <w:bookmarkStart w:id="545" w:name="_Toc13682"/>
      <w:bookmarkStart w:id="546" w:name="_Toc32724"/>
      <w:bookmarkStart w:id="547" w:name="_Toc9603"/>
      <w:bookmarkStart w:id="548" w:name="_Toc30731"/>
      <w:bookmarkStart w:id="549" w:name="_Toc5839"/>
      <w:bookmarkStart w:id="550" w:name="_Toc31974"/>
      <w:bookmarkStart w:id="551" w:name="_Toc8012"/>
      <w:bookmarkStart w:id="552" w:name="_Toc18182"/>
      <w:bookmarkStart w:id="553" w:name="_Toc12484"/>
      <w:bookmarkStart w:id="554" w:name="_Toc24519"/>
      <w:bookmarkStart w:id="555" w:name="_Toc169722232"/>
      <w:bookmarkStart w:id="556" w:name="_Toc422854855"/>
      <w:r>
        <w:rPr>
          <w:rFonts w:hint="eastAsia"/>
          <w:highlight w:val="none"/>
        </w:rPr>
        <w:t>地基基础工程施工技术要求</w:t>
      </w:r>
      <w:bookmarkEnd w:id="545"/>
      <w:bookmarkEnd w:id="546"/>
      <w:bookmarkEnd w:id="547"/>
      <w:bookmarkEnd w:id="548"/>
      <w:bookmarkEnd w:id="549"/>
      <w:bookmarkEnd w:id="550"/>
      <w:bookmarkEnd w:id="551"/>
      <w:bookmarkEnd w:id="552"/>
      <w:bookmarkEnd w:id="553"/>
      <w:bookmarkEnd w:id="554"/>
    </w:p>
    <w:p w14:paraId="73C151E0">
      <w:pPr>
        <w:ind w:firstLine="480"/>
        <w:rPr>
          <w:rFonts w:hint="eastAsia"/>
          <w:highlight w:val="none"/>
        </w:rPr>
      </w:pPr>
      <w:r>
        <w:rPr>
          <w:rFonts w:hint="eastAsia"/>
          <w:highlight w:val="none"/>
        </w:rPr>
        <w:t>地基处理、桩基础、砖胎膜施工、防水施工、以及大体积混凝土浇筑等按照现行规范组织施工，实行全过程旁站，隐蔽验收、材料进场均采取举牌等可视化验收。</w:t>
      </w:r>
    </w:p>
    <w:p w14:paraId="5A6EE5ED">
      <w:pPr>
        <w:ind w:firstLine="480"/>
        <w:rPr>
          <w:rFonts w:hint="eastAsia"/>
          <w:highlight w:val="none"/>
        </w:rPr>
      </w:pPr>
      <w:r>
        <w:rPr>
          <w:rFonts w:hint="eastAsia"/>
          <w:highlight w:val="none"/>
        </w:rPr>
        <w:t>（1）设计单位通过试桩给定收桩的相关数据，并按该规定执行，涉及打（压）桩顺序、承台土方开挖顺序按监理人批准的施工方案实行；</w:t>
      </w:r>
    </w:p>
    <w:p w14:paraId="6B779022">
      <w:pPr>
        <w:ind w:firstLine="480"/>
        <w:rPr>
          <w:rFonts w:hint="eastAsia"/>
          <w:highlight w:val="none"/>
        </w:rPr>
      </w:pPr>
      <w:r>
        <w:rPr>
          <w:rFonts w:hint="eastAsia"/>
          <w:highlight w:val="none"/>
        </w:rPr>
        <w:t>（2）基础工程严格按照设计图纸、规范施工，所有原材进场应进行见证验收计量、送检，材料品牌按照合同要求以及看样定板通过材料执行。实体工程应进行现场抽样，抽样结果作为结算依据。</w:t>
      </w:r>
    </w:p>
    <w:p w14:paraId="64E15CCA">
      <w:pPr>
        <w:ind w:firstLine="480"/>
        <w:rPr>
          <w:rFonts w:hint="eastAsia"/>
          <w:highlight w:val="none"/>
        </w:rPr>
      </w:pPr>
      <w:r>
        <w:rPr>
          <w:rFonts w:hint="eastAsia"/>
          <w:highlight w:val="none"/>
        </w:rPr>
        <w:t>（3）砖胎膜砌筑，砖胎膜需编制专项施工方案报监理单位、设计单位以及发包人审批后实施，原则上承台深度≤800mm的采用60mm厚承台板，承台深度800mm~1500mm采用200mm厚砌块砖砌筑，1500mm以上采用240mm砌块砖并每隔2米设置400*400mm砖柱。承台砖胎膜砌筑完成后抹灰施工前应由承包人验收合格并报监理人现场每个承台举牌验收。</w:t>
      </w:r>
    </w:p>
    <w:p w14:paraId="34B195B6">
      <w:pPr>
        <w:ind w:firstLine="480"/>
        <w:rPr>
          <w:rFonts w:hint="eastAsia"/>
          <w:highlight w:val="none"/>
        </w:rPr>
      </w:pPr>
      <w:r>
        <w:rPr>
          <w:rFonts w:hint="eastAsia"/>
          <w:highlight w:val="none"/>
        </w:rPr>
        <w:t>（5）承台及地梁混凝土浇筑前，必须清理完毕内部的积水、杂物，基础底板施工应编制专项施工方案，涉及底板防水、后浇带必须由施工单位出具详细深化图报设计单位确认以及监理审批后方可施工；桩头处理及锚固应按监理工程师审批通过的专项方案实施；大体积混凝土按规定配料、浇筑、监测、养护；土方回填按规范要求分层回填、逐层压实；</w:t>
      </w:r>
    </w:p>
    <w:p w14:paraId="1BC94947">
      <w:pPr>
        <w:ind w:firstLine="480"/>
        <w:rPr>
          <w:rFonts w:hint="eastAsia"/>
          <w:highlight w:val="none"/>
        </w:rPr>
      </w:pPr>
      <w:r>
        <w:rPr>
          <w:rFonts w:hint="eastAsia"/>
          <w:highlight w:val="none"/>
        </w:rPr>
        <w:t>（6）地基基础工程见证、验收资料应现场签署并即时存档，所有计量设备应由具备资质的第三方单位校定检测。</w:t>
      </w:r>
    </w:p>
    <w:p w14:paraId="140CDA53">
      <w:pPr>
        <w:pStyle w:val="3"/>
        <w:numPr>
          <w:ilvl w:val="1"/>
          <w:numId w:val="13"/>
        </w:numPr>
        <w:rPr>
          <w:rFonts w:hint="eastAsia"/>
          <w:highlight w:val="none"/>
        </w:rPr>
      </w:pPr>
      <w:bookmarkStart w:id="557" w:name="_Toc274"/>
      <w:bookmarkStart w:id="558" w:name="_Toc31265"/>
      <w:bookmarkStart w:id="559" w:name="_Toc26211"/>
      <w:bookmarkStart w:id="560" w:name="_Toc7521"/>
      <w:bookmarkStart w:id="561" w:name="_Toc30558"/>
      <w:bookmarkStart w:id="562" w:name="_Toc26775"/>
      <w:bookmarkStart w:id="563" w:name="_Toc261"/>
      <w:bookmarkStart w:id="564" w:name="_Toc18027"/>
      <w:bookmarkStart w:id="565" w:name="_Toc20690"/>
      <w:bookmarkStart w:id="566" w:name="_Toc756"/>
      <w:r>
        <w:rPr>
          <w:highlight w:val="none"/>
        </w:rPr>
        <w:t>混凝土工程施工技术要求</w:t>
      </w:r>
      <w:bookmarkEnd w:id="555"/>
      <w:bookmarkEnd w:id="556"/>
      <w:bookmarkEnd w:id="557"/>
      <w:bookmarkEnd w:id="558"/>
      <w:bookmarkEnd w:id="559"/>
      <w:bookmarkEnd w:id="560"/>
      <w:bookmarkEnd w:id="561"/>
      <w:bookmarkEnd w:id="562"/>
      <w:bookmarkEnd w:id="563"/>
      <w:bookmarkEnd w:id="564"/>
      <w:bookmarkEnd w:id="565"/>
      <w:bookmarkEnd w:id="566"/>
    </w:p>
    <w:p w14:paraId="4C20581A">
      <w:pPr>
        <w:pStyle w:val="4"/>
        <w:numPr>
          <w:ilvl w:val="2"/>
          <w:numId w:val="13"/>
        </w:numPr>
        <w:rPr>
          <w:rFonts w:hint="eastAsia"/>
          <w:highlight w:val="none"/>
        </w:rPr>
      </w:pPr>
      <w:r>
        <w:rPr>
          <w:rFonts w:hint="eastAsia"/>
          <w:highlight w:val="none"/>
        </w:rPr>
        <w:t>钢筋工程</w:t>
      </w:r>
    </w:p>
    <w:p w14:paraId="0FE0AEE5">
      <w:pPr>
        <w:pStyle w:val="5"/>
        <w:rPr>
          <w:rFonts w:hint="eastAsia"/>
          <w:highlight w:val="none"/>
        </w:rPr>
      </w:pPr>
      <w:r>
        <w:rPr>
          <w:rFonts w:hint="eastAsia"/>
          <w:highlight w:val="none"/>
        </w:rPr>
        <w:t>质量标准</w:t>
      </w:r>
    </w:p>
    <w:p w14:paraId="39A24BAD">
      <w:pPr>
        <w:numPr>
          <w:ilvl w:val="0"/>
          <w:numId w:val="35"/>
        </w:numPr>
        <w:ind w:firstLine="480"/>
        <w:rPr>
          <w:rFonts w:hint="eastAsia"/>
          <w:highlight w:val="none"/>
        </w:rPr>
      </w:pPr>
      <w:r>
        <w:rPr>
          <w:rFonts w:hint="eastAsia"/>
          <w:highlight w:val="none"/>
        </w:rPr>
        <w:t>应符合现行国家和行业有关钢筋工程的规范和标准。</w:t>
      </w:r>
    </w:p>
    <w:p w14:paraId="223E0670">
      <w:pPr>
        <w:numPr>
          <w:ilvl w:val="0"/>
          <w:numId w:val="35"/>
        </w:numPr>
        <w:ind w:firstLine="480"/>
        <w:rPr>
          <w:rFonts w:hint="eastAsia"/>
          <w:highlight w:val="none"/>
        </w:rPr>
      </w:pPr>
      <w:r>
        <w:rPr>
          <w:rFonts w:hint="eastAsia"/>
          <w:highlight w:val="none"/>
        </w:rPr>
        <w:t>钢筋的规格、形状、尺寸、数量、间距、锚固长度、接头位置、保护层厚度须符合设计要求和施工规范的规定。</w:t>
      </w:r>
    </w:p>
    <w:p w14:paraId="4089C151">
      <w:pPr>
        <w:numPr>
          <w:ilvl w:val="0"/>
          <w:numId w:val="35"/>
        </w:numPr>
        <w:ind w:firstLine="480"/>
        <w:rPr>
          <w:rFonts w:hint="eastAsia"/>
          <w:highlight w:val="none"/>
        </w:rPr>
      </w:pPr>
      <w:r>
        <w:rPr>
          <w:rFonts w:hint="eastAsia"/>
          <w:highlight w:val="none"/>
        </w:rPr>
        <w:t>钢筋骨架绑扎，缺扣、松扣不超过应绑扎数据的10%，且不应集中。</w:t>
      </w:r>
    </w:p>
    <w:p w14:paraId="7FCA16F7">
      <w:pPr>
        <w:numPr>
          <w:ilvl w:val="0"/>
          <w:numId w:val="35"/>
        </w:numPr>
        <w:ind w:firstLine="480"/>
        <w:rPr>
          <w:rFonts w:hint="eastAsia"/>
          <w:highlight w:val="none"/>
        </w:rPr>
      </w:pPr>
      <w:r>
        <w:rPr>
          <w:rFonts w:hint="eastAsia"/>
          <w:highlight w:val="none"/>
        </w:rPr>
        <w:t>钢筋弯钩的朝向正确，绑扎接头符合施工规范的规定，搭接长度不小于规定值。</w:t>
      </w:r>
    </w:p>
    <w:p w14:paraId="06DFFA12">
      <w:pPr>
        <w:numPr>
          <w:ilvl w:val="0"/>
          <w:numId w:val="35"/>
        </w:numPr>
        <w:ind w:firstLine="480"/>
        <w:rPr>
          <w:rFonts w:hint="eastAsia"/>
          <w:highlight w:val="none"/>
        </w:rPr>
      </w:pPr>
      <w:r>
        <w:rPr>
          <w:rFonts w:hint="eastAsia"/>
          <w:highlight w:val="none"/>
        </w:rPr>
        <w:t>所有焊接接头必须进行外观检验，其要求是：焊缝表面平顺，没有较明显的咬边、凹陷、焊瘤、夹渣及气孔，严禁有裂纹出现。</w:t>
      </w:r>
    </w:p>
    <w:p w14:paraId="59892D39">
      <w:pPr>
        <w:pStyle w:val="5"/>
        <w:rPr>
          <w:rFonts w:hint="eastAsia"/>
          <w:highlight w:val="none"/>
        </w:rPr>
      </w:pPr>
      <w:r>
        <w:rPr>
          <w:rFonts w:hint="eastAsia"/>
          <w:highlight w:val="none"/>
        </w:rPr>
        <w:t>钢筋材料验收要求</w:t>
      </w:r>
    </w:p>
    <w:p w14:paraId="7E98D5BF">
      <w:pPr>
        <w:ind w:firstLine="480"/>
        <w:rPr>
          <w:rFonts w:hint="eastAsia"/>
          <w:highlight w:val="none"/>
        </w:rPr>
      </w:pPr>
      <w:r>
        <w:rPr>
          <w:highlight w:val="none"/>
        </w:rPr>
        <w:t>送到施工现场的每一批热轧钢筋应符合如下条件：</w:t>
      </w:r>
    </w:p>
    <w:p w14:paraId="484CEBC2">
      <w:pPr>
        <w:numPr>
          <w:ilvl w:val="0"/>
          <w:numId w:val="36"/>
        </w:numPr>
        <w:ind w:firstLine="480"/>
        <w:rPr>
          <w:rFonts w:hint="eastAsia"/>
          <w:highlight w:val="none"/>
        </w:rPr>
      </w:pPr>
      <w:r>
        <w:rPr>
          <w:rFonts w:hint="eastAsia"/>
          <w:highlight w:val="none"/>
        </w:rPr>
        <w:t>有加盖供应单位公章的质量证明书，质量证明书应真实且与钢筋铭牌上信息相对应。</w:t>
      </w:r>
    </w:p>
    <w:p w14:paraId="49FD568E">
      <w:pPr>
        <w:numPr>
          <w:ilvl w:val="0"/>
          <w:numId w:val="36"/>
        </w:numPr>
        <w:ind w:firstLine="480"/>
        <w:rPr>
          <w:rFonts w:hint="eastAsia"/>
          <w:highlight w:val="none"/>
        </w:rPr>
      </w:pPr>
      <w:r>
        <w:rPr>
          <w:rFonts w:hint="eastAsia"/>
          <w:highlight w:val="none"/>
        </w:rPr>
        <w:t>钢筋有出厂合格证即铭牌, 对抗震设防要求的结构，重点关注是否有E标钢筋要求。</w:t>
      </w:r>
    </w:p>
    <w:p w14:paraId="16EE60B4">
      <w:pPr>
        <w:numPr>
          <w:ilvl w:val="0"/>
          <w:numId w:val="36"/>
        </w:numPr>
        <w:ind w:firstLine="480"/>
        <w:rPr>
          <w:rFonts w:hint="eastAsia"/>
          <w:highlight w:val="none"/>
        </w:rPr>
      </w:pPr>
      <w:r>
        <w:rPr>
          <w:rFonts w:hint="eastAsia"/>
          <w:highlight w:val="none"/>
        </w:rPr>
        <w:t>钢筋外观无损伤，表面无裂纹、油污或锈斑。</w:t>
      </w:r>
    </w:p>
    <w:p w14:paraId="52008812">
      <w:pPr>
        <w:numPr>
          <w:ilvl w:val="0"/>
          <w:numId w:val="36"/>
        </w:numPr>
        <w:ind w:firstLine="480"/>
        <w:rPr>
          <w:rFonts w:hint="eastAsia"/>
          <w:highlight w:val="none"/>
        </w:rPr>
      </w:pPr>
      <w:r>
        <w:rPr>
          <w:rFonts w:hint="eastAsia"/>
          <w:highlight w:val="none"/>
        </w:rPr>
        <w:t>总承包人在监理人监督下见证取样送检，检验报告合格。</w:t>
      </w:r>
    </w:p>
    <w:p w14:paraId="7970FA98">
      <w:pPr>
        <w:numPr>
          <w:ilvl w:val="0"/>
          <w:numId w:val="36"/>
        </w:numPr>
        <w:ind w:firstLine="480"/>
        <w:rPr>
          <w:rFonts w:hint="eastAsia"/>
          <w:highlight w:val="none"/>
        </w:rPr>
      </w:pPr>
      <w:r>
        <w:rPr>
          <w:rFonts w:hint="eastAsia"/>
          <w:highlight w:val="none"/>
        </w:rPr>
        <w:t>所有进场钢筋待检测合格后方可投入使用。</w:t>
      </w:r>
    </w:p>
    <w:p w14:paraId="7E4A942C">
      <w:pPr>
        <w:pStyle w:val="5"/>
        <w:rPr>
          <w:rFonts w:hint="eastAsia"/>
          <w:highlight w:val="none"/>
        </w:rPr>
      </w:pPr>
      <w:r>
        <w:rPr>
          <w:rFonts w:hint="eastAsia"/>
          <w:highlight w:val="none"/>
        </w:rPr>
        <w:t>质量关键点控制</w:t>
      </w:r>
    </w:p>
    <w:p w14:paraId="0E235F0A">
      <w:pPr>
        <w:numPr>
          <w:ilvl w:val="0"/>
          <w:numId w:val="37"/>
        </w:numPr>
        <w:ind w:firstLine="480"/>
        <w:rPr>
          <w:rFonts w:hint="eastAsia"/>
          <w:highlight w:val="none"/>
        </w:rPr>
      </w:pPr>
      <w:r>
        <w:rPr>
          <w:rFonts w:hint="eastAsia"/>
          <w:highlight w:val="none"/>
        </w:rPr>
        <w:t>钢筋加工：加工标准挂牌于现场，加工前有详细的技术交底及加工翻样图，分别明示于各自的操作台前。直螺纹套丝钢筋端头端面宜平整并与钢筋轴线垂直，不得有马蹄形或扭曲，钢筋端部不得有弯曲，套丝检查合格后套上塑料保护帽。钢筋应采用机械调直，严禁采用冷拉、冷拔的方法。</w:t>
      </w:r>
    </w:p>
    <w:p w14:paraId="7E01AA44">
      <w:pPr>
        <w:numPr>
          <w:ilvl w:val="0"/>
          <w:numId w:val="37"/>
        </w:numPr>
        <w:ind w:firstLine="480"/>
        <w:rPr>
          <w:rFonts w:hint="eastAsia"/>
          <w:highlight w:val="none"/>
        </w:rPr>
      </w:pPr>
      <w:r>
        <w:rPr>
          <w:rFonts w:hint="eastAsia"/>
          <w:highlight w:val="none"/>
        </w:rPr>
        <w:t>钢筋翻样：要考虑水电、设备等预留洞的位置，尽量不切断钢筋，电盒焊在附加的钢筋上，安装牢固，不得焊在主筋上。</w:t>
      </w:r>
    </w:p>
    <w:p w14:paraId="20EDF648">
      <w:pPr>
        <w:numPr>
          <w:ilvl w:val="0"/>
          <w:numId w:val="37"/>
        </w:numPr>
        <w:ind w:firstLine="480"/>
        <w:rPr>
          <w:rFonts w:hint="eastAsia"/>
          <w:highlight w:val="none"/>
        </w:rPr>
      </w:pPr>
      <w:r>
        <w:rPr>
          <w:rFonts w:hint="eastAsia"/>
          <w:highlight w:val="none"/>
        </w:rPr>
        <w:t>楼板钢筋绑扎：在模板上根据楼板钢筋间距画线后绑扎，包括起步筋的位置。板筋应100%绑扎。</w:t>
      </w:r>
    </w:p>
    <w:p w14:paraId="640DDA22">
      <w:pPr>
        <w:numPr>
          <w:ilvl w:val="0"/>
          <w:numId w:val="37"/>
        </w:numPr>
        <w:ind w:firstLine="480"/>
        <w:rPr>
          <w:rFonts w:hint="eastAsia"/>
          <w:highlight w:val="none"/>
        </w:rPr>
      </w:pPr>
      <w:r>
        <w:rPr>
          <w:rFonts w:hint="eastAsia"/>
          <w:highlight w:val="none"/>
        </w:rPr>
        <w:t>加工后的直螺纹接头应用专用模具检查。直螺纹接头连接后应检查外露丝扣，合格后做好标识。</w:t>
      </w:r>
    </w:p>
    <w:p w14:paraId="02762A1D">
      <w:pPr>
        <w:numPr>
          <w:ilvl w:val="0"/>
          <w:numId w:val="37"/>
        </w:numPr>
        <w:ind w:firstLine="480"/>
        <w:rPr>
          <w:rFonts w:hint="eastAsia"/>
          <w:highlight w:val="none"/>
        </w:rPr>
      </w:pPr>
      <w:r>
        <w:rPr>
          <w:rFonts w:hint="eastAsia"/>
          <w:highlight w:val="none"/>
        </w:rPr>
        <w:t>楼板混凝土浇筑前，应搭设操作马道，严格控制负弯矩筋被踩下，在模板上摆放钢筋马凳，上面铺设架板，架板离混凝土成品面层不得小于100mm，以方便操作。</w:t>
      </w:r>
    </w:p>
    <w:p w14:paraId="0A3A5342">
      <w:pPr>
        <w:numPr>
          <w:ilvl w:val="0"/>
          <w:numId w:val="37"/>
        </w:numPr>
        <w:ind w:firstLine="480"/>
        <w:rPr>
          <w:rFonts w:hint="eastAsia"/>
          <w:highlight w:val="none"/>
        </w:rPr>
      </w:pPr>
      <w:r>
        <w:rPr>
          <w:rFonts w:hint="eastAsia"/>
          <w:highlight w:val="none"/>
        </w:rPr>
        <w:t>保护层垫块的材质及间距：钢筋保护层厚度应符合设计、规范要求，垫块采用成品水泥砂浆垫块或其他成品垫块，板底钢筋垫块数量设置应满足保护层要求；负弯矩钢筋应设置通长马凳，其间距不应超过600mm。</w:t>
      </w:r>
    </w:p>
    <w:p w14:paraId="7A98D1B5">
      <w:pPr>
        <w:numPr>
          <w:ilvl w:val="0"/>
          <w:numId w:val="37"/>
        </w:numPr>
        <w:ind w:firstLine="480"/>
        <w:rPr>
          <w:rFonts w:hint="eastAsia"/>
          <w:highlight w:val="none"/>
        </w:rPr>
      </w:pPr>
      <w:r>
        <w:rPr>
          <w:rFonts w:hint="eastAsia"/>
          <w:highlight w:val="none"/>
        </w:rPr>
        <w:t>基础底板钢筋绑扎时，马凳需经过受力计算，安全可靠，确保能承受底板上层钢筋负重，工人进入两层钢筋之间进行作业前，需总承包人项目总工核实安全可靠后方可进入。</w:t>
      </w:r>
    </w:p>
    <w:p w14:paraId="53B20F92">
      <w:pPr>
        <w:pStyle w:val="4"/>
        <w:numPr>
          <w:ilvl w:val="2"/>
          <w:numId w:val="13"/>
        </w:numPr>
        <w:rPr>
          <w:rFonts w:hint="eastAsia"/>
          <w:highlight w:val="none"/>
        </w:rPr>
      </w:pPr>
      <w:r>
        <w:rPr>
          <w:rFonts w:hint="eastAsia"/>
          <w:highlight w:val="none"/>
        </w:rPr>
        <w:t>模板工程</w:t>
      </w:r>
    </w:p>
    <w:p w14:paraId="710C2449">
      <w:pPr>
        <w:pStyle w:val="5"/>
        <w:rPr>
          <w:rFonts w:hint="eastAsia"/>
          <w:highlight w:val="none"/>
        </w:rPr>
      </w:pPr>
      <w:r>
        <w:rPr>
          <w:rFonts w:hint="eastAsia"/>
          <w:highlight w:val="none"/>
        </w:rPr>
        <w:t>木模板</w:t>
      </w:r>
    </w:p>
    <w:p w14:paraId="79D8F2F6">
      <w:pPr>
        <w:numPr>
          <w:ilvl w:val="0"/>
          <w:numId w:val="38"/>
        </w:numPr>
        <w:ind w:firstLine="480"/>
        <w:rPr>
          <w:rFonts w:hint="eastAsia"/>
          <w:highlight w:val="none"/>
        </w:rPr>
      </w:pPr>
      <w:r>
        <w:rPr>
          <w:rFonts w:hint="eastAsia"/>
          <w:highlight w:val="none"/>
        </w:rPr>
        <w:t>质量标准</w:t>
      </w:r>
    </w:p>
    <w:p w14:paraId="12EDBDAF">
      <w:pPr>
        <w:numPr>
          <w:ilvl w:val="0"/>
          <w:numId w:val="39"/>
        </w:numPr>
        <w:ind w:firstLine="480"/>
        <w:rPr>
          <w:rFonts w:hint="eastAsia"/>
          <w:highlight w:val="none"/>
        </w:rPr>
      </w:pPr>
      <w:r>
        <w:rPr>
          <w:rFonts w:hint="eastAsia"/>
          <w:highlight w:val="none"/>
        </w:rPr>
        <w:t>模板支设应保证主体结构成活后色泽一致，无漏浆漏振、蜂窝、麻面，接缝平整，棱角方正，线条顺直，各项实测指标合格。</w:t>
      </w:r>
    </w:p>
    <w:p w14:paraId="45928EDB">
      <w:pPr>
        <w:numPr>
          <w:ilvl w:val="0"/>
          <w:numId w:val="39"/>
        </w:numPr>
        <w:ind w:firstLine="480"/>
        <w:rPr>
          <w:rFonts w:hint="eastAsia"/>
          <w:highlight w:val="none"/>
        </w:rPr>
      </w:pPr>
      <w:r>
        <w:rPr>
          <w:highlight w:val="none"/>
        </w:rPr>
        <w:t>模板工程一次合格率不得低于98%，整改后合格率100%。确保混凝土拆模后实测实量</w:t>
      </w:r>
      <w:r>
        <w:rPr>
          <w:rFonts w:hint="eastAsia"/>
          <w:highlight w:val="none"/>
        </w:rPr>
        <w:t>一次</w:t>
      </w:r>
      <w:r>
        <w:rPr>
          <w:highlight w:val="none"/>
        </w:rPr>
        <w:t>合格率不低于95%</w:t>
      </w:r>
      <w:r>
        <w:rPr>
          <w:rFonts w:hint="eastAsia"/>
          <w:highlight w:val="none"/>
        </w:rPr>
        <w:t>，轻度整改后合格率不低于</w:t>
      </w:r>
      <w:r>
        <w:rPr>
          <w:highlight w:val="none"/>
        </w:rPr>
        <w:t>97%</w:t>
      </w:r>
      <w:r>
        <w:rPr>
          <w:rFonts w:hint="eastAsia"/>
          <w:highlight w:val="none"/>
        </w:rPr>
        <w:t>。</w:t>
      </w:r>
    </w:p>
    <w:p w14:paraId="227F4ED0">
      <w:pPr>
        <w:numPr>
          <w:ilvl w:val="0"/>
          <w:numId w:val="39"/>
        </w:numPr>
        <w:ind w:firstLine="480"/>
        <w:rPr>
          <w:rFonts w:hint="eastAsia"/>
          <w:highlight w:val="none"/>
        </w:rPr>
      </w:pPr>
      <w:r>
        <w:rPr>
          <w:rFonts w:hint="eastAsia"/>
          <w:highlight w:val="none"/>
        </w:rPr>
        <w:t>原材料</w:t>
      </w:r>
    </w:p>
    <w:p w14:paraId="08FF4095">
      <w:pPr>
        <w:numPr>
          <w:ilvl w:val="0"/>
          <w:numId w:val="39"/>
        </w:numPr>
        <w:ind w:firstLine="480"/>
        <w:rPr>
          <w:rFonts w:hint="eastAsia"/>
          <w:highlight w:val="none"/>
        </w:rPr>
      </w:pPr>
      <w:r>
        <w:rPr>
          <w:rFonts w:hint="eastAsia"/>
          <w:highlight w:val="none"/>
        </w:rPr>
        <w:t>采用全新胶合覆膜板，要求不少于14mm厚，厚度偏差满足GB∕T 17656-2018 混凝土模板用胶合板规范要求，胶合强度单个试件≥</w:t>
      </w:r>
      <w:r>
        <w:rPr>
          <w:highlight w:val="none"/>
        </w:rPr>
        <w:t>0.7Mpa</w:t>
      </w:r>
      <w:r>
        <w:rPr>
          <w:rFonts w:hint="eastAsia"/>
          <w:highlight w:val="none"/>
        </w:rPr>
        <w:t>，静曲强度顺纹≥</w:t>
      </w:r>
      <w:r>
        <w:rPr>
          <w:highlight w:val="none"/>
        </w:rPr>
        <w:t>45Mpa</w:t>
      </w:r>
      <w:r>
        <w:rPr>
          <w:rFonts w:hint="eastAsia"/>
          <w:highlight w:val="none"/>
        </w:rPr>
        <w:t>，横纹≥</w:t>
      </w:r>
      <w:r>
        <w:rPr>
          <w:highlight w:val="none"/>
        </w:rPr>
        <w:t>30Mpa</w:t>
      </w:r>
      <w:r>
        <w:rPr>
          <w:rFonts w:hint="eastAsia"/>
          <w:highlight w:val="none"/>
        </w:rPr>
        <w:t>；弹性模量顺纹≥</w:t>
      </w:r>
      <w:r>
        <w:rPr>
          <w:highlight w:val="none"/>
        </w:rPr>
        <w:t>6000Mpa</w:t>
      </w:r>
      <w:r>
        <w:rPr>
          <w:rFonts w:hint="eastAsia"/>
          <w:highlight w:val="none"/>
        </w:rPr>
        <w:t>，横纹≥</w:t>
      </w:r>
      <w:r>
        <w:rPr>
          <w:highlight w:val="none"/>
        </w:rPr>
        <w:t>4500Mpa</w:t>
      </w:r>
      <w:r>
        <w:rPr>
          <w:rFonts w:hint="eastAsia"/>
          <w:highlight w:val="none"/>
        </w:rPr>
        <w:t>。</w:t>
      </w:r>
    </w:p>
    <w:p w14:paraId="435D3E63">
      <w:pPr>
        <w:numPr>
          <w:ilvl w:val="0"/>
          <w:numId w:val="39"/>
        </w:numPr>
        <w:ind w:firstLine="480"/>
        <w:rPr>
          <w:rFonts w:hint="eastAsia"/>
          <w:highlight w:val="none"/>
        </w:rPr>
      </w:pPr>
      <w:r>
        <w:rPr>
          <w:rFonts w:hint="eastAsia"/>
          <w:highlight w:val="none"/>
        </w:rPr>
        <w:t>梁模板周转次数不宜大于3次，其他部位模板周转次数不宜大于4次，若模板出现边缘破损应及时更换。</w:t>
      </w:r>
    </w:p>
    <w:p w14:paraId="6B2F46E3">
      <w:pPr>
        <w:numPr>
          <w:ilvl w:val="0"/>
          <w:numId w:val="39"/>
        </w:numPr>
        <w:ind w:firstLine="480"/>
        <w:rPr>
          <w:rFonts w:hint="eastAsia"/>
          <w:highlight w:val="none"/>
        </w:rPr>
      </w:pPr>
      <w:r>
        <w:rPr>
          <w:rFonts w:hint="eastAsia"/>
          <w:highlight w:val="none"/>
        </w:rPr>
        <w:t>墙柱主、次楞应采用方钢、槽钢，断面一致。钢材表面应平直光滑，不应有裂缝、结疤、分层、错位、硬弯、毛刺、压痕和深划痕。钢管采用</w:t>
      </w:r>
      <w:r>
        <w:rPr>
          <w:highlight w:val="none"/>
        </w:rPr>
        <w:t>Φ48.3×3.6 mm</w:t>
      </w:r>
      <w:r>
        <w:rPr>
          <w:rFonts w:hint="eastAsia"/>
          <w:highlight w:val="none"/>
        </w:rPr>
        <w:t>，即外径</w:t>
      </w:r>
      <w:r>
        <w:rPr>
          <w:highlight w:val="none"/>
        </w:rPr>
        <w:t>48.3 mm</w:t>
      </w:r>
      <w:r>
        <w:rPr>
          <w:rFonts w:hint="eastAsia"/>
          <w:highlight w:val="none"/>
        </w:rPr>
        <w:t>，壁厚</w:t>
      </w:r>
      <w:r>
        <w:rPr>
          <w:highlight w:val="none"/>
        </w:rPr>
        <w:t>3.6 mm</w:t>
      </w:r>
      <w:r>
        <w:rPr>
          <w:rFonts w:hint="eastAsia"/>
          <w:highlight w:val="none"/>
        </w:rPr>
        <w:t>。钢管表面和材料要求与方钢相同。</w:t>
      </w:r>
      <w:r>
        <w:rPr>
          <w:highlight w:val="none"/>
        </w:rPr>
        <w:t xml:space="preserve">                                                </w:t>
      </w:r>
    </w:p>
    <w:p w14:paraId="0FBF5406">
      <w:pPr>
        <w:numPr>
          <w:ilvl w:val="0"/>
          <w:numId w:val="39"/>
        </w:numPr>
        <w:ind w:firstLine="480"/>
        <w:rPr>
          <w:rFonts w:hint="eastAsia"/>
          <w:highlight w:val="none"/>
        </w:rPr>
      </w:pPr>
      <w:r>
        <w:rPr>
          <w:rFonts w:hint="eastAsia"/>
          <w:highlight w:val="none"/>
        </w:rPr>
        <w:t>止水螺杆采用三段式止水螺杆，地上穿墙螺杆直径≥</w:t>
      </w:r>
      <w:r>
        <w:rPr>
          <w:highlight w:val="none"/>
        </w:rPr>
        <w:t>12mm</w:t>
      </w:r>
      <w:r>
        <w:rPr>
          <w:rFonts w:hint="eastAsia"/>
          <w:highlight w:val="none"/>
        </w:rPr>
        <w:t>，地下室穿墙螺杆直径≥</w:t>
      </w:r>
      <w:r>
        <w:rPr>
          <w:highlight w:val="none"/>
        </w:rPr>
        <w:t>14mm</w:t>
      </w:r>
      <w:r>
        <w:rPr>
          <w:rFonts w:hint="eastAsia"/>
          <w:highlight w:val="none"/>
        </w:rPr>
        <w:t>。</w:t>
      </w:r>
    </w:p>
    <w:p w14:paraId="3A0730D6">
      <w:pPr>
        <w:numPr>
          <w:ilvl w:val="0"/>
          <w:numId w:val="39"/>
        </w:numPr>
        <w:ind w:firstLine="480"/>
        <w:rPr>
          <w:rFonts w:hint="eastAsia"/>
          <w:highlight w:val="none"/>
        </w:rPr>
      </w:pPr>
      <w:r>
        <w:rPr>
          <w:rFonts w:hint="eastAsia"/>
          <w:highlight w:val="none"/>
        </w:rPr>
        <w:t>模板内水泥撑条长度应与混凝土构件截面尺寸相同，不允许采用过短的水泥撑条。</w:t>
      </w:r>
    </w:p>
    <w:p w14:paraId="40E96699">
      <w:pPr>
        <w:numPr>
          <w:ilvl w:val="0"/>
          <w:numId w:val="39"/>
        </w:numPr>
        <w:ind w:firstLine="480"/>
        <w:rPr>
          <w:rFonts w:hint="eastAsia"/>
          <w:highlight w:val="none"/>
        </w:rPr>
      </w:pPr>
      <w:r>
        <w:rPr>
          <w:rFonts w:hint="eastAsia"/>
          <w:highlight w:val="none"/>
        </w:rPr>
        <w:t>脱模剂采用非油性脱模剂。</w:t>
      </w:r>
    </w:p>
    <w:p w14:paraId="5511C1CA">
      <w:pPr>
        <w:numPr>
          <w:ilvl w:val="0"/>
          <w:numId w:val="38"/>
        </w:numPr>
        <w:tabs>
          <w:tab w:val="left" w:pos="567"/>
          <w:tab w:val="left" w:pos="851"/>
        </w:tabs>
        <w:spacing w:before="120" w:beforeLines="50" w:after="120" w:afterLines="50"/>
        <w:ind w:firstLine="480"/>
        <w:rPr>
          <w:rFonts w:hint="eastAsia"/>
          <w:highlight w:val="none"/>
        </w:rPr>
      </w:pPr>
      <w:r>
        <w:rPr>
          <w:rFonts w:hint="eastAsia"/>
          <w:highlight w:val="none"/>
        </w:rPr>
        <w:t>测量放线</w:t>
      </w:r>
    </w:p>
    <w:p w14:paraId="254443CB">
      <w:pPr>
        <w:numPr>
          <w:ilvl w:val="0"/>
          <w:numId w:val="40"/>
        </w:numPr>
        <w:ind w:firstLine="480"/>
        <w:rPr>
          <w:rFonts w:hint="eastAsia"/>
          <w:highlight w:val="none"/>
        </w:rPr>
      </w:pPr>
      <w:r>
        <w:rPr>
          <w:rFonts w:hint="eastAsia"/>
          <w:highlight w:val="none"/>
        </w:rPr>
        <w:t>柱子和剪力墙四周及洞口应有两道尺寸：一道为混凝土构件截面轮廓线，另一道为</w:t>
      </w:r>
      <w:r>
        <w:rPr>
          <w:highlight w:val="none"/>
        </w:rPr>
        <w:t>200 mm</w:t>
      </w:r>
      <w:r>
        <w:rPr>
          <w:rFonts w:hint="eastAsia"/>
          <w:highlight w:val="none"/>
        </w:rPr>
        <w:t>或</w:t>
      </w:r>
      <w:r>
        <w:rPr>
          <w:highlight w:val="none"/>
        </w:rPr>
        <w:t>300 mm</w:t>
      </w:r>
      <w:r>
        <w:rPr>
          <w:rFonts w:hint="eastAsia"/>
          <w:highlight w:val="none"/>
        </w:rPr>
        <w:t>控制线。</w:t>
      </w:r>
    </w:p>
    <w:p w14:paraId="46E97B51">
      <w:pPr>
        <w:numPr>
          <w:ilvl w:val="0"/>
          <w:numId w:val="40"/>
        </w:numPr>
        <w:ind w:firstLine="480"/>
        <w:rPr>
          <w:rFonts w:hint="eastAsia"/>
          <w:highlight w:val="none"/>
        </w:rPr>
      </w:pPr>
      <w:r>
        <w:rPr>
          <w:rFonts w:hint="eastAsia"/>
          <w:highlight w:val="none"/>
        </w:rPr>
        <w:t>轴线偏差±</w:t>
      </w:r>
      <w:r>
        <w:rPr>
          <w:highlight w:val="none"/>
        </w:rPr>
        <w:t>5mm</w:t>
      </w:r>
      <w:r>
        <w:rPr>
          <w:rFonts w:hint="eastAsia"/>
          <w:highlight w:val="none"/>
        </w:rPr>
        <w:t>，楼层总宽及总长偏差±</w:t>
      </w:r>
      <w:r>
        <w:rPr>
          <w:highlight w:val="none"/>
        </w:rPr>
        <w:t>10mm</w:t>
      </w:r>
      <w:r>
        <w:rPr>
          <w:rFonts w:hint="eastAsia"/>
          <w:highlight w:val="none"/>
        </w:rPr>
        <w:t>。</w:t>
      </w:r>
    </w:p>
    <w:p w14:paraId="062CB197">
      <w:pPr>
        <w:numPr>
          <w:ilvl w:val="0"/>
          <w:numId w:val="40"/>
        </w:numPr>
        <w:ind w:firstLine="480"/>
        <w:rPr>
          <w:rFonts w:hint="eastAsia"/>
          <w:highlight w:val="none"/>
        </w:rPr>
      </w:pPr>
      <w:r>
        <w:rPr>
          <w:rFonts w:hint="eastAsia"/>
          <w:highlight w:val="none"/>
        </w:rPr>
        <w:t>在模板安装前应设置定位筋，定位筋设置于模板内侧，其截面圆应与混凝土构件截面轮廓线相切，外侧底部钉模板条锁底。</w:t>
      </w:r>
    </w:p>
    <w:p w14:paraId="7BA59531">
      <w:pPr>
        <w:numPr>
          <w:ilvl w:val="0"/>
          <w:numId w:val="38"/>
        </w:numPr>
        <w:tabs>
          <w:tab w:val="left" w:pos="567"/>
          <w:tab w:val="left" w:pos="851"/>
        </w:tabs>
        <w:spacing w:before="120" w:beforeLines="50" w:after="120" w:afterLines="50"/>
        <w:ind w:firstLine="480"/>
        <w:rPr>
          <w:rFonts w:hint="eastAsia"/>
          <w:highlight w:val="none"/>
        </w:rPr>
      </w:pPr>
      <w:r>
        <w:rPr>
          <w:rFonts w:hint="eastAsia"/>
          <w:highlight w:val="none"/>
        </w:rPr>
        <w:t>墙模加固</w:t>
      </w:r>
    </w:p>
    <w:p w14:paraId="1A596081">
      <w:pPr>
        <w:numPr>
          <w:ilvl w:val="0"/>
          <w:numId w:val="41"/>
        </w:numPr>
        <w:ind w:firstLine="480"/>
        <w:rPr>
          <w:rFonts w:hint="eastAsia"/>
          <w:highlight w:val="none"/>
        </w:rPr>
      </w:pPr>
      <w:r>
        <w:rPr>
          <w:rFonts w:hint="eastAsia"/>
          <w:highlight w:val="none"/>
        </w:rPr>
        <w:t>对拉螺栓竖向间距≤</w:t>
      </w:r>
      <w:r>
        <w:rPr>
          <w:highlight w:val="none"/>
        </w:rPr>
        <w:t>500mm</w:t>
      </w:r>
      <w:r>
        <w:rPr>
          <w:rFonts w:hint="eastAsia"/>
          <w:highlight w:val="none"/>
        </w:rPr>
        <w:t>，水平间距≤</w:t>
      </w:r>
      <w:r>
        <w:rPr>
          <w:highlight w:val="none"/>
        </w:rPr>
        <w:t>450mm</w:t>
      </w:r>
      <w:r>
        <w:rPr>
          <w:rFonts w:hint="eastAsia"/>
          <w:highlight w:val="none"/>
        </w:rPr>
        <w:t>，最低道距地≤</w:t>
      </w:r>
      <w:r>
        <w:rPr>
          <w:highlight w:val="none"/>
        </w:rPr>
        <w:t>200mm</w:t>
      </w:r>
      <w:r>
        <w:rPr>
          <w:rFonts w:hint="eastAsia"/>
          <w:highlight w:val="none"/>
        </w:rPr>
        <w:t>，最上道距顶板≤</w:t>
      </w:r>
      <w:r>
        <w:rPr>
          <w:highlight w:val="none"/>
        </w:rPr>
        <w:t>300mm</w:t>
      </w:r>
      <w:r>
        <w:rPr>
          <w:rFonts w:hint="eastAsia"/>
          <w:highlight w:val="none"/>
        </w:rPr>
        <w:t>，转角部位对拉螺栓阴角≤</w:t>
      </w:r>
      <w:r>
        <w:rPr>
          <w:highlight w:val="none"/>
        </w:rPr>
        <w:t>200mm</w:t>
      </w:r>
      <w:r>
        <w:rPr>
          <w:rFonts w:hint="eastAsia"/>
          <w:highlight w:val="none"/>
        </w:rPr>
        <w:t>。</w:t>
      </w:r>
    </w:p>
    <w:p w14:paraId="71D7F752">
      <w:pPr>
        <w:numPr>
          <w:ilvl w:val="0"/>
          <w:numId w:val="41"/>
        </w:numPr>
        <w:ind w:firstLine="480"/>
        <w:rPr>
          <w:rFonts w:hint="eastAsia"/>
          <w:highlight w:val="none"/>
        </w:rPr>
      </w:pPr>
      <w:r>
        <w:rPr>
          <w:rFonts w:hint="eastAsia"/>
          <w:highlight w:val="none"/>
        </w:rPr>
        <w:t>对拉螺栓竖向间距≤</w:t>
      </w:r>
      <w:r>
        <w:rPr>
          <w:highlight w:val="none"/>
        </w:rPr>
        <w:t>500 mm</w:t>
      </w:r>
      <w:r>
        <w:rPr>
          <w:rFonts w:hint="eastAsia"/>
          <w:highlight w:val="none"/>
        </w:rPr>
        <w:t>，水平间距≤</w:t>
      </w:r>
      <w:r>
        <w:rPr>
          <w:highlight w:val="none"/>
        </w:rPr>
        <w:t>350 mm</w:t>
      </w:r>
      <w:r>
        <w:rPr>
          <w:rFonts w:hint="eastAsia"/>
          <w:highlight w:val="none"/>
        </w:rPr>
        <w:t>，最低道距地≤</w:t>
      </w:r>
      <w:r>
        <w:rPr>
          <w:highlight w:val="none"/>
        </w:rPr>
        <w:t>200 mm</w:t>
      </w:r>
      <w:r>
        <w:rPr>
          <w:rFonts w:hint="eastAsia"/>
          <w:highlight w:val="none"/>
        </w:rPr>
        <w:t>，最上道距顶板≤</w:t>
      </w:r>
      <w:r>
        <w:rPr>
          <w:highlight w:val="none"/>
        </w:rPr>
        <w:t>300 mm</w:t>
      </w:r>
      <w:r>
        <w:rPr>
          <w:rFonts w:hint="eastAsia"/>
          <w:highlight w:val="none"/>
        </w:rPr>
        <w:t>，转角部位对拉螺栓阴角≤</w:t>
      </w:r>
      <w:r>
        <w:rPr>
          <w:highlight w:val="none"/>
        </w:rPr>
        <w:t>200 mm</w:t>
      </w:r>
      <w:r>
        <w:rPr>
          <w:rFonts w:hint="eastAsia"/>
          <w:highlight w:val="none"/>
        </w:rPr>
        <w:t>。</w:t>
      </w:r>
    </w:p>
    <w:p w14:paraId="0538096B">
      <w:pPr>
        <w:numPr>
          <w:ilvl w:val="0"/>
          <w:numId w:val="41"/>
        </w:numPr>
        <w:ind w:firstLine="480"/>
        <w:rPr>
          <w:rFonts w:hint="eastAsia"/>
          <w:highlight w:val="none"/>
        </w:rPr>
      </w:pPr>
      <w:r>
        <w:rPr>
          <w:rFonts w:hint="eastAsia"/>
          <w:highlight w:val="none"/>
        </w:rPr>
        <w:t>竖向龙骨净尺间距≤</w:t>
      </w:r>
      <w:r>
        <w:rPr>
          <w:highlight w:val="none"/>
        </w:rPr>
        <w:t>250mm</w:t>
      </w:r>
      <w:r>
        <w:rPr>
          <w:rFonts w:hint="eastAsia"/>
          <w:highlight w:val="none"/>
        </w:rPr>
        <w:t>，横向龙骨净尺间距≤</w:t>
      </w:r>
      <w:r>
        <w:rPr>
          <w:highlight w:val="none"/>
        </w:rPr>
        <w:t>500 mm</w:t>
      </w:r>
      <w:r>
        <w:rPr>
          <w:rFonts w:hint="eastAsia"/>
          <w:highlight w:val="none"/>
        </w:rPr>
        <w:t>。</w:t>
      </w:r>
    </w:p>
    <w:p w14:paraId="51CDEE77">
      <w:pPr>
        <w:numPr>
          <w:ilvl w:val="0"/>
          <w:numId w:val="41"/>
        </w:numPr>
        <w:ind w:firstLine="480"/>
        <w:rPr>
          <w:rFonts w:hint="eastAsia"/>
          <w:highlight w:val="none"/>
        </w:rPr>
      </w:pPr>
      <w:r>
        <w:rPr>
          <w:rFonts w:hint="eastAsia"/>
          <w:highlight w:val="none"/>
        </w:rPr>
        <w:t>墙根部采用水泥砂浆护角，防止漏浆；或者采用模板条锁底边，起到固定模板和防止漏浆两重作用。</w:t>
      </w:r>
    </w:p>
    <w:p w14:paraId="64422598">
      <w:pPr>
        <w:numPr>
          <w:ilvl w:val="0"/>
          <w:numId w:val="41"/>
        </w:numPr>
        <w:ind w:firstLine="480"/>
        <w:rPr>
          <w:rFonts w:hint="eastAsia"/>
          <w:highlight w:val="none"/>
        </w:rPr>
      </w:pPr>
      <w:r>
        <w:rPr>
          <w:rFonts w:hint="eastAsia"/>
          <w:highlight w:val="none"/>
        </w:rPr>
        <w:t>每道剪力墙斜支撑不少于两道，在外墙位置除了斜支架外还应设置拉索，每面外墙拉索不少于两道。</w:t>
      </w:r>
    </w:p>
    <w:p w14:paraId="58A9144E">
      <w:pPr>
        <w:numPr>
          <w:ilvl w:val="0"/>
          <w:numId w:val="41"/>
        </w:numPr>
        <w:ind w:firstLine="480"/>
        <w:rPr>
          <w:rFonts w:hint="eastAsia"/>
          <w:highlight w:val="none"/>
        </w:rPr>
      </w:pPr>
      <w:r>
        <w:rPr>
          <w:rFonts w:hint="eastAsia"/>
          <w:highlight w:val="none"/>
        </w:rPr>
        <w:t>外墙和下沉式卫生间处模板下挂至少</w:t>
      </w:r>
      <w:r>
        <w:rPr>
          <w:highlight w:val="none"/>
        </w:rPr>
        <w:t>150 mm</w:t>
      </w:r>
      <w:r>
        <w:rPr>
          <w:rFonts w:hint="eastAsia"/>
          <w:highlight w:val="none"/>
        </w:rPr>
        <w:t>。</w:t>
      </w:r>
    </w:p>
    <w:p w14:paraId="697CD73D">
      <w:pPr>
        <w:numPr>
          <w:ilvl w:val="0"/>
          <w:numId w:val="41"/>
        </w:numPr>
        <w:ind w:firstLine="480"/>
        <w:rPr>
          <w:rFonts w:hint="eastAsia"/>
          <w:highlight w:val="none"/>
        </w:rPr>
      </w:pPr>
      <w:r>
        <w:rPr>
          <w:rFonts w:hint="eastAsia"/>
          <w:highlight w:val="none"/>
        </w:rPr>
        <w:t>墙模跨洞口处模板平整度控制应采取相应措施。</w:t>
      </w:r>
    </w:p>
    <w:p w14:paraId="755A365E">
      <w:pPr>
        <w:numPr>
          <w:ilvl w:val="0"/>
          <w:numId w:val="41"/>
        </w:numPr>
        <w:ind w:firstLine="480"/>
        <w:rPr>
          <w:rFonts w:hint="eastAsia"/>
          <w:highlight w:val="none"/>
        </w:rPr>
      </w:pPr>
      <w:r>
        <w:rPr>
          <w:rFonts w:hint="eastAsia"/>
          <w:highlight w:val="none"/>
        </w:rPr>
        <w:t>对拉螺栓与墙模板应垂直，松紧应一致，螺杆上螺帽必须拧紧，不得出现松脱。</w:t>
      </w:r>
    </w:p>
    <w:p w14:paraId="20E4B3FA">
      <w:pPr>
        <w:numPr>
          <w:ilvl w:val="0"/>
          <w:numId w:val="38"/>
        </w:numPr>
        <w:ind w:firstLine="480"/>
        <w:rPr>
          <w:rFonts w:hint="eastAsia"/>
          <w:highlight w:val="none"/>
        </w:rPr>
      </w:pPr>
      <w:r>
        <w:rPr>
          <w:rFonts w:hint="eastAsia"/>
          <w:highlight w:val="none"/>
        </w:rPr>
        <w:t>柱模加固</w:t>
      </w:r>
    </w:p>
    <w:p w14:paraId="00D9532B">
      <w:pPr>
        <w:numPr>
          <w:ilvl w:val="0"/>
          <w:numId w:val="42"/>
        </w:numPr>
        <w:ind w:firstLine="480"/>
        <w:rPr>
          <w:rFonts w:hint="eastAsia"/>
          <w:highlight w:val="none"/>
        </w:rPr>
      </w:pPr>
      <w:r>
        <w:rPr>
          <w:rFonts w:hint="eastAsia"/>
          <w:highlight w:val="none"/>
        </w:rPr>
        <w:t>穿墙螺杆直径≥</w:t>
      </w:r>
      <w:r>
        <w:rPr>
          <w:highlight w:val="none"/>
        </w:rPr>
        <w:t>14mm</w:t>
      </w:r>
      <w:r>
        <w:rPr>
          <w:rFonts w:hint="eastAsia"/>
          <w:highlight w:val="none"/>
        </w:rPr>
        <w:t>。</w:t>
      </w:r>
    </w:p>
    <w:p w14:paraId="2C5847D4">
      <w:pPr>
        <w:numPr>
          <w:ilvl w:val="0"/>
          <w:numId w:val="42"/>
        </w:numPr>
        <w:ind w:firstLine="480"/>
        <w:rPr>
          <w:rFonts w:hint="eastAsia"/>
          <w:highlight w:val="none"/>
        </w:rPr>
      </w:pPr>
      <w:r>
        <w:rPr>
          <w:rFonts w:hint="eastAsia"/>
          <w:highlight w:val="none"/>
        </w:rPr>
        <w:t>柱箍间距≤</w:t>
      </w:r>
      <w:r>
        <w:rPr>
          <w:highlight w:val="none"/>
        </w:rPr>
        <w:t>500 mm</w:t>
      </w:r>
      <w:r>
        <w:rPr>
          <w:rFonts w:hint="eastAsia"/>
          <w:highlight w:val="none"/>
        </w:rPr>
        <w:t>，第一道柱箍距离根部</w:t>
      </w:r>
      <w:r>
        <w:rPr>
          <w:highlight w:val="none"/>
        </w:rPr>
        <w:t>150 mm</w:t>
      </w:r>
      <w:r>
        <w:rPr>
          <w:rFonts w:hint="eastAsia"/>
          <w:highlight w:val="none"/>
        </w:rPr>
        <w:t>。</w:t>
      </w:r>
    </w:p>
    <w:p w14:paraId="51C85420">
      <w:pPr>
        <w:numPr>
          <w:ilvl w:val="0"/>
          <w:numId w:val="42"/>
        </w:numPr>
        <w:ind w:firstLine="480"/>
        <w:rPr>
          <w:rFonts w:hint="eastAsia"/>
          <w:highlight w:val="none"/>
        </w:rPr>
      </w:pPr>
      <w:r>
        <w:rPr>
          <w:rFonts w:hint="eastAsia"/>
          <w:highlight w:val="none"/>
        </w:rPr>
        <w:t>地面以上</w:t>
      </w:r>
      <w:r>
        <w:rPr>
          <w:highlight w:val="none"/>
        </w:rPr>
        <w:t>1/2</w:t>
      </w:r>
      <w:r>
        <w:rPr>
          <w:rFonts w:hint="eastAsia"/>
          <w:highlight w:val="none"/>
        </w:rPr>
        <w:t>柱高以下处设双螺帽。</w:t>
      </w:r>
    </w:p>
    <w:p w14:paraId="0D50393D">
      <w:pPr>
        <w:numPr>
          <w:ilvl w:val="0"/>
          <w:numId w:val="42"/>
        </w:numPr>
        <w:ind w:firstLine="480"/>
        <w:rPr>
          <w:rFonts w:hint="eastAsia"/>
          <w:highlight w:val="none"/>
        </w:rPr>
      </w:pPr>
      <w:r>
        <w:rPr>
          <w:rFonts w:hint="eastAsia"/>
          <w:highlight w:val="none"/>
        </w:rPr>
        <w:t>梁柱结合处模板拼缝取柱模包梁模的构造形式。</w:t>
      </w:r>
    </w:p>
    <w:p w14:paraId="59B0A0A4">
      <w:pPr>
        <w:numPr>
          <w:ilvl w:val="0"/>
          <w:numId w:val="38"/>
        </w:numPr>
        <w:ind w:firstLine="480"/>
        <w:rPr>
          <w:rFonts w:hint="eastAsia"/>
          <w:highlight w:val="none"/>
        </w:rPr>
      </w:pPr>
      <w:r>
        <w:rPr>
          <w:rFonts w:hint="eastAsia"/>
          <w:highlight w:val="none"/>
        </w:rPr>
        <w:t>梁模加固</w:t>
      </w:r>
      <w:r>
        <w:rPr>
          <w:highlight w:val="none"/>
        </w:rPr>
        <w:t xml:space="preserve"> </w:t>
      </w:r>
    </w:p>
    <w:p w14:paraId="680F985B">
      <w:pPr>
        <w:numPr>
          <w:ilvl w:val="0"/>
          <w:numId w:val="43"/>
        </w:numPr>
        <w:ind w:firstLine="480"/>
        <w:rPr>
          <w:rFonts w:hint="eastAsia"/>
          <w:highlight w:val="none"/>
        </w:rPr>
      </w:pPr>
      <w:r>
        <w:rPr>
          <w:rFonts w:hint="eastAsia"/>
          <w:highlight w:val="none"/>
        </w:rPr>
        <w:t>梁高≥</w:t>
      </w:r>
      <w:r>
        <w:rPr>
          <w:highlight w:val="none"/>
        </w:rPr>
        <w:t>600mm</w:t>
      </w:r>
      <w:r>
        <w:rPr>
          <w:rFonts w:hint="eastAsia"/>
          <w:highlight w:val="none"/>
        </w:rPr>
        <w:t>要加穿梁螺杆。</w:t>
      </w:r>
      <w:r>
        <w:rPr>
          <w:highlight w:val="none"/>
        </w:rPr>
        <w:t xml:space="preserve"> </w:t>
      </w:r>
    </w:p>
    <w:p w14:paraId="3954C0A9">
      <w:pPr>
        <w:numPr>
          <w:ilvl w:val="0"/>
          <w:numId w:val="43"/>
        </w:numPr>
        <w:ind w:firstLine="480"/>
        <w:rPr>
          <w:rFonts w:hint="eastAsia"/>
          <w:highlight w:val="none"/>
        </w:rPr>
      </w:pPr>
      <w:r>
        <w:rPr>
          <w:rFonts w:hint="eastAsia"/>
          <w:highlight w:val="none"/>
        </w:rPr>
        <w:t>梁底应有单支撑与满堂架子连接。</w:t>
      </w:r>
      <w:r>
        <w:rPr>
          <w:highlight w:val="none"/>
        </w:rPr>
        <w:t xml:space="preserve"> </w:t>
      </w:r>
    </w:p>
    <w:p w14:paraId="036FF8ED">
      <w:pPr>
        <w:numPr>
          <w:ilvl w:val="0"/>
          <w:numId w:val="43"/>
        </w:numPr>
        <w:ind w:firstLine="480"/>
        <w:rPr>
          <w:rFonts w:hint="eastAsia"/>
          <w:highlight w:val="none"/>
        </w:rPr>
      </w:pPr>
      <w:r>
        <w:rPr>
          <w:rFonts w:hint="eastAsia"/>
          <w:highlight w:val="none"/>
        </w:rPr>
        <w:t>梁板交接处采用通长木方加固。</w:t>
      </w:r>
    </w:p>
    <w:p w14:paraId="79AD544A">
      <w:pPr>
        <w:numPr>
          <w:ilvl w:val="0"/>
          <w:numId w:val="43"/>
        </w:numPr>
        <w:ind w:firstLine="480"/>
        <w:rPr>
          <w:rFonts w:hint="eastAsia"/>
          <w:highlight w:val="none"/>
        </w:rPr>
      </w:pPr>
      <w:r>
        <w:rPr>
          <w:rFonts w:hint="eastAsia"/>
          <w:highlight w:val="none"/>
        </w:rPr>
        <w:t>梁底增加步步紧</w:t>
      </w:r>
      <w:r>
        <w:rPr>
          <w:highlight w:val="none"/>
        </w:rPr>
        <w:t>,</w:t>
      </w:r>
      <w:r>
        <w:rPr>
          <w:rFonts w:hint="eastAsia"/>
          <w:highlight w:val="none"/>
        </w:rPr>
        <w:t>间距≤</w:t>
      </w:r>
      <w:r>
        <w:rPr>
          <w:highlight w:val="none"/>
        </w:rPr>
        <w:t>600mm</w:t>
      </w:r>
      <w:r>
        <w:rPr>
          <w:rFonts w:hint="eastAsia"/>
          <w:highlight w:val="none"/>
        </w:rPr>
        <w:t>。</w:t>
      </w:r>
      <w:r>
        <w:rPr>
          <w:highlight w:val="none"/>
        </w:rPr>
        <w:t xml:space="preserve"> </w:t>
      </w:r>
    </w:p>
    <w:p w14:paraId="0987A3EE">
      <w:pPr>
        <w:numPr>
          <w:ilvl w:val="0"/>
          <w:numId w:val="43"/>
        </w:numPr>
        <w:ind w:firstLine="480"/>
        <w:rPr>
          <w:rFonts w:hint="eastAsia"/>
          <w:highlight w:val="none"/>
        </w:rPr>
      </w:pPr>
      <w:r>
        <w:rPr>
          <w:rFonts w:hint="eastAsia"/>
          <w:highlight w:val="none"/>
        </w:rPr>
        <w:t>跨度大于</w:t>
      </w:r>
      <w:r>
        <w:rPr>
          <w:highlight w:val="none"/>
        </w:rPr>
        <w:t>4m</w:t>
      </w:r>
      <w:r>
        <w:rPr>
          <w:rFonts w:hint="eastAsia"/>
          <w:highlight w:val="none"/>
        </w:rPr>
        <w:t>时，应起拱全跨长度的</w:t>
      </w:r>
      <w:r>
        <w:rPr>
          <w:highlight w:val="none"/>
        </w:rPr>
        <w:t>1/1000-3/1000</w:t>
      </w:r>
      <w:r>
        <w:rPr>
          <w:rFonts w:hint="eastAsia"/>
          <w:highlight w:val="none"/>
        </w:rPr>
        <w:t>。</w:t>
      </w:r>
    </w:p>
    <w:p w14:paraId="33A89D7B">
      <w:pPr>
        <w:numPr>
          <w:ilvl w:val="0"/>
          <w:numId w:val="38"/>
        </w:numPr>
        <w:ind w:firstLine="480"/>
        <w:rPr>
          <w:rFonts w:hint="eastAsia"/>
          <w:highlight w:val="none"/>
        </w:rPr>
      </w:pPr>
      <w:r>
        <w:rPr>
          <w:rFonts w:hint="eastAsia"/>
          <w:highlight w:val="none"/>
        </w:rPr>
        <w:t>板模加固</w:t>
      </w:r>
    </w:p>
    <w:p w14:paraId="66AE3E1D">
      <w:pPr>
        <w:numPr>
          <w:ilvl w:val="0"/>
          <w:numId w:val="44"/>
        </w:numPr>
        <w:ind w:firstLine="480"/>
        <w:rPr>
          <w:rFonts w:hint="eastAsia"/>
          <w:highlight w:val="none"/>
        </w:rPr>
      </w:pPr>
      <w:r>
        <w:rPr>
          <w:rFonts w:hint="eastAsia"/>
          <w:highlight w:val="none"/>
        </w:rPr>
        <w:t>顶托（</w:t>
      </w:r>
      <w:r>
        <w:rPr>
          <w:highlight w:val="none"/>
        </w:rPr>
        <w:t>U</w:t>
      </w:r>
      <w:r>
        <w:rPr>
          <w:rFonts w:hint="eastAsia"/>
          <w:highlight w:val="none"/>
        </w:rPr>
        <w:t>型托）螺杆伸出钢管顶部长度≤</w:t>
      </w:r>
      <w:r>
        <w:rPr>
          <w:highlight w:val="none"/>
        </w:rPr>
        <w:t>200mm</w:t>
      </w:r>
      <w:r>
        <w:rPr>
          <w:rFonts w:hint="eastAsia"/>
          <w:highlight w:val="none"/>
        </w:rPr>
        <w:t>。</w:t>
      </w:r>
    </w:p>
    <w:p w14:paraId="4591D4D9">
      <w:pPr>
        <w:numPr>
          <w:ilvl w:val="0"/>
          <w:numId w:val="44"/>
        </w:numPr>
        <w:ind w:firstLine="480"/>
        <w:rPr>
          <w:rFonts w:hint="eastAsia"/>
          <w:highlight w:val="none"/>
        </w:rPr>
      </w:pPr>
      <w:r>
        <w:rPr>
          <w:rFonts w:hint="eastAsia"/>
          <w:highlight w:val="none"/>
        </w:rPr>
        <w:t>立杆间距≤</w:t>
      </w:r>
      <w:r>
        <w:rPr>
          <w:highlight w:val="none"/>
        </w:rPr>
        <w:t>1200mm</w:t>
      </w:r>
      <w:r>
        <w:rPr>
          <w:rFonts w:hint="eastAsia"/>
          <w:highlight w:val="none"/>
        </w:rPr>
        <w:t>，并符合设计承载力要求。</w:t>
      </w:r>
    </w:p>
    <w:p w14:paraId="069F5B68">
      <w:pPr>
        <w:numPr>
          <w:ilvl w:val="0"/>
          <w:numId w:val="44"/>
        </w:numPr>
        <w:ind w:firstLine="480"/>
        <w:rPr>
          <w:rFonts w:hint="eastAsia"/>
          <w:highlight w:val="none"/>
        </w:rPr>
      </w:pPr>
      <w:r>
        <w:rPr>
          <w:rFonts w:hint="eastAsia"/>
          <w:highlight w:val="none"/>
        </w:rPr>
        <w:t>纵横项扫地杆距地≤</w:t>
      </w:r>
      <w:r>
        <w:rPr>
          <w:highlight w:val="none"/>
        </w:rPr>
        <w:t>200mm</w:t>
      </w:r>
      <w:r>
        <w:rPr>
          <w:rFonts w:hint="eastAsia"/>
          <w:highlight w:val="none"/>
        </w:rPr>
        <w:t>。</w:t>
      </w:r>
    </w:p>
    <w:p w14:paraId="2A825EB4">
      <w:pPr>
        <w:numPr>
          <w:ilvl w:val="0"/>
          <w:numId w:val="44"/>
        </w:numPr>
        <w:ind w:firstLine="480"/>
        <w:rPr>
          <w:rFonts w:hint="eastAsia"/>
          <w:highlight w:val="none"/>
        </w:rPr>
      </w:pPr>
      <w:r>
        <w:rPr>
          <w:rFonts w:hint="eastAsia"/>
          <w:highlight w:val="none"/>
        </w:rPr>
        <w:t>距墙第一道立杆≤</w:t>
      </w:r>
      <w:r>
        <w:rPr>
          <w:highlight w:val="none"/>
        </w:rPr>
        <w:t>400mm</w:t>
      </w:r>
      <w:r>
        <w:rPr>
          <w:rFonts w:hint="eastAsia"/>
          <w:highlight w:val="none"/>
        </w:rPr>
        <w:t>。</w:t>
      </w:r>
    </w:p>
    <w:p w14:paraId="6677E286">
      <w:pPr>
        <w:numPr>
          <w:ilvl w:val="0"/>
          <w:numId w:val="44"/>
        </w:numPr>
        <w:ind w:firstLine="480"/>
        <w:rPr>
          <w:rFonts w:hint="eastAsia"/>
          <w:highlight w:val="none"/>
        </w:rPr>
      </w:pPr>
      <w:r>
        <w:rPr>
          <w:rFonts w:hint="eastAsia"/>
          <w:highlight w:val="none"/>
        </w:rPr>
        <w:t>方木间距≤</w:t>
      </w:r>
      <w:r>
        <w:rPr>
          <w:highlight w:val="none"/>
        </w:rPr>
        <w:t>200mm</w:t>
      </w:r>
      <w:r>
        <w:rPr>
          <w:rFonts w:hint="eastAsia"/>
          <w:highlight w:val="none"/>
        </w:rPr>
        <w:t>。</w:t>
      </w:r>
    </w:p>
    <w:p w14:paraId="203A254B">
      <w:pPr>
        <w:numPr>
          <w:ilvl w:val="0"/>
          <w:numId w:val="44"/>
        </w:numPr>
        <w:ind w:firstLine="480"/>
        <w:rPr>
          <w:rFonts w:hint="eastAsia"/>
          <w:highlight w:val="none"/>
        </w:rPr>
      </w:pPr>
      <w:r>
        <w:rPr>
          <w:rFonts w:hint="eastAsia"/>
          <w:highlight w:val="none"/>
        </w:rPr>
        <w:t>板模板与墙模板和梁模板相交处用通长木方加固。</w:t>
      </w:r>
    </w:p>
    <w:p w14:paraId="71B57653">
      <w:pPr>
        <w:numPr>
          <w:ilvl w:val="0"/>
          <w:numId w:val="44"/>
        </w:numPr>
        <w:ind w:firstLine="480"/>
        <w:rPr>
          <w:rFonts w:hint="eastAsia"/>
          <w:highlight w:val="none"/>
        </w:rPr>
      </w:pPr>
      <w:r>
        <w:rPr>
          <w:rFonts w:hint="eastAsia"/>
          <w:highlight w:val="none"/>
        </w:rPr>
        <w:t>下沉式卫生间挂模底部应增加支撑，防止挂模底部涨模。</w:t>
      </w:r>
    </w:p>
    <w:p w14:paraId="59894450">
      <w:pPr>
        <w:numPr>
          <w:ilvl w:val="0"/>
          <w:numId w:val="44"/>
        </w:numPr>
        <w:ind w:firstLine="480"/>
        <w:rPr>
          <w:rFonts w:hint="eastAsia"/>
          <w:highlight w:val="none"/>
        </w:rPr>
      </w:pPr>
      <w:r>
        <w:rPr>
          <w:rFonts w:hint="eastAsia"/>
          <w:highlight w:val="none"/>
        </w:rPr>
        <w:t>板模悬挑长度不宜超过</w:t>
      </w:r>
      <w:r>
        <w:rPr>
          <w:highlight w:val="none"/>
        </w:rPr>
        <w:t>350 mm</w:t>
      </w:r>
      <w:r>
        <w:rPr>
          <w:rFonts w:hint="eastAsia"/>
          <w:highlight w:val="none"/>
        </w:rPr>
        <w:t>，离墙距离不宜大于</w:t>
      </w:r>
      <w:r>
        <w:rPr>
          <w:highlight w:val="none"/>
        </w:rPr>
        <w:t>150 mm</w:t>
      </w:r>
      <w:r>
        <w:rPr>
          <w:rFonts w:hint="eastAsia"/>
          <w:highlight w:val="none"/>
        </w:rPr>
        <w:t>。</w:t>
      </w:r>
    </w:p>
    <w:p w14:paraId="020E9C24">
      <w:pPr>
        <w:numPr>
          <w:ilvl w:val="0"/>
          <w:numId w:val="38"/>
        </w:numPr>
        <w:ind w:firstLine="480"/>
        <w:rPr>
          <w:rFonts w:hint="eastAsia"/>
          <w:highlight w:val="none"/>
        </w:rPr>
      </w:pPr>
      <w:r>
        <w:rPr>
          <w:rFonts w:hint="eastAsia"/>
          <w:highlight w:val="none"/>
        </w:rPr>
        <w:t>后浇带加固</w:t>
      </w:r>
    </w:p>
    <w:p w14:paraId="0588B3D9">
      <w:pPr>
        <w:numPr>
          <w:ilvl w:val="0"/>
          <w:numId w:val="45"/>
        </w:numPr>
        <w:ind w:firstLine="480"/>
        <w:rPr>
          <w:rFonts w:hint="eastAsia"/>
          <w:highlight w:val="none"/>
        </w:rPr>
      </w:pPr>
      <w:r>
        <w:rPr>
          <w:rFonts w:hint="eastAsia"/>
          <w:highlight w:val="none"/>
        </w:rPr>
        <w:t>后浇带和悬挑结构采用独立的模板及支撑系统，两侧支撑均不少于两排。</w:t>
      </w:r>
    </w:p>
    <w:p w14:paraId="68684A19">
      <w:pPr>
        <w:numPr>
          <w:ilvl w:val="0"/>
          <w:numId w:val="45"/>
        </w:numPr>
        <w:ind w:firstLine="480"/>
        <w:rPr>
          <w:rFonts w:hint="eastAsia"/>
          <w:highlight w:val="none"/>
        </w:rPr>
      </w:pPr>
      <w:r>
        <w:rPr>
          <w:rFonts w:hint="eastAsia"/>
          <w:highlight w:val="none"/>
        </w:rPr>
        <w:t>后浇带封闭前，后浇带处梁、板模板的支撑不得拆除。</w:t>
      </w:r>
      <w:r>
        <w:rPr>
          <w:highlight w:val="none"/>
        </w:rPr>
        <w:t xml:space="preserve"> </w:t>
      </w:r>
    </w:p>
    <w:p w14:paraId="03EF8FBF">
      <w:pPr>
        <w:numPr>
          <w:ilvl w:val="0"/>
          <w:numId w:val="45"/>
        </w:numPr>
        <w:ind w:firstLine="480"/>
        <w:rPr>
          <w:rFonts w:hint="eastAsia"/>
          <w:highlight w:val="none"/>
        </w:rPr>
      </w:pPr>
      <w:r>
        <w:rPr>
          <w:rFonts w:hint="eastAsia"/>
          <w:highlight w:val="none"/>
        </w:rPr>
        <w:t>温度后浇带，混凝土浇筑间隔时间不少于</w:t>
      </w:r>
      <w:r>
        <w:rPr>
          <w:highlight w:val="none"/>
        </w:rPr>
        <w:t>60</w:t>
      </w:r>
      <w:r>
        <w:rPr>
          <w:rFonts w:hint="eastAsia"/>
          <w:highlight w:val="none"/>
        </w:rPr>
        <w:t>天。沉降后浇带要求主体结构施工完成后并满足设计图纸要求后再进行混凝土浇筑。</w:t>
      </w:r>
      <w:r>
        <w:rPr>
          <w:highlight w:val="none"/>
        </w:rPr>
        <w:t xml:space="preserve"> </w:t>
      </w:r>
    </w:p>
    <w:p w14:paraId="186A4172">
      <w:pPr>
        <w:numPr>
          <w:ilvl w:val="0"/>
          <w:numId w:val="45"/>
        </w:numPr>
        <w:ind w:firstLine="480"/>
        <w:rPr>
          <w:rFonts w:hint="eastAsia"/>
          <w:highlight w:val="none"/>
        </w:rPr>
      </w:pPr>
      <w:r>
        <w:rPr>
          <w:rFonts w:hint="eastAsia"/>
          <w:highlight w:val="none"/>
        </w:rPr>
        <w:t>后浇带浇筑完毕后，混凝土养护</w:t>
      </w:r>
      <w:r>
        <w:rPr>
          <w:highlight w:val="none"/>
        </w:rPr>
        <w:t>28</w:t>
      </w:r>
      <w:r>
        <w:rPr>
          <w:rFonts w:hint="eastAsia"/>
          <w:highlight w:val="none"/>
        </w:rPr>
        <w:t>天后，方可拆除。</w:t>
      </w:r>
      <w:r>
        <w:rPr>
          <w:highlight w:val="none"/>
        </w:rPr>
        <w:t xml:space="preserve">                                          </w:t>
      </w:r>
    </w:p>
    <w:p w14:paraId="3F5D6896">
      <w:pPr>
        <w:numPr>
          <w:ilvl w:val="0"/>
          <w:numId w:val="45"/>
        </w:numPr>
        <w:ind w:firstLine="480"/>
        <w:rPr>
          <w:rFonts w:hint="eastAsia"/>
          <w:highlight w:val="none"/>
        </w:rPr>
      </w:pPr>
      <w:r>
        <w:rPr>
          <w:rFonts w:hint="eastAsia"/>
          <w:highlight w:val="none"/>
        </w:rPr>
        <w:t>后浇带支撑加剪刀撑。</w:t>
      </w:r>
    </w:p>
    <w:p w14:paraId="7D8228D7">
      <w:pPr>
        <w:numPr>
          <w:ilvl w:val="0"/>
          <w:numId w:val="38"/>
        </w:numPr>
        <w:ind w:firstLine="480"/>
        <w:rPr>
          <w:rFonts w:hint="eastAsia"/>
          <w:highlight w:val="none"/>
        </w:rPr>
      </w:pPr>
      <w:r>
        <w:rPr>
          <w:rFonts w:hint="eastAsia"/>
          <w:highlight w:val="none"/>
        </w:rPr>
        <w:t>模板拆除</w:t>
      </w:r>
    </w:p>
    <w:p w14:paraId="0565C4F5">
      <w:pPr>
        <w:numPr>
          <w:ilvl w:val="0"/>
          <w:numId w:val="46"/>
        </w:numPr>
        <w:ind w:firstLine="480"/>
        <w:rPr>
          <w:rFonts w:hint="eastAsia"/>
          <w:highlight w:val="none"/>
        </w:rPr>
      </w:pPr>
      <w:r>
        <w:rPr>
          <w:rFonts w:hint="eastAsia"/>
          <w:highlight w:val="none"/>
        </w:rPr>
        <w:t>模板拆除前应设置警戒区，并应设专人监护。</w:t>
      </w:r>
    </w:p>
    <w:p w14:paraId="2C41A06E">
      <w:pPr>
        <w:numPr>
          <w:ilvl w:val="0"/>
          <w:numId w:val="46"/>
        </w:numPr>
        <w:ind w:firstLine="480"/>
        <w:rPr>
          <w:rFonts w:hint="eastAsia"/>
          <w:highlight w:val="none"/>
        </w:rPr>
      </w:pPr>
      <w:r>
        <w:rPr>
          <w:rFonts w:hint="eastAsia"/>
          <w:highlight w:val="none"/>
        </w:rPr>
        <w:t>模板拆除过程中应注意保护主体结构边角位置，保证不出现缺棱掉角。</w:t>
      </w:r>
    </w:p>
    <w:p w14:paraId="6CB462FE">
      <w:pPr>
        <w:pStyle w:val="5"/>
        <w:rPr>
          <w:rFonts w:hint="eastAsia"/>
          <w:highlight w:val="none"/>
        </w:rPr>
      </w:pPr>
      <w:r>
        <w:rPr>
          <w:rFonts w:hint="eastAsia"/>
          <w:highlight w:val="none"/>
        </w:rPr>
        <w:t>铝合金模板（若有）</w:t>
      </w:r>
    </w:p>
    <w:p w14:paraId="5F468B9B">
      <w:pPr>
        <w:ind w:firstLine="480"/>
        <w:rPr>
          <w:rFonts w:hint="eastAsia"/>
          <w:highlight w:val="none"/>
        </w:rPr>
      </w:pPr>
      <w:r>
        <w:rPr>
          <w:highlight w:val="none"/>
        </w:rPr>
        <w:t>1</w:t>
      </w:r>
      <w:r>
        <w:rPr>
          <w:rFonts w:hint="eastAsia"/>
          <w:highlight w:val="none"/>
        </w:rPr>
        <w:t>）铝模板工厂选择确定</w:t>
      </w:r>
    </w:p>
    <w:p w14:paraId="3066915A">
      <w:pPr>
        <w:ind w:firstLine="480"/>
        <w:rPr>
          <w:rFonts w:hint="eastAsia"/>
          <w:highlight w:val="none"/>
        </w:rPr>
      </w:pPr>
      <w:r>
        <w:rPr>
          <w:rFonts w:hint="eastAsia"/>
          <w:highlight w:val="none"/>
        </w:rPr>
        <w:t>总承包人应将铝模厂家资料报</w:t>
      </w:r>
      <w:r>
        <w:rPr>
          <w:highlight w:val="none"/>
        </w:rPr>
        <w:t>发包人审核</w:t>
      </w:r>
      <w:r>
        <w:rPr>
          <w:rFonts w:hint="eastAsia"/>
          <w:highlight w:val="none"/>
        </w:rPr>
        <w:t>，由总承包人组织考察厂家的项目和工厂，发包人参加，经考察合格后，方可选用。同时发包人有权在任何时候更换铝模生产厂家</w:t>
      </w:r>
      <w:r>
        <w:rPr>
          <w:highlight w:val="none"/>
        </w:rPr>
        <w:t>。</w:t>
      </w:r>
    </w:p>
    <w:p w14:paraId="69E2ED94">
      <w:pPr>
        <w:ind w:firstLine="480"/>
        <w:rPr>
          <w:rFonts w:hint="eastAsia"/>
          <w:highlight w:val="none"/>
        </w:rPr>
      </w:pPr>
      <w:r>
        <w:rPr>
          <w:highlight w:val="none"/>
        </w:rPr>
        <w:t>2</w:t>
      </w:r>
      <w:r>
        <w:rPr>
          <w:rFonts w:hint="eastAsia"/>
          <w:highlight w:val="none"/>
        </w:rPr>
        <w:t>）质量标准</w:t>
      </w:r>
    </w:p>
    <w:p w14:paraId="41C13656">
      <w:pPr>
        <w:ind w:firstLine="480"/>
        <w:rPr>
          <w:rFonts w:hint="eastAsia"/>
          <w:highlight w:val="none"/>
        </w:rPr>
      </w:pPr>
      <w:r>
        <w:rPr>
          <w:rFonts w:hint="eastAsia"/>
          <w:highlight w:val="none"/>
        </w:rPr>
        <w:t>采用铝模施工区域的</w:t>
      </w:r>
      <w:r>
        <w:rPr>
          <w:highlight w:val="none"/>
        </w:rPr>
        <w:t>混凝土结构实测实量</w:t>
      </w:r>
      <w:r>
        <w:rPr>
          <w:rFonts w:hint="eastAsia"/>
          <w:highlight w:val="none"/>
        </w:rPr>
        <w:t>一次合格率不低于95%。</w:t>
      </w:r>
    </w:p>
    <w:p w14:paraId="2C4E467A">
      <w:pPr>
        <w:ind w:firstLine="480"/>
        <w:rPr>
          <w:rFonts w:hint="eastAsia"/>
          <w:highlight w:val="none"/>
        </w:rPr>
      </w:pPr>
      <w:r>
        <w:rPr>
          <w:highlight w:val="none"/>
        </w:rPr>
        <w:t>3</w:t>
      </w:r>
      <w:r>
        <w:rPr>
          <w:rFonts w:hint="eastAsia"/>
          <w:highlight w:val="none"/>
        </w:rPr>
        <w:t>）铝合金材料</w:t>
      </w:r>
    </w:p>
    <w:p w14:paraId="51F289DD">
      <w:pPr>
        <w:numPr>
          <w:ilvl w:val="0"/>
          <w:numId w:val="47"/>
        </w:numPr>
        <w:tabs>
          <w:tab w:val="left" w:pos="-420"/>
          <w:tab w:val="clear" w:pos="-840"/>
        </w:tabs>
        <w:ind w:firstLine="480"/>
        <w:rPr>
          <w:rFonts w:hint="eastAsia"/>
          <w:highlight w:val="none"/>
        </w:rPr>
      </w:pPr>
      <w:r>
        <w:rPr>
          <w:rFonts w:hint="eastAsia"/>
          <w:highlight w:val="none"/>
        </w:rPr>
        <w:t>铝合金带肋面板、各类型材及板材符合国家规范。</w:t>
      </w:r>
    </w:p>
    <w:p w14:paraId="609FD16E">
      <w:pPr>
        <w:numPr>
          <w:ilvl w:val="0"/>
          <w:numId w:val="47"/>
        </w:numPr>
        <w:tabs>
          <w:tab w:val="left" w:pos="-420"/>
          <w:tab w:val="clear" w:pos="-840"/>
        </w:tabs>
        <w:ind w:firstLine="480"/>
        <w:rPr>
          <w:rFonts w:hint="eastAsia"/>
          <w:highlight w:val="none"/>
        </w:rPr>
      </w:pPr>
      <w:r>
        <w:rPr>
          <w:rFonts w:hint="eastAsia"/>
          <w:highlight w:val="none"/>
        </w:rPr>
        <w:t>铝合金模板系统的钢支撑、钢背楞、拉杆、销钉、销片等钢配件符合国家规范。</w:t>
      </w:r>
    </w:p>
    <w:p w14:paraId="6E32433F">
      <w:pPr>
        <w:numPr>
          <w:ilvl w:val="0"/>
          <w:numId w:val="47"/>
        </w:numPr>
        <w:tabs>
          <w:tab w:val="left" w:pos="-420"/>
          <w:tab w:val="clear" w:pos="-840"/>
        </w:tabs>
        <w:ind w:firstLine="480"/>
        <w:rPr>
          <w:rFonts w:hint="eastAsia"/>
          <w:highlight w:val="none"/>
        </w:rPr>
      </w:pPr>
      <w:r>
        <w:rPr>
          <w:rFonts w:hint="eastAsia"/>
          <w:highlight w:val="none"/>
        </w:rPr>
        <w:t>采用水性脱模剂，脱模剂品牌须报发包人审核确定。</w:t>
      </w:r>
    </w:p>
    <w:p w14:paraId="194AC35F">
      <w:pPr>
        <w:ind w:firstLine="480"/>
        <w:rPr>
          <w:rFonts w:hint="eastAsia"/>
          <w:highlight w:val="none"/>
        </w:rPr>
      </w:pPr>
      <w:r>
        <w:rPr>
          <w:highlight w:val="none"/>
        </w:rPr>
        <w:t>4）铝合金模板</w:t>
      </w:r>
      <w:r>
        <w:rPr>
          <w:rFonts w:hint="eastAsia"/>
          <w:highlight w:val="none"/>
        </w:rPr>
        <w:t>设计、生产</w:t>
      </w:r>
    </w:p>
    <w:p w14:paraId="6435D42C">
      <w:pPr>
        <w:numPr>
          <w:ilvl w:val="0"/>
          <w:numId w:val="48"/>
        </w:numPr>
        <w:tabs>
          <w:tab w:val="left" w:pos="-420"/>
          <w:tab w:val="clear" w:pos="-840"/>
        </w:tabs>
        <w:ind w:firstLine="480"/>
        <w:rPr>
          <w:rFonts w:hint="eastAsia"/>
          <w:highlight w:val="none"/>
        </w:rPr>
      </w:pPr>
      <w:r>
        <w:rPr>
          <w:rFonts w:hint="eastAsia"/>
          <w:highlight w:val="none"/>
        </w:rPr>
        <w:t>铝模深化时</w:t>
      </w:r>
      <w:r>
        <w:rPr>
          <w:highlight w:val="none"/>
        </w:rPr>
        <w:t>应考虑</w:t>
      </w:r>
      <w:r>
        <w:rPr>
          <w:rFonts w:hint="eastAsia"/>
          <w:highlight w:val="none"/>
        </w:rPr>
        <w:t>以下部位全部同主体一起浇筑：窗台、窗坎、反坎、门洞过梁、构造柱、滴水线、楼层分隔线、门头梁下挂、户内门框柱（包括入户门、户内门、卫生间门、阳台铝合金门）、铝模混凝土结构墙体与砌体连接节点、预留孔洞位置、干湿相接房间隔墙、给水管压槽、机电点位与铝模冲突处等。</w:t>
      </w:r>
    </w:p>
    <w:p w14:paraId="001992D3">
      <w:pPr>
        <w:numPr>
          <w:ilvl w:val="0"/>
          <w:numId w:val="48"/>
        </w:numPr>
        <w:tabs>
          <w:tab w:val="left" w:pos="-420"/>
          <w:tab w:val="clear" w:pos="-840"/>
        </w:tabs>
        <w:ind w:firstLine="480"/>
        <w:rPr>
          <w:rFonts w:hint="eastAsia"/>
          <w:highlight w:val="none"/>
        </w:rPr>
      </w:pPr>
      <w:r>
        <w:rPr>
          <w:rFonts w:hint="eastAsia"/>
          <w:highlight w:val="none"/>
        </w:rPr>
        <w:t>深化设计图纸必须经过发包人审批同意后方可按照深化图纸开模、加工。</w:t>
      </w:r>
    </w:p>
    <w:p w14:paraId="70225F46">
      <w:pPr>
        <w:numPr>
          <w:ilvl w:val="0"/>
          <w:numId w:val="48"/>
        </w:numPr>
        <w:tabs>
          <w:tab w:val="left" w:pos="-420"/>
          <w:tab w:val="clear" w:pos="-840"/>
        </w:tabs>
        <w:ind w:firstLine="480"/>
        <w:rPr>
          <w:rFonts w:hint="eastAsia"/>
          <w:highlight w:val="none"/>
        </w:rPr>
      </w:pPr>
      <w:r>
        <w:rPr>
          <w:rFonts w:hint="eastAsia"/>
          <w:highlight w:val="none"/>
        </w:rPr>
        <w:t>铝</w:t>
      </w:r>
      <w:r>
        <w:rPr>
          <w:highlight w:val="none"/>
        </w:rPr>
        <w:t>模设计</w:t>
      </w:r>
      <w:r>
        <w:rPr>
          <w:rFonts w:hint="eastAsia"/>
          <w:highlight w:val="none"/>
        </w:rPr>
        <w:t>厚度</w:t>
      </w:r>
      <w:r>
        <w:rPr>
          <w:highlight w:val="none"/>
        </w:rPr>
        <w:t>应满足</w:t>
      </w:r>
      <w:r>
        <w:rPr>
          <w:rFonts w:hint="eastAsia"/>
          <w:highlight w:val="none"/>
        </w:rPr>
        <w:t>模板</w:t>
      </w:r>
      <w:r>
        <w:rPr>
          <w:highlight w:val="none"/>
        </w:rPr>
        <w:t>承载力</w:t>
      </w:r>
      <w:r>
        <w:rPr>
          <w:rFonts w:hint="eastAsia"/>
          <w:highlight w:val="none"/>
        </w:rPr>
        <w:t>要</w:t>
      </w:r>
      <w:r>
        <w:rPr>
          <w:highlight w:val="none"/>
        </w:rPr>
        <w:t>求。</w:t>
      </w:r>
    </w:p>
    <w:p w14:paraId="71ADEA3A">
      <w:pPr>
        <w:numPr>
          <w:ilvl w:val="0"/>
          <w:numId w:val="48"/>
        </w:numPr>
        <w:tabs>
          <w:tab w:val="left" w:pos="-420"/>
          <w:tab w:val="clear" w:pos="-840"/>
        </w:tabs>
        <w:ind w:firstLine="480"/>
        <w:rPr>
          <w:rFonts w:hint="eastAsia"/>
          <w:highlight w:val="none"/>
        </w:rPr>
      </w:pPr>
      <w:r>
        <w:rPr>
          <w:highlight w:val="none"/>
        </w:rPr>
        <w:t>铝模在</w:t>
      </w:r>
      <w:r>
        <w:rPr>
          <w:rFonts w:hint="eastAsia"/>
          <w:highlight w:val="none"/>
        </w:rPr>
        <w:t>工</w:t>
      </w:r>
      <w:r>
        <w:rPr>
          <w:highlight w:val="none"/>
        </w:rPr>
        <w:t>厂</w:t>
      </w:r>
      <w:r>
        <w:rPr>
          <w:rFonts w:hint="eastAsia"/>
          <w:highlight w:val="none"/>
        </w:rPr>
        <w:t>内</w:t>
      </w:r>
      <w:r>
        <w:rPr>
          <w:highlight w:val="none"/>
        </w:rPr>
        <w:t>应进行充分的隔离处理，同时优化混凝土配合</w:t>
      </w:r>
      <w:r>
        <w:rPr>
          <w:rFonts w:hint="eastAsia"/>
          <w:highlight w:val="none"/>
        </w:rPr>
        <w:t>比</w:t>
      </w:r>
      <w:r>
        <w:rPr>
          <w:highlight w:val="none"/>
        </w:rPr>
        <w:t>，避免混凝土表面出现麻</w:t>
      </w:r>
      <w:r>
        <w:rPr>
          <w:rFonts w:hint="eastAsia"/>
          <w:highlight w:val="none"/>
        </w:rPr>
        <w:t>面</w:t>
      </w:r>
      <w:r>
        <w:rPr>
          <w:highlight w:val="none"/>
        </w:rPr>
        <w:t>、</w:t>
      </w:r>
      <w:r>
        <w:rPr>
          <w:rFonts w:hint="eastAsia"/>
          <w:highlight w:val="none"/>
        </w:rPr>
        <w:t>起</w:t>
      </w:r>
      <w:r>
        <w:rPr>
          <w:highlight w:val="none"/>
        </w:rPr>
        <w:t>泡。</w:t>
      </w:r>
    </w:p>
    <w:p w14:paraId="37FFACFB">
      <w:pPr>
        <w:ind w:firstLine="480"/>
        <w:rPr>
          <w:rFonts w:hint="eastAsia"/>
          <w:highlight w:val="none"/>
        </w:rPr>
      </w:pPr>
      <w:r>
        <w:rPr>
          <w:highlight w:val="none"/>
        </w:rPr>
        <w:t>5</w:t>
      </w:r>
      <w:r>
        <w:rPr>
          <w:rFonts w:hint="eastAsia"/>
          <w:highlight w:val="none"/>
        </w:rPr>
        <w:t>）铝合金模板</w:t>
      </w:r>
      <w:r>
        <w:rPr>
          <w:rFonts w:hint="eastAsia" w:asciiTheme="minorEastAsia" w:hAnsiTheme="minorEastAsia"/>
          <w:highlight w:val="none"/>
        </w:rPr>
        <w:t>试</w:t>
      </w:r>
      <w:r>
        <w:rPr>
          <w:rFonts w:asciiTheme="minorEastAsia" w:hAnsiTheme="minorEastAsia"/>
          <w:highlight w:val="none"/>
        </w:rPr>
        <w:t>拼装</w:t>
      </w:r>
    </w:p>
    <w:p w14:paraId="669BE10A">
      <w:pPr>
        <w:numPr>
          <w:ilvl w:val="0"/>
          <w:numId w:val="49"/>
        </w:numPr>
        <w:tabs>
          <w:tab w:val="left" w:pos="-420"/>
          <w:tab w:val="clear" w:pos="-840"/>
        </w:tabs>
        <w:ind w:firstLine="480"/>
        <w:rPr>
          <w:rFonts w:hint="eastAsia"/>
          <w:highlight w:val="none"/>
        </w:rPr>
      </w:pPr>
      <w:r>
        <w:rPr>
          <w:rFonts w:hint="eastAsia"/>
          <w:highlight w:val="none"/>
        </w:rPr>
        <w:t>铝模在正式安装之前，应在工厂进行试拼装。铝模的试拼装应在组装平台或铝模厂家经处理的场地上进行，组装完毕后由总承包人组织发包人、监理人、设计人等单位进行铝模试拼装联合验收。验收合格</w:t>
      </w:r>
      <w:r>
        <w:rPr>
          <w:highlight w:val="none"/>
        </w:rPr>
        <w:t>后方可拉至现场。</w:t>
      </w:r>
    </w:p>
    <w:p w14:paraId="05151DE5">
      <w:pPr>
        <w:numPr>
          <w:ilvl w:val="0"/>
          <w:numId w:val="49"/>
        </w:numPr>
        <w:tabs>
          <w:tab w:val="left" w:pos="-420"/>
          <w:tab w:val="clear" w:pos="-840"/>
        </w:tabs>
        <w:ind w:firstLine="480"/>
        <w:rPr>
          <w:rFonts w:hint="eastAsia"/>
          <w:highlight w:val="none"/>
        </w:rPr>
      </w:pPr>
      <w:r>
        <w:rPr>
          <w:rFonts w:hint="eastAsia"/>
          <w:highlight w:val="none"/>
        </w:rPr>
        <w:t>试拼装验收管控要点：检查铝模支撑体系是否按深化图配置；检查压槽配件是否固定牢固，滴水线、给水管、缺口梁等压槽配件宜采用焊接固定；检查各深化节点是否落实到位。且总承包人需在安装过程中提前安排人员进行机电点位预埋定位穿插施工，复核图纸的准确性，正确指导后期现场施工。深化设计图纸必须经过监理审批同意后方可按照深化图纸开模、加工。若因深化图纸与蓝图不符导致铝模拆改，造成的损失由承包人承担。</w:t>
      </w:r>
    </w:p>
    <w:p w14:paraId="162884D4">
      <w:pPr>
        <w:numPr>
          <w:ilvl w:val="0"/>
          <w:numId w:val="49"/>
        </w:numPr>
        <w:tabs>
          <w:tab w:val="left" w:pos="-420"/>
          <w:tab w:val="clear" w:pos="-840"/>
        </w:tabs>
        <w:ind w:firstLine="480"/>
        <w:rPr>
          <w:rFonts w:hint="eastAsia"/>
          <w:highlight w:val="none"/>
        </w:rPr>
      </w:pPr>
      <w:r>
        <w:rPr>
          <w:rFonts w:hint="eastAsia"/>
          <w:highlight w:val="none"/>
        </w:rPr>
        <w:t>经试拼装验收合格后打包运输到项目，打包前由铝模施工班组对铝模进行编号，按照编号进行打包和装车。平行叠放稳妥，避免碰撞。每捆打包的铝模之间应加垫木，铝模与垫木应上下平堆，运输时，应整体绑缚捆紧，防止摇晃摩擦。</w:t>
      </w:r>
    </w:p>
    <w:p w14:paraId="2B7C7A0E">
      <w:pPr>
        <w:ind w:firstLine="480"/>
        <w:rPr>
          <w:rFonts w:hint="eastAsia"/>
          <w:highlight w:val="none"/>
        </w:rPr>
      </w:pPr>
      <w:r>
        <w:rPr>
          <w:highlight w:val="none"/>
        </w:rPr>
        <w:t>6</w:t>
      </w:r>
      <w:r>
        <w:rPr>
          <w:rFonts w:hint="eastAsia"/>
          <w:highlight w:val="none"/>
        </w:rPr>
        <w:t>）质量</w:t>
      </w:r>
      <w:r>
        <w:rPr>
          <w:highlight w:val="none"/>
        </w:rPr>
        <w:t>控制要求</w:t>
      </w:r>
    </w:p>
    <w:p w14:paraId="61633809">
      <w:pPr>
        <w:numPr>
          <w:ilvl w:val="0"/>
          <w:numId w:val="50"/>
        </w:numPr>
        <w:tabs>
          <w:tab w:val="left" w:pos="-420"/>
          <w:tab w:val="clear" w:pos="-840"/>
        </w:tabs>
        <w:ind w:firstLine="480"/>
        <w:rPr>
          <w:rFonts w:hint="eastAsia"/>
          <w:highlight w:val="none"/>
        </w:rPr>
      </w:pPr>
      <w:r>
        <w:rPr>
          <w:rFonts w:hint="eastAsia"/>
          <w:highlight w:val="none"/>
        </w:rPr>
        <w:t>铝模验收控制程序：劳务自检→总承包人复验→监理人核验→发包人抽检。</w:t>
      </w:r>
    </w:p>
    <w:p w14:paraId="3669A004">
      <w:pPr>
        <w:numPr>
          <w:ilvl w:val="0"/>
          <w:numId w:val="50"/>
        </w:numPr>
        <w:tabs>
          <w:tab w:val="left" w:pos="-420"/>
          <w:tab w:val="clear" w:pos="-840"/>
        </w:tabs>
        <w:ind w:firstLine="480"/>
        <w:rPr>
          <w:rFonts w:hint="eastAsia"/>
          <w:highlight w:val="none"/>
        </w:rPr>
      </w:pPr>
      <w:r>
        <w:rPr>
          <w:rFonts w:hint="eastAsia"/>
          <w:highlight w:val="none"/>
        </w:rPr>
        <w:t>墙</w:t>
      </w:r>
      <w:r>
        <w:rPr>
          <w:highlight w:val="none"/>
        </w:rPr>
        <w:t>柱模板</w:t>
      </w:r>
      <w:r>
        <w:rPr>
          <w:rFonts w:hint="eastAsia"/>
          <w:highlight w:val="none"/>
        </w:rPr>
        <w:t>的</w:t>
      </w:r>
      <w:r>
        <w:rPr>
          <w:highlight w:val="none"/>
        </w:rPr>
        <w:t>安装底面应平整坚实</w:t>
      </w:r>
      <w:r>
        <w:rPr>
          <w:rFonts w:hint="eastAsia"/>
          <w:highlight w:val="none"/>
        </w:rPr>
        <w:t>，</w:t>
      </w:r>
      <w:r>
        <w:rPr>
          <w:highlight w:val="none"/>
        </w:rPr>
        <w:t>并采取可靠的定位措施</w:t>
      </w:r>
      <w:r>
        <w:rPr>
          <w:rFonts w:hint="eastAsia"/>
          <w:highlight w:val="none"/>
        </w:rPr>
        <w:t>。</w:t>
      </w:r>
    </w:p>
    <w:p w14:paraId="0D2C7EC4">
      <w:pPr>
        <w:numPr>
          <w:ilvl w:val="0"/>
          <w:numId w:val="50"/>
        </w:numPr>
        <w:tabs>
          <w:tab w:val="left" w:pos="-420"/>
          <w:tab w:val="clear" w:pos="-840"/>
        </w:tabs>
        <w:ind w:firstLine="480"/>
        <w:rPr>
          <w:rFonts w:hint="eastAsia"/>
          <w:highlight w:val="none"/>
        </w:rPr>
      </w:pPr>
      <w:r>
        <w:rPr>
          <w:rFonts w:hint="eastAsia"/>
          <w:highlight w:val="none"/>
        </w:rPr>
        <w:t>立杆</w:t>
      </w:r>
      <w:r>
        <w:rPr>
          <w:highlight w:val="none"/>
        </w:rPr>
        <w:t>和斜撑下的支承面应平整，并有足够的</w:t>
      </w:r>
      <w:r>
        <w:rPr>
          <w:rFonts w:hint="eastAsia"/>
          <w:highlight w:val="none"/>
        </w:rPr>
        <w:t>承压</w:t>
      </w:r>
      <w:r>
        <w:rPr>
          <w:highlight w:val="none"/>
        </w:rPr>
        <w:t>面积</w:t>
      </w:r>
      <w:r>
        <w:rPr>
          <w:rFonts w:hint="eastAsia"/>
          <w:highlight w:val="none"/>
        </w:rPr>
        <w:t>，斜支撑应着力于外楞。</w:t>
      </w:r>
    </w:p>
    <w:p w14:paraId="7F07D95A">
      <w:pPr>
        <w:numPr>
          <w:ilvl w:val="0"/>
          <w:numId w:val="50"/>
        </w:numPr>
        <w:tabs>
          <w:tab w:val="left" w:pos="-420"/>
          <w:tab w:val="clear" w:pos="-840"/>
        </w:tabs>
        <w:ind w:firstLine="480"/>
        <w:rPr>
          <w:rFonts w:hint="eastAsia"/>
          <w:highlight w:val="none"/>
        </w:rPr>
      </w:pPr>
      <w:r>
        <w:rPr>
          <w:rFonts w:hint="eastAsia"/>
          <w:highlight w:val="none"/>
        </w:rPr>
        <w:t>上下</w:t>
      </w:r>
      <w:r>
        <w:rPr>
          <w:highlight w:val="none"/>
        </w:rPr>
        <w:t>层对应的</w:t>
      </w:r>
      <w:r>
        <w:rPr>
          <w:rFonts w:hint="eastAsia"/>
          <w:highlight w:val="none"/>
        </w:rPr>
        <w:t>模板</w:t>
      </w:r>
      <w:r>
        <w:rPr>
          <w:highlight w:val="none"/>
        </w:rPr>
        <w:t>立杆应设置在同一</w:t>
      </w:r>
      <w:r>
        <w:rPr>
          <w:rFonts w:hint="eastAsia"/>
          <w:highlight w:val="none"/>
        </w:rPr>
        <w:t>竖向</w:t>
      </w:r>
      <w:r>
        <w:rPr>
          <w:highlight w:val="none"/>
        </w:rPr>
        <w:t>中心线上。</w:t>
      </w:r>
    </w:p>
    <w:p w14:paraId="6B2A3BB7">
      <w:pPr>
        <w:numPr>
          <w:ilvl w:val="0"/>
          <w:numId w:val="50"/>
        </w:numPr>
        <w:tabs>
          <w:tab w:val="left" w:pos="-420"/>
          <w:tab w:val="clear" w:pos="-840"/>
        </w:tabs>
        <w:ind w:firstLine="480"/>
        <w:rPr>
          <w:rFonts w:hint="eastAsia"/>
          <w:highlight w:val="none"/>
        </w:rPr>
      </w:pPr>
      <w:r>
        <w:rPr>
          <w:rFonts w:hint="eastAsia"/>
          <w:highlight w:val="none"/>
        </w:rPr>
        <w:t>为保证</w:t>
      </w:r>
      <w:r>
        <w:rPr>
          <w:highlight w:val="none"/>
        </w:rPr>
        <w:t>门窗洞口</w:t>
      </w:r>
      <w:r>
        <w:rPr>
          <w:rFonts w:hint="eastAsia"/>
          <w:highlight w:val="none"/>
        </w:rPr>
        <w:t>方</w:t>
      </w:r>
      <w:r>
        <w:rPr>
          <w:highlight w:val="none"/>
        </w:rPr>
        <w:t>正度</w:t>
      </w:r>
      <w:r>
        <w:rPr>
          <w:rFonts w:hint="eastAsia"/>
          <w:highlight w:val="none"/>
        </w:rPr>
        <w:t>及</w:t>
      </w:r>
      <w:r>
        <w:rPr>
          <w:highlight w:val="none"/>
        </w:rPr>
        <w:t>整体平整度，对宽度小</w:t>
      </w:r>
      <w:r>
        <w:rPr>
          <w:rFonts w:hint="eastAsia"/>
          <w:highlight w:val="none"/>
        </w:rPr>
        <w:t>于1m的</w:t>
      </w:r>
      <w:r>
        <w:rPr>
          <w:highlight w:val="none"/>
        </w:rPr>
        <w:t>门洞，下端设置</w:t>
      </w:r>
      <w:r>
        <w:rPr>
          <w:rFonts w:hint="eastAsia"/>
          <w:highlight w:val="none"/>
        </w:rPr>
        <w:t>铝</w:t>
      </w:r>
      <w:r>
        <w:rPr>
          <w:highlight w:val="none"/>
        </w:rPr>
        <w:t>角拉件控制门宽，对宽度</w:t>
      </w:r>
      <w:r>
        <w:rPr>
          <w:rFonts w:hint="eastAsia"/>
          <w:highlight w:val="none"/>
        </w:rPr>
        <w:t>大于1m的</w:t>
      </w:r>
      <w:r>
        <w:rPr>
          <w:highlight w:val="none"/>
        </w:rPr>
        <w:t>门洞，</w:t>
      </w:r>
      <w:r>
        <w:rPr>
          <w:rFonts w:hint="eastAsia"/>
          <w:highlight w:val="none"/>
        </w:rPr>
        <w:t>于</w:t>
      </w:r>
      <w:r>
        <w:rPr>
          <w:highlight w:val="none"/>
        </w:rPr>
        <w:t>两边门头铝板下方各设置斜撑固定。</w:t>
      </w:r>
    </w:p>
    <w:p w14:paraId="4E41DC95">
      <w:pPr>
        <w:numPr>
          <w:ilvl w:val="0"/>
          <w:numId w:val="50"/>
        </w:numPr>
        <w:tabs>
          <w:tab w:val="left" w:pos="-420"/>
          <w:tab w:val="clear" w:pos="-840"/>
        </w:tabs>
        <w:ind w:firstLine="480"/>
        <w:rPr>
          <w:rFonts w:hint="eastAsia"/>
          <w:highlight w:val="none"/>
        </w:rPr>
      </w:pPr>
      <w:r>
        <w:rPr>
          <w:rFonts w:hint="eastAsia"/>
          <w:highlight w:val="none"/>
        </w:rPr>
        <w:t>为</w:t>
      </w:r>
      <w:r>
        <w:rPr>
          <w:highlight w:val="none"/>
        </w:rPr>
        <w:t>控制施工标高，外墙起</w:t>
      </w:r>
      <w:r>
        <w:rPr>
          <w:rFonts w:hint="eastAsia"/>
          <w:highlight w:val="none"/>
        </w:rPr>
        <w:t>步</w:t>
      </w:r>
      <w:r>
        <w:rPr>
          <w:highlight w:val="none"/>
        </w:rPr>
        <w:t>板预</w:t>
      </w:r>
      <w:r>
        <w:rPr>
          <w:rFonts w:hint="eastAsia"/>
          <w:highlight w:val="none"/>
        </w:rPr>
        <w:t>埋螺丝</w:t>
      </w:r>
      <w:r>
        <w:rPr>
          <w:highlight w:val="none"/>
        </w:rPr>
        <w:t>孔为长圆孔，内墙底部铝模提高</w:t>
      </w:r>
      <w:r>
        <w:rPr>
          <w:rFonts w:hint="eastAsia"/>
          <w:highlight w:val="none"/>
        </w:rPr>
        <w:t>10</w:t>
      </w:r>
      <w:r>
        <w:rPr>
          <w:highlight w:val="none"/>
        </w:rPr>
        <w:t>mm</w:t>
      </w:r>
      <w:r>
        <w:rPr>
          <w:rFonts w:hint="eastAsia"/>
          <w:highlight w:val="none"/>
        </w:rPr>
        <w:t>，</w:t>
      </w:r>
      <w:r>
        <w:rPr>
          <w:highlight w:val="none"/>
        </w:rPr>
        <w:t>待标高调整到位后用限位</w:t>
      </w:r>
      <w:r>
        <w:rPr>
          <w:rFonts w:hint="eastAsia"/>
          <w:highlight w:val="none"/>
        </w:rPr>
        <w:t>板</w:t>
      </w:r>
      <w:r>
        <w:rPr>
          <w:highlight w:val="none"/>
        </w:rPr>
        <w:t>条堵缝，防止漏浆。</w:t>
      </w:r>
    </w:p>
    <w:p w14:paraId="4FB818C5">
      <w:pPr>
        <w:numPr>
          <w:ilvl w:val="0"/>
          <w:numId w:val="50"/>
        </w:numPr>
        <w:tabs>
          <w:tab w:val="left" w:pos="-420"/>
          <w:tab w:val="clear" w:pos="-840"/>
        </w:tabs>
        <w:ind w:firstLine="480"/>
        <w:rPr>
          <w:rFonts w:hint="eastAsia"/>
          <w:highlight w:val="none"/>
        </w:rPr>
      </w:pPr>
      <w:r>
        <w:rPr>
          <w:rFonts w:hint="eastAsia"/>
          <w:highlight w:val="none"/>
        </w:rPr>
        <w:t>为</w:t>
      </w:r>
      <w:r>
        <w:rPr>
          <w:highlight w:val="none"/>
        </w:rPr>
        <w:t>处理铝模施工楼层间的接缝，可在外墙部位设置</w:t>
      </w:r>
      <w:r>
        <w:rPr>
          <w:rFonts w:hint="eastAsia"/>
          <w:highlight w:val="none"/>
        </w:rPr>
        <w:t>300</w:t>
      </w:r>
      <w:r>
        <w:rPr>
          <w:highlight w:val="none"/>
        </w:rPr>
        <w:t>mm</w:t>
      </w:r>
      <w:r>
        <w:rPr>
          <w:rFonts w:hint="eastAsia"/>
          <w:highlight w:val="none"/>
        </w:rPr>
        <w:t>高</w:t>
      </w:r>
      <w:r>
        <w:rPr>
          <w:highlight w:val="none"/>
        </w:rPr>
        <w:t>起步板连接上下层铝模板，内墙墙身铝板下端为</w:t>
      </w:r>
      <w:r>
        <w:rPr>
          <w:rFonts w:hint="eastAsia"/>
          <w:highlight w:val="none"/>
        </w:rPr>
        <w:t>40</w:t>
      </w:r>
      <w:r>
        <w:rPr>
          <w:highlight w:val="none"/>
        </w:rPr>
        <w:t>mm</w:t>
      </w:r>
      <w:r>
        <w:rPr>
          <w:rFonts w:hint="eastAsia"/>
          <w:highlight w:val="none"/>
        </w:rPr>
        <w:t>的</w:t>
      </w:r>
      <w:r>
        <w:rPr>
          <w:highlight w:val="none"/>
        </w:rPr>
        <w:t>高铝角</w:t>
      </w:r>
      <w:r>
        <w:rPr>
          <w:rFonts w:hint="eastAsia"/>
          <w:highlight w:val="none"/>
        </w:rPr>
        <w:t>。</w:t>
      </w:r>
    </w:p>
    <w:p w14:paraId="649B12D5">
      <w:pPr>
        <w:numPr>
          <w:ilvl w:val="0"/>
          <w:numId w:val="50"/>
        </w:numPr>
        <w:tabs>
          <w:tab w:val="left" w:pos="-420"/>
          <w:tab w:val="clear" w:pos="-840"/>
        </w:tabs>
        <w:ind w:firstLine="480"/>
        <w:rPr>
          <w:rFonts w:hint="eastAsia"/>
          <w:highlight w:val="none"/>
        </w:rPr>
      </w:pPr>
      <w:r>
        <w:rPr>
          <w:rFonts w:hint="eastAsia"/>
          <w:highlight w:val="none"/>
        </w:rPr>
        <w:t>墙</w:t>
      </w:r>
      <w:r>
        <w:rPr>
          <w:highlight w:val="none"/>
        </w:rPr>
        <w:t>柱垂直定位参照线和标高控制线都应</w:t>
      </w:r>
      <w:r>
        <w:rPr>
          <w:rFonts w:hint="eastAsia"/>
          <w:highlight w:val="none"/>
        </w:rPr>
        <w:t>标识</w:t>
      </w:r>
      <w:r>
        <w:rPr>
          <w:highlight w:val="none"/>
        </w:rPr>
        <w:t>清晰准确</w:t>
      </w:r>
      <w:r>
        <w:rPr>
          <w:rFonts w:hint="eastAsia"/>
          <w:highlight w:val="none"/>
        </w:rPr>
        <w:t>，</w:t>
      </w:r>
      <w:r>
        <w:rPr>
          <w:highlight w:val="none"/>
        </w:rPr>
        <w:t>便于模板垂直度、水平度的控制。</w:t>
      </w:r>
    </w:p>
    <w:p w14:paraId="2C2E6A58">
      <w:pPr>
        <w:numPr>
          <w:ilvl w:val="0"/>
          <w:numId w:val="50"/>
        </w:numPr>
        <w:tabs>
          <w:tab w:val="left" w:pos="-420"/>
          <w:tab w:val="clear" w:pos="-840"/>
        </w:tabs>
        <w:ind w:firstLine="480"/>
        <w:rPr>
          <w:rFonts w:hint="eastAsia"/>
          <w:highlight w:val="none"/>
        </w:rPr>
      </w:pPr>
      <w:r>
        <w:rPr>
          <w:rFonts w:hint="eastAsia"/>
          <w:highlight w:val="none"/>
        </w:rPr>
        <w:t>墙</w:t>
      </w:r>
      <w:r>
        <w:rPr>
          <w:highlight w:val="none"/>
        </w:rPr>
        <w:t>柱模板</w:t>
      </w:r>
      <w:r>
        <w:rPr>
          <w:rFonts w:hint="eastAsia"/>
          <w:highlight w:val="none"/>
        </w:rPr>
        <w:t>竖</w:t>
      </w:r>
      <w:r>
        <w:rPr>
          <w:highlight w:val="none"/>
        </w:rPr>
        <w:t>向要做成整</w:t>
      </w:r>
      <w:r>
        <w:rPr>
          <w:rFonts w:hint="eastAsia"/>
          <w:highlight w:val="none"/>
        </w:rPr>
        <w:t>板</w:t>
      </w:r>
      <w:r>
        <w:rPr>
          <w:highlight w:val="none"/>
        </w:rPr>
        <w:t>，不</w:t>
      </w:r>
      <w:r>
        <w:rPr>
          <w:rFonts w:hint="eastAsia"/>
          <w:highlight w:val="none"/>
        </w:rPr>
        <w:t>允许竖</w:t>
      </w:r>
      <w:r>
        <w:rPr>
          <w:highlight w:val="none"/>
        </w:rPr>
        <w:t>向</w:t>
      </w:r>
      <w:r>
        <w:rPr>
          <w:rFonts w:hint="eastAsia"/>
          <w:highlight w:val="none"/>
        </w:rPr>
        <w:t>拼</w:t>
      </w:r>
      <w:r>
        <w:rPr>
          <w:highlight w:val="none"/>
        </w:rPr>
        <w:t>缝</w:t>
      </w:r>
      <w:r>
        <w:rPr>
          <w:rFonts w:hint="eastAsia"/>
          <w:highlight w:val="none"/>
        </w:rPr>
        <w:t>，便于垂直</w:t>
      </w:r>
      <w:r>
        <w:rPr>
          <w:highlight w:val="none"/>
        </w:rPr>
        <w:t>控制。</w:t>
      </w:r>
    </w:p>
    <w:p w14:paraId="0BB27A34">
      <w:pPr>
        <w:numPr>
          <w:ilvl w:val="0"/>
          <w:numId w:val="50"/>
        </w:numPr>
        <w:tabs>
          <w:tab w:val="left" w:pos="-420"/>
          <w:tab w:val="clear" w:pos="-840"/>
        </w:tabs>
        <w:ind w:firstLine="480"/>
        <w:rPr>
          <w:rFonts w:hint="eastAsia"/>
          <w:highlight w:val="none"/>
        </w:rPr>
      </w:pPr>
      <w:r>
        <w:rPr>
          <w:rFonts w:hint="eastAsia"/>
          <w:highlight w:val="none"/>
        </w:rPr>
        <w:t>现场</w:t>
      </w:r>
      <w:r>
        <w:rPr>
          <w:highlight w:val="none"/>
        </w:rPr>
        <w:t>设置校模机，对变形超过允许偏差的模板进行校正，确保混凝土成型尺寸及</w:t>
      </w:r>
      <w:r>
        <w:rPr>
          <w:rFonts w:hint="eastAsia"/>
          <w:highlight w:val="none"/>
        </w:rPr>
        <w:t>质量。</w:t>
      </w:r>
    </w:p>
    <w:p w14:paraId="5906D443">
      <w:pPr>
        <w:numPr>
          <w:ilvl w:val="0"/>
          <w:numId w:val="50"/>
        </w:numPr>
        <w:tabs>
          <w:tab w:val="left" w:pos="-420"/>
          <w:tab w:val="clear" w:pos="-840"/>
        </w:tabs>
        <w:ind w:firstLine="480"/>
        <w:rPr>
          <w:rFonts w:hint="eastAsia"/>
          <w:highlight w:val="none"/>
        </w:rPr>
      </w:pPr>
      <w:r>
        <w:rPr>
          <w:rFonts w:hint="eastAsia"/>
          <w:highlight w:val="none"/>
        </w:rPr>
        <w:t>模板</w:t>
      </w:r>
      <w:r>
        <w:rPr>
          <w:highlight w:val="none"/>
        </w:rPr>
        <w:t>拆除时，应将模板</w:t>
      </w:r>
      <w:r>
        <w:rPr>
          <w:rFonts w:hint="eastAsia"/>
          <w:highlight w:val="none"/>
        </w:rPr>
        <w:t>逐</w:t>
      </w:r>
      <w:r>
        <w:rPr>
          <w:highlight w:val="none"/>
        </w:rPr>
        <w:t>块拆除传递，严禁抛掷踩撞，避免损伤模板和</w:t>
      </w:r>
      <w:r>
        <w:rPr>
          <w:rFonts w:hint="eastAsia"/>
          <w:highlight w:val="none"/>
        </w:rPr>
        <w:t>混凝土</w:t>
      </w:r>
      <w:r>
        <w:rPr>
          <w:highlight w:val="none"/>
        </w:rPr>
        <w:t>。</w:t>
      </w:r>
    </w:p>
    <w:p w14:paraId="7609F118">
      <w:pPr>
        <w:numPr>
          <w:ilvl w:val="0"/>
          <w:numId w:val="50"/>
        </w:numPr>
        <w:tabs>
          <w:tab w:val="left" w:pos="-420"/>
          <w:tab w:val="clear" w:pos="-840"/>
        </w:tabs>
        <w:ind w:firstLine="480"/>
        <w:rPr>
          <w:rFonts w:hint="eastAsia"/>
          <w:highlight w:val="none"/>
        </w:rPr>
      </w:pPr>
      <w:r>
        <w:rPr>
          <w:rFonts w:hint="eastAsia"/>
          <w:highlight w:val="none"/>
        </w:rPr>
        <w:t>拆下的模板和配件应分类堆放整齐。</w:t>
      </w:r>
    </w:p>
    <w:p w14:paraId="76730EFD">
      <w:pPr>
        <w:numPr>
          <w:ilvl w:val="0"/>
          <w:numId w:val="50"/>
        </w:numPr>
        <w:tabs>
          <w:tab w:val="left" w:pos="-420"/>
          <w:tab w:val="clear" w:pos="-840"/>
        </w:tabs>
        <w:ind w:firstLine="480"/>
        <w:rPr>
          <w:rFonts w:hint="eastAsia"/>
          <w:highlight w:val="none"/>
        </w:rPr>
      </w:pPr>
      <w:r>
        <w:rPr>
          <w:rFonts w:hint="eastAsia"/>
          <w:highlight w:val="none"/>
        </w:rPr>
        <w:t>为</w:t>
      </w:r>
      <w:r>
        <w:rPr>
          <w:highlight w:val="none"/>
        </w:rPr>
        <w:t>减少混凝土泵抖动对支撑的不利影响，推荐使用下层</w:t>
      </w:r>
      <w:r>
        <w:rPr>
          <w:rFonts w:hint="eastAsia"/>
          <w:highlight w:val="none"/>
        </w:rPr>
        <w:t>布料</w:t>
      </w:r>
      <w:r>
        <w:rPr>
          <w:highlight w:val="none"/>
        </w:rPr>
        <w:t>机，如果使用</w:t>
      </w:r>
      <w:r>
        <w:rPr>
          <w:rFonts w:hint="eastAsia"/>
          <w:highlight w:val="none"/>
        </w:rPr>
        <w:t>普通</w:t>
      </w:r>
      <w:r>
        <w:rPr>
          <w:highlight w:val="none"/>
        </w:rPr>
        <w:t>布</w:t>
      </w:r>
      <w:r>
        <w:rPr>
          <w:rFonts w:hint="eastAsia"/>
          <w:highlight w:val="none"/>
        </w:rPr>
        <w:t>料</w:t>
      </w:r>
      <w:r>
        <w:rPr>
          <w:highlight w:val="none"/>
        </w:rPr>
        <w:t>机，水平管需垫轮胎</w:t>
      </w:r>
      <w:r>
        <w:rPr>
          <w:rFonts w:hint="eastAsia"/>
          <w:highlight w:val="none"/>
        </w:rPr>
        <w:t>减</w:t>
      </w:r>
      <w:r>
        <w:rPr>
          <w:highlight w:val="none"/>
        </w:rPr>
        <w:t>震</w:t>
      </w:r>
      <w:r>
        <w:rPr>
          <w:rFonts w:hint="eastAsia"/>
          <w:highlight w:val="none"/>
        </w:rPr>
        <w:t>，布料机下部须采取有效加固措施</w:t>
      </w:r>
      <w:r>
        <w:rPr>
          <w:highlight w:val="none"/>
        </w:rPr>
        <w:t>。</w:t>
      </w:r>
    </w:p>
    <w:p w14:paraId="3713080E">
      <w:pPr>
        <w:numPr>
          <w:ilvl w:val="0"/>
          <w:numId w:val="50"/>
        </w:numPr>
        <w:tabs>
          <w:tab w:val="left" w:pos="-420"/>
          <w:tab w:val="clear" w:pos="-840"/>
        </w:tabs>
        <w:ind w:firstLine="480"/>
        <w:rPr>
          <w:rFonts w:hint="eastAsia"/>
          <w:highlight w:val="none"/>
        </w:rPr>
      </w:pPr>
      <w:r>
        <w:rPr>
          <w:rFonts w:hint="eastAsia"/>
          <w:highlight w:val="none"/>
        </w:rPr>
        <w:t>总承包人应安排满足工程进度以及质量要求的铝模厂熟练工人进行</w:t>
      </w:r>
      <w:r>
        <w:rPr>
          <w:highlight w:val="none"/>
        </w:rPr>
        <w:t>铝模板施工</w:t>
      </w:r>
      <w:r>
        <w:rPr>
          <w:rFonts w:hint="eastAsia"/>
          <w:highlight w:val="none"/>
        </w:rPr>
        <w:t>。</w:t>
      </w:r>
    </w:p>
    <w:p w14:paraId="7028DC92">
      <w:pPr>
        <w:ind w:firstLine="480"/>
        <w:rPr>
          <w:rFonts w:hint="eastAsia"/>
          <w:highlight w:val="none"/>
        </w:rPr>
      </w:pPr>
      <w:r>
        <w:rPr>
          <w:rFonts w:hint="eastAsia"/>
          <w:highlight w:val="none"/>
        </w:rPr>
        <w:t>8）铝模拆模控制</w:t>
      </w:r>
    </w:p>
    <w:p w14:paraId="6AA2C4EC">
      <w:pPr>
        <w:numPr>
          <w:ilvl w:val="0"/>
          <w:numId w:val="51"/>
        </w:numPr>
        <w:ind w:firstLine="480"/>
        <w:rPr>
          <w:rFonts w:hint="eastAsia"/>
          <w:highlight w:val="none"/>
        </w:rPr>
      </w:pPr>
      <w:r>
        <w:rPr>
          <w:rFonts w:hint="eastAsia"/>
          <w:highlight w:val="none"/>
        </w:rPr>
        <w:t>现场拆除组合铝模时，应遵循下列规定：拆模前应制定拆模的程序，拆模方法以及安全措施。先拆墙身模板，再拆梁、板模板。支撑件与杆件应逐件拆卸，模板应逐块拆卸传递，拆除时不得损伤模板和混凝土。拆下的模板和配件均应分类堆放整齐，附件应放在工具箱内。</w:t>
      </w:r>
    </w:p>
    <w:p w14:paraId="0169838E">
      <w:pPr>
        <w:numPr>
          <w:ilvl w:val="0"/>
          <w:numId w:val="51"/>
        </w:numPr>
        <w:ind w:firstLine="480"/>
        <w:rPr>
          <w:rFonts w:hint="eastAsia"/>
          <w:highlight w:val="none"/>
        </w:rPr>
      </w:pPr>
      <w:r>
        <w:rPr>
          <w:rFonts w:hint="eastAsia"/>
          <w:highlight w:val="none"/>
        </w:rPr>
        <w:t>拆除下来的模板应及时清理上面的混凝土残渣，然后及时涂刷专用脱模剂。脱模剂的涂刷要求：所有模板必须清洁干净后方可涂刷脱模剂；墙身模板竖立后用滚筒涂刷，为防止量过多流动污染地面，只刷模板上半部分，下半部分让它自由流匀；楼面部分的脱模剂不能用滚筒涂刷，只能用胶壶喷洒，且用量不能过多。</w:t>
      </w:r>
    </w:p>
    <w:p w14:paraId="47E88EB1">
      <w:pPr>
        <w:ind w:firstLine="480"/>
        <w:rPr>
          <w:rFonts w:hint="eastAsia" w:ascii="Times New Roman" w:eastAsiaTheme="minorEastAsia"/>
          <w:bCs/>
          <w:highlight w:val="none"/>
        </w:rPr>
      </w:pPr>
      <w:r>
        <w:rPr>
          <w:highlight w:val="none"/>
        </w:rPr>
        <w:t>9</w:t>
      </w:r>
      <w:r>
        <w:rPr>
          <w:rFonts w:hint="eastAsia"/>
          <w:highlight w:val="none"/>
        </w:rPr>
        <w:t>）</w:t>
      </w:r>
      <w:r>
        <w:rPr>
          <w:rFonts w:hint="eastAsia" w:ascii="Times New Roman" w:eastAsiaTheme="minorEastAsia"/>
          <w:bCs/>
          <w:highlight w:val="none"/>
        </w:rPr>
        <w:t>负责拉片式铝模防锈工作，采用银色防锈漆按圆形磨具涂刷。总承包人投标报价时充分考虑相关措施费用，包含在合约清单中。</w:t>
      </w:r>
    </w:p>
    <w:p w14:paraId="3FB6E74E">
      <w:pPr>
        <w:ind w:firstLine="480"/>
        <w:rPr>
          <w:rFonts w:hint="eastAsia"/>
          <w:highlight w:val="none"/>
        </w:rPr>
      </w:pPr>
      <w:r>
        <w:rPr>
          <w:rFonts w:hint="eastAsia"/>
          <w:highlight w:val="none"/>
        </w:rPr>
        <w:t>1</w:t>
      </w:r>
      <w:r>
        <w:rPr>
          <w:highlight w:val="none"/>
        </w:rPr>
        <w:t>0）</w:t>
      </w:r>
      <w:r>
        <w:rPr>
          <w:rFonts w:hint="eastAsia"/>
          <w:highlight w:val="none"/>
        </w:rPr>
        <w:t>外墙免抹灰项目，爬架底部、中部两道翻板位置需设置截浆带，以阻止外墙模板漏浆而污染爬架以下的外墙腻子。</w:t>
      </w:r>
    </w:p>
    <w:p w14:paraId="66D479D2">
      <w:pPr>
        <w:pStyle w:val="4"/>
        <w:numPr>
          <w:ilvl w:val="2"/>
          <w:numId w:val="13"/>
        </w:numPr>
        <w:rPr>
          <w:rFonts w:hint="eastAsia"/>
          <w:highlight w:val="none"/>
        </w:rPr>
      </w:pPr>
      <w:r>
        <w:rPr>
          <w:rFonts w:hint="eastAsia"/>
          <w:highlight w:val="none"/>
        </w:rPr>
        <w:t>混凝土工程</w:t>
      </w:r>
    </w:p>
    <w:p w14:paraId="00524901">
      <w:pPr>
        <w:pStyle w:val="5"/>
        <w:rPr>
          <w:rFonts w:hint="eastAsia"/>
          <w:highlight w:val="none"/>
        </w:rPr>
      </w:pPr>
      <w:r>
        <w:rPr>
          <w:rFonts w:hint="eastAsia"/>
          <w:highlight w:val="none"/>
        </w:rPr>
        <w:t xml:space="preserve">质量标准 </w:t>
      </w:r>
      <w:r>
        <w:rPr>
          <w:highlight w:val="none"/>
        </w:rPr>
        <w:t xml:space="preserve"> </w:t>
      </w:r>
    </w:p>
    <w:p w14:paraId="6FC76B6D">
      <w:pPr>
        <w:numPr>
          <w:ilvl w:val="0"/>
          <w:numId w:val="52"/>
        </w:numPr>
        <w:ind w:firstLine="480"/>
        <w:rPr>
          <w:rFonts w:hint="eastAsia"/>
          <w:highlight w:val="none"/>
        </w:rPr>
      </w:pPr>
      <w:r>
        <w:rPr>
          <w:rFonts w:hint="eastAsia"/>
          <w:highlight w:val="none"/>
        </w:rPr>
        <w:t>应符合国家和行业现行有关混凝土工程的规范和标准及《【附件B-3】质量过程检查标准》要求。</w:t>
      </w:r>
    </w:p>
    <w:p w14:paraId="50711A0D">
      <w:pPr>
        <w:numPr>
          <w:ilvl w:val="0"/>
          <w:numId w:val="52"/>
        </w:numPr>
        <w:ind w:firstLine="480"/>
        <w:rPr>
          <w:rFonts w:hint="eastAsia"/>
          <w:highlight w:val="none"/>
        </w:rPr>
      </w:pPr>
      <w:r>
        <w:rPr>
          <w:rFonts w:hint="eastAsia"/>
          <w:highlight w:val="none"/>
        </w:rPr>
        <w:t>混凝土施工缝、后浇带留置应按设计要求。</w:t>
      </w:r>
    </w:p>
    <w:p w14:paraId="1E014AB4">
      <w:pPr>
        <w:numPr>
          <w:ilvl w:val="0"/>
          <w:numId w:val="52"/>
        </w:numPr>
        <w:ind w:firstLine="480"/>
        <w:rPr>
          <w:rFonts w:hint="eastAsia"/>
          <w:highlight w:val="none"/>
        </w:rPr>
      </w:pPr>
      <w:r>
        <w:rPr>
          <w:rFonts w:hint="eastAsia"/>
          <w:highlight w:val="none"/>
        </w:rPr>
        <w:t>现浇混凝土楼板板底严禁抹灰。</w:t>
      </w:r>
    </w:p>
    <w:p w14:paraId="329B9709">
      <w:pPr>
        <w:numPr>
          <w:ilvl w:val="0"/>
          <w:numId w:val="52"/>
        </w:numPr>
        <w:ind w:firstLine="480"/>
        <w:rPr>
          <w:rFonts w:hint="eastAsia"/>
          <w:highlight w:val="none"/>
        </w:rPr>
      </w:pPr>
      <w:r>
        <w:rPr>
          <w:rFonts w:hint="eastAsia"/>
          <w:highlight w:val="none"/>
        </w:rPr>
        <w:t>混凝土不得出现蜂窝、烂根、缺棱掉角、一般表面夹渣（如夹模板、垃圾、编织袋等）、混凝土楼板收面不佳（如有脚印、麻面、高低不平）、混凝土构件出现孔洞（深于钢筋保护层厚度）、露筋等情况，阴角线应规整顺直。</w:t>
      </w:r>
    </w:p>
    <w:p w14:paraId="15FDFE3A">
      <w:pPr>
        <w:numPr>
          <w:ilvl w:val="0"/>
          <w:numId w:val="52"/>
        </w:numPr>
        <w:ind w:firstLine="480"/>
        <w:rPr>
          <w:rFonts w:hint="eastAsia"/>
          <w:highlight w:val="none"/>
        </w:rPr>
      </w:pPr>
      <w:r>
        <w:rPr>
          <w:rFonts w:hint="eastAsia"/>
          <w:highlight w:val="none"/>
        </w:rPr>
        <w:t>铝模施工区域</w:t>
      </w:r>
      <w:r>
        <w:rPr>
          <w:highlight w:val="none"/>
        </w:rPr>
        <w:t>确保混凝土拆模后实测实量</w:t>
      </w:r>
      <w:r>
        <w:rPr>
          <w:rFonts w:hint="eastAsia"/>
          <w:highlight w:val="none"/>
        </w:rPr>
        <w:t>一次</w:t>
      </w:r>
      <w:r>
        <w:rPr>
          <w:highlight w:val="none"/>
        </w:rPr>
        <w:t>合格率不低于9</w:t>
      </w:r>
      <w:r>
        <w:rPr>
          <w:rFonts w:hint="eastAsia"/>
          <w:highlight w:val="none"/>
        </w:rPr>
        <w:t>8</w:t>
      </w:r>
      <w:r>
        <w:rPr>
          <w:highlight w:val="none"/>
        </w:rPr>
        <w:t>%</w:t>
      </w:r>
      <w:r>
        <w:rPr>
          <w:rFonts w:hint="eastAsia"/>
          <w:highlight w:val="none"/>
        </w:rPr>
        <w:t>。</w:t>
      </w:r>
    </w:p>
    <w:p w14:paraId="4C0EB543">
      <w:pPr>
        <w:pStyle w:val="5"/>
        <w:rPr>
          <w:rFonts w:hint="eastAsia"/>
          <w:highlight w:val="none"/>
        </w:rPr>
      </w:pPr>
      <w:r>
        <w:rPr>
          <w:rFonts w:hint="eastAsia"/>
          <w:highlight w:val="none"/>
        </w:rPr>
        <w:t>浇筑令</w:t>
      </w:r>
    </w:p>
    <w:p w14:paraId="6B4C9C09">
      <w:pPr>
        <w:ind w:firstLine="480"/>
        <w:rPr>
          <w:rFonts w:hint="eastAsia"/>
          <w:highlight w:val="none"/>
        </w:rPr>
      </w:pPr>
      <w:r>
        <w:rPr>
          <w:rFonts w:hint="eastAsia"/>
          <w:highlight w:val="none"/>
        </w:rPr>
        <w:t>混凝土浇筑前，应经监理人/发包人对模板工程、钢筋工程及水电预留预埋等隐蔽工程验收合格后，会签验收意见，并由总监/总监代表下发浇筑令再进行混凝土浇筑施工。</w:t>
      </w:r>
    </w:p>
    <w:p w14:paraId="750AF728">
      <w:pPr>
        <w:pStyle w:val="5"/>
        <w:rPr>
          <w:rFonts w:hint="eastAsia"/>
          <w:highlight w:val="none"/>
        </w:rPr>
      </w:pPr>
      <w:r>
        <w:rPr>
          <w:rFonts w:hint="eastAsia"/>
          <w:highlight w:val="none"/>
        </w:rPr>
        <w:t>混凝土材料验收要求</w:t>
      </w:r>
    </w:p>
    <w:p w14:paraId="40B8BD55">
      <w:pPr>
        <w:numPr>
          <w:ilvl w:val="0"/>
          <w:numId w:val="53"/>
        </w:numPr>
        <w:ind w:firstLine="480"/>
        <w:rPr>
          <w:rFonts w:hint="eastAsia"/>
          <w:highlight w:val="none"/>
        </w:rPr>
      </w:pPr>
      <w:r>
        <w:rPr>
          <w:rFonts w:hint="eastAsia"/>
          <w:highlight w:val="none"/>
        </w:rPr>
        <w:t>基础、主体结构须全部采用商品混凝土。</w:t>
      </w:r>
    </w:p>
    <w:p w14:paraId="0A442CD7">
      <w:pPr>
        <w:numPr>
          <w:ilvl w:val="0"/>
          <w:numId w:val="53"/>
        </w:numPr>
        <w:ind w:firstLine="480"/>
        <w:rPr>
          <w:rFonts w:hint="eastAsia"/>
          <w:highlight w:val="none"/>
        </w:rPr>
      </w:pPr>
      <w:r>
        <w:rPr>
          <w:rFonts w:hint="eastAsia"/>
          <w:highlight w:val="none"/>
        </w:rPr>
        <w:t>监理人在混凝土运输到达现场后随机见证抽检混凝土塌落度，并见证取样留置混凝土试块，做好标识。对进场不合格的混凝土一律退回，不得浇筑。</w:t>
      </w:r>
    </w:p>
    <w:p w14:paraId="7478E81A">
      <w:pPr>
        <w:numPr>
          <w:ilvl w:val="0"/>
          <w:numId w:val="53"/>
        </w:numPr>
        <w:ind w:firstLine="480"/>
        <w:rPr>
          <w:rFonts w:hint="eastAsia"/>
          <w:highlight w:val="none"/>
        </w:rPr>
      </w:pPr>
      <w:r>
        <w:rPr>
          <w:rFonts w:hint="eastAsia"/>
          <w:highlight w:val="none"/>
        </w:rPr>
        <w:t>混凝土搅拌站应提供原材料的质量合格证明文件和混凝土配合比单。</w:t>
      </w:r>
    </w:p>
    <w:p w14:paraId="5D6D2FE5">
      <w:pPr>
        <w:pStyle w:val="5"/>
        <w:rPr>
          <w:rFonts w:hint="eastAsia"/>
          <w:highlight w:val="none"/>
        </w:rPr>
      </w:pPr>
      <w:r>
        <w:rPr>
          <w:rFonts w:hint="eastAsia"/>
          <w:highlight w:val="none"/>
        </w:rPr>
        <w:t>浇筑过程控制要求</w:t>
      </w:r>
    </w:p>
    <w:p w14:paraId="40D3472C">
      <w:pPr>
        <w:numPr>
          <w:ilvl w:val="0"/>
          <w:numId w:val="54"/>
        </w:numPr>
        <w:ind w:firstLine="480"/>
        <w:rPr>
          <w:rFonts w:hint="eastAsia"/>
          <w:highlight w:val="none"/>
        </w:rPr>
      </w:pPr>
      <w:r>
        <w:rPr>
          <w:rFonts w:hint="eastAsia"/>
          <w:highlight w:val="none"/>
        </w:rPr>
        <w:t xml:space="preserve">保证混凝土供应及时，并确保混凝土连续浇筑。 </w:t>
      </w:r>
    </w:p>
    <w:p w14:paraId="045E3ACE">
      <w:pPr>
        <w:numPr>
          <w:ilvl w:val="0"/>
          <w:numId w:val="54"/>
        </w:numPr>
        <w:ind w:firstLine="480"/>
        <w:rPr>
          <w:rFonts w:hint="eastAsia"/>
          <w:highlight w:val="none"/>
        </w:rPr>
      </w:pPr>
      <w:r>
        <w:rPr>
          <w:rFonts w:hint="eastAsia"/>
          <w:highlight w:val="none"/>
        </w:rPr>
        <w:t>混凝土浇筑振捣时须关注模板是否变形，随时校正和加固模板。</w:t>
      </w:r>
    </w:p>
    <w:p w14:paraId="2E029FD1">
      <w:pPr>
        <w:numPr>
          <w:ilvl w:val="0"/>
          <w:numId w:val="54"/>
        </w:numPr>
        <w:ind w:firstLine="480"/>
        <w:rPr>
          <w:rFonts w:hint="eastAsia"/>
          <w:highlight w:val="none"/>
        </w:rPr>
      </w:pPr>
      <w:r>
        <w:rPr>
          <w:rFonts w:hint="eastAsia"/>
          <w:highlight w:val="none"/>
        </w:rPr>
        <w:t>墙柱混凝土必须分层连续浇筑，每层浇筑高度不大于500mm。</w:t>
      </w:r>
    </w:p>
    <w:p w14:paraId="35B9EA7F">
      <w:pPr>
        <w:numPr>
          <w:ilvl w:val="0"/>
          <w:numId w:val="54"/>
        </w:numPr>
        <w:ind w:firstLine="480"/>
        <w:rPr>
          <w:rFonts w:hint="eastAsia"/>
          <w:highlight w:val="none"/>
        </w:rPr>
      </w:pPr>
      <w:r>
        <w:rPr>
          <w:rFonts w:hint="eastAsia"/>
          <w:highlight w:val="none"/>
        </w:rPr>
        <w:t>墙柱与梁、板的混凝土强度等级不同时，应先浇筑墙柱高标号混凝土于楼板面标高，且向柱周边的板内及梁内浇筑一定的长度，然后再浇梁、板混凝土。</w:t>
      </w:r>
    </w:p>
    <w:p w14:paraId="3865CE3F">
      <w:pPr>
        <w:numPr>
          <w:ilvl w:val="0"/>
          <w:numId w:val="54"/>
        </w:numPr>
        <w:ind w:firstLine="480"/>
        <w:rPr>
          <w:rFonts w:hint="eastAsia"/>
          <w:highlight w:val="none"/>
        </w:rPr>
      </w:pPr>
      <w:r>
        <w:rPr>
          <w:rFonts w:hint="eastAsia"/>
          <w:highlight w:val="none"/>
        </w:rPr>
        <w:t>严格控制振捣时间，不得过振和漏振，防止出现离析、蜂窝、狗洞等质量问题。</w:t>
      </w:r>
    </w:p>
    <w:p w14:paraId="34A624FF">
      <w:pPr>
        <w:numPr>
          <w:ilvl w:val="0"/>
          <w:numId w:val="54"/>
        </w:numPr>
        <w:ind w:firstLine="480"/>
        <w:rPr>
          <w:rFonts w:hint="eastAsia"/>
          <w:highlight w:val="none"/>
        </w:rPr>
      </w:pPr>
      <w:r>
        <w:rPr>
          <w:rFonts w:hint="eastAsia"/>
          <w:highlight w:val="none"/>
        </w:rPr>
        <w:t>浇筑混凝土应连续进行。如必须间歇，时间应尽量缩短，并应在前层混凝土初凝之前，将次层混凝土浇筑完毕。间歇的最长时间应按所有水泥品种及混凝土初凝条件确定，一般超过2小时应按施工缝处理。</w:t>
      </w:r>
    </w:p>
    <w:p w14:paraId="64E629DE">
      <w:pPr>
        <w:numPr>
          <w:ilvl w:val="0"/>
          <w:numId w:val="54"/>
        </w:numPr>
        <w:ind w:firstLine="480"/>
        <w:rPr>
          <w:rFonts w:hint="eastAsia"/>
          <w:highlight w:val="none"/>
        </w:rPr>
      </w:pPr>
      <w:r>
        <w:rPr>
          <w:rFonts w:hint="eastAsia"/>
          <w:highlight w:val="none"/>
        </w:rPr>
        <w:t>浇筑混凝土时应派专人经常观察模板钢筋、预留孔洞、预埋件、插筋等有无位移变形或堵塞情况，发现问题应停止浇灌并应在已浇筑的混凝土初凝前修整完毕。</w:t>
      </w:r>
    </w:p>
    <w:p w14:paraId="6CE124AE">
      <w:pPr>
        <w:numPr>
          <w:ilvl w:val="0"/>
          <w:numId w:val="54"/>
        </w:numPr>
        <w:ind w:firstLine="480"/>
        <w:rPr>
          <w:rFonts w:hint="eastAsia"/>
          <w:highlight w:val="none"/>
        </w:rPr>
      </w:pPr>
      <w:r>
        <w:rPr>
          <w:rFonts w:hint="eastAsia"/>
          <w:highlight w:val="none"/>
        </w:rPr>
        <w:t>梁板混凝土浇筑过程中，必须采用拉线、插扦等方式严格控制楼板厚度。插扦测量板厚应在楼板混凝土振捣完成后进行，分别对板四角及板中位置的板厚进行插扦测量，并在平面图上记录板厚数据。板厚控制应以插扦数据为准。</w:t>
      </w:r>
    </w:p>
    <w:p w14:paraId="14490ACB">
      <w:pPr>
        <w:numPr>
          <w:ilvl w:val="0"/>
          <w:numId w:val="54"/>
        </w:numPr>
        <w:ind w:firstLine="480"/>
        <w:rPr>
          <w:rFonts w:hint="eastAsia"/>
          <w:highlight w:val="none"/>
        </w:rPr>
      </w:pPr>
      <w:r>
        <w:rPr>
          <w:rFonts w:hint="eastAsia"/>
          <w:highlight w:val="none"/>
        </w:rPr>
        <w:t>构造柱混凝土一次浇筑时必须采取措施（填砂）与结构断开，以免改变结构受力状态。</w:t>
      </w:r>
    </w:p>
    <w:p w14:paraId="512FD0A8">
      <w:pPr>
        <w:numPr>
          <w:ilvl w:val="0"/>
          <w:numId w:val="54"/>
        </w:numPr>
        <w:ind w:firstLine="480"/>
        <w:rPr>
          <w:rFonts w:hint="eastAsia"/>
          <w:highlight w:val="none"/>
        </w:rPr>
      </w:pPr>
      <w:r>
        <w:rPr>
          <w:rFonts w:hint="eastAsia"/>
          <w:highlight w:val="none"/>
        </w:rPr>
        <w:t>楼板混凝土振捣完成后，应进行收光扫毛。初次压光应在混凝土初凝前，用木抹子搓压后，用铁抹子初次压光；待混凝土表面收水后（人踩了有脚印，但不陷入时为宜）采用磨光机进行第二次压光，压光时用力均匀，将表面压实、压光，清除表面气泡、砂眼等缺陷。收光完成后，需对楼板混凝土表面用扫把进行扫毛，以增强结构与后续工艺的粘结性。</w:t>
      </w:r>
    </w:p>
    <w:p w14:paraId="32649EBD">
      <w:pPr>
        <w:pStyle w:val="5"/>
        <w:rPr>
          <w:rFonts w:hint="eastAsia"/>
          <w:highlight w:val="none"/>
        </w:rPr>
      </w:pPr>
      <w:r>
        <w:rPr>
          <w:highlight w:val="none"/>
        </w:rPr>
        <w:t xml:space="preserve"> </w:t>
      </w:r>
      <w:r>
        <w:rPr>
          <w:rFonts w:hint="eastAsia"/>
          <w:highlight w:val="none"/>
        </w:rPr>
        <w:t>混凝土的养护要求</w:t>
      </w:r>
    </w:p>
    <w:p w14:paraId="592A8D1A">
      <w:pPr>
        <w:numPr>
          <w:ilvl w:val="0"/>
          <w:numId w:val="55"/>
        </w:numPr>
        <w:ind w:firstLine="480"/>
        <w:rPr>
          <w:rFonts w:hint="eastAsia"/>
          <w:highlight w:val="none"/>
        </w:rPr>
      </w:pPr>
      <w:r>
        <w:rPr>
          <w:rFonts w:hint="eastAsia"/>
          <w:highlight w:val="none"/>
        </w:rPr>
        <w:t>混凝土浇筑完毕后12小时内宜用塑料薄膜覆盖并保湿养护，混凝土在规范规定的养护期内必须保湿养护，养护应由专人负责。</w:t>
      </w:r>
    </w:p>
    <w:p w14:paraId="5074137C">
      <w:pPr>
        <w:numPr>
          <w:ilvl w:val="0"/>
          <w:numId w:val="55"/>
        </w:numPr>
        <w:ind w:firstLine="480"/>
        <w:rPr>
          <w:rFonts w:hint="eastAsia"/>
          <w:highlight w:val="none"/>
        </w:rPr>
      </w:pPr>
      <w:r>
        <w:rPr>
          <w:rFonts w:hint="eastAsia"/>
          <w:highlight w:val="none"/>
        </w:rPr>
        <w:t>混凝土浇水养护日期，掺用缓凝型外加剂或有抗渗要求的混凝土不得小于14天。在混凝土强度达到1.2Mpa之前，不得在其上踩或施工振动。柱、墙拆模后，宜用塑料薄膜覆盖养护，以确保立面结构表面保持湿润状态。</w:t>
      </w:r>
    </w:p>
    <w:p w14:paraId="101C4B40">
      <w:pPr>
        <w:pStyle w:val="5"/>
        <w:rPr>
          <w:rFonts w:hint="eastAsia"/>
          <w:highlight w:val="none"/>
        </w:rPr>
      </w:pPr>
      <w:r>
        <w:rPr>
          <w:rFonts w:hint="eastAsia"/>
          <w:highlight w:val="none"/>
        </w:rPr>
        <w:t>地下室顶板和屋面混凝土施工</w:t>
      </w:r>
    </w:p>
    <w:p w14:paraId="287F8981">
      <w:pPr>
        <w:numPr>
          <w:ilvl w:val="0"/>
          <w:numId w:val="56"/>
        </w:numPr>
        <w:ind w:firstLine="480"/>
        <w:rPr>
          <w:rFonts w:hint="eastAsia"/>
          <w:highlight w:val="none"/>
        </w:rPr>
      </w:pPr>
      <w:r>
        <w:rPr>
          <w:rFonts w:hint="eastAsia"/>
          <w:highlight w:val="none"/>
        </w:rPr>
        <w:t>同个板块地下室顶板的室外和室内区域若混凝土设计要求不同，须提前做好深化，须做好分隔措施，控制好施工顺序。</w:t>
      </w:r>
    </w:p>
    <w:p w14:paraId="3FCAD6A1">
      <w:pPr>
        <w:numPr>
          <w:ilvl w:val="0"/>
          <w:numId w:val="56"/>
        </w:numPr>
        <w:ind w:firstLine="480"/>
        <w:rPr>
          <w:rFonts w:hint="eastAsia"/>
          <w:highlight w:val="none"/>
        </w:rPr>
      </w:pPr>
      <w:r>
        <w:rPr>
          <w:rFonts w:hint="eastAsia"/>
          <w:highlight w:val="none"/>
        </w:rPr>
        <w:t>同个板块内的室外或屋顶混凝土浇筑若留设施工缝，至少在泛水高度范围内，其止水钢板设置应闭合完整。</w:t>
      </w:r>
    </w:p>
    <w:p w14:paraId="6398C43D">
      <w:pPr>
        <w:numPr>
          <w:ilvl w:val="0"/>
          <w:numId w:val="56"/>
        </w:numPr>
        <w:ind w:firstLine="480"/>
        <w:rPr>
          <w:rFonts w:hint="eastAsia"/>
          <w:highlight w:val="none"/>
        </w:rPr>
      </w:pPr>
      <w:r>
        <w:rPr>
          <w:rFonts w:hint="eastAsia"/>
          <w:highlight w:val="none"/>
        </w:rPr>
        <w:t>室外和屋顶区域的竖向构件（如：女儿墙、天窗反坎、伸缩缝、风井等）混凝土应尽量一次浇筑，不得在泛水高度范围内形成冷缝，否则须在施工缝处设置止水钢板。该范围内须使用符合设计要求的止水螺杆进行模板工程的加固。</w:t>
      </w:r>
    </w:p>
    <w:p w14:paraId="76AD4B9F">
      <w:pPr>
        <w:pStyle w:val="3"/>
        <w:numPr>
          <w:ilvl w:val="1"/>
          <w:numId w:val="13"/>
        </w:numPr>
        <w:rPr>
          <w:rFonts w:hint="eastAsia"/>
          <w:highlight w:val="none"/>
        </w:rPr>
      </w:pPr>
      <w:bookmarkStart w:id="567" w:name="_Toc6525"/>
      <w:bookmarkStart w:id="568" w:name="_Toc15254"/>
      <w:bookmarkStart w:id="569" w:name="_Toc31689"/>
      <w:bookmarkStart w:id="570" w:name="_Toc12122"/>
      <w:bookmarkStart w:id="571" w:name="_Toc169722233"/>
      <w:bookmarkStart w:id="572" w:name="_Toc16841"/>
      <w:bookmarkStart w:id="573" w:name="_Toc422854856"/>
      <w:bookmarkStart w:id="574" w:name="_Toc3498"/>
      <w:bookmarkStart w:id="575" w:name="_Toc31850"/>
      <w:bookmarkStart w:id="576" w:name="_Toc11448"/>
      <w:bookmarkStart w:id="577" w:name="_Toc1145"/>
      <w:bookmarkStart w:id="578" w:name="_Toc12541"/>
      <w:r>
        <w:rPr>
          <w:highlight w:val="none"/>
        </w:rPr>
        <w:t>砌筑工程技术要求</w:t>
      </w:r>
      <w:bookmarkEnd w:id="567"/>
      <w:bookmarkEnd w:id="568"/>
      <w:bookmarkEnd w:id="569"/>
      <w:bookmarkEnd w:id="570"/>
      <w:bookmarkEnd w:id="571"/>
      <w:bookmarkEnd w:id="572"/>
      <w:bookmarkEnd w:id="573"/>
      <w:bookmarkEnd w:id="574"/>
      <w:bookmarkEnd w:id="575"/>
      <w:bookmarkEnd w:id="576"/>
      <w:bookmarkEnd w:id="577"/>
      <w:bookmarkEnd w:id="578"/>
    </w:p>
    <w:p w14:paraId="713B0F71">
      <w:pPr>
        <w:pStyle w:val="4"/>
        <w:numPr>
          <w:ilvl w:val="2"/>
          <w:numId w:val="13"/>
        </w:numPr>
        <w:rPr>
          <w:rFonts w:hint="eastAsia"/>
          <w:highlight w:val="none"/>
        </w:rPr>
      </w:pPr>
      <w:r>
        <w:rPr>
          <w:rFonts w:hint="eastAsia"/>
          <w:highlight w:val="none"/>
        </w:rPr>
        <w:t>砌筑工程</w:t>
      </w:r>
    </w:p>
    <w:p w14:paraId="01CC457C">
      <w:pPr>
        <w:pStyle w:val="5"/>
        <w:rPr>
          <w:rFonts w:hint="eastAsia"/>
          <w:highlight w:val="none"/>
        </w:rPr>
      </w:pPr>
      <w:r>
        <w:rPr>
          <w:rFonts w:hint="eastAsia"/>
          <w:highlight w:val="none"/>
        </w:rPr>
        <w:t>质量标准</w:t>
      </w:r>
    </w:p>
    <w:p w14:paraId="14925B06">
      <w:pPr>
        <w:numPr>
          <w:ilvl w:val="0"/>
          <w:numId w:val="57"/>
        </w:numPr>
        <w:ind w:firstLine="480"/>
        <w:rPr>
          <w:rFonts w:hint="eastAsia"/>
          <w:highlight w:val="none"/>
        </w:rPr>
      </w:pPr>
      <w:r>
        <w:rPr>
          <w:highlight w:val="none"/>
        </w:rPr>
        <w:t>应符合现行国家和行业有关砌体工程的规范、标准。</w:t>
      </w:r>
    </w:p>
    <w:p w14:paraId="4DBAB8C4">
      <w:pPr>
        <w:numPr>
          <w:ilvl w:val="0"/>
          <w:numId w:val="57"/>
        </w:numPr>
        <w:ind w:firstLine="480"/>
        <w:rPr>
          <w:rFonts w:hint="eastAsia"/>
          <w:highlight w:val="none"/>
        </w:rPr>
      </w:pPr>
      <w:r>
        <w:rPr>
          <w:highlight w:val="none"/>
        </w:rPr>
        <w:t>砌块排列：上、下皮应错缝搭砌，搭砌长度不应小于砌块长度的</w:t>
      </w:r>
      <w:r>
        <w:rPr>
          <w:rFonts w:hint="eastAsia"/>
          <w:highlight w:val="none"/>
        </w:rPr>
        <w:t>1/3</w:t>
      </w:r>
      <w:r>
        <w:rPr>
          <w:highlight w:val="none"/>
        </w:rPr>
        <w:t>，且不应小于20</w:t>
      </w:r>
      <w:r>
        <w:rPr>
          <w:rFonts w:hint="eastAsia"/>
          <w:highlight w:val="none"/>
        </w:rPr>
        <w:t>0mm</w:t>
      </w:r>
      <w:r>
        <w:rPr>
          <w:highlight w:val="none"/>
        </w:rPr>
        <w:t>。</w:t>
      </w:r>
    </w:p>
    <w:p w14:paraId="0F4F21E8">
      <w:pPr>
        <w:numPr>
          <w:ilvl w:val="0"/>
          <w:numId w:val="57"/>
        </w:numPr>
        <w:ind w:firstLine="480"/>
        <w:rPr>
          <w:rFonts w:hint="eastAsia"/>
          <w:highlight w:val="none"/>
        </w:rPr>
      </w:pPr>
      <w:r>
        <w:rPr>
          <w:highlight w:val="none"/>
        </w:rPr>
        <w:t>砌筑交接处：外墙转角及纵横墙交接处，应将砌块分皮咬槎，交错搭砌，如果不能咬槎时，按设计要求采取其它的构造措施。</w:t>
      </w:r>
    </w:p>
    <w:p w14:paraId="69D46791">
      <w:pPr>
        <w:numPr>
          <w:ilvl w:val="0"/>
          <w:numId w:val="57"/>
        </w:numPr>
        <w:ind w:firstLine="480"/>
        <w:rPr>
          <w:rFonts w:hint="eastAsia"/>
          <w:highlight w:val="none"/>
        </w:rPr>
      </w:pPr>
      <w:r>
        <w:rPr>
          <w:highlight w:val="none"/>
        </w:rPr>
        <w:t>砌体垂直缝：砌体垂直缝与门窗洞口边线应避开同缝，且不得采用砖镶砌。</w:t>
      </w:r>
    </w:p>
    <w:p w14:paraId="14961EEA">
      <w:pPr>
        <w:numPr>
          <w:ilvl w:val="0"/>
          <w:numId w:val="57"/>
        </w:numPr>
        <w:ind w:firstLine="480"/>
        <w:rPr>
          <w:rFonts w:hint="eastAsia"/>
          <w:highlight w:val="none"/>
        </w:rPr>
      </w:pPr>
      <w:r>
        <w:rPr>
          <w:highlight w:val="none"/>
        </w:rPr>
        <w:t>灰缝：砌体水平灰缝和竖向灰缝宽度不应超过</w:t>
      </w:r>
      <w:r>
        <w:rPr>
          <w:rFonts w:hint="eastAsia"/>
          <w:highlight w:val="none"/>
        </w:rPr>
        <w:t>15mm</w:t>
      </w:r>
      <w:r>
        <w:rPr>
          <w:highlight w:val="none"/>
        </w:rPr>
        <w:t>。砌筑灰缝应饱满、无通缝、瞎缝，要求双面勾缝。</w:t>
      </w:r>
    </w:p>
    <w:p w14:paraId="5E2CA670">
      <w:pPr>
        <w:pStyle w:val="5"/>
        <w:rPr>
          <w:rFonts w:hint="eastAsia"/>
          <w:highlight w:val="none"/>
        </w:rPr>
      </w:pPr>
      <w:r>
        <w:rPr>
          <w:rFonts w:hint="eastAsia"/>
          <w:highlight w:val="none"/>
        </w:rPr>
        <w:t>砌筑小样图和排砖图</w:t>
      </w:r>
    </w:p>
    <w:p w14:paraId="71F9EFB3">
      <w:pPr>
        <w:numPr>
          <w:ilvl w:val="0"/>
          <w:numId w:val="58"/>
        </w:numPr>
        <w:ind w:firstLine="480"/>
        <w:rPr>
          <w:rFonts w:hint="eastAsia"/>
          <w:highlight w:val="none"/>
        </w:rPr>
      </w:pPr>
      <w:r>
        <w:rPr>
          <w:highlight w:val="none"/>
        </w:rPr>
        <w:t>总承包人负责对建筑图、结构图、水电图纸及装修图进行详细审查并通过图纸深化保证图纸交圈。</w:t>
      </w:r>
    </w:p>
    <w:p w14:paraId="1C6D9E24">
      <w:pPr>
        <w:numPr>
          <w:ilvl w:val="0"/>
          <w:numId w:val="58"/>
        </w:numPr>
        <w:ind w:firstLine="480"/>
        <w:rPr>
          <w:rFonts w:hint="eastAsia"/>
          <w:highlight w:val="none"/>
        </w:rPr>
      </w:pPr>
      <w:r>
        <w:rPr>
          <w:highlight w:val="none"/>
        </w:rPr>
        <w:t>总承包人在大面积砌筑施工之前须编制各户型砌筑小样图和排砖图，并经监理人/发包人审核后，由总承包人组织施工班组针对小样图、排砖图和砌筑各工序要求的技术交底会，并形成交底记录。</w:t>
      </w:r>
    </w:p>
    <w:p w14:paraId="34588526">
      <w:pPr>
        <w:numPr>
          <w:ilvl w:val="0"/>
          <w:numId w:val="58"/>
        </w:numPr>
        <w:ind w:firstLine="480"/>
        <w:rPr>
          <w:rFonts w:hint="eastAsia"/>
          <w:highlight w:val="none"/>
        </w:rPr>
      </w:pPr>
      <w:r>
        <w:rPr>
          <w:highlight w:val="none"/>
        </w:rPr>
        <w:t>砌筑小样图中包括砌筑阶段开间进深尺寸、外门窗洞口及室内各门窗洞口尺寸，窗台压顶标高等。</w:t>
      </w:r>
    </w:p>
    <w:p w14:paraId="42F8D3E1">
      <w:pPr>
        <w:numPr>
          <w:ilvl w:val="0"/>
          <w:numId w:val="58"/>
        </w:numPr>
        <w:ind w:firstLine="480"/>
        <w:rPr>
          <w:rFonts w:hint="eastAsia"/>
          <w:highlight w:val="none"/>
        </w:rPr>
      </w:pPr>
      <w:r>
        <w:rPr>
          <w:highlight w:val="none"/>
        </w:rPr>
        <w:t>排砖图中，明确各墙体、洞口处通过施工过程中利用灰缝宽度控制，提升砌筑墙体观感质量。</w:t>
      </w:r>
    </w:p>
    <w:p w14:paraId="5EE526BE">
      <w:pPr>
        <w:numPr>
          <w:ilvl w:val="0"/>
          <w:numId w:val="58"/>
        </w:numPr>
        <w:ind w:firstLine="480"/>
        <w:rPr>
          <w:rFonts w:hint="eastAsia"/>
          <w:highlight w:val="none"/>
        </w:rPr>
      </w:pPr>
      <w:r>
        <w:rPr>
          <w:highlight w:val="none"/>
        </w:rPr>
        <w:t>砌筑小样图、排砖图必须贴置于对应户型内。</w:t>
      </w:r>
    </w:p>
    <w:p w14:paraId="180C3638">
      <w:pPr>
        <w:numPr>
          <w:ilvl w:val="0"/>
          <w:numId w:val="58"/>
        </w:numPr>
        <w:ind w:firstLine="480"/>
        <w:rPr>
          <w:rFonts w:hint="eastAsia"/>
          <w:highlight w:val="none"/>
        </w:rPr>
      </w:pPr>
      <w:r>
        <w:rPr>
          <w:highlight w:val="none"/>
        </w:rPr>
        <w:t>门窗洞口预留混凝土块数量、间距应满足国家和地方标准要求。</w:t>
      </w:r>
    </w:p>
    <w:p w14:paraId="2788CB1A">
      <w:pPr>
        <w:pStyle w:val="5"/>
        <w:rPr>
          <w:rFonts w:hint="eastAsia"/>
          <w:highlight w:val="none"/>
        </w:rPr>
      </w:pPr>
      <w:r>
        <w:rPr>
          <w:rFonts w:hint="eastAsia"/>
          <w:highlight w:val="none"/>
        </w:rPr>
        <w:t>砌筑控制线</w:t>
      </w:r>
    </w:p>
    <w:p w14:paraId="45E4663B">
      <w:pPr>
        <w:ind w:firstLine="480"/>
        <w:rPr>
          <w:rFonts w:hint="eastAsia"/>
          <w:highlight w:val="none"/>
        </w:rPr>
      </w:pPr>
      <w:r>
        <w:rPr>
          <w:rFonts w:hint="eastAsia"/>
          <w:highlight w:val="none"/>
        </w:rPr>
        <w:t>砌筑前每个房间必须设置建筑1</w:t>
      </w:r>
      <w:r>
        <w:rPr>
          <w:highlight w:val="none"/>
        </w:rPr>
        <w:t>m</w:t>
      </w:r>
      <w:r>
        <w:rPr>
          <w:rFonts w:hint="eastAsia"/>
          <w:highlight w:val="none"/>
        </w:rPr>
        <w:t>控制线、砌筑边线、房间控制线、门窗洞口控制线等，总承包人须采取措施确保控制线的准确性。</w:t>
      </w:r>
    </w:p>
    <w:p w14:paraId="6632D1B4">
      <w:pPr>
        <w:numPr>
          <w:ilvl w:val="1"/>
          <w:numId w:val="59"/>
        </w:numPr>
        <w:ind w:firstLine="480"/>
        <w:rPr>
          <w:rFonts w:hint="eastAsia"/>
          <w:highlight w:val="none"/>
        </w:rPr>
      </w:pPr>
      <w:r>
        <w:rPr>
          <w:rFonts w:hint="eastAsia"/>
          <w:highlight w:val="none"/>
        </w:rPr>
        <w:t>房间控制线：在卧室、客厅、电梯前室等每个房间地面距纵横墙体300mm处和中心点用十字交叉线标出四个角及中心点，用红色油漆标识。</w:t>
      </w:r>
    </w:p>
    <w:p w14:paraId="46A3D24A">
      <w:pPr>
        <w:numPr>
          <w:ilvl w:val="1"/>
          <w:numId w:val="59"/>
        </w:numPr>
        <w:ind w:firstLine="480"/>
        <w:rPr>
          <w:rFonts w:hint="eastAsia"/>
          <w:highlight w:val="none"/>
        </w:rPr>
      </w:pPr>
      <w:r>
        <w:rPr>
          <w:rFonts w:hint="eastAsia"/>
          <w:highlight w:val="none"/>
        </w:rPr>
        <w:t>标高控制线：在墙上用墨斗弹出建筑1m线，弹线清晰并交圈，用红色油漆标识“建筑1m线”字样。</w:t>
      </w:r>
    </w:p>
    <w:p w14:paraId="15C729F1">
      <w:pPr>
        <w:numPr>
          <w:ilvl w:val="1"/>
          <w:numId w:val="59"/>
        </w:numPr>
        <w:ind w:firstLine="480"/>
        <w:rPr>
          <w:rFonts w:hint="eastAsia"/>
          <w:highlight w:val="none"/>
        </w:rPr>
      </w:pPr>
      <w:r>
        <w:rPr>
          <w:rFonts w:hint="eastAsia"/>
          <w:highlight w:val="none"/>
        </w:rPr>
        <w:t>楼层主控轴线：在地面用墨斗弹出楼层主控轴线，弹线清晰，轴线准确。</w:t>
      </w:r>
    </w:p>
    <w:p w14:paraId="14A0B9DA">
      <w:pPr>
        <w:pStyle w:val="5"/>
        <w:rPr>
          <w:rFonts w:hint="eastAsia"/>
          <w:highlight w:val="none"/>
        </w:rPr>
      </w:pPr>
      <w:r>
        <w:rPr>
          <w:rFonts w:hint="eastAsia"/>
          <w:highlight w:val="none"/>
        </w:rPr>
        <w:t>关键控制点</w:t>
      </w:r>
    </w:p>
    <w:p w14:paraId="7506959E">
      <w:pPr>
        <w:numPr>
          <w:ilvl w:val="1"/>
          <w:numId w:val="60"/>
        </w:numPr>
        <w:ind w:firstLine="480"/>
        <w:rPr>
          <w:rFonts w:hint="eastAsia"/>
          <w:highlight w:val="none"/>
        </w:rPr>
      </w:pPr>
      <w:r>
        <w:rPr>
          <w:rFonts w:hint="eastAsia"/>
          <w:highlight w:val="none"/>
        </w:rPr>
        <w:t>砌体材料至工地及施工作业面，应有防磕碰及防潮措施，场内转运应采用平板车运输。</w:t>
      </w:r>
    </w:p>
    <w:p w14:paraId="18A6BBCC">
      <w:pPr>
        <w:numPr>
          <w:ilvl w:val="1"/>
          <w:numId w:val="60"/>
        </w:numPr>
        <w:ind w:firstLine="480"/>
        <w:rPr>
          <w:rFonts w:hint="eastAsia"/>
          <w:highlight w:val="none"/>
        </w:rPr>
      </w:pPr>
      <w:r>
        <w:rPr>
          <w:rFonts w:hint="eastAsia"/>
          <w:highlight w:val="none"/>
        </w:rPr>
        <w:t>砌筑施工过程中，必须双面挂天地线和水平控制线，以保证砌筑墙体的垂直、平整、方正性、灰缝的宽度及观感质量。</w:t>
      </w:r>
    </w:p>
    <w:p w14:paraId="4F7F3C14">
      <w:pPr>
        <w:numPr>
          <w:ilvl w:val="1"/>
          <w:numId w:val="60"/>
        </w:numPr>
        <w:ind w:firstLine="480"/>
        <w:rPr>
          <w:rFonts w:hint="eastAsia"/>
          <w:highlight w:val="none"/>
        </w:rPr>
      </w:pPr>
      <w:r>
        <w:rPr>
          <w:highlight w:val="none"/>
        </w:rPr>
        <w:t>砌筑工程中不同材料交接处（包括构造柱与砌体结构间）挂设耐碱玻纤维网或镀锌钢丝网，挂网前墙体高低差部分采用水泥砂浆填补，交接处每边搭接宽度不小于</w:t>
      </w:r>
      <w:r>
        <w:rPr>
          <w:rFonts w:hint="eastAsia"/>
          <w:highlight w:val="none"/>
        </w:rPr>
        <w:t>100</w:t>
      </w:r>
      <w:r>
        <w:rPr>
          <w:highlight w:val="none"/>
        </w:rPr>
        <w:t>mm，宽度方向两侧分别固定，做到绷紧、牢固、与基层贴合密实。</w:t>
      </w:r>
    </w:p>
    <w:p w14:paraId="5F30A33B">
      <w:pPr>
        <w:numPr>
          <w:ilvl w:val="1"/>
          <w:numId w:val="60"/>
        </w:numPr>
        <w:ind w:firstLine="480"/>
        <w:rPr>
          <w:rFonts w:hint="eastAsia"/>
          <w:highlight w:val="none"/>
        </w:rPr>
      </w:pPr>
      <w:r>
        <w:rPr>
          <w:highlight w:val="none"/>
        </w:rPr>
        <w:t>灰缝饱满，顶砖规范，按要求设置圈梁、构造柱。</w:t>
      </w:r>
    </w:p>
    <w:p w14:paraId="67F2F1B6">
      <w:pPr>
        <w:pStyle w:val="4"/>
        <w:rPr>
          <w:rFonts w:hint="eastAsia"/>
          <w:highlight w:val="none"/>
        </w:rPr>
      </w:pPr>
      <w:r>
        <w:rPr>
          <w:rFonts w:hint="eastAsia"/>
          <w:highlight w:val="none"/>
        </w:rPr>
        <w:t>二次结构</w:t>
      </w:r>
    </w:p>
    <w:p w14:paraId="6E2FC6CE">
      <w:pPr>
        <w:numPr>
          <w:ilvl w:val="1"/>
          <w:numId w:val="61"/>
        </w:numPr>
        <w:ind w:firstLine="480"/>
        <w:rPr>
          <w:rFonts w:hint="eastAsia"/>
          <w:highlight w:val="none"/>
        </w:rPr>
      </w:pPr>
      <w:r>
        <w:rPr>
          <w:rFonts w:hint="eastAsia"/>
          <w:highlight w:val="none"/>
        </w:rPr>
        <w:t>质量标准：结构定位准确、高度符合要求，且与一次结构结合密实，混凝土浇捣观感同一次结构要求。</w:t>
      </w:r>
    </w:p>
    <w:p w14:paraId="39EAB80F">
      <w:pPr>
        <w:numPr>
          <w:ilvl w:val="1"/>
          <w:numId w:val="61"/>
        </w:numPr>
        <w:ind w:firstLine="480"/>
        <w:rPr>
          <w:rFonts w:hint="eastAsia"/>
          <w:highlight w:val="none"/>
        </w:rPr>
      </w:pPr>
      <w:r>
        <w:rPr>
          <w:rFonts w:hint="eastAsia"/>
          <w:highlight w:val="none"/>
        </w:rPr>
        <w:t>现场应先做好混凝土导墙尺寸控制线弹线，严格控制导墙宽度与高度，导墙凿毛边线部位采用无齿锯进行切割。</w:t>
      </w:r>
    </w:p>
    <w:p w14:paraId="7CA3EE96">
      <w:pPr>
        <w:numPr>
          <w:ilvl w:val="1"/>
          <w:numId w:val="61"/>
        </w:numPr>
        <w:ind w:firstLine="480"/>
        <w:rPr>
          <w:rFonts w:hint="eastAsia"/>
          <w:highlight w:val="none"/>
        </w:rPr>
      </w:pPr>
      <w:r>
        <w:rPr>
          <w:rFonts w:hint="eastAsia"/>
          <w:highlight w:val="none"/>
        </w:rPr>
        <w:t>应准备专业的凿毛工具（剔凿锤、或自制工具），去除结构浮浆面，使结合面形成规整的带状面。凿至露出粗骨料，立面剔凿应高出导墙高度约1cm。</w:t>
      </w:r>
    </w:p>
    <w:p w14:paraId="3804FA36">
      <w:pPr>
        <w:numPr>
          <w:ilvl w:val="1"/>
          <w:numId w:val="61"/>
        </w:numPr>
        <w:ind w:firstLine="480"/>
        <w:rPr>
          <w:rFonts w:hint="eastAsia"/>
          <w:highlight w:val="none"/>
        </w:rPr>
      </w:pPr>
      <w:r>
        <w:rPr>
          <w:rFonts w:hint="eastAsia"/>
          <w:highlight w:val="none"/>
        </w:rPr>
        <w:t>根据弹好的导墙控制线安装模板，保证模板的拼接严密、支撑牢固、安装位置正确，模板表面平整、光滑，表面刷好脱模剂。</w:t>
      </w:r>
    </w:p>
    <w:p w14:paraId="31FFBE10">
      <w:pPr>
        <w:numPr>
          <w:ilvl w:val="1"/>
          <w:numId w:val="61"/>
        </w:numPr>
        <w:ind w:firstLine="480"/>
        <w:rPr>
          <w:rFonts w:hint="eastAsia"/>
          <w:highlight w:val="none"/>
        </w:rPr>
      </w:pPr>
      <w:r>
        <w:rPr>
          <w:rFonts w:hint="eastAsia"/>
          <w:highlight w:val="none"/>
        </w:rPr>
        <w:t>混凝土导墙浇筑时，应采用小型振动棒对混凝土振捣，必须均匀密实。</w:t>
      </w:r>
    </w:p>
    <w:p w14:paraId="3B2B3A7D">
      <w:pPr>
        <w:numPr>
          <w:ilvl w:val="1"/>
          <w:numId w:val="61"/>
        </w:numPr>
        <w:ind w:firstLine="480"/>
        <w:rPr>
          <w:rFonts w:hint="eastAsia"/>
          <w:highlight w:val="none"/>
        </w:rPr>
      </w:pPr>
      <w:r>
        <w:rPr>
          <w:rFonts w:hint="eastAsia"/>
          <w:highlight w:val="none"/>
        </w:rPr>
        <w:t>应重视后期的养护、成品保护阶段，避免养护不到位出现开裂，或成品保护不到位人为破坏现象。</w:t>
      </w:r>
    </w:p>
    <w:p w14:paraId="046F9C9D">
      <w:pPr>
        <w:pStyle w:val="4"/>
        <w:numPr>
          <w:ilvl w:val="2"/>
          <w:numId w:val="13"/>
        </w:numPr>
        <w:rPr>
          <w:rFonts w:hint="eastAsia"/>
          <w:highlight w:val="none"/>
        </w:rPr>
      </w:pPr>
      <w:r>
        <w:rPr>
          <w:rFonts w:hint="eastAsia"/>
          <w:highlight w:val="none"/>
        </w:rPr>
        <w:t>隔墙板施工</w:t>
      </w:r>
    </w:p>
    <w:p w14:paraId="48D7E649">
      <w:pPr>
        <w:pStyle w:val="5"/>
        <w:numPr>
          <w:ilvl w:val="3"/>
          <w:numId w:val="13"/>
        </w:numPr>
        <w:rPr>
          <w:rFonts w:hint="eastAsia"/>
          <w:highlight w:val="none"/>
        </w:rPr>
      </w:pPr>
      <w:r>
        <w:rPr>
          <w:rFonts w:hint="eastAsia"/>
          <w:highlight w:val="none"/>
        </w:rPr>
        <w:t>主材材质要求</w:t>
      </w:r>
    </w:p>
    <w:p w14:paraId="1DAA61A7">
      <w:pPr>
        <w:numPr>
          <w:ilvl w:val="1"/>
          <w:numId w:val="62"/>
        </w:numPr>
        <w:ind w:firstLine="480"/>
        <w:rPr>
          <w:rFonts w:hint="eastAsia"/>
          <w:highlight w:val="none"/>
        </w:rPr>
      </w:pPr>
      <w:r>
        <w:rPr>
          <w:rFonts w:hint="eastAsia"/>
          <w:highlight w:val="none"/>
        </w:rPr>
        <w:t>隔墙板安装应采用与隔墙板材质匹配的专用粘接砂浆进行粘接。粘接砂浆应使用电动工具搅拌均匀。粘接砂浆随拌随用，拌合后宜在2小时内用完。</w:t>
      </w:r>
    </w:p>
    <w:p w14:paraId="2C71030F">
      <w:pPr>
        <w:numPr>
          <w:ilvl w:val="1"/>
          <w:numId w:val="62"/>
        </w:numPr>
        <w:ind w:firstLine="480"/>
        <w:rPr>
          <w:rFonts w:hint="eastAsia"/>
          <w:highlight w:val="none"/>
        </w:rPr>
      </w:pPr>
      <w:r>
        <w:rPr>
          <w:rFonts w:hint="eastAsia"/>
          <w:highlight w:val="none"/>
        </w:rPr>
        <w:t>隔墙板外观质量指标、物理性能指标和尺寸允许偏差应满足国家和行业规范要求。</w:t>
      </w:r>
    </w:p>
    <w:p w14:paraId="068F238E">
      <w:pPr>
        <w:pStyle w:val="5"/>
        <w:numPr>
          <w:ilvl w:val="3"/>
          <w:numId w:val="13"/>
        </w:numPr>
        <w:rPr>
          <w:rFonts w:hint="eastAsia"/>
          <w:highlight w:val="none"/>
        </w:rPr>
      </w:pPr>
      <w:r>
        <w:rPr>
          <w:rFonts w:hint="eastAsia"/>
          <w:highlight w:val="none"/>
        </w:rPr>
        <w:t>隔墙板安装</w:t>
      </w:r>
    </w:p>
    <w:p w14:paraId="3C53AE8A">
      <w:pPr>
        <w:numPr>
          <w:ilvl w:val="1"/>
          <w:numId w:val="63"/>
        </w:numPr>
        <w:ind w:firstLine="480"/>
        <w:rPr>
          <w:rFonts w:hint="eastAsia"/>
          <w:highlight w:val="none"/>
        </w:rPr>
      </w:pPr>
      <w:r>
        <w:rPr>
          <w:highlight w:val="none"/>
        </w:rPr>
        <w:t>在板的企口处应均匀刮满厚度不少于10mm的粘结材料，板缝间隙应揉挤严密，把挤出的砂浆刮平，缝隙不大于8mm。</w:t>
      </w:r>
    </w:p>
    <w:p w14:paraId="715BC78F">
      <w:pPr>
        <w:numPr>
          <w:ilvl w:val="1"/>
          <w:numId w:val="63"/>
        </w:numPr>
        <w:ind w:firstLine="480"/>
        <w:rPr>
          <w:rFonts w:hint="eastAsia"/>
          <w:highlight w:val="none"/>
        </w:rPr>
      </w:pPr>
      <w:r>
        <w:rPr>
          <w:highlight w:val="none"/>
        </w:rPr>
        <w:t>板与板之间的凹槽内应满贴网格布并采用粘接砂浆抹平；墙板阴角交接部位必须挂网格布做加强处理。</w:t>
      </w:r>
    </w:p>
    <w:p w14:paraId="6903BA93">
      <w:pPr>
        <w:numPr>
          <w:ilvl w:val="1"/>
          <w:numId w:val="63"/>
        </w:numPr>
        <w:ind w:firstLine="480"/>
        <w:rPr>
          <w:rFonts w:hint="eastAsia"/>
          <w:highlight w:val="none"/>
        </w:rPr>
      </w:pPr>
      <w:r>
        <w:rPr>
          <w:highlight w:val="none"/>
        </w:rPr>
        <w:t>为保证隔墙的使用功能，应尽量采用整板拼装。当隔墙端部尺寸不足一块标准板宽时，应按尺寸要求补板，补板宽度不宜小于200mm。</w:t>
      </w:r>
    </w:p>
    <w:p w14:paraId="4F197C88">
      <w:pPr>
        <w:numPr>
          <w:ilvl w:val="1"/>
          <w:numId w:val="63"/>
        </w:numPr>
        <w:ind w:firstLine="480"/>
        <w:rPr>
          <w:rFonts w:hint="eastAsia"/>
          <w:highlight w:val="none"/>
        </w:rPr>
      </w:pPr>
      <w:r>
        <w:rPr>
          <w:highlight w:val="none"/>
        </w:rPr>
        <w:t>在结构墙柱加上U型钢卡，采用射钉固定，钢卡竖向间距不应大于1000mm。</w:t>
      </w:r>
    </w:p>
    <w:p w14:paraId="1FCB5329">
      <w:pPr>
        <w:numPr>
          <w:ilvl w:val="1"/>
          <w:numId w:val="63"/>
        </w:numPr>
        <w:ind w:firstLine="480"/>
        <w:rPr>
          <w:rFonts w:hint="eastAsia"/>
          <w:highlight w:val="none"/>
        </w:rPr>
      </w:pPr>
      <w:r>
        <w:rPr>
          <w:highlight w:val="none"/>
        </w:rPr>
        <w:t>墙板顶面与混凝土楼板顶紧，在墙板顶部加上L型钢卡，采用射钉固定，钢卡横向间距不应大于600mm；隔墙板上口孔洞采用泡沫块填塞后刮满厚度不少于10mm的粘结材料。隔墙板与板之间交接处贴网格布并采用粘接砂浆抹平。</w:t>
      </w:r>
    </w:p>
    <w:p w14:paraId="564218FF">
      <w:pPr>
        <w:numPr>
          <w:ilvl w:val="1"/>
          <w:numId w:val="63"/>
        </w:numPr>
        <w:ind w:firstLine="480"/>
        <w:rPr>
          <w:rFonts w:hint="eastAsia"/>
          <w:highlight w:val="none"/>
        </w:rPr>
      </w:pPr>
      <w:r>
        <w:rPr>
          <w:highlight w:val="none"/>
        </w:rPr>
        <w:t>板下端离地面保持10mm～20mm空高；打入木楔的位置应选择在墙板的实心肋位置，在墙板隔墙与楼地面空隙处，用水泥砂浆填实；利用木楔调整位置，两个木楔为一组，使墙板就位，可将板垂直向上挤压、顶紧梁、板，底部应固定好；木楔应在立板养护7d后取出并用砂浆填实楔孔。</w:t>
      </w:r>
    </w:p>
    <w:p w14:paraId="40C5C4F4">
      <w:pPr>
        <w:numPr>
          <w:ilvl w:val="1"/>
          <w:numId w:val="63"/>
        </w:numPr>
        <w:ind w:firstLine="480"/>
        <w:rPr>
          <w:rFonts w:hint="eastAsia"/>
          <w:highlight w:val="none"/>
        </w:rPr>
      </w:pPr>
      <w:r>
        <w:rPr>
          <w:highlight w:val="none"/>
        </w:rPr>
        <w:t>为考虑后期业主门安装固定及对门头板的支撑，门边板和门头板第一孔须采用砂浆填满孔洞；门头板须搭接在门边板上，搭接距离不小于一孔的宽度，门边板与门头板交接处须贴加强网格布并采用砂浆抹平。</w:t>
      </w:r>
    </w:p>
    <w:p w14:paraId="7E21A811">
      <w:pPr>
        <w:numPr>
          <w:ilvl w:val="1"/>
          <w:numId w:val="63"/>
        </w:numPr>
        <w:ind w:firstLine="480"/>
        <w:rPr>
          <w:rFonts w:hint="eastAsia"/>
          <w:highlight w:val="none"/>
        </w:rPr>
      </w:pPr>
      <w:r>
        <w:rPr>
          <w:highlight w:val="none"/>
        </w:rPr>
        <w:t>当门头板与结构墙柱相接部位，在结构墙柱上须设置3mm厚L型钢制托架，对门头板进行支撑；门头板另一侧须搭接在门边板上，门头板只允许一侧与混凝土墙柱采用托架支撑固定，另一侧必须为搭接，不允许两侧均与混凝土结构平接。</w:t>
      </w:r>
      <w:r>
        <w:rPr>
          <w:rFonts w:hint="eastAsia"/>
          <w:highlight w:val="none"/>
        </w:rPr>
        <w:t xml:space="preserve"> </w:t>
      </w:r>
    </w:p>
    <w:p w14:paraId="6C3995CD">
      <w:pPr>
        <w:pStyle w:val="5"/>
        <w:numPr>
          <w:ilvl w:val="3"/>
          <w:numId w:val="13"/>
        </w:numPr>
        <w:rPr>
          <w:rFonts w:hint="eastAsia"/>
          <w:highlight w:val="none"/>
        </w:rPr>
      </w:pPr>
      <w:r>
        <w:rPr>
          <w:rFonts w:hint="eastAsia"/>
          <w:highlight w:val="none"/>
        </w:rPr>
        <w:t>隔墙板水电开槽</w:t>
      </w:r>
    </w:p>
    <w:p w14:paraId="7834BC9A">
      <w:pPr>
        <w:numPr>
          <w:ilvl w:val="1"/>
          <w:numId w:val="64"/>
        </w:numPr>
        <w:ind w:firstLine="480"/>
        <w:rPr>
          <w:rFonts w:hint="eastAsia"/>
          <w:highlight w:val="none"/>
        </w:rPr>
      </w:pPr>
      <w:r>
        <w:rPr>
          <w:highlight w:val="none"/>
        </w:rPr>
        <w:t>水管、电线尽量从吊顶内/地板上走到水电定位的上/下方，然后在墙板的上/下方开一个小口，让水电管线由墙板孔洞直接走到水电定位点，最后用切割机在水电定位点的位置开口进行水电管线安装，安装完毕后采用细石混凝土进行封堵。</w:t>
      </w:r>
    </w:p>
    <w:p w14:paraId="1A3445C7">
      <w:pPr>
        <w:numPr>
          <w:ilvl w:val="1"/>
          <w:numId w:val="64"/>
        </w:numPr>
        <w:ind w:firstLine="480"/>
        <w:rPr>
          <w:rFonts w:hint="eastAsia"/>
          <w:highlight w:val="none"/>
        </w:rPr>
      </w:pPr>
      <w:r>
        <w:rPr>
          <w:highlight w:val="none"/>
        </w:rPr>
        <w:t>开槽长度不应大于墙板宽度的1/2（300mm），开槽深度不得大于40mm，不得在隔墙两侧同一部位开槽、开洞，其间距应至少错开150mm。</w:t>
      </w:r>
    </w:p>
    <w:p w14:paraId="62659113">
      <w:pPr>
        <w:pStyle w:val="5"/>
        <w:numPr>
          <w:ilvl w:val="3"/>
          <w:numId w:val="13"/>
        </w:numPr>
        <w:rPr>
          <w:rFonts w:hint="eastAsia"/>
          <w:highlight w:val="none"/>
        </w:rPr>
      </w:pPr>
      <w:r>
        <w:rPr>
          <w:rFonts w:hint="eastAsia"/>
          <w:highlight w:val="none"/>
        </w:rPr>
        <w:t>防开裂措施</w:t>
      </w:r>
    </w:p>
    <w:p w14:paraId="6D7B5F11">
      <w:pPr>
        <w:numPr>
          <w:ilvl w:val="1"/>
          <w:numId w:val="65"/>
        </w:numPr>
        <w:ind w:firstLine="480"/>
        <w:rPr>
          <w:rFonts w:hint="eastAsia"/>
          <w:highlight w:val="none"/>
        </w:rPr>
      </w:pPr>
      <w:r>
        <w:rPr>
          <w:rFonts w:hint="eastAsia"/>
          <w:highlight w:val="none"/>
        </w:rPr>
        <w:t>进场墙板须满足《GB15762-2020蒸压加气混凝土板》的规范要求后才能出厂到工地安装；</w:t>
      </w:r>
    </w:p>
    <w:p w14:paraId="30FAEEDC">
      <w:pPr>
        <w:numPr>
          <w:ilvl w:val="1"/>
          <w:numId w:val="65"/>
        </w:numPr>
        <w:ind w:firstLine="480"/>
        <w:rPr>
          <w:rFonts w:hint="eastAsia"/>
          <w:highlight w:val="none"/>
        </w:rPr>
      </w:pPr>
      <w:r>
        <w:rPr>
          <w:rFonts w:hint="eastAsia"/>
          <w:highlight w:val="none"/>
        </w:rPr>
        <w:t>养护期：蒸压加气混凝土板出釜后应在厂内存放7d，养护28天以上方能出厂，并保证出场强度不能低于设计强度的75%。</w:t>
      </w:r>
    </w:p>
    <w:p w14:paraId="25AA461D">
      <w:pPr>
        <w:numPr>
          <w:ilvl w:val="1"/>
          <w:numId w:val="65"/>
        </w:numPr>
        <w:ind w:firstLine="480"/>
        <w:rPr>
          <w:rFonts w:hint="eastAsia"/>
          <w:highlight w:val="none"/>
        </w:rPr>
      </w:pPr>
      <w:r>
        <w:rPr>
          <w:highlight w:val="none"/>
        </w:rPr>
        <w:t>板材的干密度、抗压强度、干燥收缩值应符合规范要求；</w:t>
      </w:r>
    </w:p>
    <w:p w14:paraId="1050985C">
      <w:pPr>
        <w:numPr>
          <w:ilvl w:val="1"/>
          <w:numId w:val="65"/>
        </w:numPr>
        <w:ind w:firstLine="480"/>
        <w:rPr>
          <w:rFonts w:hint="eastAsia"/>
          <w:highlight w:val="none"/>
        </w:rPr>
      </w:pPr>
      <w:r>
        <w:rPr>
          <w:highlight w:val="none"/>
        </w:rPr>
        <w:t>墙板安装必须砂浆饱满，使用的砂浆必须按本方案要求；</w:t>
      </w:r>
    </w:p>
    <w:p w14:paraId="7EF1C262">
      <w:pPr>
        <w:numPr>
          <w:ilvl w:val="1"/>
          <w:numId w:val="65"/>
        </w:numPr>
        <w:ind w:firstLine="480"/>
        <w:rPr>
          <w:rFonts w:hint="eastAsia"/>
          <w:highlight w:val="none"/>
        </w:rPr>
      </w:pPr>
      <w:r>
        <w:rPr>
          <w:highlight w:val="none"/>
        </w:rPr>
        <w:t>墙板安装完成后7天内禁止在墙板上作业和敲打，防止松动开裂；</w:t>
      </w:r>
    </w:p>
    <w:p w14:paraId="1BBB15F3">
      <w:pPr>
        <w:numPr>
          <w:ilvl w:val="1"/>
          <w:numId w:val="65"/>
        </w:numPr>
        <w:ind w:firstLine="480"/>
        <w:rPr>
          <w:rFonts w:hint="eastAsia"/>
          <w:highlight w:val="none"/>
        </w:rPr>
      </w:pPr>
      <w:r>
        <w:rPr>
          <w:highlight w:val="none"/>
        </w:rPr>
        <w:t>墙板安装时板与板直接必须使用专用砂浆进行粘接，安装完成后少需要等待28天后再使用白砂浆处理V字槽，若现场条件允许可待整栋楼安装完成之后处理V字槽；</w:t>
      </w:r>
    </w:p>
    <w:p w14:paraId="7345D7ED">
      <w:pPr>
        <w:numPr>
          <w:ilvl w:val="1"/>
          <w:numId w:val="65"/>
        </w:numPr>
        <w:ind w:firstLine="480"/>
        <w:rPr>
          <w:rFonts w:hint="eastAsia"/>
          <w:highlight w:val="none"/>
        </w:rPr>
      </w:pPr>
      <w:r>
        <w:rPr>
          <w:highlight w:val="none"/>
        </w:rPr>
        <w:t>已安装上的墙板应防止水淋，避免湿胀干缩；</w:t>
      </w:r>
    </w:p>
    <w:p w14:paraId="59799855">
      <w:pPr>
        <w:numPr>
          <w:ilvl w:val="1"/>
          <w:numId w:val="65"/>
        </w:numPr>
        <w:ind w:firstLine="480"/>
        <w:rPr>
          <w:rFonts w:hint="eastAsia"/>
          <w:highlight w:val="none"/>
        </w:rPr>
      </w:pPr>
      <w:r>
        <w:rPr>
          <w:highlight w:val="none"/>
        </w:rPr>
        <w:t>安装时粘接的专用砂浆须饱满，灰缝控制在5mm-8mm左右；</w:t>
      </w:r>
    </w:p>
    <w:p w14:paraId="28D5CAD3">
      <w:pPr>
        <w:pStyle w:val="5"/>
        <w:numPr>
          <w:ilvl w:val="3"/>
          <w:numId w:val="13"/>
        </w:numPr>
        <w:rPr>
          <w:rFonts w:hint="eastAsia"/>
          <w:highlight w:val="none"/>
        </w:rPr>
      </w:pPr>
      <w:r>
        <w:rPr>
          <w:rFonts w:hint="eastAsia"/>
          <w:highlight w:val="none"/>
        </w:rPr>
        <w:t xml:space="preserve">ALC板拼缝处理： </w:t>
      </w:r>
    </w:p>
    <w:p w14:paraId="2CD2C13E">
      <w:pPr>
        <w:numPr>
          <w:ilvl w:val="1"/>
          <w:numId w:val="66"/>
        </w:numPr>
        <w:ind w:firstLine="480"/>
        <w:rPr>
          <w:rFonts w:hint="eastAsia"/>
          <w:highlight w:val="none"/>
        </w:rPr>
      </w:pPr>
      <w:r>
        <w:rPr>
          <w:highlight w:val="none"/>
        </w:rPr>
        <w:t xml:space="preserve">ALC墙板与墙板对接时自然靠拢，两板间缝隙不大于 5mm，墙板外侧板缝采用专用密封胶封堵后，用专用粘结剂粘结；墙板内侧及内墙板两侧拼缝采用专用嵌缝剂封堵，板面挂宽度不小于 10cm 的耐碱玻纤网格布，每边 5cm，再采用专用粘结剂粘结。 </w:t>
      </w:r>
    </w:p>
    <w:p w14:paraId="2C4C3108">
      <w:pPr>
        <w:numPr>
          <w:ilvl w:val="1"/>
          <w:numId w:val="66"/>
        </w:numPr>
        <w:ind w:firstLine="480"/>
        <w:rPr>
          <w:rFonts w:hint="eastAsia"/>
          <w:highlight w:val="none"/>
        </w:rPr>
      </w:pPr>
      <w:r>
        <w:rPr>
          <w:highlight w:val="none"/>
        </w:rPr>
        <w:t xml:space="preserve">外墙板底部与基础、楼板交接部位的两侧板缝预留缝隙不大于 30cm，缝隙采用专用粘接剂塞缝；内墙板底部与基础、楼板交接部位的两侧板缝采用专用粘接剂塞缝。 </w:t>
      </w:r>
    </w:p>
    <w:p w14:paraId="0201BAA7">
      <w:pPr>
        <w:numPr>
          <w:ilvl w:val="1"/>
          <w:numId w:val="66"/>
        </w:numPr>
        <w:ind w:firstLine="480"/>
        <w:rPr>
          <w:rFonts w:hint="eastAsia"/>
          <w:highlight w:val="none"/>
        </w:rPr>
      </w:pPr>
      <w:r>
        <w:rPr>
          <w:highlight w:val="none"/>
        </w:rPr>
        <w:t xml:space="preserve">外墙板与其他墙、柱梁交接部位、外墙横板的竖缝外侧墙板、转角处竖缝外侧、温度缝等缝隙留设应不大于 20mm，缝隙采用专用粘接剂塞缝。 </w:t>
      </w:r>
    </w:p>
    <w:p w14:paraId="17625BBB">
      <w:pPr>
        <w:pStyle w:val="5"/>
        <w:numPr>
          <w:ilvl w:val="3"/>
          <w:numId w:val="13"/>
        </w:numPr>
        <w:rPr>
          <w:rFonts w:hint="eastAsia"/>
          <w:highlight w:val="none"/>
        </w:rPr>
      </w:pPr>
      <w:r>
        <w:rPr>
          <w:rFonts w:hint="eastAsia"/>
          <w:highlight w:val="none"/>
        </w:rPr>
        <w:t xml:space="preserve">洞口加固措施 </w:t>
      </w:r>
    </w:p>
    <w:p w14:paraId="3365DE38">
      <w:pPr>
        <w:numPr>
          <w:ilvl w:val="1"/>
          <w:numId w:val="67"/>
        </w:numPr>
        <w:ind w:firstLine="480"/>
        <w:rPr>
          <w:rFonts w:hint="eastAsia"/>
          <w:highlight w:val="none"/>
        </w:rPr>
      </w:pPr>
      <w:r>
        <w:rPr>
          <w:highlight w:val="none"/>
        </w:rPr>
        <w:t xml:space="preserve">洞口宽度≤300mm 时，可直接后开洞口。 </w:t>
      </w:r>
    </w:p>
    <w:p w14:paraId="660AC72F">
      <w:pPr>
        <w:numPr>
          <w:ilvl w:val="1"/>
          <w:numId w:val="67"/>
        </w:numPr>
        <w:ind w:firstLine="480"/>
        <w:rPr>
          <w:rFonts w:hint="eastAsia"/>
          <w:highlight w:val="none"/>
        </w:rPr>
      </w:pPr>
      <w:r>
        <w:rPr>
          <w:highlight w:val="none"/>
        </w:rPr>
        <w:t xml:space="preserve">洞口宽度 300＜b≤600 时，可跨两板板缝后开。 </w:t>
      </w:r>
    </w:p>
    <w:p w14:paraId="468842CC">
      <w:pPr>
        <w:numPr>
          <w:ilvl w:val="1"/>
          <w:numId w:val="67"/>
        </w:numPr>
        <w:ind w:firstLine="480"/>
        <w:rPr>
          <w:rFonts w:hint="eastAsia"/>
          <w:highlight w:val="none"/>
        </w:rPr>
      </w:pPr>
      <w:r>
        <w:rPr>
          <w:highlight w:val="none"/>
        </w:rPr>
        <w:t xml:space="preserve">洞口宽度＞600 时，洞口应采取加固措施，洞口各边采用 100*8 的扁钢进行加固，扁钢与墙板每间距 300mm 采用φ6 自攻螺钉连接。 </w:t>
      </w:r>
    </w:p>
    <w:p w14:paraId="74775516">
      <w:pPr>
        <w:pStyle w:val="5"/>
        <w:numPr>
          <w:ilvl w:val="3"/>
          <w:numId w:val="13"/>
        </w:numPr>
        <w:rPr>
          <w:rFonts w:hint="eastAsia"/>
          <w:highlight w:val="none"/>
        </w:rPr>
      </w:pPr>
      <w:r>
        <w:rPr>
          <w:rFonts w:hint="eastAsia"/>
          <w:highlight w:val="none"/>
        </w:rPr>
        <w:t>安装注意事项</w:t>
      </w:r>
    </w:p>
    <w:p w14:paraId="21082A0D">
      <w:pPr>
        <w:numPr>
          <w:ilvl w:val="1"/>
          <w:numId w:val="68"/>
        </w:numPr>
        <w:ind w:firstLine="480"/>
        <w:rPr>
          <w:rFonts w:hint="eastAsia"/>
          <w:highlight w:val="none"/>
        </w:rPr>
      </w:pPr>
      <w:r>
        <w:rPr>
          <w:highlight w:val="none"/>
        </w:rPr>
        <w:t>安装时按照由内向外顺序安装，先装一道内防火墙板材，再装外单面临空板材。板材安装必须严格按照排板图进行安装，按照板上标识数字安装在相应的位置上。</w:t>
      </w:r>
    </w:p>
    <w:p w14:paraId="5141EE57">
      <w:pPr>
        <w:numPr>
          <w:ilvl w:val="1"/>
          <w:numId w:val="68"/>
        </w:numPr>
        <w:ind w:firstLine="480"/>
        <w:rPr>
          <w:rFonts w:hint="eastAsia"/>
          <w:highlight w:val="none"/>
        </w:rPr>
      </w:pPr>
      <w:r>
        <w:rPr>
          <w:highlight w:val="none"/>
        </w:rPr>
        <w:t xml:space="preserve">用于接头和拼缝的砂浆，应采用专用胶粘剂。密封胶应采用防火密封胶。条板墙安 装时粘接剂要涂刷均匀，拼缝时挤出多余粘接剂及时处理，保证板面清洁。连接件和型钢间、型钢和型钢间均应焊接连接且满足承载力要求，焊缝除通长型材 外均为沿搭接长度满焊，焊脚高度应不小于 4mm。钩头螺栓与连接角钢的焊接搭接长度应≥25mm，钩头螺栓固定点距板端应≥80mm，通长角钢与结构梁连接焊缝深度4mm，长 50mm，间距 200mm。焊缝质量应满足规范要求。所有焊缝均应将焊渣清除干净并满 涂防锈漆。所有锚固件、专用托板等连接件，均应做防锈处理。 </w:t>
      </w:r>
    </w:p>
    <w:p w14:paraId="69617398">
      <w:pPr>
        <w:numPr>
          <w:ilvl w:val="1"/>
          <w:numId w:val="68"/>
        </w:numPr>
        <w:ind w:firstLine="480"/>
        <w:rPr>
          <w:rFonts w:hint="eastAsia"/>
          <w:highlight w:val="none"/>
        </w:rPr>
      </w:pPr>
      <w:r>
        <w:rPr>
          <w:highlight w:val="none"/>
        </w:rPr>
        <w:t xml:space="preserve">ALC 板上开槽要求宜沿板的纵向切槽，开槽深度不大于 50mm，严禁横向开槽。开槽时需用专用开槽工具，禁止使用冲击钻及人工踢凿，线管埋设完毕用专用嵌缝砂浆分两层封闭，并粘贴 4*4 耐碱玻纤网格布。 </w:t>
      </w:r>
    </w:p>
    <w:p w14:paraId="5A9C6EF3">
      <w:pPr>
        <w:numPr>
          <w:ilvl w:val="1"/>
          <w:numId w:val="68"/>
        </w:numPr>
        <w:ind w:firstLine="480"/>
        <w:rPr>
          <w:rFonts w:hint="eastAsia"/>
          <w:highlight w:val="none"/>
        </w:rPr>
      </w:pPr>
      <w:r>
        <w:rPr>
          <w:highlight w:val="none"/>
        </w:rPr>
        <w:t xml:space="preserve">开洞去角小于板宽的 1/3，要求必须机械切割，严禁榔头锤击，开洞时采取有效保护措施，以避免墙板破损。 </w:t>
      </w:r>
    </w:p>
    <w:p w14:paraId="3E594D39">
      <w:pPr>
        <w:numPr>
          <w:ilvl w:val="1"/>
          <w:numId w:val="68"/>
        </w:numPr>
        <w:ind w:firstLine="480"/>
        <w:rPr>
          <w:rFonts w:hint="eastAsia"/>
          <w:highlight w:val="none"/>
        </w:rPr>
      </w:pPr>
      <w:r>
        <w:rPr>
          <w:highlight w:val="none"/>
        </w:rPr>
        <w:t xml:space="preserve">对于施工前由于吊装运输等因素造成缺楞掉角的板应在施工前进行修补，修补完成并检验合格后才能投入使用。在施工过程中造成的板材局部破损，应先清洗破损处的粉尘，再用厂内配置好的专用修补粉进行修补，修补完应采取相关保护措施。 </w:t>
      </w:r>
    </w:p>
    <w:p w14:paraId="02F46199">
      <w:pPr>
        <w:pStyle w:val="5"/>
        <w:numPr>
          <w:ilvl w:val="3"/>
          <w:numId w:val="13"/>
        </w:numPr>
        <w:rPr>
          <w:rFonts w:hint="eastAsia"/>
          <w:highlight w:val="none"/>
        </w:rPr>
      </w:pPr>
      <w:r>
        <w:rPr>
          <w:highlight w:val="none"/>
        </w:rPr>
        <w:t>验收标准</w:t>
      </w:r>
    </w:p>
    <w:p w14:paraId="7450CE8B">
      <w:pPr>
        <w:ind w:firstLine="480"/>
        <w:rPr>
          <w:rFonts w:hint="eastAsia"/>
          <w:highlight w:val="none"/>
        </w:rPr>
      </w:pPr>
      <w:r>
        <w:rPr>
          <w:highlight w:val="none"/>
        </w:rPr>
        <w:t xml:space="preserve">严格执行国家施工质量验收规范，加强检验批质量评定工作。根据隐蔽工程验 收 </w:t>
      </w:r>
    </w:p>
    <w:p w14:paraId="5B10B1E4">
      <w:pPr>
        <w:ind w:firstLine="480"/>
        <w:rPr>
          <w:rFonts w:hint="eastAsia"/>
          <w:highlight w:val="none"/>
        </w:rPr>
      </w:pPr>
      <w:r>
        <w:rPr>
          <w:highlight w:val="none"/>
        </w:rPr>
        <w:t>制度，做好验收记录。每层为一个检验批，安装完毕后先自检，然后报总包验收。验收合格后，方能进行下一道工序施工。严格执行“三按”“三检”和“一控”。</w:t>
      </w:r>
    </w:p>
    <w:p w14:paraId="2A85714A">
      <w:pPr>
        <w:ind w:firstLine="480"/>
        <w:rPr>
          <w:rFonts w:hint="eastAsia"/>
          <w:highlight w:val="none"/>
        </w:rPr>
      </w:pPr>
      <w:r>
        <w:rPr>
          <w:highlight w:val="none"/>
        </w:rPr>
        <w:t xml:space="preserve">“三按”：严格按图纸、按规范标准、按方案施工； </w:t>
      </w:r>
    </w:p>
    <w:p w14:paraId="5C57E837">
      <w:pPr>
        <w:ind w:firstLine="480"/>
        <w:rPr>
          <w:rFonts w:hint="eastAsia"/>
          <w:highlight w:val="none"/>
        </w:rPr>
      </w:pPr>
      <w:r>
        <w:rPr>
          <w:highlight w:val="none"/>
        </w:rPr>
        <w:t xml:space="preserve">“三检”：自检、互检、交接检； </w:t>
      </w:r>
    </w:p>
    <w:p w14:paraId="337478FF">
      <w:pPr>
        <w:ind w:firstLine="480"/>
        <w:rPr>
          <w:rFonts w:hint="eastAsia"/>
          <w:highlight w:val="none"/>
        </w:rPr>
      </w:pPr>
      <w:r>
        <w:rPr>
          <w:highlight w:val="none"/>
        </w:rPr>
        <w:t xml:space="preserve">“一控”：自控正确率，一次验收合格率。 </w:t>
      </w:r>
    </w:p>
    <w:p w14:paraId="1652A183">
      <w:pPr>
        <w:pStyle w:val="5"/>
        <w:numPr>
          <w:ilvl w:val="3"/>
          <w:numId w:val="13"/>
        </w:numPr>
        <w:rPr>
          <w:rFonts w:hint="eastAsia"/>
          <w:highlight w:val="none"/>
        </w:rPr>
      </w:pPr>
      <w:r>
        <w:rPr>
          <w:rFonts w:hint="eastAsia"/>
          <w:highlight w:val="none"/>
        </w:rPr>
        <w:t xml:space="preserve">成品保护 </w:t>
      </w:r>
    </w:p>
    <w:p w14:paraId="7B0ACE04">
      <w:pPr>
        <w:numPr>
          <w:ilvl w:val="1"/>
          <w:numId w:val="69"/>
        </w:numPr>
        <w:ind w:firstLine="480"/>
        <w:rPr>
          <w:rFonts w:hint="eastAsia"/>
          <w:highlight w:val="none"/>
        </w:rPr>
      </w:pPr>
      <w:r>
        <w:rPr>
          <w:highlight w:val="none"/>
        </w:rPr>
        <w:t xml:space="preserve">运输时应按堆放要求装车，并采取可靠捆绑措施，运输途中避免颠簸和急转弯，防止颠簸碰坏。 </w:t>
      </w:r>
    </w:p>
    <w:p w14:paraId="688E6ED4">
      <w:pPr>
        <w:numPr>
          <w:ilvl w:val="1"/>
          <w:numId w:val="69"/>
        </w:numPr>
        <w:ind w:firstLine="480"/>
        <w:rPr>
          <w:rFonts w:hint="eastAsia"/>
          <w:highlight w:val="none"/>
        </w:rPr>
      </w:pPr>
      <w:r>
        <w:rPr>
          <w:highlight w:val="none"/>
        </w:rPr>
        <w:t xml:space="preserve">进场后应设立单独堆放场地并做好围挡工作。堆放场地应平整坚实，不应直接堆放在场地上，条板两端下面应设置堆放垫木。堆放时垂直方向不宜超过 2 米。加气板与地面要有防潮措施。露天堆放时宜采用塑料布等覆盖措施，防止污染和雨浸湿。堆放时要有护角措施，并有标识。 </w:t>
      </w:r>
    </w:p>
    <w:p w14:paraId="3B3EB320">
      <w:pPr>
        <w:numPr>
          <w:ilvl w:val="1"/>
          <w:numId w:val="69"/>
        </w:numPr>
        <w:ind w:firstLine="480"/>
        <w:rPr>
          <w:rFonts w:hint="eastAsia"/>
          <w:highlight w:val="none"/>
        </w:rPr>
      </w:pPr>
      <w:r>
        <w:rPr>
          <w:highlight w:val="none"/>
        </w:rPr>
        <w:t xml:space="preserve">吊运时应采用宽度≥500mm 的尼龙吊带兜板底起吊，边角需要防护避免磕碰损伤，禁止用钢丝绳或麻绳直接兜板底起吊。板材吊运时按照板号把相应位置的板运到指定的户型内，并且码放整齐。搬运时轻装轻放，平行搬运或两侧支撑平行运输，严禁单边抬起，拖地拉运或单边支撑运输。 </w:t>
      </w:r>
    </w:p>
    <w:p w14:paraId="6F6AB2FB">
      <w:pPr>
        <w:numPr>
          <w:ilvl w:val="1"/>
          <w:numId w:val="69"/>
        </w:numPr>
        <w:ind w:firstLine="480"/>
        <w:rPr>
          <w:rFonts w:hint="eastAsia"/>
          <w:highlight w:val="none"/>
        </w:rPr>
      </w:pPr>
      <w:r>
        <w:rPr>
          <w:highlight w:val="none"/>
        </w:rPr>
        <w:t xml:space="preserve">安装过程中采取专用的运输和施工机具，避免板材损坏。专用提升架和小推车均做软包处理，避免板材与钢材直接接触造成损伤。 </w:t>
      </w:r>
    </w:p>
    <w:p w14:paraId="6B6137A6">
      <w:pPr>
        <w:numPr>
          <w:ilvl w:val="1"/>
          <w:numId w:val="69"/>
        </w:numPr>
        <w:ind w:firstLine="480"/>
        <w:rPr>
          <w:rFonts w:hint="eastAsia"/>
          <w:highlight w:val="none"/>
        </w:rPr>
      </w:pPr>
      <w:r>
        <w:rPr>
          <w:highlight w:val="none"/>
        </w:rPr>
        <w:t xml:space="preserve">加气墙板安装完毕后应注意成品保护，严禁撞击与磕碰。小范围调整板材位置需制作专用工具，严防破坏板外观。所有可能损坏墙板的危险器物不得靠近墙板。加气墙板支撑件其它工种不得随意拆除。 </w:t>
      </w:r>
    </w:p>
    <w:p w14:paraId="0BA0CDE0">
      <w:pPr>
        <w:numPr>
          <w:ilvl w:val="1"/>
          <w:numId w:val="69"/>
        </w:numPr>
        <w:ind w:firstLine="480"/>
        <w:rPr>
          <w:rFonts w:hint="eastAsia"/>
          <w:highlight w:val="none"/>
        </w:rPr>
      </w:pPr>
      <w:r>
        <w:rPr>
          <w:highlight w:val="none"/>
        </w:rPr>
        <w:t xml:space="preserve">墙板安装完毕七天后才能进行管线等开槽工作。电线开槽需用专用工具开槽，不得直接剔凿，所有线管开槽封堵时增加网格布，分两层用专用嵌缝砂浆抹平。 </w:t>
      </w:r>
    </w:p>
    <w:p w14:paraId="3306B383">
      <w:pPr>
        <w:pStyle w:val="3"/>
        <w:numPr>
          <w:ilvl w:val="1"/>
          <w:numId w:val="13"/>
        </w:numPr>
        <w:rPr>
          <w:rFonts w:hint="eastAsia"/>
          <w:highlight w:val="none"/>
        </w:rPr>
      </w:pPr>
      <w:bookmarkStart w:id="579" w:name="_Toc169722236"/>
      <w:bookmarkStart w:id="580" w:name="_Toc2445"/>
      <w:bookmarkStart w:id="581" w:name="_Toc27896"/>
      <w:bookmarkStart w:id="582" w:name="_Toc7426"/>
      <w:bookmarkStart w:id="583" w:name="_Toc13776"/>
      <w:bookmarkStart w:id="584" w:name="_Toc8961"/>
      <w:bookmarkStart w:id="585" w:name="_Toc16005"/>
      <w:bookmarkStart w:id="586" w:name="_Toc5294"/>
      <w:bookmarkStart w:id="587" w:name="_Toc21677"/>
      <w:bookmarkStart w:id="588" w:name="_Toc4693"/>
      <w:bookmarkStart w:id="589" w:name="_Toc422854859"/>
      <w:bookmarkStart w:id="590" w:name="_Toc31944"/>
      <w:r>
        <w:rPr>
          <w:rFonts w:hint="eastAsia"/>
          <w:highlight w:val="none"/>
        </w:rPr>
        <w:t>装饰装修工程技术要求</w:t>
      </w:r>
      <w:bookmarkEnd w:id="579"/>
      <w:bookmarkEnd w:id="580"/>
      <w:bookmarkEnd w:id="581"/>
      <w:bookmarkEnd w:id="582"/>
      <w:bookmarkEnd w:id="583"/>
      <w:bookmarkEnd w:id="584"/>
      <w:bookmarkEnd w:id="585"/>
      <w:bookmarkEnd w:id="586"/>
      <w:bookmarkEnd w:id="587"/>
      <w:bookmarkEnd w:id="588"/>
      <w:bookmarkEnd w:id="589"/>
      <w:bookmarkEnd w:id="590"/>
    </w:p>
    <w:p w14:paraId="232177B7">
      <w:pPr>
        <w:pStyle w:val="4"/>
        <w:numPr>
          <w:ilvl w:val="2"/>
          <w:numId w:val="13"/>
        </w:numPr>
        <w:rPr>
          <w:rFonts w:hint="eastAsia"/>
          <w:highlight w:val="none"/>
        </w:rPr>
      </w:pPr>
      <w:r>
        <w:rPr>
          <w:rFonts w:hint="eastAsia"/>
          <w:highlight w:val="none"/>
        </w:rPr>
        <w:t>抹灰工程</w:t>
      </w:r>
    </w:p>
    <w:p w14:paraId="55FA7A20">
      <w:pPr>
        <w:pStyle w:val="5"/>
        <w:rPr>
          <w:rFonts w:hint="eastAsia"/>
          <w:highlight w:val="none"/>
        </w:rPr>
      </w:pPr>
      <w:r>
        <w:rPr>
          <w:rFonts w:hint="eastAsia"/>
          <w:highlight w:val="none"/>
        </w:rPr>
        <w:t xml:space="preserve"> 普通水泥砂浆抹灰</w:t>
      </w:r>
    </w:p>
    <w:p w14:paraId="052C04E1">
      <w:pPr>
        <w:numPr>
          <w:ilvl w:val="1"/>
          <w:numId w:val="70"/>
        </w:numPr>
        <w:ind w:firstLine="480"/>
        <w:rPr>
          <w:rFonts w:hint="eastAsia"/>
          <w:highlight w:val="none"/>
        </w:rPr>
      </w:pPr>
      <w:r>
        <w:rPr>
          <w:rFonts w:hint="eastAsia"/>
          <w:highlight w:val="none"/>
        </w:rPr>
        <w:t>抹灰找平工程不空不裂，尺寸合格，表面平整清洁，无明显抹纹，接槎平整，无空鼓开裂，批嵌细腻，无脱皮。</w:t>
      </w:r>
    </w:p>
    <w:p w14:paraId="04C3EAC2">
      <w:pPr>
        <w:numPr>
          <w:ilvl w:val="1"/>
          <w:numId w:val="70"/>
        </w:numPr>
        <w:ind w:firstLine="480"/>
        <w:rPr>
          <w:rFonts w:hint="eastAsia"/>
          <w:highlight w:val="none"/>
        </w:rPr>
      </w:pPr>
      <w:r>
        <w:rPr>
          <w:rFonts w:hint="eastAsia"/>
          <w:highlight w:val="none"/>
        </w:rPr>
        <w:t xml:space="preserve">立面垂直，阴阳角方正顺直，预留洞、槽、管道等的位置、尺寸正确、出墙口整洁、顺直。 </w:t>
      </w:r>
    </w:p>
    <w:p w14:paraId="6B11BEBC">
      <w:pPr>
        <w:numPr>
          <w:ilvl w:val="1"/>
          <w:numId w:val="70"/>
        </w:numPr>
        <w:ind w:firstLine="480"/>
        <w:rPr>
          <w:rFonts w:hint="eastAsia"/>
          <w:highlight w:val="none"/>
        </w:rPr>
      </w:pPr>
      <w:r>
        <w:rPr>
          <w:rFonts w:hint="eastAsia"/>
          <w:highlight w:val="none"/>
        </w:rPr>
        <w:t>基层墙面应清除浮浆、脱模剂、油污及模板残留物，螺杆洞封堵必须符合要求，不同界面交接位置必须进行挂网，挂网前高低差部位应用水泥砂浆填补，挂网要求采用耐碱玻璃纤维网或镀锌钢丝网。</w:t>
      </w:r>
    </w:p>
    <w:p w14:paraId="22CF1D39">
      <w:pPr>
        <w:numPr>
          <w:ilvl w:val="1"/>
          <w:numId w:val="70"/>
        </w:numPr>
        <w:ind w:firstLine="480"/>
        <w:rPr>
          <w:rFonts w:hint="eastAsia"/>
          <w:highlight w:val="none"/>
        </w:rPr>
      </w:pPr>
      <w:r>
        <w:rPr>
          <w:rFonts w:hint="eastAsia"/>
          <w:highlight w:val="none"/>
        </w:rPr>
        <w:t>抹灰施工提前一天对墙面进行喷水湿润，甩浆施工当天再次对墙面进行洒水湿润。</w:t>
      </w:r>
    </w:p>
    <w:p w14:paraId="7EA0CEF9">
      <w:pPr>
        <w:numPr>
          <w:ilvl w:val="1"/>
          <w:numId w:val="70"/>
        </w:numPr>
        <w:ind w:firstLine="480"/>
        <w:rPr>
          <w:rFonts w:hint="eastAsia"/>
          <w:highlight w:val="none"/>
        </w:rPr>
      </w:pPr>
      <w:r>
        <w:rPr>
          <w:rFonts w:hint="eastAsia"/>
          <w:highlight w:val="none"/>
        </w:rPr>
        <w:t>甩浆拉毛（外墙建议使用高压水刀拉毛）</w:t>
      </w:r>
    </w:p>
    <w:p w14:paraId="7A311A4B">
      <w:pPr>
        <w:numPr>
          <w:ilvl w:val="0"/>
          <w:numId w:val="71"/>
        </w:numPr>
        <w:ind w:firstLine="480"/>
        <w:rPr>
          <w:rFonts w:hint="eastAsia"/>
          <w:highlight w:val="none"/>
        </w:rPr>
      </w:pPr>
      <w:r>
        <w:rPr>
          <w:rFonts w:hint="eastAsia"/>
          <w:highlight w:val="none"/>
        </w:rPr>
        <w:t>浆料采用高强度粘结剂、施工用水、复合硅酸盐水泥、砂，推荐配比为胶:水:水泥:砂=1:2:4:1，各项目应根据胶水的粘结性能、墙面的光滑程度等因素，配置合适的浆料配比。</w:t>
      </w:r>
    </w:p>
    <w:p w14:paraId="48CAA88E">
      <w:pPr>
        <w:numPr>
          <w:ilvl w:val="0"/>
          <w:numId w:val="71"/>
        </w:numPr>
        <w:ind w:firstLine="480"/>
        <w:rPr>
          <w:rFonts w:hint="eastAsia"/>
          <w:highlight w:val="none"/>
        </w:rPr>
      </w:pPr>
      <w:r>
        <w:rPr>
          <w:rFonts w:hint="eastAsia"/>
          <w:highlight w:val="none"/>
        </w:rPr>
        <w:t>甩浆面积不小于基面的95%，毛刺高度在0.5cm左右；浆料达到一定强度后，必须进行喷水养护，特别是边角部位，养护时间不低于3天。</w:t>
      </w:r>
    </w:p>
    <w:p w14:paraId="21B12C6D">
      <w:pPr>
        <w:numPr>
          <w:ilvl w:val="1"/>
          <w:numId w:val="70"/>
        </w:numPr>
        <w:ind w:firstLine="480"/>
        <w:rPr>
          <w:rFonts w:hint="eastAsia"/>
          <w:highlight w:val="none"/>
        </w:rPr>
      </w:pPr>
      <w:r>
        <w:rPr>
          <w:rFonts w:hint="eastAsia"/>
          <w:highlight w:val="none"/>
        </w:rPr>
        <w:t>抹灰施工应分层进行，</w:t>
      </w:r>
      <w:r>
        <w:rPr>
          <w:highlight w:val="none"/>
        </w:rPr>
        <w:t>第一</w:t>
      </w:r>
      <w:r>
        <w:rPr>
          <w:rFonts w:hint="eastAsia"/>
          <w:highlight w:val="none"/>
        </w:rPr>
        <w:t>层</w:t>
      </w:r>
      <w:r>
        <w:rPr>
          <w:highlight w:val="none"/>
        </w:rPr>
        <w:t>抹灰</w:t>
      </w:r>
      <w:r>
        <w:rPr>
          <w:rFonts w:hint="eastAsia"/>
          <w:highlight w:val="none"/>
        </w:rPr>
        <w:t>前需提前两天对甩浆墙面洒水润湿，确保</w:t>
      </w:r>
      <w:r>
        <w:rPr>
          <w:highlight w:val="none"/>
        </w:rPr>
        <w:t>墙面湿润，并滚涂界面剂，厚度控制在8mm</w:t>
      </w:r>
      <w:r>
        <w:rPr>
          <w:rFonts w:hint="eastAsia"/>
          <w:highlight w:val="none"/>
        </w:rPr>
        <w:t>左右，</w:t>
      </w:r>
      <w:r>
        <w:rPr>
          <w:highlight w:val="none"/>
        </w:rPr>
        <w:t>抹灰表面拉毛处理</w:t>
      </w:r>
      <w:r>
        <w:rPr>
          <w:rFonts w:hint="eastAsia"/>
          <w:highlight w:val="none"/>
        </w:rPr>
        <w:t>；</w:t>
      </w:r>
      <w:r>
        <w:rPr>
          <w:highlight w:val="none"/>
        </w:rPr>
        <w:t>第二</w:t>
      </w:r>
      <w:r>
        <w:rPr>
          <w:rFonts w:hint="eastAsia"/>
          <w:highlight w:val="none"/>
        </w:rPr>
        <w:t>层</w:t>
      </w:r>
      <w:r>
        <w:rPr>
          <w:highlight w:val="none"/>
        </w:rPr>
        <w:t>抹灰</w:t>
      </w:r>
      <w:r>
        <w:rPr>
          <w:rFonts w:hint="eastAsia"/>
          <w:highlight w:val="none"/>
        </w:rPr>
        <w:t>应在第二天进行，宜</w:t>
      </w:r>
      <w:r>
        <w:rPr>
          <w:highlight w:val="none"/>
        </w:rPr>
        <w:t>满挂</w:t>
      </w:r>
      <w:r>
        <w:rPr>
          <w:rFonts w:hint="eastAsia"/>
          <w:highlight w:val="none"/>
        </w:rPr>
        <w:t>抗碱玻璃纤维网格布，</w:t>
      </w:r>
      <w:r>
        <w:rPr>
          <w:highlight w:val="none"/>
        </w:rPr>
        <w:t>厚度控制在7mm</w:t>
      </w:r>
      <w:r>
        <w:rPr>
          <w:rFonts w:hint="eastAsia"/>
          <w:highlight w:val="none"/>
        </w:rPr>
        <w:t>左右。为避免和减少抹灰层砂浆空鼓、收缩裂缝，面层不宜过分压光，以表面不粗糙、无明显小凹坑、砂头不外露为准。</w:t>
      </w:r>
    </w:p>
    <w:p w14:paraId="25020719">
      <w:pPr>
        <w:numPr>
          <w:ilvl w:val="1"/>
          <w:numId w:val="70"/>
        </w:numPr>
        <w:ind w:firstLine="480"/>
        <w:rPr>
          <w:rFonts w:hint="eastAsia"/>
          <w:highlight w:val="none"/>
        </w:rPr>
      </w:pPr>
      <w:r>
        <w:rPr>
          <w:highlight w:val="none"/>
        </w:rPr>
        <w:t>抹灰初凝后</w:t>
      </w:r>
      <w:r>
        <w:rPr>
          <w:rFonts w:hint="eastAsia"/>
          <w:highlight w:val="none"/>
        </w:rPr>
        <w:t>的</w:t>
      </w:r>
      <w:r>
        <w:rPr>
          <w:highlight w:val="none"/>
        </w:rPr>
        <w:t>养护，</w:t>
      </w:r>
      <w:r>
        <w:rPr>
          <w:rFonts w:hint="eastAsia"/>
          <w:highlight w:val="none"/>
        </w:rPr>
        <w:t>首选</w:t>
      </w:r>
      <w:r>
        <w:rPr>
          <w:highlight w:val="none"/>
        </w:rPr>
        <w:t>覆</w:t>
      </w:r>
      <w:r>
        <w:rPr>
          <w:rFonts w:hint="eastAsia"/>
          <w:highlight w:val="none"/>
        </w:rPr>
        <w:t>膜</w:t>
      </w:r>
      <w:r>
        <w:rPr>
          <w:highlight w:val="none"/>
        </w:rPr>
        <w:t>养护。覆膜</w:t>
      </w:r>
      <w:r>
        <w:rPr>
          <w:rFonts w:hint="eastAsia"/>
          <w:highlight w:val="none"/>
        </w:rPr>
        <w:t>时间</w:t>
      </w:r>
      <w:r>
        <w:rPr>
          <w:highlight w:val="none"/>
        </w:rPr>
        <w:t>控制在两遍抹灰完成后的12个小时左右。用胶</w:t>
      </w:r>
      <w:r>
        <w:rPr>
          <w:rFonts w:hint="eastAsia"/>
          <w:highlight w:val="none"/>
        </w:rPr>
        <w:t>:</w:t>
      </w:r>
      <w:r>
        <w:rPr>
          <w:highlight w:val="none"/>
        </w:rPr>
        <w:t>水=3</w:t>
      </w:r>
      <w:r>
        <w:rPr>
          <w:rFonts w:hint="eastAsia"/>
          <w:highlight w:val="none"/>
        </w:rPr>
        <w:t>:</w:t>
      </w:r>
      <w:r>
        <w:rPr>
          <w:highlight w:val="none"/>
        </w:rPr>
        <w:t>7的乳胶液滚涂在砂浆表面，之后将PE塑料膜</w:t>
      </w:r>
      <w:r>
        <w:rPr>
          <w:rFonts w:hint="eastAsia"/>
          <w:highlight w:val="none"/>
        </w:rPr>
        <w:t>粘覆</w:t>
      </w:r>
      <w:r>
        <w:rPr>
          <w:highlight w:val="none"/>
        </w:rPr>
        <w:t>其上，直至交付精装或交付。</w:t>
      </w:r>
    </w:p>
    <w:p w14:paraId="59D71815">
      <w:pPr>
        <w:numPr>
          <w:ilvl w:val="1"/>
          <w:numId w:val="70"/>
        </w:numPr>
        <w:ind w:firstLine="480"/>
        <w:rPr>
          <w:rFonts w:hint="eastAsia"/>
          <w:highlight w:val="none"/>
        </w:rPr>
      </w:pPr>
      <w:r>
        <w:rPr>
          <w:rFonts w:hint="eastAsia"/>
          <w:highlight w:val="none"/>
        </w:rPr>
        <w:t>砂浆在楼层堆放时必须设垫板或使用容器，禁止现场加水及初凝后使用。</w:t>
      </w:r>
    </w:p>
    <w:p w14:paraId="2BC3BAD7">
      <w:pPr>
        <w:numPr>
          <w:ilvl w:val="1"/>
          <w:numId w:val="70"/>
        </w:numPr>
        <w:ind w:firstLine="480"/>
        <w:rPr>
          <w:rFonts w:hint="eastAsia"/>
          <w:highlight w:val="none"/>
        </w:rPr>
      </w:pPr>
      <w:r>
        <w:rPr>
          <w:rFonts w:hint="eastAsia"/>
          <w:highlight w:val="none"/>
        </w:rPr>
        <w:t>施工要求</w:t>
      </w:r>
    </w:p>
    <w:p w14:paraId="0EE3A273">
      <w:pPr>
        <w:numPr>
          <w:ilvl w:val="0"/>
          <w:numId w:val="72"/>
        </w:numPr>
        <w:ind w:firstLine="480"/>
        <w:rPr>
          <w:rFonts w:hint="eastAsia"/>
          <w:highlight w:val="none"/>
        </w:rPr>
      </w:pPr>
      <w:r>
        <w:rPr>
          <w:rFonts w:hint="eastAsia"/>
          <w:highlight w:val="none"/>
        </w:rPr>
        <w:t xml:space="preserve">砌体结构完成至少15天（间歇时间）； </w:t>
      </w:r>
    </w:p>
    <w:p w14:paraId="4DDBCF2C">
      <w:pPr>
        <w:numPr>
          <w:ilvl w:val="0"/>
          <w:numId w:val="72"/>
        </w:numPr>
        <w:ind w:firstLine="480"/>
        <w:rPr>
          <w:rFonts w:hint="eastAsia"/>
          <w:highlight w:val="none"/>
        </w:rPr>
      </w:pPr>
      <w:r>
        <w:rPr>
          <w:rFonts w:hint="eastAsia"/>
          <w:highlight w:val="none"/>
        </w:rPr>
        <w:t xml:space="preserve">完成门窗的防水处理，并要求粘贴好保护膜； </w:t>
      </w:r>
    </w:p>
    <w:p w14:paraId="04A7AA13">
      <w:pPr>
        <w:numPr>
          <w:ilvl w:val="0"/>
          <w:numId w:val="72"/>
        </w:numPr>
        <w:ind w:firstLine="480"/>
        <w:rPr>
          <w:rFonts w:hint="eastAsia"/>
          <w:highlight w:val="none"/>
        </w:rPr>
      </w:pPr>
      <w:r>
        <w:rPr>
          <w:rFonts w:hint="eastAsia"/>
          <w:highlight w:val="none"/>
        </w:rPr>
        <w:t xml:space="preserve">完成墙体预留水电管线安装和室内插座、开关底盒安装，及安装管线墙面填实修补工作； </w:t>
      </w:r>
    </w:p>
    <w:p w14:paraId="2F343B46">
      <w:pPr>
        <w:numPr>
          <w:ilvl w:val="0"/>
          <w:numId w:val="72"/>
        </w:numPr>
        <w:ind w:firstLine="480"/>
        <w:rPr>
          <w:rFonts w:hint="eastAsia"/>
          <w:highlight w:val="none"/>
        </w:rPr>
      </w:pPr>
      <w:r>
        <w:rPr>
          <w:rFonts w:hint="eastAsia"/>
          <w:highlight w:val="none"/>
        </w:rPr>
        <w:t xml:space="preserve">内外墙体各种孔洞采取相应的措施封堵完毕，包括脚手眼、穿墙螺栓孔、管道洞口等； </w:t>
      </w:r>
    </w:p>
    <w:p w14:paraId="01D2B1E4">
      <w:pPr>
        <w:numPr>
          <w:ilvl w:val="0"/>
          <w:numId w:val="72"/>
        </w:numPr>
        <w:ind w:firstLine="480"/>
        <w:rPr>
          <w:rFonts w:hint="eastAsia"/>
          <w:highlight w:val="none"/>
        </w:rPr>
      </w:pPr>
      <w:r>
        <w:rPr>
          <w:rFonts w:hint="eastAsia"/>
          <w:highlight w:val="none"/>
        </w:rPr>
        <w:t xml:space="preserve">墙体基层清理干净，包括灰尘、油渍、污垢及蜂窝、露筋、铅丝头、模板皮、浮浆等； </w:t>
      </w:r>
    </w:p>
    <w:p w14:paraId="0AFF39EB">
      <w:pPr>
        <w:numPr>
          <w:ilvl w:val="0"/>
          <w:numId w:val="72"/>
        </w:numPr>
        <w:ind w:firstLine="480"/>
        <w:rPr>
          <w:rFonts w:hint="eastAsia"/>
          <w:highlight w:val="none"/>
        </w:rPr>
      </w:pPr>
      <w:r>
        <w:rPr>
          <w:rFonts w:hint="eastAsia"/>
          <w:highlight w:val="none"/>
        </w:rPr>
        <w:t>砖墙、混凝土墙抹灰前，应在粉刷施工前喷洒1~2遍水，待其表面无水珠流淌即可进行抹灰。也可采用专用界面剂。</w:t>
      </w:r>
    </w:p>
    <w:p w14:paraId="7C5DA7CA">
      <w:pPr>
        <w:numPr>
          <w:ilvl w:val="0"/>
          <w:numId w:val="72"/>
        </w:numPr>
        <w:ind w:firstLine="480"/>
        <w:rPr>
          <w:rFonts w:hint="eastAsia"/>
          <w:highlight w:val="none"/>
        </w:rPr>
      </w:pPr>
      <w:r>
        <w:rPr>
          <w:rFonts w:hint="eastAsia"/>
          <w:highlight w:val="none"/>
        </w:rPr>
        <w:t>加气混凝土砌块墙、轻质板材隔墙抹灰前，应在抹灰前2 ~3小时开始洒水，洒水次数为2 ~3次，当表面无水珠流淌即可抹灰；也可采用专用界面剂。</w:t>
      </w:r>
    </w:p>
    <w:p w14:paraId="2FFAE2CA">
      <w:pPr>
        <w:numPr>
          <w:ilvl w:val="1"/>
          <w:numId w:val="70"/>
        </w:numPr>
        <w:ind w:firstLine="480"/>
        <w:rPr>
          <w:rFonts w:hint="eastAsia"/>
          <w:highlight w:val="none"/>
        </w:rPr>
      </w:pPr>
      <w:r>
        <w:rPr>
          <w:rFonts w:hint="eastAsia"/>
          <w:highlight w:val="none"/>
        </w:rPr>
        <w:t>抹灰层构造</w:t>
      </w:r>
    </w:p>
    <w:p w14:paraId="46DB3806">
      <w:pPr>
        <w:ind w:firstLine="480"/>
        <w:rPr>
          <w:rFonts w:hint="eastAsia"/>
          <w:highlight w:val="none"/>
        </w:rPr>
      </w:pPr>
      <w:r>
        <w:rPr>
          <w:rFonts w:hint="eastAsia"/>
          <w:highlight w:val="none"/>
        </w:rPr>
        <w:t>由建筑设计规定，不同材料基体交接处应设置耐碱涂覆网布，防止开裂。抹灰厚度小于5mm的可直接使用石膏面层粉刷砂浆。厚度为5~20mm的可先用石膏底层粉刷砂浆或石膏轻质底层粉刷砂浆打底，再用石膏面层砂浆照面。抹灰总厚度若大于35mm，要在底层抹灰中加挂钢丝网以防止开裂、掉灰。</w:t>
      </w:r>
    </w:p>
    <w:p w14:paraId="63011372">
      <w:pPr>
        <w:ind w:firstLine="480"/>
        <w:rPr>
          <w:rFonts w:hint="eastAsia"/>
          <w:highlight w:val="none"/>
        </w:rPr>
      </w:pPr>
      <w:r>
        <w:rPr>
          <w:rFonts w:hint="eastAsia"/>
          <w:highlight w:val="none"/>
        </w:rPr>
        <w:t>施工前，应根据设计要求和基层表面平整垂直情况，用一面墙做基准吊垂直、套方、找规矩。并经检查后再确定抹灰厚度。</w:t>
      </w:r>
    </w:p>
    <w:p w14:paraId="3B53F161">
      <w:pPr>
        <w:numPr>
          <w:ilvl w:val="1"/>
          <w:numId w:val="70"/>
        </w:numPr>
        <w:ind w:firstLine="480"/>
        <w:rPr>
          <w:rFonts w:hint="eastAsia"/>
          <w:highlight w:val="none"/>
        </w:rPr>
      </w:pPr>
      <w:r>
        <w:rPr>
          <w:rFonts w:hint="eastAsia"/>
          <w:highlight w:val="none"/>
        </w:rPr>
        <w:t>施工方法：手工抹灰或机喷砂浆施工。</w:t>
      </w:r>
    </w:p>
    <w:p w14:paraId="1E5FDE79">
      <w:pPr>
        <w:numPr>
          <w:ilvl w:val="0"/>
          <w:numId w:val="73"/>
        </w:numPr>
        <w:ind w:firstLine="480"/>
        <w:rPr>
          <w:rFonts w:hint="eastAsia"/>
          <w:highlight w:val="none"/>
        </w:rPr>
      </w:pPr>
      <w:r>
        <w:rPr>
          <w:rFonts w:hint="eastAsia"/>
          <w:highlight w:val="none"/>
        </w:rPr>
        <w:t>手工抹灰：墙面抹灰时，用灰板和抹子将粉刷砂浆抹在墙面上，用h形尺或刮板紧贴标筋刮平压实，做到墙面垂直。当抹灰厚度超过8mm时，应分层施工，每层厚度控制在8mm以内，待上一层粉刷砂浆料终凝后再抹下一层。要求抹灰层与基层之间、各抹灰层之间粘接牢固，无空鼓、无脱层。</w:t>
      </w:r>
    </w:p>
    <w:p w14:paraId="5EE67F54">
      <w:pPr>
        <w:numPr>
          <w:ilvl w:val="0"/>
          <w:numId w:val="73"/>
        </w:numPr>
        <w:ind w:firstLine="480"/>
        <w:rPr>
          <w:rFonts w:hint="eastAsia"/>
          <w:highlight w:val="none"/>
        </w:rPr>
      </w:pPr>
      <w:r>
        <w:rPr>
          <w:rFonts w:hint="eastAsia"/>
          <w:highlight w:val="none"/>
        </w:rPr>
        <w:t>机喷砂浆：当施工中断时间大于15分钟或在喷涂工作结束后，应认真清洗混料泵、输送管、喷枪等工具。</w:t>
      </w:r>
    </w:p>
    <w:p w14:paraId="4BAF9C45">
      <w:pPr>
        <w:numPr>
          <w:ilvl w:val="0"/>
          <w:numId w:val="73"/>
        </w:numPr>
        <w:ind w:firstLine="480"/>
        <w:rPr>
          <w:rFonts w:hint="eastAsia"/>
          <w:highlight w:val="none"/>
        </w:rPr>
      </w:pPr>
      <w:r>
        <w:rPr>
          <w:rFonts w:hint="eastAsia"/>
          <w:highlight w:val="none"/>
        </w:rPr>
        <w:t>表面压光应在终凝前进行，用手指压表面不出现明显压痕时为宜。可洒水湿润，并用找平刮刀继续找平。</w:t>
      </w:r>
    </w:p>
    <w:p w14:paraId="2B0AEC58">
      <w:pPr>
        <w:numPr>
          <w:ilvl w:val="0"/>
          <w:numId w:val="73"/>
        </w:numPr>
        <w:ind w:firstLine="480"/>
        <w:rPr>
          <w:rFonts w:hint="eastAsia"/>
          <w:highlight w:val="none"/>
        </w:rPr>
      </w:pPr>
      <w:r>
        <w:rPr>
          <w:rFonts w:hint="eastAsia"/>
          <w:highlight w:val="none"/>
        </w:rPr>
        <w:t>抹灰完成后，室内宜通风排湿严禁明水浸湿已抹灰墙面。</w:t>
      </w:r>
    </w:p>
    <w:p w14:paraId="5D19A74F">
      <w:pPr>
        <w:pStyle w:val="5"/>
        <w:numPr>
          <w:ilvl w:val="3"/>
          <w:numId w:val="13"/>
        </w:numPr>
        <w:rPr>
          <w:rFonts w:hint="eastAsia"/>
          <w:highlight w:val="none"/>
        </w:rPr>
      </w:pPr>
      <w:r>
        <w:rPr>
          <w:rFonts w:hint="eastAsia"/>
          <w:highlight w:val="none"/>
        </w:rPr>
        <w:t xml:space="preserve"> 石膏砂浆抹灰</w:t>
      </w:r>
    </w:p>
    <w:p w14:paraId="3C347C82">
      <w:pPr>
        <w:pStyle w:val="6"/>
        <w:numPr>
          <w:ilvl w:val="4"/>
          <w:numId w:val="13"/>
        </w:numPr>
        <w:rPr>
          <w:rFonts w:hint="eastAsia"/>
          <w:highlight w:val="none"/>
        </w:rPr>
      </w:pPr>
      <w:r>
        <w:rPr>
          <w:rFonts w:hint="eastAsia"/>
          <w:highlight w:val="none"/>
        </w:rPr>
        <w:t>适用范围</w:t>
      </w:r>
    </w:p>
    <w:p w14:paraId="449955E7">
      <w:pPr>
        <w:ind w:firstLine="480"/>
        <w:rPr>
          <w:rFonts w:hint="eastAsia"/>
          <w:highlight w:val="none"/>
        </w:rPr>
      </w:pPr>
      <w:r>
        <w:rPr>
          <w:rFonts w:hint="eastAsia"/>
          <w:highlight w:val="none"/>
        </w:rPr>
        <w:t>适用于建筑内墙抹灰为主的石膏粉刷砂浆抹灰工程。地下室、厨房、卫生间等湿度较大房间不得使用石膏砂浆抹灰。</w:t>
      </w:r>
    </w:p>
    <w:p w14:paraId="49814E1E">
      <w:pPr>
        <w:pStyle w:val="6"/>
        <w:numPr>
          <w:ilvl w:val="4"/>
          <w:numId w:val="13"/>
        </w:numPr>
        <w:rPr>
          <w:rFonts w:hint="eastAsia"/>
          <w:highlight w:val="none"/>
        </w:rPr>
      </w:pPr>
      <w:r>
        <w:rPr>
          <w:rFonts w:hint="eastAsia"/>
          <w:highlight w:val="none"/>
        </w:rPr>
        <w:t>质量标准</w:t>
      </w:r>
    </w:p>
    <w:p w14:paraId="009EAE84">
      <w:pPr>
        <w:numPr>
          <w:ilvl w:val="1"/>
          <w:numId w:val="74"/>
        </w:numPr>
        <w:ind w:firstLine="480"/>
        <w:rPr>
          <w:rFonts w:hint="eastAsia"/>
          <w:highlight w:val="none"/>
        </w:rPr>
      </w:pPr>
      <w:r>
        <w:rPr>
          <w:rFonts w:hint="eastAsia"/>
          <w:highlight w:val="none"/>
        </w:rPr>
        <w:t>抹灰表面应光滑、洁净、接槎平整、颜色均匀，无抹纹。</w:t>
      </w:r>
    </w:p>
    <w:p w14:paraId="6299BAB8">
      <w:pPr>
        <w:numPr>
          <w:ilvl w:val="1"/>
          <w:numId w:val="74"/>
        </w:numPr>
        <w:ind w:firstLine="480"/>
        <w:rPr>
          <w:rFonts w:hint="eastAsia"/>
          <w:highlight w:val="none"/>
        </w:rPr>
      </w:pPr>
      <w:r>
        <w:rPr>
          <w:rFonts w:hint="eastAsia"/>
          <w:highlight w:val="none"/>
        </w:rPr>
        <w:t>抹灰层的总厚度应符合设计要求。</w:t>
      </w:r>
    </w:p>
    <w:p w14:paraId="3E9D0A99">
      <w:pPr>
        <w:pStyle w:val="6"/>
        <w:numPr>
          <w:ilvl w:val="4"/>
          <w:numId w:val="13"/>
        </w:numPr>
        <w:rPr>
          <w:rFonts w:hint="eastAsia"/>
          <w:highlight w:val="none"/>
        </w:rPr>
      </w:pPr>
      <w:r>
        <w:rPr>
          <w:rFonts w:hint="eastAsia"/>
          <w:highlight w:val="none"/>
        </w:rPr>
        <w:t>材料要求</w:t>
      </w:r>
    </w:p>
    <w:p w14:paraId="29AC6826">
      <w:pPr>
        <w:numPr>
          <w:ilvl w:val="1"/>
          <w:numId w:val="75"/>
        </w:numPr>
        <w:ind w:firstLine="480"/>
        <w:rPr>
          <w:rFonts w:hint="eastAsia"/>
          <w:highlight w:val="none"/>
        </w:rPr>
      </w:pPr>
      <w:r>
        <w:rPr>
          <w:rFonts w:hint="eastAsia"/>
          <w:highlight w:val="none"/>
        </w:rPr>
        <w:t>粉刷石膏各项性能（包括初凝时间、终凝时间、抗折强度、抗压强度、拉伸粘结强度、体积密度、保水率）满足JC/T517《粉刷石膏》要求。耐碱型网格布性能（包括单位面积质量、耐碱拉伸断裂强力、耐碱拉伸断裂强力保留率、断裂应变）应符合相应技术指标。</w:t>
      </w:r>
    </w:p>
    <w:p w14:paraId="5624481B">
      <w:pPr>
        <w:numPr>
          <w:ilvl w:val="1"/>
          <w:numId w:val="75"/>
        </w:numPr>
        <w:ind w:firstLine="480"/>
        <w:rPr>
          <w:rFonts w:hint="eastAsia"/>
          <w:highlight w:val="none"/>
        </w:rPr>
      </w:pPr>
      <w:r>
        <w:rPr>
          <w:rFonts w:hint="eastAsia"/>
          <w:highlight w:val="none"/>
        </w:rPr>
        <w:t>袋装石膏粉刷砂浆的保质期为6个月，散装石膏粉刷砂浆必须在专用封闭式筒仓内储存，保质期为3个月。严禁使用过期的和受潮结块的石膏粉刷砂浆。在施工现场存储时应采取防雨防潮措施。</w:t>
      </w:r>
    </w:p>
    <w:p w14:paraId="48EF0687">
      <w:pPr>
        <w:numPr>
          <w:ilvl w:val="1"/>
          <w:numId w:val="75"/>
        </w:numPr>
        <w:ind w:firstLine="480"/>
        <w:rPr>
          <w:rFonts w:hint="eastAsia"/>
          <w:highlight w:val="none"/>
        </w:rPr>
      </w:pPr>
      <w:r>
        <w:rPr>
          <w:rFonts w:hint="eastAsia"/>
          <w:highlight w:val="none"/>
        </w:rPr>
        <w:t>钢丝网，宽度为每边100mm，镀锌钢丝网实测眼目规格为不大于10×10mm，实测钢丝直径为不小于0.7mm，使用钢钉挂网，钢钉固定间距不大于250mm。耐碱玻璃纤维网规格10×10mm。</w:t>
      </w:r>
    </w:p>
    <w:p w14:paraId="14DA5744">
      <w:pPr>
        <w:pStyle w:val="4"/>
        <w:numPr>
          <w:ilvl w:val="2"/>
          <w:numId w:val="13"/>
        </w:numPr>
        <w:rPr>
          <w:rFonts w:hint="eastAsia"/>
          <w:highlight w:val="none"/>
        </w:rPr>
      </w:pPr>
      <w:r>
        <w:rPr>
          <w:rFonts w:hint="eastAsia"/>
          <w:highlight w:val="none"/>
        </w:rPr>
        <w:t xml:space="preserve"> 地面工程</w:t>
      </w:r>
    </w:p>
    <w:p w14:paraId="17528699">
      <w:pPr>
        <w:pStyle w:val="5"/>
        <w:numPr>
          <w:ilvl w:val="3"/>
          <w:numId w:val="13"/>
        </w:numPr>
        <w:rPr>
          <w:rFonts w:hint="eastAsia"/>
          <w:highlight w:val="none"/>
        </w:rPr>
      </w:pPr>
      <w:r>
        <w:rPr>
          <w:rFonts w:hint="eastAsia"/>
          <w:highlight w:val="none"/>
        </w:rPr>
        <w:t>需按照地面实际情况设置分隔条，分隔条方案需报监理人/发包人审批。</w:t>
      </w:r>
    </w:p>
    <w:p w14:paraId="54026C94">
      <w:pPr>
        <w:pStyle w:val="5"/>
        <w:numPr>
          <w:ilvl w:val="3"/>
          <w:numId w:val="13"/>
        </w:numPr>
        <w:rPr>
          <w:rFonts w:hint="eastAsia"/>
          <w:highlight w:val="none"/>
        </w:rPr>
      </w:pPr>
      <w:r>
        <w:rPr>
          <w:rFonts w:hint="eastAsia"/>
          <w:highlight w:val="none"/>
        </w:rPr>
        <w:t>地面施工后覆盖塑料薄膜，避免地面产生龟裂，并进行不少于7天的养护。覆膜</w:t>
      </w:r>
      <w:r>
        <w:rPr>
          <w:highlight w:val="none"/>
        </w:rPr>
        <w:t>保护可直至移交精装或竣工。</w:t>
      </w:r>
    </w:p>
    <w:p w14:paraId="7C0C512A">
      <w:pPr>
        <w:pStyle w:val="5"/>
        <w:numPr>
          <w:ilvl w:val="3"/>
          <w:numId w:val="13"/>
        </w:numPr>
        <w:rPr>
          <w:rFonts w:hint="eastAsia"/>
          <w:highlight w:val="none"/>
        </w:rPr>
      </w:pPr>
      <w:r>
        <w:rPr>
          <w:rFonts w:hint="eastAsia"/>
          <w:highlight w:val="none"/>
        </w:rPr>
        <w:t>地坪表面平整，颜色一致，清洁干净，无污染，无开裂空鼓，表面无麻面，不起砂。</w:t>
      </w:r>
    </w:p>
    <w:p w14:paraId="7F92AB92">
      <w:pPr>
        <w:pStyle w:val="5"/>
        <w:numPr>
          <w:ilvl w:val="3"/>
          <w:numId w:val="13"/>
        </w:numPr>
        <w:rPr>
          <w:rFonts w:hint="eastAsia"/>
          <w:highlight w:val="none"/>
        </w:rPr>
      </w:pPr>
      <w:r>
        <w:rPr>
          <w:rFonts w:hint="eastAsia"/>
          <w:highlight w:val="none"/>
        </w:rPr>
        <w:t xml:space="preserve"> 地坪平整度允许偏差满足规范要求。踢脚线平整顺直，高度一致，无空鼓开裂，与墙面结合牢固，上下平整，分色清楚。</w:t>
      </w:r>
    </w:p>
    <w:p w14:paraId="38CCEEDC">
      <w:pPr>
        <w:pStyle w:val="4"/>
        <w:numPr>
          <w:ilvl w:val="2"/>
          <w:numId w:val="13"/>
        </w:numPr>
        <w:rPr>
          <w:rFonts w:hint="eastAsia"/>
          <w:highlight w:val="none"/>
        </w:rPr>
      </w:pPr>
      <w:r>
        <w:rPr>
          <w:rFonts w:hint="eastAsia"/>
          <w:highlight w:val="none"/>
        </w:rPr>
        <w:t>窗台、阳台</w:t>
      </w:r>
    </w:p>
    <w:p w14:paraId="28F43A47">
      <w:pPr>
        <w:pStyle w:val="5"/>
        <w:numPr>
          <w:ilvl w:val="3"/>
          <w:numId w:val="13"/>
        </w:numPr>
        <w:rPr>
          <w:rFonts w:hint="eastAsia"/>
          <w:highlight w:val="none"/>
        </w:rPr>
      </w:pPr>
      <w:r>
        <w:rPr>
          <w:rFonts w:hint="eastAsia"/>
          <w:highlight w:val="none"/>
        </w:rPr>
        <w:t>窗台横平竖直，楞角线条清晰；窗台泛水排水坡度不小于</w:t>
      </w:r>
      <w:r>
        <w:rPr>
          <w:highlight w:val="none"/>
        </w:rPr>
        <w:t>6</w:t>
      </w:r>
      <w:r>
        <w:rPr>
          <w:rFonts w:hint="eastAsia"/>
          <w:highlight w:val="none"/>
        </w:rPr>
        <w:t>%；窗台滴水槽顺直，</w:t>
      </w:r>
      <w:r>
        <w:rPr>
          <w:highlight w:val="none"/>
        </w:rPr>
        <w:t>两</w:t>
      </w:r>
      <w:r>
        <w:rPr>
          <w:rFonts w:hint="eastAsia"/>
          <w:highlight w:val="none"/>
        </w:rPr>
        <w:t>边粉刷相等，整齐一致。</w:t>
      </w:r>
    </w:p>
    <w:p w14:paraId="3C6C6CCA">
      <w:pPr>
        <w:pStyle w:val="5"/>
        <w:numPr>
          <w:ilvl w:val="3"/>
          <w:numId w:val="13"/>
        </w:numPr>
        <w:rPr>
          <w:rFonts w:hint="eastAsia"/>
          <w:highlight w:val="none"/>
        </w:rPr>
      </w:pPr>
      <w:r>
        <w:rPr>
          <w:rFonts w:hint="eastAsia"/>
          <w:highlight w:val="none"/>
        </w:rPr>
        <w:t>阳台粉刷曲线和顺，阴阳角清晰明快，挂落线厚度、宽度一致，细砂批嵌均匀，纹路顺直；涂料均匀，无色差，无起皱脱皮。上下阳台进出一致，梁底水平无翘曲，上口压顶找坡方向正确。</w:t>
      </w:r>
    </w:p>
    <w:p w14:paraId="269667A9">
      <w:pPr>
        <w:pStyle w:val="5"/>
        <w:numPr>
          <w:ilvl w:val="3"/>
          <w:numId w:val="13"/>
        </w:numPr>
        <w:rPr>
          <w:rFonts w:hint="eastAsia"/>
          <w:highlight w:val="none"/>
        </w:rPr>
      </w:pPr>
      <w:r>
        <w:rPr>
          <w:rFonts w:hint="eastAsia"/>
          <w:highlight w:val="none"/>
        </w:rPr>
        <w:t>阳台栏杆表面无明显划痕、无凹损和明显色差，栏杆整齐一致，位置正确，横平竖直。</w:t>
      </w:r>
    </w:p>
    <w:p w14:paraId="731395E8">
      <w:pPr>
        <w:pStyle w:val="5"/>
        <w:numPr>
          <w:ilvl w:val="3"/>
          <w:numId w:val="13"/>
        </w:numPr>
        <w:rPr>
          <w:rFonts w:hint="eastAsia"/>
          <w:highlight w:val="none"/>
        </w:rPr>
      </w:pPr>
      <w:r>
        <w:rPr>
          <w:rFonts w:hint="eastAsia"/>
          <w:highlight w:val="none"/>
        </w:rPr>
        <w:t>阳台应严格按图纸放坡，不倒泛水，无积水，无渗漏。</w:t>
      </w:r>
    </w:p>
    <w:p w14:paraId="516AEB7A">
      <w:pPr>
        <w:pStyle w:val="4"/>
        <w:numPr>
          <w:ilvl w:val="2"/>
          <w:numId w:val="13"/>
        </w:numPr>
        <w:rPr>
          <w:rFonts w:hint="eastAsia"/>
          <w:highlight w:val="none"/>
        </w:rPr>
      </w:pPr>
      <w:r>
        <w:rPr>
          <w:rFonts w:hint="eastAsia"/>
          <w:highlight w:val="none"/>
        </w:rPr>
        <w:t xml:space="preserve"> 卫生间</w:t>
      </w:r>
    </w:p>
    <w:p w14:paraId="0DD88D73">
      <w:pPr>
        <w:pStyle w:val="5"/>
        <w:numPr>
          <w:ilvl w:val="3"/>
          <w:numId w:val="13"/>
        </w:numPr>
        <w:rPr>
          <w:rFonts w:hint="eastAsia"/>
          <w:highlight w:val="none"/>
        </w:rPr>
      </w:pPr>
      <w:r>
        <w:rPr>
          <w:rFonts w:hint="eastAsia"/>
          <w:highlight w:val="none"/>
        </w:rPr>
        <w:t>墙面细砂批嵌粗细一致，平整清洁，纹路上下顺直，无裂缝，不起壳，地坪平整。</w:t>
      </w:r>
    </w:p>
    <w:p w14:paraId="47B73E5B">
      <w:pPr>
        <w:pStyle w:val="5"/>
        <w:numPr>
          <w:ilvl w:val="3"/>
          <w:numId w:val="13"/>
        </w:numPr>
        <w:rPr>
          <w:rFonts w:hint="eastAsia"/>
          <w:highlight w:val="none"/>
        </w:rPr>
      </w:pPr>
      <w:r>
        <w:rPr>
          <w:rFonts w:hint="eastAsia"/>
          <w:highlight w:val="none"/>
        </w:rPr>
        <w:t>卫生间地面24小时闭水试验，达到不渗不漏，地面按设计要求向地漏处找坡。</w:t>
      </w:r>
    </w:p>
    <w:p w14:paraId="5BE01122">
      <w:pPr>
        <w:pStyle w:val="4"/>
        <w:numPr>
          <w:ilvl w:val="2"/>
          <w:numId w:val="13"/>
        </w:numPr>
        <w:rPr>
          <w:rFonts w:hint="eastAsia"/>
          <w:highlight w:val="none"/>
        </w:rPr>
      </w:pPr>
      <w:r>
        <w:rPr>
          <w:rFonts w:hint="eastAsia"/>
          <w:highlight w:val="none"/>
        </w:rPr>
        <w:t xml:space="preserve"> 厨房排烟</w:t>
      </w:r>
      <w:r>
        <w:rPr>
          <w:highlight w:val="none"/>
        </w:rPr>
        <w:t>道</w:t>
      </w:r>
    </w:p>
    <w:p w14:paraId="3DFE2AA8">
      <w:pPr>
        <w:pStyle w:val="5"/>
        <w:numPr>
          <w:ilvl w:val="3"/>
          <w:numId w:val="13"/>
        </w:numPr>
        <w:rPr>
          <w:rFonts w:hint="eastAsia"/>
          <w:highlight w:val="none"/>
        </w:rPr>
      </w:pPr>
      <w:r>
        <w:rPr>
          <w:rFonts w:hint="eastAsia"/>
          <w:highlight w:val="none"/>
        </w:rPr>
        <w:t>成品排烟道在楼层处</w:t>
      </w:r>
      <w:r>
        <w:rPr>
          <w:highlight w:val="none"/>
        </w:rPr>
        <w:t>采用</w:t>
      </w:r>
      <w:r>
        <w:rPr>
          <w:rFonts w:hint="eastAsia"/>
          <w:highlight w:val="none"/>
        </w:rPr>
        <w:t>2根</w:t>
      </w:r>
      <w:r>
        <w:rPr>
          <w:highlight w:val="none"/>
        </w:rPr>
        <w:t>直径</w:t>
      </w:r>
      <w:r>
        <w:rPr>
          <w:rFonts w:hint="eastAsia"/>
          <w:highlight w:val="none"/>
        </w:rPr>
        <w:t>12</w:t>
      </w:r>
      <w:r>
        <w:rPr>
          <w:highlight w:val="none"/>
        </w:rPr>
        <w:t>钢筋</w:t>
      </w:r>
      <w:r>
        <w:rPr>
          <w:rFonts w:hint="eastAsia"/>
          <w:highlight w:val="none"/>
        </w:rPr>
        <w:t>每</w:t>
      </w:r>
      <w:r>
        <w:rPr>
          <w:highlight w:val="none"/>
        </w:rPr>
        <w:t>三层</w:t>
      </w:r>
      <w:r>
        <w:rPr>
          <w:rFonts w:hint="eastAsia"/>
          <w:highlight w:val="none"/>
        </w:rPr>
        <w:t>承</w:t>
      </w:r>
      <w:r>
        <w:rPr>
          <w:highlight w:val="none"/>
        </w:rPr>
        <w:t>托</w:t>
      </w:r>
      <w:r>
        <w:rPr>
          <w:rFonts w:hint="eastAsia"/>
          <w:highlight w:val="none"/>
        </w:rPr>
        <w:t>一</w:t>
      </w:r>
      <w:r>
        <w:rPr>
          <w:highlight w:val="none"/>
        </w:rPr>
        <w:t>次</w:t>
      </w:r>
      <w:r>
        <w:rPr>
          <w:rFonts w:hint="eastAsia"/>
          <w:highlight w:val="none"/>
        </w:rPr>
        <w:t>，烟</w:t>
      </w:r>
      <w:r>
        <w:rPr>
          <w:highlight w:val="none"/>
        </w:rPr>
        <w:t>道外壁</w:t>
      </w:r>
      <w:r>
        <w:rPr>
          <w:rFonts w:hint="eastAsia"/>
          <w:highlight w:val="none"/>
        </w:rPr>
        <w:t>与</w:t>
      </w:r>
      <w:r>
        <w:rPr>
          <w:highlight w:val="none"/>
        </w:rPr>
        <w:t>楼板</w:t>
      </w:r>
      <w:r>
        <w:rPr>
          <w:rFonts w:hint="eastAsia"/>
          <w:highlight w:val="none"/>
        </w:rPr>
        <w:t>/导墙</w:t>
      </w:r>
      <w:r>
        <w:rPr>
          <w:highlight w:val="none"/>
        </w:rPr>
        <w:t>之间</w:t>
      </w:r>
      <w:r>
        <w:rPr>
          <w:rFonts w:hint="eastAsia"/>
          <w:highlight w:val="none"/>
        </w:rPr>
        <w:t>用C</w:t>
      </w:r>
      <w:r>
        <w:rPr>
          <w:highlight w:val="none"/>
        </w:rPr>
        <w:t>20</w:t>
      </w:r>
      <w:r>
        <w:rPr>
          <w:rFonts w:hint="eastAsia"/>
          <w:highlight w:val="none"/>
        </w:rPr>
        <w:t>细</w:t>
      </w:r>
      <w:r>
        <w:rPr>
          <w:highlight w:val="none"/>
        </w:rPr>
        <w:t>石混凝土封堵填实</w:t>
      </w:r>
      <w:r>
        <w:rPr>
          <w:rFonts w:hint="eastAsia"/>
          <w:highlight w:val="none"/>
        </w:rPr>
        <w:t xml:space="preserve">。 </w:t>
      </w:r>
    </w:p>
    <w:p w14:paraId="5AB738AF">
      <w:pPr>
        <w:pStyle w:val="5"/>
        <w:numPr>
          <w:ilvl w:val="3"/>
          <w:numId w:val="13"/>
        </w:numPr>
        <w:rPr>
          <w:rFonts w:hint="eastAsia"/>
          <w:highlight w:val="none"/>
        </w:rPr>
      </w:pPr>
      <w:r>
        <w:rPr>
          <w:rFonts w:hint="eastAsia"/>
          <w:highlight w:val="none"/>
        </w:rPr>
        <w:t>排烟</w:t>
      </w:r>
      <w:r>
        <w:rPr>
          <w:highlight w:val="none"/>
        </w:rPr>
        <w:t>道出上人</w:t>
      </w:r>
      <w:r>
        <w:rPr>
          <w:rFonts w:hint="eastAsia"/>
          <w:highlight w:val="none"/>
        </w:rPr>
        <w:t>屋</w:t>
      </w:r>
      <w:r>
        <w:rPr>
          <w:highlight w:val="none"/>
        </w:rPr>
        <w:t>面高度不低于</w:t>
      </w:r>
      <w:r>
        <w:rPr>
          <w:rFonts w:hint="eastAsia"/>
          <w:highlight w:val="none"/>
        </w:rPr>
        <w:t>屋</w:t>
      </w:r>
      <w:r>
        <w:rPr>
          <w:highlight w:val="none"/>
        </w:rPr>
        <w:t>面</w:t>
      </w:r>
      <w:r>
        <w:rPr>
          <w:rFonts w:hint="eastAsia"/>
          <w:highlight w:val="none"/>
        </w:rPr>
        <w:t>完成</w:t>
      </w:r>
      <w:r>
        <w:rPr>
          <w:highlight w:val="none"/>
        </w:rPr>
        <w:t>面</w:t>
      </w:r>
      <w:r>
        <w:rPr>
          <w:rFonts w:hint="eastAsia"/>
          <w:highlight w:val="none"/>
        </w:rPr>
        <w:t>2m，顶</w:t>
      </w:r>
      <w:r>
        <w:rPr>
          <w:highlight w:val="none"/>
        </w:rPr>
        <w:t>部应设置成品烟道自带的防雨</w:t>
      </w:r>
      <w:r>
        <w:rPr>
          <w:rFonts w:hint="eastAsia"/>
          <w:highlight w:val="none"/>
        </w:rPr>
        <w:t>、</w:t>
      </w:r>
      <w:r>
        <w:rPr>
          <w:highlight w:val="none"/>
        </w:rPr>
        <w:t>防倒灌风帽</w:t>
      </w:r>
      <w:r>
        <w:rPr>
          <w:rFonts w:hint="eastAsia"/>
          <w:highlight w:val="none"/>
        </w:rPr>
        <w:t>。</w:t>
      </w:r>
    </w:p>
    <w:p w14:paraId="4206809E">
      <w:pPr>
        <w:pStyle w:val="5"/>
        <w:numPr>
          <w:ilvl w:val="3"/>
          <w:numId w:val="13"/>
        </w:numPr>
        <w:rPr>
          <w:rFonts w:hint="eastAsia"/>
          <w:highlight w:val="none"/>
        </w:rPr>
      </w:pPr>
      <w:r>
        <w:rPr>
          <w:rFonts w:hint="eastAsia"/>
          <w:highlight w:val="none"/>
        </w:rPr>
        <w:t>出屋面排烟道外壁采用混凝土现浇，</w:t>
      </w:r>
      <w:r>
        <w:rPr>
          <w:highlight w:val="none"/>
        </w:rPr>
        <w:t>防止外</w:t>
      </w:r>
      <w:r>
        <w:rPr>
          <w:rFonts w:hint="eastAsia"/>
          <w:highlight w:val="none"/>
        </w:rPr>
        <w:t>壁开裂。</w:t>
      </w:r>
    </w:p>
    <w:p w14:paraId="0E810E95">
      <w:pPr>
        <w:pStyle w:val="4"/>
        <w:numPr>
          <w:ilvl w:val="2"/>
          <w:numId w:val="13"/>
        </w:numPr>
        <w:rPr>
          <w:rFonts w:hint="eastAsia"/>
          <w:highlight w:val="none"/>
        </w:rPr>
      </w:pPr>
      <w:r>
        <w:rPr>
          <w:rFonts w:hint="eastAsia"/>
          <w:highlight w:val="none"/>
        </w:rPr>
        <w:t>公共部位粗装修</w:t>
      </w:r>
    </w:p>
    <w:p w14:paraId="08193429">
      <w:pPr>
        <w:pStyle w:val="5"/>
        <w:numPr>
          <w:ilvl w:val="3"/>
          <w:numId w:val="13"/>
        </w:numPr>
        <w:rPr>
          <w:rFonts w:hint="eastAsia"/>
          <w:highlight w:val="none"/>
        </w:rPr>
      </w:pPr>
      <w:r>
        <w:rPr>
          <w:rFonts w:hint="eastAsia"/>
          <w:highlight w:val="none"/>
        </w:rPr>
        <w:t>墙面平整，阴阳角方正顺直清晰。梁表面平整，梁底水平，高度宽度一致，腻子批嵌平整，无腻灰，无波纹，涂料均匀，无色差。</w:t>
      </w:r>
    </w:p>
    <w:p w14:paraId="49F2CE0E">
      <w:pPr>
        <w:pStyle w:val="5"/>
        <w:numPr>
          <w:ilvl w:val="3"/>
          <w:numId w:val="13"/>
        </w:numPr>
        <w:rPr>
          <w:rFonts w:hint="eastAsia"/>
          <w:highlight w:val="none"/>
        </w:rPr>
      </w:pPr>
      <w:r>
        <w:rPr>
          <w:rFonts w:hint="eastAsia"/>
          <w:highlight w:val="none"/>
        </w:rPr>
        <w:t>地砖铺贴平整，拼花图案清晰，色泽一致，表面清洁，不起壳，无裂缝，无碎块，掉角，缺楞，砖缝均匀顺直；楼梯踏步尺寸一致，无大小头，斜面一条线。</w:t>
      </w:r>
    </w:p>
    <w:p w14:paraId="02D7BBAB">
      <w:pPr>
        <w:pStyle w:val="5"/>
        <w:numPr>
          <w:ilvl w:val="3"/>
          <w:numId w:val="13"/>
        </w:numPr>
        <w:rPr>
          <w:rFonts w:hint="eastAsia"/>
          <w:highlight w:val="none"/>
        </w:rPr>
      </w:pPr>
      <w:r>
        <w:rPr>
          <w:rFonts w:hint="eastAsia"/>
          <w:highlight w:val="none"/>
        </w:rPr>
        <w:t>楼梯挡水线、挂落线、宽厚度一致，表面平整，颜色一致，阴阳角清晰明快不含糊。</w:t>
      </w:r>
    </w:p>
    <w:p w14:paraId="294734A9">
      <w:pPr>
        <w:pStyle w:val="5"/>
        <w:numPr>
          <w:ilvl w:val="3"/>
          <w:numId w:val="13"/>
        </w:numPr>
        <w:rPr>
          <w:rFonts w:hint="eastAsia"/>
          <w:highlight w:val="none"/>
        </w:rPr>
      </w:pPr>
      <w:r>
        <w:rPr>
          <w:rFonts w:hint="eastAsia"/>
          <w:highlight w:val="none"/>
        </w:rPr>
        <w:t>楼梯栏杆、扶手：栏杆焊疤处理平整，木扶手拼接牢固，扶手背不弯曲，腻子批嵌密实，油漆表面涂刷后无锈斑、焊渣，毛刺等。</w:t>
      </w:r>
    </w:p>
    <w:p w14:paraId="2BBC1150">
      <w:pPr>
        <w:pStyle w:val="3"/>
        <w:numPr>
          <w:ilvl w:val="1"/>
          <w:numId w:val="13"/>
        </w:numPr>
        <w:rPr>
          <w:rFonts w:hint="eastAsia"/>
          <w:highlight w:val="none"/>
        </w:rPr>
      </w:pPr>
      <w:bookmarkStart w:id="591" w:name="_Toc17697"/>
      <w:bookmarkStart w:id="592" w:name="_Toc10822"/>
      <w:bookmarkStart w:id="593" w:name="_Toc964"/>
      <w:bookmarkStart w:id="594" w:name="_Toc20164"/>
      <w:bookmarkStart w:id="595" w:name="_Toc7951"/>
      <w:bookmarkStart w:id="596" w:name="_Toc6779"/>
      <w:bookmarkStart w:id="597" w:name="_Toc32283"/>
      <w:bookmarkStart w:id="598" w:name="_Toc13710"/>
      <w:bookmarkStart w:id="599" w:name="_Toc20046"/>
      <w:bookmarkStart w:id="600" w:name="_Toc320"/>
      <w:bookmarkStart w:id="601" w:name="_Toc169722237"/>
      <w:bookmarkStart w:id="602" w:name="_Toc422854860"/>
      <w:r>
        <w:rPr>
          <w:rFonts w:hint="eastAsia"/>
          <w:highlight w:val="none"/>
        </w:rPr>
        <w:t>外墙工程技术要求</w:t>
      </w:r>
      <w:bookmarkEnd w:id="591"/>
      <w:bookmarkEnd w:id="592"/>
      <w:bookmarkEnd w:id="593"/>
      <w:bookmarkEnd w:id="594"/>
      <w:bookmarkEnd w:id="595"/>
      <w:bookmarkEnd w:id="596"/>
      <w:bookmarkEnd w:id="597"/>
      <w:bookmarkEnd w:id="598"/>
      <w:bookmarkEnd w:id="599"/>
      <w:bookmarkEnd w:id="600"/>
      <w:bookmarkEnd w:id="601"/>
      <w:bookmarkEnd w:id="602"/>
    </w:p>
    <w:p w14:paraId="68F0F357">
      <w:pPr>
        <w:pStyle w:val="4"/>
        <w:numPr>
          <w:ilvl w:val="2"/>
          <w:numId w:val="13"/>
        </w:numPr>
        <w:rPr>
          <w:rFonts w:hint="eastAsia"/>
          <w:highlight w:val="none"/>
        </w:rPr>
      </w:pPr>
      <w:r>
        <w:rPr>
          <w:rFonts w:hint="eastAsia"/>
          <w:highlight w:val="none"/>
        </w:rPr>
        <w:t>外墙面砖饰面返碱率为零，如发现返碱及时用清水清洗，直至不返碱为止。</w:t>
      </w:r>
    </w:p>
    <w:p w14:paraId="7EB4432B">
      <w:pPr>
        <w:pStyle w:val="4"/>
        <w:numPr>
          <w:ilvl w:val="2"/>
          <w:numId w:val="13"/>
        </w:numPr>
        <w:rPr>
          <w:rFonts w:hint="eastAsia"/>
          <w:highlight w:val="none"/>
        </w:rPr>
      </w:pPr>
      <w:r>
        <w:rPr>
          <w:rFonts w:hint="eastAsia"/>
          <w:highlight w:val="none"/>
        </w:rPr>
        <w:t>墙面平整无空鼓开裂，大墙角、阴角挺拔通直，细砂批嵌均匀无接口，表面无明显射影和波纹，阴阳角清晰；涂料均匀，无色差，无接痕，无污染，收头清爽。</w:t>
      </w:r>
    </w:p>
    <w:p w14:paraId="6481BE68">
      <w:pPr>
        <w:pStyle w:val="4"/>
        <w:numPr>
          <w:ilvl w:val="2"/>
          <w:numId w:val="13"/>
        </w:numPr>
        <w:rPr>
          <w:rFonts w:hint="eastAsia"/>
          <w:highlight w:val="none"/>
        </w:rPr>
      </w:pPr>
      <w:r>
        <w:rPr>
          <w:rFonts w:hint="eastAsia"/>
          <w:highlight w:val="none"/>
        </w:rPr>
        <w:t>空调洞板：空调板挂线施工，上下垂直度≤1cm，宽度一致，洞口尺寸相同，左右上下横平竖直，洞口阴角通直清晰不含糊，洞外阳角方正顺直。</w:t>
      </w:r>
    </w:p>
    <w:p w14:paraId="60728A4C">
      <w:pPr>
        <w:pStyle w:val="4"/>
        <w:numPr>
          <w:ilvl w:val="2"/>
          <w:numId w:val="13"/>
        </w:numPr>
        <w:rPr>
          <w:rFonts w:hint="eastAsia"/>
          <w:highlight w:val="none"/>
        </w:rPr>
      </w:pPr>
      <w:r>
        <w:rPr>
          <w:rFonts w:hint="eastAsia"/>
          <w:highlight w:val="none"/>
        </w:rPr>
        <w:t>外墙勒脚线和明沟：表面平整，无空鼓开裂，颜色一致无污染，上口水平，厚度相同不弯曲；明沟里、中、外按档次尺寸一致，转弯处和顺，月亮弯形状统一，无积水，排水流畅；伸缩缝宽度一致，不弯曲，油膏饱满，平整均匀无外溢。</w:t>
      </w:r>
    </w:p>
    <w:p w14:paraId="253082BE">
      <w:pPr>
        <w:pStyle w:val="4"/>
        <w:numPr>
          <w:ilvl w:val="2"/>
          <w:numId w:val="13"/>
        </w:numPr>
        <w:rPr>
          <w:rFonts w:hint="eastAsia"/>
          <w:highlight w:val="none"/>
        </w:rPr>
      </w:pPr>
      <w:r>
        <w:rPr>
          <w:rFonts w:hint="eastAsia"/>
          <w:highlight w:val="none"/>
        </w:rPr>
        <w:t>外立面预先排版，面砖整砖铺贴，平整度好，色泽均匀，无色差、反碱、污痕；分格线条连续、平直；勾缝密实，宽度及深度均匀一致；拉拔试验合格。</w:t>
      </w:r>
    </w:p>
    <w:p w14:paraId="51147389">
      <w:pPr>
        <w:pStyle w:val="4"/>
        <w:numPr>
          <w:ilvl w:val="2"/>
          <w:numId w:val="13"/>
        </w:numPr>
        <w:rPr>
          <w:rFonts w:hint="eastAsia"/>
          <w:highlight w:val="none"/>
        </w:rPr>
      </w:pPr>
      <w:r>
        <w:rPr>
          <w:rFonts w:hint="eastAsia"/>
          <w:highlight w:val="none"/>
        </w:rPr>
        <w:t>外墙穿墙螺栓洞封堵：使用与相应部位混凝土强度等级相同的微膨胀水泥砂浆填塞密实，填充完成后，在外墙洞口100x100mm范围刮</w:t>
      </w:r>
      <w:r>
        <w:rPr>
          <w:highlight w:val="none"/>
        </w:rPr>
        <w:t>涂</w:t>
      </w:r>
      <w:r>
        <w:rPr>
          <w:rFonts w:hint="eastAsia"/>
          <w:highlight w:val="none"/>
        </w:rPr>
        <w:t>防水材料。</w:t>
      </w:r>
    </w:p>
    <w:p w14:paraId="18A137AC">
      <w:pPr>
        <w:pStyle w:val="3"/>
        <w:numPr>
          <w:ilvl w:val="1"/>
          <w:numId w:val="13"/>
        </w:numPr>
        <w:rPr>
          <w:rFonts w:hint="eastAsia"/>
          <w:highlight w:val="none"/>
        </w:rPr>
      </w:pPr>
      <w:bookmarkStart w:id="603" w:name="_Toc13532"/>
      <w:bookmarkStart w:id="604" w:name="_Toc26233"/>
      <w:bookmarkStart w:id="605" w:name="_Toc24084"/>
      <w:bookmarkStart w:id="606" w:name="_Toc32269"/>
      <w:bookmarkStart w:id="607" w:name="_Toc23261"/>
      <w:bookmarkStart w:id="608" w:name="_Toc10545"/>
      <w:bookmarkStart w:id="609" w:name="_Toc28718"/>
      <w:bookmarkStart w:id="610" w:name="_Toc3413"/>
      <w:bookmarkStart w:id="611" w:name="_Toc8615"/>
      <w:bookmarkStart w:id="612" w:name="_Toc21903"/>
      <w:bookmarkStart w:id="613" w:name="_Toc169722238"/>
      <w:bookmarkStart w:id="614" w:name="_Toc422854861"/>
      <w:r>
        <w:rPr>
          <w:rFonts w:hint="eastAsia"/>
          <w:highlight w:val="none"/>
        </w:rPr>
        <w:t>门窗工程技术要求</w:t>
      </w:r>
      <w:bookmarkEnd w:id="603"/>
      <w:bookmarkEnd w:id="604"/>
      <w:bookmarkEnd w:id="605"/>
      <w:bookmarkEnd w:id="606"/>
      <w:bookmarkEnd w:id="607"/>
      <w:bookmarkEnd w:id="608"/>
      <w:bookmarkEnd w:id="609"/>
      <w:bookmarkEnd w:id="610"/>
      <w:bookmarkEnd w:id="611"/>
      <w:bookmarkEnd w:id="612"/>
    </w:p>
    <w:p w14:paraId="7BE18059">
      <w:pPr>
        <w:ind w:firstLine="480"/>
        <w:rPr>
          <w:rFonts w:hint="eastAsia"/>
          <w:highlight w:val="none"/>
        </w:rPr>
      </w:pPr>
      <w:r>
        <w:rPr>
          <w:rFonts w:hint="eastAsia"/>
          <w:highlight w:val="none"/>
        </w:rPr>
        <w:t>实行样板先行；门窗必须是在厂家车间生产以成品形式运抵施工现场；门窗预留洞口尺寸符合规范要求；门窗安装的固定方式及填缝符合规范；</w:t>
      </w:r>
    </w:p>
    <w:p w14:paraId="1505BF62">
      <w:pPr>
        <w:pStyle w:val="4"/>
        <w:numPr>
          <w:ilvl w:val="2"/>
          <w:numId w:val="13"/>
        </w:numPr>
        <w:rPr>
          <w:rFonts w:hint="eastAsia"/>
          <w:highlight w:val="none"/>
        </w:rPr>
      </w:pPr>
      <w:r>
        <w:rPr>
          <w:rFonts w:hint="eastAsia"/>
          <w:highlight w:val="none"/>
        </w:rPr>
        <w:t xml:space="preserve">门窗工程技术要求 </w:t>
      </w:r>
    </w:p>
    <w:p w14:paraId="188BDF8E">
      <w:pPr>
        <w:ind w:firstLine="480"/>
        <w:rPr>
          <w:rFonts w:hint="eastAsia"/>
          <w:highlight w:val="none"/>
        </w:rPr>
      </w:pPr>
      <w:r>
        <w:rPr>
          <w:rFonts w:hint="eastAsia"/>
          <w:highlight w:val="none"/>
        </w:rPr>
        <w:t xml:space="preserve">（1）技术规范和标准 </w:t>
      </w:r>
    </w:p>
    <w:p w14:paraId="490C12F7">
      <w:pPr>
        <w:ind w:firstLine="480"/>
        <w:rPr>
          <w:rFonts w:hint="eastAsia"/>
          <w:highlight w:val="none"/>
        </w:rPr>
      </w:pPr>
      <w:r>
        <w:rPr>
          <w:rFonts w:hint="eastAsia"/>
          <w:highlight w:val="none"/>
        </w:rPr>
        <w:t>承包人应严格执行最新的现行国家、行业和地方相关技术规范和标准。若规范和标准内容有互相抵触时，应按较严格的条款执行。</w:t>
      </w:r>
    </w:p>
    <w:p w14:paraId="6F407966">
      <w:pPr>
        <w:ind w:firstLine="480"/>
        <w:rPr>
          <w:rFonts w:hint="eastAsia"/>
          <w:highlight w:val="none"/>
        </w:rPr>
      </w:pPr>
      <w:r>
        <w:rPr>
          <w:rFonts w:hint="eastAsia"/>
          <w:highlight w:val="none"/>
        </w:rPr>
        <w:t xml:space="preserve">（2）材料技术要求 </w:t>
      </w:r>
    </w:p>
    <w:p w14:paraId="177E3EEF">
      <w:pPr>
        <w:ind w:firstLine="480"/>
        <w:rPr>
          <w:rFonts w:hint="eastAsia"/>
          <w:highlight w:val="none"/>
        </w:rPr>
      </w:pPr>
      <w:r>
        <w:rPr>
          <w:rFonts w:hint="eastAsia"/>
          <w:highlight w:val="none"/>
        </w:rPr>
        <w:t>总则：所有材料参数物理性能以设计技术要求为准。</w:t>
      </w:r>
    </w:p>
    <w:p w14:paraId="61411A7C">
      <w:pPr>
        <w:ind w:firstLine="480"/>
        <w:rPr>
          <w:rFonts w:hint="eastAsia"/>
          <w:highlight w:val="none"/>
        </w:rPr>
      </w:pPr>
      <w:r>
        <w:rPr>
          <w:highlight w:val="none"/>
        </w:rPr>
        <w:t>1）</w:t>
      </w:r>
      <w:r>
        <w:rPr>
          <w:rFonts w:hint="eastAsia"/>
          <w:highlight w:val="none"/>
        </w:rPr>
        <w:t xml:space="preserve">铝合金型材 </w:t>
      </w:r>
    </w:p>
    <w:p w14:paraId="19A1E1B6">
      <w:pPr>
        <w:ind w:firstLine="480"/>
        <w:rPr>
          <w:rFonts w:hint="eastAsia"/>
          <w:highlight w:val="none"/>
        </w:rPr>
      </w:pPr>
      <w:r>
        <w:rPr>
          <w:rFonts w:hint="eastAsia"/>
          <w:highlight w:val="none"/>
        </w:rPr>
        <w:t xml:space="preserve">a.铝合金型材材质物理参数以设计技术要求和设计说明为准。 </w:t>
      </w:r>
    </w:p>
    <w:p w14:paraId="725CD4B6">
      <w:pPr>
        <w:ind w:firstLine="480"/>
        <w:rPr>
          <w:rFonts w:hint="eastAsia"/>
          <w:highlight w:val="none"/>
        </w:rPr>
      </w:pPr>
      <w:r>
        <w:rPr>
          <w:rFonts w:hint="eastAsia"/>
          <w:highlight w:val="none"/>
        </w:rPr>
        <w:t xml:space="preserve">b.表面处理：铝合金型材可视表面以图纸描述为准，技术要求如下： </w:t>
      </w:r>
    </w:p>
    <w:p w14:paraId="6E5942E6">
      <w:pPr>
        <w:ind w:firstLine="480"/>
        <w:rPr>
          <w:rFonts w:hint="eastAsia"/>
          <w:highlight w:val="none"/>
        </w:rPr>
      </w:pPr>
      <w:r>
        <w:rPr>
          <w:rFonts w:hint="eastAsia"/>
          <w:highlight w:val="none"/>
        </w:rPr>
        <w:t xml:space="preserve">b.阳极氧化：阳极氧化表面不应有任何的瑕疵、刮痕、磨损及凹痕。当阳极氧化及其养护完成后，其表面不可呈现任何斑点，污迹或条纹。阳极氧化膜厚度应不低于AA15 级的要求,材料进场时应提供膜厚检测仪进行膜厚检测。 </w:t>
      </w:r>
    </w:p>
    <w:p w14:paraId="71686A43">
      <w:pPr>
        <w:ind w:firstLine="480"/>
        <w:rPr>
          <w:rFonts w:hint="eastAsia"/>
          <w:highlight w:val="none"/>
        </w:rPr>
      </w:pPr>
      <w:r>
        <w:rPr>
          <w:rFonts w:hint="eastAsia"/>
          <w:highlight w:val="none"/>
        </w:rPr>
        <w:t>e.氟碳喷涂：氟碳喷涂二涂平均厚度≥30μm，且局部厚度不少于25μm。三涂平均厚度≥40μm，且局部厚度不少于 35μm。氟碳树脂含量不应低于树脂总量的 70%；</w:t>
      </w:r>
    </w:p>
    <w:p w14:paraId="4DC17E28">
      <w:pPr>
        <w:ind w:firstLine="480"/>
        <w:rPr>
          <w:rFonts w:hint="eastAsia"/>
          <w:highlight w:val="none"/>
        </w:rPr>
      </w:pPr>
      <w:r>
        <w:rPr>
          <w:rFonts w:hint="eastAsia"/>
          <w:highlight w:val="none"/>
        </w:rPr>
        <w:t xml:space="preserve">e.粉末喷涂：粉末喷涂一般应用于室内（设计有特殊要求的除外），粉末喷涂涂层厚度应符合局部厚度≥40μm，且＜120μm 的要求。 </w:t>
      </w:r>
    </w:p>
    <w:p w14:paraId="13119B14">
      <w:pPr>
        <w:ind w:firstLine="480"/>
        <w:rPr>
          <w:rFonts w:hint="eastAsia"/>
          <w:highlight w:val="none"/>
        </w:rPr>
      </w:pPr>
      <w:r>
        <w:rPr>
          <w:rFonts w:hint="eastAsia"/>
          <w:highlight w:val="none"/>
        </w:rPr>
        <w:t xml:space="preserve">f.型材壁厚：铝合金型材壁厚以招标图纸描述为准，并符合各地相应地方标准要求。 </w:t>
      </w:r>
    </w:p>
    <w:p w14:paraId="2576F9E0">
      <w:pPr>
        <w:ind w:firstLine="480"/>
        <w:rPr>
          <w:rFonts w:hint="eastAsia"/>
          <w:highlight w:val="none"/>
        </w:rPr>
      </w:pPr>
      <w:r>
        <w:rPr>
          <w:rFonts w:hint="eastAsia"/>
          <w:highlight w:val="none"/>
        </w:rPr>
        <w:t>以上若设计有明确要求，以设计要求为准。</w:t>
      </w:r>
    </w:p>
    <w:p w14:paraId="605CD546">
      <w:pPr>
        <w:ind w:firstLine="480"/>
        <w:rPr>
          <w:rFonts w:hint="eastAsia"/>
          <w:highlight w:val="none"/>
        </w:rPr>
      </w:pPr>
      <w:r>
        <w:rPr>
          <w:highlight w:val="none"/>
        </w:rPr>
        <w:t>2）</w:t>
      </w:r>
      <w:r>
        <w:rPr>
          <w:rFonts w:hint="eastAsia"/>
          <w:highlight w:val="none"/>
        </w:rPr>
        <w:t xml:space="preserve">玻璃 </w:t>
      </w:r>
    </w:p>
    <w:p w14:paraId="646EC288">
      <w:pPr>
        <w:ind w:firstLine="480"/>
        <w:rPr>
          <w:rFonts w:hint="eastAsia"/>
          <w:highlight w:val="none"/>
        </w:rPr>
      </w:pPr>
      <w:r>
        <w:rPr>
          <w:rFonts w:hint="eastAsia"/>
          <w:highlight w:val="none"/>
        </w:rPr>
        <w:t xml:space="preserve">具体规格及厚度详见招标图纸，玻璃品种、颜色和性能，由发包人根据需要选定。 </w:t>
      </w:r>
    </w:p>
    <w:p w14:paraId="0829CF06">
      <w:pPr>
        <w:ind w:firstLine="480"/>
        <w:rPr>
          <w:rFonts w:hint="eastAsia"/>
          <w:highlight w:val="none"/>
        </w:rPr>
      </w:pPr>
      <w:r>
        <w:rPr>
          <w:rFonts w:hint="eastAsia"/>
          <w:highlight w:val="none"/>
        </w:rPr>
        <w:t>a.玻璃参数需满足建筑整体节能要求。露点温度满足设计及规范要求。所有玻璃厚度须进行玻璃抗风压计算设计、镶嵌结构设计。对隔声、隔热、保温等要求，应进行验算。要求提供计算书及相关玻璃试验报告。</w:t>
      </w:r>
    </w:p>
    <w:p w14:paraId="46F7D712">
      <w:pPr>
        <w:ind w:firstLine="480"/>
        <w:rPr>
          <w:rFonts w:hint="eastAsia"/>
          <w:highlight w:val="none"/>
        </w:rPr>
      </w:pPr>
      <w:r>
        <w:rPr>
          <w:rFonts w:hint="eastAsia"/>
          <w:highlight w:val="none"/>
        </w:rPr>
        <w:t xml:space="preserve">b.玻璃不能出现影响到玻璃性能的缺陷。例如：气泡、波浪、污点、刮伤、 裂缝、错误染色、碎屑、杂质等，玻璃应符合如下表技术指标。 </w:t>
      </w:r>
    </w:p>
    <w:p w14:paraId="2D02A8BA">
      <w:pPr>
        <w:ind w:firstLine="480"/>
        <w:rPr>
          <w:rFonts w:hint="eastAsia"/>
          <w:highlight w:val="none"/>
        </w:rPr>
      </w:pPr>
      <w:r>
        <w:rPr>
          <w:rFonts w:hint="eastAsia"/>
          <w:highlight w:val="none"/>
        </w:rPr>
        <w:t xml:space="preserve">c.玻璃颜色应该和发包人确认的封样一致。 </w:t>
      </w:r>
    </w:p>
    <w:p w14:paraId="5A0FC395">
      <w:pPr>
        <w:ind w:firstLine="480"/>
        <w:rPr>
          <w:rFonts w:hint="eastAsia"/>
          <w:highlight w:val="none"/>
        </w:rPr>
      </w:pPr>
      <w:r>
        <w:rPr>
          <w:rFonts w:hint="eastAsia"/>
          <w:highlight w:val="none"/>
        </w:rPr>
        <w:t xml:space="preserve">d.所有送到现场的玻璃应该附有制造商的识别标签，钢化玻璃需有3C标签，且不得出厂后添加，所有标签统一在右下角处。 </w:t>
      </w:r>
    </w:p>
    <w:p w14:paraId="29CF0711">
      <w:pPr>
        <w:ind w:firstLine="480"/>
        <w:rPr>
          <w:rFonts w:hint="eastAsia"/>
          <w:highlight w:val="none"/>
        </w:rPr>
      </w:pPr>
      <w:r>
        <w:rPr>
          <w:rFonts w:hint="eastAsia"/>
          <w:highlight w:val="none"/>
        </w:rPr>
        <w:t xml:space="preserve">e.对玻璃进行详细的热工分析，以确保玻璃受温度影响，不会发生破坏。这项分析应该考虑外墙的遮阳情况，包括外墙的装饰、相邻结构和建筑物投射、内部暗楼等等。承包人应该承担玻璃受到温度影响发生破坏时，对此玻璃进行替换所产生的一切费用。 </w:t>
      </w:r>
    </w:p>
    <w:p w14:paraId="064EEC26">
      <w:pPr>
        <w:ind w:firstLine="480"/>
        <w:rPr>
          <w:rFonts w:hint="eastAsia"/>
          <w:highlight w:val="none"/>
        </w:rPr>
      </w:pPr>
      <w:r>
        <w:rPr>
          <w:rFonts w:hint="eastAsia"/>
          <w:highlight w:val="none"/>
        </w:rPr>
        <w:t xml:space="preserve">f.夹胶玻璃 </w:t>
      </w:r>
    </w:p>
    <w:p w14:paraId="1CC62089">
      <w:pPr>
        <w:ind w:firstLine="480"/>
        <w:rPr>
          <w:rFonts w:hint="eastAsia"/>
          <w:highlight w:val="none"/>
        </w:rPr>
      </w:pPr>
      <w:r>
        <w:rPr>
          <w:rFonts w:hint="eastAsia"/>
          <w:highlight w:val="none"/>
        </w:rPr>
        <w:t xml:space="preserve">①夹胶玻璃必须采用干法加工合成 </w:t>
      </w:r>
    </w:p>
    <w:p w14:paraId="77DADA1E">
      <w:pPr>
        <w:ind w:firstLine="480"/>
        <w:rPr>
          <w:rFonts w:hint="eastAsia"/>
          <w:highlight w:val="none"/>
        </w:rPr>
      </w:pPr>
      <w:r>
        <w:rPr>
          <w:rFonts w:hint="eastAsia"/>
          <w:highlight w:val="none"/>
        </w:rPr>
        <w:t xml:space="preserve">②当夹胶玻璃采用 PVB 胶片且有裸露边时，其自由边必须做封边处理。 </w:t>
      </w:r>
    </w:p>
    <w:p w14:paraId="21EEB380">
      <w:pPr>
        <w:ind w:firstLine="480"/>
        <w:rPr>
          <w:rFonts w:hint="eastAsia"/>
          <w:highlight w:val="none"/>
        </w:rPr>
      </w:pPr>
      <w:r>
        <w:rPr>
          <w:rFonts w:hint="eastAsia"/>
          <w:highlight w:val="none"/>
        </w:rPr>
        <w:t xml:space="preserve">③提供由 PVB 制造商出具的原产地证明及合格加工商证明。 </w:t>
      </w:r>
    </w:p>
    <w:p w14:paraId="5D69000D">
      <w:pPr>
        <w:ind w:firstLine="480"/>
        <w:rPr>
          <w:rFonts w:hint="eastAsia"/>
          <w:highlight w:val="none"/>
        </w:rPr>
      </w:pPr>
      <w:r>
        <w:rPr>
          <w:rFonts w:hint="eastAsia"/>
          <w:highlight w:val="none"/>
        </w:rPr>
        <w:t xml:space="preserve">④栏杆玻璃：所有外露部位需要精磨边，玻璃面板支承孔边与板边的距离不宜小于 70mm。 </w:t>
      </w:r>
    </w:p>
    <w:p w14:paraId="2033E8A9">
      <w:pPr>
        <w:ind w:firstLine="480"/>
        <w:rPr>
          <w:rFonts w:hint="eastAsia"/>
          <w:highlight w:val="none"/>
        </w:rPr>
      </w:pPr>
      <w:r>
        <w:rPr>
          <w:rFonts w:hint="eastAsia"/>
          <w:highlight w:val="none"/>
        </w:rPr>
        <w:t xml:space="preserve">g.中空玻璃 </w:t>
      </w:r>
    </w:p>
    <w:p w14:paraId="0271717E">
      <w:pPr>
        <w:ind w:firstLine="480"/>
        <w:rPr>
          <w:rFonts w:hint="eastAsia"/>
          <w:highlight w:val="none"/>
        </w:rPr>
      </w:pPr>
      <w:r>
        <w:rPr>
          <w:rFonts w:hint="eastAsia"/>
          <w:highlight w:val="none"/>
        </w:rPr>
        <w:t xml:space="preserve">①LOW-E 玻璃在中空组装前，需要将玻璃边缘的镀膜去除，去除范围从边缘至第一道密封，不得与丁基胶接触，以防止水气破坏镀膜。第一道密封胶为丁基胶，连续粘接到玻璃上，胶的最小宽度为 3mm。第二道密封胶为结构密封胶，连续粘接到两片玻璃上，胶应该完全盖住间隔条，且施打连续饱满、表面平整不得有任何间隙，间隔条要求连续折弯。 </w:t>
      </w:r>
    </w:p>
    <w:p w14:paraId="551B96EF">
      <w:pPr>
        <w:ind w:firstLine="480"/>
        <w:rPr>
          <w:rFonts w:hint="eastAsia"/>
          <w:highlight w:val="none"/>
        </w:rPr>
      </w:pPr>
      <w:r>
        <w:rPr>
          <w:rFonts w:hint="eastAsia"/>
          <w:highlight w:val="none"/>
        </w:rPr>
        <w:t xml:space="preserve">②中空玻璃的单片玻璃厚度相差不宜大于 3mm。 </w:t>
      </w:r>
    </w:p>
    <w:p w14:paraId="1E7A3674">
      <w:pPr>
        <w:ind w:firstLine="480"/>
        <w:rPr>
          <w:rFonts w:hint="eastAsia"/>
          <w:highlight w:val="none"/>
        </w:rPr>
      </w:pPr>
      <w:r>
        <w:rPr>
          <w:rFonts w:hint="eastAsia"/>
          <w:highlight w:val="none"/>
        </w:rPr>
        <w:t>③中空玻璃合片必须采用立式中空玻璃合成流水线生产。</w:t>
      </w:r>
    </w:p>
    <w:p w14:paraId="5187D2A3">
      <w:pPr>
        <w:ind w:firstLine="480"/>
        <w:rPr>
          <w:rFonts w:hint="eastAsia"/>
          <w:highlight w:val="none"/>
        </w:rPr>
      </w:pPr>
      <w:r>
        <w:rPr>
          <w:rFonts w:hint="eastAsia"/>
          <w:highlight w:val="none"/>
        </w:rPr>
        <w:t xml:space="preserve">④弯曲度：防火玻璃的弓形弯曲度不应超过 0.3%，波形弯曲度不应超过 0.2% </w:t>
      </w:r>
    </w:p>
    <w:p w14:paraId="62A89087">
      <w:pPr>
        <w:ind w:firstLine="480"/>
        <w:rPr>
          <w:rFonts w:hint="eastAsia"/>
          <w:highlight w:val="none"/>
        </w:rPr>
      </w:pPr>
      <w:r>
        <w:rPr>
          <w:rFonts w:hint="eastAsia"/>
          <w:highlight w:val="none"/>
        </w:rPr>
        <w:t xml:space="preserve">h.所有玻璃均进行磨边和倒棱磨边处理，倒棱宽度不宜小于 1.0mm，玻璃边外露采用精磨边。 </w:t>
      </w:r>
    </w:p>
    <w:p w14:paraId="77BD78A9">
      <w:pPr>
        <w:ind w:firstLine="480"/>
        <w:rPr>
          <w:rFonts w:hint="eastAsia"/>
          <w:highlight w:val="none"/>
        </w:rPr>
      </w:pPr>
      <w:r>
        <w:rPr>
          <w:rFonts w:hint="eastAsia"/>
          <w:highlight w:val="none"/>
        </w:rPr>
        <w:t xml:space="preserve">i.项目开始移交小业主之后 2 年之内玻璃若发生自爆，由承包人负责免费更换，且由此造成的一切经济损失由承包人负责。 </w:t>
      </w:r>
    </w:p>
    <w:p w14:paraId="3ACAE1A2">
      <w:pPr>
        <w:ind w:firstLine="480"/>
        <w:rPr>
          <w:rFonts w:hint="eastAsia"/>
          <w:highlight w:val="none"/>
        </w:rPr>
      </w:pPr>
      <w:r>
        <w:rPr>
          <w:rFonts w:hint="eastAsia"/>
          <w:highlight w:val="none"/>
        </w:rPr>
        <w:t xml:space="preserve">3）材质：以设计技术要求和设计说明为准。 </w:t>
      </w:r>
    </w:p>
    <w:p w14:paraId="143ECF9B">
      <w:pPr>
        <w:ind w:firstLine="480"/>
        <w:rPr>
          <w:rFonts w:hint="eastAsia"/>
          <w:highlight w:val="none"/>
        </w:rPr>
      </w:pPr>
      <w:r>
        <w:rPr>
          <w:rFonts w:hint="eastAsia"/>
          <w:highlight w:val="none"/>
        </w:rPr>
        <w:t xml:space="preserve">a.非可视位置表面处理：除图纸特殊说明外，所有钢材表面热浸镀锌处理， </w:t>
      </w:r>
    </w:p>
    <w:p w14:paraId="48AF3949">
      <w:pPr>
        <w:ind w:firstLine="480"/>
        <w:rPr>
          <w:rFonts w:hint="eastAsia"/>
          <w:highlight w:val="none"/>
        </w:rPr>
      </w:pPr>
      <w:r>
        <w:rPr>
          <w:rFonts w:hint="eastAsia"/>
          <w:highlight w:val="none"/>
        </w:rPr>
        <w:t xml:space="preserve">b.钢材厚度≥6 毫米时镀锌层平均厚度不小于 85μm 局部膜厚不小于 70μm；3 毫米≤钢材厚度＜6 毫米时，镀锌层平均厚度不小于 70μm 局部膜厚不小于 55μm。 </w:t>
      </w:r>
    </w:p>
    <w:p w14:paraId="05358668">
      <w:pPr>
        <w:ind w:firstLine="480"/>
        <w:rPr>
          <w:rFonts w:hint="eastAsia"/>
          <w:highlight w:val="none"/>
        </w:rPr>
      </w:pPr>
      <w:r>
        <w:rPr>
          <w:rFonts w:hint="eastAsia"/>
          <w:highlight w:val="none"/>
        </w:rPr>
        <w:t xml:space="preserve">c.可见位置表面处理：常温氟碳三涂表面处理，三涂层结构（富锌底漆、环氧树脂漆、氟碳面漆）,总涂层厚度不小于 150µm 并符合相关标准。所有外露钢材的除锈、防腐做法：喷砂除锈 Sa2.5 级，且需满足设计及规范要 求,无机富锌底漆 2*40μm，环氧云铁中间漆 2*60μm，氟碳面漆 2*30μm，涂层干膜总厚度 260μm，表面处理质保年限不少于 15 年。防腐底漆、封闭漆、中间漆、面漆应相容，漆间附着力好，应采用同一系列的产品进行配套。 </w:t>
      </w:r>
    </w:p>
    <w:p w14:paraId="7171F1EF">
      <w:pPr>
        <w:ind w:firstLine="480"/>
        <w:rPr>
          <w:rFonts w:hint="eastAsia"/>
          <w:highlight w:val="none"/>
        </w:rPr>
      </w:pPr>
      <w:r>
        <w:rPr>
          <w:rFonts w:hint="eastAsia"/>
          <w:highlight w:val="none"/>
        </w:rPr>
        <w:t xml:space="preserve">d.钢结构制作中的管材、板材和型材选用国产优质产品。钢材应选用新材或没有锈痕的钢材。所有钢材应有品质保证资料，并且进行抽样检验，合格后方可使用。 </w:t>
      </w:r>
    </w:p>
    <w:p w14:paraId="3B5B59D5">
      <w:pPr>
        <w:ind w:firstLine="480"/>
        <w:rPr>
          <w:rFonts w:hint="eastAsia"/>
          <w:highlight w:val="none"/>
        </w:rPr>
      </w:pPr>
      <w:r>
        <w:rPr>
          <w:rFonts w:hint="eastAsia"/>
          <w:highlight w:val="none"/>
        </w:rPr>
        <w:t xml:space="preserve">f.钢材的连接如采用焊接，节点图中未注明的均采用角焊缝满焊，焊高为型钢壁厚较薄一方的壁厚，采用 E43 焊条，焊缝等级为三级。 </w:t>
      </w:r>
    </w:p>
    <w:p w14:paraId="3A920B88">
      <w:pPr>
        <w:pStyle w:val="4"/>
        <w:numPr>
          <w:ilvl w:val="2"/>
          <w:numId w:val="13"/>
        </w:numPr>
        <w:rPr>
          <w:rFonts w:hint="eastAsia"/>
          <w:highlight w:val="none"/>
        </w:rPr>
      </w:pPr>
      <w:r>
        <w:rPr>
          <w:rFonts w:hint="eastAsia"/>
          <w:highlight w:val="none"/>
        </w:rPr>
        <w:t xml:space="preserve">门、窗用五金件 </w:t>
      </w:r>
    </w:p>
    <w:p w14:paraId="0FD1415E">
      <w:pPr>
        <w:ind w:firstLine="480"/>
        <w:rPr>
          <w:rFonts w:hint="eastAsia"/>
          <w:highlight w:val="none"/>
        </w:rPr>
      </w:pPr>
      <w:r>
        <w:rPr>
          <w:rFonts w:hint="eastAsia"/>
          <w:highlight w:val="none"/>
        </w:rPr>
        <w:t xml:space="preserve">（1）共性标准 </w:t>
      </w:r>
    </w:p>
    <w:p w14:paraId="69C56845">
      <w:pPr>
        <w:ind w:firstLine="480"/>
        <w:rPr>
          <w:rFonts w:hint="eastAsia"/>
          <w:highlight w:val="none"/>
        </w:rPr>
      </w:pPr>
      <w:r>
        <w:rPr>
          <w:highlight w:val="none"/>
        </w:rPr>
        <w:t>a.</w:t>
      </w:r>
      <w:r>
        <w:rPr>
          <w:rFonts w:hint="eastAsia"/>
          <w:highlight w:val="none"/>
        </w:rPr>
        <w:t xml:space="preserve">窗使用的五金件中，涉及不锈钢材质部分均应为 SUS304 或以上的不锈钢材料，所有可见的五金件饰面应与窗框一致（建筑师特殊要求除外）。 </w:t>
      </w:r>
    </w:p>
    <w:p w14:paraId="553E16F3">
      <w:pPr>
        <w:ind w:firstLine="480"/>
        <w:rPr>
          <w:rFonts w:hint="eastAsia"/>
          <w:highlight w:val="none"/>
        </w:rPr>
      </w:pPr>
      <w:r>
        <w:rPr>
          <w:highlight w:val="none"/>
        </w:rPr>
        <w:t>b.</w:t>
      </w:r>
      <w:r>
        <w:rPr>
          <w:rFonts w:hint="eastAsia"/>
          <w:highlight w:val="none"/>
        </w:rPr>
        <w:t xml:space="preserve">涂层色泽均匀一致，不应有气泡、流挂、脱落、堆漆、桔皮等缺陷。 </w:t>
      </w:r>
    </w:p>
    <w:p w14:paraId="4A035A18">
      <w:pPr>
        <w:ind w:firstLine="480"/>
        <w:rPr>
          <w:rFonts w:hint="eastAsia"/>
          <w:highlight w:val="none"/>
        </w:rPr>
      </w:pPr>
      <w:r>
        <w:rPr>
          <w:highlight w:val="none"/>
        </w:rPr>
        <w:t>c.</w:t>
      </w:r>
      <w:r>
        <w:rPr>
          <w:rFonts w:hint="eastAsia"/>
          <w:highlight w:val="none"/>
        </w:rPr>
        <w:t xml:space="preserve">氧化层、镀层表面应均匀，不应有泛黄、露底、烧焦等缺陷。 </w:t>
      </w:r>
    </w:p>
    <w:p w14:paraId="7DA4212F">
      <w:pPr>
        <w:ind w:firstLine="480"/>
        <w:rPr>
          <w:rFonts w:hint="eastAsia"/>
          <w:highlight w:val="none"/>
        </w:rPr>
      </w:pPr>
      <w:r>
        <w:rPr>
          <w:rFonts w:hint="eastAsia"/>
          <w:highlight w:val="none"/>
        </w:rPr>
        <w:t xml:space="preserve">（2）门窗锁系统的技术标准 </w:t>
      </w:r>
    </w:p>
    <w:p w14:paraId="1C99F971">
      <w:pPr>
        <w:ind w:firstLine="480"/>
        <w:rPr>
          <w:rFonts w:hint="eastAsia"/>
          <w:highlight w:val="none"/>
        </w:rPr>
      </w:pPr>
      <w:r>
        <w:rPr>
          <w:highlight w:val="none"/>
        </w:rPr>
        <w:t>a.</w:t>
      </w:r>
      <w:r>
        <w:rPr>
          <w:rFonts w:hint="eastAsia"/>
          <w:highlight w:val="none"/>
        </w:rPr>
        <w:t xml:space="preserve">门窗的锁系统应采用多点锁系统，严禁使用旋压执手。 </w:t>
      </w:r>
    </w:p>
    <w:p w14:paraId="5A033725">
      <w:pPr>
        <w:ind w:firstLine="480"/>
        <w:rPr>
          <w:rFonts w:hint="eastAsia"/>
          <w:highlight w:val="none"/>
        </w:rPr>
      </w:pPr>
      <w:r>
        <w:rPr>
          <w:highlight w:val="none"/>
        </w:rPr>
        <w:t>b.</w:t>
      </w:r>
      <w:r>
        <w:rPr>
          <w:rFonts w:hint="eastAsia"/>
          <w:highlight w:val="none"/>
        </w:rPr>
        <w:t xml:space="preserve">多点锁：可调式锁座，锌基合金铸件，锁点为不锈钢。 </w:t>
      </w:r>
    </w:p>
    <w:p w14:paraId="48677124">
      <w:pPr>
        <w:ind w:firstLine="480"/>
        <w:rPr>
          <w:rFonts w:hint="eastAsia"/>
          <w:highlight w:val="none"/>
        </w:rPr>
      </w:pPr>
      <w:r>
        <w:rPr>
          <w:highlight w:val="none"/>
        </w:rPr>
        <w:t>c.</w:t>
      </w:r>
      <w:r>
        <w:rPr>
          <w:rFonts w:hint="eastAsia"/>
          <w:highlight w:val="none"/>
        </w:rPr>
        <w:t xml:space="preserve">锁点数量不得少于两个，具体数量和位置需要经过结构计算确定。 </w:t>
      </w:r>
    </w:p>
    <w:p w14:paraId="436C3EBB">
      <w:pPr>
        <w:ind w:firstLine="480"/>
        <w:rPr>
          <w:rFonts w:hint="eastAsia"/>
          <w:highlight w:val="none"/>
        </w:rPr>
      </w:pPr>
      <w:r>
        <w:rPr>
          <w:highlight w:val="none"/>
        </w:rPr>
        <w:t>d.</w:t>
      </w:r>
      <w:r>
        <w:rPr>
          <w:rFonts w:hint="eastAsia"/>
          <w:highlight w:val="none"/>
        </w:rPr>
        <w:t xml:space="preserve">门窗的锁系统应全部嵌入门或窗框内，位置隐蔽。 </w:t>
      </w:r>
    </w:p>
    <w:p w14:paraId="2AAF5ECE">
      <w:pPr>
        <w:ind w:firstLine="480"/>
        <w:rPr>
          <w:rFonts w:hint="eastAsia"/>
          <w:highlight w:val="none"/>
        </w:rPr>
      </w:pPr>
      <w:r>
        <w:rPr>
          <w:highlight w:val="none"/>
        </w:rPr>
        <w:t>e.</w:t>
      </w:r>
      <w:r>
        <w:rPr>
          <w:rFonts w:hint="eastAsia"/>
          <w:highlight w:val="none"/>
        </w:rPr>
        <w:t xml:space="preserve">执手打开时不得影响门窗向外推拉。 </w:t>
      </w:r>
    </w:p>
    <w:p w14:paraId="24D4DAA1">
      <w:pPr>
        <w:ind w:firstLine="480"/>
        <w:rPr>
          <w:rFonts w:hint="eastAsia"/>
          <w:highlight w:val="none"/>
        </w:rPr>
      </w:pPr>
      <w:r>
        <w:rPr>
          <w:rFonts w:hint="eastAsia"/>
          <w:highlight w:val="none"/>
        </w:rPr>
        <w:t xml:space="preserve">（3）铰链及限位器 </w:t>
      </w:r>
    </w:p>
    <w:p w14:paraId="14D42B82">
      <w:pPr>
        <w:ind w:firstLine="480"/>
        <w:rPr>
          <w:rFonts w:hint="eastAsia"/>
          <w:highlight w:val="none"/>
        </w:rPr>
      </w:pPr>
      <w:r>
        <w:rPr>
          <w:highlight w:val="none"/>
        </w:rPr>
        <w:t>a.</w:t>
      </w:r>
      <w:r>
        <w:rPr>
          <w:rFonts w:hint="eastAsia"/>
          <w:highlight w:val="none"/>
        </w:rPr>
        <w:t xml:space="preserve"> 开启窗应可以用手全部打开至开启窗的整个横断面处于全部打开的位置。 </w:t>
      </w:r>
    </w:p>
    <w:p w14:paraId="2A95C59D">
      <w:pPr>
        <w:ind w:firstLine="480"/>
        <w:rPr>
          <w:rFonts w:hint="eastAsia"/>
          <w:highlight w:val="none"/>
        </w:rPr>
      </w:pPr>
      <w:r>
        <w:rPr>
          <w:highlight w:val="none"/>
        </w:rPr>
        <w:t>b.</w:t>
      </w:r>
      <w:r>
        <w:rPr>
          <w:rFonts w:hint="eastAsia"/>
          <w:highlight w:val="none"/>
        </w:rPr>
        <w:t xml:space="preserve"> 门窗的铰链应经过挤压和冲压加工而成，铰链应灵活自如，但应确保配合平滑，以防止门窗关上或打开时产生震动。 </w:t>
      </w:r>
    </w:p>
    <w:p w14:paraId="4ECAD207">
      <w:pPr>
        <w:ind w:firstLine="480"/>
        <w:rPr>
          <w:rFonts w:hint="eastAsia"/>
          <w:highlight w:val="none"/>
        </w:rPr>
      </w:pPr>
      <w:r>
        <w:rPr>
          <w:rFonts w:hint="eastAsia"/>
          <w:highlight w:val="none"/>
        </w:rPr>
        <w:t xml:space="preserve">（4）锚固件、紧固件、连接件 </w:t>
      </w:r>
    </w:p>
    <w:p w14:paraId="55E84702">
      <w:pPr>
        <w:ind w:firstLine="480"/>
        <w:rPr>
          <w:rFonts w:hint="eastAsia"/>
          <w:highlight w:val="none"/>
        </w:rPr>
      </w:pPr>
      <w:r>
        <w:rPr>
          <w:rFonts w:hint="eastAsia"/>
          <w:highlight w:val="none"/>
        </w:rPr>
        <w:t xml:space="preserve">1）锚固件：采用碳素结构钢或不锈钢制品。 </w:t>
      </w:r>
    </w:p>
    <w:p w14:paraId="4AF90A37">
      <w:pPr>
        <w:ind w:firstLine="480"/>
        <w:rPr>
          <w:rFonts w:hint="eastAsia"/>
          <w:highlight w:val="none"/>
        </w:rPr>
      </w:pPr>
      <w:r>
        <w:rPr>
          <w:highlight w:val="none"/>
        </w:rPr>
        <w:t>2</w:t>
      </w:r>
      <w:r>
        <w:rPr>
          <w:rFonts w:hint="eastAsia"/>
          <w:highlight w:val="none"/>
        </w:rPr>
        <w:t xml:space="preserve">）防腐隔离垫片：采用 1mm 橡胶垫片或采用 1mm 聚四氟乙烯。 </w:t>
      </w:r>
    </w:p>
    <w:p w14:paraId="4F09CECC">
      <w:pPr>
        <w:ind w:firstLine="480"/>
        <w:rPr>
          <w:rFonts w:hint="eastAsia"/>
          <w:highlight w:val="none"/>
        </w:rPr>
      </w:pPr>
      <w:r>
        <w:rPr>
          <w:rFonts w:hint="eastAsia"/>
          <w:highlight w:val="none"/>
        </w:rPr>
        <w:t xml:space="preserve">（5）垫块及密封胶条 </w:t>
      </w:r>
    </w:p>
    <w:p w14:paraId="464F5AC0">
      <w:pPr>
        <w:ind w:firstLine="480"/>
        <w:rPr>
          <w:rFonts w:hint="eastAsia"/>
          <w:highlight w:val="none"/>
        </w:rPr>
      </w:pPr>
      <w:r>
        <w:rPr>
          <w:highlight w:val="none"/>
        </w:rPr>
        <w:t>1</w:t>
      </w:r>
      <w:r>
        <w:rPr>
          <w:rFonts w:hint="eastAsia"/>
          <w:highlight w:val="none"/>
        </w:rPr>
        <w:t xml:space="preserve">）密封/防水胶条： </w:t>
      </w:r>
    </w:p>
    <w:p w14:paraId="6D594E24">
      <w:pPr>
        <w:ind w:firstLine="480"/>
        <w:rPr>
          <w:rFonts w:hint="eastAsia"/>
          <w:highlight w:val="none"/>
        </w:rPr>
      </w:pPr>
      <w:r>
        <w:rPr>
          <w:rFonts w:hint="eastAsia"/>
          <w:highlight w:val="none"/>
        </w:rPr>
        <w:t xml:space="preserve">选用优质三元乙丙胶条、氯丁橡胶、硅橡胶。扇与框之间密封胶条宜采用 O 型胶条，并符合现行标准规定。 </w:t>
      </w:r>
    </w:p>
    <w:p w14:paraId="1617A57B">
      <w:pPr>
        <w:ind w:firstLine="480"/>
        <w:rPr>
          <w:rFonts w:hint="eastAsia"/>
          <w:highlight w:val="none"/>
        </w:rPr>
      </w:pPr>
      <w:r>
        <w:rPr>
          <w:rFonts w:hint="eastAsia"/>
          <w:highlight w:val="none"/>
        </w:rPr>
        <w:t xml:space="preserve">玻璃垫块： </w:t>
      </w:r>
    </w:p>
    <w:p w14:paraId="24341077">
      <w:pPr>
        <w:ind w:firstLine="480"/>
        <w:rPr>
          <w:rFonts w:hint="eastAsia"/>
          <w:highlight w:val="none"/>
        </w:rPr>
      </w:pPr>
      <w:r>
        <w:rPr>
          <w:rFonts w:hint="eastAsia"/>
          <w:highlight w:val="none"/>
        </w:rPr>
        <w:t xml:space="preserve">材质为合成橡胶，邵氏硬度 85±5，颜色为黑色，垫块的邵氏硬度与应用相结合。气密性胶条应该在工厂进行组角。所有胶条、垫块与密封胶的相容性必须经试验证明。 </w:t>
      </w:r>
    </w:p>
    <w:p w14:paraId="7C686238">
      <w:pPr>
        <w:pStyle w:val="4"/>
        <w:numPr>
          <w:ilvl w:val="2"/>
          <w:numId w:val="13"/>
        </w:numPr>
        <w:rPr>
          <w:rFonts w:hint="eastAsia"/>
          <w:highlight w:val="none"/>
        </w:rPr>
      </w:pPr>
      <w:r>
        <w:rPr>
          <w:rFonts w:hint="eastAsia"/>
          <w:highlight w:val="none"/>
        </w:rPr>
        <w:t xml:space="preserve">防雷专项技术要求 </w:t>
      </w:r>
    </w:p>
    <w:p w14:paraId="4B8CF900">
      <w:pPr>
        <w:ind w:firstLine="480"/>
        <w:rPr>
          <w:rFonts w:hint="eastAsia"/>
          <w:highlight w:val="none"/>
        </w:rPr>
      </w:pPr>
      <w:r>
        <w:rPr>
          <w:highlight w:val="none"/>
        </w:rPr>
        <w:t>(1)</w:t>
      </w:r>
      <w:r>
        <w:rPr>
          <w:rFonts w:hint="eastAsia"/>
          <w:highlight w:val="none"/>
        </w:rPr>
        <w:t xml:space="preserve">样板先行 </w:t>
      </w:r>
    </w:p>
    <w:p w14:paraId="7A395C2C">
      <w:pPr>
        <w:ind w:firstLine="480"/>
        <w:rPr>
          <w:rFonts w:hint="eastAsia"/>
          <w:highlight w:val="none"/>
        </w:rPr>
      </w:pPr>
      <w:r>
        <w:rPr>
          <w:rFonts w:hint="eastAsia"/>
          <w:highlight w:val="none"/>
        </w:rPr>
        <w:t xml:space="preserve">在大面积外窗施工前，应选择有代表性的外窗、阳台门及栏杆百叶，按照外门窗的防雷深化设计节点，在现场先做样板，经防雷测试合格后，方可大面积施工。 </w:t>
      </w:r>
    </w:p>
    <w:p w14:paraId="059208C3">
      <w:pPr>
        <w:ind w:firstLine="480"/>
        <w:rPr>
          <w:rFonts w:hint="eastAsia"/>
          <w:highlight w:val="none"/>
        </w:rPr>
      </w:pPr>
      <w:r>
        <w:rPr>
          <w:highlight w:val="none"/>
        </w:rPr>
        <w:t>(2)</w:t>
      </w:r>
      <w:r>
        <w:rPr>
          <w:rFonts w:hint="eastAsia"/>
          <w:highlight w:val="none"/>
        </w:rPr>
        <w:t xml:space="preserve">工艺及技术要求 </w:t>
      </w:r>
    </w:p>
    <w:p w14:paraId="4E66CF38">
      <w:pPr>
        <w:ind w:firstLine="480"/>
        <w:rPr>
          <w:rFonts w:hint="eastAsia"/>
          <w:highlight w:val="none"/>
        </w:rPr>
      </w:pPr>
      <w:r>
        <w:rPr>
          <w:rFonts w:hint="eastAsia"/>
          <w:highlight w:val="none"/>
        </w:rPr>
        <w:t xml:space="preserve">建筑外窗的防雷设置，应符合下列规定： </w:t>
      </w:r>
    </w:p>
    <w:p w14:paraId="592881E4">
      <w:pPr>
        <w:ind w:firstLine="480"/>
        <w:rPr>
          <w:rFonts w:hint="eastAsia"/>
          <w:highlight w:val="none"/>
        </w:rPr>
      </w:pPr>
      <w:r>
        <w:rPr>
          <w:highlight w:val="none"/>
        </w:rPr>
        <w:t>1)</w:t>
      </w:r>
      <w:r>
        <w:rPr>
          <w:rFonts w:hint="eastAsia"/>
          <w:highlight w:val="none"/>
        </w:rPr>
        <w:t xml:space="preserve">防雷连接导体采用热浸镀锌处理的直径不小于 8mm 圆钢或截面积不小于48mm2 厚度不小于 4mm 的扁钢等截面面积扁钢，也可采用专门铜制防雷带（需设计确定截面要求）。 </w:t>
      </w:r>
    </w:p>
    <w:p w14:paraId="020BECE9">
      <w:pPr>
        <w:ind w:firstLine="480"/>
        <w:rPr>
          <w:rFonts w:hint="eastAsia"/>
          <w:highlight w:val="none"/>
        </w:rPr>
      </w:pPr>
      <w:r>
        <w:rPr>
          <w:highlight w:val="none"/>
        </w:rPr>
        <w:t>2)</w:t>
      </w:r>
      <w:r>
        <w:rPr>
          <w:rFonts w:hint="eastAsia"/>
          <w:highlight w:val="none"/>
        </w:rPr>
        <w:t xml:space="preserve">窗外框与防雷连接件连接处，应先将其非导电的表面处理层除去，再与防雷连接件连接。 </w:t>
      </w:r>
    </w:p>
    <w:p w14:paraId="1E8C5B65">
      <w:pPr>
        <w:ind w:firstLine="480"/>
        <w:rPr>
          <w:rFonts w:hint="eastAsia"/>
          <w:highlight w:val="none"/>
        </w:rPr>
      </w:pPr>
      <w:r>
        <w:rPr>
          <w:highlight w:val="none"/>
        </w:rPr>
        <w:t>3)</w:t>
      </w:r>
      <w:r>
        <w:rPr>
          <w:rFonts w:hint="eastAsia"/>
          <w:highlight w:val="none"/>
        </w:rPr>
        <w:t xml:space="preserve">连接防雷圆钢或钢带应与主体防雷装置焊接连接，焊接长度不小100mm， </w:t>
      </w:r>
    </w:p>
    <w:p w14:paraId="099B06BE">
      <w:pPr>
        <w:ind w:firstLine="480"/>
        <w:rPr>
          <w:rFonts w:hint="eastAsia"/>
          <w:highlight w:val="none"/>
        </w:rPr>
      </w:pPr>
      <w:r>
        <w:rPr>
          <w:rFonts w:hint="eastAsia"/>
          <w:highlight w:val="none"/>
        </w:rPr>
        <w:t xml:space="preserve">做防锈处理。 </w:t>
      </w:r>
    </w:p>
    <w:p w14:paraId="1B5E515C">
      <w:pPr>
        <w:ind w:firstLine="480"/>
        <w:rPr>
          <w:rFonts w:hint="eastAsia"/>
          <w:highlight w:val="none"/>
        </w:rPr>
      </w:pPr>
      <w:r>
        <w:rPr>
          <w:highlight w:val="none"/>
        </w:rPr>
        <w:t>4)</w:t>
      </w:r>
      <w:r>
        <w:rPr>
          <w:rFonts w:hint="eastAsia"/>
          <w:highlight w:val="none"/>
        </w:rPr>
        <w:t xml:space="preserve">各接地点接地电阻的测试值应符合设计要求，并保证通过当地防雷检测机构的验收。 </w:t>
      </w:r>
    </w:p>
    <w:p w14:paraId="0C6401F4">
      <w:pPr>
        <w:pStyle w:val="4"/>
        <w:numPr>
          <w:ilvl w:val="2"/>
          <w:numId w:val="13"/>
        </w:numPr>
        <w:rPr>
          <w:rFonts w:hint="eastAsia"/>
          <w:highlight w:val="none"/>
        </w:rPr>
      </w:pPr>
      <w:r>
        <w:rPr>
          <w:rFonts w:hint="eastAsia"/>
          <w:highlight w:val="none"/>
        </w:rPr>
        <w:t xml:space="preserve">防渗漏专项技术要求 </w:t>
      </w:r>
    </w:p>
    <w:p w14:paraId="73ABA4B6">
      <w:pPr>
        <w:ind w:firstLine="480"/>
        <w:rPr>
          <w:rFonts w:hint="eastAsia"/>
          <w:highlight w:val="none"/>
        </w:rPr>
      </w:pPr>
      <w:r>
        <w:rPr>
          <w:rFonts w:hint="eastAsia"/>
          <w:highlight w:val="none"/>
        </w:rPr>
        <w:t xml:space="preserve">在大面积外窗施工前，应选择有代表性的外窗，按照外窗深化设计节点，在现场先做样板，并进行淋水试验。经淋水试验合格后，方可大面积施工。则应对造成渗漏的设计、施工原因进行深入分析，优化设计节点、施工工艺，避免出现大面积渗漏。 </w:t>
      </w:r>
    </w:p>
    <w:p w14:paraId="1ADAC75E">
      <w:pPr>
        <w:ind w:firstLine="480"/>
        <w:rPr>
          <w:rFonts w:hint="eastAsia"/>
          <w:highlight w:val="none"/>
        </w:rPr>
      </w:pPr>
      <w:r>
        <w:rPr>
          <w:rFonts w:hint="eastAsia"/>
          <w:highlight w:val="none"/>
        </w:rPr>
        <w:t xml:space="preserve">淋水要求所有外门窗安装完成后承包人均应做至少两次淋水试验。外门窗淋水试验要求如下： </w:t>
      </w:r>
    </w:p>
    <w:p w14:paraId="561F0E54">
      <w:pPr>
        <w:ind w:firstLine="480"/>
        <w:rPr>
          <w:rFonts w:hint="eastAsia"/>
          <w:highlight w:val="none"/>
        </w:rPr>
      </w:pPr>
      <w:r>
        <w:rPr>
          <w:rFonts w:hint="eastAsia"/>
          <w:highlight w:val="none"/>
        </w:rPr>
        <w:t>1）第一次淋水试验应在窗框安装完毕，塞缝和防水完成，用水管淋水检查塞缝有无渗漏，如发现渗漏，承包方应及时返工维修。 淋水持续时间不应少于30min。</w:t>
      </w:r>
    </w:p>
    <w:p w14:paraId="00759AAA">
      <w:pPr>
        <w:ind w:firstLine="480"/>
        <w:rPr>
          <w:rFonts w:hint="eastAsia"/>
          <w:highlight w:val="none"/>
        </w:rPr>
      </w:pPr>
      <w:r>
        <w:rPr>
          <w:highlight w:val="none"/>
        </w:rPr>
        <w:t>2</w:t>
      </w:r>
      <w:r>
        <w:rPr>
          <w:rFonts w:hint="eastAsia"/>
          <w:highlight w:val="none"/>
        </w:rPr>
        <w:t xml:space="preserve">）第二次淋水试验应在门窗所有玻璃窗扇安装完成之后，依据规范对窗体进行淋水试验，喷淋时间应持续5min。 </w:t>
      </w:r>
    </w:p>
    <w:p w14:paraId="3ABB1FAF">
      <w:pPr>
        <w:pStyle w:val="4"/>
        <w:numPr>
          <w:ilvl w:val="2"/>
          <w:numId w:val="13"/>
        </w:numPr>
        <w:rPr>
          <w:rFonts w:hint="eastAsia"/>
          <w:highlight w:val="none"/>
        </w:rPr>
      </w:pPr>
      <w:r>
        <w:rPr>
          <w:rFonts w:hint="eastAsia"/>
          <w:highlight w:val="none"/>
        </w:rPr>
        <w:t xml:space="preserve">门窗制作技术要求 </w:t>
      </w:r>
    </w:p>
    <w:p w14:paraId="37BB51B2">
      <w:pPr>
        <w:ind w:firstLine="480"/>
        <w:rPr>
          <w:rFonts w:hint="eastAsia"/>
          <w:highlight w:val="none"/>
        </w:rPr>
      </w:pPr>
      <w:r>
        <w:rPr>
          <w:rFonts w:hint="eastAsia"/>
          <w:highlight w:val="none"/>
        </w:rPr>
        <w:t xml:space="preserve">总则：所有门窗构件在加工制作前，应对照建筑、结构施工图及现场实物进行核对，并对现有洞口、埋件进行精心测量，调整偏差。加工质量必须符合现行质量验收规范，观感质量良好，办理检验批验收。 </w:t>
      </w:r>
    </w:p>
    <w:p w14:paraId="2839E5CB">
      <w:pPr>
        <w:ind w:firstLine="480"/>
        <w:rPr>
          <w:rFonts w:hint="eastAsia"/>
          <w:highlight w:val="none"/>
        </w:rPr>
      </w:pPr>
      <w:r>
        <w:rPr>
          <w:rFonts w:hint="eastAsia"/>
          <w:highlight w:val="none"/>
        </w:rPr>
        <w:t>（1）铝合金门窗加工</w:t>
      </w:r>
    </w:p>
    <w:p w14:paraId="50316533">
      <w:pPr>
        <w:ind w:firstLine="480"/>
        <w:rPr>
          <w:rFonts w:hint="eastAsia"/>
          <w:highlight w:val="none"/>
        </w:rPr>
      </w:pPr>
      <w:r>
        <w:rPr>
          <w:highlight w:val="none"/>
        </w:rPr>
        <w:t>1)</w:t>
      </w:r>
      <w:r>
        <w:rPr>
          <w:rFonts w:hint="eastAsia"/>
          <w:highlight w:val="none"/>
        </w:rPr>
        <w:t xml:space="preserve"> 门窗应根据现场洞口实测实量尺寸统一进行调整后再加工制作，不得照搬 建筑图纸上的尺寸。 </w:t>
      </w:r>
    </w:p>
    <w:p w14:paraId="1204482C">
      <w:pPr>
        <w:ind w:firstLine="480"/>
        <w:rPr>
          <w:rFonts w:hint="eastAsia"/>
          <w:highlight w:val="none"/>
        </w:rPr>
      </w:pPr>
      <w:r>
        <w:rPr>
          <w:highlight w:val="none"/>
        </w:rPr>
        <w:t>2)</w:t>
      </w:r>
      <w:r>
        <w:rPr>
          <w:rFonts w:hint="eastAsia"/>
          <w:highlight w:val="none"/>
        </w:rPr>
        <w:t xml:space="preserve"> 门窗框应拼缝严密平整。在工厂内拼装时其接榫拼缝处、螺钉孔、工艺孔等处应有密封措施。 </w:t>
      </w:r>
    </w:p>
    <w:p w14:paraId="49517003">
      <w:pPr>
        <w:ind w:firstLine="480"/>
        <w:rPr>
          <w:rFonts w:hint="eastAsia"/>
          <w:highlight w:val="none"/>
        </w:rPr>
      </w:pPr>
      <w:r>
        <w:rPr>
          <w:highlight w:val="none"/>
        </w:rPr>
        <w:t>3)</w:t>
      </w:r>
      <w:r>
        <w:rPr>
          <w:rFonts w:hint="eastAsia"/>
          <w:highlight w:val="none"/>
        </w:rPr>
        <w:t xml:space="preserve"> 五金配件应满足整樘门窗承载能力的要求，其反复启闭性能应满足门窗反复启闭性能要求。门窗五金配件需单独进行材料看样定板，在门窗大面进场前需完成设计、施工样板确认及封样。</w:t>
      </w:r>
    </w:p>
    <w:p w14:paraId="54430D7D">
      <w:pPr>
        <w:ind w:firstLine="480"/>
        <w:rPr>
          <w:rFonts w:hint="eastAsia"/>
          <w:highlight w:val="none"/>
        </w:rPr>
      </w:pPr>
      <w:r>
        <w:rPr>
          <w:highlight w:val="none"/>
        </w:rPr>
        <w:t>4)</w:t>
      </w:r>
      <w:r>
        <w:rPr>
          <w:rFonts w:hint="eastAsia"/>
          <w:highlight w:val="none"/>
        </w:rPr>
        <w:t xml:space="preserve"> 承重（承载）五金件（合页、风撑等）与门窗连接采用盘头机制螺钉，其余部位可使用盘头自攻钉。不锈钢材质要求均为304不锈钢，不应采用铝及铝合金抽芯铆钉做门窗受力联接用紧固件。 </w:t>
      </w:r>
    </w:p>
    <w:p w14:paraId="2B694B8E">
      <w:pPr>
        <w:ind w:firstLine="480"/>
        <w:rPr>
          <w:rFonts w:hint="eastAsia"/>
          <w:highlight w:val="none"/>
        </w:rPr>
      </w:pPr>
      <w:r>
        <w:rPr>
          <w:highlight w:val="none"/>
        </w:rPr>
        <w:t>5)</w:t>
      </w:r>
      <w:r>
        <w:rPr>
          <w:rFonts w:hint="eastAsia"/>
          <w:highlight w:val="none"/>
        </w:rPr>
        <w:t xml:space="preserve"> 框底应设置排水孔，排水孔应在工厂加工，禁止现场开设。 </w:t>
      </w:r>
    </w:p>
    <w:p w14:paraId="01844395">
      <w:pPr>
        <w:ind w:firstLine="480"/>
        <w:rPr>
          <w:rFonts w:hint="eastAsia"/>
          <w:highlight w:val="none"/>
        </w:rPr>
      </w:pPr>
      <w:r>
        <w:rPr>
          <w:highlight w:val="none"/>
        </w:rPr>
        <w:t>6)</w:t>
      </w:r>
      <w:r>
        <w:rPr>
          <w:rFonts w:hint="eastAsia"/>
          <w:highlight w:val="none"/>
        </w:rPr>
        <w:t xml:space="preserve"> 窗开启扇四周密封胶条安装应连续。 </w:t>
      </w:r>
    </w:p>
    <w:p w14:paraId="4A21590F">
      <w:pPr>
        <w:ind w:firstLine="480"/>
        <w:rPr>
          <w:rFonts w:hint="eastAsia"/>
          <w:highlight w:val="none"/>
        </w:rPr>
      </w:pPr>
      <w:r>
        <w:rPr>
          <w:highlight w:val="none"/>
        </w:rPr>
        <w:t>7)</w:t>
      </w:r>
      <w:r>
        <w:rPr>
          <w:rFonts w:hint="eastAsia"/>
          <w:highlight w:val="none"/>
        </w:rPr>
        <w:t xml:space="preserve"> 玻璃与窗框密封胶施打应确保密实、连续、饱满。用于固定五金件的螺钉 应带胶拧紧。 </w:t>
      </w:r>
    </w:p>
    <w:p w14:paraId="7C627B8C">
      <w:pPr>
        <w:ind w:firstLine="480"/>
        <w:rPr>
          <w:rFonts w:hint="eastAsia"/>
          <w:highlight w:val="none"/>
        </w:rPr>
      </w:pPr>
      <w:r>
        <w:rPr>
          <w:highlight w:val="none"/>
        </w:rPr>
        <w:t>8)</w:t>
      </w:r>
      <w:r>
        <w:rPr>
          <w:rFonts w:hint="eastAsia"/>
          <w:highlight w:val="none"/>
        </w:rPr>
        <w:t xml:space="preserve"> 门窗装配后应保证玻璃与镶嵌槽间隙，并在主要部位装有减震垫块，使其能缓冲启闭等力的冲击。密封条与玻璃、玻璃槽口的接触应紧密平整。密封胶与玻璃、玻璃槽口和边缘应粘结牢固、接缝平齐。带密封条的玻璃压条，其密封条必须与玻璃全部贴紧，压条与型材之间应无明显缝隙，压条接缝应不大于 0.5mm。玻璃下部不能直接坐落于金属面上，应用厚度为 3mm的合成橡胶垫块将玻璃垫起，使玻璃以柔性和弹性与金属框相接触。玻璃的安装方向应正确。中空玻璃内外表面均应洁净，玻璃中空层内不得有灰尘和水蒸气。 </w:t>
      </w:r>
    </w:p>
    <w:p w14:paraId="692AB320">
      <w:pPr>
        <w:ind w:firstLine="480"/>
        <w:rPr>
          <w:rFonts w:hint="eastAsia"/>
          <w:highlight w:val="none"/>
        </w:rPr>
      </w:pPr>
      <w:r>
        <w:rPr>
          <w:highlight w:val="none"/>
        </w:rPr>
        <w:t>9)</w:t>
      </w:r>
      <w:r>
        <w:rPr>
          <w:rFonts w:hint="eastAsia"/>
          <w:highlight w:val="none"/>
        </w:rPr>
        <w:t xml:space="preserve"> 门窗所有拼接位置需有组角片和组角胶。 </w:t>
      </w:r>
    </w:p>
    <w:p w14:paraId="2626C9D6">
      <w:pPr>
        <w:ind w:firstLine="480"/>
        <w:rPr>
          <w:rFonts w:hint="eastAsia"/>
          <w:highlight w:val="none"/>
        </w:rPr>
      </w:pPr>
      <w:r>
        <w:rPr>
          <w:highlight w:val="none"/>
        </w:rPr>
        <w:t>10)</w:t>
      </w:r>
      <w:r>
        <w:rPr>
          <w:rFonts w:hint="eastAsia"/>
          <w:highlight w:val="none"/>
        </w:rPr>
        <w:t xml:space="preserve"> 铝合金门窗加工过程注胶要求 </w:t>
      </w:r>
    </w:p>
    <w:p w14:paraId="3919F035">
      <w:pPr>
        <w:ind w:firstLine="480"/>
        <w:rPr>
          <w:rFonts w:hint="eastAsia"/>
          <w:highlight w:val="none"/>
        </w:rPr>
      </w:pPr>
      <w:r>
        <w:rPr>
          <w:highlight w:val="none"/>
        </w:rPr>
        <w:t>a.</w:t>
      </w:r>
      <w:r>
        <w:rPr>
          <w:rFonts w:hint="eastAsia"/>
          <w:highlight w:val="none"/>
        </w:rPr>
        <w:t xml:space="preserve">门窗扇应保证合理的胶缝间隙（5mm-8mm），注胶作业应在洁净工作间进行， 注胶前要清洁型材和玻璃与硅胶的结合面，注胶及养护应在温度适宜的环境中作业，保证密封胶与玻璃、铝材有良好粘结。 </w:t>
      </w:r>
    </w:p>
    <w:p w14:paraId="3320F673">
      <w:pPr>
        <w:ind w:firstLine="480"/>
        <w:rPr>
          <w:rFonts w:hint="eastAsia"/>
          <w:highlight w:val="none"/>
        </w:rPr>
      </w:pPr>
      <w:r>
        <w:rPr>
          <w:highlight w:val="none"/>
        </w:rPr>
        <w:t>b.</w:t>
      </w:r>
      <w:r>
        <w:rPr>
          <w:rFonts w:hint="eastAsia"/>
          <w:highlight w:val="none"/>
        </w:rPr>
        <w:t xml:space="preserve">榫接方式时在榫头部位应涂密封胶。 </w:t>
      </w:r>
    </w:p>
    <w:p w14:paraId="129B6169">
      <w:pPr>
        <w:ind w:firstLine="480"/>
        <w:rPr>
          <w:rFonts w:hint="eastAsia"/>
          <w:highlight w:val="none"/>
        </w:rPr>
      </w:pPr>
      <w:r>
        <w:rPr>
          <w:highlight w:val="none"/>
        </w:rPr>
        <w:t>c.</w:t>
      </w:r>
      <w:r>
        <w:rPr>
          <w:rFonts w:hint="eastAsia"/>
          <w:highlight w:val="none"/>
        </w:rPr>
        <w:t xml:space="preserve">推拉窗与推拉门的固定玻璃扣板应先涂胶再组装。 </w:t>
      </w:r>
    </w:p>
    <w:p w14:paraId="6DF4C57E">
      <w:pPr>
        <w:ind w:firstLine="480"/>
        <w:rPr>
          <w:rFonts w:hint="eastAsia"/>
          <w:highlight w:val="none"/>
        </w:rPr>
      </w:pPr>
      <w:r>
        <w:rPr>
          <w:highlight w:val="none"/>
        </w:rPr>
        <w:t>d.</w:t>
      </w:r>
      <w:r>
        <w:rPr>
          <w:rFonts w:hint="eastAsia"/>
          <w:highlight w:val="none"/>
        </w:rPr>
        <w:t>推拉窗和推拉门框料四角横竖连接部位应加防水垫片。</w:t>
      </w:r>
    </w:p>
    <w:p w14:paraId="6249767F">
      <w:pPr>
        <w:ind w:firstLine="480"/>
        <w:rPr>
          <w:rFonts w:hint="eastAsia"/>
          <w:highlight w:val="none"/>
        </w:rPr>
      </w:pPr>
      <w:r>
        <w:rPr>
          <w:highlight w:val="none"/>
        </w:rPr>
        <w:t xml:space="preserve">11) </w:t>
      </w:r>
      <w:r>
        <w:rPr>
          <w:rFonts w:hint="eastAsia"/>
          <w:highlight w:val="none"/>
        </w:rPr>
        <w:t xml:space="preserve">铝合金门窗构件加工必须有加工图和保证门窗达到设计性能的工艺和技术要求，构件加工除应符合设计要求外，还应符合下列基本要求： </w:t>
      </w:r>
    </w:p>
    <w:p w14:paraId="3753CC91">
      <w:pPr>
        <w:ind w:firstLine="480"/>
        <w:rPr>
          <w:rFonts w:hint="eastAsia"/>
          <w:highlight w:val="none"/>
        </w:rPr>
      </w:pPr>
      <w:r>
        <w:rPr>
          <w:highlight w:val="none"/>
        </w:rPr>
        <w:t>a.</w:t>
      </w:r>
      <w:r>
        <w:rPr>
          <w:rFonts w:hint="eastAsia"/>
          <w:highlight w:val="none"/>
        </w:rPr>
        <w:t xml:space="preserve">下料之前应对其型号、表面质量与颜色等进行检查。 </w:t>
      </w:r>
    </w:p>
    <w:p w14:paraId="24DB95C4">
      <w:pPr>
        <w:ind w:firstLine="480"/>
        <w:rPr>
          <w:rFonts w:hint="eastAsia"/>
          <w:highlight w:val="none"/>
        </w:rPr>
      </w:pPr>
      <w:r>
        <w:rPr>
          <w:highlight w:val="none"/>
        </w:rPr>
        <w:t>b.</w:t>
      </w:r>
      <w:r>
        <w:rPr>
          <w:rFonts w:hint="eastAsia"/>
          <w:highlight w:val="none"/>
        </w:rPr>
        <w:t xml:space="preserve">下料尺寸长度允许偏差为±0.5mm，端头斜度允许偏差为±15′。 </w:t>
      </w:r>
    </w:p>
    <w:p w14:paraId="170D57CC">
      <w:pPr>
        <w:ind w:firstLine="480"/>
        <w:rPr>
          <w:rFonts w:hint="eastAsia"/>
          <w:highlight w:val="none"/>
        </w:rPr>
      </w:pPr>
      <w:r>
        <w:rPr>
          <w:highlight w:val="none"/>
        </w:rPr>
        <w:t>c.</w:t>
      </w:r>
      <w:r>
        <w:rPr>
          <w:rFonts w:hint="eastAsia"/>
          <w:highlight w:val="none"/>
        </w:rPr>
        <w:t xml:space="preserve">截料端不应有明显加工变形，毛刺不大于 0.2mm。 </w:t>
      </w:r>
    </w:p>
    <w:p w14:paraId="75EDED8B">
      <w:pPr>
        <w:ind w:firstLine="480"/>
        <w:rPr>
          <w:rFonts w:hint="eastAsia"/>
          <w:highlight w:val="none"/>
        </w:rPr>
      </w:pPr>
      <w:r>
        <w:rPr>
          <w:highlight w:val="none"/>
        </w:rPr>
        <w:t>d.</w:t>
      </w:r>
      <w:r>
        <w:rPr>
          <w:rFonts w:hint="eastAsia"/>
          <w:highlight w:val="none"/>
        </w:rPr>
        <w:t xml:space="preserve">孔位允许偏差±0.5mm，孔距允许偏差±0.5mm，累计偏差不大于±1.0mm。 </w:t>
      </w:r>
    </w:p>
    <w:p w14:paraId="43BEF5CA">
      <w:pPr>
        <w:ind w:firstLine="480"/>
        <w:rPr>
          <w:rFonts w:hint="eastAsia"/>
          <w:highlight w:val="none"/>
        </w:rPr>
      </w:pPr>
      <w:r>
        <w:rPr>
          <w:highlight w:val="none"/>
        </w:rPr>
        <w:t>e.</w:t>
      </w:r>
      <w:r>
        <w:rPr>
          <w:rFonts w:hint="eastAsia"/>
          <w:highlight w:val="none"/>
        </w:rPr>
        <w:t>如设计要求增加钢衬，则钢衬材料必须按照相关规范进行送检，其表面处理方式为热浸镀锌。</w:t>
      </w:r>
    </w:p>
    <w:p w14:paraId="0FE82FCF">
      <w:pPr>
        <w:ind w:firstLine="480"/>
        <w:rPr>
          <w:rFonts w:hint="eastAsia"/>
          <w:highlight w:val="none"/>
        </w:rPr>
      </w:pPr>
      <w:r>
        <w:rPr>
          <w:highlight w:val="none"/>
        </w:rPr>
        <w:t>f.</w:t>
      </w:r>
      <w:r>
        <w:rPr>
          <w:rFonts w:hint="eastAsia"/>
          <w:highlight w:val="none"/>
        </w:rPr>
        <w:t xml:space="preserve">当发包人需要时，须予以配合提供加工图。 </w:t>
      </w:r>
    </w:p>
    <w:p w14:paraId="597EE17A">
      <w:pPr>
        <w:ind w:firstLine="480"/>
        <w:rPr>
          <w:rFonts w:hint="eastAsia"/>
          <w:highlight w:val="none"/>
        </w:rPr>
      </w:pPr>
      <w:r>
        <w:rPr>
          <w:highlight w:val="none"/>
        </w:rPr>
        <w:t>12)</w:t>
      </w:r>
      <w:r>
        <w:rPr>
          <w:rFonts w:hint="eastAsia"/>
          <w:highlight w:val="none"/>
        </w:rPr>
        <w:t xml:space="preserve">铝合金构件中槽、豁、榫的加工应符合下列要求： </w:t>
      </w:r>
    </w:p>
    <w:p w14:paraId="739CF7E2">
      <w:pPr>
        <w:ind w:firstLine="480"/>
        <w:rPr>
          <w:rFonts w:hint="eastAsia"/>
          <w:highlight w:val="none"/>
        </w:rPr>
      </w:pPr>
      <w:r>
        <w:rPr>
          <w:highlight w:val="none"/>
        </w:rPr>
        <w:t>a.</w:t>
      </w:r>
      <w:r>
        <w:rPr>
          <w:rFonts w:hint="eastAsia"/>
          <w:highlight w:val="none"/>
        </w:rPr>
        <w:t xml:space="preserve">构件铣槽尺寸允许偏差应符合下表的要求。 </w:t>
      </w:r>
    </w:p>
    <w:p w14:paraId="67DE8EE3">
      <w:pPr>
        <w:ind w:firstLine="480"/>
        <w:rPr>
          <w:rFonts w:hint="eastAsia"/>
          <w:highlight w:val="none"/>
        </w:rPr>
      </w:pPr>
      <w:r>
        <w:rPr>
          <w:highlight w:val="none"/>
        </w:rPr>
        <w:t>b.</w:t>
      </w:r>
      <w:r>
        <w:rPr>
          <w:rFonts w:hint="eastAsia"/>
          <w:highlight w:val="none"/>
        </w:rPr>
        <w:t xml:space="preserve">排水孔槽偏差参考槽口加工。排水孔尺寸大小要满足排水要求，同时排水孔不得内外直通。 </w:t>
      </w:r>
    </w:p>
    <w:p w14:paraId="601C88FC">
      <w:pPr>
        <w:ind w:firstLine="480"/>
        <w:rPr>
          <w:rFonts w:hint="eastAsia"/>
          <w:highlight w:val="none"/>
        </w:rPr>
      </w:pPr>
      <w:r>
        <w:rPr>
          <w:highlight w:val="none"/>
        </w:rPr>
        <w:t>12</w:t>
      </w:r>
      <w:r>
        <w:rPr>
          <w:rFonts w:hint="eastAsia"/>
          <w:highlight w:val="none"/>
        </w:rPr>
        <w:t xml:space="preserve">）构件连接必须牢固可靠，组装后各连接处应对角紧密、接口平整。 </w:t>
      </w:r>
    </w:p>
    <w:p w14:paraId="41C00250">
      <w:pPr>
        <w:ind w:firstLine="480"/>
        <w:rPr>
          <w:rFonts w:hint="eastAsia"/>
          <w:highlight w:val="none"/>
        </w:rPr>
      </w:pPr>
      <w:r>
        <w:rPr>
          <w:highlight w:val="none"/>
        </w:rPr>
        <w:t>a.</w:t>
      </w:r>
      <w:r>
        <w:rPr>
          <w:rFonts w:hint="eastAsia"/>
          <w:highlight w:val="none"/>
        </w:rPr>
        <w:t xml:space="preserve">采用 45°组角时应采用铝角码在组角机上组角。 </w:t>
      </w:r>
    </w:p>
    <w:p w14:paraId="7E259DF0">
      <w:pPr>
        <w:ind w:firstLine="480"/>
        <w:rPr>
          <w:rFonts w:hint="eastAsia"/>
          <w:highlight w:val="none"/>
        </w:rPr>
      </w:pPr>
      <w:r>
        <w:rPr>
          <w:highlight w:val="none"/>
        </w:rPr>
        <w:t>b.</w:t>
      </w:r>
      <w:r>
        <w:rPr>
          <w:rFonts w:hint="eastAsia"/>
          <w:highlight w:val="none"/>
        </w:rPr>
        <w:t xml:space="preserve">采用 90°组框时应在铝材背面设置加强衬板。 </w:t>
      </w:r>
    </w:p>
    <w:p w14:paraId="0428E917">
      <w:pPr>
        <w:ind w:firstLine="480"/>
        <w:rPr>
          <w:rFonts w:hint="eastAsia"/>
          <w:highlight w:val="none"/>
        </w:rPr>
      </w:pPr>
      <w:r>
        <w:rPr>
          <w:highlight w:val="none"/>
        </w:rPr>
        <w:t>c.</w:t>
      </w:r>
      <w:r>
        <w:rPr>
          <w:rFonts w:hint="eastAsia"/>
          <w:highlight w:val="none"/>
        </w:rPr>
        <w:t xml:space="preserve">组装中挺时应采用专用铝构件或锌铝构件连接。 </w:t>
      </w:r>
    </w:p>
    <w:p w14:paraId="3082D639">
      <w:pPr>
        <w:ind w:firstLine="480"/>
        <w:rPr>
          <w:rFonts w:hint="eastAsia"/>
          <w:highlight w:val="none"/>
        </w:rPr>
      </w:pPr>
      <w:r>
        <w:rPr>
          <w:highlight w:val="none"/>
        </w:rPr>
        <w:t>d.</w:t>
      </w:r>
      <w:r>
        <w:rPr>
          <w:rFonts w:hint="eastAsia"/>
          <w:highlight w:val="none"/>
        </w:rPr>
        <w:t>采用自攻螺丝连接时应有丝槽，同时满足铝合金型材截面的厚度不宜小于螺距的 2.5 倍。</w:t>
      </w:r>
    </w:p>
    <w:p w14:paraId="26610B65">
      <w:pPr>
        <w:ind w:firstLine="480"/>
        <w:rPr>
          <w:rFonts w:hint="eastAsia"/>
          <w:highlight w:val="none"/>
        </w:rPr>
      </w:pPr>
      <w:r>
        <w:rPr>
          <w:rFonts w:hint="eastAsia"/>
          <w:highlight w:val="none"/>
        </w:rPr>
        <w:t xml:space="preserve">（2）耐火窗 </w:t>
      </w:r>
    </w:p>
    <w:p w14:paraId="73FEEE7D">
      <w:pPr>
        <w:ind w:firstLine="480"/>
        <w:rPr>
          <w:rFonts w:hint="eastAsia"/>
          <w:highlight w:val="none"/>
        </w:rPr>
      </w:pPr>
      <w:r>
        <w:rPr>
          <w:rFonts w:hint="eastAsia"/>
          <w:highlight w:val="none"/>
        </w:rPr>
        <w:t xml:space="preserve">1）要求设置可开启外窗并且耐火完整性不小于1.00h，该窗为非隔热防火窗，必须满足相关规范及设计标准要求。 </w:t>
      </w:r>
    </w:p>
    <w:p w14:paraId="16103895">
      <w:pPr>
        <w:ind w:firstLine="480"/>
        <w:rPr>
          <w:rFonts w:hint="eastAsia"/>
          <w:highlight w:val="none"/>
        </w:rPr>
      </w:pPr>
      <w:r>
        <w:rPr>
          <w:highlight w:val="none"/>
        </w:rPr>
        <w:t>2</w:t>
      </w:r>
      <w:r>
        <w:rPr>
          <w:rFonts w:hint="eastAsia"/>
          <w:highlight w:val="none"/>
        </w:rPr>
        <w:t>）门窗加工应在工厂进行，除玻璃压线可以现场局部修整外，其他构件均不得在施工现场制作。</w:t>
      </w:r>
    </w:p>
    <w:p w14:paraId="075779AF">
      <w:pPr>
        <w:ind w:firstLine="480"/>
        <w:rPr>
          <w:rFonts w:hint="eastAsia"/>
          <w:highlight w:val="none"/>
        </w:rPr>
      </w:pPr>
      <w:r>
        <w:rPr>
          <w:highlight w:val="none"/>
        </w:rPr>
        <w:t>3</w:t>
      </w:r>
      <w:r>
        <w:rPr>
          <w:rFonts w:hint="eastAsia"/>
          <w:highlight w:val="none"/>
        </w:rPr>
        <w:t xml:space="preserve">）所有构件在加工制作前，应对照建筑、结构施工图、门窗设计图进行核对，并对已完成结构进行复测，调整偏差。若需按实测结果调整门窗设计大样图尺寸，需经发包人确认后方可加工制作。 </w:t>
      </w:r>
    </w:p>
    <w:p w14:paraId="41E3E1FA">
      <w:pPr>
        <w:ind w:firstLine="480"/>
        <w:rPr>
          <w:rFonts w:hint="eastAsia"/>
          <w:highlight w:val="none"/>
        </w:rPr>
      </w:pPr>
      <w:r>
        <w:rPr>
          <w:highlight w:val="none"/>
        </w:rPr>
        <w:t>4</w:t>
      </w:r>
      <w:r>
        <w:rPr>
          <w:rFonts w:hint="eastAsia"/>
          <w:highlight w:val="none"/>
        </w:rPr>
        <w:t xml:space="preserve">）所有进厂的原材料必须有合格证和检测报告，并按照规范要求进行报验工作。 </w:t>
      </w:r>
    </w:p>
    <w:p w14:paraId="5E60FE86">
      <w:pPr>
        <w:ind w:firstLine="480"/>
        <w:rPr>
          <w:rFonts w:hint="eastAsia"/>
          <w:highlight w:val="none"/>
        </w:rPr>
      </w:pPr>
      <w:r>
        <w:rPr>
          <w:highlight w:val="none"/>
        </w:rPr>
        <w:t>5</w:t>
      </w:r>
      <w:r>
        <w:rPr>
          <w:rFonts w:hint="eastAsia"/>
          <w:highlight w:val="none"/>
        </w:rPr>
        <w:t xml:space="preserve">）所有构件连接处缝隙应进行可靠的密封处理，可采用专用密封组件或密封胶进行密封。同时各组件及构件应当进行防腐处理。 </w:t>
      </w:r>
    </w:p>
    <w:p w14:paraId="4A113831">
      <w:pPr>
        <w:ind w:firstLine="480"/>
        <w:rPr>
          <w:rFonts w:hint="eastAsia"/>
          <w:highlight w:val="none"/>
        </w:rPr>
      </w:pPr>
      <w:r>
        <w:rPr>
          <w:rFonts w:hint="eastAsia"/>
          <w:highlight w:val="none"/>
        </w:rPr>
        <w:t xml:space="preserve">6）密封胶条与密封毛条的安装应满足下列要求： </w:t>
      </w:r>
    </w:p>
    <w:p w14:paraId="11A57DA8">
      <w:pPr>
        <w:ind w:firstLine="480"/>
        <w:rPr>
          <w:rFonts w:hint="eastAsia"/>
          <w:highlight w:val="none"/>
        </w:rPr>
      </w:pPr>
      <w:r>
        <w:rPr>
          <w:rFonts w:hint="eastAsia"/>
          <w:highlight w:val="none"/>
        </w:rPr>
        <w:t xml:space="preserve">a.密封胶条与密封毛条的断面形状及规格尺寸应与铝合金型材断面相匹配。 </w:t>
      </w:r>
    </w:p>
    <w:p w14:paraId="14D23EF2">
      <w:pPr>
        <w:ind w:firstLine="480"/>
        <w:rPr>
          <w:rFonts w:hint="eastAsia"/>
          <w:highlight w:val="none"/>
        </w:rPr>
      </w:pPr>
      <w:r>
        <w:rPr>
          <w:rFonts w:hint="eastAsia"/>
          <w:highlight w:val="none"/>
        </w:rPr>
        <w:t xml:space="preserve">b.密封胶条嵌装应平整，其长度宜比边框内槽口长 1.5%～3%。 </w:t>
      </w:r>
    </w:p>
    <w:p w14:paraId="60C58422">
      <w:pPr>
        <w:ind w:firstLine="480"/>
        <w:rPr>
          <w:rFonts w:hint="eastAsia"/>
          <w:highlight w:val="none"/>
        </w:rPr>
      </w:pPr>
      <w:r>
        <w:rPr>
          <w:rFonts w:hint="eastAsia"/>
          <w:highlight w:val="none"/>
        </w:rPr>
        <w:t xml:space="preserve">c.密封胶条与密封毛条装配后应平整、严密、牢固，不得有脱槽、断裂等现象。 </w:t>
      </w:r>
    </w:p>
    <w:p w14:paraId="146AEB5D">
      <w:pPr>
        <w:ind w:firstLine="480"/>
        <w:rPr>
          <w:rFonts w:hint="eastAsia"/>
          <w:highlight w:val="none"/>
        </w:rPr>
      </w:pPr>
      <w:r>
        <w:rPr>
          <w:rFonts w:hint="eastAsia"/>
          <w:highlight w:val="none"/>
        </w:rPr>
        <w:t xml:space="preserve">d.密封胶条与密封毛条单边必须整根嵌装，不得拼接，接口宜位于转角处。 </w:t>
      </w:r>
    </w:p>
    <w:p w14:paraId="64D40E8C">
      <w:pPr>
        <w:ind w:firstLine="480"/>
        <w:rPr>
          <w:rFonts w:hint="eastAsia"/>
          <w:highlight w:val="none"/>
        </w:rPr>
      </w:pPr>
      <w:r>
        <w:rPr>
          <w:rFonts w:hint="eastAsia"/>
          <w:highlight w:val="none"/>
        </w:rPr>
        <w:t xml:space="preserve">e.密封胶条转角部位接口处必须密封处理。 </w:t>
      </w:r>
    </w:p>
    <w:p w14:paraId="363F00CE">
      <w:pPr>
        <w:ind w:firstLine="480"/>
        <w:rPr>
          <w:rFonts w:hint="eastAsia"/>
          <w:highlight w:val="none"/>
        </w:rPr>
      </w:pPr>
      <w:r>
        <w:rPr>
          <w:rFonts w:hint="eastAsia"/>
          <w:highlight w:val="none"/>
        </w:rPr>
        <w:t xml:space="preserve">f.不得使用未经试验合格的胶结材料，不得使用未经认可的胶结材料，不得使用过期产品。 </w:t>
      </w:r>
    </w:p>
    <w:p w14:paraId="2A0EA08D">
      <w:pPr>
        <w:ind w:firstLine="480"/>
        <w:rPr>
          <w:rFonts w:hint="eastAsia"/>
          <w:highlight w:val="none"/>
        </w:rPr>
      </w:pPr>
      <w:r>
        <w:rPr>
          <w:rFonts w:hint="eastAsia"/>
          <w:highlight w:val="none"/>
        </w:rPr>
        <w:t xml:space="preserve">g.加工质量必须符合现行质量验收规范，观感质量良好，办理检验批验收。 </w:t>
      </w:r>
    </w:p>
    <w:p w14:paraId="0E32002A">
      <w:pPr>
        <w:ind w:firstLine="480"/>
        <w:rPr>
          <w:rFonts w:hint="eastAsia"/>
          <w:highlight w:val="none"/>
        </w:rPr>
      </w:pPr>
      <w:r>
        <w:rPr>
          <w:rFonts w:hint="eastAsia"/>
          <w:highlight w:val="none"/>
        </w:rPr>
        <w:t xml:space="preserve">（3）包装应符合下列规定： </w:t>
      </w:r>
    </w:p>
    <w:p w14:paraId="2F3D14EA">
      <w:pPr>
        <w:ind w:firstLine="480"/>
        <w:rPr>
          <w:rFonts w:hint="eastAsia"/>
          <w:highlight w:val="none"/>
        </w:rPr>
      </w:pPr>
      <w:r>
        <w:rPr>
          <w:rFonts w:hint="eastAsia"/>
          <w:highlight w:val="none"/>
        </w:rPr>
        <w:t xml:space="preserve">1) 应根据门窗型材、玻璃和附件的表面处理情况，采取合适的无腐蚀作用材 </w:t>
      </w:r>
    </w:p>
    <w:p w14:paraId="55581DB0">
      <w:pPr>
        <w:ind w:firstLine="480"/>
        <w:rPr>
          <w:rFonts w:hint="eastAsia"/>
          <w:highlight w:val="none"/>
        </w:rPr>
      </w:pPr>
      <w:r>
        <w:rPr>
          <w:rFonts w:hint="eastAsia"/>
          <w:highlight w:val="none"/>
        </w:rPr>
        <w:t xml:space="preserve">料包装。 </w:t>
      </w:r>
    </w:p>
    <w:p w14:paraId="3077CA1F">
      <w:pPr>
        <w:ind w:firstLine="480"/>
        <w:rPr>
          <w:rFonts w:hint="eastAsia"/>
          <w:highlight w:val="none"/>
        </w:rPr>
      </w:pPr>
      <w:r>
        <w:rPr>
          <w:rFonts w:hint="eastAsia"/>
          <w:highlight w:val="none"/>
        </w:rPr>
        <w:t xml:space="preserve">2) 包装箱应有足够的承载能力，确保运输中不受损坏。 </w:t>
      </w:r>
    </w:p>
    <w:p w14:paraId="7E91D14A">
      <w:pPr>
        <w:ind w:firstLine="480"/>
        <w:rPr>
          <w:rFonts w:hint="eastAsia"/>
          <w:highlight w:val="none"/>
        </w:rPr>
      </w:pPr>
      <w:r>
        <w:rPr>
          <w:rFonts w:hint="eastAsia"/>
          <w:highlight w:val="none"/>
        </w:rPr>
        <w:t xml:space="preserve">3) 包装箱内的各类部件，避免发生碰撞、窜动，以免运输过程中发生损坏。 </w:t>
      </w:r>
    </w:p>
    <w:p w14:paraId="3B16EF68">
      <w:pPr>
        <w:ind w:firstLine="480"/>
        <w:rPr>
          <w:rFonts w:hint="eastAsia"/>
          <w:highlight w:val="none"/>
        </w:rPr>
      </w:pPr>
      <w:r>
        <w:rPr>
          <w:rFonts w:hint="eastAsia"/>
          <w:highlight w:val="none"/>
        </w:rPr>
        <w:t xml:space="preserve">（4）每樘出厂检验或交货批应有相应的产品合格证书及检测报告。 </w:t>
      </w:r>
    </w:p>
    <w:p w14:paraId="79EB356E">
      <w:pPr>
        <w:ind w:firstLine="480"/>
        <w:rPr>
          <w:rFonts w:hint="eastAsia"/>
          <w:highlight w:val="none"/>
        </w:rPr>
      </w:pPr>
      <w:r>
        <w:rPr>
          <w:rFonts w:hint="eastAsia"/>
          <w:highlight w:val="none"/>
        </w:rPr>
        <w:t xml:space="preserve">（5）运输应符合下列规定： </w:t>
      </w:r>
    </w:p>
    <w:p w14:paraId="4F6DB632">
      <w:pPr>
        <w:ind w:firstLine="480"/>
        <w:rPr>
          <w:rFonts w:hint="eastAsia"/>
          <w:highlight w:val="none"/>
        </w:rPr>
      </w:pPr>
      <w:r>
        <w:rPr>
          <w:rFonts w:hint="eastAsia"/>
          <w:highlight w:val="none"/>
        </w:rPr>
        <w:t xml:space="preserve">1) 运输工具应有防雨措施，并保持清洁无污染。 </w:t>
      </w:r>
    </w:p>
    <w:p w14:paraId="3EF3721B">
      <w:pPr>
        <w:ind w:firstLine="480"/>
        <w:rPr>
          <w:rFonts w:hint="eastAsia"/>
          <w:highlight w:val="none"/>
        </w:rPr>
      </w:pPr>
      <w:r>
        <w:rPr>
          <w:rFonts w:hint="eastAsia"/>
          <w:highlight w:val="none"/>
        </w:rPr>
        <w:t xml:space="preserve">2) 搬运过程中应轻拿轻放，严禁摔、扔、撞击。吊运点应选择窗框外沿，其 </w:t>
      </w:r>
    </w:p>
    <w:p w14:paraId="1C6D5CC3">
      <w:pPr>
        <w:ind w:firstLine="480"/>
        <w:rPr>
          <w:rFonts w:hint="eastAsia"/>
          <w:highlight w:val="none"/>
        </w:rPr>
      </w:pPr>
      <w:r>
        <w:rPr>
          <w:rFonts w:hint="eastAsia"/>
          <w:highlight w:val="none"/>
        </w:rPr>
        <w:t xml:space="preserve">表面应用软质材料隔开，不得在框扇内插入抬杠起吊。 </w:t>
      </w:r>
    </w:p>
    <w:p w14:paraId="2A8C6E59">
      <w:pPr>
        <w:ind w:firstLine="480"/>
        <w:rPr>
          <w:rFonts w:hint="eastAsia"/>
          <w:highlight w:val="none"/>
        </w:rPr>
      </w:pPr>
      <w:r>
        <w:rPr>
          <w:rFonts w:hint="eastAsia"/>
          <w:highlight w:val="none"/>
        </w:rPr>
        <w:t xml:space="preserve">3) 运输时应竖直排放并可靠固定，门窗与门窗之间应用无腐蚀作用的软质材 </w:t>
      </w:r>
    </w:p>
    <w:p w14:paraId="68720713">
      <w:pPr>
        <w:ind w:firstLine="480"/>
        <w:rPr>
          <w:rFonts w:hint="eastAsia"/>
          <w:highlight w:val="none"/>
        </w:rPr>
      </w:pPr>
      <w:r>
        <w:rPr>
          <w:rFonts w:hint="eastAsia"/>
          <w:highlight w:val="none"/>
        </w:rPr>
        <w:t xml:space="preserve">料隔开，特别应注意避免五金配件凸出部位与门窗的其他部位接触，以免损坏。 </w:t>
      </w:r>
    </w:p>
    <w:p w14:paraId="79864D53">
      <w:pPr>
        <w:pStyle w:val="4"/>
        <w:numPr>
          <w:ilvl w:val="2"/>
          <w:numId w:val="13"/>
        </w:numPr>
        <w:rPr>
          <w:rFonts w:hint="eastAsia"/>
          <w:highlight w:val="none"/>
        </w:rPr>
      </w:pPr>
      <w:r>
        <w:rPr>
          <w:rFonts w:hint="eastAsia"/>
          <w:highlight w:val="none"/>
        </w:rPr>
        <w:t xml:space="preserve">门窗安装技术要求 </w:t>
      </w:r>
    </w:p>
    <w:p w14:paraId="305158CC">
      <w:pPr>
        <w:ind w:firstLine="480"/>
        <w:rPr>
          <w:rFonts w:hint="eastAsia"/>
          <w:highlight w:val="none"/>
        </w:rPr>
      </w:pPr>
      <w:r>
        <w:rPr>
          <w:rFonts w:hint="eastAsia"/>
          <w:highlight w:val="none"/>
        </w:rPr>
        <w:t xml:space="preserve">（1）塞缝要求 </w:t>
      </w:r>
    </w:p>
    <w:p w14:paraId="3BC85676">
      <w:pPr>
        <w:ind w:firstLine="480"/>
        <w:rPr>
          <w:rFonts w:hint="eastAsia"/>
          <w:highlight w:val="none"/>
        </w:rPr>
      </w:pPr>
      <w:r>
        <w:rPr>
          <w:highlight w:val="none"/>
        </w:rPr>
        <w:t xml:space="preserve">1) </w:t>
      </w:r>
      <w:r>
        <w:rPr>
          <w:rFonts w:hint="eastAsia"/>
          <w:highlight w:val="none"/>
        </w:rPr>
        <w:t xml:space="preserve">结合施工图纸及现场施工情况，出具相关的塞缝及防渗漏专项施工方案。 </w:t>
      </w:r>
    </w:p>
    <w:p w14:paraId="0FA9CA3B">
      <w:pPr>
        <w:ind w:firstLine="480"/>
        <w:rPr>
          <w:rFonts w:hint="eastAsia"/>
          <w:highlight w:val="none"/>
        </w:rPr>
      </w:pPr>
      <w:r>
        <w:rPr>
          <w:highlight w:val="none"/>
        </w:rPr>
        <w:t>2）</w:t>
      </w:r>
      <w:r>
        <w:rPr>
          <w:rFonts w:hint="eastAsia"/>
          <w:highlight w:val="none"/>
        </w:rPr>
        <w:t xml:space="preserve">安装前，应清除洞口周围松动的砂浆、浮渣及浮灰。 </w:t>
      </w:r>
    </w:p>
    <w:p w14:paraId="7FBFF958">
      <w:pPr>
        <w:ind w:firstLine="480"/>
        <w:rPr>
          <w:rFonts w:hint="eastAsia"/>
          <w:highlight w:val="none"/>
        </w:rPr>
      </w:pPr>
      <w:r>
        <w:rPr>
          <w:highlight w:val="none"/>
        </w:rPr>
        <w:t xml:space="preserve">3) </w:t>
      </w:r>
      <w:r>
        <w:rPr>
          <w:rFonts w:hint="eastAsia"/>
          <w:highlight w:val="none"/>
        </w:rPr>
        <w:t xml:space="preserve">塞缝材料要求：外窗应采用干硬性防水砂浆塞缝。干硬性防水砂浆按水泥：砂子＝1:2~1:3 配制，掺入 4%水泥用量的防水粉和防开裂纤维材料，加水量以砂浆手捏成团、落地开花为宜。 </w:t>
      </w:r>
    </w:p>
    <w:p w14:paraId="02CDA2DA">
      <w:pPr>
        <w:ind w:firstLine="480"/>
        <w:rPr>
          <w:rFonts w:hint="eastAsia"/>
          <w:highlight w:val="none"/>
        </w:rPr>
      </w:pPr>
      <w:r>
        <w:rPr>
          <w:rFonts w:hint="eastAsia"/>
          <w:highlight w:val="none"/>
        </w:rPr>
        <w:t>水泥强度等级不应低于32.5级，不得使用过期或受潮结块水泥；砂宜采用中砂，粒径3mm以下，含泥量不得大于1%，硫化物和硫酸盐含量不得大于1%；水应采用不含有害物质的洁净水；聚合物乳液的外观质量要求无颗粒、异物和凝固物；外加剂的技术性能应符合国家或行业标准一等品及以上的质量要求</w:t>
      </w:r>
    </w:p>
    <w:p w14:paraId="25ED3EAB">
      <w:pPr>
        <w:ind w:firstLine="480"/>
        <w:rPr>
          <w:rFonts w:hint="eastAsia"/>
          <w:highlight w:val="none"/>
        </w:rPr>
      </w:pPr>
      <w:r>
        <w:rPr>
          <w:highlight w:val="none"/>
        </w:rPr>
        <w:t xml:space="preserve">4) </w:t>
      </w:r>
      <w:r>
        <w:rPr>
          <w:rFonts w:hint="eastAsia"/>
          <w:highlight w:val="none"/>
        </w:rPr>
        <w:t xml:space="preserve"> 塞缝做法要求：对门窗框与墙体缝隙或钢副框与墙体缝隙，四周均采用干硬性防水砂浆塞缝。</w:t>
      </w:r>
    </w:p>
    <w:p w14:paraId="1989E5D1">
      <w:pPr>
        <w:ind w:firstLine="480"/>
        <w:rPr>
          <w:rFonts w:hint="eastAsia"/>
          <w:highlight w:val="none"/>
        </w:rPr>
      </w:pPr>
      <w:r>
        <w:rPr>
          <w:highlight w:val="none"/>
        </w:rPr>
        <w:t xml:space="preserve">5) </w:t>
      </w:r>
      <w:r>
        <w:rPr>
          <w:rFonts w:hint="eastAsia"/>
          <w:highlight w:val="none"/>
        </w:rPr>
        <w:t xml:space="preserve">塞缝前清理要求：门窗框与墙体间干硬性防水砂浆塞缝前，应取出窗框临时固定木楔，清扫干净，并将墙体淋湿。 </w:t>
      </w:r>
    </w:p>
    <w:p w14:paraId="5A42362D">
      <w:pPr>
        <w:ind w:firstLine="480"/>
        <w:rPr>
          <w:rFonts w:hint="eastAsia"/>
          <w:highlight w:val="none"/>
        </w:rPr>
      </w:pPr>
      <w:r>
        <w:rPr>
          <w:highlight w:val="none"/>
        </w:rPr>
        <w:t xml:space="preserve">6) </w:t>
      </w:r>
      <w:r>
        <w:rPr>
          <w:rFonts w:hint="eastAsia"/>
          <w:highlight w:val="none"/>
        </w:rPr>
        <w:t xml:space="preserve">防水砂浆养护要求：在防水砂浆终凝后，应连续浇水养护不少于 3 天。 </w:t>
      </w:r>
    </w:p>
    <w:p w14:paraId="39253F7B">
      <w:pPr>
        <w:ind w:firstLine="480"/>
        <w:rPr>
          <w:rFonts w:hint="eastAsia"/>
          <w:highlight w:val="none"/>
        </w:rPr>
      </w:pPr>
      <w:r>
        <w:rPr>
          <w:highlight w:val="none"/>
        </w:rPr>
        <w:t xml:space="preserve">7) </w:t>
      </w:r>
      <w:r>
        <w:rPr>
          <w:rFonts w:hint="eastAsia"/>
          <w:highlight w:val="none"/>
        </w:rPr>
        <w:t xml:space="preserve">塞缝监管要求：应加强窗框四周塞缝的监控管理，如专人负责管理、专人施工、严格控制防水砂浆配合比、样板先行、加强技术交底、严格进行淋水试验等。 </w:t>
      </w:r>
    </w:p>
    <w:p w14:paraId="65011112">
      <w:pPr>
        <w:ind w:firstLine="480"/>
        <w:rPr>
          <w:rFonts w:hint="eastAsia"/>
          <w:highlight w:val="none"/>
        </w:rPr>
      </w:pPr>
      <w:r>
        <w:rPr>
          <w:highlight w:val="none"/>
        </w:rPr>
        <w:t>8)</w:t>
      </w:r>
      <w:r>
        <w:rPr>
          <w:rFonts w:hint="eastAsia"/>
          <w:highlight w:val="none"/>
        </w:rPr>
        <w:t xml:space="preserve"> 防水加强层：在塞缝养护完成后，应刷JS 防水涂料，总厚度大于 1.5mm，防水涂料接窗框5mm，涂刷范围外翻立面墙体100mm，费用包含在门窗工程内，不另行计算。</w:t>
      </w:r>
    </w:p>
    <w:p w14:paraId="74F8D300">
      <w:pPr>
        <w:ind w:firstLine="480"/>
        <w:rPr>
          <w:rFonts w:hint="eastAsia"/>
          <w:highlight w:val="none"/>
        </w:rPr>
      </w:pPr>
      <w:r>
        <w:rPr>
          <w:highlight w:val="none"/>
        </w:rPr>
        <w:t xml:space="preserve">9) </w:t>
      </w:r>
      <w:r>
        <w:rPr>
          <w:rFonts w:hint="eastAsia"/>
          <w:highlight w:val="none"/>
        </w:rPr>
        <w:t xml:space="preserve">密封胶施工：土建外装饰面层与窗框交接面应预留不小于6mm×6mm 的密封胶槽。预留胶槽打胶时，基层应干燥以避免胶干后收缩使装饰面层开裂而导致渗水。应确保胶缝密实、连续、饱满，胶缝宽度以 15mm 左右为宜。同时，为达到胶缝的美观精致，窗框及外饰面上可粘贴美纹纸。密封胶应选取用中性硅酮密封胶。严禁将密封胶施打在涂料面层上。 </w:t>
      </w:r>
    </w:p>
    <w:p w14:paraId="08C3A3AF">
      <w:pPr>
        <w:ind w:firstLine="480"/>
        <w:rPr>
          <w:rFonts w:hint="eastAsia"/>
          <w:highlight w:val="none"/>
        </w:rPr>
      </w:pPr>
      <w:r>
        <w:rPr>
          <w:rFonts w:hint="eastAsia"/>
          <w:highlight w:val="none"/>
        </w:rPr>
        <w:t xml:space="preserve">（2）门窗安装技术要求： </w:t>
      </w:r>
    </w:p>
    <w:p w14:paraId="546B2DA4">
      <w:pPr>
        <w:ind w:firstLine="480"/>
        <w:rPr>
          <w:rFonts w:hint="eastAsia"/>
          <w:highlight w:val="none"/>
        </w:rPr>
      </w:pPr>
      <w:r>
        <w:rPr>
          <w:highlight w:val="none"/>
        </w:rPr>
        <w:t xml:space="preserve">1) </w:t>
      </w:r>
      <w:r>
        <w:rPr>
          <w:rFonts w:hint="eastAsia"/>
          <w:highlight w:val="none"/>
        </w:rPr>
        <w:t xml:space="preserve">非副框法门窗框安装要求： </w:t>
      </w:r>
    </w:p>
    <w:p w14:paraId="2EC2C7D8">
      <w:pPr>
        <w:ind w:firstLine="480"/>
        <w:rPr>
          <w:rFonts w:hint="eastAsia"/>
          <w:highlight w:val="none"/>
        </w:rPr>
      </w:pPr>
      <w:r>
        <w:rPr>
          <w:highlight w:val="none"/>
        </w:rPr>
        <w:t>a.</w:t>
      </w:r>
      <w:r>
        <w:rPr>
          <w:rFonts w:hint="eastAsia"/>
          <w:highlight w:val="none"/>
        </w:rPr>
        <w:t xml:space="preserve">铝合金门窗接触墙体的框面，必须认真做好防腐处理：一般在安装前应刷沥青酚醛表漆二度，并防止堵塞物划伤防腐面层。 </w:t>
      </w:r>
    </w:p>
    <w:p w14:paraId="01796617">
      <w:pPr>
        <w:ind w:firstLine="480"/>
        <w:rPr>
          <w:rFonts w:hint="eastAsia"/>
          <w:highlight w:val="none"/>
        </w:rPr>
      </w:pPr>
      <w:r>
        <w:rPr>
          <w:highlight w:val="none"/>
        </w:rPr>
        <w:t>b.</w:t>
      </w:r>
      <w:r>
        <w:rPr>
          <w:rFonts w:hint="eastAsia"/>
          <w:highlight w:val="none"/>
        </w:rPr>
        <w:t xml:space="preserve">当门窗框与墙体间采用固定片固定时，固定片应内高外低；固定片要求为： </w:t>
      </w:r>
    </w:p>
    <w:p w14:paraId="294E31CF">
      <w:pPr>
        <w:ind w:firstLine="480"/>
        <w:rPr>
          <w:rFonts w:hint="eastAsia"/>
          <w:highlight w:val="none"/>
        </w:rPr>
      </w:pPr>
      <w:r>
        <w:rPr>
          <w:rFonts w:hint="eastAsia"/>
          <w:highlight w:val="none"/>
        </w:rPr>
        <w:t xml:space="preserve">厚度不少于1.5㎜、宽度不少于20㎜的镀锌钢片，材质为 Q235。固定片间距需满足规范要求，固定片应固定在预制混凝土块上，固定片应距离中横框、中竖框、窗角位置不大于 150mm,不得将固定片直接固定在中横框、中竖框、窗角的挡头上。门窗框牢固固定在砼结构或砖结构或其他结构上，严禁将固定片固定在不能承受荷载的砌体结构上。固定片与窗框连接应采用自攻螺钉固定，不得仅靠卡紧方式固定。钉孔内应注硅酮密封胶，以保证连接处密封。紧固件端头及拼樘料与门窗框间的缝隙应采用密封胶密封。 </w:t>
      </w:r>
    </w:p>
    <w:p w14:paraId="37D9A78B">
      <w:pPr>
        <w:pStyle w:val="3"/>
        <w:numPr>
          <w:ilvl w:val="1"/>
          <w:numId w:val="13"/>
        </w:numPr>
        <w:rPr>
          <w:rFonts w:hint="eastAsia"/>
          <w:highlight w:val="none"/>
        </w:rPr>
      </w:pPr>
      <w:bookmarkStart w:id="615" w:name="_Toc800"/>
      <w:bookmarkStart w:id="616" w:name="_Toc11868"/>
      <w:bookmarkStart w:id="617" w:name="_Toc15304"/>
      <w:bookmarkStart w:id="618" w:name="_Toc11253"/>
      <w:bookmarkStart w:id="619" w:name="_Toc27142"/>
      <w:bookmarkStart w:id="620" w:name="_Toc32703"/>
      <w:bookmarkStart w:id="621" w:name="_Toc14649"/>
      <w:bookmarkStart w:id="622" w:name="_Toc15702"/>
      <w:bookmarkStart w:id="623" w:name="_Toc17151"/>
      <w:bookmarkStart w:id="624" w:name="_Toc14858"/>
      <w:r>
        <w:rPr>
          <w:rFonts w:hint="eastAsia"/>
          <w:highlight w:val="none"/>
        </w:rPr>
        <w:t>屋面工程技术要求</w:t>
      </w:r>
      <w:bookmarkEnd w:id="613"/>
      <w:bookmarkEnd w:id="614"/>
      <w:bookmarkEnd w:id="615"/>
      <w:bookmarkEnd w:id="616"/>
      <w:bookmarkEnd w:id="617"/>
      <w:bookmarkEnd w:id="618"/>
      <w:bookmarkEnd w:id="619"/>
      <w:bookmarkEnd w:id="620"/>
      <w:bookmarkEnd w:id="621"/>
      <w:bookmarkEnd w:id="622"/>
      <w:bookmarkEnd w:id="623"/>
      <w:bookmarkEnd w:id="624"/>
    </w:p>
    <w:p w14:paraId="33FD6091">
      <w:pPr>
        <w:pStyle w:val="4"/>
        <w:numPr>
          <w:ilvl w:val="2"/>
          <w:numId w:val="13"/>
        </w:numPr>
        <w:rPr>
          <w:rFonts w:hint="eastAsia"/>
          <w:highlight w:val="none"/>
        </w:rPr>
      </w:pPr>
      <w:r>
        <w:rPr>
          <w:rFonts w:hint="eastAsia"/>
          <w:highlight w:val="none"/>
        </w:rPr>
        <w:t>光棚、屋面栏杆油漆均匀，无流坠起皱，无锈斑，焊缝饱满，无漏焊、脱焊现象。</w:t>
      </w:r>
    </w:p>
    <w:p w14:paraId="1A6E6D66">
      <w:pPr>
        <w:pStyle w:val="4"/>
        <w:numPr>
          <w:ilvl w:val="2"/>
          <w:numId w:val="13"/>
        </w:numPr>
        <w:rPr>
          <w:rFonts w:hint="eastAsia"/>
          <w:highlight w:val="none"/>
        </w:rPr>
      </w:pPr>
      <w:r>
        <w:rPr>
          <w:rFonts w:hint="eastAsia"/>
          <w:highlight w:val="none"/>
        </w:rPr>
        <w:t>飘板、柱表面光滑平整，线角顺直，涂料均匀无色差。</w:t>
      </w:r>
    </w:p>
    <w:p w14:paraId="1967A9EA">
      <w:pPr>
        <w:pStyle w:val="4"/>
        <w:numPr>
          <w:ilvl w:val="2"/>
          <w:numId w:val="13"/>
        </w:numPr>
        <w:rPr>
          <w:rFonts w:hint="eastAsia"/>
          <w:highlight w:val="none"/>
        </w:rPr>
      </w:pPr>
      <w:r>
        <w:rPr>
          <w:rFonts w:hint="eastAsia"/>
          <w:highlight w:val="none"/>
        </w:rPr>
        <w:t>屋面地坪找坡准确，天沟部位防水卷材铺贴密实，无孔洞，裂口，裂缝。天沟排水通畅，无明显积水。整个屋面24小时蓄水无渗漏。</w:t>
      </w:r>
    </w:p>
    <w:p w14:paraId="38EE30E7">
      <w:pPr>
        <w:pStyle w:val="4"/>
        <w:numPr>
          <w:ilvl w:val="2"/>
          <w:numId w:val="13"/>
        </w:numPr>
        <w:rPr>
          <w:rFonts w:hint="eastAsia"/>
          <w:highlight w:val="none"/>
        </w:rPr>
      </w:pPr>
      <w:r>
        <w:rPr>
          <w:rFonts w:hint="eastAsia"/>
          <w:highlight w:val="none"/>
        </w:rPr>
        <w:t>屋面施工前总承包人需对屋面防水节点进行深化设计，经监理人/发包人确认后方可进行施工。</w:t>
      </w:r>
    </w:p>
    <w:p w14:paraId="24D6DEEB">
      <w:pPr>
        <w:pStyle w:val="4"/>
        <w:numPr>
          <w:ilvl w:val="2"/>
          <w:numId w:val="13"/>
        </w:numPr>
        <w:rPr>
          <w:rFonts w:hint="eastAsia"/>
          <w:highlight w:val="none"/>
        </w:rPr>
      </w:pPr>
      <w:r>
        <w:rPr>
          <w:rFonts w:hint="eastAsia"/>
          <w:highlight w:val="none"/>
        </w:rPr>
        <w:t>屋面工程预先排版，分格整齐，管线支架、排气口、雨水口、柱脚、女儿墙等细部处理精细。</w:t>
      </w:r>
    </w:p>
    <w:p w14:paraId="62329E68">
      <w:pPr>
        <w:pStyle w:val="3"/>
        <w:numPr>
          <w:ilvl w:val="1"/>
          <w:numId w:val="13"/>
        </w:numPr>
        <w:rPr>
          <w:rFonts w:hint="eastAsia"/>
          <w:highlight w:val="none"/>
        </w:rPr>
      </w:pPr>
      <w:bookmarkStart w:id="625" w:name="_Toc7041"/>
      <w:bookmarkStart w:id="626" w:name="_Toc169722239"/>
      <w:bookmarkStart w:id="627" w:name="_Toc29231"/>
      <w:bookmarkStart w:id="628" w:name="_Toc28322"/>
      <w:bookmarkStart w:id="629" w:name="_Toc422854862"/>
      <w:bookmarkStart w:id="630" w:name="_Toc13805"/>
      <w:bookmarkStart w:id="631" w:name="_Toc10774"/>
      <w:bookmarkStart w:id="632" w:name="_Toc29828"/>
      <w:bookmarkStart w:id="633" w:name="_Toc12217"/>
      <w:bookmarkStart w:id="634" w:name="_Toc14865"/>
      <w:bookmarkStart w:id="635" w:name="_Toc31130"/>
      <w:bookmarkStart w:id="636" w:name="_Toc3382"/>
      <w:r>
        <w:rPr>
          <w:rFonts w:hint="eastAsia"/>
          <w:highlight w:val="none"/>
        </w:rPr>
        <w:t>防渗漏专项工程技术要求</w:t>
      </w:r>
      <w:bookmarkEnd w:id="625"/>
      <w:bookmarkEnd w:id="626"/>
      <w:bookmarkEnd w:id="627"/>
      <w:bookmarkEnd w:id="628"/>
      <w:bookmarkEnd w:id="629"/>
      <w:bookmarkEnd w:id="630"/>
      <w:bookmarkEnd w:id="631"/>
      <w:bookmarkEnd w:id="632"/>
      <w:bookmarkEnd w:id="633"/>
      <w:bookmarkEnd w:id="634"/>
      <w:bookmarkEnd w:id="635"/>
      <w:bookmarkEnd w:id="636"/>
    </w:p>
    <w:p w14:paraId="4AF3EF18">
      <w:pPr>
        <w:ind w:firstLine="480"/>
        <w:rPr>
          <w:rFonts w:hint="eastAsia"/>
          <w:highlight w:val="none"/>
        </w:rPr>
      </w:pPr>
      <w:r>
        <w:rPr>
          <w:rFonts w:hint="eastAsia"/>
          <w:highlight w:val="none"/>
        </w:rPr>
        <w:t>总承包人对自行承建工程涉及的渗漏问题负责，做好防渗漏专项策划及深化设计，精心施工防水工程，确保防渗漏效果。</w:t>
      </w:r>
    </w:p>
    <w:p w14:paraId="0B285A77">
      <w:pPr>
        <w:ind w:firstLine="480"/>
        <w:rPr>
          <w:rFonts w:hint="eastAsia"/>
          <w:highlight w:val="none"/>
        </w:rPr>
      </w:pPr>
      <w:r>
        <w:rPr>
          <w:rFonts w:hint="eastAsia"/>
          <w:highlight w:val="none"/>
        </w:rPr>
        <w:t>防渗漏的所有节点及构造做法均需满足技术标准化要求。</w:t>
      </w:r>
    </w:p>
    <w:p w14:paraId="26234C8B">
      <w:pPr>
        <w:ind w:firstLine="480"/>
        <w:rPr>
          <w:rFonts w:hint="eastAsia"/>
          <w:highlight w:val="none"/>
        </w:rPr>
      </w:pPr>
      <w:r>
        <w:rPr>
          <w:rFonts w:hint="eastAsia"/>
          <w:highlight w:val="none"/>
        </w:rPr>
        <w:t>屋面、地</w:t>
      </w:r>
      <w:r>
        <w:rPr>
          <w:highlight w:val="none"/>
        </w:rPr>
        <w:t>下室</w:t>
      </w:r>
      <w:r>
        <w:rPr>
          <w:rFonts w:hint="eastAsia"/>
          <w:highlight w:val="none"/>
        </w:rPr>
        <w:t>底</w:t>
      </w:r>
      <w:r>
        <w:rPr>
          <w:highlight w:val="none"/>
        </w:rPr>
        <w:t>板</w:t>
      </w:r>
      <w:r>
        <w:rPr>
          <w:rFonts w:hint="eastAsia"/>
          <w:highlight w:val="none"/>
        </w:rPr>
        <w:t>（</w:t>
      </w:r>
      <w:r>
        <w:rPr>
          <w:highlight w:val="none"/>
        </w:rPr>
        <w:t>若有）、</w:t>
      </w:r>
      <w:r>
        <w:rPr>
          <w:rFonts w:hint="eastAsia"/>
          <w:highlight w:val="none"/>
        </w:rPr>
        <w:t>地下室顶板</w:t>
      </w:r>
      <w:r>
        <w:rPr>
          <w:highlight w:val="none"/>
        </w:rPr>
        <w:t>/</w:t>
      </w:r>
      <w:r>
        <w:rPr>
          <w:rFonts w:hint="eastAsia"/>
          <w:highlight w:val="none"/>
        </w:rPr>
        <w:t>侧墙、卫生间、阳台</w:t>
      </w:r>
      <w:r>
        <w:rPr>
          <w:highlight w:val="none"/>
        </w:rPr>
        <w:t>、</w:t>
      </w:r>
      <w:r>
        <w:rPr>
          <w:rFonts w:hint="eastAsia"/>
          <w:highlight w:val="none"/>
        </w:rPr>
        <w:t>消防水池、游泳池等部位必须在结构完成堵漏并经试水合格后才能开展防水施工。</w:t>
      </w:r>
    </w:p>
    <w:p w14:paraId="333C24A6">
      <w:pPr>
        <w:pStyle w:val="4"/>
        <w:numPr>
          <w:ilvl w:val="2"/>
          <w:numId w:val="13"/>
        </w:numPr>
        <w:rPr>
          <w:rFonts w:hint="eastAsia"/>
          <w:highlight w:val="none"/>
        </w:rPr>
      </w:pPr>
      <w:r>
        <w:rPr>
          <w:rFonts w:hint="eastAsia"/>
          <w:highlight w:val="none"/>
        </w:rPr>
        <w:t>地下室防渗漏</w:t>
      </w:r>
    </w:p>
    <w:p w14:paraId="2556B7F8">
      <w:pPr>
        <w:pStyle w:val="5"/>
        <w:numPr>
          <w:ilvl w:val="3"/>
          <w:numId w:val="13"/>
        </w:numPr>
        <w:rPr>
          <w:rFonts w:hint="eastAsia"/>
          <w:highlight w:val="none"/>
        </w:rPr>
      </w:pPr>
      <w:r>
        <w:rPr>
          <w:rFonts w:hint="eastAsia"/>
          <w:highlight w:val="none"/>
        </w:rPr>
        <w:t>防渗漏原则</w:t>
      </w:r>
    </w:p>
    <w:p w14:paraId="0ADC5966">
      <w:pPr>
        <w:ind w:firstLine="480"/>
        <w:rPr>
          <w:rFonts w:hint="eastAsia"/>
          <w:highlight w:val="none"/>
        </w:rPr>
      </w:pPr>
      <w:r>
        <w:rPr>
          <w:rFonts w:hint="eastAsia"/>
          <w:highlight w:val="none"/>
        </w:rPr>
        <w:t>应有完善可靠的防水设计，多道设防。坚持结构自防水为主，立足于密实的混凝土达到相关规范要求防水年限的目标。应重点关注细部节点的防水深化设计</w:t>
      </w:r>
      <w:r>
        <w:rPr>
          <w:highlight w:val="none"/>
        </w:rPr>
        <w:t>,</w:t>
      </w:r>
      <w:r>
        <w:rPr>
          <w:rFonts w:hint="eastAsia"/>
          <w:highlight w:val="none"/>
        </w:rPr>
        <w:t>在施工图的基础上，对底板基坑部位、外墙出入口部位、顶板标高变化复杂部位进行深化设计。</w:t>
      </w:r>
    </w:p>
    <w:p w14:paraId="425E494A">
      <w:pPr>
        <w:pStyle w:val="5"/>
        <w:numPr>
          <w:ilvl w:val="3"/>
          <w:numId w:val="13"/>
        </w:numPr>
        <w:rPr>
          <w:rFonts w:hint="eastAsia"/>
          <w:highlight w:val="none"/>
        </w:rPr>
      </w:pPr>
      <w:r>
        <w:rPr>
          <w:rFonts w:hint="eastAsia"/>
          <w:highlight w:val="none"/>
        </w:rPr>
        <w:t>技术要求</w:t>
      </w:r>
    </w:p>
    <w:p w14:paraId="362E6E4E">
      <w:pPr>
        <w:ind w:firstLine="480"/>
        <w:rPr>
          <w:rFonts w:hint="eastAsia"/>
          <w:highlight w:val="none"/>
        </w:rPr>
      </w:pPr>
      <w:r>
        <w:rPr>
          <w:rFonts w:hint="eastAsia"/>
          <w:highlight w:val="none"/>
        </w:rPr>
        <w:t xml:space="preserve">1）保证混凝土浇筑振捣密实，振捣棒振捣间距控制在500mm，每点振捣15~20s，地下室外墙分层浇筑，底板大体积混凝土斜向分层浇筑，每层振捣时，振捣棒下插至下一层内部150mm，振捣棒按振捣深度做刻度标记，保证每层混凝土结合效果；地下室外墙混凝土浇筑前，在外墙模板上口顶部使用油漆标记对拉止水螺杆位置，振捣时避开螺杆位置，避免止水螺杆脱落。 </w:t>
      </w:r>
    </w:p>
    <w:p w14:paraId="2E4A78AF">
      <w:pPr>
        <w:ind w:firstLine="480"/>
        <w:rPr>
          <w:rFonts w:hint="eastAsia"/>
          <w:highlight w:val="none"/>
        </w:rPr>
      </w:pPr>
      <w:r>
        <w:rPr>
          <w:rFonts w:hint="eastAsia"/>
          <w:highlight w:val="none"/>
        </w:rPr>
        <w:t xml:space="preserve">2）不得为施工方便或节省工期，取消沉降后浇带、温度后浇带；或将沉降后浇带改为温度后浇带施工，避免超长混凝土墙板收缩裂缝渗漏，或影响结构安全。按跳仓法施工除外。 </w:t>
      </w:r>
    </w:p>
    <w:p w14:paraId="7A049CF3">
      <w:pPr>
        <w:ind w:firstLine="480"/>
        <w:rPr>
          <w:rFonts w:hint="eastAsia"/>
          <w:highlight w:val="none"/>
        </w:rPr>
      </w:pPr>
      <w:r>
        <w:rPr>
          <w:rFonts w:hint="eastAsia"/>
          <w:highlight w:val="none"/>
        </w:rPr>
        <w:t xml:space="preserve">3）地下室顶板不得堆放重物，不可避免时，必须经过严格验算，出具专项方案，并严格按方案执行。 </w:t>
      </w:r>
    </w:p>
    <w:p w14:paraId="1E060C24">
      <w:pPr>
        <w:ind w:firstLine="480"/>
        <w:rPr>
          <w:rFonts w:hint="eastAsia"/>
          <w:highlight w:val="none"/>
        </w:rPr>
      </w:pPr>
      <w:r>
        <w:rPr>
          <w:rFonts w:hint="eastAsia"/>
          <w:highlight w:val="none"/>
        </w:rPr>
        <w:t xml:space="preserve">4）地下室外墙、出地下室顶板构筑物，在混凝土浇筑时一次性浇筑高度不小于300mm的导墙（人防墙不小于500mm），避免将施工缝留置于薄弱部位。 </w:t>
      </w:r>
    </w:p>
    <w:p w14:paraId="690C9046">
      <w:pPr>
        <w:ind w:firstLine="480"/>
        <w:rPr>
          <w:rFonts w:hint="eastAsia"/>
          <w:highlight w:val="none"/>
        </w:rPr>
      </w:pPr>
      <w:r>
        <w:rPr>
          <w:rFonts w:hint="eastAsia"/>
          <w:highlight w:val="none"/>
        </w:rPr>
        <w:t>5）防水混凝土施工缝、后浇带全部预埋不小于300mm宽（或按设计宽度）的钢板止水带，外露1/2宽度，其中转角处使用阴阳角、 十字或丁字型预制成品钢板止水带，现场只做平直段对接焊接，搭接长度不小于100mm，双面满焊，平直段钢板止水带也应在后台加工厂尽量焊接一定长度，再安装就位，避免由于现场工作面狭窄影响焊接质量。</w:t>
      </w:r>
    </w:p>
    <w:p w14:paraId="2207CD69">
      <w:pPr>
        <w:ind w:firstLine="480"/>
        <w:rPr>
          <w:rFonts w:hint="eastAsia"/>
          <w:highlight w:val="none"/>
        </w:rPr>
      </w:pPr>
      <w:r>
        <w:rPr>
          <w:rFonts w:hint="eastAsia"/>
          <w:highlight w:val="none"/>
        </w:rPr>
        <w:t>6）防水混凝土终凝后，养护不少于14天。</w:t>
      </w:r>
    </w:p>
    <w:p w14:paraId="205FF1EA">
      <w:pPr>
        <w:pStyle w:val="5"/>
        <w:numPr>
          <w:ilvl w:val="3"/>
          <w:numId w:val="13"/>
        </w:numPr>
        <w:rPr>
          <w:rFonts w:hint="eastAsia"/>
          <w:highlight w:val="none"/>
        </w:rPr>
      </w:pPr>
      <w:r>
        <w:rPr>
          <w:rFonts w:hint="eastAsia"/>
          <w:highlight w:val="none"/>
        </w:rPr>
        <w:t>施工要求</w:t>
      </w:r>
    </w:p>
    <w:p w14:paraId="1BD05D66">
      <w:pPr>
        <w:ind w:firstLine="480"/>
        <w:rPr>
          <w:rFonts w:hint="eastAsia"/>
          <w:highlight w:val="none"/>
        </w:rPr>
      </w:pPr>
      <w:r>
        <w:rPr>
          <w:rFonts w:hint="eastAsia"/>
          <w:highlight w:val="none"/>
        </w:rPr>
        <w:t>1）混凝土基层应洁净、平整，不得有空鼓、松动、起砂和脱皮现象，如有任何缺陷，应修补平整，修补工作包含堵漏、注浆等。</w:t>
      </w:r>
    </w:p>
    <w:p w14:paraId="239BDF28">
      <w:pPr>
        <w:ind w:firstLine="480"/>
        <w:rPr>
          <w:rFonts w:hint="eastAsia"/>
          <w:highlight w:val="none"/>
        </w:rPr>
      </w:pPr>
      <w:r>
        <w:rPr>
          <w:rFonts w:hint="eastAsia"/>
          <w:highlight w:val="none"/>
        </w:rPr>
        <w:t>2）所有出顶板、屋面的管道管井、墙体与墙体、墙体与地面、墙体与顶板相交的阴角处应使用水泥砂浆抹成半径不小于</w:t>
      </w:r>
      <w:r>
        <w:rPr>
          <w:highlight w:val="none"/>
        </w:rPr>
        <w:t>50mm</w:t>
      </w:r>
      <w:r>
        <w:rPr>
          <w:rFonts w:hint="eastAsia"/>
          <w:highlight w:val="none"/>
        </w:rPr>
        <w:t>的圆角。</w:t>
      </w:r>
    </w:p>
    <w:p w14:paraId="2DCCD7DA">
      <w:pPr>
        <w:ind w:firstLine="480"/>
        <w:rPr>
          <w:rFonts w:hint="eastAsia"/>
          <w:highlight w:val="none"/>
        </w:rPr>
      </w:pPr>
      <w:r>
        <w:rPr>
          <w:rFonts w:hint="eastAsia"/>
          <w:highlight w:val="none"/>
        </w:rPr>
        <w:t>3）铺贴卷材防水层的搭接缝应粘牢，密封严密，不得有皱折、翘边、起泡等缺陷；防水卷材搭接部位应满粘，搭接宽度长边不小于</w:t>
      </w:r>
      <w:r>
        <w:rPr>
          <w:highlight w:val="none"/>
        </w:rPr>
        <w:t>80mm</w:t>
      </w:r>
      <w:r>
        <w:rPr>
          <w:rFonts w:hint="eastAsia"/>
          <w:highlight w:val="none"/>
        </w:rPr>
        <w:t>，短边不小于</w:t>
      </w:r>
      <w:r>
        <w:rPr>
          <w:highlight w:val="none"/>
        </w:rPr>
        <w:t>100mm</w:t>
      </w:r>
      <w:r>
        <w:rPr>
          <w:rFonts w:hint="eastAsia"/>
          <w:highlight w:val="none"/>
        </w:rPr>
        <w:t>；上下两层卷材和相邻两幅卷材接缝应错开</w:t>
      </w:r>
      <w:r>
        <w:rPr>
          <w:highlight w:val="none"/>
        </w:rPr>
        <w:t>1/3</w:t>
      </w:r>
      <w:r>
        <w:rPr>
          <w:rFonts w:hint="eastAsia"/>
          <w:highlight w:val="none"/>
        </w:rPr>
        <w:t>～</w:t>
      </w:r>
      <w:r>
        <w:rPr>
          <w:highlight w:val="none"/>
        </w:rPr>
        <w:t>1/2</w:t>
      </w:r>
      <w:r>
        <w:rPr>
          <w:rFonts w:hint="eastAsia"/>
          <w:highlight w:val="none"/>
        </w:rPr>
        <w:t>幅宽且两层卷材不得相互垂直铺贴。</w:t>
      </w:r>
      <w:r>
        <w:rPr>
          <w:highlight w:val="none"/>
        </w:rPr>
        <w:t xml:space="preserve"> </w:t>
      </w:r>
    </w:p>
    <w:p w14:paraId="26818344">
      <w:pPr>
        <w:ind w:firstLine="480"/>
        <w:rPr>
          <w:rFonts w:hint="eastAsia"/>
          <w:highlight w:val="none"/>
        </w:rPr>
      </w:pPr>
      <w:r>
        <w:rPr>
          <w:rFonts w:hint="eastAsia"/>
          <w:highlight w:val="none"/>
        </w:rPr>
        <w:t>4）采用预铺反粘的防水卷材，搭接部位不得采用钉子固定，集水井、电梯井等结构降板立面与平面交接处设置附加卷材。</w:t>
      </w:r>
    </w:p>
    <w:p w14:paraId="51957C9A">
      <w:pPr>
        <w:ind w:firstLine="480"/>
        <w:rPr>
          <w:rFonts w:hint="eastAsia"/>
          <w:highlight w:val="none"/>
        </w:rPr>
      </w:pPr>
      <w:r>
        <w:rPr>
          <w:rFonts w:hint="eastAsia"/>
          <w:highlight w:val="none"/>
        </w:rPr>
        <w:t>5）底板防水层施工完成后，应及时施工保护层，以免防水层的损坏。</w:t>
      </w:r>
    </w:p>
    <w:p w14:paraId="6EDA02EC">
      <w:pPr>
        <w:ind w:firstLine="480"/>
        <w:rPr>
          <w:rFonts w:hint="eastAsia"/>
          <w:highlight w:val="none"/>
        </w:rPr>
      </w:pPr>
      <w:r>
        <w:rPr>
          <w:rFonts w:hint="eastAsia"/>
          <w:highlight w:val="none"/>
        </w:rPr>
        <w:t>6）杜绝防水层对水的吸附和毛细渗漏；防止不均匀沉降而拉裂防水层；防水层做至可能渗漏范围以外；防水卷材应接缝严密，形成封闭的整体。</w:t>
      </w:r>
    </w:p>
    <w:p w14:paraId="3CAF15EA">
      <w:pPr>
        <w:ind w:firstLine="480"/>
        <w:rPr>
          <w:rFonts w:hint="eastAsia"/>
          <w:highlight w:val="none"/>
        </w:rPr>
      </w:pPr>
      <w:r>
        <w:rPr>
          <w:rFonts w:hint="eastAsia"/>
          <w:highlight w:val="none"/>
        </w:rPr>
        <w:t>7）底板防水施工完成后，承包方应派专人在现场协助监督，防止土建施工工具等尖锐物损坏防水层。一旦发现防水层被破坏，应及时修补，杜绝隐患。</w:t>
      </w:r>
    </w:p>
    <w:p w14:paraId="23E8875A">
      <w:pPr>
        <w:ind w:firstLine="480"/>
        <w:rPr>
          <w:rFonts w:hint="eastAsia"/>
          <w:highlight w:val="none"/>
        </w:rPr>
      </w:pPr>
      <w:r>
        <w:rPr>
          <w:rFonts w:hint="eastAsia"/>
          <w:highlight w:val="none"/>
        </w:rPr>
        <w:t>8）立墙甩出的预留接头。用砂浆粘合并砌两层砖予以保护。立面防水施工结束后，应及时回填、严防架子管、施工工具等抛落造成防水层损坏。</w:t>
      </w:r>
    </w:p>
    <w:p w14:paraId="2A9D5D44">
      <w:pPr>
        <w:ind w:firstLine="480"/>
        <w:rPr>
          <w:rFonts w:hint="eastAsia"/>
          <w:highlight w:val="none"/>
        </w:rPr>
      </w:pPr>
      <w:r>
        <w:rPr>
          <w:rFonts w:hint="eastAsia"/>
          <w:highlight w:val="none"/>
        </w:rPr>
        <w:t>9）施工过程中质检员应随时、有序的进行质量检查，如发现有破损、扎坏的地方要及时组织人员进行正确、可靠的修补，避免隐患的产生。</w:t>
      </w:r>
    </w:p>
    <w:p w14:paraId="720FBDCF">
      <w:pPr>
        <w:ind w:firstLine="480"/>
        <w:rPr>
          <w:rFonts w:hint="eastAsia"/>
          <w:highlight w:val="none"/>
        </w:rPr>
      </w:pPr>
      <w:r>
        <w:rPr>
          <w:rFonts w:hint="eastAsia"/>
          <w:highlight w:val="none"/>
        </w:rPr>
        <w:t>10）若采用预铺反粘型防水卷材时，须注意成品保护，钢筋等杂物不得直接堆放于防水面上，应考虑设置保护垫，以免损坏防水成品。</w:t>
      </w:r>
    </w:p>
    <w:p w14:paraId="60F1B2AC">
      <w:pPr>
        <w:ind w:firstLine="480"/>
        <w:rPr>
          <w:rFonts w:hint="eastAsia"/>
          <w:highlight w:val="none"/>
        </w:rPr>
      </w:pPr>
      <w:r>
        <w:rPr>
          <w:rFonts w:hint="eastAsia"/>
          <w:highlight w:val="none"/>
        </w:rPr>
        <w:t>11）后浇带止水钢板必须满足图纸规格标准，搭接长度不得小于5cm且必须双面满焊，转角部位必须使用成品止水钢板，成品止水钢板需经监理验收通过后方可进场、使用。</w:t>
      </w:r>
    </w:p>
    <w:p w14:paraId="33604FB8">
      <w:pPr>
        <w:pStyle w:val="5"/>
        <w:numPr>
          <w:ilvl w:val="3"/>
          <w:numId w:val="13"/>
        </w:numPr>
        <w:rPr>
          <w:rFonts w:hint="eastAsia"/>
          <w:highlight w:val="none"/>
        </w:rPr>
      </w:pPr>
      <w:r>
        <w:rPr>
          <w:rFonts w:hint="eastAsia"/>
          <w:highlight w:val="none"/>
        </w:rPr>
        <w:t>防水保护要求</w:t>
      </w:r>
    </w:p>
    <w:p w14:paraId="10DF1A84">
      <w:pPr>
        <w:ind w:firstLine="480"/>
        <w:rPr>
          <w:rFonts w:hint="eastAsia"/>
          <w:highlight w:val="none"/>
        </w:rPr>
      </w:pPr>
      <w:r>
        <w:rPr>
          <w:rFonts w:hint="eastAsia"/>
          <w:highlight w:val="none"/>
        </w:rPr>
        <w:t xml:space="preserve">1）防水层施工完成，并且隐蔽验收合格后，应尽快浇筑防水保护层，或砌筑保护墙。 </w:t>
      </w:r>
    </w:p>
    <w:p w14:paraId="5A08F72B">
      <w:pPr>
        <w:ind w:firstLine="480"/>
        <w:rPr>
          <w:rFonts w:hint="eastAsia"/>
          <w:highlight w:val="none"/>
        </w:rPr>
      </w:pPr>
      <w:r>
        <w:rPr>
          <w:rFonts w:hint="eastAsia"/>
          <w:highlight w:val="none"/>
        </w:rPr>
        <w:t xml:space="preserve">2）地下室底板、侧墙、顶板防水保护层/保护墙完成后，防水甩茬部分应使用低标号砂浆抹面保护，待下段防水层施工时，进行凿除、清理、搭接。 </w:t>
      </w:r>
    </w:p>
    <w:p w14:paraId="24FF15D3">
      <w:pPr>
        <w:ind w:firstLine="480"/>
        <w:rPr>
          <w:rFonts w:hint="eastAsia"/>
          <w:highlight w:val="none"/>
        </w:rPr>
      </w:pPr>
      <w:r>
        <w:rPr>
          <w:rFonts w:hint="eastAsia"/>
          <w:highlight w:val="none"/>
        </w:rPr>
        <w:t>3）地下室底板放大角处，砖胎膜顶部防水层，应使用无钉模板覆盖保护，模板上部压砖，底板混凝土浇筑完成后，将该部位防水层内翻铺贴，将接茬甩在地下室外墙导墙处并做好保护，立即浇筑放大角顶面防水保护层，防水保护层完成后，进行放大角上部的肥槽外架搭设，防止该部位防水接茬预留时间过长被破坏。</w:t>
      </w:r>
    </w:p>
    <w:p w14:paraId="68F4F406">
      <w:pPr>
        <w:pStyle w:val="4"/>
        <w:numPr>
          <w:ilvl w:val="2"/>
          <w:numId w:val="13"/>
        </w:numPr>
        <w:rPr>
          <w:rFonts w:hint="eastAsia"/>
          <w:highlight w:val="none"/>
        </w:rPr>
      </w:pPr>
      <w:r>
        <w:rPr>
          <w:rFonts w:hint="eastAsia"/>
          <w:highlight w:val="none"/>
        </w:rPr>
        <w:t>外墙防渗漏</w:t>
      </w:r>
    </w:p>
    <w:p w14:paraId="1842891C">
      <w:pPr>
        <w:pStyle w:val="5"/>
        <w:numPr>
          <w:ilvl w:val="3"/>
          <w:numId w:val="13"/>
        </w:numPr>
        <w:rPr>
          <w:rFonts w:hint="eastAsia"/>
          <w:highlight w:val="none"/>
        </w:rPr>
      </w:pPr>
      <w:r>
        <w:rPr>
          <w:rFonts w:hint="eastAsia"/>
          <w:highlight w:val="none"/>
        </w:rPr>
        <w:t>砌筑外墙满挂耐碱玻纤网</w:t>
      </w:r>
      <w:r>
        <w:rPr>
          <w:highlight w:val="none"/>
        </w:rPr>
        <w:t>/</w:t>
      </w:r>
      <w:r>
        <w:rPr>
          <w:rFonts w:hint="eastAsia"/>
          <w:highlight w:val="none"/>
        </w:rPr>
        <w:t>镀锌钢丝网做抗裂增强处理，以避免受温度影响收缩不均而产生开裂。</w:t>
      </w:r>
    </w:p>
    <w:p w14:paraId="4B92C579">
      <w:pPr>
        <w:pStyle w:val="5"/>
        <w:numPr>
          <w:ilvl w:val="3"/>
          <w:numId w:val="13"/>
        </w:numPr>
        <w:rPr>
          <w:rFonts w:hint="eastAsia"/>
          <w:highlight w:val="none"/>
        </w:rPr>
      </w:pPr>
      <w:r>
        <w:rPr>
          <w:rFonts w:hint="eastAsia"/>
          <w:highlight w:val="none"/>
        </w:rPr>
        <w:t>对砌筑外墙，抹灰层面层应有防止开裂措施。</w:t>
      </w:r>
    </w:p>
    <w:p w14:paraId="58AE85AD">
      <w:pPr>
        <w:pStyle w:val="5"/>
        <w:numPr>
          <w:ilvl w:val="3"/>
          <w:numId w:val="13"/>
        </w:numPr>
        <w:rPr>
          <w:rFonts w:hint="eastAsia"/>
          <w:highlight w:val="none"/>
        </w:rPr>
      </w:pPr>
      <w:r>
        <w:rPr>
          <w:rFonts w:hint="eastAsia"/>
          <w:highlight w:val="none"/>
        </w:rPr>
        <w:t>外墙</w:t>
      </w:r>
      <w:r>
        <w:rPr>
          <w:highlight w:val="none"/>
        </w:rPr>
        <w:t>整体</w:t>
      </w:r>
      <w:r>
        <w:rPr>
          <w:rFonts w:hint="eastAsia"/>
          <w:highlight w:val="none"/>
        </w:rPr>
        <w:t>淋水试验统一由总承包人负责，结构漏水由总承包人承担责任，窗体及塞缝处漏水由门窗专业承包人承担责任。</w:t>
      </w:r>
    </w:p>
    <w:p w14:paraId="3A4B2C11">
      <w:pPr>
        <w:pStyle w:val="5"/>
        <w:numPr>
          <w:ilvl w:val="3"/>
          <w:numId w:val="13"/>
        </w:numPr>
        <w:rPr>
          <w:rFonts w:hint="eastAsia"/>
          <w:highlight w:val="none"/>
        </w:rPr>
      </w:pPr>
      <w:r>
        <w:rPr>
          <w:rFonts w:hint="eastAsia"/>
          <w:highlight w:val="none"/>
        </w:rPr>
        <w:t xml:space="preserve">  外墙脚手孔及洞眼应用细石混凝土分层塞实，并在洞口四周</w:t>
      </w:r>
      <w:r>
        <w:rPr>
          <w:highlight w:val="none"/>
        </w:rPr>
        <w:t>100</w:t>
      </w:r>
      <w:r>
        <w:rPr>
          <w:rFonts w:hint="eastAsia"/>
          <w:highlight w:val="none"/>
        </w:rPr>
        <w:t>×</w:t>
      </w:r>
      <w:r>
        <w:rPr>
          <w:highlight w:val="none"/>
        </w:rPr>
        <w:t>100</w:t>
      </w:r>
      <w:r>
        <w:rPr>
          <w:rFonts w:hint="eastAsia"/>
          <w:highlight w:val="none"/>
        </w:rPr>
        <w:t>范围刮涂刷防水增强层。螺杆眼需采用微膨胀水泥砂浆进行封堵，外涂刷圆饼状防水涂料增强。费用不另行计取。</w:t>
      </w:r>
      <w:r>
        <w:rPr>
          <w:highlight w:val="none"/>
        </w:rPr>
        <w:t xml:space="preserve"> </w:t>
      </w:r>
    </w:p>
    <w:p w14:paraId="70E6696E">
      <w:pPr>
        <w:pStyle w:val="26"/>
        <w:rPr>
          <w:highlight w:val="none"/>
        </w:rPr>
      </w:pPr>
      <w:r>
        <w:rPr>
          <w:highlight w:val="none"/>
        </w:rPr>
        <w:drawing>
          <wp:inline distT="0" distB="0" distL="114300" distR="114300">
            <wp:extent cx="2354580" cy="1765300"/>
            <wp:effectExtent l="0" t="0" r="7620" b="635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138" cstate="print"/>
                    <a:stretch>
                      <a:fillRect/>
                    </a:stretch>
                  </pic:blipFill>
                  <pic:spPr>
                    <a:xfrm>
                      <a:off x="0" y="0"/>
                      <a:ext cx="2354580" cy="1765300"/>
                    </a:xfrm>
                    <a:prstGeom prst="rect">
                      <a:avLst/>
                    </a:prstGeom>
                  </pic:spPr>
                </pic:pic>
              </a:graphicData>
            </a:graphic>
          </wp:inline>
        </w:drawing>
      </w:r>
      <w:r>
        <w:rPr>
          <w:highlight w:val="none"/>
        </w:rPr>
        <w:drawing>
          <wp:inline distT="0" distB="0" distL="114300" distR="114300">
            <wp:extent cx="2387600" cy="1819910"/>
            <wp:effectExtent l="0" t="0" r="3175" b="88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39" cstate="print"/>
                    <a:stretch>
                      <a:fillRect/>
                    </a:stretch>
                  </pic:blipFill>
                  <pic:spPr>
                    <a:xfrm>
                      <a:off x="0" y="0"/>
                      <a:ext cx="2387600" cy="1819910"/>
                    </a:xfrm>
                    <a:prstGeom prst="rect">
                      <a:avLst/>
                    </a:prstGeom>
                    <a:noFill/>
                    <a:ln>
                      <a:noFill/>
                    </a:ln>
                  </pic:spPr>
                </pic:pic>
              </a:graphicData>
            </a:graphic>
          </wp:inline>
        </w:drawing>
      </w:r>
    </w:p>
    <w:p w14:paraId="52679852">
      <w:pPr>
        <w:pStyle w:val="26"/>
        <w:rPr>
          <w:highlight w:val="none"/>
        </w:rPr>
      </w:pPr>
      <w:r>
        <w:rPr>
          <w:highlight w:val="none"/>
        </w:rPr>
        <w:t>螺杆洞封堵示意</w:t>
      </w:r>
    </w:p>
    <w:p w14:paraId="6B4B6943">
      <w:pPr>
        <w:ind w:firstLine="480"/>
        <w:rPr>
          <w:rFonts w:hint="eastAsia"/>
          <w:highlight w:val="none"/>
        </w:rPr>
      </w:pPr>
    </w:p>
    <w:p w14:paraId="4712299F">
      <w:pPr>
        <w:pStyle w:val="4"/>
        <w:numPr>
          <w:ilvl w:val="2"/>
          <w:numId w:val="13"/>
        </w:numPr>
        <w:rPr>
          <w:rFonts w:hint="eastAsia"/>
          <w:highlight w:val="none"/>
        </w:rPr>
      </w:pPr>
      <w:r>
        <w:rPr>
          <w:rFonts w:hint="eastAsia"/>
          <w:highlight w:val="none"/>
        </w:rPr>
        <w:t>外门窗防渗漏</w:t>
      </w:r>
    </w:p>
    <w:p w14:paraId="1ED3A363">
      <w:pPr>
        <w:ind w:firstLine="480"/>
        <w:rPr>
          <w:rFonts w:hint="eastAsia"/>
          <w:highlight w:val="none"/>
        </w:rPr>
      </w:pPr>
      <w:r>
        <w:rPr>
          <w:rFonts w:hint="eastAsia"/>
          <w:highlight w:val="none"/>
        </w:rPr>
        <w:t>外门窗防渗漏深化设计、门窗安装、塞缝、防水由专业承包人负责。总承包人自行承建工程与外门窗防渗漏专项工程有关的完成标准主要体现在以下方面：</w:t>
      </w:r>
    </w:p>
    <w:p w14:paraId="382FD2A6">
      <w:pPr>
        <w:pStyle w:val="5"/>
        <w:rPr>
          <w:rFonts w:hint="eastAsia"/>
          <w:highlight w:val="none"/>
        </w:rPr>
      </w:pPr>
      <w:r>
        <w:rPr>
          <w:highlight w:val="none"/>
        </w:rPr>
        <w:t>门窗安装弹线定位</w:t>
      </w:r>
    </w:p>
    <w:p w14:paraId="1DB1014D">
      <w:pPr>
        <w:ind w:firstLine="480"/>
        <w:rPr>
          <w:rFonts w:hint="eastAsia"/>
          <w:highlight w:val="none"/>
        </w:rPr>
      </w:pPr>
      <w:r>
        <w:rPr>
          <w:rFonts w:hint="eastAsia"/>
          <w:highlight w:val="none"/>
        </w:rPr>
        <w:t>在门窗框或副框安装前，总承包人应为门窗安装提供三线（水平线、垂直线和进出线）基准，由门窗安装单位逐个复测洞口尺寸及偏差，对需要进行处理的门窗洞口应做好记录和标识。</w:t>
      </w:r>
    </w:p>
    <w:p w14:paraId="2A8B9607">
      <w:pPr>
        <w:pStyle w:val="5"/>
        <w:rPr>
          <w:rFonts w:hint="eastAsia"/>
          <w:highlight w:val="none"/>
        </w:rPr>
      </w:pPr>
      <w:r>
        <w:rPr>
          <w:highlight w:val="none"/>
        </w:rPr>
        <w:t>门窗洞口偏差处理</w:t>
      </w:r>
    </w:p>
    <w:tbl>
      <w:tblPr>
        <w:tblStyle w:val="20"/>
        <w:tblW w:w="4999" w:type="pct"/>
        <w:jc w:val="right"/>
        <w:tblLayout w:type="autofit"/>
        <w:tblCellMar>
          <w:top w:w="0" w:type="dxa"/>
          <w:left w:w="108" w:type="dxa"/>
          <w:bottom w:w="0" w:type="dxa"/>
          <w:right w:w="108" w:type="dxa"/>
        </w:tblCellMar>
      </w:tblPr>
      <w:tblGrid>
        <w:gridCol w:w="3222"/>
        <w:gridCol w:w="6073"/>
      </w:tblGrid>
      <w:tr w14:paraId="29C39BE2">
        <w:tblPrEx>
          <w:tblCellMar>
            <w:top w:w="0" w:type="dxa"/>
            <w:left w:w="108" w:type="dxa"/>
            <w:bottom w:w="0" w:type="dxa"/>
            <w:right w:w="108" w:type="dxa"/>
          </w:tblCellMar>
        </w:tblPrEx>
        <w:trPr>
          <w:trHeight w:val="317" w:hRule="atLeast"/>
          <w:jc w:val="right"/>
        </w:trPr>
        <w:tc>
          <w:tcPr>
            <w:tcW w:w="1733" w:type="pct"/>
            <w:tcBorders>
              <w:top w:val="single" w:color="auto" w:sz="4" w:space="0"/>
              <w:left w:val="single" w:color="auto" w:sz="4" w:space="0"/>
              <w:bottom w:val="single" w:color="auto" w:sz="4" w:space="0"/>
              <w:right w:val="single" w:color="auto" w:sz="4" w:space="0"/>
            </w:tcBorders>
            <w:shd w:val="clear" w:color="auto" w:fill="auto"/>
            <w:vAlign w:val="center"/>
          </w:tcPr>
          <w:p w14:paraId="48076714">
            <w:pPr>
              <w:pStyle w:val="13"/>
              <w:rPr>
                <w:rFonts w:hint="eastAsia"/>
                <w:b/>
                <w:bCs/>
                <w:highlight w:val="none"/>
              </w:rPr>
            </w:pPr>
            <w:r>
              <w:rPr>
                <w:rFonts w:hint="eastAsia"/>
                <w:b/>
                <w:bCs/>
                <w:highlight w:val="none"/>
              </w:rPr>
              <w:t>门窗框（或副框）与洞口间缝隙偏差值δ（</w:t>
            </w:r>
            <w:r>
              <w:rPr>
                <w:b/>
                <w:bCs/>
                <w:highlight w:val="none"/>
              </w:rPr>
              <w:t>mm</w:t>
            </w:r>
            <w:r>
              <w:rPr>
                <w:rFonts w:hint="eastAsia"/>
                <w:b/>
                <w:bCs/>
                <w:highlight w:val="none"/>
              </w:rPr>
              <w:t>）</w:t>
            </w:r>
          </w:p>
        </w:tc>
        <w:tc>
          <w:tcPr>
            <w:tcW w:w="3266" w:type="pct"/>
            <w:tcBorders>
              <w:top w:val="single" w:color="auto" w:sz="4" w:space="0"/>
              <w:left w:val="nil"/>
              <w:bottom w:val="single" w:color="auto" w:sz="4" w:space="0"/>
              <w:right w:val="single" w:color="auto" w:sz="4" w:space="0"/>
            </w:tcBorders>
            <w:shd w:val="clear" w:color="auto" w:fill="auto"/>
            <w:vAlign w:val="center"/>
          </w:tcPr>
          <w:p w14:paraId="5F0A509E">
            <w:pPr>
              <w:pStyle w:val="13"/>
              <w:rPr>
                <w:rFonts w:hint="eastAsia"/>
                <w:b/>
                <w:bCs/>
                <w:highlight w:val="none"/>
              </w:rPr>
            </w:pPr>
            <w:r>
              <w:rPr>
                <w:rFonts w:hint="eastAsia"/>
                <w:b/>
                <w:bCs/>
                <w:highlight w:val="none"/>
              </w:rPr>
              <w:t>处理方式</w:t>
            </w:r>
          </w:p>
        </w:tc>
      </w:tr>
      <w:tr w14:paraId="44E9445D">
        <w:tblPrEx>
          <w:tblCellMar>
            <w:top w:w="0" w:type="dxa"/>
            <w:left w:w="108" w:type="dxa"/>
            <w:bottom w:w="0" w:type="dxa"/>
            <w:right w:w="108" w:type="dxa"/>
          </w:tblCellMar>
        </w:tblPrEx>
        <w:trPr>
          <w:trHeight w:val="708" w:hRule="atLeast"/>
          <w:jc w:val="right"/>
        </w:trPr>
        <w:tc>
          <w:tcPr>
            <w:tcW w:w="1733" w:type="pct"/>
            <w:tcBorders>
              <w:top w:val="nil"/>
              <w:left w:val="single" w:color="auto" w:sz="4" w:space="0"/>
              <w:bottom w:val="single" w:color="auto" w:sz="4" w:space="0"/>
              <w:right w:val="single" w:color="auto" w:sz="4" w:space="0"/>
            </w:tcBorders>
            <w:shd w:val="clear" w:color="auto" w:fill="auto"/>
            <w:vAlign w:val="center"/>
          </w:tcPr>
          <w:p w14:paraId="504008D0">
            <w:pPr>
              <w:pStyle w:val="13"/>
              <w:rPr>
                <w:rFonts w:hint="eastAsia"/>
                <w:highlight w:val="none"/>
              </w:rPr>
            </w:pPr>
            <w:r>
              <w:rPr>
                <w:rFonts w:hint="eastAsia"/>
                <w:highlight w:val="none"/>
              </w:rPr>
              <w:t>δ≥</w:t>
            </w:r>
            <w:r>
              <w:rPr>
                <w:highlight w:val="none"/>
              </w:rPr>
              <w:t>50</w:t>
            </w:r>
          </w:p>
        </w:tc>
        <w:tc>
          <w:tcPr>
            <w:tcW w:w="3266" w:type="pct"/>
            <w:tcBorders>
              <w:top w:val="nil"/>
              <w:left w:val="nil"/>
              <w:bottom w:val="single" w:color="auto" w:sz="4" w:space="0"/>
              <w:right w:val="single" w:color="auto" w:sz="4" w:space="0"/>
            </w:tcBorders>
            <w:shd w:val="clear" w:color="auto" w:fill="auto"/>
            <w:vAlign w:val="center"/>
          </w:tcPr>
          <w:p w14:paraId="439EF9FD">
            <w:pPr>
              <w:pStyle w:val="13"/>
              <w:rPr>
                <w:rFonts w:hint="eastAsia"/>
                <w:highlight w:val="none"/>
              </w:rPr>
            </w:pPr>
            <w:r>
              <w:rPr>
                <w:rFonts w:hint="eastAsia"/>
                <w:highlight w:val="none"/>
              </w:rPr>
              <w:t>配筋并浇筑</w:t>
            </w:r>
            <w:r>
              <w:rPr>
                <w:highlight w:val="none"/>
              </w:rPr>
              <w:t>C20</w:t>
            </w:r>
            <w:r>
              <w:rPr>
                <w:rFonts w:hint="eastAsia"/>
                <w:highlight w:val="none"/>
              </w:rPr>
              <w:t>细石混凝土，内配</w:t>
            </w:r>
            <w:r>
              <w:rPr>
                <w:highlight w:val="none"/>
              </w:rPr>
              <w:t>2</w:t>
            </w:r>
            <w:r>
              <w:rPr>
                <w:rFonts w:hint="eastAsia"/>
                <w:highlight w:val="none"/>
              </w:rPr>
              <w:t>φ</w:t>
            </w:r>
            <w:r>
              <w:rPr>
                <w:highlight w:val="none"/>
              </w:rPr>
              <w:t>10</w:t>
            </w:r>
            <w:r>
              <w:rPr>
                <w:rFonts w:hint="eastAsia"/>
                <w:highlight w:val="none"/>
              </w:rPr>
              <w:t>通长钢筋和φ</w:t>
            </w:r>
            <w:r>
              <w:rPr>
                <w:highlight w:val="none"/>
              </w:rPr>
              <w:t>6@250U</w:t>
            </w:r>
            <w:r>
              <w:rPr>
                <w:rFonts w:hint="eastAsia"/>
                <w:highlight w:val="none"/>
              </w:rPr>
              <w:t>型箍筋，与原有墙体可靠连接</w:t>
            </w:r>
          </w:p>
        </w:tc>
      </w:tr>
      <w:tr w14:paraId="2885E6C8">
        <w:tblPrEx>
          <w:tblCellMar>
            <w:top w:w="0" w:type="dxa"/>
            <w:left w:w="108" w:type="dxa"/>
            <w:bottom w:w="0" w:type="dxa"/>
            <w:right w:w="108" w:type="dxa"/>
          </w:tblCellMar>
        </w:tblPrEx>
        <w:trPr>
          <w:trHeight w:val="364" w:hRule="atLeast"/>
          <w:jc w:val="right"/>
        </w:trPr>
        <w:tc>
          <w:tcPr>
            <w:tcW w:w="1733" w:type="pct"/>
            <w:tcBorders>
              <w:top w:val="nil"/>
              <w:left w:val="single" w:color="auto" w:sz="4" w:space="0"/>
              <w:bottom w:val="single" w:color="auto" w:sz="4" w:space="0"/>
              <w:right w:val="single" w:color="auto" w:sz="4" w:space="0"/>
            </w:tcBorders>
            <w:shd w:val="clear" w:color="auto" w:fill="auto"/>
            <w:vAlign w:val="center"/>
          </w:tcPr>
          <w:p w14:paraId="43F07B60">
            <w:pPr>
              <w:pStyle w:val="13"/>
              <w:rPr>
                <w:rFonts w:hint="eastAsia"/>
                <w:highlight w:val="none"/>
              </w:rPr>
            </w:pPr>
            <w:r>
              <w:rPr>
                <w:highlight w:val="none"/>
              </w:rPr>
              <w:t>50</w:t>
            </w:r>
            <w:r>
              <w:rPr>
                <w:rFonts w:hint="eastAsia"/>
                <w:highlight w:val="none"/>
              </w:rPr>
              <w:t>≥δ＞</w:t>
            </w:r>
            <w:r>
              <w:rPr>
                <w:highlight w:val="none"/>
              </w:rPr>
              <w:t>25</w:t>
            </w:r>
          </w:p>
        </w:tc>
        <w:tc>
          <w:tcPr>
            <w:tcW w:w="3266" w:type="pct"/>
            <w:tcBorders>
              <w:top w:val="nil"/>
              <w:left w:val="nil"/>
              <w:bottom w:val="single" w:color="auto" w:sz="4" w:space="0"/>
              <w:right w:val="single" w:color="auto" w:sz="4" w:space="0"/>
            </w:tcBorders>
            <w:shd w:val="clear" w:color="auto" w:fill="auto"/>
            <w:vAlign w:val="center"/>
          </w:tcPr>
          <w:p w14:paraId="7BB9F8AC">
            <w:pPr>
              <w:pStyle w:val="13"/>
              <w:rPr>
                <w:rFonts w:hint="eastAsia"/>
                <w:highlight w:val="none"/>
              </w:rPr>
            </w:pPr>
            <w:r>
              <w:rPr>
                <w:rFonts w:hint="eastAsia"/>
                <w:highlight w:val="none"/>
              </w:rPr>
              <w:t>挂双层镀锌钢丝网，采用防水砂浆抹灰</w:t>
            </w:r>
          </w:p>
        </w:tc>
      </w:tr>
      <w:tr w14:paraId="544C54D3">
        <w:tblPrEx>
          <w:tblCellMar>
            <w:top w:w="0" w:type="dxa"/>
            <w:left w:w="108" w:type="dxa"/>
            <w:bottom w:w="0" w:type="dxa"/>
            <w:right w:w="108" w:type="dxa"/>
          </w:tblCellMar>
        </w:tblPrEx>
        <w:trPr>
          <w:trHeight w:val="364" w:hRule="atLeast"/>
          <w:jc w:val="right"/>
        </w:trPr>
        <w:tc>
          <w:tcPr>
            <w:tcW w:w="1733" w:type="pct"/>
            <w:tcBorders>
              <w:top w:val="nil"/>
              <w:left w:val="single" w:color="auto" w:sz="4" w:space="0"/>
              <w:bottom w:val="single" w:color="auto" w:sz="4" w:space="0"/>
              <w:right w:val="single" w:color="auto" w:sz="4" w:space="0"/>
            </w:tcBorders>
            <w:shd w:val="clear" w:color="auto" w:fill="auto"/>
            <w:vAlign w:val="center"/>
          </w:tcPr>
          <w:p w14:paraId="33F349B8">
            <w:pPr>
              <w:pStyle w:val="13"/>
              <w:rPr>
                <w:rFonts w:hint="eastAsia"/>
                <w:highlight w:val="none"/>
              </w:rPr>
            </w:pPr>
            <w:r>
              <w:rPr>
                <w:highlight w:val="none"/>
              </w:rPr>
              <w:t>25</w:t>
            </w:r>
            <w:r>
              <w:rPr>
                <w:rFonts w:hint="eastAsia"/>
                <w:highlight w:val="none"/>
              </w:rPr>
              <w:t>＞δ＞</w:t>
            </w:r>
            <w:r>
              <w:rPr>
                <w:highlight w:val="none"/>
              </w:rPr>
              <w:t>5</w:t>
            </w:r>
          </w:p>
        </w:tc>
        <w:tc>
          <w:tcPr>
            <w:tcW w:w="3266" w:type="pct"/>
            <w:tcBorders>
              <w:top w:val="nil"/>
              <w:left w:val="nil"/>
              <w:bottom w:val="single" w:color="auto" w:sz="4" w:space="0"/>
              <w:right w:val="single" w:color="auto" w:sz="4" w:space="0"/>
            </w:tcBorders>
            <w:shd w:val="clear" w:color="auto" w:fill="auto"/>
            <w:vAlign w:val="center"/>
          </w:tcPr>
          <w:p w14:paraId="175FE120">
            <w:pPr>
              <w:pStyle w:val="13"/>
              <w:rPr>
                <w:rFonts w:hint="eastAsia"/>
                <w:highlight w:val="none"/>
              </w:rPr>
            </w:pPr>
            <w:r>
              <w:rPr>
                <w:rFonts w:hint="eastAsia"/>
                <w:highlight w:val="none"/>
              </w:rPr>
              <w:t>挂单层镀锌钢丝网，采用防水砂浆抹灰</w:t>
            </w:r>
          </w:p>
        </w:tc>
      </w:tr>
      <w:tr w14:paraId="0C6C1B06">
        <w:tblPrEx>
          <w:tblCellMar>
            <w:top w:w="0" w:type="dxa"/>
            <w:left w:w="108" w:type="dxa"/>
            <w:bottom w:w="0" w:type="dxa"/>
            <w:right w:w="108" w:type="dxa"/>
          </w:tblCellMar>
        </w:tblPrEx>
        <w:trPr>
          <w:trHeight w:val="364" w:hRule="atLeast"/>
          <w:jc w:val="right"/>
        </w:trPr>
        <w:tc>
          <w:tcPr>
            <w:tcW w:w="1733" w:type="pct"/>
            <w:tcBorders>
              <w:top w:val="nil"/>
              <w:left w:val="single" w:color="auto" w:sz="4" w:space="0"/>
              <w:bottom w:val="single" w:color="auto" w:sz="4" w:space="0"/>
              <w:right w:val="single" w:color="auto" w:sz="4" w:space="0"/>
            </w:tcBorders>
            <w:shd w:val="clear" w:color="auto" w:fill="auto"/>
            <w:vAlign w:val="center"/>
          </w:tcPr>
          <w:p w14:paraId="0F5F1871">
            <w:pPr>
              <w:pStyle w:val="13"/>
              <w:rPr>
                <w:rFonts w:hint="eastAsia"/>
                <w:highlight w:val="none"/>
              </w:rPr>
            </w:pPr>
            <w:r>
              <w:rPr>
                <w:highlight w:val="none"/>
              </w:rPr>
              <w:t>5</w:t>
            </w:r>
            <w:r>
              <w:rPr>
                <w:rFonts w:hint="eastAsia"/>
                <w:highlight w:val="none"/>
              </w:rPr>
              <w:t>＞δ＞</w:t>
            </w:r>
            <w:r>
              <w:rPr>
                <w:highlight w:val="none"/>
              </w:rPr>
              <w:t>-5</w:t>
            </w:r>
          </w:p>
        </w:tc>
        <w:tc>
          <w:tcPr>
            <w:tcW w:w="3266" w:type="pct"/>
            <w:tcBorders>
              <w:top w:val="nil"/>
              <w:left w:val="nil"/>
              <w:bottom w:val="single" w:color="auto" w:sz="4" w:space="0"/>
              <w:right w:val="single" w:color="auto" w:sz="4" w:space="0"/>
            </w:tcBorders>
            <w:shd w:val="clear" w:color="auto" w:fill="auto"/>
            <w:vAlign w:val="center"/>
          </w:tcPr>
          <w:p w14:paraId="4E396F35">
            <w:pPr>
              <w:pStyle w:val="13"/>
              <w:rPr>
                <w:rFonts w:hint="eastAsia"/>
                <w:highlight w:val="none"/>
              </w:rPr>
            </w:pPr>
            <w:r>
              <w:rPr>
                <w:rFonts w:hint="eastAsia"/>
                <w:highlight w:val="none"/>
              </w:rPr>
              <w:t>不做处理，但应保证塞缝密实</w:t>
            </w:r>
          </w:p>
        </w:tc>
      </w:tr>
      <w:tr w14:paraId="725BB9C1">
        <w:tblPrEx>
          <w:tblCellMar>
            <w:top w:w="0" w:type="dxa"/>
            <w:left w:w="108" w:type="dxa"/>
            <w:bottom w:w="0" w:type="dxa"/>
            <w:right w:w="108" w:type="dxa"/>
          </w:tblCellMar>
        </w:tblPrEx>
        <w:trPr>
          <w:trHeight w:val="437" w:hRule="atLeast"/>
          <w:jc w:val="right"/>
        </w:trPr>
        <w:tc>
          <w:tcPr>
            <w:tcW w:w="1733" w:type="pct"/>
            <w:tcBorders>
              <w:top w:val="nil"/>
              <w:left w:val="single" w:color="auto" w:sz="4" w:space="0"/>
              <w:bottom w:val="single" w:color="auto" w:sz="4" w:space="0"/>
              <w:right w:val="single" w:color="auto" w:sz="4" w:space="0"/>
            </w:tcBorders>
            <w:shd w:val="clear" w:color="auto" w:fill="auto"/>
            <w:vAlign w:val="center"/>
          </w:tcPr>
          <w:p w14:paraId="2A5575B2">
            <w:pPr>
              <w:pStyle w:val="13"/>
              <w:rPr>
                <w:rFonts w:hint="eastAsia"/>
                <w:highlight w:val="none"/>
              </w:rPr>
            </w:pPr>
            <w:r>
              <w:rPr>
                <w:highlight w:val="none"/>
              </w:rPr>
              <w:t>-5</w:t>
            </w:r>
            <w:r>
              <w:rPr>
                <w:rFonts w:hint="eastAsia"/>
                <w:highlight w:val="none"/>
              </w:rPr>
              <w:t>＞δ≥</w:t>
            </w:r>
            <w:r>
              <w:rPr>
                <w:highlight w:val="none"/>
              </w:rPr>
              <w:t>-10</w:t>
            </w:r>
          </w:p>
        </w:tc>
        <w:tc>
          <w:tcPr>
            <w:tcW w:w="3266" w:type="pct"/>
            <w:tcBorders>
              <w:top w:val="nil"/>
              <w:left w:val="nil"/>
              <w:bottom w:val="single" w:color="auto" w:sz="4" w:space="0"/>
              <w:right w:val="single" w:color="auto" w:sz="4" w:space="0"/>
            </w:tcBorders>
            <w:shd w:val="clear" w:color="auto" w:fill="auto"/>
            <w:vAlign w:val="center"/>
          </w:tcPr>
          <w:p w14:paraId="2B90F034">
            <w:pPr>
              <w:pStyle w:val="13"/>
              <w:rPr>
                <w:rFonts w:hint="eastAsia"/>
                <w:highlight w:val="none"/>
              </w:rPr>
            </w:pPr>
            <w:r>
              <w:rPr>
                <w:rFonts w:hint="eastAsia"/>
                <w:highlight w:val="none"/>
              </w:rPr>
              <w:t>剔凿并用防水砂浆粉刷平整</w:t>
            </w:r>
          </w:p>
        </w:tc>
      </w:tr>
      <w:tr w14:paraId="470071FF">
        <w:tblPrEx>
          <w:tblCellMar>
            <w:top w:w="0" w:type="dxa"/>
            <w:left w:w="108" w:type="dxa"/>
            <w:bottom w:w="0" w:type="dxa"/>
            <w:right w:w="108" w:type="dxa"/>
          </w:tblCellMar>
        </w:tblPrEx>
        <w:trPr>
          <w:trHeight w:val="364" w:hRule="atLeast"/>
          <w:jc w:val="right"/>
        </w:trPr>
        <w:tc>
          <w:tcPr>
            <w:tcW w:w="1733" w:type="pct"/>
            <w:tcBorders>
              <w:top w:val="single" w:color="auto" w:sz="4" w:space="0"/>
              <w:left w:val="single" w:color="auto" w:sz="4" w:space="0"/>
              <w:bottom w:val="single" w:color="auto" w:sz="4" w:space="0"/>
              <w:right w:val="single" w:color="auto" w:sz="4" w:space="0"/>
            </w:tcBorders>
            <w:shd w:val="clear" w:color="auto" w:fill="auto"/>
            <w:vAlign w:val="center"/>
          </w:tcPr>
          <w:p w14:paraId="43F20A2A">
            <w:pPr>
              <w:pStyle w:val="13"/>
              <w:rPr>
                <w:rFonts w:hint="eastAsia"/>
                <w:highlight w:val="none"/>
              </w:rPr>
            </w:pPr>
            <w:r>
              <w:rPr>
                <w:highlight w:val="none"/>
              </w:rPr>
              <w:t>-10</w:t>
            </w:r>
            <w:r>
              <w:rPr>
                <w:rFonts w:hint="eastAsia"/>
                <w:highlight w:val="none"/>
              </w:rPr>
              <w:t>＞δ</w:t>
            </w:r>
          </w:p>
        </w:tc>
        <w:tc>
          <w:tcPr>
            <w:tcW w:w="3266" w:type="pct"/>
            <w:tcBorders>
              <w:top w:val="single" w:color="auto" w:sz="4" w:space="0"/>
              <w:left w:val="nil"/>
              <w:bottom w:val="single" w:color="auto" w:sz="4" w:space="0"/>
              <w:right w:val="single" w:color="auto" w:sz="4" w:space="0"/>
            </w:tcBorders>
            <w:shd w:val="clear" w:color="auto" w:fill="auto"/>
            <w:vAlign w:val="center"/>
          </w:tcPr>
          <w:p w14:paraId="377CBA36">
            <w:pPr>
              <w:pStyle w:val="13"/>
              <w:rPr>
                <w:rFonts w:hint="eastAsia"/>
                <w:highlight w:val="none"/>
              </w:rPr>
            </w:pPr>
            <w:r>
              <w:rPr>
                <w:rFonts w:hint="eastAsia"/>
                <w:highlight w:val="none"/>
              </w:rPr>
              <w:t>剔凿并用防水砂浆粉刷平整</w:t>
            </w:r>
          </w:p>
        </w:tc>
      </w:tr>
    </w:tbl>
    <w:p w14:paraId="77222F4E">
      <w:pPr>
        <w:pStyle w:val="5"/>
        <w:rPr>
          <w:rFonts w:hint="eastAsia"/>
          <w:highlight w:val="none"/>
        </w:rPr>
      </w:pPr>
      <w:r>
        <w:rPr>
          <w:rFonts w:hint="eastAsia"/>
          <w:highlight w:val="none"/>
        </w:rPr>
        <w:t>窗楣窗台</w:t>
      </w:r>
    </w:p>
    <w:p w14:paraId="757DC436">
      <w:pPr>
        <w:ind w:firstLine="480"/>
        <w:rPr>
          <w:rFonts w:hint="eastAsia"/>
          <w:highlight w:val="none"/>
        </w:rPr>
      </w:pPr>
      <w:r>
        <w:rPr>
          <w:rFonts w:hint="eastAsia"/>
          <w:highlight w:val="none"/>
        </w:rPr>
        <w:t>窗楣滴水线槽设置：窗楣应合理设置滴水线槽；当窗楣采用鹰嘴做法时，应注意控制鹰嘴坡度，避免出现倒泛水现象；当外饰面为面砖时，宜使用在工厂加工的成品砖做鹰嘴。</w:t>
      </w:r>
    </w:p>
    <w:p w14:paraId="74DD35A3">
      <w:pPr>
        <w:ind w:firstLine="480"/>
        <w:rPr>
          <w:rFonts w:hint="eastAsia"/>
          <w:highlight w:val="none"/>
        </w:rPr>
      </w:pPr>
      <w:r>
        <w:rPr>
          <w:rFonts w:hint="eastAsia"/>
          <w:highlight w:val="none"/>
        </w:rPr>
        <w:t>窗台坡度：窗台抹</w:t>
      </w:r>
      <w:r>
        <w:rPr>
          <w:highlight w:val="none"/>
        </w:rPr>
        <w:t>完灰</w:t>
      </w:r>
      <w:r>
        <w:rPr>
          <w:rFonts w:hint="eastAsia"/>
          <w:highlight w:val="none"/>
        </w:rPr>
        <w:t>坡度应不小于</w:t>
      </w:r>
      <w:r>
        <w:rPr>
          <w:highlight w:val="none"/>
        </w:rPr>
        <w:t>6</w:t>
      </w:r>
      <w:r>
        <w:rPr>
          <w:rFonts w:hint="eastAsia"/>
          <w:highlight w:val="none"/>
        </w:rPr>
        <w:t>%，以利于快速排水。</w:t>
      </w:r>
    </w:p>
    <w:p w14:paraId="655FAF50">
      <w:pPr>
        <w:ind w:firstLine="480"/>
        <w:rPr>
          <w:rFonts w:hint="eastAsia"/>
          <w:highlight w:val="none"/>
        </w:rPr>
      </w:pPr>
      <w:r>
        <w:rPr>
          <w:rFonts w:hint="eastAsia"/>
          <w:highlight w:val="none"/>
        </w:rPr>
        <w:t>现浇窗台压顶：若为砖砌体窗洞口，窗台应设计混凝土压顶，以确保窗台上的雨水不渗入下部墙体内。现浇混凝土压顶宽同墙厚，高度≥100mm，每边入墙内≥200mm（不足200mm通长设置）。</w:t>
      </w:r>
    </w:p>
    <w:p w14:paraId="22D58F11">
      <w:pPr>
        <w:ind w:firstLine="480"/>
        <w:rPr>
          <w:rFonts w:hint="eastAsia"/>
          <w:highlight w:val="none"/>
        </w:rPr>
      </w:pPr>
      <w:r>
        <w:rPr>
          <w:rFonts w:hint="eastAsia"/>
          <w:highlight w:val="none"/>
        </w:rPr>
        <w:t>窗边结构应设置外窗企口尺寸、固定片压槽尺寸及设置间距、窗上檐滴水线或鹰嘴、窗台排水坡度等构造，如为铝模项目应在铝模深化阶段考虑。</w:t>
      </w:r>
    </w:p>
    <w:p w14:paraId="75DE5471">
      <w:pPr>
        <w:pStyle w:val="4"/>
        <w:numPr>
          <w:ilvl w:val="2"/>
          <w:numId w:val="13"/>
        </w:numPr>
        <w:rPr>
          <w:rFonts w:hint="eastAsia"/>
          <w:highlight w:val="none"/>
        </w:rPr>
      </w:pPr>
      <w:r>
        <w:rPr>
          <w:rFonts w:hint="eastAsia"/>
          <w:highlight w:val="none"/>
        </w:rPr>
        <w:t>楼地面防渗漏</w:t>
      </w:r>
    </w:p>
    <w:p w14:paraId="6D5A6803">
      <w:pPr>
        <w:pStyle w:val="5"/>
        <w:rPr>
          <w:rFonts w:hint="eastAsia"/>
          <w:highlight w:val="none"/>
        </w:rPr>
      </w:pPr>
      <w:r>
        <w:rPr>
          <w:rFonts w:hint="eastAsia"/>
          <w:highlight w:val="none"/>
        </w:rPr>
        <w:t xml:space="preserve"> </w:t>
      </w:r>
      <w:r>
        <w:rPr>
          <w:highlight w:val="none"/>
        </w:rPr>
        <w:t>卫生间</w:t>
      </w:r>
      <w:r>
        <w:rPr>
          <w:rFonts w:hint="eastAsia"/>
          <w:highlight w:val="none"/>
        </w:rPr>
        <w:t>防渗漏要求</w:t>
      </w:r>
    </w:p>
    <w:p w14:paraId="405529C2">
      <w:pPr>
        <w:numPr>
          <w:ilvl w:val="1"/>
          <w:numId w:val="76"/>
        </w:numPr>
        <w:ind w:firstLine="480"/>
        <w:rPr>
          <w:rFonts w:hint="eastAsia"/>
          <w:highlight w:val="none"/>
        </w:rPr>
      </w:pPr>
      <w:r>
        <w:rPr>
          <w:rFonts w:hint="eastAsia"/>
          <w:highlight w:val="none"/>
        </w:rPr>
        <w:t>基层处理</w:t>
      </w:r>
      <w:r>
        <w:rPr>
          <w:highlight w:val="none"/>
        </w:rPr>
        <w:t>：</w:t>
      </w:r>
      <w:r>
        <w:rPr>
          <w:rFonts w:hint="eastAsia"/>
          <w:highlight w:val="none"/>
        </w:rPr>
        <w:t>总承包人负责完成管根</w:t>
      </w:r>
      <w:r>
        <w:rPr>
          <w:highlight w:val="none"/>
        </w:rPr>
        <w:t>周围预留</w:t>
      </w:r>
      <w:r>
        <w:rPr>
          <w:rFonts w:hint="eastAsia"/>
          <w:highlight w:val="none"/>
        </w:rPr>
        <w:t>20</w:t>
      </w:r>
      <w:r>
        <w:rPr>
          <w:highlight w:val="none"/>
        </w:rPr>
        <w:t>mm</w:t>
      </w:r>
      <w:r>
        <w:rPr>
          <w:rFonts w:hint="eastAsia"/>
          <w:highlight w:val="none"/>
        </w:rPr>
        <w:t>深凹</w:t>
      </w:r>
      <w:r>
        <w:rPr>
          <w:highlight w:val="none"/>
        </w:rPr>
        <w:t>槽</w:t>
      </w:r>
      <w:r>
        <w:rPr>
          <w:rFonts w:hint="eastAsia"/>
          <w:highlight w:val="none"/>
        </w:rPr>
        <w:t>、基层</w:t>
      </w:r>
      <w:r>
        <w:rPr>
          <w:highlight w:val="none"/>
        </w:rPr>
        <w:t>清</w:t>
      </w:r>
      <w:r>
        <w:rPr>
          <w:rFonts w:hint="eastAsia"/>
          <w:highlight w:val="none"/>
        </w:rPr>
        <w:t>理、缺陷修补、打磨平整，修补后基层应无空鼓、开裂情况发生（包括堵</w:t>
      </w:r>
      <w:r>
        <w:rPr>
          <w:highlight w:val="none"/>
        </w:rPr>
        <w:t>漏、注浆等</w:t>
      </w:r>
      <w:r>
        <w:rPr>
          <w:rFonts w:hint="eastAsia"/>
          <w:highlight w:val="none"/>
        </w:rPr>
        <w:t>）等</w:t>
      </w:r>
      <w:r>
        <w:rPr>
          <w:highlight w:val="none"/>
        </w:rPr>
        <w:t>工作</w:t>
      </w:r>
      <w:r>
        <w:rPr>
          <w:rFonts w:hint="eastAsia"/>
          <w:highlight w:val="none"/>
        </w:rPr>
        <w:t>，基层含水率应小于9%。</w:t>
      </w:r>
    </w:p>
    <w:p w14:paraId="1E2FDC42">
      <w:pPr>
        <w:numPr>
          <w:ilvl w:val="1"/>
          <w:numId w:val="76"/>
        </w:numPr>
        <w:ind w:firstLine="480"/>
        <w:rPr>
          <w:rFonts w:hint="eastAsia"/>
          <w:highlight w:val="none"/>
        </w:rPr>
      </w:pPr>
      <w:r>
        <w:rPr>
          <w:rFonts w:hint="eastAsia"/>
          <w:highlight w:val="none"/>
        </w:rPr>
        <w:t>防水施工</w:t>
      </w:r>
    </w:p>
    <w:p w14:paraId="2D218F38">
      <w:pPr>
        <w:numPr>
          <w:ilvl w:val="0"/>
          <w:numId w:val="77"/>
        </w:numPr>
        <w:ind w:firstLine="480"/>
        <w:rPr>
          <w:rFonts w:hint="eastAsia"/>
          <w:highlight w:val="none"/>
        </w:rPr>
      </w:pPr>
      <w:r>
        <w:rPr>
          <w:rFonts w:hint="eastAsia"/>
          <w:highlight w:val="none"/>
        </w:rPr>
        <w:t>阴角</w:t>
      </w:r>
      <w:r>
        <w:rPr>
          <w:highlight w:val="none"/>
        </w:rPr>
        <w:t>部位采用聚合物水泥砂</w:t>
      </w:r>
      <w:r>
        <w:rPr>
          <w:rFonts w:hint="eastAsia"/>
          <w:highlight w:val="none"/>
        </w:rPr>
        <w:t>浆</w:t>
      </w:r>
      <w:r>
        <w:rPr>
          <w:highlight w:val="none"/>
        </w:rPr>
        <w:t>抹成</w:t>
      </w:r>
      <w:r>
        <w:rPr>
          <w:rFonts w:hint="eastAsia"/>
          <w:highlight w:val="none"/>
        </w:rPr>
        <w:t>圆弧角</w:t>
      </w:r>
      <w:r>
        <w:rPr>
          <w:highlight w:val="none"/>
        </w:rPr>
        <w:t>。</w:t>
      </w:r>
    </w:p>
    <w:p w14:paraId="7B801681">
      <w:pPr>
        <w:numPr>
          <w:ilvl w:val="0"/>
          <w:numId w:val="77"/>
        </w:numPr>
        <w:ind w:firstLine="480"/>
        <w:rPr>
          <w:rFonts w:hint="eastAsia"/>
          <w:highlight w:val="none"/>
        </w:rPr>
      </w:pPr>
      <w:r>
        <w:rPr>
          <w:rFonts w:hint="eastAsia"/>
          <w:highlight w:val="none"/>
        </w:rPr>
        <w:t>管周、管井、地漏、烟风道、墙角处采用金汤水不漏刚性封堵，管道周边直径300mm范围内涂刷一道1.5厚单组份聚氨酯防水层，内加玻璃纤维布；阴角部位：涂刷1.5厚的单组份聚氨酯涂膜，两边长各150mm，内加玻璃纤维布。</w:t>
      </w:r>
    </w:p>
    <w:p w14:paraId="7BEC57C8">
      <w:pPr>
        <w:numPr>
          <w:ilvl w:val="0"/>
          <w:numId w:val="77"/>
        </w:numPr>
        <w:ind w:firstLine="480"/>
        <w:rPr>
          <w:rFonts w:hint="eastAsia"/>
          <w:highlight w:val="none"/>
        </w:rPr>
      </w:pPr>
      <w:r>
        <w:rPr>
          <w:rFonts w:hint="eastAsia"/>
          <w:highlight w:val="none"/>
        </w:rPr>
        <w:t>防水层应与基层粘结牢固、涂刷均匀，无流淌、皱折、鼓泡等缺陷。</w:t>
      </w:r>
    </w:p>
    <w:p w14:paraId="34F09CDA">
      <w:pPr>
        <w:numPr>
          <w:ilvl w:val="0"/>
          <w:numId w:val="77"/>
        </w:numPr>
        <w:ind w:firstLine="480"/>
        <w:rPr>
          <w:rFonts w:hint="eastAsia"/>
          <w:highlight w:val="none"/>
        </w:rPr>
      </w:pPr>
      <w:r>
        <w:rPr>
          <w:rFonts w:hint="eastAsia"/>
          <w:highlight w:val="none"/>
        </w:rPr>
        <w:t>防水层厚度、</w:t>
      </w:r>
      <w:r>
        <w:rPr>
          <w:highlight w:val="none"/>
        </w:rPr>
        <w:t>上返高度等</w:t>
      </w:r>
      <w:r>
        <w:rPr>
          <w:rFonts w:hint="eastAsia"/>
          <w:highlight w:val="none"/>
        </w:rPr>
        <w:t>应符合设计图纸要求。</w:t>
      </w:r>
    </w:p>
    <w:p w14:paraId="0DBE2127">
      <w:pPr>
        <w:numPr>
          <w:ilvl w:val="1"/>
          <w:numId w:val="76"/>
        </w:numPr>
        <w:ind w:firstLine="480"/>
        <w:rPr>
          <w:rFonts w:hint="eastAsia"/>
          <w:highlight w:val="none"/>
        </w:rPr>
      </w:pPr>
      <w:r>
        <w:rPr>
          <w:rFonts w:hint="eastAsia"/>
          <w:highlight w:val="none"/>
        </w:rPr>
        <w:t>穿楼板管洞封堵</w:t>
      </w:r>
    </w:p>
    <w:p w14:paraId="520A935C">
      <w:pPr>
        <w:numPr>
          <w:ilvl w:val="0"/>
          <w:numId w:val="78"/>
        </w:numPr>
        <w:ind w:firstLine="480"/>
        <w:rPr>
          <w:rFonts w:hint="eastAsia"/>
          <w:highlight w:val="none"/>
        </w:rPr>
      </w:pPr>
      <w:r>
        <w:rPr>
          <w:rFonts w:hint="eastAsia"/>
          <w:highlight w:val="none"/>
        </w:rPr>
        <w:t>浇筑混凝土前，洞口周边应凿毛，用清水冲洗干净并涂刷加胶水泥浆作粘结层，保证后浇混凝土密实。</w:t>
      </w:r>
    </w:p>
    <w:p w14:paraId="7AC4011E">
      <w:pPr>
        <w:numPr>
          <w:ilvl w:val="0"/>
          <w:numId w:val="78"/>
        </w:numPr>
        <w:ind w:firstLine="480"/>
        <w:rPr>
          <w:rFonts w:hint="eastAsia"/>
          <w:highlight w:val="none"/>
        </w:rPr>
      </w:pPr>
      <w:r>
        <w:rPr>
          <w:rFonts w:hint="eastAsia"/>
          <w:highlight w:val="none"/>
        </w:rPr>
        <w:t>模板及支撑系统应牢固，宜采用底部顶撑方式，不得穿铁丝。</w:t>
      </w:r>
    </w:p>
    <w:p w14:paraId="4C6BCDCA">
      <w:pPr>
        <w:numPr>
          <w:ilvl w:val="1"/>
          <w:numId w:val="76"/>
        </w:numPr>
        <w:ind w:firstLine="480"/>
        <w:rPr>
          <w:rFonts w:hint="eastAsia"/>
          <w:highlight w:val="none"/>
        </w:rPr>
      </w:pPr>
      <w:r>
        <w:rPr>
          <w:rFonts w:hint="eastAsia"/>
          <w:highlight w:val="none"/>
        </w:rPr>
        <w:t>合理安排施工工序：机电管道和设备安装完成后，再进行防水层施工，防止施工工序倒置而造成防水层的破坏。</w:t>
      </w:r>
    </w:p>
    <w:p w14:paraId="5EC29BD1">
      <w:pPr>
        <w:numPr>
          <w:ilvl w:val="1"/>
          <w:numId w:val="76"/>
        </w:numPr>
        <w:ind w:firstLine="480"/>
        <w:rPr>
          <w:rFonts w:hint="eastAsia"/>
          <w:highlight w:val="none"/>
        </w:rPr>
      </w:pPr>
      <w:r>
        <w:rPr>
          <w:rFonts w:hint="eastAsia"/>
          <w:highlight w:val="none"/>
        </w:rPr>
        <w:t>排水坡度：施工完成后，饰面层排水坡度和坡向应满足设计要求，不得有倒泛水和积水现象。管道及地漏安装完成后，应及时封闭端部以免后期施工造成堵塞。</w:t>
      </w:r>
    </w:p>
    <w:p w14:paraId="6AE08E2B">
      <w:pPr>
        <w:numPr>
          <w:ilvl w:val="1"/>
          <w:numId w:val="76"/>
        </w:numPr>
        <w:ind w:firstLine="480"/>
        <w:rPr>
          <w:rFonts w:hint="eastAsia"/>
          <w:highlight w:val="none"/>
        </w:rPr>
      </w:pPr>
      <w:r>
        <w:rPr>
          <w:rFonts w:hint="eastAsia"/>
          <w:highlight w:val="none"/>
        </w:rPr>
        <w:t>蓄水试验：所有卫生间均应进行蓄水试验。结构洞口封堵完成后应做一次蓄水试验，蓄水时间不小于6小时；防水完成后，防水单位应再做一次蓄水试验，蓄水时间不小于24小时。蓄水面应比楼板与导墙相接处高出20mm以上。</w:t>
      </w:r>
    </w:p>
    <w:p w14:paraId="43BB0161">
      <w:pPr>
        <w:pStyle w:val="5"/>
        <w:rPr>
          <w:rFonts w:hint="eastAsia"/>
          <w:highlight w:val="none"/>
        </w:rPr>
      </w:pPr>
      <w:bookmarkStart w:id="637" w:name="_Toc333252130"/>
      <w:r>
        <w:rPr>
          <w:rFonts w:hint="eastAsia"/>
          <w:highlight w:val="none"/>
        </w:rPr>
        <w:t xml:space="preserve"> </w:t>
      </w:r>
      <w:r>
        <w:rPr>
          <w:highlight w:val="none"/>
        </w:rPr>
        <w:t>厨房</w:t>
      </w:r>
      <w:bookmarkEnd w:id="637"/>
      <w:r>
        <w:rPr>
          <w:rFonts w:hint="eastAsia"/>
          <w:highlight w:val="none"/>
        </w:rPr>
        <w:t>防渗漏要求</w:t>
      </w:r>
    </w:p>
    <w:p w14:paraId="7830C685">
      <w:pPr>
        <w:numPr>
          <w:ilvl w:val="1"/>
          <w:numId w:val="79"/>
        </w:numPr>
        <w:ind w:firstLine="480"/>
        <w:rPr>
          <w:rFonts w:hint="eastAsia"/>
          <w:highlight w:val="none"/>
        </w:rPr>
      </w:pPr>
      <w:r>
        <w:rPr>
          <w:rFonts w:hint="eastAsia"/>
          <w:highlight w:val="none"/>
        </w:rPr>
        <w:t>导墙设置：厨房间周边应设置混凝土导墙，混凝土导墙上返高度不小于结构完成面300mm；</w:t>
      </w:r>
    </w:p>
    <w:p w14:paraId="023CC5D2">
      <w:pPr>
        <w:numPr>
          <w:ilvl w:val="1"/>
          <w:numId w:val="79"/>
        </w:numPr>
        <w:ind w:firstLine="480"/>
        <w:rPr>
          <w:rFonts w:hint="eastAsia"/>
          <w:highlight w:val="none"/>
        </w:rPr>
      </w:pPr>
      <w:r>
        <w:rPr>
          <w:rFonts w:hint="eastAsia"/>
          <w:highlight w:val="none"/>
        </w:rPr>
        <w:t>烟道：反坎设置应符合设计图纸要求。</w:t>
      </w:r>
    </w:p>
    <w:p w14:paraId="707DB32C">
      <w:pPr>
        <w:pStyle w:val="5"/>
        <w:rPr>
          <w:rFonts w:hint="eastAsia"/>
          <w:highlight w:val="none"/>
        </w:rPr>
      </w:pPr>
      <w:bookmarkStart w:id="638" w:name="_Toc333252131"/>
      <w:r>
        <w:rPr>
          <w:rFonts w:hint="eastAsia"/>
          <w:highlight w:val="none"/>
        </w:rPr>
        <w:t xml:space="preserve"> </w:t>
      </w:r>
      <w:r>
        <w:rPr>
          <w:highlight w:val="none"/>
        </w:rPr>
        <w:t>阳台及空中花园</w:t>
      </w:r>
      <w:bookmarkEnd w:id="638"/>
      <w:r>
        <w:rPr>
          <w:rFonts w:hint="eastAsia"/>
          <w:highlight w:val="none"/>
        </w:rPr>
        <w:t>防渗漏深化设计</w:t>
      </w:r>
    </w:p>
    <w:p w14:paraId="214F8D6F">
      <w:pPr>
        <w:numPr>
          <w:ilvl w:val="1"/>
          <w:numId w:val="80"/>
        </w:numPr>
        <w:ind w:firstLine="480"/>
        <w:rPr>
          <w:rFonts w:hint="eastAsia"/>
          <w:highlight w:val="none"/>
        </w:rPr>
      </w:pPr>
      <w:r>
        <w:rPr>
          <w:rFonts w:hint="eastAsia"/>
          <w:highlight w:val="none"/>
        </w:rPr>
        <w:t>结构降板：阳台及空中花园应设置结构降板，结构降板高度应充分考虑</w:t>
      </w:r>
      <w:r>
        <w:rPr>
          <w:highlight w:val="none"/>
        </w:rPr>
        <w:t>阳台</w:t>
      </w:r>
      <w:r>
        <w:rPr>
          <w:rFonts w:hint="eastAsia"/>
          <w:highlight w:val="none"/>
        </w:rPr>
        <w:t>面积</w:t>
      </w:r>
      <w:r>
        <w:rPr>
          <w:highlight w:val="none"/>
        </w:rPr>
        <w:t>大小</w:t>
      </w:r>
      <w:r>
        <w:rPr>
          <w:rFonts w:hint="eastAsia"/>
          <w:highlight w:val="none"/>
        </w:rPr>
        <w:t>、装修面层厚度、</w:t>
      </w:r>
      <w:r>
        <w:rPr>
          <w:highlight w:val="none"/>
        </w:rPr>
        <w:t>阳台朝向等因素</w:t>
      </w:r>
      <w:r>
        <w:rPr>
          <w:rFonts w:hint="eastAsia"/>
          <w:highlight w:val="none"/>
        </w:rPr>
        <w:t>。</w:t>
      </w:r>
    </w:p>
    <w:p w14:paraId="03F19BD7">
      <w:pPr>
        <w:numPr>
          <w:ilvl w:val="1"/>
          <w:numId w:val="80"/>
        </w:numPr>
        <w:ind w:firstLine="480"/>
        <w:rPr>
          <w:rFonts w:hint="eastAsia"/>
          <w:highlight w:val="none"/>
        </w:rPr>
      </w:pPr>
      <w:r>
        <w:rPr>
          <w:rFonts w:hint="eastAsia"/>
          <w:highlight w:val="none"/>
        </w:rPr>
        <w:t>结构梁预留缺口：有水管、线管从地面出阳台时，应考虑在门口处结构梁上预留缺口，避免管线安装时打凿破坏防水层。</w:t>
      </w:r>
    </w:p>
    <w:p w14:paraId="66F449A4">
      <w:pPr>
        <w:numPr>
          <w:ilvl w:val="1"/>
          <w:numId w:val="80"/>
        </w:numPr>
        <w:ind w:firstLine="480"/>
        <w:rPr>
          <w:rFonts w:hint="eastAsia"/>
          <w:highlight w:val="none"/>
        </w:rPr>
      </w:pPr>
      <w:r>
        <w:rPr>
          <w:rFonts w:hint="eastAsia"/>
          <w:highlight w:val="none"/>
        </w:rPr>
        <w:t>混凝土导墙设置：与阳台相连的砌筑外墙下部应设置混凝土导墙，导墙高度不小于室内结构</w:t>
      </w:r>
      <w:r>
        <w:rPr>
          <w:highlight w:val="none"/>
        </w:rPr>
        <w:t>面</w:t>
      </w:r>
      <w:r>
        <w:rPr>
          <w:rFonts w:hint="eastAsia"/>
          <w:highlight w:val="none"/>
        </w:rPr>
        <w:t>300mm。</w:t>
      </w:r>
    </w:p>
    <w:p w14:paraId="44B9FDCE">
      <w:pPr>
        <w:numPr>
          <w:ilvl w:val="1"/>
          <w:numId w:val="80"/>
        </w:numPr>
        <w:ind w:firstLine="480"/>
        <w:rPr>
          <w:rFonts w:hint="eastAsia"/>
          <w:highlight w:val="none"/>
        </w:rPr>
      </w:pPr>
      <w:r>
        <w:rPr>
          <w:rFonts w:hint="eastAsia"/>
          <w:highlight w:val="none"/>
        </w:rPr>
        <w:t>阳台挡坎：阳台栏杆（板）下部应设置高度不小于1</w:t>
      </w:r>
      <w:r>
        <w:rPr>
          <w:highlight w:val="none"/>
        </w:rPr>
        <w:t>5</w:t>
      </w:r>
      <w:r>
        <w:rPr>
          <w:rFonts w:hint="eastAsia"/>
          <w:highlight w:val="none"/>
        </w:rPr>
        <w:t>0mm（阳台结构</w:t>
      </w:r>
      <w:r>
        <w:rPr>
          <w:highlight w:val="none"/>
        </w:rPr>
        <w:t>面以上</w:t>
      </w:r>
      <w:r>
        <w:rPr>
          <w:rFonts w:hint="eastAsia"/>
          <w:highlight w:val="none"/>
        </w:rPr>
        <w:t>）的混凝土挡坎，而不应采用砌体后砌。</w:t>
      </w:r>
    </w:p>
    <w:p w14:paraId="2E4AB0E3">
      <w:pPr>
        <w:numPr>
          <w:ilvl w:val="1"/>
          <w:numId w:val="80"/>
        </w:numPr>
        <w:ind w:firstLine="480"/>
        <w:rPr>
          <w:rFonts w:hint="eastAsia"/>
          <w:highlight w:val="none"/>
        </w:rPr>
      </w:pPr>
      <w:r>
        <w:rPr>
          <w:rFonts w:hint="eastAsia"/>
          <w:highlight w:val="none"/>
        </w:rPr>
        <w:t>防水层设计：阳台及空中花园楼板面宜设计防水层。若阳台、空中花园不做整体防水层且为砌筑外墙，应在阳台、空中花园与外墙交接部位设置防水层，水平方向300mm宽，上返300mm高。</w:t>
      </w:r>
    </w:p>
    <w:p w14:paraId="0270C145">
      <w:pPr>
        <w:numPr>
          <w:ilvl w:val="1"/>
          <w:numId w:val="80"/>
        </w:numPr>
        <w:ind w:firstLine="480"/>
        <w:rPr>
          <w:rFonts w:hint="eastAsia"/>
          <w:highlight w:val="none"/>
        </w:rPr>
      </w:pPr>
      <w:r>
        <w:rPr>
          <w:rFonts w:hint="eastAsia"/>
          <w:highlight w:val="none"/>
        </w:rPr>
        <w:t>找坡设计：阳台、空中花园地面应进行双向找坡设计，坡向地漏或排水口，坡度不小于</w:t>
      </w:r>
      <w:r>
        <w:rPr>
          <w:highlight w:val="none"/>
        </w:rPr>
        <w:t>1</w:t>
      </w:r>
      <w:r>
        <w:rPr>
          <w:rFonts w:hint="eastAsia"/>
          <w:highlight w:val="none"/>
        </w:rPr>
        <w:t>%。</w:t>
      </w:r>
    </w:p>
    <w:p w14:paraId="3AB32E83">
      <w:pPr>
        <w:numPr>
          <w:ilvl w:val="1"/>
          <w:numId w:val="80"/>
        </w:numPr>
        <w:ind w:firstLine="480"/>
        <w:rPr>
          <w:rFonts w:hint="eastAsia"/>
          <w:highlight w:val="none"/>
        </w:rPr>
      </w:pPr>
      <w:r>
        <w:rPr>
          <w:rFonts w:hint="eastAsia"/>
          <w:highlight w:val="none"/>
        </w:rPr>
        <w:t>地漏设置：阳台地漏应设置在远离室内的一侧，且地漏尽量设置为外露，便于清理。地漏弯头如包在吊顶或幕墙内时，应预留检修口。</w:t>
      </w:r>
    </w:p>
    <w:p w14:paraId="070C2526">
      <w:pPr>
        <w:numPr>
          <w:ilvl w:val="1"/>
          <w:numId w:val="80"/>
        </w:numPr>
        <w:ind w:firstLine="480"/>
        <w:rPr>
          <w:rFonts w:hint="eastAsia"/>
          <w:highlight w:val="none"/>
        </w:rPr>
      </w:pPr>
      <w:r>
        <w:rPr>
          <w:rFonts w:hint="eastAsia"/>
          <w:highlight w:val="none"/>
        </w:rPr>
        <w:t>门框下口：阳台和空中花园的外门框下口无结构挡水坎设计时，门框下口应考虑采用干硬性防水砂浆塞缝，慎用防水铝片、防水胶皮等与混凝土结构贴合度不好的防水设计方案。</w:t>
      </w:r>
    </w:p>
    <w:p w14:paraId="77F9C6D8">
      <w:pPr>
        <w:pStyle w:val="5"/>
        <w:rPr>
          <w:rFonts w:hint="eastAsia"/>
          <w:highlight w:val="none"/>
        </w:rPr>
      </w:pPr>
      <w:r>
        <w:rPr>
          <w:rFonts w:hint="eastAsia"/>
          <w:highlight w:val="none"/>
        </w:rPr>
        <w:t xml:space="preserve"> </w:t>
      </w:r>
      <w:r>
        <w:rPr>
          <w:highlight w:val="none"/>
        </w:rPr>
        <w:t>阳台及空中花园</w:t>
      </w:r>
      <w:r>
        <w:rPr>
          <w:rFonts w:hint="eastAsia"/>
          <w:highlight w:val="none"/>
        </w:rPr>
        <w:t>防渗漏要求</w:t>
      </w:r>
    </w:p>
    <w:p w14:paraId="444E3478">
      <w:pPr>
        <w:numPr>
          <w:ilvl w:val="1"/>
          <w:numId w:val="81"/>
        </w:numPr>
        <w:ind w:firstLine="480"/>
        <w:rPr>
          <w:rFonts w:hint="eastAsia"/>
          <w:highlight w:val="none"/>
        </w:rPr>
      </w:pPr>
      <w:r>
        <w:rPr>
          <w:rFonts w:hint="eastAsia"/>
          <w:highlight w:val="none"/>
        </w:rPr>
        <w:t>阳台门塞缝：门框四周</w:t>
      </w:r>
      <w:r>
        <w:rPr>
          <w:highlight w:val="none"/>
        </w:rPr>
        <w:t>应</w:t>
      </w:r>
      <w:r>
        <w:rPr>
          <w:rFonts w:hint="eastAsia"/>
          <w:highlight w:val="none"/>
        </w:rPr>
        <w:t>用干硬</w:t>
      </w:r>
      <w:r>
        <w:rPr>
          <w:highlight w:val="none"/>
        </w:rPr>
        <w:t>性防水</w:t>
      </w:r>
      <w:r>
        <w:rPr>
          <w:rFonts w:hint="eastAsia"/>
          <w:highlight w:val="none"/>
        </w:rPr>
        <w:t>砂</w:t>
      </w:r>
      <w:r>
        <w:rPr>
          <w:highlight w:val="none"/>
        </w:rPr>
        <w:t>浆</w:t>
      </w:r>
      <w:r>
        <w:rPr>
          <w:rFonts w:hint="eastAsia"/>
          <w:highlight w:val="none"/>
        </w:rPr>
        <w:t>塞缝，再施工室内找平层。</w:t>
      </w:r>
    </w:p>
    <w:p w14:paraId="073FBDEF">
      <w:pPr>
        <w:numPr>
          <w:ilvl w:val="1"/>
          <w:numId w:val="81"/>
        </w:numPr>
        <w:ind w:firstLine="480"/>
        <w:rPr>
          <w:rFonts w:hint="eastAsia"/>
          <w:highlight w:val="none"/>
        </w:rPr>
      </w:pPr>
      <w:r>
        <w:rPr>
          <w:rFonts w:hint="eastAsia"/>
          <w:highlight w:val="none"/>
        </w:rPr>
        <w:t>蓄水试验：所有的阳台、空中花园均应在结构洞口封堵完成后做一次蓄水试验，蓄水时间不小于6小时。防水层施工完成后防水单位再做一次蓄水试验，蓄水时间不小于24小时。</w:t>
      </w:r>
    </w:p>
    <w:p w14:paraId="3366213D">
      <w:pPr>
        <w:pStyle w:val="4"/>
        <w:numPr>
          <w:ilvl w:val="2"/>
          <w:numId w:val="13"/>
        </w:numPr>
        <w:rPr>
          <w:rFonts w:hint="eastAsia"/>
          <w:highlight w:val="none"/>
        </w:rPr>
      </w:pPr>
      <w:r>
        <w:rPr>
          <w:rFonts w:hint="eastAsia"/>
          <w:highlight w:val="none"/>
        </w:rPr>
        <w:t>屋面防渗漏</w:t>
      </w:r>
    </w:p>
    <w:p w14:paraId="7015E977">
      <w:pPr>
        <w:pStyle w:val="5"/>
        <w:numPr>
          <w:ilvl w:val="3"/>
          <w:numId w:val="13"/>
        </w:numPr>
        <w:rPr>
          <w:rFonts w:hint="eastAsia"/>
          <w:highlight w:val="none"/>
        </w:rPr>
      </w:pPr>
      <w:r>
        <w:rPr>
          <w:rFonts w:hint="eastAsia"/>
          <w:highlight w:val="none"/>
        </w:rPr>
        <w:t xml:space="preserve"> 屋面防水总体原则</w:t>
      </w:r>
    </w:p>
    <w:p w14:paraId="13AA5EF0">
      <w:pPr>
        <w:ind w:firstLine="480"/>
        <w:rPr>
          <w:rFonts w:hint="eastAsia"/>
          <w:highlight w:val="none"/>
        </w:rPr>
      </w:pPr>
      <w:r>
        <w:rPr>
          <w:rFonts w:hint="eastAsia"/>
          <w:highlight w:val="none"/>
        </w:rPr>
        <w:t>屋面防水宜防排结合，坡屋面排重于防，平屋面防重于排。</w:t>
      </w:r>
    </w:p>
    <w:p w14:paraId="0A08D576">
      <w:pPr>
        <w:pStyle w:val="5"/>
        <w:numPr>
          <w:ilvl w:val="3"/>
          <w:numId w:val="13"/>
        </w:numPr>
        <w:rPr>
          <w:rFonts w:hint="eastAsia"/>
          <w:highlight w:val="none"/>
        </w:rPr>
      </w:pPr>
      <w:r>
        <w:rPr>
          <w:rFonts w:hint="eastAsia"/>
          <w:highlight w:val="none"/>
        </w:rPr>
        <w:t xml:space="preserve"> 设计要求</w:t>
      </w:r>
    </w:p>
    <w:p w14:paraId="0FF1D328">
      <w:pPr>
        <w:numPr>
          <w:ilvl w:val="1"/>
          <w:numId w:val="82"/>
        </w:numPr>
        <w:spacing w:before="120" w:beforeLines="50" w:after="120" w:afterLines="50"/>
        <w:ind w:left="425" w:leftChars="177" w:firstLine="480"/>
        <w:rPr>
          <w:rFonts w:hint="eastAsia"/>
          <w:bCs/>
          <w:highlight w:val="none"/>
        </w:rPr>
      </w:pPr>
      <w:r>
        <w:rPr>
          <w:rFonts w:hint="eastAsia"/>
          <w:bCs/>
          <w:highlight w:val="none"/>
        </w:rPr>
        <w:t>混凝土导墙：所有出屋面竖向结构（女儿墙、烟道、机房、梯间、风口等）位置砌筑墙体下须设置不低于建筑完成面（找坡后）300mm的混凝土导墙，且与平面结构（天窗、雨棚）交接处均应加混凝土泛水以便于防水卷材施工。</w:t>
      </w:r>
    </w:p>
    <w:p w14:paraId="4B3E5D5A">
      <w:pPr>
        <w:numPr>
          <w:ilvl w:val="1"/>
          <w:numId w:val="82"/>
        </w:numPr>
        <w:spacing w:before="120" w:beforeLines="50" w:after="120" w:afterLines="50"/>
        <w:ind w:left="425" w:leftChars="177" w:firstLine="480"/>
        <w:rPr>
          <w:rFonts w:hint="eastAsia"/>
          <w:bCs/>
          <w:highlight w:val="none"/>
        </w:rPr>
      </w:pPr>
      <w:r>
        <w:rPr>
          <w:rFonts w:hint="eastAsia"/>
          <w:bCs/>
          <w:highlight w:val="none"/>
        </w:rPr>
        <w:t>平屋面找坡：采用建筑找坡时，不宜采用珍珠岩或陶粒混凝土。找坡层应保证坡向正确，坡度及最薄处厚度满足</w:t>
      </w:r>
      <w:r>
        <w:rPr>
          <w:bCs/>
          <w:highlight w:val="none"/>
        </w:rPr>
        <w:t>设计要</w:t>
      </w:r>
      <w:r>
        <w:rPr>
          <w:rFonts w:hint="eastAsia"/>
          <w:bCs/>
          <w:highlight w:val="none"/>
        </w:rPr>
        <w:t>求。</w:t>
      </w:r>
    </w:p>
    <w:p w14:paraId="32902BE6">
      <w:pPr>
        <w:numPr>
          <w:ilvl w:val="1"/>
          <w:numId w:val="82"/>
        </w:numPr>
        <w:spacing w:before="120" w:beforeLines="50" w:after="120" w:afterLines="50"/>
        <w:ind w:left="425" w:leftChars="177" w:firstLine="480"/>
        <w:rPr>
          <w:rFonts w:hint="eastAsia"/>
          <w:bCs/>
          <w:highlight w:val="none"/>
        </w:rPr>
      </w:pPr>
      <w:r>
        <w:rPr>
          <w:rFonts w:hint="eastAsia"/>
          <w:bCs/>
          <w:highlight w:val="none"/>
        </w:rPr>
        <w:t>防水层：女儿墙周边防水卷材上返高度应保证设计要求。</w:t>
      </w:r>
    </w:p>
    <w:p w14:paraId="5FF0E71A">
      <w:pPr>
        <w:numPr>
          <w:ilvl w:val="1"/>
          <w:numId w:val="82"/>
        </w:numPr>
        <w:spacing w:before="120" w:beforeLines="50" w:after="120" w:afterLines="50"/>
        <w:ind w:left="425" w:leftChars="177" w:firstLine="480"/>
        <w:rPr>
          <w:rFonts w:hint="eastAsia"/>
          <w:bCs/>
          <w:highlight w:val="none"/>
        </w:rPr>
      </w:pPr>
      <w:r>
        <w:rPr>
          <w:rFonts w:hint="eastAsia"/>
          <w:bCs/>
          <w:highlight w:val="none"/>
        </w:rPr>
        <w:t>屋面建筑排水：合理确定排水坡度及排水方向，避免局部积水；应绘制屋面有组织排水深化设计图。</w:t>
      </w:r>
    </w:p>
    <w:p w14:paraId="37DEB467">
      <w:pPr>
        <w:pStyle w:val="5"/>
        <w:numPr>
          <w:ilvl w:val="3"/>
          <w:numId w:val="13"/>
        </w:numPr>
        <w:rPr>
          <w:rFonts w:hint="eastAsia"/>
          <w:highlight w:val="none"/>
        </w:rPr>
      </w:pPr>
      <w:r>
        <w:rPr>
          <w:rFonts w:hint="eastAsia"/>
          <w:highlight w:val="none"/>
        </w:rPr>
        <w:t xml:space="preserve"> 屋面防渗漏施工要求</w:t>
      </w:r>
    </w:p>
    <w:p w14:paraId="75BB92BB">
      <w:pPr>
        <w:numPr>
          <w:ilvl w:val="1"/>
          <w:numId w:val="83"/>
        </w:numPr>
        <w:spacing w:before="120" w:beforeLines="50" w:after="120" w:afterLines="50"/>
        <w:ind w:left="425" w:leftChars="177" w:firstLine="480"/>
        <w:rPr>
          <w:rFonts w:hint="eastAsia"/>
          <w:highlight w:val="none"/>
        </w:rPr>
      </w:pPr>
      <w:r>
        <w:rPr>
          <w:rFonts w:hint="eastAsia"/>
          <w:highlight w:val="none"/>
        </w:rPr>
        <w:t>混凝土结构</w:t>
      </w:r>
    </w:p>
    <w:p w14:paraId="37F8FC6E">
      <w:pPr>
        <w:numPr>
          <w:ilvl w:val="0"/>
          <w:numId w:val="84"/>
        </w:numPr>
        <w:ind w:firstLine="480"/>
        <w:rPr>
          <w:rFonts w:hint="eastAsia"/>
          <w:highlight w:val="none"/>
        </w:rPr>
      </w:pPr>
      <w:r>
        <w:rPr>
          <w:rFonts w:hint="eastAsia"/>
          <w:highlight w:val="none"/>
        </w:rPr>
        <w:t>屋面混凝土结构应浇捣密实、压实收光，以保证结构自防水效果。</w:t>
      </w:r>
    </w:p>
    <w:p w14:paraId="65F8E266">
      <w:pPr>
        <w:numPr>
          <w:ilvl w:val="0"/>
          <w:numId w:val="84"/>
        </w:numPr>
        <w:ind w:firstLine="480"/>
        <w:rPr>
          <w:rFonts w:hint="eastAsia"/>
          <w:highlight w:val="none"/>
        </w:rPr>
      </w:pPr>
      <w:r>
        <w:rPr>
          <w:rFonts w:hint="eastAsia"/>
          <w:highlight w:val="none"/>
        </w:rPr>
        <w:t>混凝土导墙及混凝土结构女儿墙宜与屋面结构板一次性浇筑完成。</w:t>
      </w:r>
    </w:p>
    <w:p w14:paraId="1812461D">
      <w:pPr>
        <w:numPr>
          <w:ilvl w:val="0"/>
          <w:numId w:val="84"/>
        </w:numPr>
        <w:ind w:firstLine="480"/>
        <w:rPr>
          <w:rFonts w:hint="eastAsia"/>
          <w:highlight w:val="none"/>
        </w:rPr>
      </w:pPr>
      <w:r>
        <w:rPr>
          <w:rFonts w:hint="eastAsia"/>
          <w:highlight w:val="none"/>
        </w:rPr>
        <w:t>控制好混凝土结构找坡的坡向和坡度，保证最小找坡坡度不低于设计限值。</w:t>
      </w:r>
    </w:p>
    <w:p w14:paraId="10187EF6">
      <w:pPr>
        <w:numPr>
          <w:ilvl w:val="1"/>
          <w:numId w:val="83"/>
        </w:numPr>
        <w:spacing w:before="120" w:beforeLines="50" w:after="120" w:afterLines="50"/>
        <w:ind w:left="425" w:leftChars="177" w:firstLine="480"/>
        <w:rPr>
          <w:rFonts w:hint="eastAsia"/>
          <w:highlight w:val="none"/>
        </w:rPr>
      </w:pPr>
      <w:r>
        <w:rPr>
          <w:rFonts w:hint="eastAsia"/>
          <w:highlight w:val="none"/>
        </w:rPr>
        <w:t>基层处理</w:t>
      </w:r>
    </w:p>
    <w:p w14:paraId="16CB4E3B">
      <w:pPr>
        <w:numPr>
          <w:ilvl w:val="1"/>
          <w:numId w:val="83"/>
        </w:numPr>
        <w:spacing w:before="120" w:beforeLines="50" w:after="120" w:afterLines="50"/>
        <w:ind w:left="425" w:leftChars="177" w:firstLine="480"/>
        <w:rPr>
          <w:rFonts w:hint="eastAsia"/>
          <w:highlight w:val="none"/>
        </w:rPr>
      </w:pPr>
      <w:r>
        <w:rPr>
          <w:rFonts w:hint="eastAsia"/>
          <w:highlight w:val="none"/>
        </w:rPr>
        <w:t>在防水层施工前，对基层需进行处理，保证基层平整、无坑洼、无突出物。</w:t>
      </w:r>
    </w:p>
    <w:p w14:paraId="1084DD04">
      <w:pPr>
        <w:numPr>
          <w:ilvl w:val="1"/>
          <w:numId w:val="83"/>
        </w:numPr>
        <w:spacing w:before="120" w:beforeLines="50" w:after="120" w:afterLines="50"/>
        <w:ind w:left="425" w:leftChars="177" w:firstLine="480"/>
        <w:rPr>
          <w:rFonts w:hint="eastAsia"/>
          <w:highlight w:val="none"/>
        </w:rPr>
      </w:pPr>
      <w:r>
        <w:rPr>
          <w:rFonts w:hint="eastAsia"/>
          <w:highlight w:val="none"/>
        </w:rPr>
        <w:t>在管道根部、与平面交接的阴阳角部位应做成均匀一致、光滑平整的圆角，圆弧半径不小于50mm，并应在阴角部位设置防水附加层。</w:t>
      </w:r>
    </w:p>
    <w:p w14:paraId="541FA30A">
      <w:pPr>
        <w:numPr>
          <w:ilvl w:val="1"/>
          <w:numId w:val="83"/>
        </w:numPr>
        <w:spacing w:before="120" w:beforeLines="50" w:after="120" w:afterLines="50"/>
        <w:ind w:left="425" w:leftChars="177" w:firstLine="480"/>
        <w:rPr>
          <w:rFonts w:hint="eastAsia"/>
          <w:highlight w:val="none"/>
        </w:rPr>
      </w:pPr>
      <w:r>
        <w:rPr>
          <w:rFonts w:hint="eastAsia"/>
          <w:highlight w:val="none"/>
        </w:rPr>
        <w:t>防水施工</w:t>
      </w:r>
    </w:p>
    <w:p w14:paraId="5CBEA680">
      <w:pPr>
        <w:numPr>
          <w:ilvl w:val="0"/>
          <w:numId w:val="85"/>
        </w:numPr>
        <w:ind w:firstLine="480"/>
        <w:rPr>
          <w:rFonts w:hint="eastAsia"/>
          <w:highlight w:val="none"/>
        </w:rPr>
      </w:pPr>
      <w:r>
        <w:rPr>
          <w:rFonts w:hint="eastAsia"/>
          <w:highlight w:val="none"/>
        </w:rPr>
        <w:t>屋面防水尽量整体施工，对搭设有外架的屋面尽量在外架拆除后进行防水施工，或将外架进行改造以保证防水施工的一体化。</w:t>
      </w:r>
    </w:p>
    <w:p w14:paraId="19065D9C">
      <w:pPr>
        <w:numPr>
          <w:ilvl w:val="0"/>
          <w:numId w:val="85"/>
        </w:numPr>
        <w:ind w:firstLine="480"/>
        <w:rPr>
          <w:rFonts w:hint="eastAsia"/>
          <w:highlight w:val="none"/>
        </w:rPr>
      </w:pPr>
      <w:r>
        <w:rPr>
          <w:rFonts w:hint="eastAsia"/>
          <w:highlight w:val="none"/>
        </w:rPr>
        <w:t>应注重对防水层的成品保护。防水层验收合格后，应设专人负责成品保护工作。</w:t>
      </w:r>
    </w:p>
    <w:p w14:paraId="2441ECBC">
      <w:pPr>
        <w:numPr>
          <w:ilvl w:val="1"/>
          <w:numId w:val="83"/>
        </w:numPr>
        <w:spacing w:before="120" w:beforeLines="50" w:after="120" w:afterLines="50"/>
        <w:ind w:left="425" w:leftChars="177" w:firstLine="480"/>
        <w:rPr>
          <w:rFonts w:hint="eastAsia"/>
          <w:bCs/>
          <w:highlight w:val="none"/>
        </w:rPr>
      </w:pPr>
      <w:r>
        <w:rPr>
          <w:rFonts w:hint="eastAsia"/>
          <w:bCs/>
          <w:highlight w:val="none"/>
        </w:rPr>
        <w:t>刚性保护层</w:t>
      </w:r>
    </w:p>
    <w:p w14:paraId="1023B194">
      <w:pPr>
        <w:ind w:firstLine="480"/>
        <w:rPr>
          <w:rFonts w:hint="eastAsia"/>
          <w:highlight w:val="none"/>
        </w:rPr>
      </w:pPr>
      <w:r>
        <w:rPr>
          <w:rFonts w:hint="eastAsia"/>
          <w:highlight w:val="none"/>
        </w:rPr>
        <w:t>刚性保护层应在常温下养护不少于7天，不应有空鼓、松动、起砂、麻面、裂缝等缺陷。</w:t>
      </w:r>
    </w:p>
    <w:p w14:paraId="446046F8">
      <w:pPr>
        <w:pStyle w:val="5"/>
        <w:numPr>
          <w:ilvl w:val="3"/>
          <w:numId w:val="13"/>
        </w:numPr>
        <w:rPr>
          <w:rFonts w:hint="eastAsia"/>
          <w:highlight w:val="none"/>
        </w:rPr>
      </w:pPr>
      <w:r>
        <w:rPr>
          <w:rFonts w:hint="eastAsia"/>
          <w:highlight w:val="none"/>
        </w:rPr>
        <w:t xml:space="preserve"> 淋蓄水试验</w:t>
      </w:r>
    </w:p>
    <w:p w14:paraId="3C8F6785">
      <w:pPr>
        <w:numPr>
          <w:ilvl w:val="1"/>
          <w:numId w:val="86"/>
        </w:numPr>
        <w:ind w:firstLine="480"/>
        <w:rPr>
          <w:rFonts w:hint="eastAsia"/>
          <w:highlight w:val="none"/>
        </w:rPr>
      </w:pPr>
      <w:r>
        <w:rPr>
          <w:rFonts w:hint="eastAsia"/>
          <w:highlight w:val="none"/>
        </w:rPr>
        <w:t>在施工屋面防水层前，平屋面应做结构闭水试验，斜屋面应做结构淋水试验，以检验屋面结构板及出屋面管道封堵处结构有无渗漏。结构板及管道封堵处有渗漏时应进行结构处理，确保结构无渗漏后方可进行防水层施工。</w:t>
      </w:r>
    </w:p>
    <w:p w14:paraId="64832178">
      <w:pPr>
        <w:numPr>
          <w:ilvl w:val="1"/>
          <w:numId w:val="86"/>
        </w:numPr>
        <w:ind w:firstLine="480"/>
        <w:rPr>
          <w:rFonts w:hint="eastAsia"/>
          <w:highlight w:val="none"/>
        </w:rPr>
      </w:pPr>
      <w:r>
        <w:rPr>
          <w:rFonts w:hint="eastAsia"/>
          <w:highlight w:val="none"/>
        </w:rPr>
        <w:t>屋面防水层施工完成后，平屋面应做24小时蓄水试验，斜屋面应做30分钟的淋水试验。</w:t>
      </w:r>
    </w:p>
    <w:p w14:paraId="15A7F5BA">
      <w:pPr>
        <w:pStyle w:val="3"/>
        <w:numPr>
          <w:ilvl w:val="1"/>
          <w:numId w:val="13"/>
        </w:numPr>
        <w:rPr>
          <w:rFonts w:hint="eastAsia"/>
          <w:highlight w:val="none"/>
        </w:rPr>
      </w:pPr>
      <w:bookmarkStart w:id="639" w:name="_Toc27353"/>
      <w:bookmarkStart w:id="640" w:name="_Toc28754"/>
      <w:bookmarkStart w:id="641" w:name="_Toc169722240"/>
      <w:bookmarkStart w:id="642" w:name="_Toc19501"/>
      <w:bookmarkStart w:id="643" w:name="_Toc10615"/>
      <w:bookmarkStart w:id="644" w:name="_Toc8930"/>
      <w:bookmarkStart w:id="645" w:name="_Toc10094"/>
      <w:bookmarkStart w:id="646" w:name="_Toc8576"/>
      <w:bookmarkStart w:id="647" w:name="_Toc28061"/>
      <w:bookmarkStart w:id="648" w:name="_Toc14581"/>
      <w:bookmarkStart w:id="649" w:name="_Toc21473"/>
      <w:r>
        <w:rPr>
          <w:rFonts w:hint="eastAsia"/>
          <w:highlight w:val="none"/>
        </w:rPr>
        <w:t>高精砌块砌筑施工技术要求</w:t>
      </w:r>
      <w:bookmarkEnd w:id="639"/>
      <w:bookmarkEnd w:id="640"/>
      <w:bookmarkEnd w:id="641"/>
      <w:bookmarkEnd w:id="642"/>
      <w:r>
        <w:rPr>
          <w:rFonts w:hint="eastAsia"/>
          <w:highlight w:val="none"/>
        </w:rPr>
        <w:t>（如有）</w:t>
      </w:r>
      <w:bookmarkEnd w:id="643"/>
      <w:bookmarkEnd w:id="644"/>
      <w:bookmarkEnd w:id="645"/>
      <w:bookmarkEnd w:id="646"/>
      <w:bookmarkEnd w:id="647"/>
      <w:bookmarkEnd w:id="648"/>
      <w:bookmarkEnd w:id="649"/>
    </w:p>
    <w:p w14:paraId="678AA115">
      <w:pPr>
        <w:pStyle w:val="4"/>
        <w:numPr>
          <w:ilvl w:val="2"/>
          <w:numId w:val="13"/>
        </w:numPr>
        <w:rPr>
          <w:rFonts w:hint="eastAsia"/>
          <w:highlight w:val="none"/>
        </w:rPr>
      </w:pPr>
      <w:r>
        <w:rPr>
          <w:highlight w:val="none"/>
        </w:rPr>
        <w:t>专用粘结剂</w:t>
      </w:r>
    </w:p>
    <w:p w14:paraId="4C528B87">
      <w:pPr>
        <w:pStyle w:val="5"/>
        <w:numPr>
          <w:ilvl w:val="3"/>
          <w:numId w:val="13"/>
        </w:numPr>
        <w:rPr>
          <w:rFonts w:hint="eastAsia"/>
          <w:highlight w:val="none"/>
        </w:rPr>
      </w:pPr>
      <w:r>
        <w:rPr>
          <w:highlight w:val="none"/>
        </w:rPr>
        <w:t>砌筑砂浆采用专用粘结剂，对砌块进行干法施工,灰缝厚度3~5mm且饱满。粘结剂应使用电动工具搅拌均匀</w:t>
      </w:r>
      <w:r>
        <w:rPr>
          <w:rFonts w:hint="eastAsia"/>
          <w:highlight w:val="none"/>
        </w:rPr>
        <w:t>。</w:t>
      </w:r>
    </w:p>
    <w:p w14:paraId="15BF9F46">
      <w:pPr>
        <w:pStyle w:val="5"/>
        <w:numPr>
          <w:ilvl w:val="3"/>
          <w:numId w:val="13"/>
        </w:numPr>
        <w:rPr>
          <w:rFonts w:hint="eastAsia"/>
          <w:highlight w:val="none"/>
        </w:rPr>
      </w:pPr>
      <w:r>
        <w:rPr>
          <w:highlight w:val="none"/>
        </w:rPr>
        <w:t>随拌随用，拌合后宜在1</w:t>
      </w:r>
      <w:r>
        <w:rPr>
          <w:rFonts w:hint="eastAsia"/>
          <w:highlight w:val="none"/>
        </w:rPr>
        <w:t>小时</w:t>
      </w:r>
      <w:r>
        <w:rPr>
          <w:highlight w:val="none"/>
        </w:rPr>
        <w:t>内用完为限。使用粘结剂施工，不浇水湿润砌块</w:t>
      </w:r>
      <w:r>
        <w:rPr>
          <w:rFonts w:hint="eastAsia"/>
          <w:highlight w:val="none"/>
        </w:rPr>
        <w:t>。</w:t>
      </w:r>
    </w:p>
    <w:p w14:paraId="734E031D">
      <w:pPr>
        <w:pStyle w:val="4"/>
        <w:numPr>
          <w:ilvl w:val="2"/>
          <w:numId w:val="13"/>
        </w:numPr>
        <w:rPr>
          <w:rFonts w:hint="eastAsia"/>
          <w:highlight w:val="none"/>
        </w:rPr>
      </w:pPr>
      <w:r>
        <w:rPr>
          <w:highlight w:val="none"/>
        </w:rPr>
        <w:t>专用砌块</w:t>
      </w:r>
    </w:p>
    <w:p w14:paraId="12DA62B4">
      <w:pPr>
        <w:pStyle w:val="5"/>
        <w:numPr>
          <w:ilvl w:val="3"/>
          <w:numId w:val="13"/>
        </w:numPr>
        <w:rPr>
          <w:rFonts w:hint="eastAsia"/>
          <w:highlight w:val="none"/>
        </w:rPr>
      </w:pPr>
      <w:r>
        <w:rPr>
          <w:highlight w:val="none"/>
        </w:rPr>
        <w:t>砌块应集中堆放</w:t>
      </w:r>
      <w:r>
        <w:rPr>
          <w:rFonts w:hint="eastAsia"/>
          <w:highlight w:val="none"/>
        </w:rPr>
        <w:t>，</w:t>
      </w:r>
      <w:r>
        <w:rPr>
          <w:highlight w:val="none"/>
        </w:rPr>
        <w:t>上方采用搭棚的方式，棚的外檐超出砌块外边至少1m，有效防雨；下方采用方木+模板铺平台，平台高出周边至少10cm，并能有效排水。</w:t>
      </w:r>
    </w:p>
    <w:p w14:paraId="5F094DE8">
      <w:pPr>
        <w:pStyle w:val="5"/>
        <w:numPr>
          <w:ilvl w:val="3"/>
          <w:numId w:val="13"/>
        </w:numPr>
        <w:rPr>
          <w:rFonts w:hint="eastAsia"/>
          <w:highlight w:val="none"/>
        </w:rPr>
      </w:pPr>
      <w:r>
        <w:rPr>
          <w:highlight w:val="none"/>
        </w:rPr>
        <w:t>砌块集中切割</w:t>
      </w:r>
      <w:r>
        <w:rPr>
          <w:rFonts w:hint="eastAsia"/>
          <w:highlight w:val="none"/>
        </w:rPr>
        <w:t>加工</w:t>
      </w:r>
      <w:r>
        <w:rPr>
          <w:highlight w:val="none"/>
        </w:rPr>
        <w:t>，对砌块采用湿法切割</w:t>
      </w:r>
      <w:r>
        <w:rPr>
          <w:rFonts w:hint="eastAsia"/>
          <w:highlight w:val="none"/>
        </w:rPr>
        <w:t>。</w:t>
      </w:r>
    </w:p>
    <w:p w14:paraId="02FEB82B">
      <w:pPr>
        <w:pStyle w:val="5"/>
        <w:numPr>
          <w:ilvl w:val="3"/>
          <w:numId w:val="13"/>
        </w:numPr>
        <w:rPr>
          <w:rFonts w:hint="eastAsia"/>
          <w:highlight w:val="none"/>
        </w:rPr>
      </w:pPr>
      <w:r>
        <w:rPr>
          <w:highlight w:val="none"/>
        </w:rPr>
        <w:t>必须专门制作方正实用的运输小车或手动、电动小型叉车，以有效控制破损率，严禁采用翻斗车。</w:t>
      </w:r>
    </w:p>
    <w:p w14:paraId="00EBF8E8">
      <w:pPr>
        <w:pStyle w:val="4"/>
        <w:numPr>
          <w:ilvl w:val="2"/>
          <w:numId w:val="13"/>
        </w:numPr>
        <w:rPr>
          <w:rFonts w:hint="eastAsia"/>
          <w:highlight w:val="none"/>
        </w:rPr>
      </w:pPr>
      <w:r>
        <w:rPr>
          <w:highlight w:val="none"/>
        </w:rPr>
        <w:t>砌筑排版图</w:t>
      </w:r>
    </w:p>
    <w:p w14:paraId="77B880FF">
      <w:pPr>
        <w:pStyle w:val="5"/>
        <w:numPr>
          <w:ilvl w:val="3"/>
          <w:numId w:val="13"/>
        </w:numPr>
        <w:rPr>
          <w:rFonts w:hint="eastAsia"/>
          <w:highlight w:val="none"/>
        </w:rPr>
      </w:pPr>
      <w:r>
        <w:rPr>
          <w:highlight w:val="none"/>
        </w:rPr>
        <w:t>排砖图应考虑底砖模数、砌块模数、窗台标高、顶砖位置。应在每片墙体的两端柱上标注皮数控制线、窗台标高</w:t>
      </w:r>
      <w:r>
        <w:rPr>
          <w:rFonts w:hint="eastAsia"/>
          <w:highlight w:val="none"/>
        </w:rPr>
        <w:t>。</w:t>
      </w:r>
    </w:p>
    <w:p w14:paraId="7C39A79F">
      <w:pPr>
        <w:pStyle w:val="5"/>
        <w:numPr>
          <w:ilvl w:val="3"/>
          <w:numId w:val="13"/>
        </w:numPr>
        <w:rPr>
          <w:rFonts w:hint="eastAsia"/>
          <w:highlight w:val="none"/>
        </w:rPr>
      </w:pPr>
      <w:r>
        <w:rPr>
          <w:highlight w:val="none"/>
        </w:rPr>
        <w:t>绘制墙体水电定位控制图，须将电箱/电盒（图中可表示机电点位位置，要求、标准等）、水电管线的定位表达清楚</w:t>
      </w:r>
      <w:r>
        <w:rPr>
          <w:rFonts w:hint="eastAsia"/>
          <w:highlight w:val="none"/>
        </w:rPr>
        <w:t>。</w:t>
      </w:r>
    </w:p>
    <w:p w14:paraId="4AE068A3">
      <w:pPr>
        <w:pStyle w:val="5"/>
        <w:numPr>
          <w:ilvl w:val="3"/>
          <w:numId w:val="13"/>
        </w:numPr>
        <w:rPr>
          <w:rFonts w:hint="eastAsia"/>
          <w:highlight w:val="none"/>
        </w:rPr>
      </w:pPr>
      <w:r>
        <w:rPr>
          <w:highlight w:val="none"/>
        </w:rPr>
        <w:t>砌筑户型图、必须贴置于对应户型内，排砖图贴于砖墙端部。</w:t>
      </w:r>
    </w:p>
    <w:p w14:paraId="1E1B0205">
      <w:pPr>
        <w:pStyle w:val="4"/>
        <w:numPr>
          <w:ilvl w:val="2"/>
          <w:numId w:val="13"/>
        </w:numPr>
        <w:rPr>
          <w:rFonts w:hint="eastAsia"/>
          <w:highlight w:val="none"/>
        </w:rPr>
      </w:pPr>
      <w:r>
        <w:rPr>
          <w:highlight w:val="none"/>
        </w:rPr>
        <w:t>砌筑控制线</w:t>
      </w:r>
    </w:p>
    <w:p w14:paraId="0D293444">
      <w:pPr>
        <w:pStyle w:val="5"/>
        <w:numPr>
          <w:ilvl w:val="3"/>
          <w:numId w:val="13"/>
        </w:numPr>
        <w:rPr>
          <w:rFonts w:hint="eastAsia"/>
          <w:highlight w:val="none"/>
        </w:rPr>
      </w:pPr>
      <w:r>
        <w:rPr>
          <w:highlight w:val="none"/>
        </w:rPr>
        <w:t>应弹砌筑双控制线</w:t>
      </w:r>
      <w:r>
        <w:rPr>
          <w:rFonts w:hint="eastAsia"/>
          <w:highlight w:val="none"/>
        </w:rPr>
        <w:t>。</w:t>
      </w:r>
    </w:p>
    <w:p w14:paraId="00C6BBE5">
      <w:pPr>
        <w:pStyle w:val="5"/>
        <w:numPr>
          <w:ilvl w:val="3"/>
          <w:numId w:val="13"/>
        </w:numPr>
        <w:rPr>
          <w:rFonts w:hint="eastAsia"/>
          <w:highlight w:val="none"/>
        </w:rPr>
      </w:pPr>
      <w:r>
        <w:rPr>
          <w:highlight w:val="none"/>
        </w:rPr>
        <w:t>管道井、烟道也须设置双控线。成品烟道和水电预留孔，在结构施工阶段，须放线定位</w:t>
      </w:r>
      <w:r>
        <w:rPr>
          <w:rFonts w:hint="eastAsia"/>
          <w:highlight w:val="none"/>
        </w:rPr>
        <w:t>。</w:t>
      </w:r>
    </w:p>
    <w:p w14:paraId="6322F397">
      <w:pPr>
        <w:pStyle w:val="5"/>
        <w:numPr>
          <w:ilvl w:val="3"/>
          <w:numId w:val="13"/>
        </w:numPr>
        <w:rPr>
          <w:rFonts w:hint="eastAsia"/>
          <w:highlight w:val="none"/>
        </w:rPr>
      </w:pPr>
      <w:r>
        <w:rPr>
          <w:highlight w:val="none"/>
        </w:rPr>
        <w:t>通过将控制线引到梁、墙、地面进行洞口定位</w:t>
      </w:r>
      <w:r>
        <w:rPr>
          <w:rFonts w:hint="eastAsia"/>
          <w:highlight w:val="none"/>
        </w:rPr>
        <w:t>。</w:t>
      </w:r>
    </w:p>
    <w:p w14:paraId="4EE7D8EC">
      <w:pPr>
        <w:pStyle w:val="5"/>
        <w:numPr>
          <w:ilvl w:val="3"/>
          <w:numId w:val="13"/>
        </w:numPr>
        <w:rPr>
          <w:rFonts w:hint="eastAsia"/>
          <w:highlight w:val="none"/>
        </w:rPr>
      </w:pPr>
      <w:r>
        <w:rPr>
          <w:highlight w:val="none"/>
        </w:rPr>
        <w:t>砌筑施工过程中，必须双面挂天地线和水平控制线，以保证砌筑墙体的垂直、平整、方正性、灰缝的宽度及观感质量。</w:t>
      </w:r>
    </w:p>
    <w:p w14:paraId="2F79BEB6">
      <w:pPr>
        <w:pStyle w:val="4"/>
        <w:numPr>
          <w:ilvl w:val="2"/>
          <w:numId w:val="13"/>
        </w:numPr>
        <w:rPr>
          <w:rFonts w:hint="eastAsia"/>
          <w:highlight w:val="none"/>
        </w:rPr>
      </w:pPr>
      <w:r>
        <w:rPr>
          <w:highlight w:val="none"/>
        </w:rPr>
        <w:t>砌筑</w:t>
      </w:r>
    </w:p>
    <w:p w14:paraId="6C9611F3">
      <w:pPr>
        <w:pStyle w:val="5"/>
        <w:numPr>
          <w:ilvl w:val="3"/>
          <w:numId w:val="13"/>
        </w:numPr>
        <w:rPr>
          <w:rFonts w:hint="eastAsia"/>
          <w:highlight w:val="none"/>
        </w:rPr>
      </w:pPr>
      <w:r>
        <w:rPr>
          <w:highlight w:val="none"/>
        </w:rPr>
        <w:t>施工前应设置皮数杆，皮数杆应垂直、牢固、标高一致</w:t>
      </w:r>
      <w:r>
        <w:rPr>
          <w:rFonts w:hint="eastAsia"/>
          <w:highlight w:val="none"/>
        </w:rPr>
        <w:t>。</w:t>
      </w:r>
    </w:p>
    <w:p w14:paraId="543B7C34">
      <w:pPr>
        <w:pStyle w:val="5"/>
        <w:numPr>
          <w:ilvl w:val="3"/>
          <w:numId w:val="13"/>
        </w:numPr>
        <w:rPr>
          <w:rFonts w:hint="eastAsia"/>
          <w:highlight w:val="none"/>
        </w:rPr>
      </w:pPr>
      <w:r>
        <w:rPr>
          <w:highlight w:val="none"/>
        </w:rPr>
        <w:t>砌块施工应严格按施工规范的要求进行错缝搭砌，上墙的砌块不应任意移动或撞击</w:t>
      </w:r>
      <w:r>
        <w:rPr>
          <w:rFonts w:hint="eastAsia"/>
          <w:highlight w:val="none"/>
        </w:rPr>
        <w:t>。</w:t>
      </w:r>
    </w:p>
    <w:p w14:paraId="0918CA82">
      <w:pPr>
        <w:pStyle w:val="5"/>
        <w:numPr>
          <w:ilvl w:val="3"/>
          <w:numId w:val="13"/>
        </w:numPr>
        <w:rPr>
          <w:rFonts w:hint="eastAsia"/>
          <w:highlight w:val="none"/>
        </w:rPr>
      </w:pPr>
      <w:r>
        <w:rPr>
          <w:highlight w:val="none"/>
        </w:rPr>
        <w:t>填充墙砌至接近梁底、板底时，应留</w:t>
      </w:r>
      <w:r>
        <w:rPr>
          <w:rFonts w:hint="eastAsia"/>
          <w:highlight w:val="none"/>
        </w:rPr>
        <w:t>小于5</w:t>
      </w:r>
      <w:r>
        <w:rPr>
          <w:highlight w:val="none"/>
        </w:rPr>
        <w:t>0mm的空隙，待填充墙砌筑完并至少间隔14天后，再嵌缝将其挤紧。</w:t>
      </w:r>
    </w:p>
    <w:p w14:paraId="171D9B1F">
      <w:pPr>
        <w:pStyle w:val="4"/>
        <w:numPr>
          <w:ilvl w:val="2"/>
          <w:numId w:val="13"/>
        </w:numPr>
        <w:rPr>
          <w:rFonts w:hint="eastAsia"/>
          <w:highlight w:val="none"/>
        </w:rPr>
      </w:pPr>
      <w:r>
        <w:rPr>
          <w:highlight w:val="none"/>
        </w:rPr>
        <w:t>导墙</w:t>
      </w:r>
    </w:p>
    <w:p w14:paraId="65D4A916">
      <w:pPr>
        <w:pStyle w:val="5"/>
        <w:numPr>
          <w:ilvl w:val="3"/>
          <w:numId w:val="13"/>
        </w:numPr>
        <w:rPr>
          <w:rFonts w:hint="eastAsia"/>
          <w:highlight w:val="none"/>
        </w:rPr>
      </w:pPr>
      <w:r>
        <w:rPr>
          <w:rFonts w:hint="eastAsia"/>
          <w:highlight w:val="none"/>
        </w:rPr>
        <w:t>厨房、卫生间、阳台及其他用水的房间周边设置不小于</w:t>
      </w:r>
      <w:r>
        <w:rPr>
          <w:highlight w:val="none"/>
        </w:rPr>
        <w:t>200</w:t>
      </w:r>
      <w:r>
        <w:rPr>
          <w:rFonts w:hint="eastAsia"/>
          <w:highlight w:val="none"/>
        </w:rPr>
        <w:t>mm</w:t>
      </w:r>
      <w:r>
        <w:rPr>
          <w:highlight w:val="none"/>
        </w:rPr>
        <w:t>高的混凝土导墙，外墙外挑结构（雨棚、外墙腰线、空调板）上部上口处设置高度不小于200mm的反坎导墙</w:t>
      </w:r>
      <w:r>
        <w:rPr>
          <w:rFonts w:hint="eastAsia"/>
          <w:highlight w:val="none"/>
        </w:rPr>
        <w:t>。</w:t>
      </w:r>
    </w:p>
    <w:p w14:paraId="2A678D01">
      <w:pPr>
        <w:pStyle w:val="4"/>
        <w:numPr>
          <w:ilvl w:val="2"/>
          <w:numId w:val="13"/>
        </w:numPr>
        <w:rPr>
          <w:rFonts w:hint="eastAsia"/>
          <w:highlight w:val="none"/>
        </w:rPr>
      </w:pPr>
      <w:r>
        <w:rPr>
          <w:highlight w:val="none"/>
        </w:rPr>
        <w:t>拉结</w:t>
      </w:r>
    </w:p>
    <w:p w14:paraId="61993B4C">
      <w:pPr>
        <w:pStyle w:val="5"/>
        <w:numPr>
          <w:ilvl w:val="3"/>
          <w:numId w:val="13"/>
        </w:numPr>
        <w:rPr>
          <w:rFonts w:hint="eastAsia"/>
          <w:highlight w:val="none"/>
        </w:rPr>
      </w:pPr>
      <w:r>
        <w:rPr>
          <w:highlight w:val="none"/>
        </w:rPr>
        <w:t>加气混凝土砌块填充墙与柱墙之间以</w:t>
      </w:r>
      <w:r>
        <w:rPr>
          <w:rFonts w:hint="eastAsia"/>
          <w:highlight w:val="none"/>
        </w:rPr>
        <w:t>拉结片或</w:t>
      </w:r>
      <w:r>
        <w:rPr>
          <w:highlight w:val="none"/>
        </w:rPr>
        <w:t>φ6.5拉结筋连接，</w:t>
      </w:r>
      <w:r>
        <w:rPr>
          <w:rFonts w:hint="eastAsia"/>
          <w:highlight w:val="none"/>
        </w:rPr>
        <w:t>拉结片或</w:t>
      </w:r>
      <w:r>
        <w:rPr>
          <w:highlight w:val="none"/>
        </w:rPr>
        <w:t>拉结筋埋于砌体的水平灰缝中。</w:t>
      </w:r>
    </w:p>
    <w:p w14:paraId="4E84CDF1">
      <w:pPr>
        <w:pStyle w:val="5"/>
        <w:numPr>
          <w:ilvl w:val="3"/>
          <w:numId w:val="13"/>
        </w:numPr>
        <w:rPr>
          <w:rFonts w:hint="eastAsia"/>
          <w:highlight w:val="none"/>
        </w:rPr>
      </w:pPr>
      <w:r>
        <w:rPr>
          <w:highlight w:val="none"/>
        </w:rPr>
        <w:t>埋设在墙体内的水平拉结筋应预先在砌块的水平灰缝面开设凹槽（槽宽、深度比钢筋大15～20mm），置入钢筋后，应用粘结剂填实至槽的上口平。</w:t>
      </w:r>
    </w:p>
    <w:p w14:paraId="57DD6FA4">
      <w:pPr>
        <w:pStyle w:val="5"/>
        <w:numPr>
          <w:ilvl w:val="3"/>
          <w:numId w:val="13"/>
        </w:numPr>
        <w:rPr>
          <w:rFonts w:hint="eastAsia"/>
          <w:highlight w:val="none"/>
        </w:rPr>
      </w:pPr>
      <w:r>
        <w:rPr>
          <w:rFonts w:hint="eastAsia"/>
          <w:highlight w:val="none"/>
        </w:rPr>
        <w:t>拉结片、</w:t>
      </w:r>
      <w:r>
        <w:rPr>
          <w:highlight w:val="none"/>
        </w:rPr>
        <w:t>拉结筋须按排砖图，进行确定位置</w:t>
      </w:r>
      <w:r>
        <w:rPr>
          <w:rFonts w:hint="eastAsia"/>
          <w:highlight w:val="none"/>
        </w:rPr>
        <w:t>。</w:t>
      </w:r>
    </w:p>
    <w:p w14:paraId="6510BF4B">
      <w:pPr>
        <w:pStyle w:val="3"/>
        <w:numPr>
          <w:ilvl w:val="1"/>
          <w:numId w:val="13"/>
        </w:numPr>
        <w:rPr>
          <w:rFonts w:hint="eastAsia"/>
          <w:highlight w:val="none"/>
        </w:rPr>
      </w:pPr>
      <w:bookmarkStart w:id="650" w:name="_Toc29254"/>
      <w:bookmarkStart w:id="651" w:name="_Toc1359"/>
      <w:bookmarkStart w:id="652" w:name="_Toc16698"/>
      <w:bookmarkStart w:id="653" w:name="_Toc30482"/>
      <w:bookmarkStart w:id="654" w:name="_Toc21688"/>
      <w:bookmarkStart w:id="655" w:name="_Toc169722244"/>
      <w:bookmarkStart w:id="656" w:name="_Toc23316"/>
      <w:bookmarkStart w:id="657" w:name="_Toc2523"/>
      <w:bookmarkStart w:id="658" w:name="_Toc2099"/>
      <w:bookmarkStart w:id="659" w:name="_Toc25754"/>
      <w:bookmarkStart w:id="660" w:name="_Toc6912"/>
      <w:r>
        <w:rPr>
          <w:rFonts w:hint="eastAsia"/>
          <w:highlight w:val="none"/>
        </w:rPr>
        <w:t>装配式工程技术要求</w:t>
      </w:r>
      <w:bookmarkEnd w:id="650"/>
      <w:bookmarkEnd w:id="651"/>
      <w:bookmarkEnd w:id="652"/>
      <w:bookmarkEnd w:id="653"/>
      <w:bookmarkEnd w:id="654"/>
      <w:bookmarkEnd w:id="655"/>
      <w:bookmarkEnd w:id="656"/>
      <w:bookmarkEnd w:id="657"/>
      <w:bookmarkEnd w:id="658"/>
      <w:bookmarkEnd w:id="659"/>
      <w:bookmarkEnd w:id="660"/>
    </w:p>
    <w:p w14:paraId="4E877C7B">
      <w:pPr>
        <w:ind w:firstLine="480"/>
        <w:rPr>
          <w:rFonts w:hint="eastAsia"/>
          <w:highlight w:val="none"/>
        </w:rPr>
      </w:pPr>
      <w:bookmarkStart w:id="661" w:name="_Toc520244661"/>
      <w:bookmarkEnd w:id="661"/>
      <w:bookmarkStart w:id="662" w:name="_Toc520245309"/>
      <w:bookmarkEnd w:id="662"/>
      <w:bookmarkStart w:id="663" w:name="_Toc520244669"/>
      <w:bookmarkEnd w:id="663"/>
      <w:bookmarkStart w:id="664" w:name="_Toc520245288"/>
      <w:bookmarkEnd w:id="664"/>
      <w:bookmarkStart w:id="665" w:name="_Toc520245275"/>
      <w:bookmarkEnd w:id="665"/>
      <w:bookmarkStart w:id="666" w:name="_Toc520244656"/>
      <w:bookmarkEnd w:id="666"/>
      <w:bookmarkStart w:id="667" w:name="_Toc520244690"/>
      <w:bookmarkEnd w:id="667"/>
      <w:bookmarkStart w:id="668" w:name="_Toc520244675"/>
      <w:bookmarkEnd w:id="668"/>
      <w:bookmarkStart w:id="669" w:name="_Toc520245306"/>
      <w:bookmarkEnd w:id="669"/>
      <w:bookmarkStart w:id="670" w:name="_Toc520245313"/>
      <w:bookmarkEnd w:id="670"/>
      <w:bookmarkStart w:id="671" w:name="_Toc520245303"/>
      <w:bookmarkEnd w:id="671"/>
      <w:bookmarkStart w:id="672" w:name="_Toc520245278"/>
      <w:bookmarkEnd w:id="672"/>
      <w:bookmarkStart w:id="673" w:name="_Toc520245295"/>
      <w:bookmarkEnd w:id="673"/>
      <w:bookmarkStart w:id="674" w:name="_Toc520244657"/>
      <w:bookmarkEnd w:id="674"/>
      <w:bookmarkStart w:id="675" w:name="_Toc520244678"/>
      <w:bookmarkEnd w:id="675"/>
      <w:bookmarkStart w:id="676" w:name="_Toc520244685"/>
      <w:bookmarkEnd w:id="676"/>
      <w:bookmarkStart w:id="677" w:name="_Toc520245276"/>
      <w:bookmarkEnd w:id="677"/>
      <w:bookmarkStart w:id="678" w:name="_Toc520244682"/>
      <w:bookmarkEnd w:id="678"/>
      <w:bookmarkStart w:id="679" w:name="_Toc520245282"/>
      <w:bookmarkEnd w:id="679"/>
      <w:bookmarkStart w:id="680" w:name="_Toc520244665"/>
      <w:bookmarkEnd w:id="680"/>
      <w:bookmarkStart w:id="681" w:name="_Toc520245323"/>
      <w:bookmarkEnd w:id="681"/>
      <w:bookmarkStart w:id="682" w:name="_Toc520244649"/>
      <w:bookmarkEnd w:id="682"/>
      <w:bookmarkStart w:id="683" w:name="_Toc520244655"/>
      <w:bookmarkEnd w:id="683"/>
      <w:bookmarkStart w:id="684" w:name="_Toc520245320"/>
      <w:bookmarkEnd w:id="684"/>
      <w:bookmarkStart w:id="685" w:name="_Toc520244659"/>
      <w:bookmarkEnd w:id="685"/>
      <w:bookmarkStart w:id="686" w:name="_Toc520244687"/>
      <w:bookmarkEnd w:id="686"/>
      <w:bookmarkStart w:id="687" w:name="_Toc520244688"/>
      <w:bookmarkEnd w:id="687"/>
      <w:bookmarkStart w:id="688" w:name="_Toc520244648"/>
      <w:bookmarkEnd w:id="688"/>
      <w:bookmarkStart w:id="689" w:name="_Toc520244686"/>
      <w:bookmarkEnd w:id="689"/>
      <w:bookmarkStart w:id="690" w:name="_Toc520245314"/>
      <w:bookmarkEnd w:id="690"/>
      <w:bookmarkStart w:id="691" w:name="_Toc520244727"/>
      <w:bookmarkEnd w:id="691"/>
      <w:bookmarkStart w:id="692" w:name="_Toc520245322"/>
      <w:bookmarkEnd w:id="692"/>
      <w:bookmarkStart w:id="693" w:name="_Toc520244647"/>
      <w:bookmarkEnd w:id="693"/>
      <w:bookmarkStart w:id="694" w:name="_Toc520244684"/>
      <w:bookmarkEnd w:id="694"/>
      <w:bookmarkStart w:id="695" w:name="_Toc520244674"/>
      <w:bookmarkEnd w:id="695"/>
      <w:bookmarkStart w:id="696" w:name="_Toc520245292"/>
      <w:bookmarkEnd w:id="696"/>
      <w:bookmarkStart w:id="697" w:name="_Toc520245307"/>
      <w:bookmarkEnd w:id="697"/>
      <w:bookmarkStart w:id="698" w:name="_Toc520245325"/>
      <w:bookmarkEnd w:id="698"/>
      <w:bookmarkStart w:id="699" w:name="_Toc520244693"/>
      <w:bookmarkEnd w:id="699"/>
      <w:bookmarkStart w:id="700" w:name="_Toc520244676"/>
      <w:bookmarkEnd w:id="700"/>
      <w:bookmarkStart w:id="701" w:name="_Toc520244660"/>
      <w:bookmarkEnd w:id="701"/>
      <w:bookmarkStart w:id="702" w:name="_Toc520244692"/>
      <w:bookmarkEnd w:id="702"/>
      <w:bookmarkStart w:id="703" w:name="_Toc520245312"/>
      <w:bookmarkEnd w:id="703"/>
      <w:bookmarkStart w:id="704" w:name="_Toc520245321"/>
      <w:bookmarkEnd w:id="704"/>
      <w:bookmarkStart w:id="705" w:name="_Toc520245362"/>
      <w:bookmarkEnd w:id="705"/>
      <w:bookmarkStart w:id="706" w:name="_Toc520245287"/>
      <w:bookmarkEnd w:id="706"/>
      <w:bookmarkStart w:id="707" w:name="_Toc520245308"/>
      <w:bookmarkEnd w:id="707"/>
      <w:bookmarkStart w:id="708" w:name="_Toc520245318"/>
      <w:bookmarkEnd w:id="708"/>
      <w:bookmarkStart w:id="709" w:name="_Toc520245302"/>
      <w:bookmarkEnd w:id="709"/>
      <w:bookmarkStart w:id="710" w:name="_Toc520244673"/>
      <w:bookmarkEnd w:id="710"/>
      <w:bookmarkStart w:id="711" w:name="_Toc520244651"/>
      <w:bookmarkEnd w:id="711"/>
      <w:bookmarkStart w:id="712" w:name="_Toc520245291"/>
      <w:bookmarkEnd w:id="712"/>
      <w:bookmarkStart w:id="713" w:name="_Toc520245296"/>
      <w:bookmarkEnd w:id="713"/>
      <w:bookmarkStart w:id="714" w:name="_Toc520245280"/>
      <w:bookmarkEnd w:id="714"/>
      <w:bookmarkStart w:id="715" w:name="_Toc520244683"/>
      <w:bookmarkEnd w:id="715"/>
      <w:bookmarkStart w:id="716" w:name="_Toc520244734"/>
      <w:bookmarkEnd w:id="716"/>
      <w:bookmarkStart w:id="717" w:name="_Toc520244650"/>
      <w:bookmarkEnd w:id="717"/>
      <w:bookmarkStart w:id="718" w:name="_Toc520245315"/>
      <w:bookmarkEnd w:id="718"/>
      <w:bookmarkStart w:id="719" w:name="_Toc520244652"/>
      <w:bookmarkEnd w:id="719"/>
      <w:bookmarkStart w:id="720" w:name="_Toc520244671"/>
      <w:bookmarkEnd w:id="720"/>
      <w:bookmarkStart w:id="721" w:name="_Toc520245311"/>
      <w:bookmarkEnd w:id="721"/>
      <w:bookmarkStart w:id="722" w:name="_Toc520244670"/>
      <w:bookmarkEnd w:id="722"/>
      <w:bookmarkStart w:id="723" w:name="_Toc520244663"/>
      <w:bookmarkEnd w:id="723"/>
      <w:bookmarkStart w:id="724" w:name="_Toc520245300"/>
      <w:bookmarkEnd w:id="724"/>
      <w:bookmarkStart w:id="725" w:name="_Toc520245301"/>
      <w:bookmarkEnd w:id="725"/>
      <w:bookmarkStart w:id="726" w:name="_Toc520244677"/>
      <w:bookmarkEnd w:id="726"/>
      <w:bookmarkStart w:id="727" w:name="_Toc520245285"/>
      <w:bookmarkEnd w:id="727"/>
      <w:bookmarkStart w:id="728" w:name="_Toc520244654"/>
      <w:bookmarkEnd w:id="728"/>
      <w:bookmarkStart w:id="729" w:name="_Toc520245277"/>
      <w:bookmarkEnd w:id="729"/>
      <w:bookmarkStart w:id="730" w:name="_Toc520244691"/>
      <w:bookmarkEnd w:id="730"/>
      <w:bookmarkStart w:id="731" w:name="_Toc520245279"/>
      <w:bookmarkEnd w:id="731"/>
      <w:bookmarkStart w:id="732" w:name="_Toc520245289"/>
      <w:bookmarkEnd w:id="732"/>
      <w:bookmarkStart w:id="733" w:name="_Toc520245284"/>
      <w:bookmarkEnd w:id="733"/>
      <w:bookmarkStart w:id="734" w:name="_Toc520244694"/>
      <w:bookmarkEnd w:id="734"/>
      <w:bookmarkStart w:id="735" w:name="_Toc520245281"/>
      <w:bookmarkEnd w:id="735"/>
      <w:bookmarkStart w:id="736" w:name="_Toc520245310"/>
      <w:bookmarkEnd w:id="736"/>
      <w:bookmarkStart w:id="737" w:name="_Toc520244679"/>
      <w:bookmarkEnd w:id="737"/>
      <w:bookmarkStart w:id="738" w:name="_Toc520245297"/>
      <w:bookmarkEnd w:id="738"/>
      <w:bookmarkStart w:id="739" w:name="_Toc520244664"/>
      <w:bookmarkEnd w:id="739"/>
      <w:bookmarkStart w:id="740" w:name="_Toc520244680"/>
      <w:bookmarkEnd w:id="740"/>
      <w:bookmarkStart w:id="741" w:name="_Toc520245305"/>
      <w:bookmarkEnd w:id="741"/>
      <w:bookmarkStart w:id="742" w:name="_Toc520245299"/>
      <w:bookmarkEnd w:id="742"/>
      <w:bookmarkStart w:id="743" w:name="_Toc520244697"/>
      <w:bookmarkEnd w:id="743"/>
      <w:bookmarkStart w:id="744" w:name="_Toc520245316"/>
      <w:bookmarkEnd w:id="744"/>
      <w:bookmarkStart w:id="745" w:name="_Toc520245298"/>
      <w:bookmarkEnd w:id="745"/>
      <w:bookmarkStart w:id="746" w:name="_Toc520244695"/>
      <w:bookmarkEnd w:id="746"/>
      <w:bookmarkStart w:id="747" w:name="_Toc520244653"/>
      <w:bookmarkEnd w:id="747"/>
      <w:bookmarkStart w:id="748" w:name="_Toc520245304"/>
      <w:bookmarkEnd w:id="748"/>
      <w:bookmarkStart w:id="749" w:name="_Toc520245283"/>
      <w:bookmarkEnd w:id="749"/>
      <w:bookmarkStart w:id="750" w:name="_Toc520244681"/>
      <w:bookmarkEnd w:id="750"/>
      <w:bookmarkStart w:id="751" w:name="_Toc520245294"/>
      <w:bookmarkEnd w:id="751"/>
      <w:bookmarkStart w:id="752" w:name="_Toc520244666"/>
      <w:bookmarkEnd w:id="752"/>
      <w:bookmarkStart w:id="753" w:name="_Toc520245293"/>
      <w:bookmarkEnd w:id="753"/>
      <w:bookmarkStart w:id="754" w:name="_Toc520244668"/>
      <w:bookmarkEnd w:id="754"/>
      <w:bookmarkStart w:id="755" w:name="_Toc520244672"/>
      <w:bookmarkEnd w:id="755"/>
      <w:bookmarkStart w:id="756" w:name="_Toc520244667"/>
      <w:bookmarkEnd w:id="756"/>
      <w:bookmarkStart w:id="757" w:name="_Toc520245355"/>
      <w:bookmarkEnd w:id="757"/>
      <w:bookmarkStart w:id="758" w:name="_Toc520245319"/>
      <w:bookmarkEnd w:id="758"/>
      <w:bookmarkStart w:id="759" w:name="_Toc422854863"/>
      <w:bookmarkStart w:id="760" w:name="_Toc169722245"/>
      <w:r>
        <w:rPr>
          <w:rFonts w:hint="eastAsia"/>
          <w:highlight w:val="none"/>
        </w:rPr>
        <w:t>现场考察 PC 构件加工厂，并通过加工样板，确定工艺水平是否合符要求；按监理人确认的图纸预埋配件；按监理人确认的加工图制作构配件；按监理人批准的吊装方案安装 PC 构件。总承包方须委派专人驻场装配式构件生产厂，进行全程隐蔽检查，并报驻场监理验收。以下是装配式工程技术质量要求：</w:t>
      </w:r>
    </w:p>
    <w:p w14:paraId="3EBF6B87">
      <w:pPr>
        <w:pStyle w:val="4"/>
        <w:numPr>
          <w:ilvl w:val="2"/>
          <w:numId w:val="13"/>
        </w:numPr>
        <w:rPr>
          <w:rFonts w:hint="eastAsia"/>
          <w:highlight w:val="none"/>
        </w:rPr>
      </w:pPr>
      <w:r>
        <w:rPr>
          <w:rFonts w:hint="eastAsia"/>
          <w:highlight w:val="none"/>
        </w:rPr>
        <w:t>装配式构件要求</w:t>
      </w:r>
    </w:p>
    <w:p w14:paraId="508CE2A6">
      <w:pPr>
        <w:ind w:firstLine="480"/>
        <w:rPr>
          <w:rFonts w:hint="eastAsia"/>
          <w:highlight w:val="none"/>
        </w:rPr>
      </w:pPr>
      <w:r>
        <w:rPr>
          <w:rFonts w:hint="eastAsia"/>
          <w:highlight w:val="none"/>
        </w:rPr>
        <w:t xml:space="preserve">（1）预制混凝土构件生产过程中各分项工程（隐蔽工程）应检查记录和验收合格单。所有验收合格单必须签字齐全、日期准确。 </w:t>
      </w:r>
    </w:p>
    <w:p w14:paraId="47DFD485">
      <w:pPr>
        <w:ind w:firstLine="480"/>
        <w:rPr>
          <w:rFonts w:hint="eastAsia"/>
          <w:highlight w:val="none"/>
        </w:rPr>
      </w:pPr>
      <w:r>
        <w:rPr>
          <w:rFonts w:hint="eastAsia"/>
          <w:highlight w:val="none"/>
        </w:rPr>
        <w:t xml:space="preserve">（2）预制混凝土构件应在明显部位标明工程名称、生产单位、构件型号、生产日期和质量验收标志，并确保该标志在施工现场组装前不得消失或难以识别。  </w:t>
      </w:r>
    </w:p>
    <w:p w14:paraId="70E8C077">
      <w:pPr>
        <w:ind w:firstLine="480"/>
        <w:rPr>
          <w:rFonts w:hint="eastAsia"/>
          <w:highlight w:val="none"/>
        </w:rPr>
      </w:pPr>
      <w:r>
        <w:rPr>
          <w:rFonts w:hint="eastAsia"/>
          <w:highlight w:val="none"/>
        </w:rPr>
        <w:t>（3）预制混凝土构件的外观质量不应有明显缺陷。出现明显缺陷应作退场处理。</w:t>
      </w:r>
    </w:p>
    <w:p w14:paraId="2C2C8061">
      <w:pPr>
        <w:ind w:firstLine="480"/>
        <w:rPr>
          <w:rFonts w:hint="eastAsia"/>
          <w:highlight w:val="none"/>
        </w:rPr>
      </w:pPr>
      <w:r>
        <w:rPr>
          <w:rFonts w:hint="eastAsia"/>
          <w:highlight w:val="none"/>
        </w:rPr>
        <w:t xml:space="preserve">（4）预制混凝土构件不应有影响结构性能和安装、使用功能的尺寸偏差。对超过尺寸允许偏差且影响结构性能和安装、使用功能的部位，应按技术处理方案进行处理，并重新检查验收。 </w:t>
      </w:r>
    </w:p>
    <w:p w14:paraId="4245D97D">
      <w:pPr>
        <w:ind w:firstLine="480"/>
        <w:rPr>
          <w:rFonts w:hint="eastAsia"/>
          <w:highlight w:val="none"/>
        </w:rPr>
      </w:pPr>
      <w:r>
        <w:rPr>
          <w:rFonts w:hint="eastAsia"/>
          <w:highlight w:val="none"/>
        </w:rPr>
        <w:t>（5）预制混凝土构件上的预埋件、插筋和预留孔洞的规格、位置和数量应符合标准图或 设计的要求。在钢筋及预埋件安装完后，应进行自检，根据图纸逐一检查，符合要求后项目质检人员进行复检，合格后报监理人，经专业监理工程师现场审核，书面同意方可进行混凝土浇筑。</w:t>
      </w:r>
    </w:p>
    <w:p w14:paraId="0CB5587F">
      <w:pPr>
        <w:ind w:firstLine="480"/>
        <w:rPr>
          <w:rFonts w:hint="eastAsia"/>
          <w:highlight w:val="none"/>
        </w:rPr>
      </w:pPr>
      <w:r>
        <w:rPr>
          <w:rFonts w:hint="eastAsia"/>
          <w:highlight w:val="none"/>
        </w:rPr>
        <w:t>（6） 预制构件相关预留钢筋、吊钩、洞口、线槽等需一次预留到位，严禁进场后开槽、开洞。</w:t>
      </w:r>
    </w:p>
    <w:p w14:paraId="2410A993">
      <w:pPr>
        <w:pStyle w:val="4"/>
        <w:numPr>
          <w:ilvl w:val="2"/>
          <w:numId w:val="13"/>
        </w:numPr>
        <w:rPr>
          <w:rFonts w:hint="eastAsia"/>
          <w:highlight w:val="none"/>
        </w:rPr>
      </w:pPr>
      <w:r>
        <w:rPr>
          <w:rFonts w:hint="eastAsia"/>
          <w:highlight w:val="none"/>
        </w:rPr>
        <w:t xml:space="preserve">构件运输、堆放、成品保护要求 </w:t>
      </w:r>
    </w:p>
    <w:p w14:paraId="2E46310A">
      <w:pPr>
        <w:ind w:firstLine="480"/>
        <w:rPr>
          <w:rFonts w:hint="eastAsia"/>
          <w:highlight w:val="none"/>
        </w:rPr>
      </w:pPr>
      <w:r>
        <w:rPr>
          <w:rFonts w:hint="eastAsia"/>
          <w:highlight w:val="none"/>
        </w:rPr>
        <w:t xml:space="preserve">（1）构件的装卸基本要求 </w:t>
      </w:r>
    </w:p>
    <w:p w14:paraId="55D40ECB">
      <w:pPr>
        <w:ind w:left="480" w:leftChars="200" w:firstLine="480"/>
        <w:rPr>
          <w:rFonts w:hint="eastAsia"/>
          <w:highlight w:val="none"/>
        </w:rPr>
      </w:pPr>
      <w:r>
        <w:rPr>
          <w:highlight w:val="none"/>
        </w:rPr>
        <w:t>1）</w:t>
      </w:r>
      <w:r>
        <w:rPr>
          <w:rFonts w:hint="eastAsia"/>
          <w:highlight w:val="none"/>
        </w:rPr>
        <w:t xml:space="preserve">构件起吊时应拆除与相邻构件的连接，并将相邻构件支撑牢固。 </w:t>
      </w:r>
    </w:p>
    <w:p w14:paraId="43486A7F">
      <w:pPr>
        <w:ind w:left="480" w:leftChars="200" w:firstLine="480"/>
        <w:rPr>
          <w:rFonts w:hint="eastAsia"/>
          <w:highlight w:val="none"/>
        </w:rPr>
      </w:pPr>
      <w:r>
        <w:rPr>
          <w:highlight w:val="none"/>
        </w:rPr>
        <w:t>2）</w:t>
      </w:r>
      <w:r>
        <w:rPr>
          <w:rFonts w:hint="eastAsia"/>
          <w:highlight w:val="none"/>
        </w:rPr>
        <w:t xml:space="preserve">外墙板采用竖直立放运输为宜，应使用专用支架运输，支架应与车身连接牢固。墙板饰面层应朝外，构件与支架应连接牢固。 </w:t>
      </w:r>
    </w:p>
    <w:p w14:paraId="4C2A616E">
      <w:pPr>
        <w:ind w:left="480" w:leftChars="200" w:firstLine="480"/>
        <w:rPr>
          <w:rFonts w:hint="eastAsia"/>
          <w:highlight w:val="none"/>
        </w:rPr>
      </w:pPr>
      <w:r>
        <w:rPr>
          <w:highlight w:val="none"/>
        </w:rPr>
        <w:t>3）</w:t>
      </w:r>
      <w:r>
        <w:rPr>
          <w:rFonts w:hint="eastAsia"/>
          <w:highlight w:val="none"/>
        </w:rPr>
        <w:t xml:space="preserve">楼梯、阳台、楼板、短柱、预制梁等小型预制构件以平运为主，装车时支点搁置要正确。 </w:t>
      </w:r>
    </w:p>
    <w:p w14:paraId="10E883E4">
      <w:pPr>
        <w:ind w:left="480" w:leftChars="200" w:firstLine="480"/>
        <w:rPr>
          <w:rFonts w:hint="eastAsia"/>
          <w:highlight w:val="none"/>
        </w:rPr>
      </w:pPr>
      <w:r>
        <w:rPr>
          <w:highlight w:val="none"/>
        </w:rPr>
        <w:t>4）</w:t>
      </w:r>
      <w:r>
        <w:rPr>
          <w:rFonts w:hint="eastAsia"/>
          <w:highlight w:val="none"/>
        </w:rPr>
        <w:t xml:space="preserve">根据构件形状及构件重心位置分布，合理设定预制构件吊点位置。预埋吊具通常选用预埋吊钩（环）或可拆卸的埋置式接驳器。 </w:t>
      </w:r>
    </w:p>
    <w:p w14:paraId="43188DE1">
      <w:pPr>
        <w:ind w:left="480" w:leftChars="200" w:firstLine="480"/>
        <w:rPr>
          <w:rFonts w:hint="eastAsia"/>
          <w:highlight w:val="none"/>
        </w:rPr>
      </w:pPr>
      <w:r>
        <w:rPr>
          <w:highlight w:val="none"/>
        </w:rPr>
        <w:t>5）</w:t>
      </w:r>
      <w:r>
        <w:rPr>
          <w:rFonts w:hint="eastAsia"/>
          <w:highlight w:val="none"/>
        </w:rPr>
        <w:t xml:space="preserve">构件装车时吊点和起吊方法，应按设计要求和施工方案确定。吊点的位置还应符合下列规定：两点起吊的构件，吊点位置应高于构件的重心；细长的和薄型的构件起吊，可采用多吊点或特制起吊工具，吊点和起吊方法按设计要求进行；变截面的构件起吊时，应做到平起平放，否则截面面积小的一端应先起升。 </w:t>
      </w:r>
    </w:p>
    <w:p w14:paraId="2007D897">
      <w:pPr>
        <w:ind w:left="480" w:leftChars="200" w:firstLine="480"/>
        <w:rPr>
          <w:rFonts w:hint="eastAsia"/>
          <w:highlight w:val="none"/>
        </w:rPr>
      </w:pPr>
      <w:r>
        <w:rPr>
          <w:highlight w:val="none"/>
        </w:rPr>
        <w:t>6）</w:t>
      </w:r>
      <w:r>
        <w:rPr>
          <w:rFonts w:hint="eastAsia"/>
          <w:highlight w:val="none"/>
        </w:rPr>
        <w:t xml:space="preserve">运输构件的搁置点：一般等截面构件在长度 1/5 处，板的搁置点在距端部200~300mm处。其它构件视受力情况确定，搁置点宜靠近节点处。 </w:t>
      </w:r>
    </w:p>
    <w:p w14:paraId="680CE940">
      <w:pPr>
        <w:ind w:left="480" w:leftChars="200" w:firstLine="480"/>
        <w:rPr>
          <w:rFonts w:hint="eastAsia"/>
          <w:highlight w:val="none"/>
        </w:rPr>
      </w:pPr>
      <w:r>
        <w:rPr>
          <w:highlight w:val="none"/>
        </w:rPr>
        <w:t>7）</w:t>
      </w:r>
      <w:r>
        <w:rPr>
          <w:rFonts w:hint="eastAsia"/>
          <w:highlight w:val="none"/>
        </w:rPr>
        <w:t xml:space="preserve">构件起吊时需保持水平，慢速起吊并注意观察。下落时平缓，落架时应防止摇摆碰撞，损伤构件棱角或表面瓷砖。 </w:t>
      </w:r>
    </w:p>
    <w:p w14:paraId="525D38A1">
      <w:pPr>
        <w:ind w:left="480" w:leftChars="200" w:firstLine="480"/>
        <w:rPr>
          <w:rFonts w:hint="eastAsia"/>
          <w:highlight w:val="none"/>
        </w:rPr>
      </w:pPr>
      <w:r>
        <w:rPr>
          <w:highlight w:val="none"/>
        </w:rPr>
        <w:t>8）</w:t>
      </w:r>
      <w:r>
        <w:rPr>
          <w:rFonts w:hint="eastAsia"/>
          <w:highlight w:val="none"/>
        </w:rPr>
        <w:t xml:space="preserve">采用平运叠放方式运输时，构件之间应采用垫木，并在同一条垂直线上，且厚度相等。有吊环的构件叠放时，垫木的厚度应高于吊环的高度，且支点垫木上下对齐。 </w:t>
      </w:r>
    </w:p>
    <w:p w14:paraId="5D526668">
      <w:pPr>
        <w:ind w:left="480" w:leftChars="200" w:firstLine="480"/>
        <w:rPr>
          <w:rFonts w:hint="eastAsia"/>
          <w:highlight w:val="none"/>
        </w:rPr>
      </w:pPr>
      <w:r>
        <w:rPr>
          <w:highlight w:val="none"/>
        </w:rPr>
        <w:t>9）</w:t>
      </w:r>
      <w:r>
        <w:rPr>
          <w:rFonts w:hint="eastAsia"/>
          <w:highlight w:val="none"/>
        </w:rPr>
        <w:t>构件与车身、构件与构件之间应设有板条、草袋等隔离体，避免运输时构件滑动、碰撞。</w:t>
      </w:r>
      <w:r>
        <w:rPr>
          <w:highlight w:val="none"/>
        </w:rPr>
        <w:t xml:space="preserve"> </w:t>
      </w:r>
    </w:p>
    <w:p w14:paraId="3D2F8F87">
      <w:pPr>
        <w:ind w:firstLine="480"/>
        <w:rPr>
          <w:rFonts w:hint="eastAsia"/>
          <w:highlight w:val="none"/>
        </w:rPr>
      </w:pPr>
      <w:r>
        <w:rPr>
          <w:rFonts w:hint="eastAsia"/>
          <w:highlight w:val="none"/>
        </w:rPr>
        <w:t xml:space="preserve">（2）构件的运输基本要求 </w:t>
      </w:r>
    </w:p>
    <w:p w14:paraId="64A20F86">
      <w:pPr>
        <w:ind w:left="480" w:leftChars="200" w:firstLine="480"/>
        <w:rPr>
          <w:rFonts w:hint="eastAsia"/>
          <w:highlight w:val="none"/>
        </w:rPr>
      </w:pPr>
      <w:r>
        <w:rPr>
          <w:rFonts w:hint="eastAsia"/>
          <w:highlight w:val="none"/>
        </w:rPr>
        <w:t xml:space="preserve">1）运输构件时，应采取防止构件移动、倾倒、变形等的固定措施；运输构件时，应采取防止构件损坏的措施，对构件边角部或链锁接触处的混凝土，宜设置保护衬垫。 </w:t>
      </w:r>
    </w:p>
    <w:p w14:paraId="383A6D95">
      <w:pPr>
        <w:ind w:left="480" w:leftChars="200" w:firstLine="480"/>
        <w:rPr>
          <w:rFonts w:hint="eastAsia"/>
          <w:highlight w:val="none"/>
        </w:rPr>
      </w:pPr>
      <w:r>
        <w:rPr>
          <w:rFonts w:hint="eastAsia"/>
          <w:highlight w:val="none"/>
        </w:rPr>
        <w:t xml:space="preserve">2）预制构件的混凝土强度应符合设计要求。当设计无具体要求时，出厂运输、装配时预制构件的混凝土同条件立方体抗压强度不应小于混凝土强度等级值的75%。 </w:t>
      </w:r>
    </w:p>
    <w:p w14:paraId="348AC82B">
      <w:pPr>
        <w:ind w:firstLine="480"/>
        <w:rPr>
          <w:rFonts w:hint="eastAsia"/>
          <w:highlight w:val="none"/>
        </w:rPr>
      </w:pPr>
      <w:r>
        <w:rPr>
          <w:rFonts w:hint="eastAsia"/>
          <w:highlight w:val="none"/>
        </w:rPr>
        <w:t xml:space="preserve">（3）构件堆放基本要求 </w:t>
      </w:r>
    </w:p>
    <w:p w14:paraId="4B2DE7B2">
      <w:pPr>
        <w:ind w:left="480" w:leftChars="200" w:firstLine="480"/>
        <w:rPr>
          <w:rFonts w:hint="eastAsia"/>
          <w:highlight w:val="none"/>
        </w:rPr>
      </w:pPr>
      <w:r>
        <w:rPr>
          <w:rFonts w:hint="eastAsia"/>
          <w:highlight w:val="none"/>
        </w:rPr>
        <w:t xml:space="preserve">1）预制构件由运输车辆卸载后堆放于预制构件专用堆场，堆场大小须满足使用要求，原则上不小于200㎡。并按照指定顺序进行归类堆放。 </w:t>
      </w:r>
    </w:p>
    <w:p w14:paraId="3B1E7BD8">
      <w:pPr>
        <w:ind w:left="480" w:leftChars="200" w:firstLine="480"/>
        <w:rPr>
          <w:rFonts w:hint="eastAsia"/>
          <w:highlight w:val="none"/>
        </w:rPr>
      </w:pPr>
      <w:r>
        <w:rPr>
          <w:rFonts w:hint="eastAsia"/>
          <w:highlight w:val="none"/>
        </w:rPr>
        <w:t xml:space="preserve">2）根据要求结合实际情况，需对车行道路及构件堆场涉及范围内的地库顶板进行加固（若无地下室需对堆场进行硬化），多层地下室需层层加固将力传递至地库底板。 </w:t>
      </w:r>
    </w:p>
    <w:p w14:paraId="1B81E1B1">
      <w:pPr>
        <w:ind w:left="480" w:leftChars="200" w:firstLine="480"/>
        <w:rPr>
          <w:rFonts w:hint="eastAsia"/>
          <w:highlight w:val="none"/>
        </w:rPr>
      </w:pPr>
      <w:r>
        <w:rPr>
          <w:rFonts w:hint="eastAsia"/>
          <w:highlight w:val="none"/>
        </w:rPr>
        <w:t xml:space="preserve">3）预制构件运送到施工现场后，应按品种、所用部位分别设置堆场，应按规格型号、吊装顺序依次堆放，先吊装的构件应堆放在外侧或上层，并将有编号或有标志的一面朝向通道一侧，方便吊装。现场驳放堆场位置应尽可能在塔吊回转半径范围内并考虑到吊装方向，避免吊装时转向和再次搬运，堆垛之间宜设置通道。 </w:t>
      </w:r>
    </w:p>
    <w:p w14:paraId="60BBFD12">
      <w:pPr>
        <w:ind w:left="480" w:leftChars="200" w:firstLine="480"/>
        <w:rPr>
          <w:rFonts w:hint="eastAsia"/>
          <w:highlight w:val="none"/>
        </w:rPr>
      </w:pPr>
      <w:r>
        <w:rPr>
          <w:rFonts w:hint="eastAsia"/>
          <w:highlight w:val="none"/>
        </w:rPr>
        <w:t xml:space="preserve">4)）预制墙板宜采用堆放架插放或靠放,堆放架应具有足够的承载力和刚度，并需支垫稳固，宜将相邻堆放架连成整体；预制墙板外饰面不宜作为支撑面（外饰面朝外）,对连接止水条、高低口、墙体转角等薄弱部位应采用定型保护垫块或专用式附套件 加强保护。 </w:t>
      </w:r>
    </w:p>
    <w:p w14:paraId="26E8771A">
      <w:pPr>
        <w:ind w:left="480" w:leftChars="200" w:firstLine="480"/>
        <w:rPr>
          <w:rFonts w:hint="eastAsia"/>
          <w:highlight w:val="none"/>
        </w:rPr>
      </w:pPr>
      <w:r>
        <w:rPr>
          <w:rFonts w:hint="eastAsia"/>
          <w:highlight w:val="none"/>
        </w:rPr>
        <w:t>5）预制叠合板、柱、梁宜采用叠放方式，层与层之间应垫平、垫实，底层及层间应设 置支垫,支垫应平整且应上下对齐，最下一面一层支垫应通长设置，支垫地基应坚实。</w:t>
      </w:r>
    </w:p>
    <w:p w14:paraId="3F2DF8F0">
      <w:pPr>
        <w:ind w:left="480" w:leftChars="200" w:firstLine="480"/>
        <w:rPr>
          <w:rFonts w:hint="eastAsia"/>
          <w:highlight w:val="none"/>
        </w:rPr>
      </w:pPr>
      <w:r>
        <w:rPr>
          <w:rFonts w:hint="eastAsia"/>
          <w:highlight w:val="none"/>
        </w:rPr>
        <w:t xml:space="preserve">6）预制叠合板叠放层数不应大于 6 层，预制柱、梁叠放层数不应大于 2 层。构件不得直接放置于地面上。 </w:t>
      </w:r>
    </w:p>
    <w:p w14:paraId="61B3D684">
      <w:pPr>
        <w:ind w:left="480" w:leftChars="200" w:firstLine="480"/>
        <w:rPr>
          <w:rFonts w:hint="eastAsia"/>
          <w:highlight w:val="none"/>
        </w:rPr>
      </w:pPr>
      <w:r>
        <w:rPr>
          <w:rFonts w:hint="eastAsia"/>
          <w:highlight w:val="none"/>
        </w:rPr>
        <w:t xml:space="preserve">7）对侧向刚度差、重心较高、支承面较窄的构件，需立放就位，除两端垫垫木外，还应搭设支架或用支撑将其临时固定，支撑件本身应坚固，支撑后不得左右摆动和松动。 </w:t>
      </w:r>
    </w:p>
    <w:p w14:paraId="4B398328">
      <w:pPr>
        <w:ind w:left="480" w:leftChars="200" w:firstLine="480"/>
        <w:rPr>
          <w:rFonts w:hint="eastAsia"/>
          <w:highlight w:val="none"/>
        </w:rPr>
      </w:pPr>
      <w:r>
        <w:rPr>
          <w:rFonts w:hint="eastAsia"/>
          <w:highlight w:val="none"/>
        </w:rPr>
        <w:t xml:space="preserve">8）采用靠放架立放的构件，必须对称靠放和吊运，其倾斜角度应保持大于 80°，构件上部宜用木块隔开。靠放架宜用金属材料制作，使用前要认真检查和验收，靠放架的高度应为构件的三分之二以上。 </w:t>
      </w:r>
    </w:p>
    <w:p w14:paraId="7869835F">
      <w:pPr>
        <w:ind w:firstLine="480"/>
        <w:rPr>
          <w:rFonts w:hint="eastAsia"/>
          <w:highlight w:val="none"/>
        </w:rPr>
      </w:pPr>
      <w:r>
        <w:rPr>
          <w:rFonts w:hint="eastAsia"/>
          <w:highlight w:val="none"/>
        </w:rPr>
        <w:t xml:space="preserve">（4）构件成品保护 </w:t>
      </w:r>
    </w:p>
    <w:p w14:paraId="02E1DEA8">
      <w:pPr>
        <w:ind w:left="480" w:leftChars="200" w:firstLine="480"/>
        <w:rPr>
          <w:rFonts w:hint="eastAsia"/>
          <w:highlight w:val="none"/>
        </w:rPr>
      </w:pPr>
      <w:r>
        <w:rPr>
          <w:rFonts w:hint="eastAsia"/>
          <w:highlight w:val="none"/>
        </w:rPr>
        <w:t xml:space="preserve">1) 预制构件在运输、堆放、安装施工过程中及装配后，应做好成品保护。 </w:t>
      </w:r>
    </w:p>
    <w:p w14:paraId="2E279259">
      <w:pPr>
        <w:ind w:left="480" w:leftChars="200" w:firstLine="480"/>
        <w:rPr>
          <w:rFonts w:hint="eastAsia"/>
          <w:highlight w:val="none"/>
        </w:rPr>
      </w:pPr>
      <w:r>
        <w:rPr>
          <w:rFonts w:hint="eastAsia"/>
          <w:highlight w:val="none"/>
        </w:rPr>
        <w:t xml:space="preserve">2) 预制构件在运输过程中，宜在构件与刚性搁置点处，填塞柔性垫片。 </w:t>
      </w:r>
    </w:p>
    <w:p w14:paraId="3F262678">
      <w:pPr>
        <w:ind w:left="480" w:leftChars="200" w:firstLine="480"/>
        <w:rPr>
          <w:rFonts w:hint="eastAsia"/>
          <w:highlight w:val="none"/>
        </w:rPr>
      </w:pPr>
      <w:r>
        <w:rPr>
          <w:rFonts w:hint="eastAsia"/>
          <w:highlight w:val="none"/>
        </w:rPr>
        <w:t xml:space="preserve">3) 预制外墙板饰面砖、石材、涂刷表面可采用贴膜或用其它专业材料保护 </w:t>
      </w:r>
    </w:p>
    <w:p w14:paraId="359E94AC">
      <w:pPr>
        <w:ind w:left="480" w:leftChars="200" w:firstLine="480"/>
        <w:rPr>
          <w:rFonts w:hint="eastAsia"/>
          <w:highlight w:val="none"/>
        </w:rPr>
      </w:pPr>
      <w:r>
        <w:rPr>
          <w:rFonts w:hint="eastAsia"/>
          <w:highlight w:val="none"/>
        </w:rPr>
        <w:t xml:space="preserve">4) 预制构件暴露在空气中的预埋铁件应涂抹防锈漆，防止产生锈蚀。预埋螺栓孔应用海绵棒进行填塞，防止混凝土浇捣时将其堵塞。 </w:t>
      </w:r>
    </w:p>
    <w:p w14:paraId="1FBA647A">
      <w:pPr>
        <w:ind w:left="480" w:leftChars="200" w:firstLine="480"/>
        <w:rPr>
          <w:rFonts w:hint="eastAsia"/>
          <w:highlight w:val="none"/>
        </w:rPr>
      </w:pPr>
      <w:r>
        <w:rPr>
          <w:rFonts w:hint="eastAsia"/>
          <w:highlight w:val="none"/>
        </w:rPr>
        <w:t xml:space="preserve">5) 预制楼梯安装后，踏步口宜铺设木条或其他覆盖形式保护。 </w:t>
      </w:r>
    </w:p>
    <w:p w14:paraId="4CAD5591">
      <w:pPr>
        <w:ind w:left="480" w:leftChars="200" w:firstLine="480"/>
        <w:rPr>
          <w:rFonts w:hint="eastAsia"/>
          <w:highlight w:val="none"/>
        </w:rPr>
      </w:pPr>
      <w:r>
        <w:rPr>
          <w:rFonts w:hint="eastAsia"/>
          <w:highlight w:val="none"/>
        </w:rPr>
        <w:t>6) 预制外墙板安装完毕后，门、窗框应用槽型木框等材料进行保护。</w:t>
      </w:r>
    </w:p>
    <w:p w14:paraId="30B86CD3">
      <w:pPr>
        <w:pStyle w:val="4"/>
        <w:numPr>
          <w:ilvl w:val="2"/>
          <w:numId w:val="13"/>
        </w:numPr>
        <w:rPr>
          <w:rFonts w:hint="eastAsia"/>
          <w:highlight w:val="none"/>
        </w:rPr>
      </w:pPr>
      <w:r>
        <w:rPr>
          <w:highlight w:val="none"/>
        </w:rPr>
        <w:t>装配式施工基本</w:t>
      </w:r>
      <w:r>
        <w:rPr>
          <w:rFonts w:hint="eastAsia"/>
          <w:highlight w:val="none"/>
        </w:rPr>
        <w:t xml:space="preserve">要求 </w:t>
      </w:r>
    </w:p>
    <w:p w14:paraId="2E33A9A1">
      <w:pPr>
        <w:ind w:firstLine="480"/>
        <w:rPr>
          <w:rFonts w:hint="eastAsia"/>
          <w:highlight w:val="none"/>
        </w:rPr>
      </w:pPr>
      <w:r>
        <w:rPr>
          <w:rFonts w:hint="eastAsia"/>
          <w:highlight w:val="none"/>
        </w:rPr>
        <w:t xml:space="preserve">（1）要求总承包人须具有专职的装配式技术管理人员。要求有专职安全管理人员，并应具备至少有一个装配式结构工程吊装管理经验。要求总承包人拟用具有装配式结构施工经验的劳务分包资源及装配式结构吊装安装的稳定劳动资源。 </w:t>
      </w:r>
    </w:p>
    <w:p w14:paraId="0EFF4A33">
      <w:pPr>
        <w:ind w:firstLine="480"/>
        <w:rPr>
          <w:rFonts w:hint="eastAsia"/>
          <w:highlight w:val="none"/>
        </w:rPr>
      </w:pPr>
      <w:r>
        <w:rPr>
          <w:rFonts w:hint="eastAsia"/>
          <w:highlight w:val="none"/>
        </w:rPr>
        <w:t xml:space="preserve">（2）预制混凝土构件应按施工方案中规定的顺序进行吊装，并满足下列要求： </w:t>
      </w:r>
    </w:p>
    <w:p w14:paraId="72CE4FA8">
      <w:pPr>
        <w:ind w:left="480" w:leftChars="200" w:firstLine="480"/>
        <w:rPr>
          <w:rFonts w:hint="eastAsia"/>
          <w:highlight w:val="none"/>
        </w:rPr>
      </w:pPr>
      <w:r>
        <w:rPr>
          <w:highlight w:val="none"/>
        </w:rPr>
        <w:t>1</w:t>
      </w:r>
      <w:r>
        <w:rPr>
          <w:rFonts w:hint="eastAsia"/>
          <w:highlight w:val="none"/>
        </w:rPr>
        <w:t xml:space="preserve">) 选定的塔吊型号须着重考虑构件最大吊装重量。吊装前应确认预制混凝土构件标识； </w:t>
      </w:r>
    </w:p>
    <w:p w14:paraId="6FD2C4A8">
      <w:pPr>
        <w:ind w:left="480" w:leftChars="200" w:firstLine="480"/>
        <w:rPr>
          <w:rFonts w:hint="eastAsia"/>
          <w:highlight w:val="none"/>
        </w:rPr>
      </w:pPr>
      <w:r>
        <w:rPr>
          <w:highlight w:val="none"/>
        </w:rPr>
        <w:t>2</w:t>
      </w:r>
      <w:r>
        <w:rPr>
          <w:rFonts w:hint="eastAsia"/>
          <w:highlight w:val="none"/>
        </w:rPr>
        <w:t xml:space="preserve">) 吊装绳索与预制混凝土构件的平面夹角不应小于45°，当小于45°时，应经过验算或采用专用起吊架； </w:t>
      </w:r>
    </w:p>
    <w:p w14:paraId="03CF5F24">
      <w:pPr>
        <w:ind w:left="480" w:leftChars="200" w:firstLine="480"/>
        <w:rPr>
          <w:rFonts w:hint="eastAsia"/>
          <w:highlight w:val="none"/>
        </w:rPr>
      </w:pPr>
      <w:r>
        <w:rPr>
          <w:highlight w:val="none"/>
        </w:rPr>
        <w:t>3</w:t>
      </w:r>
      <w:r>
        <w:rPr>
          <w:rFonts w:hint="eastAsia"/>
          <w:highlight w:val="none"/>
        </w:rPr>
        <w:t xml:space="preserve">) 吊装应采用“垂直”或“水平”就位方法。就位后，应设置临时支撑，用专用索具（撑杆）对预制混凝土构件进行调整； </w:t>
      </w:r>
    </w:p>
    <w:p w14:paraId="4581902A">
      <w:pPr>
        <w:ind w:left="480" w:leftChars="200" w:firstLine="480"/>
        <w:rPr>
          <w:rFonts w:hint="eastAsia"/>
          <w:highlight w:val="none"/>
        </w:rPr>
      </w:pPr>
      <w:r>
        <w:rPr>
          <w:highlight w:val="none"/>
        </w:rPr>
        <w:t>4</w:t>
      </w:r>
      <w:r>
        <w:rPr>
          <w:rFonts w:hint="eastAsia"/>
          <w:highlight w:val="none"/>
        </w:rPr>
        <w:t xml:space="preserve">) 当起吊楼板等构件时，应采取避免混凝土构件变形及倾覆的措施。 </w:t>
      </w:r>
    </w:p>
    <w:p w14:paraId="16847BEB">
      <w:pPr>
        <w:ind w:firstLine="480"/>
        <w:rPr>
          <w:rFonts w:hint="eastAsia"/>
          <w:highlight w:val="none"/>
        </w:rPr>
      </w:pPr>
      <w:r>
        <w:rPr>
          <w:rFonts w:hint="eastAsia"/>
          <w:highlight w:val="none"/>
        </w:rPr>
        <w:t xml:space="preserve">（3）预制混凝土结构采用套管灌浆连接或浆锚搭接时，应制定专项施工方案，灌浆应由经过培训合格的专业人员按要求进行操作。 </w:t>
      </w:r>
    </w:p>
    <w:p w14:paraId="7392A5FB">
      <w:pPr>
        <w:ind w:firstLine="480"/>
        <w:rPr>
          <w:rFonts w:hint="eastAsia"/>
          <w:highlight w:val="none"/>
        </w:rPr>
      </w:pPr>
      <w:r>
        <w:rPr>
          <w:rFonts w:hint="eastAsia"/>
          <w:highlight w:val="none"/>
        </w:rPr>
        <w:t xml:space="preserve">（4）预制混凝土结构连接部位的钢筋连接和预留缝灌浆，应满足设计要求和下列规定： </w:t>
      </w:r>
    </w:p>
    <w:p w14:paraId="5BF6968D">
      <w:pPr>
        <w:ind w:left="480" w:leftChars="200" w:firstLine="480"/>
        <w:rPr>
          <w:rFonts w:hint="eastAsia"/>
          <w:highlight w:val="none"/>
        </w:rPr>
      </w:pPr>
      <w:r>
        <w:rPr>
          <w:highlight w:val="none"/>
        </w:rPr>
        <w:t>1</w:t>
      </w:r>
      <w:r>
        <w:rPr>
          <w:rFonts w:hint="eastAsia"/>
          <w:highlight w:val="none"/>
        </w:rPr>
        <w:t xml:space="preserve">) 在进行灌浆前，对预留缝、套管、灌浆料的排出口里面杂物进行清理； </w:t>
      </w:r>
    </w:p>
    <w:p w14:paraId="1DFA8F8B">
      <w:pPr>
        <w:ind w:left="480" w:leftChars="200" w:firstLine="480"/>
        <w:rPr>
          <w:rFonts w:hint="eastAsia"/>
          <w:highlight w:val="none"/>
        </w:rPr>
      </w:pPr>
      <w:r>
        <w:rPr>
          <w:highlight w:val="none"/>
        </w:rPr>
        <w:t>2</w:t>
      </w:r>
      <w:r>
        <w:rPr>
          <w:rFonts w:hint="eastAsia"/>
          <w:highlight w:val="none"/>
        </w:rPr>
        <w:t xml:space="preserve">) 柱脚周围的连接部位，预置 2~3cm 预留缝，应采用模板或密封材料密封后再注入灌浆料。 </w:t>
      </w:r>
    </w:p>
    <w:p w14:paraId="306185B0">
      <w:pPr>
        <w:ind w:firstLine="480"/>
        <w:rPr>
          <w:rFonts w:hint="eastAsia"/>
          <w:highlight w:val="none"/>
        </w:rPr>
      </w:pPr>
      <w:r>
        <w:rPr>
          <w:rFonts w:hint="eastAsia"/>
          <w:highlight w:val="none"/>
        </w:rPr>
        <w:t xml:space="preserve">（5）叠合构件施工应满足下列要求： </w:t>
      </w:r>
    </w:p>
    <w:p w14:paraId="285281A3">
      <w:pPr>
        <w:ind w:left="480" w:leftChars="200" w:firstLine="480"/>
        <w:rPr>
          <w:rFonts w:hint="eastAsia"/>
          <w:highlight w:val="none"/>
        </w:rPr>
      </w:pPr>
      <w:r>
        <w:rPr>
          <w:highlight w:val="none"/>
        </w:rPr>
        <w:t>1</w:t>
      </w:r>
      <w:r>
        <w:rPr>
          <w:rFonts w:hint="eastAsia"/>
          <w:highlight w:val="none"/>
        </w:rPr>
        <w:t xml:space="preserve">) 后浇混凝土施工前，应按设计要求检查结合面粗糙度和钢筋位置，并调整外露 钢筋； </w:t>
      </w:r>
    </w:p>
    <w:p w14:paraId="004415BF">
      <w:pPr>
        <w:ind w:left="480" w:leftChars="200" w:firstLine="480"/>
        <w:rPr>
          <w:rFonts w:hint="eastAsia"/>
          <w:highlight w:val="none"/>
        </w:rPr>
      </w:pPr>
      <w:r>
        <w:rPr>
          <w:highlight w:val="none"/>
        </w:rPr>
        <w:t>2</w:t>
      </w:r>
      <w:r>
        <w:rPr>
          <w:rFonts w:hint="eastAsia"/>
          <w:highlight w:val="none"/>
        </w:rPr>
        <w:t xml:space="preserve">) 叠合构件的施工支撑应按施工方案设置，支撑系统应保证施工荷载作用下的承载力与变形。 </w:t>
      </w:r>
    </w:p>
    <w:p w14:paraId="4F02F775">
      <w:pPr>
        <w:ind w:firstLine="480"/>
        <w:rPr>
          <w:rFonts w:hint="eastAsia"/>
          <w:highlight w:val="none"/>
        </w:rPr>
      </w:pPr>
      <w:r>
        <w:rPr>
          <w:rFonts w:hint="eastAsia"/>
          <w:highlight w:val="none"/>
        </w:rPr>
        <w:t xml:space="preserve">（6）预制构件、操作架、围档在吊升阶段，应在吊装区域下方用设置安全警示区域，安排专人监护。吊运预制构件时，构件下方禁止站人，应待吊物降落至离地 1m 以内方准靠近，就位固定牢固后方可脱钩。 遇到雨、雪、雾天气，或者风力大于 6 级时，不得吊装预制构件。 </w:t>
      </w:r>
    </w:p>
    <w:p w14:paraId="3FDC30C0">
      <w:pPr>
        <w:ind w:firstLine="480"/>
        <w:rPr>
          <w:rFonts w:hint="eastAsia"/>
          <w:highlight w:val="none"/>
        </w:rPr>
      </w:pPr>
      <w:r>
        <w:rPr>
          <w:rFonts w:hint="eastAsia"/>
          <w:highlight w:val="none"/>
        </w:rPr>
        <w:t xml:space="preserve">（7）灌浆方案具体要求灌浆前应先进行工艺试验，监理人见证下合格后方可进行现场实际操作。灌浆应采用机械压力灌浆施工，合理分仓灌浆，保证灌浆连接锚固达到质量验收标准。灌浆过程应连续，不得中断。灌浆施工时，环境温度不应低于 5℃。灌浆料拌合物应在制备后 30min用完，并按规定留置试块。 </w:t>
      </w:r>
    </w:p>
    <w:p w14:paraId="7D471787">
      <w:pPr>
        <w:pStyle w:val="4"/>
        <w:numPr>
          <w:ilvl w:val="2"/>
          <w:numId w:val="13"/>
        </w:numPr>
        <w:rPr>
          <w:rFonts w:hint="eastAsia"/>
          <w:highlight w:val="none"/>
        </w:rPr>
      </w:pPr>
      <w:r>
        <w:rPr>
          <w:rFonts w:hint="eastAsia"/>
          <w:highlight w:val="none"/>
        </w:rPr>
        <w:t xml:space="preserve">模板架体支撑要求 </w:t>
      </w:r>
    </w:p>
    <w:p w14:paraId="2B5E97D2">
      <w:pPr>
        <w:ind w:firstLine="480"/>
        <w:rPr>
          <w:rFonts w:hint="eastAsia"/>
          <w:highlight w:val="none"/>
        </w:rPr>
      </w:pPr>
      <w:r>
        <w:rPr>
          <w:rFonts w:hint="eastAsia"/>
          <w:highlight w:val="none"/>
        </w:rPr>
        <w:t xml:space="preserve">模板架体支撑宜采用装配式结构专业支撑调节工具，并经过受力计算，同时考虑现浇结构与预制节点处理加固方式，确保模板架体安全及施工成型质量。每个预制构件的临时支撑不宜少于 2 道，对预制柱、墙板的上部斜撑，其支撑点距离底部的距离不宜小于高度的 2/3，且不应小于高度的 1/2。 </w:t>
      </w:r>
    </w:p>
    <w:p w14:paraId="66F31DD7">
      <w:pPr>
        <w:pStyle w:val="3"/>
        <w:numPr>
          <w:ilvl w:val="1"/>
          <w:numId w:val="13"/>
        </w:numPr>
        <w:rPr>
          <w:rFonts w:hint="eastAsia"/>
          <w:highlight w:val="none"/>
        </w:rPr>
      </w:pPr>
      <w:bookmarkStart w:id="761" w:name="_Toc31759"/>
      <w:bookmarkStart w:id="762" w:name="_Toc27103"/>
      <w:bookmarkStart w:id="763" w:name="_Toc25223"/>
      <w:bookmarkStart w:id="764" w:name="_Toc13363"/>
      <w:bookmarkStart w:id="765" w:name="_Toc30460"/>
      <w:bookmarkStart w:id="766" w:name="_Toc1556"/>
      <w:bookmarkStart w:id="767" w:name="_Toc7664"/>
      <w:bookmarkStart w:id="768" w:name="_Toc7028"/>
      <w:bookmarkStart w:id="769" w:name="_Toc11388"/>
      <w:bookmarkStart w:id="770" w:name="_Toc6648"/>
      <w:r>
        <w:rPr>
          <w:rFonts w:hint="eastAsia"/>
          <w:highlight w:val="none"/>
        </w:rPr>
        <w:t>机电工程技术要求</w:t>
      </w:r>
      <w:bookmarkEnd w:id="759"/>
      <w:bookmarkEnd w:id="760"/>
      <w:bookmarkEnd w:id="761"/>
      <w:bookmarkEnd w:id="762"/>
      <w:bookmarkEnd w:id="763"/>
      <w:bookmarkEnd w:id="764"/>
      <w:bookmarkEnd w:id="765"/>
      <w:bookmarkEnd w:id="766"/>
      <w:bookmarkEnd w:id="767"/>
      <w:bookmarkEnd w:id="768"/>
      <w:bookmarkEnd w:id="769"/>
      <w:bookmarkEnd w:id="770"/>
    </w:p>
    <w:p w14:paraId="17CCB70C">
      <w:pPr>
        <w:pStyle w:val="4"/>
        <w:numPr>
          <w:ilvl w:val="2"/>
          <w:numId w:val="13"/>
        </w:numPr>
        <w:rPr>
          <w:rFonts w:hint="eastAsia"/>
          <w:highlight w:val="none"/>
        </w:rPr>
      </w:pPr>
      <w:r>
        <w:rPr>
          <w:rFonts w:hint="eastAsia"/>
          <w:highlight w:val="none"/>
        </w:rPr>
        <w:t>预留预埋工程</w:t>
      </w:r>
    </w:p>
    <w:p w14:paraId="2396F717">
      <w:pPr>
        <w:pStyle w:val="5"/>
        <w:rPr>
          <w:rFonts w:hint="eastAsia"/>
          <w:highlight w:val="none"/>
        </w:rPr>
      </w:pPr>
      <w:r>
        <w:rPr>
          <w:rFonts w:hint="eastAsia"/>
          <w:highlight w:val="none"/>
        </w:rPr>
        <w:t>结构预留孔洞要求</w:t>
      </w:r>
    </w:p>
    <w:p w14:paraId="7191FBE1">
      <w:pPr>
        <w:numPr>
          <w:ilvl w:val="1"/>
          <w:numId w:val="87"/>
        </w:numPr>
        <w:ind w:firstLine="480"/>
        <w:rPr>
          <w:rFonts w:hint="eastAsia"/>
          <w:highlight w:val="none"/>
        </w:rPr>
      </w:pPr>
      <w:r>
        <w:rPr>
          <w:rFonts w:hint="eastAsia"/>
          <w:highlight w:val="none"/>
        </w:rPr>
        <w:t>总承包人需根据图纸要求绘制相应结构留洞及套管综合图以及洞口、套管检查表供施工和检查使用，洞口、套管检查表宜采用消项管理。</w:t>
      </w:r>
    </w:p>
    <w:p w14:paraId="0878CE5E">
      <w:pPr>
        <w:numPr>
          <w:ilvl w:val="1"/>
          <w:numId w:val="87"/>
        </w:numPr>
        <w:ind w:firstLine="480"/>
        <w:rPr>
          <w:rFonts w:hint="eastAsia"/>
          <w:highlight w:val="none"/>
        </w:rPr>
      </w:pPr>
      <w:r>
        <w:rPr>
          <w:rFonts w:hint="eastAsia"/>
          <w:highlight w:val="none"/>
        </w:rPr>
        <w:t>总承包人应组织给排水、消防、暖通、电气等专业技术人员熟悉图纸，对本专业管路和金属线槽、桥架等的走向形成立体的认识；审核预留洞有无冲突，发现问题应及时通过监理人</w:t>
      </w:r>
      <w:r>
        <w:rPr>
          <w:highlight w:val="none"/>
        </w:rPr>
        <w:t>/发包人解决。</w:t>
      </w:r>
    </w:p>
    <w:p w14:paraId="1D91A7B8">
      <w:pPr>
        <w:numPr>
          <w:ilvl w:val="1"/>
          <w:numId w:val="87"/>
        </w:numPr>
        <w:ind w:firstLine="480"/>
        <w:rPr>
          <w:rFonts w:hint="eastAsia"/>
          <w:highlight w:val="none"/>
        </w:rPr>
      </w:pPr>
      <w:r>
        <w:rPr>
          <w:rFonts w:hint="eastAsia"/>
          <w:highlight w:val="none"/>
        </w:rPr>
        <w:t>结构预留孔、洞、槽和预埋件</w:t>
      </w:r>
    </w:p>
    <w:p w14:paraId="77DC00D4">
      <w:pPr>
        <w:numPr>
          <w:ilvl w:val="0"/>
          <w:numId w:val="88"/>
        </w:numPr>
        <w:ind w:firstLine="480"/>
        <w:rPr>
          <w:rFonts w:hint="eastAsia"/>
          <w:highlight w:val="none"/>
        </w:rPr>
      </w:pPr>
      <w:r>
        <w:rPr>
          <w:rFonts w:hint="eastAsia"/>
          <w:highlight w:val="none"/>
        </w:rPr>
        <w:t>当管道穿墙壁、楼板及嵌墙暗敷时，应与土建施工配合预留孔、槽。</w:t>
      </w:r>
    </w:p>
    <w:p w14:paraId="4E18ADB1">
      <w:pPr>
        <w:numPr>
          <w:ilvl w:val="0"/>
          <w:numId w:val="88"/>
        </w:numPr>
        <w:ind w:firstLine="480"/>
        <w:rPr>
          <w:rFonts w:hint="eastAsia"/>
          <w:highlight w:val="none"/>
        </w:rPr>
      </w:pPr>
      <w:r>
        <w:rPr>
          <w:rFonts w:hint="eastAsia"/>
          <w:highlight w:val="none"/>
        </w:rPr>
        <w:t>在混凝土楼板、梁、墙上预留孔、洞、槽和预埋件时，应有专人按设计图纸将管道及设备的位置、标高尺寸测定，标好孔洞的部位，将预制好的模盒、预埋铁件在绑扎钢筋前按标记固定牢，盒内堵塞，并经监理人</w:t>
      </w:r>
      <w:r>
        <w:rPr>
          <w:highlight w:val="none"/>
        </w:rPr>
        <w:t>/发包人验收合格后才可浇注混凝土。在混凝土浇筑过程中应有专人配合校对，看管模盒、埋件，以免移位。</w:t>
      </w:r>
    </w:p>
    <w:p w14:paraId="23CC2FB3">
      <w:pPr>
        <w:numPr>
          <w:ilvl w:val="0"/>
          <w:numId w:val="88"/>
        </w:numPr>
        <w:ind w:firstLine="480"/>
        <w:rPr>
          <w:rFonts w:hint="eastAsia"/>
          <w:highlight w:val="none"/>
        </w:rPr>
      </w:pPr>
      <w:r>
        <w:rPr>
          <w:rFonts w:hint="eastAsia"/>
          <w:highlight w:val="none"/>
        </w:rPr>
        <w:t>预制墙（楼）板需要剔孔洞时，必须在装修或抹灰前剔凿，孔洞直径与管外径的间隙不得超过</w:t>
      </w:r>
      <w:r>
        <w:rPr>
          <w:highlight w:val="none"/>
        </w:rPr>
        <w:t>30mm。遇有剔混凝土空心楼板肋或断钢筋时，必须预先征得监理人/发包人的同意并采取相应的补救措施后，方可进行。</w:t>
      </w:r>
    </w:p>
    <w:p w14:paraId="6B4EBC0B">
      <w:pPr>
        <w:numPr>
          <w:ilvl w:val="0"/>
          <w:numId w:val="88"/>
        </w:numPr>
        <w:ind w:firstLine="480"/>
        <w:rPr>
          <w:rFonts w:hint="eastAsia"/>
          <w:highlight w:val="none"/>
        </w:rPr>
      </w:pPr>
      <w:r>
        <w:rPr>
          <w:rFonts w:hint="eastAsia"/>
          <w:highlight w:val="none"/>
        </w:rPr>
        <w:t>在配合施工中，机电专业人员必须随工程进度密切配合土建专业作好预留预埋工作。</w:t>
      </w:r>
    </w:p>
    <w:p w14:paraId="4690DFEA">
      <w:pPr>
        <w:numPr>
          <w:ilvl w:val="0"/>
          <w:numId w:val="88"/>
        </w:numPr>
        <w:ind w:firstLine="480"/>
        <w:rPr>
          <w:rFonts w:hint="eastAsia"/>
          <w:highlight w:val="none"/>
        </w:rPr>
      </w:pPr>
      <w:r>
        <w:rPr>
          <w:rFonts w:hint="eastAsia"/>
          <w:highlight w:val="none"/>
        </w:rPr>
        <w:t>为了避免遗漏和错留，在核对间距、尺寸和位置无误后，报监理人验收。</w:t>
      </w:r>
    </w:p>
    <w:p w14:paraId="3EEAFFD4">
      <w:pPr>
        <w:pStyle w:val="5"/>
        <w:rPr>
          <w:rFonts w:hint="eastAsia"/>
          <w:highlight w:val="none"/>
        </w:rPr>
      </w:pPr>
      <w:r>
        <w:rPr>
          <w:rFonts w:hint="eastAsia"/>
          <w:highlight w:val="none"/>
        </w:rPr>
        <w:t>预留预埋套管的要求</w:t>
      </w:r>
    </w:p>
    <w:p w14:paraId="58655077">
      <w:pPr>
        <w:numPr>
          <w:ilvl w:val="1"/>
          <w:numId w:val="89"/>
        </w:numPr>
        <w:ind w:firstLine="480"/>
        <w:rPr>
          <w:rFonts w:hint="eastAsia"/>
          <w:highlight w:val="none"/>
        </w:rPr>
      </w:pPr>
      <w:r>
        <w:rPr>
          <w:rFonts w:hint="eastAsia"/>
          <w:highlight w:val="none"/>
        </w:rPr>
        <w:t>套管设置</w:t>
      </w:r>
    </w:p>
    <w:p w14:paraId="41CCC703">
      <w:pPr>
        <w:spacing w:before="120" w:beforeLines="50" w:after="120" w:afterLines="50"/>
        <w:ind w:left="850" w:leftChars="354" w:firstLine="480"/>
        <w:rPr>
          <w:rFonts w:hint="eastAsia" w:asciiTheme="minorEastAsia" w:hAnsiTheme="minorEastAsia"/>
          <w:bCs/>
          <w:highlight w:val="none"/>
        </w:rPr>
      </w:pPr>
      <w:r>
        <w:rPr>
          <w:rFonts w:hint="eastAsia" w:asciiTheme="minorEastAsia" w:hAnsiTheme="minorEastAsia"/>
          <w:bCs/>
          <w:highlight w:val="none"/>
        </w:rPr>
        <w:t>管道穿过楼板、梁、建筑外墙及隔墙、基础等处时，必须设置套管。安装在墙壁上的套管端头应与饰面相平，套管与管道之间填实。管道穿地下室、地下构筑物外墙、卫生间沉箱、屋面、外墙及其它管线穿越防水层时，应采用刚性防水套管。</w:t>
      </w:r>
    </w:p>
    <w:p w14:paraId="67FB9980">
      <w:pPr>
        <w:numPr>
          <w:ilvl w:val="1"/>
          <w:numId w:val="89"/>
        </w:numPr>
        <w:ind w:firstLine="480"/>
        <w:rPr>
          <w:rFonts w:hint="eastAsia"/>
          <w:highlight w:val="none"/>
        </w:rPr>
      </w:pPr>
      <w:r>
        <w:rPr>
          <w:rFonts w:hint="eastAsia"/>
          <w:highlight w:val="none"/>
        </w:rPr>
        <w:t>套管安装</w:t>
      </w:r>
    </w:p>
    <w:p w14:paraId="3A3CB46B">
      <w:pPr>
        <w:spacing w:before="120" w:beforeLines="50" w:after="120" w:afterLines="50"/>
        <w:ind w:left="850" w:leftChars="354" w:firstLine="480"/>
        <w:rPr>
          <w:rFonts w:hint="eastAsia" w:asciiTheme="minorEastAsia" w:hAnsiTheme="minorEastAsia"/>
          <w:bCs/>
          <w:highlight w:val="none"/>
        </w:rPr>
      </w:pPr>
      <w:r>
        <w:rPr>
          <w:rFonts w:hint="eastAsia" w:asciiTheme="minorEastAsia" w:hAnsiTheme="minorEastAsia"/>
          <w:bCs/>
          <w:highlight w:val="none"/>
        </w:rPr>
        <w:t>根据所穿构筑物的厚度及管径尺寸确定套管规格、长度，翼环及钢套管加工完成后刷防锈漆做防腐处理。套管安装时，必须随混凝土施工一次性浇固于墙（壁）内。楼板、隔墙和墙内的穿管孔隙在安完管道后进行堵塞封堵。预埋上下层套管时，中心线需垂直，套管不能直接和主筋焊接，应采取附加筋形式。</w:t>
      </w:r>
    </w:p>
    <w:p w14:paraId="45E23C72">
      <w:pPr>
        <w:numPr>
          <w:ilvl w:val="1"/>
          <w:numId w:val="89"/>
        </w:numPr>
        <w:ind w:firstLine="480"/>
        <w:rPr>
          <w:rFonts w:hint="eastAsia"/>
          <w:highlight w:val="none"/>
        </w:rPr>
      </w:pPr>
      <w:r>
        <w:rPr>
          <w:rFonts w:hint="eastAsia"/>
          <w:highlight w:val="none"/>
        </w:rPr>
        <w:t>人防套管的预留预埋</w:t>
      </w:r>
    </w:p>
    <w:p w14:paraId="1335B782">
      <w:pPr>
        <w:numPr>
          <w:ilvl w:val="0"/>
          <w:numId w:val="90"/>
        </w:numPr>
        <w:ind w:firstLine="480"/>
        <w:rPr>
          <w:rFonts w:hint="eastAsia"/>
          <w:highlight w:val="none"/>
        </w:rPr>
      </w:pPr>
      <w:r>
        <w:rPr>
          <w:rFonts w:hint="eastAsia"/>
          <w:highlight w:val="none"/>
        </w:rPr>
        <w:t>给水管、压力排水管、电缆电线等密闭穿墙短管，应按设计要求制作。当设计无要求时，应采用壁厚大于</w:t>
      </w:r>
      <w:r>
        <w:rPr>
          <w:highlight w:val="none"/>
        </w:rPr>
        <w:t>3mm的短管。</w:t>
      </w:r>
    </w:p>
    <w:p w14:paraId="0ECDC4C1">
      <w:pPr>
        <w:numPr>
          <w:ilvl w:val="0"/>
          <w:numId w:val="90"/>
        </w:numPr>
        <w:ind w:firstLine="480"/>
        <w:rPr>
          <w:rFonts w:hint="eastAsia"/>
          <w:highlight w:val="none"/>
        </w:rPr>
      </w:pPr>
      <w:r>
        <w:rPr>
          <w:rFonts w:hint="eastAsia"/>
          <w:highlight w:val="none"/>
        </w:rPr>
        <w:t>通风管的密闭穿墙短管、密闭翼环的制作及安装应符合设计文件及人防规范要求”</w:t>
      </w:r>
    </w:p>
    <w:p w14:paraId="0701E161">
      <w:pPr>
        <w:pStyle w:val="5"/>
        <w:rPr>
          <w:rFonts w:hint="eastAsia"/>
          <w:highlight w:val="none"/>
        </w:rPr>
      </w:pPr>
      <w:r>
        <w:rPr>
          <w:rFonts w:hint="eastAsia"/>
          <w:highlight w:val="none"/>
        </w:rPr>
        <w:t>电气导管、线盒预留预埋（包括剪力墙、现浇顶板、砌体）</w:t>
      </w:r>
    </w:p>
    <w:p w14:paraId="6E3001BB">
      <w:pPr>
        <w:numPr>
          <w:ilvl w:val="1"/>
          <w:numId w:val="91"/>
        </w:numPr>
        <w:ind w:firstLine="480"/>
        <w:rPr>
          <w:rFonts w:hint="eastAsia"/>
          <w:highlight w:val="none"/>
        </w:rPr>
      </w:pPr>
      <w:r>
        <w:rPr>
          <w:rFonts w:hint="eastAsia"/>
          <w:highlight w:val="none"/>
        </w:rPr>
        <w:t>材料准备的要求</w:t>
      </w:r>
    </w:p>
    <w:p w14:paraId="42BF4551">
      <w:pPr>
        <w:numPr>
          <w:ilvl w:val="0"/>
          <w:numId w:val="92"/>
        </w:numPr>
        <w:ind w:firstLine="480"/>
        <w:rPr>
          <w:rFonts w:hint="eastAsia"/>
          <w:highlight w:val="none"/>
        </w:rPr>
      </w:pPr>
      <w:r>
        <w:rPr>
          <w:highlight w:val="none"/>
        </w:rPr>
        <w:t>PVC盒的表面一定要光滑，材质要好。钢制接线盒外观应干净，无脏污，无划伤，无毛刺锐边。</w:t>
      </w:r>
    </w:p>
    <w:p w14:paraId="3ED2FAEF">
      <w:pPr>
        <w:numPr>
          <w:ilvl w:val="0"/>
          <w:numId w:val="92"/>
        </w:numPr>
        <w:ind w:firstLine="480"/>
        <w:rPr>
          <w:rFonts w:hint="eastAsia"/>
          <w:highlight w:val="none"/>
        </w:rPr>
      </w:pPr>
      <w:r>
        <w:rPr>
          <w:rFonts w:hint="eastAsia"/>
          <w:highlight w:val="none"/>
        </w:rPr>
        <w:t>管件表面内壁一定要光滑，不应有裂痕，毛刺。厚度符合规范要求。</w:t>
      </w:r>
    </w:p>
    <w:p w14:paraId="3EF179BE">
      <w:pPr>
        <w:numPr>
          <w:ilvl w:val="0"/>
          <w:numId w:val="92"/>
        </w:numPr>
        <w:ind w:firstLine="480"/>
        <w:rPr>
          <w:rFonts w:hint="eastAsia"/>
          <w:highlight w:val="none"/>
        </w:rPr>
      </w:pPr>
      <w:r>
        <w:rPr>
          <w:rFonts w:hint="eastAsia"/>
          <w:highlight w:val="none"/>
        </w:rPr>
        <w:t>钢管直接头，厚度要符合验收质量标准，表面光滑，无毛刺，镀锌层完好。</w:t>
      </w:r>
    </w:p>
    <w:p w14:paraId="50D83C79">
      <w:pPr>
        <w:numPr>
          <w:ilvl w:val="0"/>
          <w:numId w:val="92"/>
        </w:numPr>
        <w:ind w:firstLine="480"/>
        <w:rPr>
          <w:rFonts w:hint="eastAsia"/>
          <w:highlight w:val="none"/>
        </w:rPr>
      </w:pPr>
      <w:r>
        <w:rPr>
          <w:rFonts w:hint="eastAsia"/>
          <w:highlight w:val="none"/>
        </w:rPr>
        <w:t>接地线为软芯铜导线，接地管卡配套。</w:t>
      </w:r>
    </w:p>
    <w:p w14:paraId="1294CE9E">
      <w:pPr>
        <w:numPr>
          <w:ilvl w:val="1"/>
          <w:numId w:val="91"/>
        </w:numPr>
        <w:ind w:firstLine="480"/>
        <w:rPr>
          <w:rFonts w:hint="eastAsia"/>
          <w:highlight w:val="none"/>
        </w:rPr>
      </w:pPr>
      <w:r>
        <w:rPr>
          <w:rFonts w:hint="eastAsia"/>
          <w:highlight w:val="none"/>
        </w:rPr>
        <w:t>确定管、盒位置</w:t>
      </w:r>
    </w:p>
    <w:p w14:paraId="71C74303">
      <w:pPr>
        <w:numPr>
          <w:ilvl w:val="0"/>
          <w:numId w:val="93"/>
        </w:numPr>
        <w:ind w:firstLine="480"/>
        <w:rPr>
          <w:rFonts w:hint="eastAsia"/>
          <w:highlight w:val="none"/>
        </w:rPr>
      </w:pPr>
      <w:r>
        <w:rPr>
          <w:rFonts w:hint="eastAsia"/>
          <w:highlight w:val="none"/>
        </w:rPr>
        <w:t>顶板类在模板上画出线盒位置线。</w:t>
      </w:r>
    </w:p>
    <w:p w14:paraId="0462AC1A">
      <w:pPr>
        <w:numPr>
          <w:ilvl w:val="0"/>
          <w:numId w:val="93"/>
        </w:numPr>
        <w:ind w:firstLine="480"/>
        <w:rPr>
          <w:rFonts w:hint="eastAsia"/>
          <w:highlight w:val="none"/>
        </w:rPr>
      </w:pPr>
      <w:r>
        <w:rPr>
          <w:rFonts w:hint="eastAsia"/>
          <w:highlight w:val="none"/>
        </w:rPr>
        <w:t>墙面类用盒尺和水平仪确定线盒位置并在钢筋上标记（定位时考虑保护层厚度和建筑做法）。</w:t>
      </w:r>
    </w:p>
    <w:p w14:paraId="58710509">
      <w:pPr>
        <w:numPr>
          <w:ilvl w:val="1"/>
          <w:numId w:val="91"/>
        </w:numPr>
        <w:ind w:firstLine="480"/>
        <w:rPr>
          <w:rFonts w:hint="eastAsia"/>
          <w:highlight w:val="none"/>
        </w:rPr>
      </w:pPr>
      <w:r>
        <w:rPr>
          <w:rFonts w:hint="eastAsia"/>
          <w:highlight w:val="none"/>
        </w:rPr>
        <w:t>固定线盒</w:t>
      </w:r>
    </w:p>
    <w:p w14:paraId="02DB0ED4">
      <w:pPr>
        <w:numPr>
          <w:ilvl w:val="0"/>
          <w:numId w:val="94"/>
        </w:numPr>
        <w:ind w:firstLine="480"/>
        <w:rPr>
          <w:rFonts w:hint="eastAsia"/>
          <w:highlight w:val="none"/>
        </w:rPr>
      </w:pPr>
      <w:r>
        <w:rPr>
          <w:rFonts w:hint="eastAsia"/>
          <w:highlight w:val="none"/>
        </w:rPr>
        <w:t>固定线盒时须在堵盒前首先堵好管口。</w:t>
      </w:r>
    </w:p>
    <w:p w14:paraId="28D4855A">
      <w:pPr>
        <w:numPr>
          <w:ilvl w:val="0"/>
          <w:numId w:val="94"/>
        </w:numPr>
        <w:ind w:firstLine="480"/>
        <w:rPr>
          <w:rFonts w:hint="eastAsia"/>
          <w:highlight w:val="none"/>
        </w:rPr>
      </w:pPr>
      <w:r>
        <w:rPr>
          <w:rFonts w:hint="eastAsia"/>
          <w:highlight w:val="none"/>
        </w:rPr>
        <w:t>为防止混凝土浇筑时线盒偏位，底盒绑扎时应加背筋。</w:t>
      </w:r>
    </w:p>
    <w:p w14:paraId="7C0C9939">
      <w:pPr>
        <w:numPr>
          <w:ilvl w:val="0"/>
          <w:numId w:val="94"/>
        </w:numPr>
        <w:ind w:firstLine="480"/>
        <w:rPr>
          <w:rFonts w:hint="eastAsia"/>
          <w:highlight w:val="none"/>
        </w:rPr>
      </w:pPr>
      <w:r>
        <w:rPr>
          <w:rFonts w:hint="eastAsia"/>
          <w:highlight w:val="none"/>
        </w:rPr>
        <w:t>灯盒应该安装在房间或功能分区的中心。</w:t>
      </w:r>
    </w:p>
    <w:p w14:paraId="0A5F1426">
      <w:pPr>
        <w:numPr>
          <w:ilvl w:val="0"/>
          <w:numId w:val="94"/>
        </w:numPr>
        <w:ind w:firstLine="480"/>
        <w:rPr>
          <w:rFonts w:hint="eastAsia"/>
          <w:highlight w:val="none"/>
        </w:rPr>
      </w:pPr>
      <w:r>
        <w:rPr>
          <w:rFonts w:hint="eastAsia"/>
          <w:highlight w:val="none"/>
        </w:rPr>
        <w:t>同一室内的底盒标高差≤</w:t>
      </w:r>
      <w:r>
        <w:rPr>
          <w:highlight w:val="none"/>
        </w:rPr>
        <w:t>3mm</w:t>
      </w:r>
      <w:r>
        <w:rPr>
          <w:rFonts w:hint="eastAsia"/>
          <w:highlight w:val="none"/>
        </w:rPr>
        <w:t>，并排插座开关面板高度差≤</w:t>
      </w:r>
      <w:r>
        <w:rPr>
          <w:highlight w:val="none"/>
        </w:rPr>
        <w:t>1mm。</w:t>
      </w:r>
    </w:p>
    <w:p w14:paraId="7C94B3C4">
      <w:pPr>
        <w:numPr>
          <w:ilvl w:val="0"/>
          <w:numId w:val="94"/>
        </w:numPr>
        <w:ind w:firstLine="480"/>
        <w:rPr>
          <w:rFonts w:hint="eastAsia"/>
          <w:highlight w:val="none"/>
        </w:rPr>
      </w:pPr>
      <w:r>
        <w:rPr>
          <w:rFonts w:hint="eastAsia"/>
          <w:highlight w:val="none"/>
        </w:rPr>
        <w:t>固定钢筋不小于</w:t>
      </w:r>
      <w:r>
        <w:rPr>
          <w:highlight w:val="none"/>
        </w:rPr>
        <w:t>ф8。</w:t>
      </w:r>
    </w:p>
    <w:p w14:paraId="6FC16EB8">
      <w:pPr>
        <w:numPr>
          <w:ilvl w:val="1"/>
          <w:numId w:val="91"/>
        </w:numPr>
        <w:ind w:firstLine="480"/>
        <w:rPr>
          <w:rFonts w:hint="eastAsia"/>
          <w:highlight w:val="none"/>
        </w:rPr>
      </w:pPr>
      <w:r>
        <w:rPr>
          <w:rFonts w:hint="eastAsia"/>
          <w:highlight w:val="none"/>
        </w:rPr>
        <w:t>敷设管路</w:t>
      </w:r>
    </w:p>
    <w:p w14:paraId="6AC1873F">
      <w:pPr>
        <w:numPr>
          <w:ilvl w:val="0"/>
          <w:numId w:val="95"/>
        </w:numPr>
        <w:ind w:firstLine="480"/>
        <w:rPr>
          <w:rFonts w:hint="eastAsia"/>
          <w:highlight w:val="none"/>
        </w:rPr>
      </w:pPr>
      <w:r>
        <w:rPr>
          <w:rFonts w:hint="eastAsia"/>
          <w:highlight w:val="none"/>
        </w:rPr>
        <w:t>管路必须敷设在钢筋网内侧和上下层钢筋之间</w:t>
      </w:r>
      <w:r>
        <w:rPr>
          <w:highlight w:val="none"/>
        </w:rPr>
        <w:t>,与钢筋绑扎固定。管路宜沿最近的路线敷设并尽量减少弯曲和交叉。</w:t>
      </w:r>
    </w:p>
    <w:p w14:paraId="1D6E6636">
      <w:pPr>
        <w:numPr>
          <w:ilvl w:val="0"/>
          <w:numId w:val="95"/>
        </w:numPr>
        <w:ind w:firstLine="480"/>
        <w:rPr>
          <w:rFonts w:hint="eastAsia"/>
          <w:highlight w:val="none"/>
        </w:rPr>
      </w:pPr>
      <w:r>
        <w:rPr>
          <w:rFonts w:hint="eastAsia"/>
          <w:highlight w:val="none"/>
        </w:rPr>
        <w:t>布管完成后，用扎丝绑扎在钢筋的底板筋上。</w:t>
      </w:r>
    </w:p>
    <w:p w14:paraId="2F53F5CB">
      <w:pPr>
        <w:numPr>
          <w:ilvl w:val="0"/>
          <w:numId w:val="95"/>
        </w:numPr>
        <w:ind w:firstLine="480"/>
        <w:rPr>
          <w:rFonts w:hint="eastAsia"/>
          <w:highlight w:val="none"/>
        </w:rPr>
      </w:pPr>
      <w:r>
        <w:rPr>
          <w:rFonts w:hint="eastAsia"/>
          <w:highlight w:val="none"/>
        </w:rPr>
        <w:t>管口必须封堵严密。</w:t>
      </w:r>
    </w:p>
    <w:p w14:paraId="43092DDC">
      <w:pPr>
        <w:numPr>
          <w:ilvl w:val="0"/>
          <w:numId w:val="95"/>
        </w:numPr>
        <w:ind w:firstLine="480"/>
        <w:rPr>
          <w:rFonts w:hint="eastAsia"/>
          <w:highlight w:val="none"/>
        </w:rPr>
      </w:pPr>
      <w:r>
        <w:rPr>
          <w:rFonts w:hint="eastAsia"/>
          <w:highlight w:val="none"/>
        </w:rPr>
        <w:t>向上的管路在引出位置应用钢筋固定</w:t>
      </w:r>
      <w:r>
        <w:rPr>
          <w:highlight w:val="none"/>
        </w:rPr>
        <w:t>,用以固定位置和保护管路不受外力损伤折断。</w:t>
      </w:r>
    </w:p>
    <w:p w14:paraId="523124D7">
      <w:pPr>
        <w:numPr>
          <w:ilvl w:val="0"/>
          <w:numId w:val="95"/>
        </w:numPr>
        <w:ind w:firstLine="480"/>
        <w:rPr>
          <w:rFonts w:hint="eastAsia"/>
          <w:highlight w:val="none"/>
        </w:rPr>
      </w:pPr>
      <w:r>
        <w:rPr>
          <w:rFonts w:hint="eastAsia"/>
          <w:highlight w:val="none"/>
        </w:rPr>
        <w:t>弯曲半径不小于管外径的六倍，且弯曲后无裂缝或显著的凹瘪现象。</w:t>
      </w:r>
    </w:p>
    <w:p w14:paraId="425F36BB">
      <w:pPr>
        <w:numPr>
          <w:ilvl w:val="0"/>
          <w:numId w:val="95"/>
        </w:numPr>
        <w:ind w:firstLine="480"/>
        <w:rPr>
          <w:rFonts w:hint="eastAsia"/>
          <w:highlight w:val="none"/>
        </w:rPr>
      </w:pPr>
      <w:r>
        <w:rPr>
          <w:rFonts w:hint="eastAsia"/>
          <w:highlight w:val="none"/>
        </w:rPr>
        <w:t>离表面的净距不小于</w:t>
      </w:r>
      <w:r>
        <w:rPr>
          <w:highlight w:val="none"/>
        </w:rPr>
        <w:t>15mm，并列的管子间应留有间隙。</w:t>
      </w:r>
    </w:p>
    <w:p w14:paraId="59C3699E">
      <w:pPr>
        <w:numPr>
          <w:ilvl w:val="0"/>
          <w:numId w:val="95"/>
        </w:numPr>
        <w:ind w:firstLine="480"/>
        <w:rPr>
          <w:rFonts w:hint="eastAsia"/>
          <w:highlight w:val="none"/>
        </w:rPr>
      </w:pPr>
      <w:r>
        <w:rPr>
          <w:rFonts w:hint="eastAsia"/>
          <w:highlight w:val="none"/>
        </w:rPr>
        <w:t>混凝土结构内电管暗敷出梁、楼面偏差≤</w:t>
      </w:r>
      <w:r>
        <w:rPr>
          <w:highlight w:val="none"/>
        </w:rPr>
        <w:t>30mm。</w:t>
      </w:r>
    </w:p>
    <w:p w14:paraId="38B7A964">
      <w:pPr>
        <w:numPr>
          <w:ilvl w:val="0"/>
          <w:numId w:val="95"/>
        </w:numPr>
        <w:ind w:firstLine="480"/>
        <w:rPr>
          <w:rFonts w:hint="eastAsia"/>
          <w:highlight w:val="none"/>
        </w:rPr>
      </w:pPr>
      <w:r>
        <w:rPr>
          <w:rFonts w:hint="eastAsia"/>
          <w:highlight w:val="none"/>
        </w:rPr>
        <w:t>绑扎点距离应≤</w:t>
      </w:r>
      <w:r>
        <w:rPr>
          <w:highlight w:val="none"/>
        </w:rPr>
        <w:t>500mm，管的直接处与绑扎点间距应≤15mm。管与盒的接头处与绑扎点间距应≤10mm。</w:t>
      </w:r>
    </w:p>
    <w:p w14:paraId="78EA36BE">
      <w:pPr>
        <w:numPr>
          <w:ilvl w:val="1"/>
          <w:numId w:val="91"/>
        </w:numPr>
        <w:ind w:firstLine="480"/>
        <w:rPr>
          <w:rFonts w:hint="eastAsia"/>
          <w:highlight w:val="none"/>
        </w:rPr>
      </w:pPr>
      <w:r>
        <w:rPr>
          <w:rFonts w:hint="eastAsia"/>
          <w:highlight w:val="none"/>
        </w:rPr>
        <w:t>管路连接、切断、弯曲</w:t>
      </w:r>
    </w:p>
    <w:p w14:paraId="4C4319EC">
      <w:pPr>
        <w:numPr>
          <w:ilvl w:val="0"/>
          <w:numId w:val="96"/>
        </w:numPr>
        <w:ind w:firstLine="480"/>
        <w:rPr>
          <w:rFonts w:hint="eastAsia"/>
          <w:highlight w:val="none"/>
        </w:rPr>
      </w:pPr>
      <w:r>
        <w:rPr>
          <w:rFonts w:hint="eastAsia"/>
          <w:highlight w:val="none"/>
        </w:rPr>
        <w:t>管路与管路的连接：使用与管路配套的套管和专用粘接剂。</w:t>
      </w:r>
    </w:p>
    <w:p w14:paraId="45465929">
      <w:pPr>
        <w:numPr>
          <w:ilvl w:val="0"/>
          <w:numId w:val="96"/>
        </w:numPr>
        <w:ind w:firstLine="480"/>
        <w:rPr>
          <w:rFonts w:hint="eastAsia"/>
          <w:highlight w:val="none"/>
        </w:rPr>
      </w:pPr>
      <w:r>
        <w:rPr>
          <w:rFonts w:hint="eastAsia"/>
          <w:highlight w:val="none"/>
        </w:rPr>
        <w:t>管路与箱盒的连接：使用配套的盒接头和胶粘剂，并用配套的锁母固定。</w:t>
      </w:r>
    </w:p>
    <w:p w14:paraId="36D75F59">
      <w:pPr>
        <w:numPr>
          <w:ilvl w:val="0"/>
          <w:numId w:val="96"/>
        </w:numPr>
        <w:ind w:firstLine="480"/>
        <w:rPr>
          <w:rFonts w:hint="eastAsia"/>
          <w:highlight w:val="none"/>
        </w:rPr>
      </w:pPr>
      <w:r>
        <w:rPr>
          <w:rFonts w:hint="eastAsia"/>
          <w:highlight w:val="none"/>
        </w:rPr>
        <w:t>管路切断的过程中不能使切断的管口发生变形，钢管则必须用钢锉把管口内外的毛刺修整平齐，不能出现斜口。</w:t>
      </w:r>
    </w:p>
    <w:p w14:paraId="7F71B0EB">
      <w:pPr>
        <w:numPr>
          <w:ilvl w:val="0"/>
          <w:numId w:val="96"/>
        </w:numPr>
        <w:ind w:firstLine="480"/>
        <w:rPr>
          <w:rFonts w:hint="eastAsia"/>
          <w:highlight w:val="none"/>
        </w:rPr>
      </w:pPr>
      <w:r>
        <w:rPr>
          <w:rFonts w:hint="eastAsia"/>
          <w:highlight w:val="none"/>
        </w:rPr>
        <w:t>直径在</w:t>
      </w:r>
      <w:r>
        <w:rPr>
          <w:highlight w:val="none"/>
        </w:rPr>
        <w:t>32mm以下的管路，使用配套的弯管弹簧，直径在32mm以上的管路使用热煨法。</w:t>
      </w:r>
    </w:p>
    <w:p w14:paraId="479D3489">
      <w:pPr>
        <w:numPr>
          <w:ilvl w:val="0"/>
          <w:numId w:val="96"/>
        </w:numPr>
        <w:ind w:firstLine="480"/>
        <w:rPr>
          <w:rFonts w:hint="eastAsia"/>
          <w:highlight w:val="none"/>
        </w:rPr>
      </w:pPr>
      <w:r>
        <w:rPr>
          <w:rFonts w:hint="eastAsia"/>
          <w:highlight w:val="none"/>
        </w:rPr>
        <w:t>管口锉光滑、平整，接头应牢固紧密。</w:t>
      </w:r>
    </w:p>
    <w:p w14:paraId="74F54DB3">
      <w:pPr>
        <w:numPr>
          <w:ilvl w:val="0"/>
          <w:numId w:val="96"/>
        </w:numPr>
        <w:ind w:firstLine="480"/>
        <w:rPr>
          <w:rFonts w:hint="eastAsia"/>
          <w:highlight w:val="none"/>
        </w:rPr>
      </w:pPr>
      <w:r>
        <w:rPr>
          <w:rFonts w:hint="eastAsia"/>
          <w:highlight w:val="none"/>
        </w:rPr>
        <w:t>弯曲半径不小于管外径的</w:t>
      </w:r>
      <w:r>
        <w:rPr>
          <w:highlight w:val="none"/>
        </w:rPr>
        <w:t>6倍，且弯曲后无裂缝或显著的凹瘪现象。</w:t>
      </w:r>
    </w:p>
    <w:p w14:paraId="01B2B561">
      <w:pPr>
        <w:numPr>
          <w:ilvl w:val="0"/>
          <w:numId w:val="96"/>
        </w:numPr>
        <w:ind w:firstLine="480"/>
        <w:rPr>
          <w:rFonts w:hint="eastAsia"/>
          <w:highlight w:val="none"/>
        </w:rPr>
      </w:pPr>
      <w:r>
        <w:rPr>
          <w:rFonts w:hint="eastAsia"/>
          <w:highlight w:val="none"/>
        </w:rPr>
        <w:t>管路切断处切口平顺、无毛刺。</w:t>
      </w:r>
    </w:p>
    <w:p w14:paraId="3FE50CB3">
      <w:pPr>
        <w:numPr>
          <w:ilvl w:val="0"/>
          <w:numId w:val="96"/>
        </w:numPr>
        <w:ind w:firstLine="480"/>
        <w:rPr>
          <w:rFonts w:hint="eastAsia"/>
          <w:highlight w:val="none"/>
        </w:rPr>
      </w:pPr>
      <w:r>
        <w:rPr>
          <w:rFonts w:hint="eastAsia"/>
          <w:highlight w:val="none"/>
        </w:rPr>
        <w:t>镀锌钢管连接处胶带缠绕圈数不少于</w:t>
      </w:r>
      <w:r>
        <w:rPr>
          <w:highlight w:val="none"/>
        </w:rPr>
        <w:t>4圈。</w:t>
      </w:r>
    </w:p>
    <w:p w14:paraId="51250D4A">
      <w:pPr>
        <w:numPr>
          <w:ilvl w:val="1"/>
          <w:numId w:val="91"/>
        </w:numPr>
        <w:ind w:firstLine="480"/>
        <w:rPr>
          <w:rFonts w:hint="eastAsia"/>
          <w:highlight w:val="none"/>
        </w:rPr>
      </w:pPr>
      <w:r>
        <w:rPr>
          <w:rFonts w:hint="eastAsia"/>
          <w:highlight w:val="none"/>
        </w:rPr>
        <w:t>跨接地线</w:t>
      </w:r>
    </w:p>
    <w:p w14:paraId="157BADB2">
      <w:pPr>
        <w:numPr>
          <w:ilvl w:val="0"/>
          <w:numId w:val="97"/>
        </w:numPr>
        <w:ind w:firstLine="480"/>
        <w:rPr>
          <w:rFonts w:hint="eastAsia"/>
          <w:highlight w:val="none"/>
        </w:rPr>
      </w:pPr>
      <w:r>
        <w:rPr>
          <w:rFonts w:hint="eastAsia"/>
          <w:highlight w:val="none"/>
        </w:rPr>
        <w:t>镀锌的钢导管、可挠性导管和金属线槽不得熔焊跨接接地线，以专用接地线卡跨接的两卡间连线为铜芯软导线。</w:t>
      </w:r>
    </w:p>
    <w:p w14:paraId="44C34906">
      <w:pPr>
        <w:numPr>
          <w:ilvl w:val="0"/>
          <w:numId w:val="97"/>
        </w:numPr>
        <w:ind w:firstLine="480"/>
        <w:rPr>
          <w:rFonts w:hint="eastAsia"/>
          <w:highlight w:val="none"/>
        </w:rPr>
      </w:pPr>
      <w:r>
        <w:rPr>
          <w:rFonts w:hint="eastAsia"/>
          <w:highlight w:val="none"/>
        </w:rPr>
        <w:t>导线截面积不小于</w:t>
      </w:r>
      <w:r>
        <w:rPr>
          <w:highlight w:val="none"/>
        </w:rPr>
        <w:t>4mm</w:t>
      </w:r>
      <w:r>
        <w:rPr>
          <w:rFonts w:hint="eastAsia"/>
          <w:highlight w:val="none"/>
        </w:rPr>
        <w:t>²。</w:t>
      </w:r>
    </w:p>
    <w:p w14:paraId="12D55056">
      <w:pPr>
        <w:numPr>
          <w:ilvl w:val="0"/>
          <w:numId w:val="97"/>
        </w:numPr>
        <w:ind w:firstLine="480"/>
        <w:rPr>
          <w:rFonts w:hint="eastAsia"/>
          <w:highlight w:val="none"/>
        </w:rPr>
      </w:pPr>
      <w:r>
        <w:rPr>
          <w:rFonts w:hint="eastAsia"/>
          <w:highlight w:val="none"/>
        </w:rPr>
        <w:t>使用与镀锌钢管配套的专业接地线卡。</w:t>
      </w:r>
    </w:p>
    <w:p w14:paraId="1C77AEF6">
      <w:pPr>
        <w:numPr>
          <w:ilvl w:val="1"/>
          <w:numId w:val="91"/>
        </w:numPr>
        <w:ind w:firstLine="480"/>
        <w:rPr>
          <w:rFonts w:hint="eastAsia"/>
          <w:highlight w:val="none"/>
        </w:rPr>
      </w:pPr>
      <w:r>
        <w:rPr>
          <w:rFonts w:hint="eastAsia"/>
          <w:highlight w:val="none"/>
        </w:rPr>
        <w:t>线管内应施工完成铝丝</w:t>
      </w:r>
      <w:r>
        <w:rPr>
          <w:highlight w:val="none"/>
        </w:rPr>
        <w:t>/</w:t>
      </w:r>
      <w:r>
        <w:rPr>
          <w:rFonts w:hint="eastAsia"/>
          <w:highlight w:val="none"/>
        </w:rPr>
        <w:t>钢丝</w:t>
      </w:r>
      <w:r>
        <w:rPr>
          <w:highlight w:val="none"/>
        </w:rPr>
        <w:t>/尼龙绳等导线穿线工作。</w:t>
      </w:r>
    </w:p>
    <w:p w14:paraId="367FE44A">
      <w:pPr>
        <w:pStyle w:val="5"/>
        <w:rPr>
          <w:rFonts w:hint="eastAsia"/>
          <w:highlight w:val="none"/>
        </w:rPr>
      </w:pPr>
      <w:r>
        <w:rPr>
          <w:rFonts w:hint="eastAsia"/>
          <w:highlight w:val="none"/>
        </w:rPr>
        <w:t>多媒体箱、配电箱预制件</w:t>
      </w:r>
    </w:p>
    <w:p w14:paraId="6365CB50">
      <w:pPr>
        <w:numPr>
          <w:ilvl w:val="1"/>
          <w:numId w:val="98"/>
        </w:numPr>
        <w:spacing w:before="120" w:beforeLines="50" w:after="120" w:afterLines="50"/>
        <w:ind w:left="425" w:leftChars="177" w:firstLine="480"/>
        <w:rPr>
          <w:rFonts w:hint="eastAsia" w:asciiTheme="minorEastAsia" w:hAnsiTheme="minorEastAsia"/>
          <w:bCs/>
          <w:highlight w:val="none"/>
        </w:rPr>
      </w:pPr>
      <w:r>
        <w:rPr>
          <w:rFonts w:hint="eastAsia" w:asciiTheme="minorEastAsia" w:hAnsiTheme="minorEastAsia"/>
          <w:bCs/>
          <w:highlight w:val="none"/>
        </w:rPr>
        <w:t>制作模具：根据电箱箱体尺寸、安装标高以及安装墙面砌筑砖匹数排版设计开模；定型模具应固定牢固，拆卸方便，采用钢模或木模都可，建议使用钢模；预制块不应太重，以施工人员能顺利搬运为宜，过大过高应设置成2块组合（内部配筋加强）；预制块凹槽净宽度宜为箱体宽度＋50mm（每边留20-30mm塞缝），凹槽深度为箱体底盒＋10mm；预制块厚度与砌块同；预制块开口尺寸超过300mm或上部有斜顶砖处，其上部宜加2根钢筋带，托住上部砌块（钢筋位置需注意避开电线管开槽深度）。</w:t>
      </w:r>
    </w:p>
    <w:p w14:paraId="5335B37F">
      <w:pPr>
        <w:numPr>
          <w:ilvl w:val="1"/>
          <w:numId w:val="98"/>
        </w:numPr>
        <w:spacing w:before="120" w:beforeLines="50" w:after="120" w:afterLines="50"/>
        <w:ind w:left="425" w:leftChars="177" w:firstLine="480"/>
        <w:rPr>
          <w:rFonts w:hint="eastAsia" w:asciiTheme="minorEastAsia" w:hAnsiTheme="minorEastAsia"/>
          <w:bCs/>
          <w:highlight w:val="none"/>
        </w:rPr>
      </w:pPr>
      <w:r>
        <w:rPr>
          <w:rFonts w:hint="eastAsia" w:asciiTheme="minorEastAsia" w:hAnsiTheme="minorEastAsia"/>
          <w:bCs/>
          <w:highlight w:val="none"/>
        </w:rPr>
        <w:t>墙体砌筑预制块安装：墙面砌筑时在电箱安装位将预制块预留墙体内。</w:t>
      </w:r>
    </w:p>
    <w:p w14:paraId="4E33FD81">
      <w:pPr>
        <w:numPr>
          <w:ilvl w:val="1"/>
          <w:numId w:val="98"/>
        </w:numPr>
        <w:spacing w:before="120" w:beforeLines="50" w:after="120" w:afterLines="50"/>
        <w:ind w:left="425" w:leftChars="177" w:firstLine="480"/>
        <w:rPr>
          <w:rFonts w:hint="eastAsia" w:asciiTheme="minorEastAsia" w:hAnsiTheme="minorEastAsia"/>
          <w:bCs/>
          <w:highlight w:val="none"/>
        </w:rPr>
      </w:pPr>
      <w:r>
        <w:rPr>
          <w:rFonts w:hint="eastAsia" w:asciiTheme="minorEastAsia" w:hAnsiTheme="minorEastAsia"/>
          <w:bCs/>
          <w:highlight w:val="none"/>
        </w:rPr>
        <w:t>安装电箱底盒：砌筑完成粉刷灰饼验收后，使用砂浆在预制块洞口处固定电箱底盒（电箱上下应将电线管洞预先开好）。</w:t>
      </w:r>
    </w:p>
    <w:p w14:paraId="3B912D0F">
      <w:pPr>
        <w:numPr>
          <w:ilvl w:val="1"/>
          <w:numId w:val="98"/>
        </w:numPr>
        <w:spacing w:before="120" w:beforeLines="50" w:after="120" w:afterLines="50"/>
        <w:ind w:left="425" w:leftChars="177" w:firstLine="480"/>
        <w:rPr>
          <w:rFonts w:hint="eastAsia" w:asciiTheme="minorEastAsia" w:hAnsiTheme="minorEastAsia"/>
          <w:bCs/>
          <w:highlight w:val="none"/>
        </w:rPr>
      </w:pPr>
      <w:r>
        <w:rPr>
          <w:rFonts w:hint="eastAsia" w:asciiTheme="minorEastAsia" w:hAnsiTheme="minorEastAsia"/>
          <w:bCs/>
          <w:highlight w:val="none"/>
        </w:rPr>
        <w:t>电箱底盒保护：线盒周边使用砂浆倒</w:t>
      </w:r>
      <w:r>
        <w:rPr>
          <w:rFonts w:asciiTheme="minorEastAsia" w:hAnsiTheme="minorEastAsia"/>
          <w:bCs/>
          <w:highlight w:val="none"/>
        </w:rPr>
        <w:t>45°坡口，箱体配管穿引线，下方管口堵口，箱体洞口用硬纸板(或塑料板)封闭。</w:t>
      </w:r>
    </w:p>
    <w:p w14:paraId="4B7A6134">
      <w:pPr>
        <w:numPr>
          <w:ilvl w:val="0"/>
          <w:numId w:val="99"/>
        </w:numPr>
        <w:spacing w:before="120" w:beforeLines="50" w:after="120"/>
        <w:ind w:firstLine="480"/>
        <w:rPr>
          <w:rFonts w:hint="eastAsia" w:asciiTheme="minorEastAsia" w:hAnsiTheme="minorEastAsia"/>
          <w:highlight w:val="none"/>
        </w:rPr>
      </w:pPr>
      <w:r>
        <w:rPr>
          <w:rFonts w:hint="eastAsia" w:asciiTheme="minorEastAsia" w:hAnsiTheme="minorEastAsia"/>
          <w:highlight w:val="none"/>
        </w:rPr>
        <w:t>砌体墙面、混凝土</w:t>
      </w:r>
      <w:r>
        <w:rPr>
          <w:rFonts w:asciiTheme="minorEastAsia" w:hAnsiTheme="minorEastAsia"/>
          <w:highlight w:val="none"/>
        </w:rPr>
        <w:t>墙面</w:t>
      </w:r>
      <w:r>
        <w:rPr>
          <w:rFonts w:hint="eastAsia" w:asciiTheme="minorEastAsia" w:hAnsiTheme="minorEastAsia"/>
          <w:highlight w:val="none"/>
        </w:rPr>
        <w:t>管线暗埋、后开槽与</w:t>
      </w:r>
      <w:r>
        <w:rPr>
          <w:rFonts w:asciiTheme="minorEastAsia" w:hAnsiTheme="minorEastAsia"/>
          <w:highlight w:val="none"/>
        </w:rPr>
        <w:t>混凝土留洞技术措施及</w:t>
      </w:r>
      <w:r>
        <w:rPr>
          <w:rFonts w:hint="eastAsia" w:asciiTheme="minorEastAsia" w:hAnsiTheme="minorEastAsia"/>
          <w:highlight w:val="none"/>
        </w:rPr>
        <w:t>注意事项</w:t>
      </w:r>
    </w:p>
    <w:p w14:paraId="30EFF00B">
      <w:pPr>
        <w:numPr>
          <w:ilvl w:val="1"/>
          <w:numId w:val="100"/>
        </w:numPr>
        <w:ind w:firstLine="480"/>
        <w:rPr>
          <w:rFonts w:hint="eastAsia"/>
          <w:highlight w:val="none"/>
        </w:rPr>
      </w:pPr>
      <w:r>
        <w:rPr>
          <w:rFonts w:hint="eastAsia"/>
          <w:highlight w:val="none"/>
        </w:rPr>
        <w:t>线管管槽定位：根据精装图纸，确定线盒及配管位置、放线、画线；</w:t>
      </w:r>
    </w:p>
    <w:p w14:paraId="7FD89BE7">
      <w:pPr>
        <w:numPr>
          <w:ilvl w:val="1"/>
          <w:numId w:val="100"/>
        </w:numPr>
        <w:ind w:firstLine="480"/>
        <w:rPr>
          <w:rFonts w:hint="eastAsia"/>
          <w:highlight w:val="none"/>
        </w:rPr>
      </w:pPr>
      <w:r>
        <w:rPr>
          <w:rFonts w:hint="eastAsia"/>
          <w:highlight w:val="none"/>
        </w:rPr>
        <w:t>切槽：使用多片切槽机切槽，用凿子剔出管槽里多余的砖渣</w:t>
      </w:r>
      <w:r>
        <w:rPr>
          <w:highlight w:val="none"/>
        </w:rPr>
        <w:t>,</w:t>
      </w:r>
      <w:r>
        <w:rPr>
          <w:rFonts w:hint="eastAsia"/>
          <w:highlight w:val="none"/>
        </w:rPr>
        <w:t>管槽宽度比管的外径大</w:t>
      </w:r>
      <w:r>
        <w:rPr>
          <w:highlight w:val="none"/>
        </w:rPr>
        <w:t>10mm，槽深为D+15mm。墙面水平开槽的长度不得大于50cm；</w:t>
      </w:r>
    </w:p>
    <w:p w14:paraId="33E1D8D1">
      <w:pPr>
        <w:numPr>
          <w:ilvl w:val="1"/>
          <w:numId w:val="100"/>
        </w:numPr>
        <w:ind w:firstLine="480"/>
        <w:rPr>
          <w:rFonts w:hint="eastAsia"/>
          <w:highlight w:val="none"/>
        </w:rPr>
      </w:pPr>
      <w:r>
        <w:rPr>
          <w:rFonts w:hint="eastAsia"/>
          <w:highlight w:val="none"/>
        </w:rPr>
        <w:t>敷设线管及固定线管：放入槽后，每隔</w:t>
      </w:r>
      <w:r>
        <w:rPr>
          <w:highlight w:val="none"/>
        </w:rPr>
        <w:t>0.5m</w:t>
      </w:r>
      <w:r>
        <w:rPr>
          <w:rFonts w:hint="eastAsia"/>
          <w:highlight w:val="none"/>
        </w:rPr>
        <w:t>须用铁钉固定。首先用水浇湿管槽，再用高一标号水泥砂浆修补（砂浆强度等级不低于</w:t>
      </w:r>
      <w:r>
        <w:rPr>
          <w:highlight w:val="none"/>
        </w:rPr>
        <w:t>M10，两</w:t>
      </w:r>
      <w:r>
        <w:rPr>
          <w:rFonts w:hint="eastAsia"/>
          <w:highlight w:val="none"/>
        </w:rPr>
        <w:t>根管槽以下）；三根配管以上用细石混凝土补槽，并挂玻纤网（玻纤网宽度超过管道两边不小于</w:t>
      </w:r>
      <w:r>
        <w:rPr>
          <w:highlight w:val="none"/>
        </w:rPr>
        <w:t xml:space="preserve">10cm）；最后由土建统一面层抹灰,并排管间距h≥15mm，D为线管直径。 </w:t>
      </w:r>
    </w:p>
    <w:p w14:paraId="7A4792FA">
      <w:pPr>
        <w:spacing w:before="120" w:beforeLines="50" w:after="120" w:afterLines="50"/>
        <w:ind w:firstLine="480"/>
        <w:jc w:val="center"/>
        <w:rPr>
          <w:rFonts w:hint="eastAsia" w:asciiTheme="minorEastAsia" w:hAnsiTheme="minorEastAsia"/>
          <w:highlight w:val="none"/>
        </w:rPr>
      </w:pPr>
      <w:r>
        <w:rPr>
          <w:highlight w:val="none"/>
        </w:rPr>
        <w:drawing>
          <wp:inline distT="0" distB="0" distL="0" distR="0">
            <wp:extent cx="4032885" cy="1884680"/>
            <wp:effectExtent l="0" t="0" r="5715"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40" cstate="print">
                      <a:extLst>
                        <a:ext uri="{28A0092B-C50C-407E-A947-70E740481C1C}">
                          <a14:useLocalDpi xmlns:a14="http://schemas.microsoft.com/office/drawing/2010/main" val="0"/>
                        </a:ext>
                      </a:extLst>
                    </a:blip>
                    <a:srcRect t="9040" b="8898"/>
                    <a:stretch>
                      <a:fillRect/>
                    </a:stretch>
                  </pic:blipFill>
                  <pic:spPr>
                    <a:xfrm>
                      <a:off x="0" y="0"/>
                      <a:ext cx="4035533" cy="1885913"/>
                    </a:xfrm>
                    <a:prstGeom prst="rect">
                      <a:avLst/>
                    </a:prstGeom>
                    <a:noFill/>
                    <a:ln>
                      <a:noFill/>
                    </a:ln>
                  </pic:spPr>
                </pic:pic>
              </a:graphicData>
            </a:graphic>
          </wp:inline>
        </w:drawing>
      </w:r>
    </w:p>
    <w:p w14:paraId="26DE84D9">
      <w:pPr>
        <w:numPr>
          <w:ilvl w:val="1"/>
          <w:numId w:val="100"/>
        </w:numPr>
        <w:ind w:firstLine="480"/>
        <w:rPr>
          <w:rFonts w:hint="eastAsia"/>
          <w:highlight w:val="none"/>
        </w:rPr>
      </w:pPr>
      <w:r>
        <w:rPr>
          <w:rFonts w:hint="eastAsia"/>
          <w:highlight w:val="none"/>
        </w:rPr>
        <w:t>注意事项</w:t>
      </w:r>
    </w:p>
    <w:p w14:paraId="419B2E68">
      <w:pPr>
        <w:numPr>
          <w:ilvl w:val="0"/>
          <w:numId w:val="101"/>
        </w:numPr>
        <w:ind w:firstLine="480"/>
        <w:rPr>
          <w:rFonts w:hint="eastAsia"/>
          <w:highlight w:val="none"/>
        </w:rPr>
      </w:pPr>
      <w:r>
        <w:rPr>
          <w:rFonts w:hint="eastAsia"/>
          <w:highlight w:val="none"/>
        </w:rPr>
        <w:t>禁止现场抹灰墙面存在后开槽：在土建施工阶段加强与土建、精装修施工图纸复核，将精装修点位预留到位；</w:t>
      </w:r>
      <w:r>
        <w:rPr>
          <w:highlight w:val="none"/>
        </w:rPr>
        <w:t>加强现场施工工序的控制</w:t>
      </w:r>
      <w:r>
        <w:rPr>
          <w:rFonts w:hint="eastAsia"/>
          <w:highlight w:val="none"/>
        </w:rPr>
        <w:t>，</w:t>
      </w:r>
      <w:r>
        <w:rPr>
          <w:highlight w:val="none"/>
        </w:rPr>
        <w:t>管线开槽</w:t>
      </w:r>
      <w:r>
        <w:rPr>
          <w:rFonts w:hint="eastAsia"/>
          <w:highlight w:val="none"/>
        </w:rPr>
        <w:t>、</w:t>
      </w:r>
      <w:r>
        <w:rPr>
          <w:highlight w:val="none"/>
        </w:rPr>
        <w:t>封堵应在砌筑阶段施工完成</w:t>
      </w:r>
      <w:r>
        <w:rPr>
          <w:rFonts w:hint="eastAsia"/>
          <w:highlight w:val="none"/>
        </w:rPr>
        <w:t>。</w:t>
      </w:r>
    </w:p>
    <w:p w14:paraId="795020BF">
      <w:pPr>
        <w:numPr>
          <w:ilvl w:val="0"/>
          <w:numId w:val="101"/>
        </w:numPr>
        <w:ind w:firstLine="480"/>
        <w:rPr>
          <w:rFonts w:hint="eastAsia"/>
          <w:highlight w:val="none"/>
        </w:rPr>
      </w:pPr>
      <w:r>
        <w:rPr>
          <w:rFonts w:hint="eastAsia"/>
          <w:highlight w:val="none"/>
        </w:rPr>
        <w:t>禁止混凝土墙面管线暗埋后开槽：</w:t>
      </w:r>
      <w:r>
        <w:rPr>
          <w:highlight w:val="none"/>
        </w:rPr>
        <w:t>在</w:t>
      </w:r>
      <w:r>
        <w:rPr>
          <w:rFonts w:hint="eastAsia"/>
          <w:highlight w:val="none"/>
        </w:rPr>
        <w:t>结构施工阶段</w:t>
      </w:r>
      <w:r>
        <w:rPr>
          <w:highlight w:val="none"/>
        </w:rPr>
        <w:t>，加强施工前的图纸会审</w:t>
      </w:r>
      <w:r>
        <w:rPr>
          <w:rFonts w:hint="eastAsia"/>
          <w:highlight w:val="none"/>
        </w:rPr>
        <w:t>，</w:t>
      </w:r>
      <w:r>
        <w:rPr>
          <w:highlight w:val="none"/>
        </w:rPr>
        <w:t>复核水电点位</w:t>
      </w:r>
      <w:r>
        <w:rPr>
          <w:rFonts w:hint="eastAsia"/>
          <w:highlight w:val="none"/>
        </w:rPr>
        <w:t>，将水电点位定位准确，合理布置管线，</w:t>
      </w:r>
      <w:r>
        <w:rPr>
          <w:highlight w:val="none"/>
        </w:rPr>
        <w:t>预留管槽</w:t>
      </w:r>
      <w:r>
        <w:rPr>
          <w:rFonts w:hint="eastAsia"/>
          <w:highlight w:val="none"/>
        </w:rPr>
        <w:t>，</w:t>
      </w:r>
      <w:r>
        <w:rPr>
          <w:highlight w:val="none"/>
        </w:rPr>
        <w:t>避免结构后开槽</w:t>
      </w:r>
      <w:r>
        <w:rPr>
          <w:rFonts w:hint="eastAsia"/>
          <w:highlight w:val="none"/>
        </w:rPr>
        <w:t>。</w:t>
      </w:r>
    </w:p>
    <w:p w14:paraId="12053ED8">
      <w:pPr>
        <w:numPr>
          <w:ilvl w:val="0"/>
          <w:numId w:val="101"/>
        </w:numPr>
        <w:ind w:firstLine="480"/>
        <w:rPr>
          <w:rFonts w:hint="eastAsia"/>
          <w:highlight w:val="none"/>
        </w:rPr>
      </w:pPr>
      <w:r>
        <w:rPr>
          <w:rFonts w:hint="eastAsia"/>
          <w:highlight w:val="none"/>
        </w:rPr>
        <w:t>混凝土留洞：加强施工前的图纸会审，</w:t>
      </w:r>
      <w:r>
        <w:rPr>
          <w:highlight w:val="none"/>
        </w:rPr>
        <w:t>复核机电施工点位</w:t>
      </w:r>
      <w:r>
        <w:rPr>
          <w:rFonts w:hint="eastAsia"/>
          <w:highlight w:val="none"/>
        </w:rPr>
        <w:t>，将预留孔洞定位准确，避免结构后开洞、扩孔破坏钢筋，保证结构安全。</w:t>
      </w:r>
    </w:p>
    <w:p w14:paraId="6E4896E5">
      <w:pPr>
        <w:pStyle w:val="4"/>
        <w:numPr>
          <w:ilvl w:val="2"/>
          <w:numId w:val="13"/>
        </w:numPr>
        <w:rPr>
          <w:rFonts w:hint="eastAsia"/>
          <w:highlight w:val="none"/>
        </w:rPr>
      </w:pPr>
      <w:r>
        <w:rPr>
          <w:rFonts w:hint="eastAsia"/>
          <w:highlight w:val="none"/>
        </w:rPr>
        <w:t>给排水工程</w:t>
      </w:r>
    </w:p>
    <w:p w14:paraId="71D1B265">
      <w:pPr>
        <w:ind w:firstLine="480"/>
        <w:rPr>
          <w:rFonts w:hint="eastAsia"/>
          <w:highlight w:val="none"/>
        </w:rPr>
      </w:pPr>
      <w:r>
        <w:rPr>
          <w:highlight w:val="none"/>
        </w:rPr>
        <w:t>套管比立管大2个管号，套管间隙10～20mm为宜，套管高出装饰面层20～30mm，多水房间时应为50mm，穿屋面应为1000mm。套管安装前内外刷防锈漆。调整套管与管道的同心度，套管与板底平齐，管道安装就位后，用沥青油膏或膨胀水泥砂浆嵌缝。</w:t>
      </w:r>
    </w:p>
    <w:p w14:paraId="14B5B96A">
      <w:pPr>
        <w:pStyle w:val="5"/>
        <w:numPr>
          <w:ilvl w:val="3"/>
          <w:numId w:val="13"/>
        </w:numPr>
        <w:rPr>
          <w:rFonts w:hint="eastAsia"/>
          <w:highlight w:val="none"/>
        </w:rPr>
      </w:pPr>
      <w:r>
        <w:rPr>
          <w:rFonts w:hint="eastAsia"/>
          <w:highlight w:val="none"/>
        </w:rPr>
        <w:t>给水系统</w:t>
      </w:r>
      <w:r>
        <w:rPr>
          <w:highlight w:val="none"/>
        </w:rPr>
        <w:t>–</w:t>
      </w:r>
      <w:r>
        <w:rPr>
          <w:rFonts w:hint="eastAsia"/>
          <w:highlight w:val="none"/>
        </w:rPr>
        <w:t>衬塑钢管安装</w:t>
      </w:r>
    </w:p>
    <w:p w14:paraId="1A96E091">
      <w:pPr>
        <w:ind w:firstLine="480"/>
        <w:rPr>
          <w:rFonts w:hint="eastAsia"/>
          <w:highlight w:val="none"/>
        </w:rPr>
      </w:pPr>
      <w:r>
        <w:rPr>
          <w:rFonts w:hint="eastAsia"/>
          <w:highlight w:val="none"/>
        </w:rPr>
        <w:t>总承包人需审核施工图纸及其它技术文件是否齐全，图纸深度是否满足施工要求；管道布置空间与建筑物及其它专业管道是否有交叉和矛盾，与设备、阀件相连接的口径、方位、坐标、标高是否相符；检查土建施工预留槽洞、套管位置是否正确。</w:t>
      </w:r>
    </w:p>
    <w:p w14:paraId="2931D1F9">
      <w:pPr>
        <w:numPr>
          <w:ilvl w:val="1"/>
          <w:numId w:val="102"/>
        </w:numPr>
        <w:ind w:firstLine="480"/>
        <w:rPr>
          <w:rFonts w:hint="eastAsia"/>
          <w:highlight w:val="none"/>
        </w:rPr>
      </w:pPr>
      <w:r>
        <w:rPr>
          <w:rFonts w:hint="eastAsia"/>
          <w:highlight w:val="none"/>
        </w:rPr>
        <w:t>管材切割：应使用电动带锯、高速电动圆锯机等垂直切割，严防切管衬层变形、损坏。</w:t>
      </w:r>
    </w:p>
    <w:p w14:paraId="7751193E">
      <w:pPr>
        <w:numPr>
          <w:ilvl w:val="1"/>
          <w:numId w:val="102"/>
        </w:numPr>
        <w:ind w:firstLine="480"/>
        <w:rPr>
          <w:rFonts w:hint="eastAsia"/>
          <w:highlight w:val="none"/>
        </w:rPr>
      </w:pPr>
      <w:r>
        <w:rPr>
          <w:rFonts w:hint="eastAsia"/>
          <w:highlight w:val="none"/>
        </w:rPr>
        <w:t>加工管螺纹：准备加工螺纹的管段，外圆必须正常（不椭圆、无损伤），使用套丝机或手工管子铰板加工螺纹。加工螺纹后，要用螺纹规鉴定是否标准。</w:t>
      </w:r>
    </w:p>
    <w:p w14:paraId="7D424CEA">
      <w:pPr>
        <w:numPr>
          <w:ilvl w:val="1"/>
          <w:numId w:val="102"/>
        </w:numPr>
        <w:ind w:firstLine="480"/>
        <w:rPr>
          <w:rFonts w:hint="eastAsia"/>
          <w:highlight w:val="none"/>
        </w:rPr>
      </w:pPr>
      <w:r>
        <w:rPr>
          <w:rFonts w:hint="eastAsia"/>
          <w:highlight w:val="none"/>
        </w:rPr>
        <w:t>里衬倒斜角：为了容易导入管件中的芯子夹层，用刮刀切去衬层厚度的一半；倒角处必须保留衬层厚度的</w:t>
      </w:r>
      <w:r>
        <w:rPr>
          <w:highlight w:val="none"/>
        </w:rPr>
        <w:t>1/2。</w:t>
      </w:r>
    </w:p>
    <w:p w14:paraId="738DB4B3">
      <w:pPr>
        <w:numPr>
          <w:ilvl w:val="1"/>
          <w:numId w:val="102"/>
        </w:numPr>
        <w:ind w:firstLine="480"/>
        <w:rPr>
          <w:rFonts w:hint="eastAsia"/>
          <w:highlight w:val="none"/>
        </w:rPr>
      </w:pPr>
      <w:r>
        <w:rPr>
          <w:rFonts w:hint="eastAsia"/>
          <w:highlight w:val="none"/>
        </w:rPr>
        <w:t>管道安装：用虎头钳子夹紧管子，装上管件，用手拧紧。</w:t>
      </w:r>
    </w:p>
    <w:p w14:paraId="1E5A356F">
      <w:pPr>
        <w:numPr>
          <w:ilvl w:val="1"/>
          <w:numId w:val="102"/>
        </w:numPr>
        <w:ind w:firstLine="480"/>
        <w:rPr>
          <w:rFonts w:hint="eastAsia"/>
          <w:highlight w:val="none"/>
        </w:rPr>
      </w:pPr>
      <w:r>
        <w:rPr>
          <w:rFonts w:hint="eastAsia"/>
          <w:highlight w:val="none"/>
        </w:rPr>
        <w:t>管道支吊架安装：所有管道支吊架应为钢制，制作完成后进行防锈刷漆处理。在阀门及大口径管道上需支撑的配</w:t>
      </w:r>
      <w:r>
        <w:rPr>
          <w:highlight w:val="none"/>
        </w:rPr>
        <w:t>/附件位置均应增设支吊架，以防止管道受力过大。</w:t>
      </w:r>
    </w:p>
    <w:p w14:paraId="05C0A74A">
      <w:pPr>
        <w:pStyle w:val="5"/>
        <w:rPr>
          <w:rFonts w:hint="eastAsia"/>
          <w:highlight w:val="none"/>
        </w:rPr>
      </w:pPr>
      <w:r>
        <w:rPr>
          <w:rFonts w:hint="eastAsia"/>
          <w:highlight w:val="none"/>
        </w:rPr>
        <w:t>给水系统</w:t>
      </w:r>
      <w:r>
        <w:rPr>
          <w:highlight w:val="none"/>
        </w:rPr>
        <w:t>–PPR管道安装</w:t>
      </w:r>
    </w:p>
    <w:p w14:paraId="4ADE6BB1">
      <w:pPr>
        <w:numPr>
          <w:ilvl w:val="1"/>
          <w:numId w:val="103"/>
        </w:numPr>
        <w:ind w:firstLine="480"/>
        <w:rPr>
          <w:rFonts w:hint="eastAsia"/>
          <w:highlight w:val="none"/>
        </w:rPr>
      </w:pPr>
      <w:r>
        <w:rPr>
          <w:rFonts w:hint="eastAsia"/>
          <w:highlight w:val="none"/>
        </w:rPr>
        <w:t>材料验收</w:t>
      </w:r>
    </w:p>
    <w:p w14:paraId="51D64CC7">
      <w:pPr>
        <w:numPr>
          <w:ilvl w:val="0"/>
          <w:numId w:val="104"/>
        </w:numPr>
        <w:ind w:firstLine="480"/>
        <w:rPr>
          <w:rFonts w:hint="eastAsia"/>
          <w:highlight w:val="none"/>
        </w:rPr>
      </w:pPr>
      <w:r>
        <w:rPr>
          <w:rFonts w:hint="eastAsia"/>
          <w:highlight w:val="none"/>
        </w:rPr>
        <w:t>压力等级、外径、壁厚符合设计文件及规范要求，合格证等质量证明文件齐全。</w:t>
      </w:r>
    </w:p>
    <w:p w14:paraId="254C4237">
      <w:pPr>
        <w:numPr>
          <w:ilvl w:val="0"/>
          <w:numId w:val="104"/>
        </w:numPr>
        <w:ind w:firstLine="480"/>
        <w:rPr>
          <w:rFonts w:hint="eastAsia"/>
          <w:highlight w:val="none"/>
        </w:rPr>
      </w:pPr>
      <w:r>
        <w:rPr>
          <w:rFonts w:hint="eastAsia"/>
          <w:highlight w:val="none"/>
        </w:rPr>
        <w:t>管材和管件的内外壁应光滑平整，无气泡、裂纹、脱皮和明显的痕纹、凹陷，色泽应基本一致。</w:t>
      </w:r>
    </w:p>
    <w:p w14:paraId="7994FC3D">
      <w:pPr>
        <w:numPr>
          <w:ilvl w:val="0"/>
          <w:numId w:val="104"/>
        </w:numPr>
        <w:ind w:firstLine="480"/>
        <w:rPr>
          <w:rFonts w:hint="eastAsia"/>
          <w:highlight w:val="none"/>
        </w:rPr>
      </w:pPr>
      <w:r>
        <w:rPr>
          <w:rFonts w:hint="eastAsia"/>
          <w:highlight w:val="none"/>
        </w:rPr>
        <w:t>管材的断面应垂直于管材的轴线。管件应完整、无缺损、无变形。</w:t>
      </w:r>
    </w:p>
    <w:p w14:paraId="639D9C34">
      <w:pPr>
        <w:numPr>
          <w:ilvl w:val="0"/>
          <w:numId w:val="104"/>
        </w:numPr>
        <w:ind w:firstLine="480"/>
        <w:rPr>
          <w:rFonts w:hint="eastAsia"/>
          <w:highlight w:val="none"/>
        </w:rPr>
      </w:pPr>
      <w:r>
        <w:rPr>
          <w:rFonts w:hint="eastAsia"/>
          <w:highlight w:val="none"/>
        </w:rPr>
        <w:t>搬运管材和管件时，应小心轻放，避免油污，严禁剧烈撞击，与尖锐物触碰和抛、摔、拖。</w:t>
      </w:r>
    </w:p>
    <w:p w14:paraId="307E7466">
      <w:pPr>
        <w:numPr>
          <w:ilvl w:val="0"/>
          <w:numId w:val="104"/>
        </w:numPr>
        <w:ind w:firstLine="480"/>
        <w:rPr>
          <w:rFonts w:hint="eastAsia"/>
          <w:highlight w:val="none"/>
        </w:rPr>
      </w:pPr>
      <w:r>
        <w:rPr>
          <w:rFonts w:hint="eastAsia"/>
          <w:highlight w:val="none"/>
        </w:rPr>
        <w:t>现场设置材料架，具有遮阳措施，管件和管材按标签平整堆放，堆放高度不可高于</w:t>
      </w:r>
      <w:r>
        <w:rPr>
          <w:highlight w:val="none"/>
        </w:rPr>
        <w:t>1.5m。</w:t>
      </w:r>
    </w:p>
    <w:p w14:paraId="7E442A0B">
      <w:pPr>
        <w:numPr>
          <w:ilvl w:val="0"/>
          <w:numId w:val="104"/>
        </w:numPr>
        <w:ind w:firstLine="480"/>
        <w:rPr>
          <w:rFonts w:hint="eastAsia"/>
          <w:highlight w:val="none"/>
        </w:rPr>
      </w:pPr>
      <w:r>
        <w:rPr>
          <w:rFonts w:hint="eastAsia"/>
          <w:highlight w:val="none"/>
        </w:rPr>
        <w:t>支吊架施工</w:t>
      </w:r>
    </w:p>
    <w:p w14:paraId="180DE2A8">
      <w:pPr>
        <w:numPr>
          <w:ilvl w:val="0"/>
          <w:numId w:val="104"/>
        </w:numPr>
        <w:ind w:firstLine="480"/>
        <w:rPr>
          <w:rFonts w:hint="eastAsia"/>
          <w:highlight w:val="none"/>
        </w:rPr>
      </w:pPr>
      <w:r>
        <w:rPr>
          <w:rFonts w:hint="eastAsia"/>
          <w:highlight w:val="none"/>
        </w:rPr>
        <w:t>支架间距、型材规格符合相关规范、图集要求。</w:t>
      </w:r>
    </w:p>
    <w:p w14:paraId="67BD07D8">
      <w:pPr>
        <w:numPr>
          <w:ilvl w:val="0"/>
          <w:numId w:val="104"/>
        </w:numPr>
        <w:ind w:firstLine="480"/>
        <w:rPr>
          <w:rFonts w:hint="eastAsia"/>
          <w:highlight w:val="none"/>
        </w:rPr>
      </w:pPr>
      <w:r>
        <w:rPr>
          <w:rFonts w:hint="eastAsia"/>
          <w:highlight w:val="none"/>
        </w:rPr>
        <w:t>分支管采用专用管卡。</w:t>
      </w:r>
    </w:p>
    <w:p w14:paraId="59E2C7E1">
      <w:pPr>
        <w:numPr>
          <w:ilvl w:val="0"/>
          <w:numId w:val="104"/>
        </w:numPr>
        <w:ind w:firstLine="480"/>
        <w:rPr>
          <w:rFonts w:hint="eastAsia"/>
          <w:highlight w:val="none"/>
        </w:rPr>
      </w:pPr>
      <w:r>
        <w:rPr>
          <w:rFonts w:hint="eastAsia"/>
          <w:highlight w:val="none"/>
        </w:rPr>
        <w:t>主干管（联合管道）采用型钢支架，支吊架除锈、刷漆；交付时支吊架漆面光洁、无锈蚀，型钢支吊架倒角。</w:t>
      </w:r>
    </w:p>
    <w:p w14:paraId="6C1AD77B">
      <w:pPr>
        <w:numPr>
          <w:ilvl w:val="0"/>
          <w:numId w:val="104"/>
        </w:numPr>
        <w:ind w:firstLine="480"/>
        <w:rPr>
          <w:rFonts w:hint="eastAsia"/>
          <w:highlight w:val="none"/>
        </w:rPr>
      </w:pPr>
      <w:r>
        <w:rPr>
          <w:rFonts w:hint="eastAsia"/>
          <w:highlight w:val="none"/>
        </w:rPr>
        <w:t>采用金属管卡时，需加设橡胶垫片。</w:t>
      </w:r>
    </w:p>
    <w:p w14:paraId="5CC9743B">
      <w:pPr>
        <w:numPr>
          <w:ilvl w:val="1"/>
          <w:numId w:val="103"/>
        </w:numPr>
        <w:ind w:firstLine="480"/>
        <w:rPr>
          <w:rFonts w:hint="eastAsia"/>
          <w:highlight w:val="none"/>
        </w:rPr>
      </w:pPr>
      <w:r>
        <w:rPr>
          <w:rFonts w:hint="eastAsia"/>
          <w:highlight w:val="none"/>
        </w:rPr>
        <w:t>管道及管件安装</w:t>
      </w:r>
    </w:p>
    <w:p w14:paraId="377CE0AA">
      <w:pPr>
        <w:numPr>
          <w:ilvl w:val="0"/>
          <w:numId w:val="105"/>
        </w:numPr>
        <w:ind w:firstLine="480"/>
        <w:rPr>
          <w:rFonts w:hint="eastAsia"/>
          <w:highlight w:val="none"/>
        </w:rPr>
      </w:pPr>
      <w:r>
        <w:rPr>
          <w:rFonts w:hint="eastAsia"/>
          <w:highlight w:val="none"/>
        </w:rPr>
        <w:t>管道不得穿越电气设备间、风道、电梯井、排水设施。</w:t>
      </w:r>
    </w:p>
    <w:p w14:paraId="4CC39C72">
      <w:pPr>
        <w:numPr>
          <w:ilvl w:val="0"/>
          <w:numId w:val="105"/>
        </w:numPr>
        <w:ind w:firstLine="480"/>
        <w:rPr>
          <w:rFonts w:hint="eastAsia"/>
          <w:highlight w:val="none"/>
        </w:rPr>
      </w:pPr>
      <w:r>
        <w:rPr>
          <w:rFonts w:hint="eastAsia"/>
          <w:highlight w:val="none"/>
        </w:rPr>
        <w:t>横干管与墙、地沟净距≥</w:t>
      </w:r>
      <w:r>
        <w:rPr>
          <w:highlight w:val="none"/>
        </w:rPr>
        <w:t>100mm，与梁、柱≥50mm（无接头）。</w:t>
      </w:r>
    </w:p>
    <w:p w14:paraId="07558E38">
      <w:pPr>
        <w:numPr>
          <w:ilvl w:val="0"/>
          <w:numId w:val="105"/>
        </w:numPr>
        <w:ind w:firstLine="480"/>
        <w:rPr>
          <w:rFonts w:hint="eastAsia"/>
          <w:highlight w:val="none"/>
        </w:rPr>
      </w:pPr>
      <w:r>
        <w:rPr>
          <w:rFonts w:hint="eastAsia"/>
          <w:highlight w:val="none"/>
        </w:rPr>
        <w:t>立管管中心距柱≥</w:t>
      </w:r>
      <w:r>
        <w:rPr>
          <w:highlight w:val="none"/>
        </w:rPr>
        <w:t>50mm，根据管径大小距墙面25mm～60mm。</w:t>
      </w:r>
    </w:p>
    <w:p w14:paraId="783DB4C9">
      <w:pPr>
        <w:numPr>
          <w:ilvl w:val="0"/>
          <w:numId w:val="105"/>
        </w:numPr>
        <w:ind w:firstLine="480"/>
        <w:rPr>
          <w:rFonts w:hint="eastAsia"/>
          <w:highlight w:val="none"/>
        </w:rPr>
      </w:pPr>
      <w:r>
        <w:rPr>
          <w:rFonts w:hint="eastAsia"/>
          <w:highlight w:val="none"/>
        </w:rPr>
        <w:t>管道平行安装时，冷水管位于热水管下方，连接器具时，冷水管位于热水管右侧。</w:t>
      </w:r>
    </w:p>
    <w:p w14:paraId="724D76EE">
      <w:pPr>
        <w:numPr>
          <w:ilvl w:val="0"/>
          <w:numId w:val="105"/>
        </w:numPr>
        <w:ind w:firstLine="480"/>
        <w:rPr>
          <w:rFonts w:hint="eastAsia"/>
          <w:highlight w:val="none"/>
        </w:rPr>
      </w:pPr>
      <w:r>
        <w:rPr>
          <w:rFonts w:hint="eastAsia"/>
          <w:highlight w:val="none"/>
        </w:rPr>
        <w:t>管井内管道安装前，应深化图纸，保证安装及检修要求，合理排布。</w:t>
      </w:r>
    </w:p>
    <w:p w14:paraId="20D888AA">
      <w:pPr>
        <w:numPr>
          <w:ilvl w:val="0"/>
          <w:numId w:val="105"/>
        </w:numPr>
        <w:ind w:firstLine="480"/>
        <w:rPr>
          <w:rFonts w:hint="eastAsia"/>
          <w:highlight w:val="none"/>
        </w:rPr>
      </w:pPr>
      <w:r>
        <w:rPr>
          <w:rFonts w:hint="eastAsia"/>
          <w:highlight w:val="none"/>
        </w:rPr>
        <w:t>与金属管连接时，采用丝扣或法兰连接。</w:t>
      </w:r>
    </w:p>
    <w:p w14:paraId="2DFFB382">
      <w:pPr>
        <w:numPr>
          <w:ilvl w:val="0"/>
          <w:numId w:val="105"/>
        </w:numPr>
        <w:ind w:firstLine="480"/>
        <w:rPr>
          <w:rFonts w:hint="eastAsia"/>
          <w:highlight w:val="none"/>
        </w:rPr>
      </w:pPr>
      <w:r>
        <w:rPr>
          <w:rFonts w:hint="eastAsia"/>
          <w:highlight w:val="none"/>
        </w:rPr>
        <w:t>给水引入管应有≥</w:t>
      </w:r>
      <w:r>
        <w:rPr>
          <w:highlight w:val="none"/>
        </w:rPr>
        <w:t>0.3%的坡度坡向室外。</w:t>
      </w:r>
    </w:p>
    <w:p w14:paraId="45963C39">
      <w:pPr>
        <w:numPr>
          <w:ilvl w:val="0"/>
          <w:numId w:val="105"/>
        </w:numPr>
        <w:ind w:firstLine="480"/>
        <w:rPr>
          <w:rFonts w:hint="eastAsia"/>
          <w:highlight w:val="none"/>
        </w:rPr>
      </w:pPr>
      <w:r>
        <w:rPr>
          <w:rFonts w:hint="eastAsia"/>
          <w:highlight w:val="none"/>
        </w:rPr>
        <w:t>热熔时，量出热熔深度，并做好标记，环境温度＜</w:t>
      </w:r>
      <w:r>
        <w:rPr>
          <w:highlight w:val="none"/>
        </w:rPr>
        <w:t>5℃时，加热时间延长50%。</w:t>
      </w:r>
    </w:p>
    <w:p w14:paraId="2F9120D0">
      <w:pPr>
        <w:numPr>
          <w:ilvl w:val="0"/>
          <w:numId w:val="105"/>
        </w:numPr>
        <w:ind w:firstLine="480"/>
        <w:rPr>
          <w:rFonts w:hint="eastAsia"/>
          <w:highlight w:val="none"/>
        </w:rPr>
      </w:pPr>
      <w:r>
        <w:rPr>
          <w:rFonts w:hint="eastAsia"/>
          <w:highlight w:val="none"/>
        </w:rPr>
        <w:t>法兰盘压力等级相同，法兰垂直于管轴线，表面相互平行，橡胶垫无毒、抗老化；螺栓规格相同，方向一致，螺栓应露出螺母</w:t>
      </w:r>
      <w:r>
        <w:rPr>
          <w:highlight w:val="none"/>
        </w:rPr>
        <w:t>2～3扣丝。</w:t>
      </w:r>
    </w:p>
    <w:p w14:paraId="6DA497B0">
      <w:pPr>
        <w:numPr>
          <w:ilvl w:val="1"/>
          <w:numId w:val="103"/>
        </w:numPr>
        <w:ind w:firstLine="480"/>
        <w:rPr>
          <w:rFonts w:hint="eastAsia"/>
          <w:highlight w:val="none"/>
        </w:rPr>
      </w:pPr>
      <w:r>
        <w:rPr>
          <w:rFonts w:hint="eastAsia"/>
          <w:highlight w:val="none"/>
        </w:rPr>
        <w:t>管道试压及冲洗</w:t>
      </w:r>
    </w:p>
    <w:p w14:paraId="5E5C29C1">
      <w:pPr>
        <w:numPr>
          <w:ilvl w:val="0"/>
          <w:numId w:val="106"/>
        </w:numPr>
        <w:ind w:firstLine="480"/>
        <w:rPr>
          <w:rFonts w:hint="eastAsia"/>
          <w:highlight w:val="none"/>
        </w:rPr>
      </w:pPr>
      <w:r>
        <w:rPr>
          <w:rFonts w:hint="eastAsia"/>
          <w:highlight w:val="none"/>
        </w:rPr>
        <w:t>压力试压前，系统管道中阀门位于开启状态，水表采用短支管替代。</w:t>
      </w:r>
    </w:p>
    <w:p w14:paraId="10BAC3D5">
      <w:pPr>
        <w:numPr>
          <w:ilvl w:val="0"/>
          <w:numId w:val="106"/>
        </w:numPr>
        <w:ind w:firstLine="480"/>
        <w:rPr>
          <w:rFonts w:hint="eastAsia"/>
          <w:highlight w:val="none"/>
        </w:rPr>
      </w:pPr>
      <w:r>
        <w:rPr>
          <w:rFonts w:hint="eastAsia"/>
          <w:highlight w:val="none"/>
        </w:rPr>
        <w:t>热连接的管道，水压试验的时间应在连接完成</w:t>
      </w:r>
      <w:r>
        <w:rPr>
          <w:highlight w:val="none"/>
        </w:rPr>
        <w:t>24h后进行。</w:t>
      </w:r>
    </w:p>
    <w:p w14:paraId="67F77960">
      <w:pPr>
        <w:numPr>
          <w:ilvl w:val="0"/>
          <w:numId w:val="106"/>
        </w:numPr>
        <w:ind w:firstLine="480"/>
        <w:rPr>
          <w:rFonts w:hint="eastAsia"/>
          <w:highlight w:val="none"/>
        </w:rPr>
      </w:pPr>
      <w:r>
        <w:rPr>
          <w:rFonts w:hint="eastAsia"/>
          <w:highlight w:val="none"/>
        </w:rPr>
        <w:t>水压试验前，试压管道应固定，但接头部位应明露。</w:t>
      </w:r>
    </w:p>
    <w:p w14:paraId="1BF83E28">
      <w:pPr>
        <w:numPr>
          <w:ilvl w:val="0"/>
          <w:numId w:val="106"/>
        </w:numPr>
        <w:ind w:firstLine="480"/>
        <w:rPr>
          <w:rFonts w:hint="eastAsia"/>
          <w:highlight w:val="none"/>
        </w:rPr>
      </w:pPr>
      <w:r>
        <w:rPr>
          <w:rFonts w:hint="eastAsia"/>
          <w:highlight w:val="none"/>
        </w:rPr>
        <w:t>管道压力试验合格后，管道余水应采用有组织排放。</w:t>
      </w:r>
    </w:p>
    <w:p w14:paraId="1D7535B0">
      <w:pPr>
        <w:numPr>
          <w:ilvl w:val="0"/>
          <w:numId w:val="106"/>
        </w:numPr>
        <w:ind w:firstLine="480"/>
        <w:rPr>
          <w:rFonts w:hint="eastAsia"/>
          <w:highlight w:val="none"/>
        </w:rPr>
      </w:pPr>
      <w:r>
        <w:rPr>
          <w:rFonts w:hint="eastAsia"/>
          <w:highlight w:val="none"/>
        </w:rPr>
        <w:t>在竣工验收前进行冲洗、消毒，冲洗水采用生活饮用水，流速≥</w:t>
      </w:r>
      <w:r>
        <w:rPr>
          <w:highlight w:val="none"/>
        </w:rPr>
        <w:t>1.0m/s。</w:t>
      </w:r>
    </w:p>
    <w:p w14:paraId="34995A69">
      <w:pPr>
        <w:numPr>
          <w:ilvl w:val="0"/>
          <w:numId w:val="106"/>
        </w:numPr>
        <w:ind w:firstLine="480"/>
        <w:rPr>
          <w:rFonts w:hint="eastAsia" w:asciiTheme="minorEastAsia" w:hAnsiTheme="minorEastAsia"/>
          <w:highlight w:val="none"/>
        </w:rPr>
      </w:pPr>
      <w:r>
        <w:rPr>
          <w:rFonts w:hint="eastAsia"/>
          <w:highlight w:val="none"/>
        </w:rPr>
        <w:t>管道的各配水点、受力点以及穿墙支管节点处，使用专用墙装弯头及管</w:t>
      </w:r>
      <w:r>
        <w:rPr>
          <w:rFonts w:hint="eastAsia" w:asciiTheme="minorEastAsia" w:hAnsiTheme="minorEastAsia"/>
          <w:highlight w:val="none"/>
        </w:rPr>
        <w:t>卡固定。</w:t>
      </w:r>
    </w:p>
    <w:p w14:paraId="7A2E2DD5">
      <w:pPr>
        <w:numPr>
          <w:ilvl w:val="1"/>
          <w:numId w:val="103"/>
        </w:numPr>
        <w:ind w:firstLine="480"/>
        <w:rPr>
          <w:rFonts w:hint="eastAsia"/>
          <w:highlight w:val="none"/>
        </w:rPr>
      </w:pPr>
      <w:r>
        <w:rPr>
          <w:rFonts w:hint="eastAsia"/>
          <w:highlight w:val="none"/>
        </w:rPr>
        <w:t>给水</w:t>
      </w:r>
      <w:r>
        <w:rPr>
          <w:highlight w:val="none"/>
        </w:rPr>
        <w:t>PPR</w:t>
      </w:r>
      <w:r>
        <w:rPr>
          <w:rFonts w:hint="eastAsia"/>
          <w:highlight w:val="none"/>
        </w:rPr>
        <w:t>的补偿措施：</w:t>
      </w:r>
    </w:p>
    <w:p w14:paraId="58A12D5A">
      <w:pPr>
        <w:ind w:firstLine="480"/>
        <w:rPr>
          <w:rFonts w:hint="eastAsia"/>
          <w:highlight w:val="none"/>
        </w:rPr>
      </w:pPr>
      <w:r>
        <w:rPr>
          <w:rFonts w:hint="eastAsia"/>
          <w:highlight w:val="none"/>
        </w:rPr>
        <w:t>当条件具备时，横管或立管充分利用建筑空间，以Ω形管道作变形补偿，条件不具备时应设置补偿器。</w:t>
      </w:r>
    </w:p>
    <w:p w14:paraId="3A55C1F8">
      <w:pPr>
        <w:pStyle w:val="5"/>
        <w:rPr>
          <w:rFonts w:hint="eastAsia"/>
          <w:highlight w:val="none"/>
        </w:rPr>
      </w:pPr>
      <w:r>
        <w:rPr>
          <w:rFonts w:hint="eastAsia"/>
          <w:highlight w:val="none"/>
        </w:rPr>
        <w:t>给水系统</w:t>
      </w:r>
      <w:r>
        <w:rPr>
          <w:highlight w:val="none"/>
        </w:rPr>
        <w:t>–不锈钢管安装</w:t>
      </w:r>
    </w:p>
    <w:p w14:paraId="06FF0CA2">
      <w:pPr>
        <w:numPr>
          <w:ilvl w:val="1"/>
          <w:numId w:val="107"/>
        </w:numPr>
        <w:ind w:firstLine="480"/>
        <w:rPr>
          <w:rFonts w:hint="eastAsia"/>
          <w:highlight w:val="none"/>
        </w:rPr>
      </w:pPr>
      <w:r>
        <w:rPr>
          <w:rFonts w:hint="eastAsia"/>
          <w:highlight w:val="none"/>
        </w:rPr>
        <w:t>管道不得浇注在钢筋混凝土结构层中。</w:t>
      </w:r>
    </w:p>
    <w:p w14:paraId="0194458C">
      <w:pPr>
        <w:numPr>
          <w:ilvl w:val="1"/>
          <w:numId w:val="107"/>
        </w:numPr>
        <w:ind w:firstLine="480"/>
        <w:rPr>
          <w:rFonts w:hint="eastAsia"/>
          <w:highlight w:val="none"/>
        </w:rPr>
      </w:pPr>
      <w:r>
        <w:rPr>
          <w:rFonts w:hint="eastAsia"/>
          <w:highlight w:val="none"/>
        </w:rPr>
        <w:t>不锈钢管材和管件不宜与水泥、水泥砂浆、混凝土直接接触。为防止氯化物对管道腐蚀，可在管外套塑料膜或缠绕防腐胶带保护。</w:t>
      </w:r>
    </w:p>
    <w:p w14:paraId="303CC328">
      <w:pPr>
        <w:numPr>
          <w:ilvl w:val="1"/>
          <w:numId w:val="107"/>
        </w:numPr>
        <w:ind w:firstLine="480"/>
        <w:rPr>
          <w:rFonts w:hint="eastAsia"/>
          <w:highlight w:val="none"/>
        </w:rPr>
      </w:pPr>
      <w:r>
        <w:rPr>
          <w:rFonts w:hint="eastAsia"/>
          <w:highlight w:val="none"/>
        </w:rPr>
        <w:t>埋地宜选用覆塑不锈钢管，可避免土壤对管外壁的酸碱腐蚀和硬质杂物对管材表面的损伤。亦可采用其他包扎材料作防腐措施，如外缠两层聚乙烯带，包扎两层沥青漆（或环氧树脂）玻璃纤维塑胶布防腐。</w:t>
      </w:r>
    </w:p>
    <w:p w14:paraId="2617B152">
      <w:pPr>
        <w:numPr>
          <w:ilvl w:val="1"/>
          <w:numId w:val="107"/>
        </w:numPr>
        <w:ind w:firstLine="480"/>
        <w:rPr>
          <w:rFonts w:hint="eastAsia"/>
          <w:highlight w:val="none"/>
        </w:rPr>
      </w:pPr>
      <w:r>
        <w:rPr>
          <w:rFonts w:hint="eastAsia"/>
          <w:highlight w:val="none"/>
        </w:rPr>
        <w:t>室内不锈钢管宜距楼底面、墙面净距离</w:t>
      </w:r>
      <w:r>
        <w:rPr>
          <w:highlight w:val="none"/>
        </w:rPr>
        <w:t>10～15mm明敷，结合装饰成暗敷，即敷设在顶棚内、吊顶内、装饰板内。</w:t>
      </w:r>
    </w:p>
    <w:p w14:paraId="75FA6952">
      <w:pPr>
        <w:numPr>
          <w:ilvl w:val="1"/>
          <w:numId w:val="107"/>
        </w:numPr>
        <w:ind w:firstLine="480"/>
        <w:rPr>
          <w:rFonts w:hint="eastAsia"/>
          <w:highlight w:val="none"/>
        </w:rPr>
      </w:pPr>
      <w:r>
        <w:rPr>
          <w:rFonts w:hint="eastAsia"/>
          <w:highlight w:val="none"/>
        </w:rPr>
        <w:t>嵌墙敷设的不锈钢管，管线应水平或垂直布置在预留或开槽的凹槽内，槽内不锈钢管应采用管卡固定。在管线转折处，应预留</w:t>
      </w:r>
      <w:r>
        <w:rPr>
          <w:highlight w:val="none"/>
        </w:rPr>
        <w:t>5～10mm净空，补偿管路因热胀冷缩引起的伸缩变化值。</w:t>
      </w:r>
    </w:p>
    <w:p w14:paraId="22A75EC6">
      <w:pPr>
        <w:numPr>
          <w:ilvl w:val="1"/>
          <w:numId w:val="107"/>
        </w:numPr>
        <w:ind w:firstLine="480"/>
        <w:rPr>
          <w:rFonts w:hint="eastAsia"/>
          <w:highlight w:val="none"/>
        </w:rPr>
      </w:pPr>
      <w:r>
        <w:rPr>
          <w:rFonts w:hint="eastAsia"/>
          <w:highlight w:val="none"/>
        </w:rPr>
        <w:t>明装不锈钢管，其外壁距装饰墙面的距离：公称直径</w:t>
      </w:r>
      <w:r>
        <w:rPr>
          <w:highlight w:val="none"/>
        </w:rPr>
        <w:t>10～25mm时应小于30mm；公称直径32～50mm时宜小于40mm。明装立管应靠近用水器具的墙角、柱旁或管道井内。</w:t>
      </w:r>
    </w:p>
    <w:p w14:paraId="09EB840F">
      <w:pPr>
        <w:numPr>
          <w:ilvl w:val="1"/>
          <w:numId w:val="107"/>
        </w:numPr>
        <w:ind w:firstLine="480"/>
        <w:rPr>
          <w:rFonts w:hint="eastAsia"/>
          <w:highlight w:val="none"/>
        </w:rPr>
      </w:pPr>
      <w:r>
        <w:rPr>
          <w:rFonts w:hint="eastAsia"/>
          <w:highlight w:val="none"/>
        </w:rPr>
        <w:t>不锈钢管不宜穿越建筑物的沉降缝、伸缩缝和变形缝。当不可避免时，应采取防止管道被破坏的技术措施。</w:t>
      </w:r>
    </w:p>
    <w:p w14:paraId="2B35FAC8">
      <w:pPr>
        <w:numPr>
          <w:ilvl w:val="1"/>
          <w:numId w:val="107"/>
        </w:numPr>
        <w:ind w:firstLine="480"/>
        <w:rPr>
          <w:rFonts w:hint="eastAsia"/>
          <w:highlight w:val="none"/>
        </w:rPr>
      </w:pPr>
      <w:r>
        <w:rPr>
          <w:rFonts w:hint="eastAsia"/>
          <w:highlight w:val="none"/>
        </w:rPr>
        <w:t>管道不得敷设在配电间、强弱电管道井、烟道、风道内和排水沟内，管道不宜穿越卧式、储藏室、橱窗、壁柜等处。</w:t>
      </w:r>
    </w:p>
    <w:p w14:paraId="50E2A17F">
      <w:pPr>
        <w:numPr>
          <w:ilvl w:val="1"/>
          <w:numId w:val="107"/>
        </w:numPr>
        <w:ind w:firstLine="480"/>
        <w:rPr>
          <w:rFonts w:hint="eastAsia"/>
          <w:highlight w:val="none"/>
        </w:rPr>
      </w:pPr>
      <w:r>
        <w:rPr>
          <w:rFonts w:hint="eastAsia"/>
          <w:highlight w:val="none"/>
        </w:rPr>
        <w:t>敷设水平干管宜具有</w:t>
      </w:r>
      <w:r>
        <w:rPr>
          <w:highlight w:val="none"/>
        </w:rPr>
        <w:t>0</w:t>
      </w:r>
      <w:r>
        <w:rPr>
          <w:rFonts w:hint="eastAsia"/>
          <w:highlight w:val="none"/>
        </w:rPr>
        <w:t>.</w:t>
      </w:r>
      <w:r>
        <w:rPr>
          <w:highlight w:val="none"/>
        </w:rPr>
        <w:t>2</w:t>
      </w:r>
      <w:r>
        <w:rPr>
          <w:rFonts w:hint="eastAsia"/>
          <w:highlight w:val="none"/>
        </w:rPr>
        <w:t>%</w:t>
      </w:r>
      <w:r>
        <w:rPr>
          <w:highlight w:val="none"/>
        </w:rPr>
        <w:t>～0</w:t>
      </w:r>
      <w:r>
        <w:rPr>
          <w:rFonts w:hint="eastAsia"/>
          <w:highlight w:val="none"/>
        </w:rPr>
        <w:t>.</w:t>
      </w:r>
      <w:r>
        <w:rPr>
          <w:highlight w:val="none"/>
        </w:rPr>
        <w:t>3</w:t>
      </w:r>
      <w:r>
        <w:rPr>
          <w:rFonts w:hint="eastAsia"/>
          <w:highlight w:val="none"/>
        </w:rPr>
        <w:t>%</w:t>
      </w:r>
      <w:r>
        <w:rPr>
          <w:highlight w:val="none"/>
        </w:rPr>
        <w:t>的坡度，坡向泄水装置。在引入管、折角进户管件、支管接出和仪表接口处，应采用螺纹转换接头或法兰连接。</w:t>
      </w:r>
    </w:p>
    <w:p w14:paraId="215A72FC">
      <w:pPr>
        <w:numPr>
          <w:ilvl w:val="1"/>
          <w:numId w:val="107"/>
        </w:numPr>
        <w:ind w:firstLine="480"/>
        <w:rPr>
          <w:rFonts w:hint="eastAsia"/>
          <w:highlight w:val="none"/>
        </w:rPr>
      </w:pPr>
      <w:r>
        <w:rPr>
          <w:rFonts w:hint="eastAsia"/>
          <w:highlight w:val="none"/>
        </w:rPr>
        <w:t>不锈钢管</w:t>
      </w:r>
      <w:r>
        <w:rPr>
          <w:highlight w:val="none"/>
        </w:rPr>
        <w:t>应作防结露和保温处理。</w:t>
      </w:r>
    </w:p>
    <w:p w14:paraId="25F9EBF7">
      <w:pPr>
        <w:numPr>
          <w:ilvl w:val="1"/>
          <w:numId w:val="107"/>
        </w:numPr>
        <w:ind w:firstLine="480"/>
        <w:rPr>
          <w:rFonts w:hint="eastAsia"/>
          <w:highlight w:val="none"/>
        </w:rPr>
      </w:pPr>
      <w:r>
        <w:rPr>
          <w:rFonts w:hint="eastAsia"/>
          <w:highlight w:val="none"/>
        </w:rPr>
        <w:t>薄壁不锈钢管安装注意事项</w:t>
      </w:r>
    </w:p>
    <w:p w14:paraId="7FDE21F7">
      <w:pPr>
        <w:numPr>
          <w:ilvl w:val="0"/>
          <w:numId w:val="108"/>
        </w:numPr>
        <w:ind w:firstLine="480"/>
        <w:rPr>
          <w:rFonts w:hint="eastAsia"/>
          <w:highlight w:val="none"/>
        </w:rPr>
      </w:pPr>
      <w:r>
        <w:rPr>
          <w:rFonts w:hint="eastAsia"/>
          <w:highlight w:val="none"/>
        </w:rPr>
        <w:t>不锈钢材料吊运，不能与其他金属直接接触，应加垫木板或橡胶板等非金属材料。</w:t>
      </w:r>
    </w:p>
    <w:p w14:paraId="07CA0CA0">
      <w:pPr>
        <w:numPr>
          <w:ilvl w:val="0"/>
          <w:numId w:val="108"/>
        </w:numPr>
        <w:ind w:firstLine="480"/>
        <w:rPr>
          <w:rFonts w:hint="eastAsia"/>
          <w:highlight w:val="none"/>
        </w:rPr>
      </w:pPr>
      <w:r>
        <w:rPr>
          <w:rFonts w:hint="eastAsia"/>
          <w:highlight w:val="none"/>
        </w:rPr>
        <w:t>管子切割不允许用普通砂轮片切割，应采用不锈钢专用砂轮片或等离子切割。</w:t>
      </w:r>
    </w:p>
    <w:p w14:paraId="6D530E65">
      <w:pPr>
        <w:numPr>
          <w:ilvl w:val="0"/>
          <w:numId w:val="108"/>
        </w:numPr>
        <w:ind w:firstLine="480"/>
        <w:rPr>
          <w:rFonts w:hint="eastAsia"/>
          <w:highlight w:val="none"/>
        </w:rPr>
      </w:pPr>
      <w:r>
        <w:rPr>
          <w:rFonts w:hint="eastAsia"/>
          <w:highlight w:val="none"/>
        </w:rPr>
        <w:t>不锈钢管材及管件定位焊时焊缝内侧应进行充氩保护。</w:t>
      </w:r>
    </w:p>
    <w:p w14:paraId="265C2258">
      <w:pPr>
        <w:numPr>
          <w:ilvl w:val="0"/>
          <w:numId w:val="108"/>
        </w:numPr>
        <w:ind w:firstLine="480"/>
        <w:rPr>
          <w:rFonts w:hint="eastAsia"/>
          <w:highlight w:val="none"/>
        </w:rPr>
      </w:pPr>
      <w:r>
        <w:rPr>
          <w:rFonts w:hint="eastAsia"/>
          <w:highlight w:val="none"/>
        </w:rPr>
        <w:t>起弧与收弧：起弧采用回焊法，收弧应填满弧坑，起弧必须在坡口内完成</w:t>
      </w:r>
      <w:r>
        <w:rPr>
          <w:highlight w:val="none"/>
        </w:rPr>
        <w:t>,禁止在管道、管件母材表面打弧与起弧。若起弧与收弧处发现气孔、裂纹应及时处理。</w:t>
      </w:r>
    </w:p>
    <w:p w14:paraId="379E41F1">
      <w:pPr>
        <w:numPr>
          <w:ilvl w:val="0"/>
          <w:numId w:val="108"/>
        </w:numPr>
        <w:ind w:firstLine="480"/>
        <w:rPr>
          <w:rFonts w:hint="eastAsia"/>
          <w:highlight w:val="none"/>
        </w:rPr>
      </w:pPr>
      <w:r>
        <w:rPr>
          <w:rFonts w:hint="eastAsia"/>
          <w:highlight w:val="none"/>
        </w:rPr>
        <w:t>不锈钢管道、管件以及不锈钢管道、管件与非不锈钢材质管道、管件的连接，焊接的对接接头打底焊接前管内及空腔内应充满氩气保护，才能进行钨极氩弧焊。</w:t>
      </w:r>
    </w:p>
    <w:p w14:paraId="4D548853">
      <w:pPr>
        <w:numPr>
          <w:ilvl w:val="0"/>
          <w:numId w:val="108"/>
        </w:numPr>
        <w:ind w:firstLine="480"/>
        <w:rPr>
          <w:rFonts w:hint="eastAsia"/>
          <w:highlight w:val="none"/>
        </w:rPr>
      </w:pPr>
      <w:r>
        <w:rPr>
          <w:rFonts w:hint="eastAsia"/>
          <w:highlight w:val="none"/>
        </w:rPr>
        <w:t>多道多层焊的起弧、收弧处应相互错开。</w:t>
      </w:r>
    </w:p>
    <w:p w14:paraId="3EFEC6D2">
      <w:pPr>
        <w:numPr>
          <w:ilvl w:val="0"/>
          <w:numId w:val="108"/>
        </w:numPr>
        <w:ind w:firstLine="480"/>
        <w:rPr>
          <w:rFonts w:hint="eastAsia"/>
          <w:highlight w:val="none"/>
        </w:rPr>
      </w:pPr>
      <w:r>
        <w:rPr>
          <w:rFonts w:hint="eastAsia"/>
          <w:highlight w:val="none"/>
        </w:rPr>
        <w:t>不锈钢材料连续焊接时，其层间温度不超过</w:t>
      </w:r>
      <w:r>
        <w:rPr>
          <w:highlight w:val="none"/>
        </w:rPr>
        <w:t>60℃。</w:t>
      </w:r>
    </w:p>
    <w:p w14:paraId="4F1E4AFE">
      <w:pPr>
        <w:numPr>
          <w:ilvl w:val="0"/>
          <w:numId w:val="108"/>
        </w:numPr>
        <w:ind w:firstLine="480"/>
        <w:rPr>
          <w:rFonts w:hint="eastAsia"/>
          <w:highlight w:val="none"/>
        </w:rPr>
      </w:pPr>
      <w:r>
        <w:rPr>
          <w:rFonts w:hint="eastAsia"/>
          <w:highlight w:val="none"/>
        </w:rPr>
        <w:t>管道连接的焊口焊接前后要进行酸洗和钝化处理。</w:t>
      </w:r>
    </w:p>
    <w:p w14:paraId="582FD0E8">
      <w:pPr>
        <w:pStyle w:val="5"/>
        <w:numPr>
          <w:ilvl w:val="3"/>
          <w:numId w:val="13"/>
        </w:numPr>
        <w:rPr>
          <w:rFonts w:hint="eastAsia"/>
          <w:highlight w:val="none"/>
        </w:rPr>
      </w:pPr>
      <w:r>
        <w:rPr>
          <w:rFonts w:hint="eastAsia"/>
          <w:highlight w:val="none"/>
        </w:rPr>
        <w:t>给水系统</w:t>
      </w:r>
      <w:r>
        <w:rPr>
          <w:highlight w:val="none"/>
        </w:rPr>
        <w:t>–</w:t>
      </w:r>
      <w:r>
        <w:rPr>
          <w:rFonts w:hint="eastAsia"/>
          <w:highlight w:val="none"/>
        </w:rPr>
        <w:t>铜管安装</w:t>
      </w:r>
    </w:p>
    <w:p w14:paraId="3D6E3DEE">
      <w:pPr>
        <w:numPr>
          <w:ilvl w:val="1"/>
          <w:numId w:val="109"/>
        </w:numPr>
        <w:ind w:firstLine="480"/>
        <w:rPr>
          <w:rFonts w:hint="eastAsia"/>
          <w:highlight w:val="none"/>
        </w:rPr>
      </w:pPr>
      <w:r>
        <w:rPr>
          <w:rFonts w:hint="eastAsia"/>
          <w:highlight w:val="none"/>
        </w:rPr>
        <w:t>给水系统使用的铜管，管材规格按设计</w:t>
      </w:r>
      <w:r>
        <w:rPr>
          <w:highlight w:val="none"/>
        </w:rPr>
        <w:t>要求</w:t>
      </w:r>
      <w:r>
        <w:rPr>
          <w:rFonts w:hint="eastAsia"/>
          <w:highlight w:val="none"/>
        </w:rPr>
        <w:t>确定。</w:t>
      </w:r>
    </w:p>
    <w:p w14:paraId="494AB1A5">
      <w:pPr>
        <w:numPr>
          <w:ilvl w:val="1"/>
          <w:numId w:val="109"/>
        </w:numPr>
        <w:ind w:firstLine="480"/>
        <w:rPr>
          <w:rFonts w:hint="eastAsia"/>
          <w:highlight w:val="none"/>
        </w:rPr>
      </w:pPr>
      <w:r>
        <w:rPr>
          <w:rFonts w:hint="eastAsia"/>
          <w:highlight w:val="none"/>
        </w:rPr>
        <w:t>建筑给水铜管管系统宜采用铜制管件，铜管与钢制设备连接时，应采用铜合金配件。</w:t>
      </w:r>
    </w:p>
    <w:p w14:paraId="518DED25">
      <w:pPr>
        <w:numPr>
          <w:ilvl w:val="1"/>
          <w:numId w:val="109"/>
        </w:numPr>
        <w:ind w:firstLine="480"/>
        <w:rPr>
          <w:rFonts w:hint="eastAsia"/>
          <w:highlight w:val="none"/>
        </w:rPr>
      </w:pPr>
      <w:r>
        <w:rPr>
          <w:rFonts w:hint="eastAsia"/>
          <w:highlight w:val="none"/>
        </w:rPr>
        <w:t>铜管可敷设在管沟内。埋地铜管宜有防腐措施。</w:t>
      </w:r>
    </w:p>
    <w:p w14:paraId="4CCF74FD">
      <w:pPr>
        <w:numPr>
          <w:ilvl w:val="1"/>
          <w:numId w:val="109"/>
        </w:numPr>
        <w:ind w:firstLine="480"/>
        <w:rPr>
          <w:rFonts w:hint="eastAsia"/>
          <w:highlight w:val="none"/>
        </w:rPr>
      </w:pPr>
      <w:r>
        <w:rPr>
          <w:rFonts w:hint="eastAsia"/>
          <w:highlight w:val="none"/>
        </w:rPr>
        <w:t>建筑给水支管宜敷设在吊顶、地面垫层或墙壁内。高层建筑给水立管宜敷设在管道井内。管道不得浇注在钢筋混凝土内。</w:t>
      </w:r>
    </w:p>
    <w:p w14:paraId="4DC7F1DD">
      <w:pPr>
        <w:numPr>
          <w:ilvl w:val="1"/>
          <w:numId w:val="109"/>
        </w:numPr>
        <w:ind w:firstLine="480"/>
        <w:rPr>
          <w:rFonts w:hint="eastAsia"/>
          <w:highlight w:val="none"/>
        </w:rPr>
      </w:pPr>
      <w:r>
        <w:rPr>
          <w:rFonts w:hint="eastAsia"/>
          <w:highlight w:val="none"/>
        </w:rPr>
        <w:t>引入管穿过地下室外墙或地下构筑物墙壁时，应预留孔洞或敷设套管，并应考虑建筑物沉降等不利因素。管道不得穿建筑物的沉降缝、伸缩缝。如必须穿越时，应设置管道伸缩和剪切变形的补偿装置。</w:t>
      </w:r>
    </w:p>
    <w:p w14:paraId="0A9690F7">
      <w:pPr>
        <w:numPr>
          <w:ilvl w:val="1"/>
          <w:numId w:val="109"/>
        </w:numPr>
        <w:ind w:firstLine="480"/>
        <w:rPr>
          <w:rFonts w:hint="eastAsia"/>
          <w:highlight w:val="none"/>
        </w:rPr>
      </w:pPr>
      <w:r>
        <w:rPr>
          <w:rFonts w:hint="eastAsia"/>
          <w:highlight w:val="none"/>
        </w:rPr>
        <w:t>管道穿越楼板、承重墙时，应设钢制套管。穿楼板套管上端应高出室内地坪</w:t>
      </w:r>
      <w:r>
        <w:rPr>
          <w:highlight w:val="none"/>
        </w:rPr>
        <w:t>50mm，下端应与楼板底齐平。穿越承重墙时套管应与两墙面平齐。管道穿越地下防水墙、顶板时，应设防水套管。</w:t>
      </w:r>
    </w:p>
    <w:p w14:paraId="4D4419DD">
      <w:pPr>
        <w:numPr>
          <w:ilvl w:val="1"/>
          <w:numId w:val="109"/>
        </w:numPr>
        <w:ind w:firstLine="480"/>
        <w:rPr>
          <w:rFonts w:hint="eastAsia"/>
          <w:highlight w:val="none"/>
        </w:rPr>
      </w:pPr>
      <w:r>
        <w:rPr>
          <w:rFonts w:hint="eastAsia"/>
          <w:highlight w:val="none"/>
        </w:rPr>
        <w:t>敷设在垫层或墙槽内的铜管可采用覆塑铜管，外径不宜大于</w:t>
      </w:r>
      <w:r>
        <w:rPr>
          <w:highlight w:val="none"/>
        </w:rPr>
        <w:t>28mm,管线宜水平或垂直布置在预留或开凿的凹槽内，槽内铜管应设置管卡固定。</w:t>
      </w:r>
    </w:p>
    <w:p w14:paraId="48A10DB9">
      <w:pPr>
        <w:numPr>
          <w:ilvl w:val="1"/>
          <w:numId w:val="109"/>
        </w:numPr>
        <w:ind w:firstLine="480"/>
        <w:rPr>
          <w:rFonts w:hint="eastAsia"/>
          <w:highlight w:val="none"/>
        </w:rPr>
      </w:pPr>
      <w:r>
        <w:rPr>
          <w:rFonts w:hint="eastAsia"/>
          <w:highlight w:val="none"/>
        </w:rPr>
        <w:t>管道不得敷设在卧室，贮藏室及烟道和风道内。</w:t>
      </w:r>
    </w:p>
    <w:p w14:paraId="65985543">
      <w:pPr>
        <w:numPr>
          <w:ilvl w:val="1"/>
          <w:numId w:val="109"/>
        </w:numPr>
        <w:ind w:firstLine="480"/>
        <w:rPr>
          <w:rFonts w:hint="eastAsia"/>
          <w:highlight w:val="none"/>
        </w:rPr>
      </w:pPr>
      <w:r>
        <w:rPr>
          <w:rFonts w:hint="eastAsia"/>
          <w:highlight w:val="none"/>
        </w:rPr>
        <w:t>横管敷设宜不小于</w:t>
      </w:r>
      <w:r>
        <w:rPr>
          <w:highlight w:val="none"/>
        </w:rPr>
        <w:t>0</w:t>
      </w:r>
      <w:r>
        <w:rPr>
          <w:rFonts w:hint="eastAsia"/>
          <w:highlight w:val="none"/>
        </w:rPr>
        <w:t>.</w:t>
      </w:r>
      <w:r>
        <w:rPr>
          <w:highlight w:val="none"/>
        </w:rPr>
        <w:t>2</w:t>
      </w:r>
      <w:r>
        <w:rPr>
          <w:rFonts w:hint="eastAsia"/>
          <w:highlight w:val="none"/>
        </w:rPr>
        <w:t>%</w:t>
      </w:r>
      <w:r>
        <w:rPr>
          <w:highlight w:val="none"/>
        </w:rPr>
        <w:t>～0</w:t>
      </w:r>
      <w:r>
        <w:rPr>
          <w:rFonts w:hint="eastAsia"/>
          <w:highlight w:val="none"/>
        </w:rPr>
        <w:t>.</w:t>
      </w:r>
      <w:r>
        <w:rPr>
          <w:highlight w:val="none"/>
        </w:rPr>
        <w:t>5</w:t>
      </w:r>
      <w:r>
        <w:rPr>
          <w:rFonts w:hint="eastAsia"/>
          <w:highlight w:val="none"/>
        </w:rPr>
        <w:t>%</w:t>
      </w:r>
      <w:r>
        <w:rPr>
          <w:highlight w:val="none"/>
        </w:rPr>
        <w:t>的放空坡度。</w:t>
      </w:r>
    </w:p>
    <w:p w14:paraId="200BCA20">
      <w:pPr>
        <w:numPr>
          <w:ilvl w:val="1"/>
          <w:numId w:val="109"/>
        </w:numPr>
        <w:ind w:firstLine="480"/>
        <w:rPr>
          <w:rFonts w:hint="eastAsia"/>
          <w:highlight w:val="none"/>
        </w:rPr>
      </w:pPr>
      <w:r>
        <w:rPr>
          <w:rFonts w:hint="eastAsia"/>
          <w:highlight w:val="none"/>
        </w:rPr>
        <w:t>铜管的连接方式应符合以下规定：</w:t>
      </w:r>
    </w:p>
    <w:p w14:paraId="7F55FED8">
      <w:pPr>
        <w:numPr>
          <w:ilvl w:val="0"/>
          <w:numId w:val="110"/>
        </w:numPr>
        <w:ind w:firstLine="480"/>
        <w:rPr>
          <w:rFonts w:hint="eastAsia"/>
          <w:highlight w:val="none"/>
        </w:rPr>
      </w:pPr>
      <w:r>
        <w:rPr>
          <w:rFonts w:hint="eastAsia"/>
          <w:highlight w:val="none"/>
        </w:rPr>
        <w:t>引入管、支管接出及水表接口处应采用便于检修拆卸的连接件。</w:t>
      </w:r>
    </w:p>
    <w:p w14:paraId="211EA0C7">
      <w:pPr>
        <w:numPr>
          <w:ilvl w:val="0"/>
          <w:numId w:val="110"/>
        </w:numPr>
        <w:ind w:firstLine="480"/>
        <w:rPr>
          <w:rFonts w:hint="eastAsia"/>
          <w:highlight w:val="none"/>
        </w:rPr>
      </w:pPr>
      <w:r>
        <w:rPr>
          <w:rFonts w:hint="eastAsia"/>
          <w:highlight w:val="none"/>
        </w:rPr>
        <w:t>埋地、敷设在垫层或墙槽内的铜管采用硬钎焊接。</w:t>
      </w:r>
    </w:p>
    <w:p w14:paraId="2F0AB2F5">
      <w:pPr>
        <w:numPr>
          <w:ilvl w:val="0"/>
          <w:numId w:val="110"/>
        </w:numPr>
        <w:ind w:firstLine="480"/>
        <w:rPr>
          <w:rFonts w:hint="eastAsia"/>
          <w:highlight w:val="none"/>
        </w:rPr>
      </w:pPr>
      <w:r>
        <w:rPr>
          <w:rFonts w:hint="eastAsia"/>
          <w:highlight w:val="none"/>
        </w:rPr>
        <w:t>外径小于</w:t>
      </w:r>
      <w:r>
        <w:rPr>
          <w:highlight w:val="none"/>
        </w:rPr>
        <w:t>28mm的明支管可采用软钎焊接、机械式连接(卡套、冷压接)。</w:t>
      </w:r>
    </w:p>
    <w:p w14:paraId="4880317A">
      <w:pPr>
        <w:numPr>
          <w:ilvl w:val="0"/>
          <w:numId w:val="110"/>
        </w:numPr>
        <w:ind w:firstLine="480"/>
        <w:rPr>
          <w:rFonts w:hint="eastAsia"/>
          <w:highlight w:val="none"/>
        </w:rPr>
      </w:pPr>
      <w:r>
        <w:rPr>
          <w:rFonts w:hint="eastAsia"/>
          <w:highlight w:val="none"/>
        </w:rPr>
        <w:t>铜管与供水设备连接时，宜采用带螺纹端口连接或法兰连接。</w:t>
      </w:r>
    </w:p>
    <w:p w14:paraId="78F6F24E">
      <w:pPr>
        <w:numPr>
          <w:ilvl w:val="0"/>
          <w:numId w:val="110"/>
        </w:numPr>
        <w:ind w:firstLine="480"/>
        <w:rPr>
          <w:rFonts w:hint="eastAsia"/>
          <w:highlight w:val="none"/>
        </w:rPr>
      </w:pPr>
      <w:r>
        <w:rPr>
          <w:rFonts w:hint="eastAsia"/>
          <w:highlight w:val="none"/>
        </w:rPr>
        <w:t>当热水铜管直线管段超过</w:t>
      </w:r>
      <w:r>
        <w:rPr>
          <w:highlight w:val="none"/>
        </w:rPr>
        <w:t>10m时，应有管道热伸长的措施。管道伸缩量宜根据实际温差进行计算。</w:t>
      </w:r>
    </w:p>
    <w:p w14:paraId="34BA8423">
      <w:pPr>
        <w:numPr>
          <w:ilvl w:val="0"/>
          <w:numId w:val="110"/>
        </w:numPr>
        <w:ind w:firstLine="480"/>
        <w:rPr>
          <w:rFonts w:hint="eastAsia"/>
          <w:highlight w:val="none"/>
        </w:rPr>
      </w:pPr>
      <w:r>
        <w:rPr>
          <w:rFonts w:hint="eastAsia"/>
          <w:highlight w:val="none"/>
        </w:rPr>
        <w:t>连接水箱等设备进出口处的铜管，应做局部加强处理。</w:t>
      </w:r>
    </w:p>
    <w:p w14:paraId="726BF878">
      <w:pPr>
        <w:numPr>
          <w:ilvl w:val="0"/>
          <w:numId w:val="110"/>
        </w:numPr>
        <w:ind w:firstLine="480"/>
        <w:rPr>
          <w:rFonts w:hint="eastAsia"/>
          <w:highlight w:val="none"/>
        </w:rPr>
      </w:pPr>
      <w:r>
        <w:rPr>
          <w:rFonts w:hint="eastAsia"/>
          <w:highlight w:val="none"/>
        </w:rPr>
        <w:t>室内明装给水铜管应做防结露处理，热水铜管应做保温处理。</w:t>
      </w:r>
    </w:p>
    <w:p w14:paraId="332817EB">
      <w:pPr>
        <w:numPr>
          <w:ilvl w:val="0"/>
          <w:numId w:val="110"/>
        </w:numPr>
        <w:ind w:firstLine="480"/>
        <w:rPr>
          <w:rFonts w:hint="eastAsia"/>
          <w:highlight w:val="none"/>
        </w:rPr>
      </w:pPr>
      <w:r>
        <w:rPr>
          <w:rFonts w:hint="eastAsia"/>
          <w:highlight w:val="none"/>
        </w:rPr>
        <w:t>铜管焊接不得使用含铅钎料、含氨焊剂。</w:t>
      </w:r>
    </w:p>
    <w:p w14:paraId="242A63D2">
      <w:pPr>
        <w:numPr>
          <w:ilvl w:val="1"/>
          <w:numId w:val="109"/>
        </w:numPr>
        <w:ind w:firstLine="480"/>
        <w:rPr>
          <w:rFonts w:hint="eastAsia"/>
          <w:highlight w:val="none"/>
        </w:rPr>
      </w:pPr>
      <w:r>
        <w:rPr>
          <w:rFonts w:hint="eastAsia"/>
          <w:highlight w:val="none"/>
        </w:rPr>
        <w:t>管道安装施工的注意事项</w:t>
      </w:r>
    </w:p>
    <w:p w14:paraId="094433C7">
      <w:pPr>
        <w:numPr>
          <w:ilvl w:val="0"/>
          <w:numId w:val="111"/>
        </w:numPr>
        <w:ind w:firstLine="480"/>
        <w:rPr>
          <w:rFonts w:hint="eastAsia"/>
          <w:highlight w:val="none"/>
        </w:rPr>
      </w:pPr>
      <w:r>
        <w:rPr>
          <w:rFonts w:hint="eastAsia"/>
          <w:highlight w:val="none"/>
        </w:rPr>
        <w:t>施工过程中应防止与酸、碱等对铜管有腐蚀按设计要求核对无误。</w:t>
      </w:r>
    </w:p>
    <w:p w14:paraId="18830D85">
      <w:pPr>
        <w:numPr>
          <w:ilvl w:val="0"/>
          <w:numId w:val="111"/>
        </w:numPr>
        <w:ind w:firstLine="480"/>
        <w:rPr>
          <w:rFonts w:hint="eastAsia"/>
          <w:highlight w:val="none"/>
        </w:rPr>
      </w:pPr>
      <w:r>
        <w:rPr>
          <w:rFonts w:hint="eastAsia"/>
          <w:highlight w:val="none"/>
        </w:rPr>
        <w:t>管道在安装前应检查其外观和管口，有明显伤痕的管道不得使用，变形管口应用专用工具整圆。受污染的管材、管件内外污垢及杂物应清理干净。</w:t>
      </w:r>
    </w:p>
    <w:p w14:paraId="76AA71F1">
      <w:pPr>
        <w:numPr>
          <w:ilvl w:val="0"/>
          <w:numId w:val="111"/>
        </w:numPr>
        <w:ind w:firstLine="480"/>
        <w:rPr>
          <w:rFonts w:hint="eastAsia"/>
          <w:highlight w:val="none"/>
        </w:rPr>
      </w:pPr>
      <w:r>
        <w:rPr>
          <w:rFonts w:hint="eastAsia"/>
          <w:highlight w:val="none"/>
        </w:rPr>
        <w:t>弯曲的管道调直时，外径小于等于</w:t>
      </w:r>
      <w:r>
        <w:rPr>
          <w:highlight w:val="none"/>
        </w:rPr>
        <w:t>108mm管道可采用冷调法，外径大于108mm的管道可采用热调法。调直后不应有凹陷、破损现象。采用胀口或翻边连接的管子，施工前应每批抽1%</w:t>
      </w:r>
      <w:r>
        <w:rPr>
          <w:rFonts w:hint="eastAsia"/>
          <w:highlight w:val="none"/>
        </w:rPr>
        <w:t>且不少于两根进行胀口或翻边试验。如有裂纹，需要退火、试验处理，应重做试验。如仍有裂纹，则该批管子须逐根退火、试验，不合格的不得使用。</w:t>
      </w:r>
    </w:p>
    <w:p w14:paraId="03E22776">
      <w:pPr>
        <w:pStyle w:val="5"/>
        <w:numPr>
          <w:ilvl w:val="3"/>
          <w:numId w:val="13"/>
        </w:numPr>
        <w:rPr>
          <w:rFonts w:hint="eastAsia"/>
          <w:highlight w:val="none"/>
        </w:rPr>
      </w:pPr>
      <w:r>
        <w:rPr>
          <w:rFonts w:hint="eastAsia"/>
          <w:highlight w:val="none"/>
        </w:rPr>
        <w:t>排水系统</w:t>
      </w:r>
      <w:r>
        <w:rPr>
          <w:highlight w:val="none"/>
        </w:rPr>
        <w:t>–UPVC安装</w:t>
      </w:r>
    </w:p>
    <w:p w14:paraId="1610858E">
      <w:pPr>
        <w:numPr>
          <w:ilvl w:val="1"/>
          <w:numId w:val="112"/>
        </w:numPr>
        <w:ind w:firstLine="480"/>
        <w:rPr>
          <w:rFonts w:hint="eastAsia"/>
          <w:highlight w:val="none"/>
        </w:rPr>
      </w:pPr>
      <w:r>
        <w:rPr>
          <w:rFonts w:hint="eastAsia"/>
          <w:highlight w:val="none"/>
        </w:rPr>
        <w:t>预留洞</w:t>
      </w:r>
    </w:p>
    <w:p w14:paraId="12E04818">
      <w:pPr>
        <w:ind w:firstLine="480"/>
        <w:rPr>
          <w:rFonts w:hint="eastAsia"/>
          <w:highlight w:val="none"/>
        </w:rPr>
      </w:pPr>
      <w:r>
        <w:rPr>
          <w:rFonts w:hint="eastAsia"/>
          <w:highlight w:val="none"/>
        </w:rPr>
        <w:t>预留洞或套管尺寸比待安装的排水管管径大两号，标准层预留洞距墙尺寸统一，预留洞用的钢管应固定牢固。</w:t>
      </w:r>
    </w:p>
    <w:p w14:paraId="413A7A57">
      <w:pPr>
        <w:ind w:firstLine="480"/>
        <w:rPr>
          <w:rFonts w:hint="eastAsia"/>
          <w:highlight w:val="none"/>
        </w:rPr>
      </w:pPr>
      <w:r>
        <w:rPr>
          <w:rFonts w:hint="eastAsia"/>
          <w:highlight w:val="none"/>
        </w:rPr>
        <w:t>如</w:t>
      </w:r>
      <w:r>
        <w:rPr>
          <w:highlight w:val="none"/>
        </w:rPr>
        <w:t>采用积水处理器</w:t>
      </w:r>
      <w:r>
        <w:rPr>
          <w:rFonts w:hint="eastAsia"/>
          <w:highlight w:val="none"/>
        </w:rPr>
        <w:t>、</w:t>
      </w:r>
      <w:r>
        <w:rPr>
          <w:highlight w:val="none"/>
        </w:rPr>
        <w:t>止水节等成品预埋件，则应根据设计要求</w:t>
      </w:r>
      <w:r>
        <w:rPr>
          <w:rFonts w:hint="eastAsia"/>
          <w:highlight w:val="none"/>
        </w:rPr>
        <w:t>及</w:t>
      </w:r>
      <w:r>
        <w:rPr>
          <w:highlight w:val="none"/>
        </w:rPr>
        <w:t>产品安装要求预埋。</w:t>
      </w:r>
    </w:p>
    <w:p w14:paraId="7B74293A">
      <w:pPr>
        <w:numPr>
          <w:ilvl w:val="1"/>
          <w:numId w:val="112"/>
        </w:numPr>
        <w:ind w:firstLine="480"/>
        <w:rPr>
          <w:rFonts w:hint="eastAsia"/>
          <w:highlight w:val="none"/>
        </w:rPr>
      </w:pPr>
      <w:r>
        <w:rPr>
          <w:rFonts w:hint="eastAsia"/>
          <w:highlight w:val="none"/>
        </w:rPr>
        <w:t>立管安装</w:t>
      </w:r>
    </w:p>
    <w:p w14:paraId="325E9D2B">
      <w:pPr>
        <w:ind w:firstLine="480"/>
        <w:rPr>
          <w:rFonts w:hint="eastAsia"/>
          <w:highlight w:val="none"/>
        </w:rPr>
      </w:pPr>
      <w:r>
        <w:rPr>
          <w:rFonts w:hint="eastAsia"/>
          <w:highlight w:val="none"/>
        </w:rPr>
        <w:t>立管垂直度允许偏差</w:t>
      </w:r>
      <w:r>
        <w:rPr>
          <w:highlight w:val="none"/>
        </w:rPr>
        <w:t>3mm/m，全长（5m以上）≤15mm。检查口距地高度统一，朝向便于检修。</w:t>
      </w:r>
    </w:p>
    <w:p w14:paraId="72C04147">
      <w:pPr>
        <w:ind w:firstLine="480"/>
        <w:rPr>
          <w:rFonts w:hint="eastAsia"/>
          <w:highlight w:val="none"/>
        </w:rPr>
      </w:pPr>
      <w:r>
        <w:rPr>
          <w:rFonts w:hint="eastAsia"/>
          <w:highlight w:val="none"/>
        </w:rPr>
        <w:t>阻火圈：高层建筑内公称外径大于或等于</w:t>
      </w:r>
      <w:r>
        <w:rPr>
          <w:highlight w:val="none"/>
        </w:rPr>
        <w:t>110mm的明设排水立管，在穿越楼层处应采取设置阻火圈或防火套管等防止火灾贯穿的措施。</w:t>
      </w:r>
    </w:p>
    <w:p w14:paraId="549525A5">
      <w:pPr>
        <w:ind w:firstLine="480"/>
        <w:rPr>
          <w:rFonts w:hint="eastAsia"/>
          <w:highlight w:val="none"/>
        </w:rPr>
      </w:pPr>
      <w:r>
        <w:rPr>
          <w:rFonts w:hint="eastAsia"/>
          <w:highlight w:val="none"/>
        </w:rPr>
        <w:t>立管伸缩节：当层高≤</w:t>
      </w:r>
      <w:r>
        <w:rPr>
          <w:highlight w:val="none"/>
        </w:rPr>
        <w:t>4m时，立管上应每层设置一个伸缩节；当层高&gt;4m时，根据设计计算设置伸缩节；楼层内有横管接入的，汇合管件设置在楼板上部靠近地坪时，应在汇合管件上方设伸缩节；汇合管件设置在楼板下部时，在汇合管件下部设伸缩节；伸缩节的承口方向应迎水流方向。</w:t>
      </w:r>
    </w:p>
    <w:p w14:paraId="78D217A9">
      <w:pPr>
        <w:numPr>
          <w:ilvl w:val="1"/>
          <w:numId w:val="112"/>
        </w:numPr>
        <w:ind w:firstLine="480"/>
        <w:rPr>
          <w:rFonts w:hint="eastAsia"/>
          <w:highlight w:val="none"/>
        </w:rPr>
      </w:pPr>
      <w:r>
        <w:rPr>
          <w:rFonts w:hint="eastAsia"/>
          <w:highlight w:val="none"/>
        </w:rPr>
        <w:t>水平支管安装</w:t>
      </w:r>
    </w:p>
    <w:p w14:paraId="2EE29DBD">
      <w:pPr>
        <w:numPr>
          <w:ilvl w:val="0"/>
          <w:numId w:val="113"/>
        </w:numPr>
        <w:ind w:firstLine="480"/>
        <w:rPr>
          <w:rFonts w:hint="eastAsia"/>
          <w:highlight w:val="none"/>
        </w:rPr>
      </w:pPr>
      <w:r>
        <w:rPr>
          <w:rFonts w:hint="eastAsia"/>
          <w:highlight w:val="none"/>
        </w:rPr>
        <w:t>坡度和吊架间距满足规范要求。</w:t>
      </w:r>
    </w:p>
    <w:p w14:paraId="46CA3281">
      <w:pPr>
        <w:numPr>
          <w:ilvl w:val="0"/>
          <w:numId w:val="113"/>
        </w:numPr>
        <w:ind w:firstLine="480"/>
        <w:rPr>
          <w:rFonts w:hint="eastAsia"/>
          <w:highlight w:val="none"/>
        </w:rPr>
      </w:pPr>
      <w:r>
        <w:rPr>
          <w:highlight w:val="none"/>
        </w:rPr>
        <w:t>采用金属卡或吊架时，金属管卡与管道之间应采用塑料带或橡胶等软物隔垫</w:t>
      </w:r>
      <w:r>
        <w:rPr>
          <w:rFonts w:hint="eastAsia"/>
          <w:highlight w:val="none"/>
        </w:rPr>
        <w:t>。</w:t>
      </w:r>
    </w:p>
    <w:p w14:paraId="56004658">
      <w:pPr>
        <w:numPr>
          <w:ilvl w:val="0"/>
          <w:numId w:val="113"/>
        </w:numPr>
        <w:ind w:firstLine="480"/>
        <w:rPr>
          <w:rFonts w:hint="eastAsia"/>
          <w:highlight w:val="none"/>
        </w:rPr>
      </w:pPr>
      <w:r>
        <w:rPr>
          <w:rFonts w:hint="eastAsia"/>
          <w:highlight w:val="none"/>
        </w:rPr>
        <w:t>横管伸缩节：横支管、横干管无汇合管道接入，且与立管相连管段的长度大于</w:t>
      </w:r>
      <w:r>
        <w:rPr>
          <w:highlight w:val="none"/>
        </w:rPr>
        <w:t>2.2m时，在靠近汇合管件的横管侧设置伸缩节；横管上伸缩节间距不宜超过4m，超过4m时，应根据设计计算设置伸缩节；伸缩节的承口方向应迎水流方向。</w:t>
      </w:r>
    </w:p>
    <w:p w14:paraId="639782BF">
      <w:pPr>
        <w:numPr>
          <w:ilvl w:val="0"/>
          <w:numId w:val="113"/>
        </w:numPr>
        <w:ind w:firstLine="480"/>
        <w:rPr>
          <w:rFonts w:hint="eastAsia"/>
          <w:highlight w:val="none"/>
        </w:rPr>
      </w:pPr>
      <w:r>
        <w:rPr>
          <w:rFonts w:hint="eastAsia"/>
          <w:highlight w:val="none"/>
        </w:rPr>
        <w:t>管道变径：当水平支管由上游小管汇入下游大管时，应采用偏心补心，顶平连接。</w:t>
      </w:r>
    </w:p>
    <w:p w14:paraId="467FBEFD">
      <w:pPr>
        <w:numPr>
          <w:ilvl w:val="0"/>
          <w:numId w:val="113"/>
        </w:numPr>
        <w:ind w:firstLine="480"/>
        <w:rPr>
          <w:rFonts w:hint="eastAsia"/>
          <w:highlight w:val="none"/>
        </w:rPr>
      </w:pPr>
      <w:r>
        <w:rPr>
          <w:rFonts w:hint="eastAsia"/>
          <w:highlight w:val="none"/>
        </w:rPr>
        <w:t>水平管道末端转换：</w:t>
      </w:r>
      <w:r>
        <w:rPr>
          <w:highlight w:val="none"/>
        </w:rPr>
        <w:t>UPVC水平排水支管与柔性排水铸铁立管应采用卡箍橡胶圈接口</w:t>
      </w:r>
      <w:r>
        <w:rPr>
          <w:rFonts w:hint="eastAsia"/>
          <w:highlight w:val="none"/>
        </w:rPr>
        <w:t>。</w:t>
      </w:r>
    </w:p>
    <w:p w14:paraId="2DCED570">
      <w:pPr>
        <w:numPr>
          <w:ilvl w:val="1"/>
          <w:numId w:val="112"/>
        </w:numPr>
        <w:ind w:firstLine="480"/>
        <w:rPr>
          <w:rFonts w:hint="eastAsia"/>
          <w:highlight w:val="none"/>
        </w:rPr>
      </w:pPr>
      <w:r>
        <w:rPr>
          <w:rFonts w:hint="eastAsia"/>
          <w:highlight w:val="none"/>
        </w:rPr>
        <w:t>成品保护</w:t>
      </w:r>
    </w:p>
    <w:p w14:paraId="72DF083F">
      <w:pPr>
        <w:ind w:firstLine="480"/>
        <w:rPr>
          <w:rFonts w:hint="eastAsia"/>
          <w:highlight w:val="none"/>
        </w:rPr>
      </w:pPr>
      <w:r>
        <w:rPr>
          <w:rFonts w:hint="eastAsia"/>
          <w:highlight w:val="none"/>
        </w:rPr>
        <w:t>对已施工完的</w:t>
      </w:r>
      <w:r>
        <w:rPr>
          <w:highlight w:val="none"/>
        </w:rPr>
        <w:t>UPVC排水管做有效的成品保护：所有预留管口封闭严密，管道应采用塑料布等材料包裹。对同层排水预埋件，在</w:t>
      </w:r>
      <w:r>
        <w:rPr>
          <w:rFonts w:hint="eastAsia"/>
          <w:highlight w:val="none"/>
        </w:rPr>
        <w:t>现浇楼板完成后须将产品保护盖上的多余水泥浆清理干净，保证盖中心排水孔洞的通畅。</w:t>
      </w:r>
    </w:p>
    <w:p w14:paraId="714C3B91">
      <w:pPr>
        <w:pStyle w:val="5"/>
        <w:numPr>
          <w:ilvl w:val="3"/>
          <w:numId w:val="13"/>
        </w:numPr>
        <w:rPr>
          <w:rFonts w:hint="eastAsia"/>
          <w:highlight w:val="none"/>
        </w:rPr>
      </w:pPr>
      <w:r>
        <w:rPr>
          <w:rFonts w:hint="eastAsia"/>
          <w:highlight w:val="none"/>
        </w:rPr>
        <w:t>排水系统</w:t>
      </w:r>
      <w:r>
        <w:rPr>
          <w:highlight w:val="none"/>
        </w:rPr>
        <w:t>–铸铁管安装</w:t>
      </w:r>
    </w:p>
    <w:p w14:paraId="14960C0F">
      <w:pPr>
        <w:numPr>
          <w:ilvl w:val="1"/>
          <w:numId w:val="114"/>
        </w:numPr>
        <w:ind w:firstLine="480"/>
        <w:rPr>
          <w:rFonts w:hint="eastAsia"/>
          <w:highlight w:val="none"/>
        </w:rPr>
      </w:pPr>
      <w:r>
        <w:rPr>
          <w:rFonts w:hint="eastAsia"/>
          <w:highlight w:val="none"/>
        </w:rPr>
        <w:t>柔性机制铸铁管承插连接：</w:t>
      </w:r>
    </w:p>
    <w:p w14:paraId="5B5961F5">
      <w:pPr>
        <w:numPr>
          <w:ilvl w:val="0"/>
          <w:numId w:val="115"/>
        </w:numPr>
        <w:ind w:firstLine="480"/>
        <w:rPr>
          <w:rFonts w:hint="eastAsia"/>
          <w:highlight w:val="none"/>
        </w:rPr>
      </w:pPr>
      <w:r>
        <w:rPr>
          <w:rFonts w:hint="eastAsia"/>
          <w:highlight w:val="none"/>
        </w:rPr>
        <w:t>承口、插口及法兰压盖工作面上不得有泥沙及制作毛刺。</w:t>
      </w:r>
    </w:p>
    <w:p w14:paraId="0F0FCAED">
      <w:pPr>
        <w:numPr>
          <w:ilvl w:val="0"/>
          <w:numId w:val="115"/>
        </w:numPr>
        <w:ind w:firstLine="480"/>
        <w:rPr>
          <w:rFonts w:hint="eastAsia"/>
          <w:highlight w:val="none"/>
        </w:rPr>
      </w:pPr>
      <w:r>
        <w:rPr>
          <w:rFonts w:hint="eastAsia"/>
          <w:highlight w:val="none"/>
        </w:rPr>
        <w:t>安装所在的平面应与管的轴线垂直。</w:t>
      </w:r>
    </w:p>
    <w:p w14:paraId="6BE88E2F">
      <w:pPr>
        <w:numPr>
          <w:ilvl w:val="0"/>
          <w:numId w:val="115"/>
        </w:numPr>
        <w:ind w:firstLine="480"/>
        <w:rPr>
          <w:rFonts w:hint="eastAsia"/>
          <w:highlight w:val="none"/>
        </w:rPr>
      </w:pPr>
      <w:r>
        <w:rPr>
          <w:rFonts w:hint="eastAsia"/>
          <w:highlight w:val="none"/>
        </w:rPr>
        <w:t>胶圈边缘与上、下端对齐。</w:t>
      </w:r>
    </w:p>
    <w:p w14:paraId="53A381BB">
      <w:pPr>
        <w:numPr>
          <w:ilvl w:val="0"/>
          <w:numId w:val="115"/>
        </w:numPr>
        <w:ind w:firstLine="480"/>
        <w:rPr>
          <w:rFonts w:hint="eastAsia"/>
          <w:highlight w:val="none"/>
        </w:rPr>
      </w:pPr>
      <w:r>
        <w:rPr>
          <w:rFonts w:hint="eastAsia"/>
          <w:highlight w:val="none"/>
        </w:rPr>
        <w:t>插口端插入承口内，为保持橡胶圈在承口深度四周相同，在插进中要保证插入管的轴线与承口管的轴线在同一直线上。</w:t>
      </w:r>
    </w:p>
    <w:p w14:paraId="42B4C910">
      <w:pPr>
        <w:numPr>
          <w:ilvl w:val="0"/>
          <w:numId w:val="115"/>
        </w:numPr>
        <w:ind w:firstLine="480"/>
        <w:rPr>
          <w:rFonts w:hint="eastAsia"/>
          <w:highlight w:val="none"/>
        </w:rPr>
      </w:pPr>
      <w:r>
        <w:rPr>
          <w:rFonts w:hint="eastAsia"/>
          <w:highlight w:val="none"/>
        </w:rPr>
        <w:t>拧紧螺栓时，要使密封圈均匀受力，不得一次拧紧，应逐个逐次拧紧到位。</w:t>
      </w:r>
    </w:p>
    <w:p w14:paraId="2C923465">
      <w:pPr>
        <w:numPr>
          <w:ilvl w:val="0"/>
          <w:numId w:val="115"/>
        </w:numPr>
        <w:ind w:firstLine="480"/>
        <w:rPr>
          <w:rFonts w:hint="eastAsia"/>
          <w:highlight w:val="none"/>
        </w:rPr>
      </w:pPr>
      <w:r>
        <w:rPr>
          <w:rFonts w:hint="eastAsia"/>
          <w:highlight w:val="none"/>
        </w:rPr>
        <w:t>安装立管时，每个接口处，要用管箍固定在建筑物上。</w:t>
      </w:r>
    </w:p>
    <w:p w14:paraId="7FF0C866">
      <w:pPr>
        <w:numPr>
          <w:ilvl w:val="1"/>
          <w:numId w:val="114"/>
        </w:numPr>
        <w:ind w:firstLine="480"/>
        <w:rPr>
          <w:rFonts w:hint="eastAsia"/>
          <w:highlight w:val="none"/>
        </w:rPr>
      </w:pPr>
      <w:r>
        <w:rPr>
          <w:rFonts w:hint="eastAsia"/>
          <w:highlight w:val="none"/>
        </w:rPr>
        <w:t>卡箍连接</w:t>
      </w:r>
    </w:p>
    <w:p w14:paraId="5344FCB8">
      <w:pPr>
        <w:numPr>
          <w:ilvl w:val="0"/>
          <w:numId w:val="116"/>
        </w:numPr>
        <w:ind w:firstLine="480"/>
        <w:rPr>
          <w:rFonts w:hint="eastAsia"/>
          <w:highlight w:val="none"/>
        </w:rPr>
      </w:pPr>
      <w:r>
        <w:rPr>
          <w:rFonts w:hint="eastAsia"/>
          <w:highlight w:val="none"/>
        </w:rPr>
        <w:t>沟槽式卡箍连接：管接头与管体相连，确保管体和管件之间不会轴向脱开，在密封圈的包裹下确保接头处无渗漏。</w:t>
      </w:r>
    </w:p>
    <w:p w14:paraId="18A00EDD">
      <w:pPr>
        <w:numPr>
          <w:ilvl w:val="0"/>
          <w:numId w:val="116"/>
        </w:numPr>
        <w:ind w:firstLine="480"/>
        <w:rPr>
          <w:rFonts w:hint="eastAsia"/>
          <w:highlight w:val="none"/>
        </w:rPr>
      </w:pPr>
      <w:r>
        <w:rPr>
          <w:rFonts w:hint="eastAsia"/>
          <w:highlight w:val="none"/>
        </w:rPr>
        <w:t>柔性机制铸铁管卡箍连接：排水坡度符合设计要求。管道断口平整、光滑、无毛刺、台阶、裂缝。橡胶密封圈应均匀平整地套在相连接的两管道上，相连接管道平直度应符合规范要求。</w:t>
      </w:r>
    </w:p>
    <w:p w14:paraId="4F66FCF7">
      <w:pPr>
        <w:numPr>
          <w:ilvl w:val="0"/>
          <w:numId w:val="116"/>
        </w:numPr>
        <w:ind w:firstLine="480"/>
        <w:rPr>
          <w:rFonts w:hint="eastAsia"/>
          <w:highlight w:val="none"/>
        </w:rPr>
      </w:pPr>
      <w:r>
        <w:rPr>
          <w:rFonts w:hint="eastAsia"/>
          <w:highlight w:val="none"/>
        </w:rPr>
        <w:t>加强卡箍：柔性机制铸铁排水干管和立管使用加强卡箍连接。</w:t>
      </w:r>
    </w:p>
    <w:p w14:paraId="3D0370EA">
      <w:pPr>
        <w:numPr>
          <w:ilvl w:val="1"/>
          <w:numId w:val="114"/>
        </w:numPr>
        <w:ind w:firstLine="480"/>
        <w:rPr>
          <w:rFonts w:hint="eastAsia"/>
          <w:highlight w:val="none"/>
        </w:rPr>
      </w:pPr>
      <w:r>
        <w:rPr>
          <w:rFonts w:hint="eastAsia"/>
          <w:highlight w:val="none"/>
        </w:rPr>
        <w:t>排水立管应每层设置支架固定，支架间距不宜大于</w:t>
      </w:r>
      <w:r>
        <w:rPr>
          <w:highlight w:val="none"/>
        </w:rPr>
        <w:t>1.5</w:t>
      </w:r>
      <w:r>
        <w:rPr>
          <w:rFonts w:hint="eastAsia"/>
          <w:highlight w:val="none"/>
        </w:rPr>
        <w:t>m，层高小于或等于</w:t>
      </w:r>
      <w:r>
        <w:rPr>
          <w:highlight w:val="none"/>
        </w:rPr>
        <w:t>3</w:t>
      </w:r>
      <w:r>
        <w:rPr>
          <w:rFonts w:hint="eastAsia"/>
          <w:highlight w:val="none"/>
        </w:rPr>
        <w:t>m时，可只设一个支架。</w:t>
      </w:r>
    </w:p>
    <w:p w14:paraId="480F8B09">
      <w:pPr>
        <w:numPr>
          <w:ilvl w:val="1"/>
          <w:numId w:val="114"/>
        </w:numPr>
        <w:ind w:firstLine="480"/>
        <w:rPr>
          <w:rFonts w:hint="eastAsia"/>
          <w:highlight w:val="none"/>
        </w:rPr>
      </w:pPr>
      <w:r>
        <w:rPr>
          <w:rFonts w:hint="eastAsia"/>
          <w:highlight w:val="none"/>
        </w:rPr>
        <w:t>铸铁管水平管段按规范要求增加清扫口。</w:t>
      </w:r>
    </w:p>
    <w:p w14:paraId="1755C3CB">
      <w:pPr>
        <w:pStyle w:val="5"/>
        <w:numPr>
          <w:ilvl w:val="3"/>
          <w:numId w:val="13"/>
        </w:numPr>
        <w:rPr>
          <w:rFonts w:hint="eastAsia"/>
          <w:highlight w:val="none"/>
        </w:rPr>
      </w:pPr>
      <w:r>
        <w:rPr>
          <w:rFonts w:hint="eastAsia"/>
          <w:highlight w:val="none"/>
        </w:rPr>
        <w:t>排水系统</w:t>
      </w:r>
      <w:r>
        <w:rPr>
          <w:highlight w:val="none"/>
        </w:rPr>
        <w:t>–</w:t>
      </w:r>
      <w:r>
        <w:rPr>
          <w:rFonts w:hint="eastAsia"/>
          <w:highlight w:val="none"/>
        </w:rPr>
        <w:t>镀锌钢管</w:t>
      </w:r>
      <w:r>
        <w:rPr>
          <w:highlight w:val="none"/>
        </w:rPr>
        <w:t>安装</w:t>
      </w:r>
      <w:r>
        <w:rPr>
          <w:rFonts w:hint="eastAsia"/>
          <w:highlight w:val="none"/>
        </w:rPr>
        <w:t>（雨水系统</w:t>
      </w:r>
      <w:r>
        <w:rPr>
          <w:highlight w:val="none"/>
        </w:rPr>
        <w:t>）</w:t>
      </w:r>
    </w:p>
    <w:p w14:paraId="50450F52">
      <w:pPr>
        <w:numPr>
          <w:ilvl w:val="1"/>
          <w:numId w:val="117"/>
        </w:numPr>
        <w:ind w:firstLine="480"/>
        <w:rPr>
          <w:rFonts w:hint="eastAsia"/>
          <w:highlight w:val="none"/>
        </w:rPr>
      </w:pPr>
      <w:r>
        <w:rPr>
          <w:rFonts w:hint="eastAsia"/>
          <w:highlight w:val="none"/>
        </w:rPr>
        <w:t>锌钢管应符合现行国家标准《低压流体输送用焊接钢管》（GB/T3091）的有关规定。</w:t>
      </w:r>
    </w:p>
    <w:p w14:paraId="0469AF0F">
      <w:pPr>
        <w:numPr>
          <w:ilvl w:val="1"/>
          <w:numId w:val="117"/>
        </w:numPr>
        <w:ind w:firstLine="480"/>
        <w:rPr>
          <w:rFonts w:hint="eastAsia"/>
          <w:highlight w:val="none"/>
        </w:rPr>
      </w:pPr>
      <w:r>
        <w:rPr>
          <w:rFonts w:hint="eastAsia"/>
          <w:highlight w:val="none"/>
        </w:rPr>
        <w:t>管材、管件的材质、规格、管径应符合设计要求，并应有质量合格证明文件。</w:t>
      </w:r>
    </w:p>
    <w:p w14:paraId="656D85FF">
      <w:pPr>
        <w:numPr>
          <w:ilvl w:val="1"/>
          <w:numId w:val="117"/>
        </w:numPr>
        <w:ind w:firstLine="480"/>
        <w:rPr>
          <w:rFonts w:hint="eastAsia"/>
          <w:highlight w:val="none"/>
        </w:rPr>
      </w:pPr>
      <w:r>
        <w:rPr>
          <w:rFonts w:hint="eastAsia"/>
          <w:highlight w:val="none"/>
        </w:rPr>
        <w:t>管材、管件等材料的表面应完好无损，钢管和管件表面应无裂纹、夹渣、重皮等缺陷。</w:t>
      </w:r>
    </w:p>
    <w:p w14:paraId="35BA86A4">
      <w:pPr>
        <w:numPr>
          <w:ilvl w:val="1"/>
          <w:numId w:val="117"/>
        </w:numPr>
        <w:ind w:firstLine="480"/>
        <w:rPr>
          <w:rFonts w:hint="eastAsia"/>
          <w:highlight w:val="none"/>
        </w:rPr>
      </w:pPr>
      <w:r>
        <w:rPr>
          <w:rFonts w:hint="eastAsia"/>
          <w:highlight w:val="none"/>
        </w:rPr>
        <w:t>管道切割应采用机械切割，切口表面应平整，并应与管道中心线垂直。</w:t>
      </w:r>
    </w:p>
    <w:p w14:paraId="4FCC16D9">
      <w:pPr>
        <w:numPr>
          <w:ilvl w:val="1"/>
          <w:numId w:val="117"/>
        </w:numPr>
        <w:ind w:firstLine="480"/>
        <w:rPr>
          <w:rFonts w:hint="eastAsia"/>
          <w:highlight w:val="none"/>
        </w:rPr>
      </w:pPr>
      <w:r>
        <w:rPr>
          <w:rFonts w:hint="eastAsia"/>
          <w:highlight w:val="none"/>
        </w:rPr>
        <w:t>管道的连接应符合设计要求及国家现行有关标准规定，采用螺纹、法兰或沟槽连接件等方式。</w:t>
      </w:r>
    </w:p>
    <w:p w14:paraId="6395516E">
      <w:pPr>
        <w:numPr>
          <w:ilvl w:val="1"/>
          <w:numId w:val="117"/>
        </w:numPr>
        <w:ind w:firstLine="480"/>
        <w:rPr>
          <w:rFonts w:hint="eastAsia"/>
          <w:highlight w:val="none"/>
        </w:rPr>
      </w:pPr>
      <w:r>
        <w:rPr>
          <w:rFonts w:hint="eastAsia"/>
          <w:highlight w:val="none"/>
        </w:rPr>
        <w:t>当采用法兰连接时，法兰应垂直于管道中心线，两个法兰的表面应相互平行，紧固螺纹部分应做防腐处理。</w:t>
      </w:r>
    </w:p>
    <w:p w14:paraId="7261D78D">
      <w:pPr>
        <w:numPr>
          <w:ilvl w:val="1"/>
          <w:numId w:val="117"/>
        </w:numPr>
        <w:ind w:firstLine="480"/>
        <w:rPr>
          <w:rFonts w:hint="eastAsia"/>
          <w:highlight w:val="none"/>
        </w:rPr>
      </w:pPr>
      <w:r>
        <w:rPr>
          <w:rFonts w:hint="eastAsia"/>
          <w:highlight w:val="none"/>
        </w:rPr>
        <w:t>管道支、吊架应固定在承重结构上，位置应正确，埋设应牢固。</w:t>
      </w:r>
    </w:p>
    <w:p w14:paraId="2E974053">
      <w:pPr>
        <w:numPr>
          <w:ilvl w:val="1"/>
          <w:numId w:val="117"/>
        </w:numPr>
        <w:ind w:firstLine="480"/>
        <w:rPr>
          <w:rFonts w:hint="eastAsia"/>
          <w:highlight w:val="none"/>
        </w:rPr>
      </w:pPr>
      <w:r>
        <w:rPr>
          <w:rFonts w:hint="eastAsia"/>
          <w:highlight w:val="none"/>
        </w:rPr>
        <w:t>管道金属固定件的内、外层应采取防腐处理措施。</w:t>
      </w:r>
    </w:p>
    <w:p w14:paraId="7B8B6C9E">
      <w:pPr>
        <w:numPr>
          <w:ilvl w:val="1"/>
          <w:numId w:val="117"/>
        </w:numPr>
        <w:ind w:firstLine="480"/>
        <w:rPr>
          <w:rFonts w:hint="eastAsia"/>
          <w:highlight w:val="none"/>
        </w:rPr>
      </w:pPr>
      <w:r>
        <w:rPr>
          <w:rFonts w:hint="eastAsia"/>
          <w:highlight w:val="none"/>
        </w:rPr>
        <w:t>管道穿过墙壁及楼板时，应设置套管。</w:t>
      </w:r>
    </w:p>
    <w:p w14:paraId="2ED2D9A4">
      <w:pPr>
        <w:pStyle w:val="5"/>
        <w:numPr>
          <w:ilvl w:val="3"/>
          <w:numId w:val="13"/>
        </w:numPr>
        <w:rPr>
          <w:rFonts w:hint="eastAsia"/>
          <w:highlight w:val="none"/>
        </w:rPr>
      </w:pPr>
      <w:r>
        <w:rPr>
          <w:highlight w:val="none"/>
        </w:rPr>
        <w:t>同层排水立管集水器安装</w:t>
      </w:r>
    </w:p>
    <w:p w14:paraId="69F44650">
      <w:pPr>
        <w:numPr>
          <w:ilvl w:val="1"/>
          <w:numId w:val="118"/>
        </w:numPr>
        <w:ind w:firstLine="480"/>
        <w:rPr>
          <w:rFonts w:hint="eastAsia"/>
          <w:highlight w:val="none"/>
        </w:rPr>
      </w:pPr>
      <w:r>
        <w:rPr>
          <w:highlight w:val="none"/>
        </w:rPr>
        <w:t>用混凝土将沉降地面同集水器找平，以防水保护圈为最低点做泻水坡，确保集水器最低，以便渗水尽快流走。</w:t>
      </w:r>
    </w:p>
    <w:p w14:paraId="5B3A4DD1">
      <w:pPr>
        <w:numPr>
          <w:ilvl w:val="1"/>
          <w:numId w:val="118"/>
        </w:numPr>
        <w:ind w:firstLine="480"/>
        <w:rPr>
          <w:rFonts w:hint="eastAsia"/>
          <w:highlight w:val="none"/>
        </w:rPr>
      </w:pPr>
      <w:r>
        <w:rPr>
          <w:highlight w:val="none"/>
        </w:rPr>
        <w:t>防水工序符合建筑施工相关规范，防水材料应做到防水保护圈上，蓄水验收正常后，将防水保护圈除去。</w:t>
      </w:r>
    </w:p>
    <w:p w14:paraId="66C83433">
      <w:pPr>
        <w:numPr>
          <w:ilvl w:val="1"/>
          <w:numId w:val="118"/>
        </w:numPr>
        <w:ind w:firstLine="480"/>
        <w:rPr>
          <w:rFonts w:hint="eastAsia"/>
          <w:highlight w:val="none"/>
        </w:rPr>
      </w:pPr>
      <w:r>
        <w:rPr>
          <w:highlight w:val="none"/>
        </w:rPr>
        <w:t>在排水孔的周围堆放直径大于20mm的砾石覆盖(堆放高于50mm为宜），确定具有一定厚度再回填炉渣。</w:t>
      </w:r>
    </w:p>
    <w:p w14:paraId="29876A3C">
      <w:pPr>
        <w:pStyle w:val="5"/>
        <w:numPr>
          <w:ilvl w:val="3"/>
          <w:numId w:val="13"/>
        </w:numPr>
        <w:rPr>
          <w:rFonts w:hint="eastAsia"/>
          <w:highlight w:val="none"/>
        </w:rPr>
      </w:pPr>
      <w:r>
        <w:rPr>
          <w:highlight w:val="none"/>
        </w:rPr>
        <w:t>预埋式地漏安装</w:t>
      </w:r>
    </w:p>
    <w:p w14:paraId="4B03543E">
      <w:pPr>
        <w:numPr>
          <w:ilvl w:val="1"/>
          <w:numId w:val="119"/>
        </w:numPr>
        <w:ind w:firstLine="480"/>
        <w:rPr>
          <w:rFonts w:hint="eastAsia"/>
          <w:highlight w:val="none"/>
        </w:rPr>
      </w:pPr>
      <w:r>
        <w:rPr>
          <w:highlight w:val="none"/>
        </w:rPr>
        <w:t>按照图纸，确定排水管道离墙尺寸，确定预留PVC地漏的位置。根据位移情况适当调整地漏的位置，控制好上下层地漏的垂直度。</w:t>
      </w:r>
    </w:p>
    <w:p w14:paraId="59C39D32">
      <w:pPr>
        <w:numPr>
          <w:ilvl w:val="1"/>
          <w:numId w:val="119"/>
        </w:numPr>
        <w:ind w:firstLine="480"/>
        <w:rPr>
          <w:rFonts w:hint="eastAsia"/>
          <w:highlight w:val="none"/>
        </w:rPr>
      </w:pPr>
      <w:r>
        <w:rPr>
          <w:highlight w:val="none"/>
        </w:rPr>
        <w:t>固定PVC地漏：用铁锤和钢钉将止水节固定在模板上。</w:t>
      </w:r>
    </w:p>
    <w:p w14:paraId="40727CBA">
      <w:pPr>
        <w:numPr>
          <w:ilvl w:val="1"/>
          <w:numId w:val="119"/>
        </w:numPr>
        <w:ind w:firstLine="480"/>
        <w:rPr>
          <w:rFonts w:hint="eastAsia"/>
          <w:highlight w:val="none"/>
        </w:rPr>
      </w:pPr>
      <w:r>
        <w:rPr>
          <w:highlight w:val="none"/>
        </w:rPr>
        <w:t>排水管安装时将地漏内壁及承口清理干净，将立管及支管的插口外壁清理干净；将胶粘剂分别涂于承口内壁及插口外壁，胶粘剂涂刷应快速均匀。</w:t>
      </w:r>
    </w:p>
    <w:p w14:paraId="0327C530">
      <w:pPr>
        <w:pStyle w:val="5"/>
        <w:numPr>
          <w:ilvl w:val="3"/>
          <w:numId w:val="13"/>
        </w:numPr>
        <w:rPr>
          <w:rFonts w:hint="eastAsia"/>
          <w:highlight w:val="none"/>
        </w:rPr>
      </w:pPr>
      <w:r>
        <w:rPr>
          <w:highlight w:val="none"/>
        </w:rPr>
        <w:t>虹吸雨水斗安装</w:t>
      </w:r>
    </w:p>
    <w:p w14:paraId="27C47F35">
      <w:pPr>
        <w:numPr>
          <w:ilvl w:val="1"/>
          <w:numId w:val="120"/>
        </w:numPr>
        <w:ind w:firstLine="480"/>
        <w:rPr>
          <w:rFonts w:hint="eastAsia"/>
          <w:highlight w:val="none"/>
        </w:rPr>
      </w:pPr>
      <w:r>
        <w:rPr>
          <w:highlight w:val="none"/>
        </w:rPr>
        <w:t>雨水斗的进水口应水平安装，其高度应保证天沟内的雨水能通过雨水斗排净。</w:t>
      </w:r>
    </w:p>
    <w:p w14:paraId="3850D3A5">
      <w:pPr>
        <w:numPr>
          <w:ilvl w:val="1"/>
          <w:numId w:val="120"/>
        </w:numPr>
        <w:ind w:firstLine="480"/>
        <w:rPr>
          <w:rFonts w:hint="eastAsia"/>
          <w:highlight w:val="none"/>
        </w:rPr>
      </w:pPr>
      <w:r>
        <w:rPr>
          <w:highlight w:val="none"/>
        </w:rPr>
        <w:t>雨水斗安装时，应在屋面防水施工完成、确认雨水管道畅通、清除流入短管内的密封膏后，再安装整流器、导流罩等部件。</w:t>
      </w:r>
    </w:p>
    <w:p w14:paraId="0FD4450D">
      <w:pPr>
        <w:numPr>
          <w:ilvl w:val="1"/>
          <w:numId w:val="120"/>
        </w:numPr>
        <w:ind w:firstLine="480"/>
        <w:rPr>
          <w:rFonts w:hint="eastAsia"/>
          <w:highlight w:val="none"/>
        </w:rPr>
      </w:pPr>
      <w:r>
        <w:rPr>
          <w:highlight w:val="none"/>
        </w:rPr>
        <w:t>雨水斗安装后，其边缘与屋面相连处应严密不漏。</w:t>
      </w:r>
    </w:p>
    <w:p w14:paraId="5D69AA9C">
      <w:pPr>
        <w:pStyle w:val="5"/>
        <w:numPr>
          <w:ilvl w:val="3"/>
          <w:numId w:val="13"/>
        </w:numPr>
        <w:rPr>
          <w:rFonts w:hint="eastAsia"/>
          <w:highlight w:val="none"/>
        </w:rPr>
      </w:pPr>
      <w:r>
        <w:rPr>
          <w:highlight w:val="none"/>
        </w:rPr>
        <w:t>预埋止水节安装</w:t>
      </w:r>
    </w:p>
    <w:p w14:paraId="39C306ED">
      <w:pPr>
        <w:numPr>
          <w:ilvl w:val="1"/>
          <w:numId w:val="121"/>
        </w:numPr>
        <w:ind w:firstLine="480"/>
        <w:rPr>
          <w:rFonts w:hint="eastAsia"/>
          <w:highlight w:val="none"/>
        </w:rPr>
      </w:pPr>
      <w:r>
        <w:rPr>
          <w:highlight w:val="none"/>
        </w:rPr>
        <w:t>按照图纸，确定排水管道离墙尺寸，确定预留PVC止水节的位置。根据位移情况适当调整止水节的位置，控制好上下层止水节的垂直度。</w:t>
      </w:r>
    </w:p>
    <w:p w14:paraId="09ED8D4A">
      <w:pPr>
        <w:numPr>
          <w:ilvl w:val="1"/>
          <w:numId w:val="121"/>
        </w:numPr>
        <w:ind w:firstLine="480"/>
        <w:rPr>
          <w:rFonts w:hint="eastAsia"/>
          <w:highlight w:val="none"/>
        </w:rPr>
      </w:pPr>
      <w:r>
        <w:rPr>
          <w:highlight w:val="none"/>
        </w:rPr>
        <w:t>固定PVC止水节：用铁锤和钢钉将止水节固定在模板上。</w:t>
      </w:r>
    </w:p>
    <w:p w14:paraId="79520587">
      <w:pPr>
        <w:numPr>
          <w:ilvl w:val="1"/>
          <w:numId w:val="121"/>
        </w:numPr>
        <w:ind w:firstLine="480"/>
        <w:rPr>
          <w:rFonts w:hint="eastAsia"/>
          <w:highlight w:val="none"/>
        </w:rPr>
      </w:pPr>
      <w:r>
        <w:rPr>
          <w:highlight w:val="none"/>
        </w:rPr>
        <w:t>排水管安装时将止水节内壁及承口清理干净，将立管及支管的插口外壁清理干净；将胶粘剂分别涂于承口内壁及插口外壁，胶粘剂涂刷应快速均匀。</w:t>
      </w:r>
    </w:p>
    <w:p w14:paraId="5AAB0E58">
      <w:pPr>
        <w:pStyle w:val="5"/>
        <w:numPr>
          <w:ilvl w:val="3"/>
          <w:numId w:val="13"/>
        </w:numPr>
        <w:rPr>
          <w:rFonts w:hint="eastAsia"/>
          <w:highlight w:val="none"/>
        </w:rPr>
      </w:pPr>
      <w:r>
        <w:rPr>
          <w:highlight w:val="none"/>
        </w:rPr>
        <w:t>水平管道支架安装</w:t>
      </w:r>
    </w:p>
    <w:p w14:paraId="6F521B03">
      <w:pPr>
        <w:numPr>
          <w:ilvl w:val="1"/>
          <w:numId w:val="122"/>
        </w:numPr>
        <w:ind w:firstLine="480"/>
        <w:rPr>
          <w:rFonts w:hint="eastAsia"/>
          <w:highlight w:val="none"/>
        </w:rPr>
      </w:pPr>
      <w:r>
        <w:rPr>
          <w:highlight w:val="none"/>
        </w:rPr>
        <w:t>支架安装应平整、牢固，与管子接触紧密。</w:t>
      </w:r>
    </w:p>
    <w:p w14:paraId="3BE32226">
      <w:pPr>
        <w:numPr>
          <w:ilvl w:val="1"/>
          <w:numId w:val="122"/>
        </w:numPr>
        <w:ind w:firstLine="480"/>
        <w:rPr>
          <w:rFonts w:hint="eastAsia"/>
          <w:highlight w:val="none"/>
        </w:rPr>
      </w:pPr>
      <w:r>
        <w:rPr>
          <w:highlight w:val="none"/>
        </w:rPr>
        <w:t>支、托、吊架上不允许有管道焊缝、管件。</w:t>
      </w:r>
    </w:p>
    <w:p w14:paraId="13A1E08D">
      <w:pPr>
        <w:numPr>
          <w:ilvl w:val="1"/>
          <w:numId w:val="122"/>
        </w:numPr>
        <w:ind w:firstLine="480"/>
        <w:rPr>
          <w:rFonts w:hint="eastAsia"/>
          <w:highlight w:val="none"/>
        </w:rPr>
      </w:pPr>
      <w:r>
        <w:rPr>
          <w:highlight w:val="none"/>
        </w:rPr>
        <w:t>支架标高应正确，对有坡度要求的管道，支架的标高应满足坡度要求。</w:t>
      </w:r>
    </w:p>
    <w:p w14:paraId="44304568">
      <w:pPr>
        <w:numPr>
          <w:ilvl w:val="1"/>
          <w:numId w:val="122"/>
        </w:numPr>
        <w:ind w:firstLine="480"/>
        <w:rPr>
          <w:rFonts w:hint="eastAsia"/>
          <w:highlight w:val="none"/>
        </w:rPr>
      </w:pPr>
      <w:r>
        <w:rPr>
          <w:highlight w:val="none"/>
        </w:rPr>
        <w:t>支架间距及材质必须符合相关规范要求。</w:t>
      </w:r>
    </w:p>
    <w:p w14:paraId="0AE38BDD">
      <w:pPr>
        <w:pStyle w:val="5"/>
        <w:numPr>
          <w:ilvl w:val="3"/>
          <w:numId w:val="13"/>
        </w:numPr>
        <w:rPr>
          <w:rFonts w:hint="eastAsia"/>
          <w:highlight w:val="none"/>
        </w:rPr>
      </w:pPr>
      <w:r>
        <w:rPr>
          <w:highlight w:val="none"/>
        </w:rPr>
        <w:t>垂直管道支架安装</w:t>
      </w:r>
    </w:p>
    <w:p w14:paraId="56795209">
      <w:pPr>
        <w:numPr>
          <w:ilvl w:val="1"/>
          <w:numId w:val="123"/>
        </w:numPr>
        <w:ind w:firstLine="480"/>
        <w:rPr>
          <w:rFonts w:hint="eastAsia"/>
          <w:highlight w:val="none"/>
        </w:rPr>
      </w:pPr>
      <w:r>
        <w:rPr>
          <w:highlight w:val="none"/>
        </w:rPr>
        <w:t>管道安装时必须按不同管径和要求设置管卡或吊架，位置应准确，管卡与管道接触应紧密，不得损伤管道表面。</w:t>
      </w:r>
    </w:p>
    <w:p w14:paraId="074CF851">
      <w:pPr>
        <w:numPr>
          <w:ilvl w:val="1"/>
          <w:numId w:val="123"/>
        </w:numPr>
        <w:ind w:firstLine="480"/>
        <w:rPr>
          <w:rFonts w:hint="eastAsia"/>
          <w:highlight w:val="none"/>
        </w:rPr>
      </w:pPr>
      <w:r>
        <w:rPr>
          <w:highlight w:val="none"/>
        </w:rPr>
        <w:t>采用金属卡或吊架时，金属管卡与管道之间应采用塑料带或橡胶等软物隔垫。</w:t>
      </w:r>
    </w:p>
    <w:p w14:paraId="2EDEF51F">
      <w:pPr>
        <w:numPr>
          <w:ilvl w:val="1"/>
          <w:numId w:val="123"/>
        </w:numPr>
        <w:ind w:firstLine="480"/>
        <w:rPr>
          <w:rFonts w:hint="eastAsia"/>
          <w:highlight w:val="none"/>
        </w:rPr>
      </w:pPr>
      <w:r>
        <w:rPr>
          <w:highlight w:val="none"/>
        </w:rPr>
        <w:t>支架间距及材质必须符合相关规范要求。</w:t>
      </w:r>
    </w:p>
    <w:p w14:paraId="3A6E7ADB">
      <w:pPr>
        <w:pStyle w:val="5"/>
        <w:numPr>
          <w:ilvl w:val="3"/>
          <w:numId w:val="13"/>
        </w:numPr>
        <w:rPr>
          <w:rFonts w:hint="eastAsia"/>
          <w:highlight w:val="none"/>
        </w:rPr>
      </w:pPr>
      <w:r>
        <w:rPr>
          <w:rFonts w:hint="eastAsia"/>
          <w:highlight w:val="none"/>
        </w:rPr>
        <w:t>对总承包人</w:t>
      </w:r>
      <w:r>
        <w:rPr>
          <w:highlight w:val="none"/>
        </w:rPr>
        <w:t>综合支吊架的深化及安装要求</w:t>
      </w:r>
    </w:p>
    <w:p w14:paraId="3B6C002C">
      <w:pPr>
        <w:numPr>
          <w:ilvl w:val="1"/>
          <w:numId w:val="124"/>
        </w:numPr>
        <w:ind w:firstLine="480"/>
        <w:rPr>
          <w:rFonts w:hint="eastAsia"/>
          <w:highlight w:val="none"/>
        </w:rPr>
      </w:pPr>
      <w:r>
        <w:rPr>
          <w:rFonts w:hint="eastAsia"/>
          <w:highlight w:val="none"/>
        </w:rPr>
        <w:t>综合</w:t>
      </w:r>
      <w:r>
        <w:rPr>
          <w:highlight w:val="none"/>
        </w:rPr>
        <w:t>支吊架的</w:t>
      </w:r>
      <w:r>
        <w:rPr>
          <w:rFonts w:hint="eastAsia"/>
          <w:highlight w:val="none"/>
        </w:rPr>
        <w:t>设计</w:t>
      </w:r>
      <w:r>
        <w:rPr>
          <w:highlight w:val="none"/>
        </w:rPr>
        <w:t>范围为：</w:t>
      </w:r>
      <w:r>
        <w:rPr>
          <w:rFonts w:hint="eastAsia"/>
          <w:highlight w:val="none"/>
        </w:rPr>
        <w:t>地下室机电管线集中区域（空调通风、给排水、消防、桥架等）由总承包人负责管线综合深化和联合支吊架的深化，并负责供应和安装施工。综合支吊架深化设计</w:t>
      </w:r>
      <w:r>
        <w:rPr>
          <w:highlight w:val="none"/>
        </w:rPr>
        <w:t>后需满足以下要求：</w:t>
      </w:r>
    </w:p>
    <w:p w14:paraId="394F5EF1">
      <w:pPr>
        <w:numPr>
          <w:ilvl w:val="0"/>
          <w:numId w:val="125"/>
        </w:numPr>
        <w:ind w:firstLine="480"/>
        <w:rPr>
          <w:rFonts w:hint="eastAsia"/>
          <w:highlight w:val="none"/>
        </w:rPr>
      </w:pPr>
      <w:r>
        <w:rPr>
          <w:rFonts w:hint="eastAsia"/>
          <w:highlight w:val="none"/>
        </w:rPr>
        <w:t>满足设计净高，检修要求。</w:t>
      </w:r>
    </w:p>
    <w:p w14:paraId="34FA1DEA">
      <w:pPr>
        <w:numPr>
          <w:ilvl w:val="0"/>
          <w:numId w:val="125"/>
        </w:numPr>
        <w:ind w:firstLine="480"/>
        <w:rPr>
          <w:rFonts w:hint="eastAsia"/>
          <w:highlight w:val="none"/>
        </w:rPr>
      </w:pPr>
      <w:r>
        <w:rPr>
          <w:rFonts w:hint="eastAsia"/>
          <w:highlight w:val="none"/>
        </w:rPr>
        <w:t>梁板结构地下室最不利机电综合占用层高尽可能不应大于</w:t>
      </w:r>
      <w:r>
        <w:rPr>
          <w:highlight w:val="none"/>
        </w:rPr>
        <w:t>600mm；大板结构地下室最不利机电综合占用层高不应大于750mm。</w:t>
      </w:r>
    </w:p>
    <w:p w14:paraId="7A5A7617">
      <w:pPr>
        <w:numPr>
          <w:ilvl w:val="0"/>
          <w:numId w:val="125"/>
        </w:numPr>
        <w:ind w:firstLine="480"/>
        <w:rPr>
          <w:rFonts w:hint="eastAsia"/>
          <w:highlight w:val="none"/>
        </w:rPr>
      </w:pPr>
      <w:r>
        <w:rPr>
          <w:rFonts w:hint="eastAsia"/>
          <w:highlight w:val="none"/>
        </w:rPr>
        <w:t>机电末端</w:t>
      </w:r>
      <w:r>
        <w:rPr>
          <w:highlight w:val="none"/>
        </w:rPr>
        <w:t>成排成线，满足美观要求。</w:t>
      </w:r>
    </w:p>
    <w:p w14:paraId="7B71599F">
      <w:pPr>
        <w:numPr>
          <w:ilvl w:val="1"/>
          <w:numId w:val="124"/>
        </w:numPr>
        <w:ind w:firstLine="480"/>
        <w:rPr>
          <w:rFonts w:hint="eastAsia"/>
          <w:highlight w:val="none"/>
        </w:rPr>
      </w:pPr>
      <w:r>
        <w:rPr>
          <w:rFonts w:hint="eastAsia"/>
          <w:highlight w:val="none"/>
        </w:rPr>
        <w:t>抗震支吊架设计涉及多种复杂荷载形式的计算和配件的选用计算，必须由制造商的技术人员完成抗震支架的深化设计并指导安装。</w:t>
      </w:r>
    </w:p>
    <w:p w14:paraId="46881FF9">
      <w:pPr>
        <w:numPr>
          <w:ilvl w:val="1"/>
          <w:numId w:val="124"/>
        </w:numPr>
        <w:ind w:firstLine="480"/>
        <w:rPr>
          <w:rFonts w:hint="eastAsia"/>
          <w:highlight w:val="none"/>
        </w:rPr>
      </w:pPr>
      <w:r>
        <w:rPr>
          <w:rFonts w:hint="eastAsia"/>
          <w:highlight w:val="none"/>
        </w:rPr>
        <w:t>抗震支吊架</w:t>
      </w:r>
      <w:r>
        <w:rPr>
          <w:highlight w:val="none"/>
        </w:rPr>
        <w:t>的设计必须满足《</w:t>
      </w:r>
      <w:r>
        <w:rPr>
          <w:rFonts w:hint="eastAsia"/>
          <w:highlight w:val="none"/>
        </w:rPr>
        <w:t>建筑</w:t>
      </w:r>
      <w:r>
        <w:rPr>
          <w:highlight w:val="none"/>
        </w:rPr>
        <w:t>机电抗震设计规范》</w:t>
      </w:r>
      <w:r>
        <w:rPr>
          <w:rFonts w:hint="eastAsia"/>
          <w:highlight w:val="none"/>
        </w:rPr>
        <w:t>（GB50981）的</w:t>
      </w:r>
      <w:r>
        <w:rPr>
          <w:highlight w:val="none"/>
        </w:rPr>
        <w:t>要求</w:t>
      </w:r>
      <w:r>
        <w:rPr>
          <w:rFonts w:hint="eastAsia"/>
          <w:highlight w:val="none"/>
        </w:rPr>
        <w:t>，</w:t>
      </w:r>
      <w:r>
        <w:rPr>
          <w:highlight w:val="none"/>
        </w:rPr>
        <w:t>选用的产品必须满足</w:t>
      </w:r>
      <w:r>
        <w:rPr>
          <w:rFonts w:hint="eastAsia"/>
          <w:highlight w:val="none"/>
        </w:rPr>
        <w:t>《建筑机电设备</w:t>
      </w:r>
      <w:r>
        <w:rPr>
          <w:highlight w:val="none"/>
        </w:rPr>
        <w:t>抗震</w:t>
      </w:r>
      <w:r>
        <w:rPr>
          <w:rFonts w:hint="eastAsia"/>
          <w:highlight w:val="none"/>
        </w:rPr>
        <w:t>支吊架通用技术条件》（</w:t>
      </w:r>
      <w:r>
        <w:rPr>
          <w:highlight w:val="none"/>
        </w:rPr>
        <w:t>CJ/T476</w:t>
      </w:r>
      <w:r>
        <w:rPr>
          <w:rFonts w:hint="eastAsia"/>
          <w:highlight w:val="none"/>
        </w:rPr>
        <w:t>）的</w:t>
      </w:r>
      <w:r>
        <w:rPr>
          <w:highlight w:val="none"/>
        </w:rPr>
        <w:t>要求</w:t>
      </w:r>
      <w:r>
        <w:rPr>
          <w:rFonts w:hint="eastAsia"/>
          <w:highlight w:val="none"/>
        </w:rPr>
        <w:t>；抗震</w:t>
      </w:r>
      <w:r>
        <w:rPr>
          <w:highlight w:val="none"/>
        </w:rPr>
        <w:t>支吊架的施工必须满足</w:t>
      </w:r>
      <w:r>
        <w:rPr>
          <w:rFonts w:hint="eastAsia"/>
          <w:highlight w:val="none"/>
        </w:rPr>
        <w:t>《抗震</w:t>
      </w:r>
      <w:r>
        <w:rPr>
          <w:highlight w:val="none"/>
        </w:rPr>
        <w:t>支吊架安装及验收规程</w:t>
      </w:r>
      <w:r>
        <w:rPr>
          <w:rFonts w:hint="eastAsia"/>
          <w:highlight w:val="none"/>
        </w:rPr>
        <w:t>》（CECS420）的</w:t>
      </w:r>
      <w:r>
        <w:rPr>
          <w:highlight w:val="none"/>
        </w:rPr>
        <w:t>要求</w:t>
      </w:r>
      <w:r>
        <w:rPr>
          <w:rFonts w:hint="eastAsia"/>
          <w:highlight w:val="none"/>
        </w:rPr>
        <w:t>。</w:t>
      </w:r>
    </w:p>
    <w:p w14:paraId="6F3F6CFE">
      <w:pPr>
        <w:numPr>
          <w:ilvl w:val="1"/>
          <w:numId w:val="124"/>
        </w:numPr>
        <w:ind w:firstLine="480"/>
        <w:rPr>
          <w:rFonts w:hint="eastAsia"/>
          <w:highlight w:val="none"/>
        </w:rPr>
      </w:pPr>
      <w:r>
        <w:rPr>
          <w:rFonts w:hint="eastAsia"/>
          <w:highlight w:val="none"/>
        </w:rPr>
        <w:t>综合支吊架的深化设计图应由总承包人联合有</w:t>
      </w:r>
      <w:r>
        <w:rPr>
          <w:highlight w:val="none"/>
        </w:rPr>
        <w:t>相应资质及能力的深化设计单位共同完成</w:t>
      </w:r>
      <w:r>
        <w:rPr>
          <w:rFonts w:hint="eastAsia"/>
          <w:highlight w:val="none"/>
        </w:rPr>
        <w:t>，深化</w:t>
      </w:r>
      <w:r>
        <w:rPr>
          <w:highlight w:val="none"/>
        </w:rPr>
        <w:t>设计成</w:t>
      </w:r>
      <w:r>
        <w:rPr>
          <w:rFonts w:hint="eastAsia"/>
          <w:highlight w:val="none"/>
        </w:rPr>
        <w:t>果报监理人</w:t>
      </w:r>
      <w:r>
        <w:rPr>
          <w:highlight w:val="none"/>
        </w:rPr>
        <w:t>/发包人批准后方可实施。</w:t>
      </w:r>
    </w:p>
    <w:p w14:paraId="6F454ECC">
      <w:pPr>
        <w:numPr>
          <w:ilvl w:val="1"/>
          <w:numId w:val="124"/>
        </w:numPr>
        <w:ind w:firstLine="480"/>
        <w:rPr>
          <w:rFonts w:hint="eastAsia"/>
          <w:highlight w:val="none"/>
        </w:rPr>
      </w:pPr>
      <w:r>
        <w:rPr>
          <w:rFonts w:hint="eastAsia"/>
          <w:highlight w:val="none"/>
        </w:rPr>
        <w:t>选用</w:t>
      </w:r>
      <w:r>
        <w:rPr>
          <w:highlight w:val="none"/>
        </w:rPr>
        <w:t>的</w:t>
      </w:r>
      <w:r>
        <w:rPr>
          <w:rFonts w:hint="eastAsia"/>
          <w:highlight w:val="none"/>
        </w:rPr>
        <w:t>抗震</w:t>
      </w:r>
      <w:r>
        <w:rPr>
          <w:highlight w:val="none"/>
        </w:rPr>
        <w:t>支吊架</w:t>
      </w:r>
      <w:r>
        <w:rPr>
          <w:rFonts w:hint="eastAsia"/>
          <w:highlight w:val="none"/>
        </w:rPr>
        <w:t>产品</w:t>
      </w:r>
      <w:r>
        <w:rPr>
          <w:highlight w:val="none"/>
        </w:rPr>
        <w:t>必须满足以下要求：</w:t>
      </w:r>
    </w:p>
    <w:p w14:paraId="50ECD222">
      <w:pPr>
        <w:numPr>
          <w:ilvl w:val="0"/>
          <w:numId w:val="126"/>
        </w:numPr>
        <w:ind w:firstLine="480"/>
        <w:rPr>
          <w:rFonts w:hint="eastAsia"/>
          <w:highlight w:val="none"/>
        </w:rPr>
      </w:pPr>
      <w:r>
        <w:rPr>
          <w:rFonts w:hint="eastAsia"/>
          <w:highlight w:val="none"/>
        </w:rPr>
        <w:t>抗震支吊架系统应依据《建筑机电设备抗震支吊架通用技术条件》（</w:t>
      </w:r>
      <w:r>
        <w:rPr>
          <w:highlight w:val="none"/>
        </w:rPr>
        <w:t>CJ/T 476</w:t>
      </w:r>
      <w:r>
        <w:rPr>
          <w:rFonts w:hint="eastAsia"/>
          <w:highlight w:val="none"/>
        </w:rPr>
        <w:t>）进行测试，并提供国家级检测机构的检测报告。</w:t>
      </w:r>
    </w:p>
    <w:p w14:paraId="28463D17">
      <w:pPr>
        <w:numPr>
          <w:ilvl w:val="0"/>
          <w:numId w:val="126"/>
        </w:numPr>
        <w:ind w:firstLine="480"/>
        <w:rPr>
          <w:rFonts w:hint="eastAsia"/>
          <w:highlight w:val="none"/>
        </w:rPr>
      </w:pPr>
      <w:r>
        <w:rPr>
          <w:rFonts w:hint="eastAsia"/>
          <w:highlight w:val="none"/>
        </w:rPr>
        <w:t>抗震支架系统的斜向支撑</w:t>
      </w:r>
      <w:r>
        <w:rPr>
          <w:highlight w:val="none"/>
        </w:rPr>
        <w:t>C</w:t>
      </w:r>
      <w:r>
        <w:rPr>
          <w:rFonts w:hint="eastAsia"/>
          <w:highlight w:val="none"/>
        </w:rPr>
        <w:t>型槽钢应使用冷弯薄壁成品支架槽钢</w:t>
      </w:r>
      <w:r>
        <w:rPr>
          <w:highlight w:val="none"/>
        </w:rPr>
        <w:t>,</w:t>
      </w:r>
      <w:r>
        <w:rPr>
          <w:rFonts w:hint="eastAsia"/>
          <w:highlight w:val="none"/>
        </w:rPr>
        <w:t>其壁厚不小于</w:t>
      </w:r>
      <w:r>
        <w:rPr>
          <w:highlight w:val="none"/>
        </w:rPr>
        <w:t>2.5mm</w:t>
      </w:r>
      <w:r>
        <w:rPr>
          <w:rFonts w:hint="eastAsia"/>
          <w:highlight w:val="none"/>
        </w:rPr>
        <w:t>。</w:t>
      </w:r>
    </w:p>
    <w:p w14:paraId="29A273EC">
      <w:pPr>
        <w:numPr>
          <w:ilvl w:val="0"/>
          <w:numId w:val="126"/>
        </w:numPr>
        <w:ind w:firstLine="480"/>
        <w:rPr>
          <w:rFonts w:hint="eastAsia"/>
          <w:highlight w:val="none"/>
        </w:rPr>
      </w:pPr>
      <w:r>
        <w:rPr>
          <w:rFonts w:hint="eastAsia"/>
          <w:highlight w:val="none"/>
        </w:rPr>
        <w:t>抗震支吊系统使用的</w:t>
      </w:r>
      <w:r>
        <w:rPr>
          <w:highlight w:val="none"/>
        </w:rPr>
        <w:t>C</w:t>
      </w:r>
      <w:r>
        <w:rPr>
          <w:rFonts w:hint="eastAsia"/>
          <w:highlight w:val="none"/>
        </w:rPr>
        <w:t>型槽钢采用热浸镀锌，其镀锌层厚度必须≥</w:t>
      </w:r>
      <w:r>
        <w:rPr>
          <w:highlight w:val="none"/>
        </w:rPr>
        <w:t>55</w:t>
      </w:r>
      <w:r>
        <w:rPr>
          <w:rFonts w:hint="eastAsia"/>
          <w:highlight w:val="none"/>
        </w:rPr>
        <w:t>微米，并提供相关镀锌层厚度测试报告。</w:t>
      </w:r>
    </w:p>
    <w:p w14:paraId="5845F309">
      <w:pPr>
        <w:numPr>
          <w:ilvl w:val="0"/>
          <w:numId w:val="126"/>
        </w:numPr>
        <w:ind w:firstLine="480"/>
        <w:rPr>
          <w:rFonts w:hint="eastAsia"/>
          <w:highlight w:val="none"/>
        </w:rPr>
      </w:pPr>
      <w:r>
        <w:rPr>
          <w:rFonts w:hint="eastAsia"/>
          <w:highlight w:val="none"/>
        </w:rPr>
        <w:t>如果门型抗震支架系统由于受力计算要求需要使用双面拼接</w:t>
      </w:r>
      <w:r>
        <w:rPr>
          <w:highlight w:val="none"/>
        </w:rPr>
        <w:t>C</w:t>
      </w:r>
      <w:r>
        <w:rPr>
          <w:rFonts w:hint="eastAsia"/>
          <w:highlight w:val="none"/>
        </w:rPr>
        <w:t>型槽钢时，为确保双面槽钢的整体受力性能，要求其拼接工艺应采用背孔冲压连接及一体激光焊接工艺，不得使用点焊连接。</w:t>
      </w:r>
    </w:p>
    <w:p w14:paraId="0E8972FE">
      <w:pPr>
        <w:numPr>
          <w:ilvl w:val="0"/>
          <w:numId w:val="126"/>
        </w:numPr>
        <w:ind w:firstLine="480"/>
        <w:rPr>
          <w:rFonts w:hint="eastAsia"/>
          <w:highlight w:val="none"/>
        </w:rPr>
      </w:pPr>
      <w:r>
        <w:rPr>
          <w:rFonts w:hint="eastAsia"/>
          <w:highlight w:val="none"/>
        </w:rPr>
        <w:t>抗震支架使用的</w:t>
      </w:r>
      <w:r>
        <w:rPr>
          <w:highlight w:val="none"/>
        </w:rPr>
        <w:t>C</w:t>
      </w:r>
      <w:r>
        <w:rPr>
          <w:rFonts w:hint="eastAsia"/>
          <w:highlight w:val="none"/>
        </w:rPr>
        <w:t>型槽钢其卷边内沿必须带有深度不小于</w:t>
      </w:r>
      <w:r>
        <w:rPr>
          <w:highlight w:val="none"/>
        </w:rPr>
        <w:t>1.0mm</w:t>
      </w:r>
      <w:r>
        <w:rPr>
          <w:rFonts w:hint="eastAsia"/>
          <w:highlight w:val="none"/>
        </w:rPr>
        <w:t>的齿牙，同时与之配合的连接扣件也应带有相同深度的齿坑，以保证咬合连接模式在遇到较大水平荷载的时，连接能实现延性破坏。</w:t>
      </w:r>
    </w:p>
    <w:p w14:paraId="4A0D4221">
      <w:pPr>
        <w:numPr>
          <w:ilvl w:val="0"/>
          <w:numId w:val="126"/>
        </w:numPr>
        <w:ind w:firstLine="480"/>
        <w:rPr>
          <w:rFonts w:hint="eastAsia"/>
          <w:highlight w:val="none"/>
        </w:rPr>
      </w:pPr>
      <w:r>
        <w:rPr>
          <w:rFonts w:hint="eastAsia"/>
          <w:highlight w:val="none"/>
        </w:rPr>
        <w:t>配套安装金属管道的管卡内需配惰性橡胶内衬垫，以达到绝缘，减振，降噪的效果。</w:t>
      </w:r>
    </w:p>
    <w:p w14:paraId="79AECD3E">
      <w:pPr>
        <w:numPr>
          <w:ilvl w:val="0"/>
          <w:numId w:val="126"/>
        </w:numPr>
        <w:ind w:firstLine="480"/>
        <w:rPr>
          <w:rFonts w:hint="eastAsia"/>
          <w:highlight w:val="none"/>
        </w:rPr>
      </w:pPr>
      <w:r>
        <w:rPr>
          <w:rFonts w:hint="eastAsia"/>
          <w:highlight w:val="none"/>
        </w:rPr>
        <w:t>抗震支架系统采用应采用具有机械锁键效应的后扩底锚栓，必须符合国家标准《混凝土结构后锚固技术规程》（</w:t>
      </w:r>
      <w:r>
        <w:rPr>
          <w:highlight w:val="none"/>
        </w:rPr>
        <w:t>JGJ145</w:t>
      </w:r>
      <w:r>
        <w:rPr>
          <w:rFonts w:hint="eastAsia"/>
          <w:highlight w:val="none"/>
        </w:rPr>
        <w:t>），并提供国内权威机构的测试报告。</w:t>
      </w:r>
      <w:r>
        <w:rPr>
          <w:highlight w:val="none"/>
        </w:rPr>
        <w:t xml:space="preserve"> </w:t>
      </w:r>
    </w:p>
    <w:p w14:paraId="4204BAE2">
      <w:pPr>
        <w:pStyle w:val="4"/>
        <w:numPr>
          <w:ilvl w:val="2"/>
          <w:numId w:val="13"/>
        </w:numPr>
        <w:rPr>
          <w:rFonts w:hint="eastAsia"/>
          <w:highlight w:val="none"/>
        </w:rPr>
      </w:pPr>
      <w:r>
        <w:rPr>
          <w:rFonts w:hint="eastAsia"/>
          <w:highlight w:val="none"/>
        </w:rPr>
        <w:t>电气工程</w:t>
      </w:r>
    </w:p>
    <w:p w14:paraId="4A825794">
      <w:pPr>
        <w:pStyle w:val="5"/>
        <w:numPr>
          <w:ilvl w:val="3"/>
          <w:numId w:val="13"/>
        </w:numPr>
        <w:rPr>
          <w:rFonts w:hint="eastAsia"/>
          <w:highlight w:val="none"/>
        </w:rPr>
      </w:pPr>
      <w:r>
        <w:rPr>
          <w:rFonts w:hint="eastAsia"/>
          <w:highlight w:val="none"/>
        </w:rPr>
        <w:t>防雷与接地</w:t>
      </w:r>
    </w:p>
    <w:p w14:paraId="05669CB0">
      <w:pPr>
        <w:numPr>
          <w:ilvl w:val="1"/>
          <w:numId w:val="127"/>
        </w:numPr>
        <w:ind w:firstLine="480"/>
        <w:rPr>
          <w:rFonts w:hint="eastAsia"/>
          <w:highlight w:val="none"/>
        </w:rPr>
      </w:pPr>
      <w:r>
        <w:rPr>
          <w:rFonts w:hint="eastAsia"/>
          <w:highlight w:val="none"/>
        </w:rPr>
        <w:t>接地装置</w:t>
      </w:r>
    </w:p>
    <w:p w14:paraId="4C95D032">
      <w:pPr>
        <w:numPr>
          <w:ilvl w:val="0"/>
          <w:numId w:val="128"/>
        </w:numPr>
        <w:ind w:firstLine="480"/>
        <w:rPr>
          <w:rFonts w:hint="eastAsia"/>
          <w:highlight w:val="none"/>
        </w:rPr>
      </w:pPr>
      <w:r>
        <w:rPr>
          <w:rFonts w:hint="eastAsia"/>
          <w:highlight w:val="none"/>
        </w:rPr>
        <w:t>人工接地体应选用角钢或圆钢，长度不小于</w:t>
      </w:r>
      <w:r>
        <w:rPr>
          <w:highlight w:val="none"/>
        </w:rPr>
        <w:t>2.5m</w:t>
      </w:r>
      <w:r>
        <w:rPr>
          <w:rFonts w:hint="eastAsia"/>
          <w:highlight w:val="none"/>
        </w:rPr>
        <w:t>，相互之间间距不应小于</w:t>
      </w:r>
      <w:r>
        <w:rPr>
          <w:highlight w:val="none"/>
        </w:rPr>
        <w:t xml:space="preserve"> 5m</w:t>
      </w:r>
      <w:r>
        <w:rPr>
          <w:rFonts w:hint="eastAsia"/>
          <w:highlight w:val="none"/>
        </w:rPr>
        <w:t>，其顶部应作成尖角；埋设时应挖深为</w:t>
      </w:r>
      <w:r>
        <w:rPr>
          <w:highlight w:val="none"/>
        </w:rPr>
        <w:t>0.8</w:t>
      </w:r>
      <w:r>
        <w:rPr>
          <w:rFonts w:hint="eastAsia"/>
          <w:highlight w:val="none"/>
        </w:rPr>
        <w:t>~</w:t>
      </w:r>
      <w:r>
        <w:rPr>
          <w:highlight w:val="none"/>
        </w:rPr>
        <w:t>1m</w:t>
      </w:r>
      <w:r>
        <w:rPr>
          <w:rFonts w:hint="eastAsia"/>
          <w:highlight w:val="none"/>
        </w:rPr>
        <w:t>，宽为</w:t>
      </w:r>
      <w:r>
        <w:rPr>
          <w:highlight w:val="none"/>
        </w:rPr>
        <w:t>0.5m</w:t>
      </w:r>
      <w:r>
        <w:rPr>
          <w:rFonts w:hint="eastAsia"/>
          <w:highlight w:val="none"/>
        </w:rPr>
        <w:t>的沟，沟上宽下窄，打桩时，应采取措施，防止接地角钢或圆钢打劈。接地体应垂直设置，避免打偏，其顶部离地高度为</w:t>
      </w:r>
      <w:r>
        <w:rPr>
          <w:highlight w:val="none"/>
        </w:rPr>
        <w:t>600mm</w:t>
      </w:r>
      <w:r>
        <w:rPr>
          <w:rFonts w:hint="eastAsia"/>
          <w:highlight w:val="none"/>
        </w:rPr>
        <w:t>；接地体之间用镀锌扁钢焊接连接，扁钢应侧放，与接地体连接的位置距接地体顶部</w:t>
      </w:r>
      <w:r>
        <w:rPr>
          <w:highlight w:val="none"/>
        </w:rPr>
        <w:t>100mm</w:t>
      </w:r>
      <w:r>
        <w:rPr>
          <w:rFonts w:hint="eastAsia"/>
          <w:highlight w:val="none"/>
        </w:rPr>
        <w:t>，焊接达到上条要求，并留有足够长的连接长度；接地体埋设位置距建筑物不宜小于</w:t>
      </w:r>
      <w:r>
        <w:rPr>
          <w:highlight w:val="none"/>
        </w:rPr>
        <w:t>1.5m</w:t>
      </w:r>
      <w:r>
        <w:rPr>
          <w:rFonts w:hint="eastAsia"/>
          <w:highlight w:val="none"/>
        </w:rPr>
        <w:t>，遇有垃圾灰渣等时，应换土并分层夯实；当接地装置必须埋设在建筑物出人口或人行道小于</w:t>
      </w:r>
      <w:r>
        <w:rPr>
          <w:highlight w:val="none"/>
        </w:rPr>
        <w:t>3m</w:t>
      </w:r>
      <w:r>
        <w:rPr>
          <w:rFonts w:hint="eastAsia"/>
          <w:highlight w:val="none"/>
        </w:rPr>
        <w:t>时，应采用均压带做法或接地装置上敷设</w:t>
      </w:r>
      <w:r>
        <w:rPr>
          <w:highlight w:val="none"/>
        </w:rPr>
        <w:t xml:space="preserve"> 50</w:t>
      </w:r>
      <w:r>
        <w:rPr>
          <w:rFonts w:hint="eastAsia"/>
          <w:highlight w:val="none"/>
        </w:rPr>
        <w:t>~</w:t>
      </w:r>
      <w:r>
        <w:rPr>
          <w:highlight w:val="none"/>
        </w:rPr>
        <w:t>90mm</w:t>
      </w:r>
      <w:r>
        <w:rPr>
          <w:rFonts w:hint="eastAsia"/>
          <w:highlight w:val="none"/>
        </w:rPr>
        <w:t>沥青层，其宽度应超过接地装置</w:t>
      </w:r>
      <w:r>
        <w:rPr>
          <w:highlight w:val="none"/>
        </w:rPr>
        <w:t>2</w:t>
      </w:r>
      <w:r>
        <w:rPr>
          <w:rFonts w:hint="eastAsia"/>
          <w:highlight w:val="none"/>
        </w:rPr>
        <w:t>m。</w:t>
      </w:r>
    </w:p>
    <w:p w14:paraId="2A60FA36">
      <w:pPr>
        <w:numPr>
          <w:ilvl w:val="0"/>
          <w:numId w:val="128"/>
        </w:numPr>
        <w:ind w:firstLine="480"/>
        <w:rPr>
          <w:rFonts w:hint="eastAsia"/>
          <w:highlight w:val="none"/>
        </w:rPr>
      </w:pPr>
      <w:r>
        <w:rPr>
          <w:rFonts w:hint="eastAsia"/>
          <w:highlight w:val="none"/>
        </w:rPr>
        <w:t>自然接地体利用无防水底板钢筋或深基础做接地体，应按设计要求，将底板钢筋搭接焊好；将柱内两根相临或对角的钢筋与底板钢筋绑扎或搭接焊好，并将柱内主筋用色标作好标记。</w:t>
      </w:r>
    </w:p>
    <w:p w14:paraId="656BC09B">
      <w:pPr>
        <w:numPr>
          <w:ilvl w:val="1"/>
          <w:numId w:val="127"/>
        </w:numPr>
        <w:ind w:firstLine="480"/>
        <w:rPr>
          <w:rFonts w:hint="eastAsia"/>
          <w:highlight w:val="none"/>
        </w:rPr>
      </w:pPr>
      <w:r>
        <w:rPr>
          <w:rFonts w:hint="eastAsia"/>
          <w:highlight w:val="none"/>
        </w:rPr>
        <w:t>接地干线安装</w:t>
      </w:r>
    </w:p>
    <w:p w14:paraId="71C8F616">
      <w:pPr>
        <w:numPr>
          <w:ilvl w:val="0"/>
          <w:numId w:val="129"/>
        </w:numPr>
        <w:ind w:firstLine="480"/>
        <w:rPr>
          <w:rFonts w:hint="eastAsia"/>
          <w:highlight w:val="none"/>
        </w:rPr>
      </w:pPr>
      <w:r>
        <w:rPr>
          <w:rFonts w:hint="eastAsia"/>
          <w:highlight w:val="none"/>
        </w:rPr>
        <w:t>室外接地干线一般敷设在沟内，回填土应压实但不需打夯，末端露出地面</w:t>
      </w:r>
      <w:r>
        <w:rPr>
          <w:highlight w:val="none"/>
        </w:rPr>
        <w:t xml:space="preserve"> 500mm</w:t>
      </w:r>
      <w:r>
        <w:rPr>
          <w:rFonts w:hint="eastAsia"/>
          <w:highlight w:val="none"/>
        </w:rPr>
        <w:t>，以便接引线；</w:t>
      </w:r>
    </w:p>
    <w:p w14:paraId="4595ACE4">
      <w:pPr>
        <w:numPr>
          <w:ilvl w:val="0"/>
          <w:numId w:val="129"/>
        </w:numPr>
        <w:ind w:firstLine="480"/>
        <w:rPr>
          <w:rFonts w:hint="eastAsia"/>
          <w:highlight w:val="none"/>
        </w:rPr>
      </w:pPr>
      <w:r>
        <w:rPr>
          <w:rFonts w:hint="eastAsia"/>
          <w:highlight w:val="none"/>
        </w:rPr>
        <w:t>室内接地干线多为明敷设，但部分设备连接的支线需经地面也可埋在混凝土内；</w:t>
      </w:r>
    </w:p>
    <w:p w14:paraId="1A168D42">
      <w:pPr>
        <w:numPr>
          <w:ilvl w:val="0"/>
          <w:numId w:val="129"/>
        </w:numPr>
        <w:ind w:firstLine="480"/>
        <w:rPr>
          <w:rFonts w:hint="eastAsia"/>
          <w:highlight w:val="none"/>
        </w:rPr>
      </w:pPr>
      <w:r>
        <w:rPr>
          <w:rFonts w:hint="eastAsia"/>
          <w:highlight w:val="none"/>
        </w:rPr>
        <w:t>明敷设接地线不应妨碍设备的拆除与检修；</w:t>
      </w:r>
    </w:p>
    <w:p w14:paraId="6E35DC10">
      <w:pPr>
        <w:numPr>
          <w:ilvl w:val="0"/>
          <w:numId w:val="129"/>
        </w:numPr>
        <w:ind w:firstLine="480"/>
        <w:rPr>
          <w:rFonts w:hint="eastAsia"/>
          <w:highlight w:val="none"/>
        </w:rPr>
      </w:pPr>
      <w:r>
        <w:rPr>
          <w:rFonts w:hint="eastAsia"/>
          <w:highlight w:val="none"/>
        </w:rPr>
        <w:t>接地线应水平或垂直敷设，也可沿建筑物表面平行敷设，不应有高低起伏及弯曲情况；</w:t>
      </w:r>
    </w:p>
    <w:p w14:paraId="23484FC5">
      <w:pPr>
        <w:numPr>
          <w:ilvl w:val="0"/>
          <w:numId w:val="129"/>
        </w:numPr>
        <w:ind w:firstLine="480"/>
        <w:rPr>
          <w:rFonts w:hint="eastAsia"/>
          <w:highlight w:val="none"/>
        </w:rPr>
      </w:pPr>
      <w:r>
        <w:rPr>
          <w:rFonts w:hint="eastAsia"/>
          <w:highlight w:val="none"/>
        </w:rPr>
        <w:t>接地线沿建筑物墙壁敷设时，接地干线距地面应不小于</w:t>
      </w:r>
      <w:r>
        <w:rPr>
          <w:highlight w:val="none"/>
        </w:rPr>
        <w:t>200mm</w:t>
      </w:r>
      <w:r>
        <w:rPr>
          <w:rFonts w:hint="eastAsia"/>
          <w:highlight w:val="none"/>
        </w:rPr>
        <w:t>，距墙面不小于</w:t>
      </w:r>
      <w:r>
        <w:rPr>
          <w:highlight w:val="none"/>
        </w:rPr>
        <w:t>10m</w:t>
      </w:r>
      <w:r>
        <w:rPr>
          <w:rFonts w:hint="eastAsia"/>
          <w:highlight w:val="none"/>
        </w:rPr>
        <w:t>m，支持件间的水平直线距离一般为</w:t>
      </w:r>
      <w:r>
        <w:rPr>
          <w:highlight w:val="none"/>
        </w:rPr>
        <w:t>1m</w:t>
      </w:r>
      <w:r>
        <w:rPr>
          <w:rFonts w:hint="eastAsia"/>
          <w:highlight w:val="none"/>
        </w:rPr>
        <w:t>，垂直部分为</w:t>
      </w:r>
      <w:r>
        <w:rPr>
          <w:highlight w:val="none"/>
        </w:rPr>
        <w:t>1.5m</w:t>
      </w:r>
      <w:r>
        <w:rPr>
          <w:rFonts w:hint="eastAsia"/>
          <w:highlight w:val="none"/>
        </w:rPr>
        <w:t>，转弯部分为</w:t>
      </w:r>
      <w:r>
        <w:rPr>
          <w:highlight w:val="none"/>
        </w:rPr>
        <w:t>0.5m</w:t>
      </w:r>
      <w:r>
        <w:rPr>
          <w:rFonts w:hint="eastAsia"/>
          <w:highlight w:val="none"/>
        </w:rPr>
        <w:t>；</w:t>
      </w:r>
    </w:p>
    <w:p w14:paraId="2828F915">
      <w:pPr>
        <w:numPr>
          <w:ilvl w:val="0"/>
          <w:numId w:val="129"/>
        </w:numPr>
        <w:ind w:firstLine="480"/>
        <w:rPr>
          <w:rFonts w:hint="eastAsia"/>
          <w:highlight w:val="none"/>
        </w:rPr>
      </w:pPr>
      <w:r>
        <w:rPr>
          <w:rFonts w:hint="eastAsia"/>
          <w:highlight w:val="none"/>
        </w:rPr>
        <w:t>接地干线敷设应平直，水平度及垂直度允许偏差</w:t>
      </w:r>
      <w:r>
        <w:rPr>
          <w:highlight w:val="none"/>
        </w:rPr>
        <w:t>2/1000</w:t>
      </w:r>
      <w:r>
        <w:rPr>
          <w:rFonts w:hint="eastAsia"/>
          <w:highlight w:val="none"/>
        </w:rPr>
        <w:t>，但全长避免超过</w:t>
      </w:r>
      <w:r>
        <w:rPr>
          <w:highlight w:val="none"/>
        </w:rPr>
        <w:t xml:space="preserve"> 10m</w:t>
      </w:r>
      <w:r>
        <w:rPr>
          <w:rFonts w:hint="eastAsia"/>
          <w:highlight w:val="none"/>
        </w:rPr>
        <w:t>；转角处接地干线弯曲半径避免小于扁钢宽度的２倍；</w:t>
      </w:r>
    </w:p>
    <w:p w14:paraId="46E85D2A">
      <w:pPr>
        <w:numPr>
          <w:ilvl w:val="0"/>
          <w:numId w:val="129"/>
        </w:numPr>
        <w:ind w:firstLine="480"/>
        <w:rPr>
          <w:rFonts w:hint="eastAsia"/>
          <w:highlight w:val="none"/>
        </w:rPr>
      </w:pPr>
      <w:r>
        <w:rPr>
          <w:rFonts w:hint="eastAsia"/>
          <w:highlight w:val="none"/>
        </w:rPr>
        <w:t>明敷设的接地线应表面刷黑漆，油漆应均匀无遗漏，但接地卡子及接地端子等处避免刷油。如因建筑物设计刷其他颜色，则应在连接处及分支处刷以各宽为</w:t>
      </w:r>
      <w:r>
        <w:rPr>
          <w:highlight w:val="none"/>
        </w:rPr>
        <w:t>150mm</w:t>
      </w:r>
      <w:r>
        <w:rPr>
          <w:rFonts w:hint="eastAsia"/>
          <w:highlight w:val="none"/>
        </w:rPr>
        <w:t>的两条黑带，其间距</w:t>
      </w:r>
      <w:r>
        <w:rPr>
          <w:highlight w:val="none"/>
        </w:rPr>
        <w:t>150mm</w:t>
      </w:r>
      <w:r>
        <w:rPr>
          <w:rFonts w:hint="eastAsia"/>
          <w:highlight w:val="none"/>
        </w:rPr>
        <w:t>；</w:t>
      </w:r>
    </w:p>
    <w:p w14:paraId="5B4AF97C">
      <w:pPr>
        <w:numPr>
          <w:ilvl w:val="0"/>
          <w:numId w:val="129"/>
        </w:numPr>
        <w:ind w:firstLine="480"/>
        <w:rPr>
          <w:rFonts w:hint="eastAsia"/>
          <w:highlight w:val="none"/>
        </w:rPr>
      </w:pPr>
      <w:r>
        <w:rPr>
          <w:rFonts w:hint="eastAsia"/>
          <w:highlight w:val="none"/>
        </w:rPr>
        <w:t>穿墙时，应套管保护，跨越伸缩缝，应做偎管补偿；</w:t>
      </w:r>
    </w:p>
    <w:p w14:paraId="6651F318">
      <w:pPr>
        <w:numPr>
          <w:ilvl w:val="0"/>
          <w:numId w:val="129"/>
        </w:numPr>
        <w:ind w:firstLine="480"/>
        <w:rPr>
          <w:rFonts w:hint="eastAsia"/>
          <w:highlight w:val="none"/>
        </w:rPr>
      </w:pPr>
      <w:r>
        <w:rPr>
          <w:rFonts w:hint="eastAsia"/>
          <w:highlight w:val="none"/>
        </w:rPr>
        <w:t>接地线引向建筑物人口处，应标以黑色接地标志。</w:t>
      </w:r>
    </w:p>
    <w:p w14:paraId="70E7D2E2">
      <w:pPr>
        <w:numPr>
          <w:ilvl w:val="1"/>
          <w:numId w:val="127"/>
        </w:numPr>
        <w:ind w:firstLine="480"/>
        <w:rPr>
          <w:rFonts w:hint="eastAsia"/>
          <w:highlight w:val="none"/>
        </w:rPr>
      </w:pPr>
      <w:r>
        <w:rPr>
          <w:rFonts w:hint="eastAsia"/>
          <w:highlight w:val="none"/>
        </w:rPr>
        <w:t>引下线安装</w:t>
      </w:r>
    </w:p>
    <w:p w14:paraId="089208EA">
      <w:pPr>
        <w:numPr>
          <w:ilvl w:val="0"/>
          <w:numId w:val="130"/>
        </w:numPr>
        <w:ind w:firstLine="480"/>
        <w:rPr>
          <w:rFonts w:hint="eastAsia"/>
          <w:highlight w:val="none"/>
        </w:rPr>
      </w:pPr>
      <w:r>
        <w:rPr>
          <w:rFonts w:hint="eastAsia"/>
          <w:highlight w:val="none"/>
        </w:rPr>
        <w:t>当利用建筑物主筋做引下线时，主筋截面积避免小于</w:t>
      </w:r>
      <w:r>
        <w:rPr>
          <w:highlight w:val="none"/>
        </w:rPr>
        <w:t>90mm2</w:t>
      </w:r>
      <w:r>
        <w:rPr>
          <w:rFonts w:hint="eastAsia"/>
          <w:highlight w:val="none"/>
        </w:rPr>
        <w:t>，每条引下线避免少于２根主筋。</w:t>
      </w:r>
    </w:p>
    <w:p w14:paraId="656CA031">
      <w:pPr>
        <w:numPr>
          <w:ilvl w:val="0"/>
          <w:numId w:val="130"/>
        </w:numPr>
        <w:ind w:firstLine="480"/>
        <w:rPr>
          <w:rFonts w:hint="eastAsia"/>
          <w:highlight w:val="none"/>
        </w:rPr>
      </w:pPr>
      <w:r>
        <w:rPr>
          <w:rFonts w:hint="eastAsia"/>
          <w:highlight w:val="none"/>
        </w:rPr>
        <w:t>主筋搭接处接接地线的要求焊接，当主筋采用压力埋弧焊、对焊、冷挤压时其接头处可不跨接。</w:t>
      </w:r>
    </w:p>
    <w:p w14:paraId="134A77EE">
      <w:pPr>
        <w:numPr>
          <w:ilvl w:val="0"/>
          <w:numId w:val="130"/>
        </w:numPr>
        <w:ind w:firstLine="480"/>
        <w:rPr>
          <w:rFonts w:hint="eastAsia"/>
          <w:highlight w:val="none"/>
        </w:rPr>
      </w:pPr>
      <w:r>
        <w:rPr>
          <w:rFonts w:hint="eastAsia"/>
          <w:highlight w:val="none"/>
        </w:rPr>
        <w:t>引下线扁钢避免小于</w:t>
      </w:r>
      <w:r>
        <w:rPr>
          <w:highlight w:val="none"/>
        </w:rPr>
        <w:t>25x4mm</w:t>
      </w:r>
      <w:r>
        <w:rPr>
          <w:rFonts w:hint="eastAsia"/>
          <w:highlight w:val="none"/>
        </w:rPr>
        <w:t>，圆钢直径避免小于</w:t>
      </w:r>
      <w:r>
        <w:rPr>
          <w:highlight w:val="none"/>
        </w:rPr>
        <w:t>12mm</w:t>
      </w:r>
      <w:r>
        <w:rPr>
          <w:rFonts w:hint="eastAsia"/>
          <w:highlight w:val="none"/>
        </w:rPr>
        <w:t>。</w:t>
      </w:r>
      <w:r>
        <w:rPr>
          <w:highlight w:val="none"/>
        </w:rPr>
        <w:t xml:space="preserve"> </w:t>
      </w:r>
    </w:p>
    <w:p w14:paraId="2AE7B02B">
      <w:pPr>
        <w:numPr>
          <w:ilvl w:val="0"/>
          <w:numId w:val="130"/>
        </w:numPr>
        <w:ind w:firstLine="480"/>
        <w:rPr>
          <w:rFonts w:hint="eastAsia"/>
          <w:highlight w:val="none"/>
        </w:rPr>
      </w:pPr>
      <w:r>
        <w:rPr>
          <w:rFonts w:hint="eastAsia"/>
          <w:highlight w:val="none"/>
        </w:rPr>
        <w:t>现浇混凝土墙内暗敷引下线时不做防腐处理，焊接应满足规范要求。</w:t>
      </w:r>
    </w:p>
    <w:p w14:paraId="155E18C5">
      <w:pPr>
        <w:numPr>
          <w:ilvl w:val="0"/>
          <w:numId w:val="130"/>
        </w:numPr>
        <w:ind w:firstLine="480"/>
        <w:rPr>
          <w:rFonts w:hint="eastAsia"/>
          <w:highlight w:val="none"/>
        </w:rPr>
      </w:pPr>
      <w:r>
        <w:rPr>
          <w:rFonts w:hint="eastAsia"/>
          <w:highlight w:val="none"/>
        </w:rPr>
        <w:t>明装引下线应躲开建筑物的人口和行人较易接触到的地点，以免发生危险。</w:t>
      </w:r>
    </w:p>
    <w:p w14:paraId="55E90B6A">
      <w:pPr>
        <w:numPr>
          <w:ilvl w:val="0"/>
          <w:numId w:val="130"/>
        </w:numPr>
        <w:ind w:firstLine="480"/>
        <w:rPr>
          <w:rFonts w:hint="eastAsia"/>
          <w:highlight w:val="none"/>
        </w:rPr>
      </w:pPr>
      <w:r>
        <w:rPr>
          <w:rFonts w:hint="eastAsia"/>
          <w:highlight w:val="none"/>
        </w:rPr>
        <w:t>每栋建筑物至少有２根引下线（投影小于</w:t>
      </w:r>
      <w:r>
        <w:rPr>
          <w:highlight w:val="none"/>
        </w:rPr>
        <w:t>50m2</w:t>
      </w:r>
      <w:r>
        <w:rPr>
          <w:rFonts w:hint="eastAsia"/>
          <w:highlight w:val="none"/>
        </w:rPr>
        <w:t>的建筑物例外），防雷引下线最好为对称位置，间距不应大于</w:t>
      </w:r>
      <w:r>
        <w:rPr>
          <w:highlight w:val="none"/>
        </w:rPr>
        <w:t>20m</w:t>
      </w:r>
      <w:r>
        <w:rPr>
          <w:rFonts w:hint="eastAsia"/>
          <w:highlight w:val="none"/>
        </w:rPr>
        <w:t>，当大于</w:t>
      </w:r>
      <w:r>
        <w:rPr>
          <w:highlight w:val="none"/>
        </w:rPr>
        <w:t>20m</w:t>
      </w:r>
      <w:r>
        <w:rPr>
          <w:rFonts w:hint="eastAsia"/>
          <w:highlight w:val="none"/>
        </w:rPr>
        <w:t>时应在中间多引一根引下线。</w:t>
      </w:r>
    </w:p>
    <w:p w14:paraId="6867D725">
      <w:pPr>
        <w:numPr>
          <w:ilvl w:val="0"/>
          <w:numId w:val="130"/>
        </w:numPr>
        <w:ind w:firstLine="480"/>
        <w:rPr>
          <w:rFonts w:hint="eastAsia"/>
          <w:highlight w:val="none"/>
        </w:rPr>
      </w:pPr>
      <w:r>
        <w:rPr>
          <w:rFonts w:hint="eastAsia"/>
          <w:highlight w:val="none"/>
        </w:rPr>
        <w:t>柱内主筋应用不小于Φ</w:t>
      </w:r>
      <w:r>
        <w:rPr>
          <w:highlight w:val="none"/>
        </w:rPr>
        <w:t>12</w:t>
      </w:r>
      <w:r>
        <w:rPr>
          <w:rFonts w:hint="eastAsia"/>
          <w:highlight w:val="none"/>
        </w:rPr>
        <w:t>镀锌圆钢与屋顶避雷网焊接。</w:t>
      </w:r>
    </w:p>
    <w:p w14:paraId="72B58705">
      <w:pPr>
        <w:numPr>
          <w:ilvl w:val="0"/>
          <w:numId w:val="130"/>
        </w:numPr>
        <w:ind w:firstLine="480"/>
        <w:rPr>
          <w:rFonts w:hint="eastAsia"/>
          <w:highlight w:val="none"/>
        </w:rPr>
      </w:pPr>
      <w:r>
        <w:rPr>
          <w:rFonts w:hint="eastAsia"/>
          <w:highlight w:val="none"/>
        </w:rPr>
        <w:t>引下线的垂直允许偏差为</w:t>
      </w:r>
      <w:r>
        <w:rPr>
          <w:highlight w:val="none"/>
        </w:rPr>
        <w:t xml:space="preserve"> 2/1000</w:t>
      </w:r>
      <w:r>
        <w:rPr>
          <w:rFonts w:hint="eastAsia"/>
          <w:highlight w:val="none"/>
        </w:rPr>
        <w:t>。引下线必须调直敷设，弯曲处不应小于</w:t>
      </w:r>
      <w:r>
        <w:rPr>
          <w:highlight w:val="none"/>
        </w:rPr>
        <w:t>90</w:t>
      </w:r>
      <w:r>
        <w:rPr>
          <w:rFonts w:hint="eastAsia"/>
          <w:highlight w:val="none"/>
        </w:rPr>
        <w:t>°，并避免弯成死角。引下线除设计要求，镀锌扁钢避免小于</w:t>
      </w:r>
      <w:r>
        <w:rPr>
          <w:highlight w:val="none"/>
        </w:rPr>
        <w:t>48mm2</w:t>
      </w:r>
      <w:r>
        <w:rPr>
          <w:rFonts w:hint="eastAsia"/>
          <w:highlight w:val="none"/>
        </w:rPr>
        <w:t>，镀锌圆钢直径不小于12</w:t>
      </w:r>
      <w:r>
        <w:rPr>
          <w:highlight w:val="none"/>
        </w:rPr>
        <w:t>mm</w:t>
      </w:r>
      <w:r>
        <w:rPr>
          <w:rFonts w:hint="eastAsia"/>
          <w:highlight w:val="none"/>
        </w:rPr>
        <w:t>。</w:t>
      </w:r>
    </w:p>
    <w:p w14:paraId="3909D031">
      <w:pPr>
        <w:numPr>
          <w:ilvl w:val="0"/>
          <w:numId w:val="130"/>
        </w:numPr>
        <w:ind w:firstLine="480"/>
        <w:rPr>
          <w:rFonts w:hint="eastAsia"/>
          <w:highlight w:val="none"/>
        </w:rPr>
      </w:pPr>
      <w:r>
        <w:rPr>
          <w:rFonts w:hint="eastAsia"/>
          <w:highlight w:val="none"/>
        </w:rPr>
        <w:t>将接地线地面以上</w:t>
      </w:r>
      <w:r>
        <w:rPr>
          <w:highlight w:val="none"/>
        </w:rPr>
        <w:t>2m</w:t>
      </w:r>
      <w:r>
        <w:rPr>
          <w:rFonts w:hint="eastAsia"/>
          <w:highlight w:val="none"/>
        </w:rPr>
        <w:t>段套上保护管，保护管避免用金属管，用镀锌角钢拼装，以免形成涡流，阻碍雷电流顺利通过。</w:t>
      </w:r>
    </w:p>
    <w:p w14:paraId="4884A791">
      <w:pPr>
        <w:numPr>
          <w:ilvl w:val="0"/>
          <w:numId w:val="130"/>
        </w:numPr>
        <w:ind w:firstLine="480"/>
        <w:rPr>
          <w:rFonts w:hint="eastAsia"/>
          <w:highlight w:val="none"/>
        </w:rPr>
      </w:pPr>
      <w:r>
        <w:rPr>
          <w:rFonts w:hint="eastAsia"/>
          <w:highlight w:val="none"/>
        </w:rPr>
        <w:t>防雷引下线，接地体需要装设断接卡子或测试的部位、数量按图施工，无要求时按以下规定设置：建筑物、构筑物只有一组接地体时，可不做断接卡子，但要设置测试点；建筑物、构筑物采用多组接地体时，每组接地体均要设置断接卡子；断接卡子或接地点设置的部位应不影响建筑物外观，应便于测试，暗设时距地高度为</w:t>
      </w:r>
      <w:r>
        <w:rPr>
          <w:highlight w:val="none"/>
        </w:rPr>
        <w:t>0.5m</w:t>
      </w:r>
      <w:r>
        <w:rPr>
          <w:rFonts w:hint="eastAsia"/>
          <w:highlight w:val="none"/>
        </w:rPr>
        <w:t>，明设时距地高度为</w:t>
      </w:r>
      <w:r>
        <w:rPr>
          <w:highlight w:val="none"/>
        </w:rPr>
        <w:t>1.8m</w:t>
      </w:r>
      <w:r>
        <w:rPr>
          <w:rFonts w:hint="eastAsia"/>
          <w:highlight w:val="none"/>
        </w:rPr>
        <w:t>。</w:t>
      </w:r>
    </w:p>
    <w:p w14:paraId="241D2F42">
      <w:pPr>
        <w:numPr>
          <w:ilvl w:val="1"/>
          <w:numId w:val="127"/>
        </w:numPr>
        <w:ind w:firstLine="480"/>
        <w:rPr>
          <w:rFonts w:hint="eastAsia"/>
          <w:highlight w:val="none"/>
        </w:rPr>
      </w:pPr>
      <w:r>
        <w:rPr>
          <w:rFonts w:hint="eastAsia"/>
          <w:highlight w:val="none"/>
        </w:rPr>
        <w:t>避雷网安装</w:t>
      </w:r>
    </w:p>
    <w:p w14:paraId="0EAAB8B1">
      <w:pPr>
        <w:numPr>
          <w:ilvl w:val="1"/>
          <w:numId w:val="131"/>
        </w:numPr>
        <w:ind w:firstLine="480"/>
        <w:rPr>
          <w:rFonts w:hint="eastAsia"/>
          <w:highlight w:val="none"/>
        </w:rPr>
      </w:pPr>
      <w:r>
        <w:rPr>
          <w:rFonts w:hint="eastAsia" w:asciiTheme="minorEastAsia" w:hAnsiTheme="minorEastAsia" w:eastAsiaTheme="minorEastAsia"/>
          <w:highlight w:val="none"/>
        </w:rPr>
        <w:t>避雷网应平直牢固，不应有变形扭曲现象，距离建筑物表面距离应一致，平</w:t>
      </w:r>
      <w:r>
        <w:rPr>
          <w:rFonts w:hint="eastAsia"/>
          <w:highlight w:val="none"/>
        </w:rPr>
        <w:t>直度每</w:t>
      </w:r>
      <w:r>
        <w:rPr>
          <w:highlight w:val="none"/>
        </w:rPr>
        <w:t>2m</w:t>
      </w:r>
      <w:r>
        <w:rPr>
          <w:rFonts w:hint="eastAsia"/>
          <w:highlight w:val="none"/>
        </w:rPr>
        <w:t>检查允许偏差</w:t>
      </w:r>
      <w:r>
        <w:rPr>
          <w:highlight w:val="none"/>
        </w:rPr>
        <w:t>2/1000</w:t>
      </w:r>
      <w:r>
        <w:rPr>
          <w:rFonts w:hint="eastAsia"/>
          <w:highlight w:val="none"/>
        </w:rPr>
        <w:t>，但全长避免超过</w:t>
      </w:r>
      <w:r>
        <w:rPr>
          <w:highlight w:val="none"/>
        </w:rPr>
        <w:t>8mm</w:t>
      </w:r>
      <w:r>
        <w:rPr>
          <w:rFonts w:hint="eastAsia"/>
          <w:highlight w:val="none"/>
        </w:rPr>
        <w:t>；</w:t>
      </w:r>
    </w:p>
    <w:p w14:paraId="467C1D3E">
      <w:pPr>
        <w:numPr>
          <w:ilvl w:val="1"/>
          <w:numId w:val="131"/>
        </w:numPr>
        <w:ind w:firstLine="480"/>
        <w:rPr>
          <w:rFonts w:hint="eastAsia"/>
          <w:highlight w:val="none"/>
        </w:rPr>
      </w:pPr>
      <w:r>
        <w:rPr>
          <w:rFonts w:hint="eastAsia"/>
          <w:highlight w:val="none"/>
        </w:rPr>
        <w:t>避雷线弯曲处避免小于</w:t>
      </w:r>
      <w:r>
        <w:rPr>
          <w:highlight w:val="none"/>
        </w:rPr>
        <w:t>90</w:t>
      </w:r>
      <w:r>
        <w:rPr>
          <w:rFonts w:hint="eastAsia"/>
          <w:highlight w:val="none"/>
        </w:rPr>
        <w:t>°，弯曲半径避免小于圆钢直径</w:t>
      </w:r>
      <w:r>
        <w:rPr>
          <w:highlight w:val="none"/>
        </w:rPr>
        <w:t>10</w:t>
      </w:r>
      <w:r>
        <w:rPr>
          <w:rFonts w:hint="eastAsia"/>
          <w:highlight w:val="none"/>
        </w:rPr>
        <w:t>倍；</w:t>
      </w:r>
    </w:p>
    <w:p w14:paraId="227A9D2E">
      <w:pPr>
        <w:numPr>
          <w:ilvl w:val="1"/>
          <w:numId w:val="131"/>
        </w:numPr>
        <w:ind w:firstLine="480"/>
        <w:rPr>
          <w:rFonts w:hint="eastAsia"/>
          <w:highlight w:val="none"/>
        </w:rPr>
      </w:pPr>
      <w:r>
        <w:rPr>
          <w:rFonts w:hint="eastAsia"/>
          <w:highlight w:val="none"/>
        </w:rPr>
        <w:t>主筋搭接处接接地线的要求焊接，当主筋采用压力埋弧焊、对焊、冷挤压时其接头处可不跨接；</w:t>
      </w:r>
    </w:p>
    <w:p w14:paraId="54ECB664">
      <w:pPr>
        <w:numPr>
          <w:ilvl w:val="1"/>
          <w:numId w:val="131"/>
        </w:numPr>
        <w:ind w:firstLine="480"/>
        <w:rPr>
          <w:rFonts w:hint="eastAsia"/>
          <w:highlight w:val="none"/>
        </w:rPr>
      </w:pPr>
      <w:r>
        <w:rPr>
          <w:rFonts w:hint="eastAsia"/>
          <w:highlight w:val="none"/>
        </w:rPr>
        <w:t>现浇混凝土墙内暗敷引下线时不做防腐处理，焊接应满足规范要求；</w:t>
      </w:r>
    </w:p>
    <w:p w14:paraId="181DFB83">
      <w:pPr>
        <w:numPr>
          <w:ilvl w:val="1"/>
          <w:numId w:val="131"/>
        </w:numPr>
        <w:ind w:firstLine="480"/>
        <w:rPr>
          <w:rFonts w:hint="eastAsia"/>
          <w:highlight w:val="none"/>
        </w:rPr>
      </w:pPr>
      <w:r>
        <w:rPr>
          <w:rFonts w:hint="eastAsia"/>
          <w:highlight w:val="none"/>
        </w:rPr>
        <w:t>柱内主筋应用不小于Φ</w:t>
      </w:r>
      <w:r>
        <w:rPr>
          <w:highlight w:val="none"/>
        </w:rPr>
        <w:t>12</w:t>
      </w:r>
      <w:r>
        <w:rPr>
          <w:rFonts w:hint="eastAsia"/>
          <w:highlight w:val="none"/>
        </w:rPr>
        <w:t>镀锌圆钢与屋顶避雷网焊接。</w:t>
      </w:r>
    </w:p>
    <w:p w14:paraId="51469A9E">
      <w:pPr>
        <w:numPr>
          <w:ilvl w:val="1"/>
          <w:numId w:val="127"/>
        </w:numPr>
        <w:ind w:firstLine="480"/>
        <w:rPr>
          <w:rFonts w:hint="eastAsia"/>
          <w:highlight w:val="none"/>
        </w:rPr>
      </w:pPr>
      <w:r>
        <w:rPr>
          <w:rFonts w:hint="eastAsia"/>
          <w:highlight w:val="none"/>
        </w:rPr>
        <w:t>接闪器</w:t>
      </w:r>
    </w:p>
    <w:p w14:paraId="1CA68AEC">
      <w:pPr>
        <w:numPr>
          <w:ilvl w:val="0"/>
          <w:numId w:val="132"/>
        </w:numPr>
        <w:ind w:firstLine="480"/>
        <w:rPr>
          <w:rFonts w:hint="eastAsia"/>
          <w:highlight w:val="none"/>
        </w:rPr>
      </w:pPr>
      <w:r>
        <w:rPr>
          <w:rFonts w:hint="eastAsia" w:asciiTheme="minorEastAsia" w:hAnsiTheme="minorEastAsia"/>
          <w:highlight w:val="none"/>
        </w:rPr>
        <w:t>避雷针、避雷带等必须与顶部外露的其它金属物体连成一个整体的电气通路</w:t>
      </w:r>
      <w:r>
        <w:rPr>
          <w:rFonts w:hint="eastAsia"/>
          <w:highlight w:val="none"/>
        </w:rPr>
        <w:t>，且与避雷引下线连接可靠，严禁串联连接，支持件安装位置正确。采用螺栓固定的应采取双螺帽等防松措施，利用结构圈梁里的主筋或腰筋与预先准备好的约</w:t>
      </w:r>
      <w:r>
        <w:rPr>
          <w:highlight w:val="none"/>
        </w:rPr>
        <w:t>20cm的连接钢筋头焊接成一体。</w:t>
      </w:r>
    </w:p>
    <w:p w14:paraId="3C2C4C50">
      <w:pPr>
        <w:numPr>
          <w:ilvl w:val="0"/>
          <w:numId w:val="132"/>
        </w:numPr>
        <w:ind w:firstLine="480"/>
        <w:rPr>
          <w:rFonts w:hint="eastAsia"/>
          <w:highlight w:val="none"/>
        </w:rPr>
      </w:pPr>
      <w:r>
        <w:rPr>
          <w:rFonts w:hint="eastAsia"/>
          <w:highlight w:val="none"/>
        </w:rPr>
        <w:t>避雷网和避雷带宜采用镀锌圆钢或扁钢，应优先选用圆钢，其直径不应小于</w:t>
      </w:r>
      <w:r>
        <w:rPr>
          <w:highlight w:val="none"/>
        </w:rPr>
        <w:t>10mm，扁钢宽度不应小12mm，厚度不应小于4mm。</w:t>
      </w:r>
    </w:p>
    <w:p w14:paraId="0A7864F8">
      <w:pPr>
        <w:numPr>
          <w:ilvl w:val="0"/>
          <w:numId w:val="132"/>
        </w:numPr>
        <w:ind w:firstLine="480"/>
        <w:rPr>
          <w:rFonts w:hint="eastAsia"/>
          <w:highlight w:val="none"/>
        </w:rPr>
      </w:pPr>
      <w:r>
        <w:rPr>
          <w:rFonts w:hint="eastAsia"/>
          <w:highlight w:val="none"/>
        </w:rPr>
        <w:t>接闪器转角、建筑物变形缝处应做补偿机制。</w:t>
      </w:r>
    </w:p>
    <w:p w14:paraId="47C631A5">
      <w:pPr>
        <w:pStyle w:val="5"/>
        <w:numPr>
          <w:ilvl w:val="3"/>
          <w:numId w:val="13"/>
        </w:numPr>
        <w:rPr>
          <w:rFonts w:hint="eastAsia"/>
          <w:highlight w:val="none"/>
        </w:rPr>
      </w:pPr>
      <w:r>
        <w:rPr>
          <w:rFonts w:hint="eastAsia"/>
          <w:highlight w:val="none"/>
        </w:rPr>
        <w:t>电缆桥架安装</w:t>
      </w:r>
    </w:p>
    <w:p w14:paraId="196B5F96">
      <w:pPr>
        <w:numPr>
          <w:ilvl w:val="1"/>
          <w:numId w:val="133"/>
        </w:numPr>
        <w:ind w:firstLine="480"/>
        <w:rPr>
          <w:rFonts w:hint="eastAsia"/>
          <w:highlight w:val="none"/>
        </w:rPr>
      </w:pPr>
      <w:r>
        <w:rPr>
          <w:rFonts w:hint="eastAsia"/>
          <w:highlight w:val="none"/>
        </w:rPr>
        <w:t>材料要求</w:t>
      </w:r>
    </w:p>
    <w:p w14:paraId="473EAC66">
      <w:pPr>
        <w:numPr>
          <w:ilvl w:val="1"/>
          <w:numId w:val="134"/>
        </w:numPr>
        <w:ind w:firstLine="480"/>
        <w:rPr>
          <w:rFonts w:hint="eastAsia"/>
          <w:highlight w:val="none"/>
        </w:rPr>
      </w:pPr>
      <w:r>
        <w:rPr>
          <w:rFonts w:hint="eastAsia"/>
          <w:highlight w:val="none"/>
        </w:rPr>
        <w:t>金属线槽分镀锌和不镀锌制品，其规格、型号应满足设计规范要求。线槽内外应光滑平整，无棱刺，不应有扭曲、翘边等变形现象。有产品质量认证和检测报告。</w:t>
      </w:r>
    </w:p>
    <w:p w14:paraId="4A6893A7">
      <w:pPr>
        <w:numPr>
          <w:ilvl w:val="1"/>
          <w:numId w:val="134"/>
        </w:numPr>
        <w:ind w:firstLine="480"/>
        <w:rPr>
          <w:rFonts w:hint="eastAsia"/>
          <w:highlight w:val="none"/>
        </w:rPr>
      </w:pPr>
      <w:r>
        <w:rPr>
          <w:rFonts w:hint="eastAsia"/>
          <w:highlight w:val="none"/>
        </w:rPr>
        <w:t>对镀锌制品，要采用配套的镀锌配件，镀锌层表面应光滑均匀、致密、不起皮、无气泡、无局部未镀和局部锈蚀现象和划伤等缺陷，避免有影响安装的锌瘤。</w:t>
      </w:r>
    </w:p>
    <w:p w14:paraId="28F55C44">
      <w:pPr>
        <w:numPr>
          <w:ilvl w:val="1"/>
          <w:numId w:val="134"/>
        </w:numPr>
        <w:ind w:firstLine="480"/>
        <w:rPr>
          <w:rFonts w:hint="eastAsia"/>
          <w:highlight w:val="none"/>
        </w:rPr>
      </w:pPr>
      <w:r>
        <w:rPr>
          <w:rFonts w:hint="eastAsia"/>
          <w:highlight w:val="none"/>
        </w:rPr>
        <w:t>对非镀锌制品，漆层应坚固，无锈蚀现象，在每段上应焊接接地螺丝。</w:t>
      </w:r>
    </w:p>
    <w:p w14:paraId="67E15413">
      <w:pPr>
        <w:numPr>
          <w:ilvl w:val="1"/>
          <w:numId w:val="134"/>
        </w:numPr>
        <w:ind w:firstLine="480"/>
        <w:rPr>
          <w:rFonts w:hint="eastAsia"/>
          <w:highlight w:val="none"/>
        </w:rPr>
      </w:pPr>
      <w:r>
        <w:rPr>
          <w:rFonts w:hint="eastAsia"/>
          <w:highlight w:val="none"/>
        </w:rPr>
        <w:t>支、吊架的结构应满足刚度、强度及稳定性的要求。</w:t>
      </w:r>
    </w:p>
    <w:p w14:paraId="4A633FA8">
      <w:pPr>
        <w:numPr>
          <w:ilvl w:val="1"/>
          <w:numId w:val="134"/>
        </w:numPr>
        <w:ind w:firstLine="480"/>
        <w:rPr>
          <w:rFonts w:hint="eastAsia"/>
          <w:highlight w:val="none"/>
        </w:rPr>
      </w:pPr>
      <w:r>
        <w:rPr>
          <w:rFonts w:hint="eastAsia"/>
          <w:highlight w:val="none"/>
        </w:rPr>
        <w:t>焊缝的机械性能避免低于本体材料的机械性能，焊缝表面均匀，避免有漏焊、裂纹、夹渣、烧穿等缺陷。</w:t>
      </w:r>
    </w:p>
    <w:p w14:paraId="5C8DF94E">
      <w:pPr>
        <w:numPr>
          <w:ilvl w:val="1"/>
          <w:numId w:val="134"/>
        </w:numPr>
        <w:ind w:firstLine="480"/>
        <w:rPr>
          <w:rFonts w:hint="eastAsia"/>
          <w:highlight w:val="none"/>
        </w:rPr>
      </w:pPr>
      <w:r>
        <w:rPr>
          <w:rFonts w:hint="eastAsia"/>
          <w:highlight w:val="none"/>
        </w:rPr>
        <w:t>热浸锌桥架在现场切割后，桥架切口需在现场做热浸锌处理后方可安装。</w:t>
      </w:r>
    </w:p>
    <w:p w14:paraId="4DA2070B">
      <w:pPr>
        <w:numPr>
          <w:ilvl w:val="1"/>
          <w:numId w:val="133"/>
        </w:numPr>
        <w:ind w:firstLine="480"/>
        <w:rPr>
          <w:rFonts w:hint="eastAsia"/>
          <w:highlight w:val="none"/>
        </w:rPr>
      </w:pPr>
      <w:r>
        <w:rPr>
          <w:rFonts w:hint="eastAsia"/>
          <w:highlight w:val="none"/>
        </w:rPr>
        <w:t>桥架敷设</w:t>
      </w:r>
    </w:p>
    <w:p w14:paraId="5BF50570">
      <w:pPr>
        <w:numPr>
          <w:ilvl w:val="1"/>
          <w:numId w:val="135"/>
        </w:numPr>
        <w:ind w:firstLine="480"/>
        <w:rPr>
          <w:rFonts w:hint="eastAsia"/>
          <w:highlight w:val="none"/>
        </w:rPr>
      </w:pPr>
      <w:r>
        <w:rPr>
          <w:rFonts w:hint="eastAsia"/>
          <w:highlight w:val="none"/>
        </w:rPr>
        <w:t>依据配电箱、柜、电气器具，空间管道等确定敷设的位置走向，弹线定位，并确定支吊架的固定位置；在竖井、机房内要考虑垂直干线与分支干线的连接方式。</w:t>
      </w:r>
    </w:p>
    <w:p w14:paraId="61DE8EB9">
      <w:pPr>
        <w:numPr>
          <w:ilvl w:val="1"/>
          <w:numId w:val="135"/>
        </w:numPr>
        <w:ind w:firstLine="480"/>
        <w:rPr>
          <w:rFonts w:hint="eastAsia"/>
          <w:highlight w:val="none"/>
        </w:rPr>
      </w:pPr>
      <w:r>
        <w:rPr>
          <w:rFonts w:hint="eastAsia"/>
          <w:highlight w:val="none"/>
        </w:rPr>
        <w:t>应保证桥架安装横平竖直，在有坡度的建筑物上应保证与建筑物表面相同的坡度。</w:t>
      </w:r>
    </w:p>
    <w:p w14:paraId="321644C5">
      <w:pPr>
        <w:numPr>
          <w:ilvl w:val="1"/>
          <w:numId w:val="135"/>
        </w:numPr>
        <w:ind w:firstLine="480"/>
        <w:rPr>
          <w:rFonts w:hint="eastAsia"/>
          <w:highlight w:val="none"/>
        </w:rPr>
      </w:pPr>
      <w:r>
        <w:rPr>
          <w:rFonts w:hint="eastAsia"/>
          <w:highlight w:val="none"/>
        </w:rPr>
        <w:t>桥架水平敷设时距地高度不宜低于</w:t>
      </w:r>
      <w:r>
        <w:rPr>
          <w:highlight w:val="none"/>
        </w:rPr>
        <w:t>2.5m</w:t>
      </w:r>
      <w:r>
        <w:rPr>
          <w:rFonts w:hint="eastAsia"/>
          <w:highlight w:val="none"/>
        </w:rPr>
        <w:t>，垂直敷设时不低于</w:t>
      </w:r>
      <w:r>
        <w:rPr>
          <w:highlight w:val="none"/>
        </w:rPr>
        <w:t>1.8m</w:t>
      </w:r>
      <w:r>
        <w:rPr>
          <w:rFonts w:hint="eastAsia"/>
          <w:highlight w:val="none"/>
        </w:rPr>
        <w:t>，低于上述高度时应加金属盖板保护，但敷设在电气专用房间（配电室、电气竖井、设备层等）内除外。</w:t>
      </w:r>
    </w:p>
    <w:p w14:paraId="1B59132F">
      <w:pPr>
        <w:numPr>
          <w:ilvl w:val="1"/>
          <w:numId w:val="135"/>
        </w:numPr>
        <w:ind w:firstLine="480"/>
        <w:rPr>
          <w:rFonts w:hint="eastAsia"/>
          <w:highlight w:val="none"/>
        </w:rPr>
      </w:pPr>
      <w:r>
        <w:rPr>
          <w:rFonts w:hint="eastAsia"/>
          <w:highlight w:val="none"/>
        </w:rPr>
        <w:t>电缆托盘、桥架多层敷设时其层间距离为：控制电缆间不应小于</w:t>
      </w:r>
      <w:r>
        <w:rPr>
          <w:highlight w:val="none"/>
        </w:rPr>
        <w:t>0.2m</w:t>
      </w:r>
      <w:r>
        <w:rPr>
          <w:rFonts w:hint="eastAsia"/>
          <w:highlight w:val="none"/>
        </w:rPr>
        <w:t>，电气电缆间不应小于</w:t>
      </w:r>
      <w:r>
        <w:rPr>
          <w:highlight w:val="none"/>
        </w:rPr>
        <w:t>0.3m</w:t>
      </w:r>
      <w:r>
        <w:rPr>
          <w:rFonts w:hint="eastAsia"/>
          <w:highlight w:val="none"/>
        </w:rPr>
        <w:t>，弱电电缆与电气电缆间不小于</w:t>
      </w:r>
      <w:r>
        <w:rPr>
          <w:highlight w:val="none"/>
        </w:rPr>
        <w:t>0.5m</w:t>
      </w:r>
      <w:r>
        <w:rPr>
          <w:rFonts w:hint="eastAsia"/>
          <w:highlight w:val="none"/>
        </w:rPr>
        <w:t>，如有屏蔽盖板可减少到</w:t>
      </w:r>
      <w:r>
        <w:rPr>
          <w:highlight w:val="none"/>
        </w:rPr>
        <w:t>0.3m</w:t>
      </w:r>
      <w:r>
        <w:rPr>
          <w:rFonts w:hint="eastAsia"/>
          <w:highlight w:val="none"/>
        </w:rPr>
        <w:t>，桥架上部距离顶棚或其他障碍物不应小于</w:t>
      </w:r>
      <w:r>
        <w:rPr>
          <w:highlight w:val="none"/>
        </w:rPr>
        <w:t>0.3m</w:t>
      </w:r>
      <w:r>
        <w:rPr>
          <w:rFonts w:hint="eastAsia"/>
          <w:highlight w:val="none"/>
        </w:rPr>
        <w:t>。</w:t>
      </w:r>
    </w:p>
    <w:p w14:paraId="4341AED7">
      <w:pPr>
        <w:numPr>
          <w:ilvl w:val="1"/>
          <w:numId w:val="135"/>
        </w:numPr>
        <w:ind w:firstLine="480"/>
        <w:rPr>
          <w:rFonts w:hint="eastAsia"/>
          <w:highlight w:val="none"/>
        </w:rPr>
      </w:pPr>
      <w:r>
        <w:rPr>
          <w:rFonts w:hint="eastAsia"/>
          <w:highlight w:val="none"/>
        </w:rPr>
        <w:t>线槽和金属管道在同样标高安装，线槽要敷设于管道上方绕行，其做法要注意：线槽转角要平滑；转角处吊架要符合要求；和管道间距正确。</w:t>
      </w:r>
    </w:p>
    <w:p w14:paraId="49DD53DC">
      <w:pPr>
        <w:numPr>
          <w:ilvl w:val="1"/>
          <w:numId w:val="135"/>
        </w:numPr>
        <w:ind w:firstLine="480"/>
        <w:rPr>
          <w:rFonts w:hint="eastAsia"/>
          <w:highlight w:val="none"/>
        </w:rPr>
      </w:pPr>
      <w:r>
        <w:rPr>
          <w:rFonts w:hint="eastAsia"/>
          <w:highlight w:val="none"/>
        </w:rPr>
        <w:t>尽量使用厂家配套的支吊架，在需要自制的场所，支吊架要统一预制，规格尺寸控制统一，焊接牢固，切口无卷边、毛刺，刷防锈漆；支吊架的规格不应小于扁铁</w:t>
      </w:r>
      <w:r>
        <w:rPr>
          <w:highlight w:val="none"/>
        </w:rPr>
        <w:t>30mmx30mm</w:t>
      </w:r>
      <w:r>
        <w:rPr>
          <w:rFonts w:hint="eastAsia"/>
          <w:highlight w:val="none"/>
        </w:rPr>
        <w:t>，支吊架强度应能达到桥架的承载能力要求。</w:t>
      </w:r>
    </w:p>
    <w:p w14:paraId="4AE6EC06">
      <w:pPr>
        <w:numPr>
          <w:ilvl w:val="1"/>
          <w:numId w:val="135"/>
        </w:numPr>
        <w:ind w:firstLine="480"/>
        <w:rPr>
          <w:rFonts w:hint="eastAsia"/>
          <w:highlight w:val="none"/>
        </w:rPr>
      </w:pPr>
      <w:r>
        <w:rPr>
          <w:rFonts w:hint="eastAsia"/>
          <w:highlight w:val="none"/>
        </w:rPr>
        <w:t>支吊架预埋铁，自制加工尺寸应大于</w:t>
      </w:r>
      <w:r>
        <w:rPr>
          <w:highlight w:val="none"/>
        </w:rPr>
        <w:t>120mmx660mm</w:t>
      </w:r>
      <w:r>
        <w:rPr>
          <w:rFonts w:hint="eastAsia"/>
          <w:highlight w:val="none"/>
        </w:rPr>
        <w:t>，其锚固圆钢直径不应小于</w:t>
      </w:r>
      <w:r>
        <w:rPr>
          <w:highlight w:val="none"/>
        </w:rPr>
        <w:t>5mm，配合土建结构施工，拆模后，预埋铁的平面应明露或吃进2~3mm</w:t>
      </w:r>
      <w:r>
        <w:rPr>
          <w:rFonts w:hint="eastAsia"/>
          <w:highlight w:val="none"/>
        </w:rPr>
        <w:t>，再用肩钢或角钢焊接固定。</w:t>
      </w:r>
    </w:p>
    <w:p w14:paraId="17F97880">
      <w:pPr>
        <w:numPr>
          <w:ilvl w:val="1"/>
          <w:numId w:val="135"/>
        </w:numPr>
        <w:ind w:firstLine="480"/>
        <w:rPr>
          <w:rFonts w:hint="eastAsia"/>
          <w:highlight w:val="none"/>
        </w:rPr>
      </w:pPr>
      <w:r>
        <w:rPr>
          <w:rFonts w:hint="eastAsia"/>
          <w:highlight w:val="none"/>
        </w:rPr>
        <w:t>钢结构上可将支吊架直接焊接在钢结构固定位置处，也可用万能吊具进行安装。</w:t>
      </w:r>
    </w:p>
    <w:p w14:paraId="58908391">
      <w:pPr>
        <w:numPr>
          <w:ilvl w:val="1"/>
          <w:numId w:val="135"/>
        </w:numPr>
        <w:ind w:firstLine="480"/>
        <w:rPr>
          <w:rFonts w:hint="eastAsia"/>
          <w:highlight w:val="none"/>
        </w:rPr>
      </w:pPr>
      <w:r>
        <w:rPr>
          <w:rFonts w:hint="eastAsia"/>
          <w:highlight w:val="none"/>
        </w:rPr>
        <w:t>用膨胀螺栓固定，应根据承载选择相应的螺栓及钻头，所选钻头应大于套管长度；适用于</w:t>
      </w:r>
      <w:r>
        <w:rPr>
          <w:highlight w:val="none"/>
        </w:rPr>
        <w:t>CS以上混凝土构件及实心砖墙上，不准在空心砖墙固定；打孔的深度应以将套管全部埋人后，表面平齐为宜；避免损伤螺栓的丝扣。</w:t>
      </w:r>
    </w:p>
    <w:p w14:paraId="3B142CF0">
      <w:pPr>
        <w:numPr>
          <w:ilvl w:val="1"/>
          <w:numId w:val="135"/>
        </w:numPr>
        <w:ind w:firstLine="480"/>
        <w:rPr>
          <w:rFonts w:hint="eastAsia"/>
          <w:highlight w:val="none"/>
        </w:rPr>
      </w:pPr>
      <w:r>
        <w:rPr>
          <w:rFonts w:hint="eastAsia"/>
          <w:highlight w:val="none"/>
        </w:rPr>
        <w:t>避免使用木楔子固定，桥架、线槽敷设完毕后应作好标识，并对于不同系统的桥架、线槽用不同颜色的油漆进行区分。</w:t>
      </w:r>
    </w:p>
    <w:p w14:paraId="100CD62C">
      <w:pPr>
        <w:numPr>
          <w:ilvl w:val="1"/>
          <w:numId w:val="135"/>
        </w:numPr>
        <w:ind w:firstLine="480"/>
        <w:rPr>
          <w:rFonts w:hint="eastAsia"/>
          <w:highlight w:val="none"/>
        </w:rPr>
      </w:pPr>
      <w:r>
        <w:rPr>
          <w:rFonts w:hint="eastAsia"/>
          <w:highlight w:val="none"/>
        </w:rPr>
        <w:t>桥架水平敷设时应按荷载曲线选取最佳跨距及进行支撑，跨距一般为</w:t>
      </w:r>
      <w:r>
        <w:rPr>
          <w:highlight w:val="none"/>
        </w:rPr>
        <w:t xml:space="preserve"> 1.5~3m</w:t>
      </w:r>
      <w:r>
        <w:rPr>
          <w:rFonts w:hint="eastAsia"/>
          <w:highlight w:val="none"/>
        </w:rPr>
        <w:t>，垂直敷设时，固定点间距不大于</w:t>
      </w:r>
      <w:r>
        <w:rPr>
          <w:highlight w:val="none"/>
        </w:rPr>
        <w:t>2m</w:t>
      </w:r>
      <w:r>
        <w:rPr>
          <w:rFonts w:hint="eastAsia"/>
          <w:highlight w:val="none"/>
        </w:rPr>
        <w:t>，支架与支架应安装牢固，朝向应一致，间距均匀，相同场所的支吊架位置应一致。</w:t>
      </w:r>
    </w:p>
    <w:p w14:paraId="57810770">
      <w:pPr>
        <w:numPr>
          <w:ilvl w:val="1"/>
          <w:numId w:val="135"/>
        </w:numPr>
        <w:ind w:firstLine="480"/>
        <w:rPr>
          <w:rFonts w:hint="eastAsia"/>
          <w:highlight w:val="none"/>
        </w:rPr>
      </w:pPr>
      <w:r>
        <w:rPr>
          <w:rFonts w:hint="eastAsia"/>
          <w:highlight w:val="none"/>
        </w:rPr>
        <w:t>在进出接线盒、箱、柜、拐角、转弯和变形缝及钉子接头的三端</w:t>
      </w:r>
      <w:r>
        <w:rPr>
          <w:highlight w:val="none"/>
        </w:rPr>
        <w:t>500mm</w:t>
      </w:r>
      <w:r>
        <w:rPr>
          <w:rFonts w:hint="eastAsia"/>
          <w:highlight w:val="none"/>
        </w:rPr>
        <w:t>内设固定支持点。</w:t>
      </w:r>
    </w:p>
    <w:p w14:paraId="0C072909">
      <w:pPr>
        <w:numPr>
          <w:ilvl w:val="1"/>
          <w:numId w:val="135"/>
        </w:numPr>
        <w:ind w:firstLine="480"/>
        <w:rPr>
          <w:rFonts w:hint="eastAsia"/>
          <w:highlight w:val="none"/>
        </w:rPr>
      </w:pPr>
      <w:r>
        <w:rPr>
          <w:rFonts w:hint="eastAsia"/>
          <w:highlight w:val="none"/>
        </w:rPr>
        <w:t>在水平敷设时，支吊架应与桥架底面贴平没有缝隙，无悬空现象，以保证各支吊架均匀受力，至少每隔一个支架与桥架本体固定一次。</w:t>
      </w:r>
    </w:p>
    <w:p w14:paraId="09BDED7A">
      <w:pPr>
        <w:numPr>
          <w:ilvl w:val="1"/>
          <w:numId w:val="135"/>
        </w:numPr>
        <w:ind w:firstLine="480"/>
        <w:rPr>
          <w:rFonts w:hint="eastAsia"/>
          <w:highlight w:val="none"/>
        </w:rPr>
      </w:pPr>
      <w:r>
        <w:rPr>
          <w:rFonts w:hint="eastAsia"/>
          <w:highlight w:val="none"/>
        </w:rPr>
        <w:t>在非直线段的支吊架当半径不大于</w:t>
      </w:r>
      <w:r>
        <w:rPr>
          <w:highlight w:val="none"/>
        </w:rPr>
        <w:t>300mm</w:t>
      </w:r>
      <w:r>
        <w:rPr>
          <w:rFonts w:hint="eastAsia"/>
          <w:highlight w:val="none"/>
        </w:rPr>
        <w:t>时，应在距非直线段与直线段结合处</w:t>
      </w:r>
      <w:r>
        <w:rPr>
          <w:highlight w:val="none"/>
        </w:rPr>
        <w:t>300~600mm</w:t>
      </w:r>
      <w:r>
        <w:rPr>
          <w:rFonts w:hint="eastAsia"/>
          <w:highlight w:val="none"/>
        </w:rPr>
        <w:t>的直线段侧设置一个支吊架；当半径大于</w:t>
      </w:r>
      <w:r>
        <w:rPr>
          <w:highlight w:val="none"/>
        </w:rPr>
        <w:t>300mm</w:t>
      </w:r>
      <w:r>
        <w:rPr>
          <w:rFonts w:hint="eastAsia"/>
          <w:highlight w:val="none"/>
        </w:rPr>
        <w:t>时，除应按上则要求外，在非直线段中部还应增设一个支、吊架。</w:t>
      </w:r>
    </w:p>
    <w:p w14:paraId="564C256E">
      <w:pPr>
        <w:numPr>
          <w:ilvl w:val="1"/>
          <w:numId w:val="135"/>
        </w:numPr>
        <w:ind w:firstLine="480"/>
        <w:rPr>
          <w:rFonts w:hint="eastAsia"/>
          <w:highlight w:val="none"/>
        </w:rPr>
      </w:pPr>
      <w:r>
        <w:rPr>
          <w:rFonts w:hint="eastAsia"/>
          <w:highlight w:val="none"/>
        </w:rPr>
        <w:t>桥架的接口应平整，接缝处应紧密平直，槽板盖上后应平整，无翘角。</w:t>
      </w:r>
    </w:p>
    <w:p w14:paraId="4244CB12">
      <w:pPr>
        <w:numPr>
          <w:ilvl w:val="1"/>
          <w:numId w:val="135"/>
        </w:numPr>
        <w:ind w:firstLine="480"/>
        <w:rPr>
          <w:rFonts w:hint="eastAsia"/>
          <w:highlight w:val="none"/>
        </w:rPr>
      </w:pPr>
      <w:r>
        <w:rPr>
          <w:rFonts w:hint="eastAsia"/>
          <w:highlight w:val="none"/>
        </w:rPr>
        <w:t>桥架进箱、盒、柜时，进线和出线口等处应采取抱角连接，并用螺丝紧固。</w:t>
      </w:r>
    </w:p>
    <w:p w14:paraId="642F50C5">
      <w:pPr>
        <w:numPr>
          <w:ilvl w:val="1"/>
          <w:numId w:val="135"/>
        </w:numPr>
        <w:ind w:firstLine="480"/>
        <w:rPr>
          <w:rFonts w:hint="eastAsia"/>
          <w:highlight w:val="none"/>
        </w:rPr>
      </w:pPr>
      <w:r>
        <w:rPr>
          <w:rFonts w:hint="eastAsia"/>
          <w:highlight w:val="none"/>
        </w:rPr>
        <w:t>线槽连接应采用连接板，用垫圈、弹簧垫、螺母紧固，螺母必须在线槽外侧。</w:t>
      </w:r>
    </w:p>
    <w:p w14:paraId="063A909A">
      <w:pPr>
        <w:numPr>
          <w:ilvl w:val="1"/>
          <w:numId w:val="135"/>
        </w:numPr>
        <w:ind w:firstLine="480"/>
        <w:rPr>
          <w:rFonts w:hint="eastAsia"/>
          <w:highlight w:val="none"/>
        </w:rPr>
      </w:pPr>
      <w:r>
        <w:rPr>
          <w:rFonts w:hint="eastAsia"/>
          <w:highlight w:val="none"/>
        </w:rPr>
        <w:t>桥架在交叉、转弯、丁字连接时，应尽量使用厂家配套生产单通、二通、三通、四通或平面二通、平面三通等进行变通连接。</w:t>
      </w:r>
    </w:p>
    <w:p w14:paraId="0FCA212A">
      <w:pPr>
        <w:numPr>
          <w:ilvl w:val="1"/>
          <w:numId w:val="135"/>
        </w:numPr>
        <w:ind w:firstLine="480"/>
        <w:rPr>
          <w:rFonts w:hint="eastAsia"/>
          <w:highlight w:val="none"/>
        </w:rPr>
      </w:pPr>
      <w:r>
        <w:rPr>
          <w:rFonts w:hint="eastAsia"/>
          <w:highlight w:val="none"/>
        </w:rPr>
        <w:t>金属线槽吊架安装：间距均匀合理；吊杆顺直无内（外）八字；镀锌或经过防腐处理；吊杆长度一致。</w:t>
      </w:r>
    </w:p>
    <w:p w14:paraId="58670B18">
      <w:pPr>
        <w:numPr>
          <w:ilvl w:val="1"/>
          <w:numId w:val="135"/>
        </w:numPr>
        <w:ind w:firstLine="480"/>
        <w:rPr>
          <w:rFonts w:hint="eastAsia"/>
          <w:highlight w:val="none"/>
        </w:rPr>
      </w:pPr>
      <w:r>
        <w:rPr>
          <w:rFonts w:hint="eastAsia"/>
          <w:highlight w:val="none"/>
        </w:rPr>
        <w:t>如空间尺寸不允许，要自制弯通时要使用和桥架本体相同规格的材料；在拐角处要保留斜坡，以保护线缆；拼接的弯通、拐弯应保证连接平顺，空间布置合理；在采取焊接法连接时，要保证焊接面积，不能只是数点焊接，应保证整个焊口严密，焊完后，刷防锈漆和与桥架本体颜色一致的面漆；螺丝连接法只适于镀锌桥架，每段连接板间至少有两处螺丝做可靠连接。</w:t>
      </w:r>
    </w:p>
    <w:p w14:paraId="04217276">
      <w:pPr>
        <w:numPr>
          <w:ilvl w:val="1"/>
          <w:numId w:val="135"/>
        </w:numPr>
        <w:ind w:firstLine="480"/>
        <w:rPr>
          <w:rFonts w:hint="eastAsia"/>
          <w:highlight w:val="none"/>
        </w:rPr>
      </w:pPr>
      <w:r>
        <w:rPr>
          <w:rFonts w:hint="eastAsia"/>
          <w:highlight w:val="none"/>
        </w:rPr>
        <w:t>从桥架上分支的线管不得用电气焊开孔，管子要套丝用锁母于桥架固定，在距开孔处</w:t>
      </w:r>
      <w:r>
        <w:rPr>
          <w:highlight w:val="none"/>
        </w:rPr>
        <w:t>300mm</w:t>
      </w:r>
      <w:r>
        <w:rPr>
          <w:rFonts w:hint="eastAsia"/>
          <w:highlight w:val="none"/>
        </w:rPr>
        <w:t>内管子应加一道支架固定。</w:t>
      </w:r>
    </w:p>
    <w:p w14:paraId="1230CB13">
      <w:pPr>
        <w:numPr>
          <w:ilvl w:val="1"/>
          <w:numId w:val="135"/>
        </w:numPr>
        <w:ind w:firstLine="480"/>
        <w:rPr>
          <w:rFonts w:hint="eastAsia"/>
          <w:highlight w:val="none"/>
        </w:rPr>
      </w:pPr>
      <w:r>
        <w:rPr>
          <w:rFonts w:hint="eastAsia"/>
          <w:highlight w:val="none"/>
        </w:rPr>
        <w:t>桥架的连接处不得设置于过楼板、墙壁处，不得设置于支吊架支撑处，必须离支吊架</w:t>
      </w:r>
      <w:r>
        <w:rPr>
          <w:highlight w:val="none"/>
        </w:rPr>
        <w:t>100mm</w:t>
      </w:r>
      <w:r>
        <w:rPr>
          <w:rFonts w:hint="eastAsia"/>
          <w:highlight w:val="none"/>
        </w:rPr>
        <w:t>以上。</w:t>
      </w:r>
    </w:p>
    <w:p w14:paraId="74EB3FD6">
      <w:pPr>
        <w:numPr>
          <w:ilvl w:val="1"/>
          <w:numId w:val="135"/>
        </w:numPr>
        <w:ind w:firstLine="480"/>
        <w:rPr>
          <w:rFonts w:hint="eastAsia"/>
          <w:highlight w:val="none"/>
        </w:rPr>
      </w:pPr>
      <w:r>
        <w:rPr>
          <w:rFonts w:hint="eastAsia"/>
          <w:highlight w:val="none"/>
        </w:rPr>
        <w:t>桥架经过建筑物的变形缝</w:t>
      </w:r>
      <w:r>
        <w:rPr>
          <w:highlight w:val="none"/>
        </w:rPr>
        <w:t xml:space="preserve"> </w:t>
      </w:r>
      <w:r>
        <w:rPr>
          <w:rFonts w:hint="eastAsia"/>
          <w:highlight w:val="none"/>
        </w:rPr>
        <w:t>师缩缝、沉降缝）时，线槽本身应断开，断开距离以</w:t>
      </w:r>
      <w:r>
        <w:rPr>
          <w:highlight w:val="none"/>
        </w:rPr>
        <w:t>100mm</w:t>
      </w:r>
      <w:r>
        <w:rPr>
          <w:rFonts w:hint="eastAsia"/>
          <w:highlight w:val="none"/>
        </w:rPr>
        <w:t>为宜，槽内用连接板搭接，不需固定，保护地线和槽内导线应留有补偿余量，桥架直线段每段</w:t>
      </w:r>
      <w:r>
        <w:rPr>
          <w:highlight w:val="none"/>
        </w:rPr>
        <w:t>50mm</w:t>
      </w:r>
      <w:r>
        <w:rPr>
          <w:rFonts w:hint="eastAsia"/>
          <w:highlight w:val="none"/>
        </w:rPr>
        <w:t>应留伸缩缝</w:t>
      </w:r>
      <w:r>
        <w:rPr>
          <w:highlight w:val="none"/>
        </w:rPr>
        <w:t>20~30mm</w:t>
      </w:r>
      <w:r>
        <w:rPr>
          <w:rFonts w:hint="eastAsia"/>
          <w:highlight w:val="none"/>
        </w:rPr>
        <w:t>。</w:t>
      </w:r>
    </w:p>
    <w:p w14:paraId="7FFCEDD3">
      <w:pPr>
        <w:numPr>
          <w:ilvl w:val="1"/>
          <w:numId w:val="133"/>
        </w:numPr>
        <w:ind w:firstLine="480"/>
        <w:rPr>
          <w:rFonts w:hint="eastAsia"/>
          <w:highlight w:val="none"/>
        </w:rPr>
      </w:pPr>
      <w:r>
        <w:rPr>
          <w:rFonts w:hint="eastAsia"/>
          <w:highlight w:val="none"/>
        </w:rPr>
        <w:t>桥架的接地</w:t>
      </w:r>
    </w:p>
    <w:p w14:paraId="253CA5E0">
      <w:pPr>
        <w:numPr>
          <w:ilvl w:val="1"/>
          <w:numId w:val="136"/>
        </w:numPr>
        <w:ind w:firstLine="480"/>
        <w:rPr>
          <w:rFonts w:hint="eastAsia"/>
          <w:highlight w:val="none"/>
        </w:rPr>
      </w:pPr>
      <w:r>
        <w:rPr>
          <w:rFonts w:hint="eastAsia"/>
          <w:highlight w:val="none"/>
        </w:rPr>
        <w:t>当利用桥架本体系统构成回路时，连接接头处的电阻不得大于</w:t>
      </w:r>
      <w:r>
        <w:rPr>
          <w:highlight w:val="none"/>
        </w:rPr>
        <w:t>0.00033</w:t>
      </w:r>
      <w:r>
        <w:rPr>
          <w:rFonts w:hint="eastAsia"/>
          <w:highlight w:val="none"/>
        </w:rPr>
        <w:t>Ω。</w:t>
      </w:r>
    </w:p>
    <w:p w14:paraId="22B43D58">
      <w:pPr>
        <w:numPr>
          <w:ilvl w:val="1"/>
          <w:numId w:val="136"/>
        </w:numPr>
        <w:ind w:firstLine="480"/>
        <w:rPr>
          <w:rFonts w:hint="eastAsia"/>
          <w:highlight w:val="none"/>
        </w:rPr>
      </w:pPr>
      <w:r>
        <w:rPr>
          <w:rFonts w:hint="eastAsia"/>
          <w:highlight w:val="none"/>
        </w:rPr>
        <w:t>对镀锌、铝制的桥架，本体的连接片连接可作为接地连接，但必须保证连接牢固，配套的螺丝、平垫、弹簧垫齐全，连接处无锈蚀现象和砂浆、渣土等污染。</w:t>
      </w:r>
    </w:p>
    <w:p w14:paraId="77A230EE">
      <w:pPr>
        <w:numPr>
          <w:ilvl w:val="1"/>
          <w:numId w:val="136"/>
        </w:numPr>
        <w:ind w:firstLine="480"/>
        <w:rPr>
          <w:rFonts w:hint="eastAsia"/>
          <w:highlight w:val="none"/>
        </w:rPr>
      </w:pPr>
      <w:r>
        <w:rPr>
          <w:rFonts w:hint="eastAsia"/>
          <w:highlight w:val="none"/>
        </w:rPr>
        <w:t>对非镀锌制品，除本体连接外，应在其接地螺丝（螺丝必须在加工时就与桥架焊接成一体）上用编织软铜线或铜线连接，导线截面积选择应符合，此连接必须在每一段都连接。尤其在拼接处的非直线段Ｌ更必须做到位，接地线宜做在桥架的同一侧，以便于检查，避免遗漏。</w:t>
      </w:r>
    </w:p>
    <w:p w14:paraId="243C241B">
      <w:pPr>
        <w:numPr>
          <w:ilvl w:val="1"/>
          <w:numId w:val="136"/>
        </w:numPr>
        <w:ind w:firstLine="480"/>
        <w:rPr>
          <w:rFonts w:hint="eastAsia"/>
          <w:highlight w:val="none"/>
        </w:rPr>
      </w:pPr>
      <w:r>
        <w:rPr>
          <w:rFonts w:hint="eastAsia"/>
          <w:highlight w:val="none"/>
        </w:rPr>
        <w:t>沿桥架全长另敷设接地干线时，每段（包括非直线段）托盘、梯架应至少有一点与接地干线可靠连接。</w:t>
      </w:r>
    </w:p>
    <w:p w14:paraId="3241ED36">
      <w:pPr>
        <w:numPr>
          <w:ilvl w:val="1"/>
          <w:numId w:val="136"/>
        </w:numPr>
        <w:ind w:firstLine="480"/>
        <w:rPr>
          <w:rFonts w:hint="eastAsia"/>
          <w:highlight w:val="none"/>
        </w:rPr>
      </w:pPr>
      <w:r>
        <w:rPr>
          <w:rFonts w:hint="eastAsia"/>
          <w:highlight w:val="none"/>
        </w:rPr>
        <w:t>桥架应与配电箱、柜，分支管线、用电气具、设备做好接地，以保证用电系统接地在此环节中的可靠性、连续性。</w:t>
      </w:r>
    </w:p>
    <w:p w14:paraId="2635FC72">
      <w:pPr>
        <w:numPr>
          <w:ilvl w:val="1"/>
          <w:numId w:val="136"/>
        </w:numPr>
        <w:ind w:firstLine="480"/>
        <w:rPr>
          <w:rFonts w:hint="eastAsia"/>
          <w:highlight w:val="none"/>
        </w:rPr>
      </w:pPr>
      <w:r>
        <w:rPr>
          <w:rFonts w:hint="eastAsia"/>
          <w:highlight w:val="none"/>
        </w:rPr>
        <w:t>桥架过墙壁、楼板处、不应将空洞抹死，而应作如下处理：土建收口方正，在桥架四周留一定空间，往空间内填充防火枕或防火堵料，在墙壁两侧，各用加工方正、尺寸合适一致、油漆均匀的盖板封盖住。</w:t>
      </w:r>
    </w:p>
    <w:p w14:paraId="0022745D">
      <w:pPr>
        <w:pStyle w:val="5"/>
        <w:numPr>
          <w:ilvl w:val="3"/>
          <w:numId w:val="13"/>
        </w:numPr>
        <w:rPr>
          <w:rFonts w:hint="eastAsia"/>
          <w:highlight w:val="none"/>
        </w:rPr>
      </w:pPr>
      <w:r>
        <w:rPr>
          <w:highlight w:val="none"/>
        </w:rPr>
        <w:t>变压器安装</w:t>
      </w:r>
    </w:p>
    <w:p w14:paraId="44D6CA2F">
      <w:pPr>
        <w:numPr>
          <w:ilvl w:val="1"/>
          <w:numId w:val="137"/>
        </w:numPr>
        <w:ind w:firstLine="480"/>
        <w:rPr>
          <w:rFonts w:hint="eastAsia"/>
          <w:highlight w:val="none"/>
        </w:rPr>
      </w:pPr>
      <w:r>
        <w:rPr>
          <w:highlight w:val="none"/>
        </w:rPr>
        <w:t>变压器箱体、干式变压器的支架、基础型钢及外壳应分别单独与保护导体可靠连接，紧固件及防松零件齐全</w:t>
      </w:r>
      <w:r>
        <w:rPr>
          <w:rFonts w:hint="eastAsia"/>
          <w:highlight w:val="none"/>
        </w:rPr>
        <w:t>。</w:t>
      </w:r>
    </w:p>
    <w:p w14:paraId="7F1741F7">
      <w:pPr>
        <w:numPr>
          <w:ilvl w:val="1"/>
          <w:numId w:val="137"/>
        </w:numPr>
        <w:ind w:firstLine="480"/>
        <w:rPr>
          <w:rFonts w:hint="eastAsia"/>
          <w:highlight w:val="none"/>
        </w:rPr>
      </w:pPr>
      <w:r>
        <w:rPr>
          <w:highlight w:val="none"/>
        </w:rPr>
        <w:t>配电间和静止补偿装置栅栏门应采用裸编织铜线与保护导体可靠连接，其截面积不应小于4mm2</w:t>
      </w:r>
      <w:r>
        <w:rPr>
          <w:rFonts w:hint="eastAsia"/>
          <w:highlight w:val="none"/>
        </w:rPr>
        <w:t>。</w:t>
      </w:r>
    </w:p>
    <w:p w14:paraId="3A4AA79A">
      <w:pPr>
        <w:numPr>
          <w:ilvl w:val="1"/>
          <w:numId w:val="137"/>
        </w:numPr>
        <w:ind w:firstLine="480"/>
        <w:rPr>
          <w:rFonts w:hint="eastAsia"/>
          <w:highlight w:val="none"/>
        </w:rPr>
      </w:pPr>
      <w:r>
        <w:rPr>
          <w:highlight w:val="none"/>
        </w:rPr>
        <w:t>变压器外壳，距门不应小于1m，距墙不应小于0.8m。</w:t>
      </w:r>
    </w:p>
    <w:p w14:paraId="5D0C96FC">
      <w:pPr>
        <w:pStyle w:val="5"/>
        <w:numPr>
          <w:ilvl w:val="3"/>
          <w:numId w:val="13"/>
        </w:numPr>
        <w:rPr>
          <w:rFonts w:hint="eastAsia"/>
          <w:highlight w:val="none"/>
        </w:rPr>
      </w:pPr>
      <w:r>
        <w:rPr>
          <w:rFonts w:hint="eastAsia"/>
          <w:highlight w:val="none"/>
        </w:rPr>
        <w:t>灯具、开关、插座安装</w:t>
      </w:r>
    </w:p>
    <w:p w14:paraId="47092BCC">
      <w:pPr>
        <w:numPr>
          <w:ilvl w:val="1"/>
          <w:numId w:val="138"/>
        </w:numPr>
        <w:ind w:firstLine="480"/>
        <w:rPr>
          <w:rFonts w:hint="eastAsia"/>
          <w:highlight w:val="none"/>
        </w:rPr>
      </w:pPr>
      <w:r>
        <w:rPr>
          <w:rFonts w:hint="eastAsia"/>
          <w:highlight w:val="none"/>
        </w:rPr>
        <w:t>灯具安装</w:t>
      </w:r>
    </w:p>
    <w:p w14:paraId="45E1FA50">
      <w:pPr>
        <w:ind w:firstLine="480"/>
        <w:rPr>
          <w:rFonts w:hint="eastAsia" w:asciiTheme="minorEastAsia" w:hAnsiTheme="minorEastAsia"/>
          <w:bCs/>
          <w:highlight w:val="none"/>
        </w:rPr>
      </w:pPr>
      <w:r>
        <w:rPr>
          <w:rFonts w:hint="eastAsia"/>
          <w:highlight w:val="none"/>
        </w:rPr>
        <w:t>灯具安装前，必须检查灯具型号及外形有无破损，然后根据图纸上的尺寸对号安装。灯具安装必须牢固端正，位置正确，器具清洁干净，吊杆垂直。导线进入灯具的绝缘保护良好，留有适当余量，连接牢固、紧密，不伤线芯，灯具成排安装的中心线允许偏差</w:t>
      </w:r>
      <w:r>
        <w:rPr>
          <w:highlight w:val="none"/>
        </w:rPr>
        <w:t>5mm。灯具安装后不得再次喷浆，以防器具污染。</w:t>
      </w:r>
    </w:p>
    <w:p w14:paraId="094CBAAA">
      <w:pPr>
        <w:numPr>
          <w:ilvl w:val="1"/>
          <w:numId w:val="138"/>
        </w:numPr>
        <w:ind w:firstLine="480"/>
        <w:rPr>
          <w:rFonts w:hint="eastAsia"/>
          <w:highlight w:val="none"/>
        </w:rPr>
      </w:pPr>
      <w:r>
        <w:rPr>
          <w:rFonts w:hint="eastAsia"/>
          <w:highlight w:val="none"/>
        </w:rPr>
        <w:t>开关、插座安装</w:t>
      </w:r>
    </w:p>
    <w:p w14:paraId="5FA1B8F0">
      <w:pPr>
        <w:numPr>
          <w:ilvl w:val="0"/>
          <w:numId w:val="139"/>
        </w:numPr>
        <w:ind w:firstLine="480"/>
        <w:rPr>
          <w:rFonts w:hint="eastAsia"/>
          <w:highlight w:val="none"/>
        </w:rPr>
      </w:pPr>
      <w:r>
        <w:rPr>
          <w:rFonts w:hint="eastAsia"/>
          <w:highlight w:val="none"/>
        </w:rPr>
        <w:t>插座及开关等的安装须格外注意观感质量，标高位置要正确可靠，接线盒子内清洁、无杂物，表面清洁、不变形，开关盖板紧贴建筑物的表面。</w:t>
      </w:r>
    </w:p>
    <w:p w14:paraId="5A40BD55">
      <w:pPr>
        <w:numPr>
          <w:ilvl w:val="0"/>
          <w:numId w:val="139"/>
        </w:numPr>
        <w:ind w:firstLine="480"/>
        <w:rPr>
          <w:rFonts w:hint="eastAsia"/>
          <w:highlight w:val="none"/>
        </w:rPr>
      </w:pPr>
      <w:r>
        <w:rPr>
          <w:rFonts w:hint="eastAsia"/>
          <w:highlight w:val="none"/>
        </w:rPr>
        <w:t>开关、插座的底板和暗装开关、插座的面板并列安装时，开关、插座的高度差应小于</w:t>
      </w:r>
      <w:r>
        <w:rPr>
          <w:highlight w:val="none"/>
        </w:rPr>
        <w:t>0.5mm，面板的垂直度小于0.5mm。同一场合的开关或插座高度差小于5mm。</w:t>
      </w:r>
    </w:p>
    <w:p w14:paraId="00AC402C">
      <w:pPr>
        <w:numPr>
          <w:ilvl w:val="0"/>
          <w:numId w:val="139"/>
        </w:numPr>
        <w:ind w:firstLine="480"/>
        <w:rPr>
          <w:rFonts w:hint="eastAsia"/>
          <w:highlight w:val="none"/>
        </w:rPr>
      </w:pPr>
      <w:r>
        <w:rPr>
          <w:rFonts w:hint="eastAsia"/>
          <w:highlight w:val="none"/>
        </w:rPr>
        <w:t>接线时，应注意区分相线、零线及保护地线，不得混乱，</w:t>
      </w:r>
      <w:r>
        <w:rPr>
          <w:highlight w:val="none"/>
        </w:rPr>
        <w:t>注意的是零线与保护接地线切不可错接或接为一体</w:t>
      </w:r>
      <w:r>
        <w:rPr>
          <w:rFonts w:hint="eastAsia"/>
          <w:highlight w:val="none"/>
        </w:rPr>
        <w:t>，</w:t>
      </w:r>
      <w:r>
        <w:rPr>
          <w:highlight w:val="none"/>
        </w:rPr>
        <w:t>其中地线采用黄绿相间的双色线</w:t>
      </w:r>
      <w:r>
        <w:rPr>
          <w:rFonts w:hint="eastAsia"/>
          <w:highlight w:val="none"/>
        </w:rPr>
        <w:t>。相线经开关关断。</w:t>
      </w:r>
    </w:p>
    <w:p w14:paraId="6B2686BD">
      <w:pPr>
        <w:numPr>
          <w:ilvl w:val="0"/>
          <w:numId w:val="139"/>
        </w:numPr>
        <w:ind w:firstLine="480"/>
        <w:rPr>
          <w:rFonts w:hint="eastAsia"/>
          <w:highlight w:val="none"/>
        </w:rPr>
      </w:pPr>
      <w:r>
        <w:rPr>
          <w:rFonts w:hint="eastAsia"/>
          <w:highlight w:val="none"/>
        </w:rPr>
        <w:t>单相两孔插座接线应注意“左零右火、下零上火”。</w:t>
      </w:r>
      <w:r>
        <w:rPr>
          <w:highlight w:val="none"/>
        </w:rPr>
        <w:t>单相三</w:t>
      </w:r>
      <w:r>
        <w:rPr>
          <w:rFonts w:hint="eastAsia"/>
          <w:highlight w:val="none"/>
        </w:rPr>
        <w:t>孔</w:t>
      </w:r>
      <w:r>
        <w:rPr>
          <w:highlight w:val="none"/>
        </w:rPr>
        <w:t>插座的接线要求是：上端的接地孔眼一定要与接地线接牢、接实、接对，绝不能不接，余下的两孔眼按左零右火的规则接线</w:t>
      </w:r>
      <w:r>
        <w:rPr>
          <w:rFonts w:hint="eastAsia"/>
          <w:highlight w:val="none"/>
        </w:rPr>
        <w:t>。插座的接地端子不与零线端子连接。同一场所的三相插座，接线的相序应一致。</w:t>
      </w:r>
    </w:p>
    <w:p w14:paraId="400BE7B0">
      <w:pPr>
        <w:numPr>
          <w:ilvl w:val="0"/>
          <w:numId w:val="139"/>
        </w:numPr>
        <w:ind w:firstLine="480"/>
        <w:rPr>
          <w:rFonts w:hint="eastAsia"/>
          <w:highlight w:val="none"/>
        </w:rPr>
      </w:pPr>
      <w:r>
        <w:rPr>
          <w:highlight w:val="none"/>
        </w:rPr>
        <w:t>接线时，要预留适当的余量电线在线盒内</w:t>
      </w:r>
      <w:r>
        <w:rPr>
          <w:rFonts w:hint="eastAsia"/>
          <w:highlight w:val="none"/>
        </w:rPr>
        <w:t>。</w:t>
      </w:r>
      <w:r>
        <w:rPr>
          <w:highlight w:val="none"/>
        </w:rPr>
        <w:t>三根及以上导线连接时，将连接导线绝缘层并齐合拢，在距绝缘层约15mm处用其中一根线芯，在其连接端缠绕不少于5圈后剪断，把余头并齐折回压在缠绕线上。两根导线连接时，将连接导线绝缘台并齐合拢，在距绝缘层约15mm处用两根线芯捻绞不少于5圈后，留余线适当长后剪断折回压紧</w:t>
      </w:r>
      <w:r>
        <w:rPr>
          <w:rFonts w:hint="eastAsia"/>
          <w:highlight w:val="none"/>
        </w:rPr>
        <w:t>。</w:t>
      </w:r>
    </w:p>
    <w:p w14:paraId="23C42707">
      <w:pPr>
        <w:pStyle w:val="5"/>
        <w:numPr>
          <w:ilvl w:val="3"/>
          <w:numId w:val="13"/>
        </w:numPr>
        <w:rPr>
          <w:rFonts w:hint="eastAsia"/>
          <w:highlight w:val="none"/>
        </w:rPr>
      </w:pPr>
      <w:r>
        <w:rPr>
          <w:rFonts w:hint="eastAsia"/>
          <w:highlight w:val="none"/>
        </w:rPr>
        <w:t>配电柜</w:t>
      </w:r>
      <w:r>
        <w:rPr>
          <w:highlight w:val="none"/>
        </w:rPr>
        <w:t>/箱安装</w:t>
      </w:r>
    </w:p>
    <w:p w14:paraId="3719F416">
      <w:pPr>
        <w:numPr>
          <w:ilvl w:val="1"/>
          <w:numId w:val="140"/>
        </w:numPr>
        <w:ind w:firstLine="480"/>
        <w:rPr>
          <w:rFonts w:hint="eastAsia"/>
          <w:highlight w:val="none"/>
        </w:rPr>
      </w:pPr>
      <w:r>
        <w:rPr>
          <w:rFonts w:hint="eastAsia"/>
          <w:highlight w:val="none"/>
        </w:rPr>
        <w:t>在配电柜</w:t>
      </w:r>
      <w:r>
        <w:rPr>
          <w:highlight w:val="none"/>
        </w:rPr>
        <w:t>/箱安装前，应具备墙面、屋顶喷浆完，无漏水，门窗玻璃安装完，门上锁等条件。首先安装基础型钢，基础型钢安装后，顶部宜高出抹平地坪地面10mm，手车柜基础应与地坪相平，基础槽钢应与地线可靠连接。柜在找平找正后，柜体与基础型钢固定，然后柜体与柜体、柜体与侧档板均用镀锌螺丝连接，盘柜接地应用6mm2</w:t>
      </w:r>
      <w:r>
        <w:rPr>
          <w:rFonts w:hint="eastAsia"/>
          <w:highlight w:val="none"/>
        </w:rPr>
        <w:t>铜绞线与基础型钢可靠连接。</w:t>
      </w:r>
    </w:p>
    <w:p w14:paraId="79B5C0D6">
      <w:pPr>
        <w:numPr>
          <w:ilvl w:val="1"/>
          <w:numId w:val="140"/>
        </w:numPr>
        <w:ind w:firstLine="480"/>
        <w:rPr>
          <w:rFonts w:hint="eastAsia"/>
          <w:highlight w:val="none"/>
        </w:rPr>
      </w:pPr>
      <w:r>
        <w:rPr>
          <w:rFonts w:hint="eastAsia"/>
          <w:highlight w:val="none"/>
        </w:rPr>
        <w:t>按照电气设备平面图，确定好配电箱的具体安装位置，要保证固定牢固可靠。配电箱安装的垂直偏差不应大于</w:t>
      </w:r>
      <w:r>
        <w:rPr>
          <w:highlight w:val="none"/>
        </w:rPr>
        <w:t>3mm。配电箱的箱体及电器的金属外壳，均应做接地保护。安装结束后，应保证箱体内外清洁、箱盖开启灵活、箱内接线整齐、回路编号齐全正确</w:t>
      </w:r>
      <w:r>
        <w:rPr>
          <w:rFonts w:hint="eastAsia"/>
          <w:highlight w:val="none"/>
        </w:rPr>
        <w:t>。</w:t>
      </w:r>
    </w:p>
    <w:p w14:paraId="4CB3D192">
      <w:pPr>
        <w:numPr>
          <w:ilvl w:val="1"/>
          <w:numId w:val="140"/>
        </w:numPr>
        <w:ind w:firstLine="480"/>
        <w:rPr>
          <w:rFonts w:hint="eastAsia"/>
          <w:highlight w:val="none"/>
        </w:rPr>
      </w:pPr>
      <w:r>
        <w:rPr>
          <w:highlight w:val="none"/>
        </w:rPr>
        <w:t>配电箱安装需横平竖直，配电柜与基础支座连接可靠</w:t>
      </w:r>
      <w:r>
        <w:rPr>
          <w:rFonts w:hint="eastAsia"/>
          <w:highlight w:val="none"/>
        </w:rPr>
        <w:t>。</w:t>
      </w:r>
    </w:p>
    <w:p w14:paraId="297BA362">
      <w:pPr>
        <w:numPr>
          <w:ilvl w:val="1"/>
          <w:numId w:val="140"/>
        </w:numPr>
        <w:ind w:firstLine="480"/>
        <w:rPr>
          <w:rFonts w:hint="eastAsia"/>
          <w:highlight w:val="none"/>
        </w:rPr>
      </w:pPr>
      <w:r>
        <w:rPr>
          <w:highlight w:val="none"/>
        </w:rPr>
        <w:t>成列配电柜安装时，柜面应平齐，配电柜垂直度偏差不大于1.5mm，柜体之间用螺栓连接牢固，相邻配电柜体缝隙不大于2mm；</w:t>
      </w:r>
    </w:p>
    <w:p w14:paraId="0737BC2C">
      <w:pPr>
        <w:numPr>
          <w:ilvl w:val="1"/>
          <w:numId w:val="140"/>
        </w:numPr>
        <w:ind w:firstLine="480"/>
        <w:rPr>
          <w:rFonts w:hint="eastAsia"/>
          <w:highlight w:val="none"/>
        </w:rPr>
      </w:pPr>
      <w:r>
        <w:rPr>
          <w:rFonts w:hint="eastAsia"/>
          <w:highlight w:val="none"/>
        </w:rPr>
        <w:t>配电箱应安装在安全、干燥、易操作的场所，在同一建筑物内，同类箱的高度应一致，允许偏差为</w:t>
      </w:r>
      <w:r>
        <w:rPr>
          <w:highlight w:val="none"/>
        </w:rPr>
        <w:t>10mm。</w:t>
      </w:r>
    </w:p>
    <w:p w14:paraId="003AA819">
      <w:pPr>
        <w:numPr>
          <w:ilvl w:val="1"/>
          <w:numId w:val="140"/>
        </w:numPr>
        <w:ind w:firstLine="480"/>
        <w:rPr>
          <w:rFonts w:hint="eastAsia"/>
          <w:highlight w:val="none"/>
        </w:rPr>
      </w:pPr>
      <w:r>
        <w:rPr>
          <w:rFonts w:hint="eastAsia"/>
          <w:highlight w:val="none"/>
        </w:rPr>
        <w:t>安装配电箱所需的木砖及铁件等均应预埋，挂式配电箱应采用金属膨胀螺栓固定。</w:t>
      </w:r>
    </w:p>
    <w:p w14:paraId="654F7ED4">
      <w:pPr>
        <w:numPr>
          <w:ilvl w:val="1"/>
          <w:numId w:val="140"/>
        </w:numPr>
        <w:ind w:firstLine="480"/>
        <w:rPr>
          <w:rFonts w:hint="eastAsia"/>
          <w:highlight w:val="none"/>
        </w:rPr>
      </w:pPr>
      <w:r>
        <w:rPr>
          <w:rFonts w:hint="eastAsia"/>
          <w:highlight w:val="none"/>
        </w:rPr>
        <w:t>配电箱带有器具的铁制盘面和装有器具的门及电器的金属外壳均应有明显可靠的</w:t>
      </w:r>
      <w:r>
        <w:rPr>
          <w:highlight w:val="none"/>
        </w:rPr>
        <w:t xml:space="preserve">PE </w:t>
      </w:r>
      <w:r>
        <w:rPr>
          <w:rFonts w:hint="eastAsia"/>
          <w:highlight w:val="none"/>
        </w:rPr>
        <w:t>线接地。</w:t>
      </w:r>
      <w:r>
        <w:rPr>
          <w:highlight w:val="none"/>
        </w:rPr>
        <w:t xml:space="preserve">PE </w:t>
      </w:r>
      <w:r>
        <w:rPr>
          <w:rFonts w:hint="eastAsia"/>
          <w:highlight w:val="none"/>
        </w:rPr>
        <w:t>线不允许利用盒、箱体串接。</w:t>
      </w:r>
    </w:p>
    <w:p w14:paraId="35C16A40">
      <w:pPr>
        <w:numPr>
          <w:ilvl w:val="1"/>
          <w:numId w:val="140"/>
        </w:numPr>
        <w:ind w:firstLine="480"/>
        <w:rPr>
          <w:rFonts w:hint="eastAsia"/>
          <w:highlight w:val="none"/>
        </w:rPr>
      </w:pPr>
      <w:r>
        <w:rPr>
          <w:rFonts w:hint="eastAsia"/>
          <w:highlight w:val="none"/>
        </w:rPr>
        <w:t>配电箱上配线需排列整齐，并绑扎成束，在活动部位应该两端固定。盘面引出及引进的导线应留有适当余量，以便于检修。</w:t>
      </w:r>
    </w:p>
    <w:p w14:paraId="5815FC4E">
      <w:pPr>
        <w:numPr>
          <w:ilvl w:val="1"/>
          <w:numId w:val="140"/>
        </w:numPr>
        <w:ind w:firstLine="480"/>
        <w:rPr>
          <w:rFonts w:hint="eastAsia"/>
          <w:highlight w:val="none"/>
        </w:rPr>
      </w:pPr>
      <w:r>
        <w:rPr>
          <w:rFonts w:hint="eastAsia"/>
          <w:highlight w:val="none"/>
        </w:rPr>
        <w:t>配电箱上的电源指示灯，其电源应接至总开关的外侧，并应装单独熔断器（电源侧）。</w:t>
      </w:r>
    </w:p>
    <w:p w14:paraId="5E7D1B1E">
      <w:pPr>
        <w:numPr>
          <w:ilvl w:val="1"/>
          <w:numId w:val="140"/>
        </w:numPr>
        <w:ind w:firstLine="480"/>
        <w:rPr>
          <w:rFonts w:hint="eastAsia"/>
          <w:highlight w:val="none"/>
        </w:rPr>
      </w:pPr>
      <w:r>
        <w:rPr>
          <w:rFonts w:hint="eastAsia"/>
          <w:highlight w:val="none"/>
        </w:rPr>
        <w:t>接零系统中的零线应在箱体引入线处或末端做好重复接地。</w:t>
      </w:r>
    </w:p>
    <w:p w14:paraId="0086457D">
      <w:pPr>
        <w:numPr>
          <w:ilvl w:val="1"/>
          <w:numId w:val="140"/>
        </w:numPr>
        <w:ind w:firstLine="480"/>
        <w:rPr>
          <w:rFonts w:hint="eastAsia"/>
          <w:highlight w:val="none"/>
        </w:rPr>
      </w:pPr>
      <w:r>
        <w:rPr>
          <w:rFonts w:hint="eastAsia"/>
          <w:highlight w:val="none"/>
        </w:rPr>
        <w:t>零母线在配电箱上应用端子板分路，零线端子板分支路排列位置，应与熔断器相对应。配电箱上的母线应套上有黄（</w:t>
      </w:r>
      <w:r>
        <w:rPr>
          <w:highlight w:val="none"/>
        </w:rPr>
        <w:t xml:space="preserve">A </w:t>
      </w:r>
      <w:r>
        <w:rPr>
          <w:rFonts w:hint="eastAsia"/>
          <w:highlight w:val="none"/>
        </w:rPr>
        <w:t>相），绿（</w:t>
      </w:r>
      <w:r>
        <w:rPr>
          <w:highlight w:val="none"/>
        </w:rPr>
        <w:t xml:space="preserve">B </w:t>
      </w:r>
      <w:r>
        <w:rPr>
          <w:rFonts w:hint="eastAsia"/>
          <w:highlight w:val="none"/>
        </w:rPr>
        <w:t>相），红（</w:t>
      </w:r>
      <w:r>
        <w:rPr>
          <w:highlight w:val="none"/>
        </w:rPr>
        <w:t xml:space="preserve">C </w:t>
      </w:r>
      <w:r>
        <w:rPr>
          <w:rFonts w:hint="eastAsia"/>
          <w:highlight w:val="none"/>
        </w:rPr>
        <w:t>相），黑（</w:t>
      </w:r>
      <w:r>
        <w:rPr>
          <w:highlight w:val="none"/>
        </w:rPr>
        <w:t xml:space="preserve">D </w:t>
      </w:r>
      <w:r>
        <w:rPr>
          <w:rFonts w:hint="eastAsia"/>
          <w:highlight w:val="none"/>
        </w:rPr>
        <w:t>相）等颜色色带，双色线为保护地线（黄绿，也称</w:t>
      </w:r>
      <w:r>
        <w:rPr>
          <w:highlight w:val="none"/>
        </w:rPr>
        <w:t xml:space="preserve">PE </w:t>
      </w:r>
      <w:r>
        <w:rPr>
          <w:rFonts w:hint="eastAsia"/>
          <w:highlight w:val="none"/>
        </w:rPr>
        <w:t>线）。</w:t>
      </w:r>
    </w:p>
    <w:p w14:paraId="3A247BFE">
      <w:pPr>
        <w:numPr>
          <w:ilvl w:val="1"/>
          <w:numId w:val="140"/>
        </w:numPr>
        <w:ind w:firstLine="480"/>
        <w:rPr>
          <w:rFonts w:hint="eastAsia"/>
          <w:highlight w:val="none"/>
        </w:rPr>
      </w:pPr>
      <w:r>
        <w:rPr>
          <w:rFonts w:hint="eastAsia"/>
          <w:highlight w:val="none"/>
        </w:rPr>
        <w:t>配电箱上电具、仪表应牢固、平正、整洁，间距均匀，铜端子无松动，启闭灵活，零部件齐全。</w:t>
      </w:r>
    </w:p>
    <w:p w14:paraId="24B57FDD">
      <w:pPr>
        <w:pStyle w:val="5"/>
        <w:numPr>
          <w:ilvl w:val="3"/>
          <w:numId w:val="13"/>
        </w:numPr>
        <w:rPr>
          <w:rFonts w:hint="eastAsia"/>
          <w:highlight w:val="none"/>
        </w:rPr>
      </w:pPr>
      <w:r>
        <w:rPr>
          <w:rFonts w:hint="eastAsia"/>
          <w:highlight w:val="none"/>
        </w:rPr>
        <w:t>母线槽</w:t>
      </w:r>
      <w:r>
        <w:rPr>
          <w:highlight w:val="none"/>
        </w:rPr>
        <w:t>安装</w:t>
      </w:r>
    </w:p>
    <w:p w14:paraId="61F71641">
      <w:pPr>
        <w:numPr>
          <w:ilvl w:val="1"/>
          <w:numId w:val="141"/>
        </w:numPr>
        <w:ind w:firstLine="480"/>
        <w:rPr>
          <w:rFonts w:hint="eastAsia"/>
          <w:highlight w:val="none"/>
        </w:rPr>
      </w:pPr>
      <w:r>
        <w:rPr>
          <w:rFonts w:hint="eastAsia"/>
          <w:highlight w:val="none"/>
        </w:rPr>
        <w:t>储存</w:t>
      </w:r>
    </w:p>
    <w:p w14:paraId="5F1D94B4">
      <w:pPr>
        <w:numPr>
          <w:ilvl w:val="0"/>
          <w:numId w:val="142"/>
        </w:numPr>
        <w:ind w:firstLine="480"/>
        <w:rPr>
          <w:rFonts w:hint="eastAsia"/>
          <w:highlight w:val="none"/>
        </w:rPr>
      </w:pPr>
      <w:r>
        <w:rPr>
          <w:rFonts w:hint="eastAsia"/>
          <w:highlight w:val="none"/>
        </w:rPr>
        <w:t>母线槽应放置在干燥的地方，不能受到水，水蒸气及泥土的侵蚀，不能直接放在地上，需在地上垫上木板。</w:t>
      </w:r>
    </w:p>
    <w:p w14:paraId="0CDE961C">
      <w:pPr>
        <w:numPr>
          <w:ilvl w:val="0"/>
          <w:numId w:val="142"/>
        </w:numPr>
        <w:ind w:firstLine="480"/>
        <w:rPr>
          <w:rFonts w:hint="eastAsia"/>
          <w:highlight w:val="none"/>
        </w:rPr>
      </w:pPr>
      <w:r>
        <w:rPr>
          <w:rFonts w:hint="eastAsia"/>
          <w:highlight w:val="none"/>
        </w:rPr>
        <w:t>不要直立放置。</w:t>
      </w:r>
    </w:p>
    <w:p w14:paraId="5231660B">
      <w:pPr>
        <w:numPr>
          <w:ilvl w:val="0"/>
          <w:numId w:val="142"/>
        </w:numPr>
        <w:ind w:firstLine="480"/>
        <w:rPr>
          <w:rFonts w:hint="eastAsia"/>
          <w:highlight w:val="none"/>
        </w:rPr>
      </w:pPr>
      <w:r>
        <w:rPr>
          <w:rFonts w:hint="eastAsia"/>
          <w:highlight w:val="none"/>
        </w:rPr>
        <w:t>母线槽外壳防护膜在送电前才能拆除，确保母线槽在送电前不会弄污或受到破坏。</w:t>
      </w:r>
    </w:p>
    <w:p w14:paraId="4C24A4D6">
      <w:pPr>
        <w:numPr>
          <w:ilvl w:val="1"/>
          <w:numId w:val="141"/>
        </w:numPr>
        <w:ind w:firstLine="480"/>
        <w:rPr>
          <w:rFonts w:hint="eastAsia"/>
          <w:highlight w:val="none"/>
        </w:rPr>
      </w:pPr>
      <w:r>
        <w:rPr>
          <w:rFonts w:hint="eastAsia"/>
          <w:highlight w:val="none"/>
        </w:rPr>
        <w:t>安装前检查</w:t>
      </w:r>
    </w:p>
    <w:p w14:paraId="34D494B6">
      <w:pPr>
        <w:numPr>
          <w:ilvl w:val="0"/>
          <w:numId w:val="143"/>
        </w:numPr>
        <w:ind w:firstLine="480"/>
        <w:rPr>
          <w:rFonts w:hint="eastAsia"/>
          <w:highlight w:val="none"/>
        </w:rPr>
      </w:pPr>
      <w:r>
        <w:rPr>
          <w:rFonts w:hint="eastAsia"/>
          <w:highlight w:val="none"/>
        </w:rPr>
        <w:t>检查安装线路中是否有障碍、热源、漏水等情况。检查安装设备是否齐全。检查安装线路是否与设计相同。</w:t>
      </w:r>
    </w:p>
    <w:p w14:paraId="5A59E454">
      <w:pPr>
        <w:numPr>
          <w:ilvl w:val="0"/>
          <w:numId w:val="143"/>
        </w:numPr>
        <w:ind w:firstLine="480"/>
        <w:rPr>
          <w:rFonts w:hint="eastAsia"/>
          <w:highlight w:val="none"/>
        </w:rPr>
      </w:pPr>
      <w:r>
        <w:rPr>
          <w:rFonts w:hint="eastAsia"/>
          <w:highlight w:val="none"/>
        </w:rPr>
        <w:t>安装吊架螺栓和支撑架。</w:t>
      </w:r>
    </w:p>
    <w:p w14:paraId="45995F07">
      <w:pPr>
        <w:numPr>
          <w:ilvl w:val="0"/>
          <w:numId w:val="143"/>
        </w:numPr>
        <w:ind w:firstLine="480"/>
        <w:rPr>
          <w:rFonts w:hint="eastAsia"/>
          <w:highlight w:val="none"/>
        </w:rPr>
      </w:pPr>
      <w:r>
        <w:rPr>
          <w:rFonts w:hint="eastAsia"/>
          <w:highlight w:val="none"/>
        </w:rPr>
        <w:t>安装前对每个单元母线槽进行绝缘电阻测试。</w:t>
      </w:r>
    </w:p>
    <w:p w14:paraId="27DF7AB1">
      <w:pPr>
        <w:numPr>
          <w:ilvl w:val="0"/>
          <w:numId w:val="143"/>
        </w:numPr>
        <w:ind w:firstLine="480"/>
        <w:rPr>
          <w:rFonts w:hint="eastAsia"/>
          <w:highlight w:val="none"/>
        </w:rPr>
      </w:pPr>
      <w:r>
        <w:rPr>
          <w:rFonts w:hint="eastAsia"/>
          <w:highlight w:val="none"/>
        </w:rPr>
        <w:t>检查接头处有无泥土，灰尘及其它异物。</w:t>
      </w:r>
    </w:p>
    <w:p w14:paraId="4372A866">
      <w:pPr>
        <w:numPr>
          <w:ilvl w:val="1"/>
          <w:numId w:val="141"/>
        </w:numPr>
        <w:ind w:firstLine="480"/>
        <w:rPr>
          <w:rFonts w:hint="eastAsia"/>
          <w:highlight w:val="none"/>
        </w:rPr>
      </w:pPr>
      <w:r>
        <w:rPr>
          <w:rFonts w:hint="eastAsia"/>
          <w:highlight w:val="none"/>
        </w:rPr>
        <w:t>安装注意事项</w:t>
      </w:r>
    </w:p>
    <w:p w14:paraId="20B33191">
      <w:pPr>
        <w:numPr>
          <w:ilvl w:val="0"/>
          <w:numId w:val="144"/>
        </w:numPr>
        <w:ind w:firstLine="480"/>
        <w:rPr>
          <w:rFonts w:hint="eastAsia"/>
          <w:highlight w:val="none"/>
        </w:rPr>
      </w:pPr>
      <w:r>
        <w:rPr>
          <w:rFonts w:hint="eastAsia"/>
          <w:highlight w:val="none"/>
        </w:rPr>
        <w:t>必须对照图纸，按序号顺序进行连接。</w:t>
      </w:r>
    </w:p>
    <w:p w14:paraId="1581395B">
      <w:pPr>
        <w:numPr>
          <w:ilvl w:val="0"/>
          <w:numId w:val="144"/>
        </w:numPr>
        <w:ind w:firstLine="480"/>
        <w:rPr>
          <w:rFonts w:hint="eastAsia"/>
          <w:highlight w:val="none"/>
        </w:rPr>
      </w:pPr>
      <w:r>
        <w:rPr>
          <w:rFonts w:hint="eastAsia"/>
          <w:highlight w:val="none"/>
        </w:rPr>
        <w:t>在吊装时要垫硬纸或木板，以防母线槽表面被破坏或变形。</w:t>
      </w:r>
    </w:p>
    <w:p w14:paraId="19821BF2">
      <w:pPr>
        <w:numPr>
          <w:ilvl w:val="0"/>
          <w:numId w:val="144"/>
        </w:numPr>
        <w:ind w:firstLine="480"/>
        <w:rPr>
          <w:rFonts w:hint="eastAsia"/>
          <w:highlight w:val="none"/>
        </w:rPr>
      </w:pPr>
      <w:r>
        <w:rPr>
          <w:rFonts w:hint="eastAsia"/>
          <w:highlight w:val="none"/>
        </w:rPr>
        <w:t>边安装边测试绝缘电阻，以免出现不正常时整段线路的检查的拆卸。</w:t>
      </w:r>
    </w:p>
    <w:p w14:paraId="2F76DC1F">
      <w:pPr>
        <w:numPr>
          <w:ilvl w:val="0"/>
          <w:numId w:val="144"/>
        </w:numPr>
        <w:ind w:firstLine="480"/>
        <w:rPr>
          <w:rFonts w:hint="eastAsia"/>
          <w:highlight w:val="none"/>
        </w:rPr>
      </w:pPr>
      <w:r>
        <w:rPr>
          <w:rFonts w:hint="eastAsia"/>
          <w:highlight w:val="none"/>
        </w:rPr>
        <w:t>安装未完成前，连接终端应有防水，防尘措施。</w:t>
      </w:r>
    </w:p>
    <w:p w14:paraId="7DE7567E">
      <w:pPr>
        <w:numPr>
          <w:ilvl w:val="0"/>
          <w:numId w:val="144"/>
        </w:numPr>
        <w:ind w:firstLine="480"/>
        <w:rPr>
          <w:rFonts w:hint="eastAsia"/>
          <w:highlight w:val="none"/>
        </w:rPr>
      </w:pPr>
      <w:r>
        <w:rPr>
          <w:rFonts w:hint="eastAsia"/>
          <w:highlight w:val="none"/>
        </w:rPr>
        <w:t>接头处安装后必须将螺栓拧紧。</w:t>
      </w:r>
    </w:p>
    <w:p w14:paraId="2EEE19AF">
      <w:pPr>
        <w:numPr>
          <w:ilvl w:val="0"/>
          <w:numId w:val="144"/>
        </w:numPr>
        <w:ind w:firstLine="480"/>
        <w:rPr>
          <w:rFonts w:hint="eastAsia"/>
          <w:highlight w:val="none"/>
        </w:rPr>
      </w:pPr>
      <w:r>
        <w:rPr>
          <w:rFonts w:hint="eastAsia"/>
          <w:highlight w:val="none"/>
        </w:rPr>
        <w:t>对防护等级为</w:t>
      </w:r>
      <w:r>
        <w:rPr>
          <w:highlight w:val="none"/>
        </w:rPr>
        <w:t>IP54的母线槽在接头安装时，必须在铝盖两边、螺栓孔周围、密封垫圈底部、侧面铝盖上沿周边处涂上硅胶。</w:t>
      </w:r>
    </w:p>
    <w:p w14:paraId="7F5C166D">
      <w:pPr>
        <w:numPr>
          <w:ilvl w:val="0"/>
          <w:numId w:val="144"/>
        </w:numPr>
        <w:ind w:firstLine="480"/>
        <w:rPr>
          <w:rFonts w:hint="eastAsia"/>
          <w:highlight w:val="none"/>
        </w:rPr>
      </w:pPr>
      <w:r>
        <w:rPr>
          <w:rFonts w:hint="eastAsia"/>
          <w:highlight w:val="none"/>
        </w:rPr>
        <w:t>母线槽数排并安装时，为确保散热和方便安装，其间最小间距</w:t>
      </w:r>
      <w:r>
        <w:rPr>
          <w:highlight w:val="none"/>
        </w:rPr>
        <w:t>150mm，如其上有插接箱时应保证插接箱之间有50mm间距。母线槽安装穿过墙壁或楼层板时其接头中心距墙或楼层板间距至少为300mm。</w:t>
      </w:r>
    </w:p>
    <w:p w14:paraId="0AD55B39">
      <w:pPr>
        <w:numPr>
          <w:ilvl w:val="0"/>
          <w:numId w:val="144"/>
        </w:numPr>
        <w:ind w:firstLine="480"/>
        <w:rPr>
          <w:rFonts w:hint="eastAsia"/>
          <w:highlight w:val="none"/>
        </w:rPr>
      </w:pPr>
      <w:r>
        <w:rPr>
          <w:rFonts w:hint="eastAsia"/>
          <w:highlight w:val="none"/>
        </w:rPr>
        <w:t>母线槽穿过防火墙及防火板时，应采取防火隔离措施。</w:t>
      </w:r>
    </w:p>
    <w:p w14:paraId="3619447E">
      <w:pPr>
        <w:numPr>
          <w:ilvl w:val="0"/>
          <w:numId w:val="144"/>
        </w:numPr>
        <w:ind w:firstLine="480"/>
        <w:rPr>
          <w:rFonts w:hint="eastAsia"/>
          <w:highlight w:val="none"/>
        </w:rPr>
      </w:pPr>
      <w:r>
        <w:rPr>
          <w:rFonts w:hint="eastAsia"/>
          <w:highlight w:val="none"/>
        </w:rPr>
        <w:t>吊架之间距离为</w:t>
      </w:r>
      <w:r>
        <w:rPr>
          <w:highlight w:val="none"/>
        </w:rPr>
        <w:t>2</w:t>
      </w:r>
      <w:r>
        <w:rPr>
          <w:rFonts w:hint="eastAsia"/>
          <w:highlight w:val="none"/>
        </w:rPr>
        <w:t>m，大跨度母线槽为</w:t>
      </w:r>
      <w:r>
        <w:rPr>
          <w:highlight w:val="none"/>
        </w:rPr>
        <w:t>6</w:t>
      </w:r>
      <w:r>
        <w:rPr>
          <w:rFonts w:hint="eastAsia"/>
          <w:highlight w:val="none"/>
        </w:rPr>
        <w:t>m。</w:t>
      </w:r>
    </w:p>
    <w:p w14:paraId="026564C0">
      <w:pPr>
        <w:numPr>
          <w:ilvl w:val="0"/>
          <w:numId w:val="144"/>
        </w:numPr>
        <w:ind w:firstLine="480"/>
        <w:rPr>
          <w:rFonts w:hint="eastAsia"/>
          <w:highlight w:val="none"/>
        </w:rPr>
      </w:pPr>
      <w:r>
        <w:rPr>
          <w:rFonts w:hint="eastAsia"/>
          <w:highlight w:val="none"/>
        </w:rPr>
        <w:t>水平安装时，距离地面高度不应小于</w:t>
      </w:r>
      <w:r>
        <w:rPr>
          <w:highlight w:val="none"/>
        </w:rPr>
        <w:t>2.2</w:t>
      </w:r>
      <w:r>
        <w:rPr>
          <w:rFonts w:hint="eastAsia"/>
          <w:highlight w:val="none"/>
        </w:rPr>
        <w:t>m</w:t>
      </w:r>
      <w:r>
        <w:rPr>
          <w:highlight w:val="none"/>
        </w:rPr>
        <w:t>；垂直安装时，距地面1.8m以下部分应采用防止机械损伤措施（竖井内除外）</w:t>
      </w:r>
    </w:p>
    <w:p w14:paraId="06D6DE77">
      <w:pPr>
        <w:numPr>
          <w:ilvl w:val="0"/>
          <w:numId w:val="144"/>
        </w:numPr>
        <w:ind w:firstLine="480"/>
        <w:rPr>
          <w:rFonts w:hint="eastAsia"/>
          <w:highlight w:val="none"/>
        </w:rPr>
      </w:pPr>
      <w:r>
        <w:rPr>
          <w:rFonts w:hint="eastAsia"/>
          <w:highlight w:val="none"/>
        </w:rPr>
        <w:t>垂直安装的母线槽在楼板处用弹簧支架固定并调节弹簧，使之保证垂直度。末端悬空时应采用支架固定；楼层高于</w:t>
      </w:r>
      <w:r>
        <w:rPr>
          <w:highlight w:val="none"/>
        </w:rPr>
        <w:t>4m时，中间也应采用支架固定。</w:t>
      </w:r>
    </w:p>
    <w:p w14:paraId="7C211DFF">
      <w:pPr>
        <w:numPr>
          <w:ilvl w:val="0"/>
          <w:numId w:val="144"/>
        </w:numPr>
        <w:ind w:firstLine="480"/>
        <w:rPr>
          <w:rFonts w:hint="eastAsia"/>
          <w:highlight w:val="none"/>
        </w:rPr>
      </w:pPr>
      <w:r>
        <w:rPr>
          <w:rFonts w:hint="eastAsia"/>
          <w:highlight w:val="none"/>
        </w:rPr>
        <w:t>垂直安装时，长度不超过40m应安装伸缩节，如每层都有插接箱，长度超过90m时应安装伸缩节。</w:t>
      </w:r>
    </w:p>
    <w:p w14:paraId="1D88BB43">
      <w:pPr>
        <w:numPr>
          <w:ilvl w:val="1"/>
          <w:numId w:val="141"/>
        </w:numPr>
        <w:ind w:firstLine="480"/>
        <w:rPr>
          <w:rFonts w:hint="eastAsia"/>
          <w:highlight w:val="none"/>
        </w:rPr>
      </w:pPr>
      <w:r>
        <w:rPr>
          <w:rFonts w:hint="eastAsia"/>
          <w:highlight w:val="none"/>
        </w:rPr>
        <w:t>接头的安装顺序</w:t>
      </w:r>
    </w:p>
    <w:p w14:paraId="2184B8CE">
      <w:pPr>
        <w:numPr>
          <w:ilvl w:val="0"/>
          <w:numId w:val="145"/>
        </w:numPr>
        <w:ind w:firstLine="480"/>
        <w:rPr>
          <w:rFonts w:hint="eastAsia"/>
          <w:highlight w:val="none"/>
        </w:rPr>
      </w:pPr>
      <w:r>
        <w:rPr>
          <w:rFonts w:hint="eastAsia"/>
          <w:highlight w:val="none"/>
        </w:rPr>
        <w:t>打开接头安装盒，检查接头部件数量及质量。</w:t>
      </w:r>
    </w:p>
    <w:p w14:paraId="7BB28AE7">
      <w:pPr>
        <w:numPr>
          <w:ilvl w:val="0"/>
          <w:numId w:val="145"/>
        </w:numPr>
        <w:ind w:firstLine="480"/>
        <w:rPr>
          <w:rFonts w:hint="eastAsia"/>
          <w:highlight w:val="none"/>
        </w:rPr>
      </w:pPr>
      <w:r>
        <w:rPr>
          <w:rFonts w:hint="eastAsia"/>
          <w:highlight w:val="none"/>
        </w:rPr>
        <w:t>把两端需连接的母线槽侧板上下对齐，端头紧靠。</w:t>
      </w:r>
    </w:p>
    <w:p w14:paraId="0B87B87B">
      <w:pPr>
        <w:numPr>
          <w:ilvl w:val="0"/>
          <w:numId w:val="145"/>
        </w:numPr>
        <w:ind w:firstLine="480"/>
        <w:rPr>
          <w:rFonts w:hint="eastAsia"/>
          <w:highlight w:val="none"/>
        </w:rPr>
      </w:pPr>
      <w:r>
        <w:rPr>
          <w:rFonts w:hint="eastAsia"/>
          <w:highlight w:val="none"/>
        </w:rPr>
        <w:t>揭去侧板端头上的薄膜，将电板贴在侧板内侧，用</w:t>
      </w:r>
      <w:r>
        <w:rPr>
          <w:highlight w:val="none"/>
        </w:rPr>
        <w:t>M8螺栓紧固。</w:t>
      </w:r>
    </w:p>
    <w:p w14:paraId="70BD0432">
      <w:pPr>
        <w:numPr>
          <w:ilvl w:val="0"/>
          <w:numId w:val="145"/>
        </w:numPr>
        <w:ind w:firstLine="480"/>
        <w:rPr>
          <w:rFonts w:hint="eastAsia"/>
          <w:highlight w:val="none"/>
        </w:rPr>
      </w:pPr>
      <w:r>
        <w:rPr>
          <w:rFonts w:hint="eastAsia"/>
          <w:highlight w:val="none"/>
        </w:rPr>
        <w:t>将隔板</w:t>
      </w:r>
      <w:r>
        <w:rPr>
          <w:highlight w:val="none"/>
        </w:rPr>
        <w:t>1、隔板2按序号插入各相搭界母线之间，上下位置由隔板上两个小圆柱定位，两边缘与母线排头对齐。</w:t>
      </w:r>
    </w:p>
    <w:p w14:paraId="1E56F73D">
      <w:pPr>
        <w:numPr>
          <w:ilvl w:val="0"/>
          <w:numId w:val="145"/>
        </w:numPr>
        <w:ind w:firstLine="480"/>
        <w:rPr>
          <w:rFonts w:hint="eastAsia"/>
          <w:highlight w:val="none"/>
        </w:rPr>
      </w:pPr>
      <w:r>
        <w:rPr>
          <w:rFonts w:hint="eastAsia"/>
          <w:highlight w:val="none"/>
        </w:rPr>
        <w:t>依次将垫板、弹簧、平垫套在螺栓上，两边用螺母紧固，拧紧力矩为</w:t>
      </w:r>
      <w:r>
        <w:rPr>
          <w:highlight w:val="none"/>
        </w:rPr>
        <w:t>M12螺栓为40N·M</w:t>
      </w:r>
      <w:r>
        <w:rPr>
          <w:rFonts w:hint="eastAsia"/>
          <w:highlight w:val="none"/>
        </w:rPr>
        <w:t>、</w:t>
      </w:r>
      <w:r>
        <w:rPr>
          <w:highlight w:val="none"/>
        </w:rPr>
        <w:t>M16连接螺栓为80-100N·M</w:t>
      </w:r>
      <w:r>
        <w:rPr>
          <w:rFonts w:hint="eastAsia"/>
          <w:highlight w:val="none"/>
        </w:rPr>
        <w:t>。</w:t>
      </w:r>
    </w:p>
    <w:p w14:paraId="0957A96B">
      <w:pPr>
        <w:numPr>
          <w:ilvl w:val="0"/>
          <w:numId w:val="145"/>
        </w:numPr>
        <w:ind w:firstLine="480"/>
        <w:rPr>
          <w:rFonts w:hint="eastAsia"/>
          <w:highlight w:val="none"/>
        </w:rPr>
      </w:pPr>
      <w:r>
        <w:rPr>
          <w:highlight w:val="none"/>
        </w:rPr>
        <w:t>相邻的母线槽如安装有插接箱，插接箱间距保证大于50mm</w:t>
      </w:r>
      <w:r>
        <w:rPr>
          <w:rFonts w:hint="eastAsia"/>
          <w:highlight w:val="none"/>
        </w:rPr>
        <w:t>。</w:t>
      </w:r>
    </w:p>
    <w:p w14:paraId="030B2193">
      <w:pPr>
        <w:pStyle w:val="5"/>
        <w:numPr>
          <w:ilvl w:val="3"/>
          <w:numId w:val="13"/>
        </w:numPr>
        <w:rPr>
          <w:rFonts w:hint="eastAsia"/>
          <w:highlight w:val="none"/>
        </w:rPr>
      </w:pPr>
      <w:r>
        <w:rPr>
          <w:rFonts w:hint="eastAsia"/>
          <w:highlight w:val="none"/>
        </w:rPr>
        <w:t>电缆导管安装</w:t>
      </w:r>
    </w:p>
    <w:p w14:paraId="5D13C49D">
      <w:pPr>
        <w:numPr>
          <w:ilvl w:val="1"/>
          <w:numId w:val="146"/>
        </w:numPr>
        <w:ind w:firstLine="480"/>
        <w:rPr>
          <w:rFonts w:hint="eastAsia"/>
          <w:highlight w:val="none"/>
        </w:rPr>
      </w:pPr>
      <w:r>
        <w:rPr>
          <w:rFonts w:hint="eastAsia"/>
          <w:highlight w:val="none"/>
        </w:rPr>
        <w:t>材料要求</w:t>
      </w:r>
    </w:p>
    <w:p w14:paraId="5A6AAE6D">
      <w:pPr>
        <w:numPr>
          <w:ilvl w:val="0"/>
          <w:numId w:val="147"/>
        </w:numPr>
        <w:ind w:firstLine="480"/>
        <w:rPr>
          <w:rFonts w:hint="eastAsia"/>
          <w:highlight w:val="none"/>
        </w:rPr>
      </w:pPr>
      <w:r>
        <w:rPr>
          <w:rFonts w:hint="eastAsia"/>
          <w:highlight w:val="none"/>
        </w:rPr>
        <w:t>钢管：内外表面热镀锌处理，镀层完整，内焊缝应平滑、圆顺，钢管无压扁。</w:t>
      </w:r>
    </w:p>
    <w:p w14:paraId="49B271F3">
      <w:pPr>
        <w:numPr>
          <w:ilvl w:val="0"/>
          <w:numId w:val="147"/>
        </w:numPr>
        <w:ind w:firstLine="480"/>
        <w:rPr>
          <w:rFonts w:hint="eastAsia"/>
          <w:highlight w:val="none"/>
        </w:rPr>
      </w:pPr>
      <w:r>
        <w:rPr>
          <w:rFonts w:hint="eastAsia"/>
          <w:highlight w:val="none"/>
        </w:rPr>
        <w:t>管箍：使用通丝管箍，丝扣清晰，不乱扣，镀锌层完整无脱落、无劈裂。</w:t>
      </w:r>
    </w:p>
    <w:p w14:paraId="5DCA55C3">
      <w:pPr>
        <w:numPr>
          <w:ilvl w:val="0"/>
          <w:numId w:val="147"/>
        </w:numPr>
        <w:ind w:firstLine="480"/>
        <w:rPr>
          <w:rFonts w:hint="eastAsia"/>
          <w:highlight w:val="none"/>
        </w:rPr>
      </w:pPr>
      <w:r>
        <w:rPr>
          <w:rFonts w:hint="eastAsia"/>
          <w:highlight w:val="none"/>
        </w:rPr>
        <w:t>锁紧螺母：外形完好无损，丝扣清晰。</w:t>
      </w:r>
    </w:p>
    <w:p w14:paraId="3648F58E">
      <w:pPr>
        <w:numPr>
          <w:ilvl w:val="0"/>
          <w:numId w:val="147"/>
        </w:numPr>
        <w:ind w:firstLine="480"/>
        <w:rPr>
          <w:rFonts w:hint="eastAsia"/>
          <w:highlight w:val="none"/>
        </w:rPr>
      </w:pPr>
      <w:r>
        <w:rPr>
          <w:rFonts w:hint="eastAsia"/>
          <w:highlight w:val="none"/>
        </w:rPr>
        <w:t>护口：使用专用护口，护口要完整无损。</w:t>
      </w:r>
    </w:p>
    <w:p w14:paraId="280108A7">
      <w:pPr>
        <w:numPr>
          <w:ilvl w:val="0"/>
          <w:numId w:val="147"/>
        </w:numPr>
        <w:ind w:firstLine="480"/>
        <w:rPr>
          <w:rFonts w:hint="eastAsia"/>
          <w:highlight w:val="none"/>
        </w:rPr>
      </w:pPr>
      <w:r>
        <w:rPr>
          <w:rFonts w:hint="eastAsia"/>
          <w:highlight w:val="none"/>
        </w:rPr>
        <w:t>接线盒：盒板厚度符合规范要求，接线盒底部有接地螺丝及接地标志。</w:t>
      </w:r>
    </w:p>
    <w:p w14:paraId="4AB5ADC2">
      <w:pPr>
        <w:numPr>
          <w:ilvl w:val="1"/>
          <w:numId w:val="146"/>
        </w:numPr>
        <w:ind w:firstLine="480"/>
        <w:rPr>
          <w:rFonts w:hint="eastAsia"/>
          <w:highlight w:val="none"/>
        </w:rPr>
      </w:pPr>
      <w:r>
        <w:rPr>
          <w:rFonts w:hint="eastAsia"/>
          <w:highlight w:val="none"/>
        </w:rPr>
        <w:t>管材及支吊架加工要求</w:t>
      </w:r>
    </w:p>
    <w:p w14:paraId="36D7C312">
      <w:pPr>
        <w:numPr>
          <w:ilvl w:val="0"/>
          <w:numId w:val="148"/>
        </w:numPr>
        <w:ind w:firstLine="480"/>
        <w:rPr>
          <w:rFonts w:hint="eastAsia"/>
          <w:highlight w:val="none"/>
        </w:rPr>
      </w:pPr>
      <w:r>
        <w:rPr>
          <w:rFonts w:hint="eastAsia"/>
          <w:highlight w:val="none"/>
        </w:rPr>
        <w:t>管道切割：应选用钢锯或砂轮切割机切管，切管的长度要测量准确。</w:t>
      </w:r>
    </w:p>
    <w:p w14:paraId="0E6349FB">
      <w:pPr>
        <w:numPr>
          <w:ilvl w:val="0"/>
          <w:numId w:val="148"/>
        </w:numPr>
        <w:ind w:firstLine="480"/>
        <w:rPr>
          <w:rFonts w:hint="eastAsia"/>
          <w:highlight w:val="none"/>
        </w:rPr>
      </w:pPr>
      <w:r>
        <w:rPr>
          <w:rFonts w:hint="eastAsia"/>
          <w:highlight w:val="none"/>
        </w:rPr>
        <w:t>管道套丝：采用套丝板、套管机，根据管外径选择相应的板牙，将管子用台虎钳或压力钳固定，再把绞板套在管端，先慢慢用力，套上扣后再均匀用力。套丝时应及时用毛刷涂抹机油，保证丝扣完整不断扣、乱扣，用套管机套丝时，应注意随套随浇冷却液。</w:t>
      </w:r>
    </w:p>
    <w:p w14:paraId="1219DDC1">
      <w:pPr>
        <w:numPr>
          <w:ilvl w:val="0"/>
          <w:numId w:val="148"/>
        </w:numPr>
        <w:ind w:firstLine="480"/>
        <w:rPr>
          <w:rFonts w:hint="eastAsia"/>
          <w:highlight w:val="none"/>
        </w:rPr>
      </w:pPr>
      <w:r>
        <w:rPr>
          <w:rFonts w:hint="eastAsia"/>
          <w:highlight w:val="none"/>
        </w:rPr>
        <w:t>管道弯曲：管径大于</w:t>
      </w:r>
      <w:r>
        <w:rPr>
          <w:highlight w:val="none"/>
        </w:rPr>
        <w:t>32mm的钢管须采用液压煨管机弯制，管径25mm以下的钢管采用手动煨管机弯制。钢管弯曲处不能出现凹凸和裂缝。</w:t>
      </w:r>
    </w:p>
    <w:p w14:paraId="055CF81A">
      <w:pPr>
        <w:numPr>
          <w:ilvl w:val="0"/>
          <w:numId w:val="148"/>
        </w:numPr>
        <w:ind w:firstLine="480"/>
        <w:rPr>
          <w:rFonts w:hint="eastAsia"/>
          <w:highlight w:val="none"/>
        </w:rPr>
      </w:pPr>
      <w:r>
        <w:rPr>
          <w:rFonts w:hint="eastAsia"/>
          <w:highlight w:val="none"/>
        </w:rPr>
        <w:t>支吊架固定：固定点的间距应均匀，固定点与终端、转弯中点、电气器具或接线盒边缘的距离为</w:t>
      </w:r>
      <w:r>
        <w:rPr>
          <w:highlight w:val="none"/>
        </w:rPr>
        <w:t>300mm，固定点之间的最大距离应满足规范要求。</w:t>
      </w:r>
    </w:p>
    <w:p w14:paraId="5AA6BFC1">
      <w:pPr>
        <w:numPr>
          <w:ilvl w:val="0"/>
          <w:numId w:val="148"/>
        </w:numPr>
        <w:ind w:firstLine="480"/>
        <w:rPr>
          <w:rFonts w:hint="eastAsia"/>
          <w:highlight w:val="none"/>
        </w:rPr>
      </w:pPr>
      <w:r>
        <w:rPr>
          <w:rFonts w:hint="eastAsia"/>
          <w:highlight w:val="none"/>
        </w:rPr>
        <w:t>管路敷设：钢管采用丝扣连接，套丝后要对管口进行打磨、清扫，施工过程中要尽量减少弯头。电气管路敷设时有下列情况时须加装接线盒：直线段超过</w:t>
      </w:r>
      <w:r>
        <w:rPr>
          <w:highlight w:val="none"/>
        </w:rPr>
        <w:t>30m；有一个转弯且超过20m；有两个转弯且超过15m；有3</w:t>
      </w:r>
      <w:r>
        <w:rPr>
          <w:rFonts w:hint="eastAsia"/>
          <w:highlight w:val="none"/>
        </w:rPr>
        <w:t>个转弯且超过</w:t>
      </w:r>
      <w:r>
        <w:rPr>
          <w:highlight w:val="none"/>
        </w:rPr>
        <w:t>8m。钢管进出线盒处，用锁紧螺母固定牢固。管子进入箱盒螺纹应外露2</w:t>
      </w:r>
      <w:r>
        <w:rPr>
          <w:rFonts w:hint="eastAsia"/>
          <w:highlight w:val="none"/>
        </w:rPr>
        <w:t>~</w:t>
      </w:r>
      <w:r>
        <w:rPr>
          <w:highlight w:val="none"/>
        </w:rPr>
        <w:t>3扣，并且一孔一管，严禁将其它敲落孔敲掉。多根管子进入配电箱时，应排列整齐，进入箱内的管口高度一致。管路经金属软管引入设备时，金属软管的长度不得超过0.8m。</w:t>
      </w:r>
    </w:p>
    <w:p w14:paraId="4A1745CD">
      <w:pPr>
        <w:numPr>
          <w:ilvl w:val="0"/>
          <w:numId w:val="148"/>
        </w:numPr>
        <w:ind w:firstLine="480"/>
        <w:rPr>
          <w:rFonts w:hint="eastAsia"/>
          <w:highlight w:val="none"/>
        </w:rPr>
      </w:pPr>
      <w:r>
        <w:rPr>
          <w:rFonts w:hint="eastAsia"/>
          <w:highlight w:val="none"/>
        </w:rPr>
        <w:t>管路接地：管路的接地采用接地卡与专用接地线。</w:t>
      </w:r>
    </w:p>
    <w:p w14:paraId="79DD9885">
      <w:pPr>
        <w:numPr>
          <w:ilvl w:val="0"/>
          <w:numId w:val="148"/>
        </w:numPr>
        <w:ind w:firstLine="480"/>
        <w:rPr>
          <w:rFonts w:hint="eastAsia"/>
          <w:highlight w:val="none"/>
        </w:rPr>
      </w:pPr>
      <w:r>
        <w:rPr>
          <w:rFonts w:hint="eastAsia"/>
          <w:highlight w:val="none"/>
        </w:rPr>
        <w:t>管路敷设方式：要求水平和垂直方向整齐排列，并以</w:t>
      </w:r>
      <w:r>
        <w:rPr>
          <w:highlight w:val="none"/>
        </w:rPr>
        <w:t xml:space="preserve">U </w:t>
      </w:r>
      <w:r>
        <w:rPr>
          <w:rFonts w:hint="eastAsia"/>
          <w:highlight w:val="none"/>
        </w:rPr>
        <w:t>型卡、鞍型夹予以牢固。固定间距不得超</w:t>
      </w:r>
      <w:r>
        <w:rPr>
          <w:highlight w:val="none"/>
        </w:rPr>
        <w:t>1.2m。</w:t>
      </w:r>
    </w:p>
    <w:p w14:paraId="4531185B">
      <w:pPr>
        <w:numPr>
          <w:ilvl w:val="1"/>
          <w:numId w:val="146"/>
        </w:numPr>
        <w:ind w:firstLine="480"/>
        <w:rPr>
          <w:rFonts w:hint="eastAsia"/>
          <w:highlight w:val="none"/>
        </w:rPr>
      </w:pPr>
      <w:r>
        <w:rPr>
          <w:rFonts w:hint="eastAsia"/>
          <w:highlight w:val="none"/>
        </w:rPr>
        <w:t>管路施工关键部位技术要求</w:t>
      </w:r>
    </w:p>
    <w:p w14:paraId="07804696">
      <w:pPr>
        <w:numPr>
          <w:ilvl w:val="0"/>
          <w:numId w:val="149"/>
        </w:numPr>
        <w:ind w:firstLine="480"/>
        <w:rPr>
          <w:rFonts w:hint="eastAsia"/>
          <w:highlight w:val="none"/>
        </w:rPr>
      </w:pPr>
      <w:r>
        <w:rPr>
          <w:rFonts w:hint="eastAsia"/>
          <w:highlight w:val="none"/>
        </w:rPr>
        <w:t>钢管与设备的连接：钢管与设备连接时，电线、电缆与设备的连接采用普利卡保护管。对室外或室内潮湿场所，则采用防水型普利卡保护管及防水型连接器。普利卡保护管与钢制电线管、各类箱盒的连接时，均应采用其配套的专用附件。</w:t>
      </w:r>
    </w:p>
    <w:p w14:paraId="5F208EB4">
      <w:pPr>
        <w:numPr>
          <w:ilvl w:val="0"/>
          <w:numId w:val="149"/>
        </w:numPr>
        <w:ind w:firstLine="480"/>
        <w:rPr>
          <w:rFonts w:hint="eastAsia"/>
          <w:highlight w:val="none"/>
        </w:rPr>
      </w:pPr>
      <w:r>
        <w:rPr>
          <w:rFonts w:hint="eastAsia"/>
          <w:highlight w:val="none"/>
        </w:rPr>
        <w:t>管道穿防火墙：电线管穿过防火墙时要采用防火封堵，管径大于</w:t>
      </w:r>
      <w:r>
        <w:rPr>
          <w:highlight w:val="none"/>
        </w:rPr>
        <w:t>80时，距墙1m内的钢管应外涂防火涂料。</w:t>
      </w:r>
    </w:p>
    <w:p w14:paraId="7F0F81A7">
      <w:pPr>
        <w:pStyle w:val="5"/>
        <w:numPr>
          <w:ilvl w:val="3"/>
          <w:numId w:val="13"/>
        </w:numPr>
        <w:rPr>
          <w:rFonts w:hint="eastAsia"/>
          <w:highlight w:val="none"/>
        </w:rPr>
      </w:pPr>
      <w:r>
        <w:rPr>
          <w:rFonts w:hint="eastAsia"/>
          <w:highlight w:val="none"/>
        </w:rPr>
        <w:t>管内穿线</w:t>
      </w:r>
    </w:p>
    <w:p w14:paraId="10EDE3F3">
      <w:pPr>
        <w:numPr>
          <w:ilvl w:val="1"/>
          <w:numId w:val="150"/>
        </w:numPr>
        <w:ind w:firstLine="480"/>
        <w:rPr>
          <w:rFonts w:hint="eastAsia"/>
          <w:highlight w:val="none"/>
        </w:rPr>
      </w:pPr>
      <w:r>
        <w:rPr>
          <w:rFonts w:hint="eastAsia"/>
          <w:highlight w:val="none"/>
        </w:rPr>
        <w:t>材料要求</w:t>
      </w:r>
    </w:p>
    <w:p w14:paraId="114E938F">
      <w:pPr>
        <w:numPr>
          <w:ilvl w:val="0"/>
          <w:numId w:val="151"/>
        </w:numPr>
        <w:ind w:firstLine="480"/>
        <w:rPr>
          <w:rFonts w:hint="eastAsia"/>
          <w:highlight w:val="none"/>
        </w:rPr>
      </w:pPr>
      <w:r>
        <w:rPr>
          <w:rFonts w:hint="eastAsia"/>
          <w:highlight w:val="none"/>
        </w:rPr>
        <w:t>绝缘导线：导线的型号、规格必须符合设计要求，并有产品出厂合格证。</w:t>
      </w:r>
    </w:p>
    <w:p w14:paraId="0E7F83DC">
      <w:pPr>
        <w:numPr>
          <w:ilvl w:val="0"/>
          <w:numId w:val="151"/>
        </w:numPr>
        <w:ind w:firstLine="480"/>
        <w:rPr>
          <w:rFonts w:hint="eastAsia"/>
          <w:highlight w:val="none"/>
        </w:rPr>
      </w:pPr>
      <w:r>
        <w:rPr>
          <w:rFonts w:hint="eastAsia"/>
          <w:highlight w:val="none"/>
        </w:rPr>
        <w:t>镀锌铁丝或钢丝：应顺直无死弯、扭结等现象，并具有相应的机械拉力。</w:t>
      </w:r>
    </w:p>
    <w:p w14:paraId="4CF23728">
      <w:pPr>
        <w:numPr>
          <w:ilvl w:val="1"/>
          <w:numId w:val="150"/>
        </w:numPr>
        <w:ind w:firstLine="480"/>
        <w:rPr>
          <w:rFonts w:hint="eastAsia"/>
          <w:highlight w:val="none"/>
        </w:rPr>
      </w:pPr>
      <w:r>
        <w:rPr>
          <w:rFonts w:hint="eastAsia"/>
          <w:highlight w:val="none"/>
        </w:rPr>
        <w:t>管内穿线及连接要求</w:t>
      </w:r>
    </w:p>
    <w:p w14:paraId="033AE821">
      <w:pPr>
        <w:ind w:firstLine="480"/>
        <w:rPr>
          <w:rFonts w:hint="eastAsia"/>
          <w:highlight w:val="none"/>
        </w:rPr>
      </w:pPr>
      <w:r>
        <w:rPr>
          <w:rFonts w:hint="eastAsia"/>
          <w:highlight w:val="none"/>
        </w:rPr>
        <w:t>电线管在穿线前，应首先检查各个管口的护口，保证护口齐全完整。当管路较长或转弯较多时，在穿线前向管内吹入适量的滑石粉。穿线时，两端的工人应配合协调一致。导线连接接头不能增加电阻值，不能降低原机械强度及原绝缘强度。用接线钮连接线时</w:t>
      </w:r>
      <w:r>
        <w:rPr>
          <w:highlight w:val="none"/>
        </w:rPr>
        <w:t>, 6mm</w:t>
      </w:r>
      <w:r>
        <w:rPr>
          <w:rFonts w:hint="eastAsia"/>
          <w:highlight w:val="none"/>
        </w:rPr>
        <w:t>²及以下的导线把外露的线芯对齐按顺时针方向拧绞，在线芯的</w:t>
      </w:r>
      <w:r>
        <w:rPr>
          <w:highlight w:val="none"/>
        </w:rPr>
        <w:t>12mm处剪去前端，然后选择相应的接线钮按顺时针方向拧紧。要把导线的绝缘部分拧入接线钮的上端护套内。</w:t>
      </w:r>
    </w:p>
    <w:p w14:paraId="05E7F15D">
      <w:pPr>
        <w:numPr>
          <w:ilvl w:val="1"/>
          <w:numId w:val="150"/>
        </w:numPr>
        <w:ind w:firstLine="480"/>
        <w:rPr>
          <w:rFonts w:hint="eastAsia"/>
          <w:highlight w:val="none"/>
        </w:rPr>
      </w:pPr>
      <w:r>
        <w:rPr>
          <w:rFonts w:hint="eastAsia"/>
          <w:highlight w:val="none"/>
        </w:rPr>
        <w:t>线路检查及绝缘测试要求</w:t>
      </w:r>
    </w:p>
    <w:p w14:paraId="2E23392E">
      <w:pPr>
        <w:ind w:firstLine="480"/>
        <w:rPr>
          <w:rFonts w:hint="eastAsia"/>
          <w:highlight w:val="none"/>
        </w:rPr>
      </w:pPr>
      <w:r>
        <w:rPr>
          <w:rFonts w:hint="eastAsia"/>
          <w:highlight w:val="none"/>
        </w:rPr>
        <w:t>穿线后，应按规范及质量验评标准进行自检互检，不符合规定时应立即纠正，检查导线的规格和根数，检查无误后再进行绝缘测试。设备未安装进行线路绝缘测试时，应将干线和支线分开，测试时应及时进行记录。设备全部安装送电前进行测试时，应先将线路的开关、仪表、设备等全部置于断开位置，绝缘测试无误后再进行送电试运行。绝缘电阻值应符合规范和设计的要求。</w:t>
      </w:r>
    </w:p>
    <w:p w14:paraId="1855739E">
      <w:pPr>
        <w:pStyle w:val="5"/>
        <w:numPr>
          <w:ilvl w:val="3"/>
          <w:numId w:val="13"/>
        </w:numPr>
        <w:rPr>
          <w:rFonts w:hint="eastAsia"/>
          <w:highlight w:val="none"/>
        </w:rPr>
      </w:pPr>
      <w:r>
        <w:rPr>
          <w:rFonts w:hint="eastAsia"/>
          <w:highlight w:val="none"/>
        </w:rPr>
        <w:t>矿物绝缘电缆（</w:t>
      </w:r>
      <w:r>
        <w:rPr>
          <w:highlight w:val="none"/>
        </w:rPr>
        <w:t>BTTZ）敷设</w:t>
      </w:r>
    </w:p>
    <w:p w14:paraId="21413DCB">
      <w:pPr>
        <w:numPr>
          <w:ilvl w:val="1"/>
          <w:numId w:val="152"/>
        </w:numPr>
        <w:ind w:firstLine="480"/>
        <w:rPr>
          <w:rFonts w:hint="eastAsia"/>
          <w:highlight w:val="none"/>
        </w:rPr>
      </w:pPr>
      <w:r>
        <w:rPr>
          <w:rFonts w:hint="eastAsia"/>
          <w:highlight w:val="none"/>
        </w:rPr>
        <w:t>按照《国家建筑标准设计图集</w:t>
      </w:r>
      <w:r>
        <w:rPr>
          <w:highlight w:val="none"/>
        </w:rPr>
        <w:t xml:space="preserve"> 09D101-6》规范要求敷设；</w:t>
      </w:r>
    </w:p>
    <w:p w14:paraId="5EEC5838">
      <w:pPr>
        <w:numPr>
          <w:ilvl w:val="1"/>
          <w:numId w:val="152"/>
        </w:numPr>
        <w:ind w:firstLine="480"/>
        <w:rPr>
          <w:rFonts w:hint="eastAsia"/>
          <w:highlight w:val="none"/>
        </w:rPr>
      </w:pPr>
      <w:r>
        <w:rPr>
          <w:highlight w:val="none"/>
        </w:rPr>
        <w:t>电缆敷设时，其固定点之间的间距应满足下表要求：</w:t>
      </w:r>
    </w:p>
    <w:p w14:paraId="2C0138C5">
      <w:pPr>
        <w:spacing w:before="120" w:beforeLines="50" w:after="120" w:afterLines="50"/>
        <w:ind w:firstLine="480"/>
        <w:jc w:val="right"/>
        <w:rPr>
          <w:rFonts w:hint="eastAsia" w:asciiTheme="minorEastAsia" w:hAnsiTheme="minorEastAsia"/>
          <w:highlight w:val="none"/>
        </w:rPr>
      </w:pPr>
      <w:r>
        <w:rPr>
          <w:rFonts w:hint="eastAsia" w:asciiTheme="minorEastAsia" w:hAnsiTheme="minorEastAsia"/>
          <w:highlight w:val="none"/>
        </w:rPr>
        <w:drawing>
          <wp:inline distT="0" distB="0" distL="0" distR="0">
            <wp:extent cx="4776470" cy="770890"/>
            <wp:effectExtent l="0" t="0" r="5080" b="635"/>
            <wp:docPr id="9" name="图片 9" descr="矿物绝缘电缆敷设固定点之间距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矿物绝缘电缆敷设固定点之间距离"/>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4779361" cy="771525"/>
                    </a:xfrm>
                    <a:prstGeom prst="rect">
                      <a:avLst/>
                    </a:prstGeom>
                    <a:noFill/>
                    <a:ln>
                      <a:noFill/>
                    </a:ln>
                  </pic:spPr>
                </pic:pic>
              </a:graphicData>
            </a:graphic>
          </wp:inline>
        </w:drawing>
      </w:r>
    </w:p>
    <w:p w14:paraId="45EBA63F">
      <w:pPr>
        <w:numPr>
          <w:ilvl w:val="1"/>
          <w:numId w:val="152"/>
        </w:numPr>
        <w:ind w:firstLine="480"/>
        <w:rPr>
          <w:rFonts w:hint="eastAsia"/>
          <w:highlight w:val="none"/>
        </w:rPr>
      </w:pPr>
      <w:r>
        <w:rPr>
          <w:highlight w:val="none"/>
        </w:rPr>
        <w:t>在明敷部位，如果相同走向的电缆大、中、小规格都有，从整齐、美观方面考虑，可按最小规格电缆标准要求固定，也可分档距固定。当电缆倾斜敷设时，电缆与垂直方向成30°及以下时，按垂直间距固定；大于30°时，按水平间距固定。</w:t>
      </w:r>
    </w:p>
    <w:p w14:paraId="7C55A011">
      <w:pPr>
        <w:numPr>
          <w:ilvl w:val="1"/>
          <w:numId w:val="152"/>
        </w:numPr>
        <w:ind w:firstLine="480"/>
        <w:rPr>
          <w:rFonts w:hint="eastAsia"/>
          <w:highlight w:val="none"/>
        </w:rPr>
      </w:pPr>
      <w:r>
        <w:rPr>
          <w:highlight w:val="none"/>
        </w:rPr>
        <w:t>计算敷设电缆所需长度时，应考虑留有不少于1%的余量</w:t>
      </w:r>
      <w:r>
        <w:rPr>
          <w:rFonts w:hint="eastAsia"/>
          <w:highlight w:val="none"/>
        </w:rPr>
        <w:t>，</w:t>
      </w:r>
      <w:r>
        <w:rPr>
          <w:highlight w:val="none"/>
        </w:rPr>
        <w:t>各种敷设方式也可按每米一个固定点固定。</w:t>
      </w:r>
    </w:p>
    <w:p w14:paraId="7BEA9C91">
      <w:pPr>
        <w:numPr>
          <w:ilvl w:val="1"/>
          <w:numId w:val="152"/>
        </w:numPr>
        <w:ind w:firstLine="480"/>
        <w:rPr>
          <w:rFonts w:hint="eastAsia"/>
          <w:highlight w:val="none"/>
        </w:rPr>
      </w:pPr>
      <w:r>
        <w:rPr>
          <w:highlight w:val="none"/>
        </w:rPr>
        <w:t>电缆敷设时，在转弯处、中间联接器两侧，有条件固定的应加以固定。</w:t>
      </w:r>
    </w:p>
    <w:p w14:paraId="72855232">
      <w:pPr>
        <w:numPr>
          <w:ilvl w:val="1"/>
          <w:numId w:val="152"/>
        </w:numPr>
        <w:ind w:firstLine="480"/>
        <w:rPr>
          <w:rFonts w:hint="eastAsia"/>
          <w:highlight w:val="none"/>
        </w:rPr>
      </w:pPr>
      <w:r>
        <w:rPr>
          <w:highlight w:val="none"/>
        </w:rPr>
        <w:t>单芯电缆敷设时，每路电缆之间留有不少于电缆外径的2倍间隙，如不留间隙，则应考虑载流量减少系数。</w:t>
      </w:r>
    </w:p>
    <w:p w14:paraId="7FAF3B2D">
      <w:pPr>
        <w:numPr>
          <w:ilvl w:val="1"/>
          <w:numId w:val="152"/>
        </w:numPr>
        <w:ind w:firstLine="480"/>
        <w:rPr>
          <w:rFonts w:hint="eastAsia"/>
          <w:highlight w:val="none"/>
        </w:rPr>
      </w:pPr>
      <w:r>
        <w:rPr>
          <w:highlight w:val="none"/>
        </w:rPr>
        <w:t>对电缆在运行中可能遭受机械损伤的部位，应采取适当的保护措施。</w:t>
      </w:r>
    </w:p>
    <w:p w14:paraId="007E26A9">
      <w:pPr>
        <w:numPr>
          <w:ilvl w:val="1"/>
          <w:numId w:val="152"/>
        </w:numPr>
        <w:ind w:firstLine="480"/>
        <w:rPr>
          <w:rFonts w:hint="eastAsia"/>
          <w:highlight w:val="none"/>
        </w:rPr>
      </w:pPr>
      <w:r>
        <w:rPr>
          <w:highlight w:val="none"/>
        </w:rPr>
        <w:t>单芯电缆敷设时，应逐根敷设，待每组布齐并矫直后，再做排列绑扎，绑扎间距以1~1.5m为宜。</w:t>
      </w:r>
    </w:p>
    <w:p w14:paraId="029DD7DF">
      <w:pPr>
        <w:numPr>
          <w:ilvl w:val="1"/>
          <w:numId w:val="152"/>
        </w:numPr>
        <w:ind w:firstLine="480"/>
        <w:rPr>
          <w:rFonts w:hint="eastAsia"/>
          <w:highlight w:val="none"/>
        </w:rPr>
      </w:pPr>
      <w:r>
        <w:rPr>
          <w:highlight w:val="none"/>
        </w:rPr>
        <w:t>当电缆在对铜护套有腐蚀作用的环境中敷设时，或在部分埋地或穿管敷设时，应采用有聚氯乙烯外护套的电缆。</w:t>
      </w:r>
    </w:p>
    <w:p w14:paraId="7C6F3B82">
      <w:pPr>
        <w:numPr>
          <w:ilvl w:val="1"/>
          <w:numId w:val="152"/>
        </w:numPr>
        <w:ind w:firstLine="480"/>
        <w:rPr>
          <w:rFonts w:hint="eastAsia"/>
          <w:highlight w:val="none"/>
        </w:rPr>
      </w:pPr>
      <w:r>
        <w:rPr>
          <w:highlight w:val="none"/>
        </w:rPr>
        <w:t>单芯电缆不允许单独穿金属管道敷设。</w:t>
      </w:r>
    </w:p>
    <w:p w14:paraId="524AEA17">
      <w:pPr>
        <w:numPr>
          <w:ilvl w:val="1"/>
          <w:numId w:val="152"/>
        </w:numPr>
        <w:ind w:firstLine="480"/>
        <w:rPr>
          <w:rFonts w:hint="eastAsia"/>
          <w:highlight w:val="none"/>
        </w:rPr>
      </w:pPr>
      <w:r>
        <w:rPr>
          <w:highlight w:val="none"/>
        </w:rPr>
        <w:t>在布线过程中，电缆锯断后应立即对其端部进行临时性封端。</w:t>
      </w:r>
    </w:p>
    <w:p w14:paraId="1F034940">
      <w:pPr>
        <w:numPr>
          <w:ilvl w:val="1"/>
          <w:numId w:val="152"/>
        </w:numPr>
        <w:ind w:firstLine="480"/>
        <w:rPr>
          <w:rFonts w:hint="eastAsia"/>
          <w:highlight w:val="none"/>
        </w:rPr>
      </w:pPr>
      <w:r>
        <w:rPr>
          <w:highlight w:val="none"/>
        </w:rPr>
        <w:t>电缆终端、中间联接器、敷设配件及施工专用工具应由电缆生产厂家配套供应。</w:t>
      </w:r>
    </w:p>
    <w:p w14:paraId="5C1DEE5F">
      <w:pPr>
        <w:numPr>
          <w:ilvl w:val="1"/>
          <w:numId w:val="152"/>
        </w:numPr>
        <w:ind w:firstLine="480"/>
        <w:rPr>
          <w:rFonts w:hint="eastAsia"/>
          <w:highlight w:val="none"/>
        </w:rPr>
      </w:pPr>
      <w:r>
        <w:rPr>
          <w:highlight w:val="none"/>
        </w:rPr>
        <w:t>电缆终端、中间联接器的安装，应严格按照电缆生产厂家推荐的安装工艺、规格和规范施工。</w:t>
      </w:r>
    </w:p>
    <w:p w14:paraId="034E8F5A">
      <w:pPr>
        <w:numPr>
          <w:ilvl w:val="1"/>
          <w:numId w:val="152"/>
        </w:numPr>
        <w:ind w:firstLine="480"/>
        <w:rPr>
          <w:rFonts w:hint="eastAsia"/>
          <w:highlight w:val="none"/>
        </w:rPr>
      </w:pPr>
      <w:r>
        <w:rPr>
          <w:highlight w:val="none"/>
        </w:rPr>
        <w:t>由于电缆的绝缘材料（氧化镁）在空气中易吸潮，施工时应做好防潮措施。当发现有潮气侵入电缆端部，可剪去受潮段；也可以用喷灯火焰直接对电缆受潮段进行加热驱潮，必须将火焰移向电缆终端，直到用1000V兆欧表检测电缆的绝缘电阻达到200MΩ以上，才能进行安装终端和中间联接器。</w:t>
      </w:r>
    </w:p>
    <w:p w14:paraId="77DE2531">
      <w:pPr>
        <w:numPr>
          <w:ilvl w:val="1"/>
          <w:numId w:val="152"/>
        </w:numPr>
        <w:ind w:firstLine="480"/>
        <w:rPr>
          <w:rFonts w:hint="eastAsia"/>
          <w:highlight w:val="none"/>
        </w:rPr>
      </w:pPr>
      <w:r>
        <w:rPr>
          <w:highlight w:val="none"/>
        </w:rPr>
        <w:t>在终端、中间联接器的安装过程中，要多次及时的测量电缆的绝缘电阻值，因安装时电缆受潮，或金属碎屑未清除干净，均可能造成绝缘不合格。</w:t>
      </w:r>
    </w:p>
    <w:p w14:paraId="2045BD2B">
      <w:pPr>
        <w:numPr>
          <w:ilvl w:val="1"/>
          <w:numId w:val="152"/>
        </w:numPr>
        <w:ind w:firstLine="480"/>
        <w:rPr>
          <w:rFonts w:hint="eastAsia"/>
          <w:highlight w:val="none"/>
        </w:rPr>
      </w:pPr>
      <w:r>
        <w:rPr>
          <w:highlight w:val="none"/>
        </w:rPr>
        <w:t>电缆终端、中间联接器的导线连接，可选用围压、点压、螺母压装、螺丝压接、压板压接等多种连接方式。</w:t>
      </w:r>
    </w:p>
    <w:p w14:paraId="2E76E879">
      <w:pPr>
        <w:numPr>
          <w:ilvl w:val="1"/>
          <w:numId w:val="152"/>
        </w:numPr>
        <w:ind w:firstLine="480"/>
        <w:rPr>
          <w:rFonts w:hint="eastAsia"/>
          <w:highlight w:val="none"/>
        </w:rPr>
      </w:pPr>
      <w:r>
        <w:rPr>
          <w:highlight w:val="none"/>
        </w:rPr>
        <w:t>电缆的终端应牢固可靠地固定在电气设备上。</w:t>
      </w:r>
    </w:p>
    <w:p w14:paraId="22C1393C">
      <w:pPr>
        <w:numPr>
          <w:ilvl w:val="1"/>
          <w:numId w:val="152"/>
        </w:numPr>
        <w:ind w:firstLine="480"/>
        <w:rPr>
          <w:rFonts w:hint="eastAsia"/>
          <w:highlight w:val="none"/>
        </w:rPr>
      </w:pPr>
      <w:r>
        <w:rPr>
          <w:highlight w:val="none"/>
        </w:rPr>
        <w:t>电缆平行敷设时，如有多支中间联接器，其位置应相互错开。</w:t>
      </w:r>
    </w:p>
    <w:p w14:paraId="69BD6D04">
      <w:pPr>
        <w:numPr>
          <w:ilvl w:val="1"/>
          <w:numId w:val="152"/>
        </w:numPr>
        <w:ind w:firstLine="480"/>
        <w:rPr>
          <w:rFonts w:hint="eastAsia"/>
          <w:highlight w:val="none"/>
        </w:rPr>
      </w:pPr>
      <w:r>
        <w:rPr>
          <w:highlight w:val="none"/>
        </w:rPr>
        <w:t>终端的芯线相序应连接正确，色标明显。</w:t>
      </w:r>
    </w:p>
    <w:p w14:paraId="230C1177">
      <w:pPr>
        <w:numPr>
          <w:ilvl w:val="1"/>
          <w:numId w:val="152"/>
        </w:numPr>
        <w:ind w:firstLine="480"/>
        <w:rPr>
          <w:rFonts w:hint="eastAsia"/>
          <w:highlight w:val="none"/>
        </w:rPr>
      </w:pPr>
      <w:r>
        <w:rPr>
          <w:highlight w:val="none"/>
        </w:rPr>
        <w:t>每路电缆的终端、中间联接器安装施工完后，应经绝缘电阻测试达100MΩ以上才能交付使用。</w:t>
      </w:r>
    </w:p>
    <w:p w14:paraId="2106C1FF">
      <w:pPr>
        <w:pStyle w:val="5"/>
        <w:numPr>
          <w:ilvl w:val="3"/>
          <w:numId w:val="13"/>
        </w:numPr>
        <w:rPr>
          <w:rFonts w:hint="eastAsia"/>
          <w:highlight w:val="none"/>
        </w:rPr>
      </w:pPr>
      <w:r>
        <w:rPr>
          <w:rFonts w:hint="eastAsia"/>
          <w:highlight w:val="none"/>
        </w:rPr>
        <w:t>电缆敷设</w:t>
      </w:r>
    </w:p>
    <w:p w14:paraId="1B4D1D38">
      <w:pPr>
        <w:numPr>
          <w:ilvl w:val="1"/>
          <w:numId w:val="153"/>
        </w:numPr>
        <w:ind w:firstLine="480"/>
        <w:rPr>
          <w:rFonts w:hint="eastAsia"/>
          <w:highlight w:val="none"/>
        </w:rPr>
      </w:pPr>
      <w:r>
        <w:rPr>
          <w:rFonts w:hint="eastAsia"/>
          <w:highlight w:val="none"/>
        </w:rPr>
        <w:t>对敷设距离较长，难度较大，宜采用机械敷设。电缆敷设线路较短，可采用人力敷设。</w:t>
      </w:r>
    </w:p>
    <w:p w14:paraId="7866AF0E">
      <w:pPr>
        <w:numPr>
          <w:ilvl w:val="1"/>
          <w:numId w:val="153"/>
        </w:numPr>
        <w:ind w:firstLine="480"/>
        <w:rPr>
          <w:rFonts w:hint="eastAsia"/>
          <w:highlight w:val="none"/>
        </w:rPr>
      </w:pPr>
      <w:r>
        <w:rPr>
          <w:rFonts w:hint="eastAsia"/>
          <w:highlight w:val="none"/>
        </w:rPr>
        <w:t>桥架内电缆应排列整齐，固定点一致。在水平方向以尼龙带扣将电缆束牢。</w:t>
      </w:r>
      <w:r>
        <w:rPr>
          <w:highlight w:val="none"/>
        </w:rPr>
        <w:t xml:space="preserve"> </w:t>
      </w:r>
      <w:r>
        <w:rPr>
          <w:rFonts w:hint="eastAsia"/>
          <w:highlight w:val="none"/>
        </w:rPr>
        <w:t>在垂直方向敷设的电缆上以批准的电缆夹或鞍型夹固定。不得将一个以上的单芯电缆回路或一回以上多芯电缆敷设在一起。单芯电缆回路或多芯电缆间至少相隔等于相邻电缆群中最大电缆直径之两倍。电缆穿过楼板和墙壁处须以批准的防火材料将电缆孔封闭，以保持与所穿过的楼板和墙壁相同的耐火等级。</w:t>
      </w:r>
    </w:p>
    <w:p w14:paraId="16569164">
      <w:pPr>
        <w:numPr>
          <w:ilvl w:val="1"/>
          <w:numId w:val="153"/>
        </w:numPr>
        <w:ind w:firstLine="480"/>
        <w:rPr>
          <w:rFonts w:hint="eastAsia"/>
          <w:highlight w:val="none"/>
        </w:rPr>
      </w:pPr>
      <w:r>
        <w:rPr>
          <w:rFonts w:hint="eastAsia"/>
          <w:highlight w:val="none"/>
        </w:rPr>
        <w:t>电缆头制作：所有接线端子均采用紧压铜端子，端子与电缆线芯截面相匹配，铜端子的压接采用手动式液压压接钳，采用热缩头、热缩管作为电缆头绝缘保护。电缆终端制作好，与配电柜连接前要进行绝缘测试，以确认绝缘强度符合要求。同时电缆要作好回路标注和相色标记。电缆的裁减长度要合适，保证电缆与配电柜母线或接线端连接后不产生过大的机械应力。连接前，对搭接面进行清洁处理，同时涂抹适量的电力复合脂，确保连接和导电性能可靠。</w:t>
      </w:r>
    </w:p>
    <w:p w14:paraId="121472FC">
      <w:pPr>
        <w:numPr>
          <w:ilvl w:val="1"/>
          <w:numId w:val="153"/>
        </w:numPr>
        <w:ind w:firstLine="480"/>
        <w:rPr>
          <w:rFonts w:hint="eastAsia"/>
          <w:highlight w:val="none"/>
        </w:rPr>
      </w:pPr>
      <w:r>
        <w:rPr>
          <w:rFonts w:hint="eastAsia"/>
          <w:highlight w:val="none"/>
        </w:rPr>
        <w:t>电缆的标识：沿电缆桥架敷设的电缆在其两端、拐弯处、交叉处应挂标志牌，直线段每间隔</w:t>
      </w:r>
      <w:r>
        <w:rPr>
          <w:highlight w:val="none"/>
        </w:rPr>
        <w:t>20m增设标志牌。电缆标识须由椭圆形的PVC标记，穿标记带及尼龙扎带组成。整个标志须能耐70℃的温度。挂设应牢固。标志牌上应注明电缆编号、规格、型号、电压等级及起始位置。</w:t>
      </w:r>
    </w:p>
    <w:p w14:paraId="358BF63A">
      <w:pPr>
        <w:pStyle w:val="5"/>
        <w:numPr>
          <w:ilvl w:val="3"/>
          <w:numId w:val="13"/>
        </w:numPr>
        <w:rPr>
          <w:rFonts w:hint="eastAsia"/>
          <w:highlight w:val="none"/>
        </w:rPr>
      </w:pPr>
      <w:r>
        <w:rPr>
          <w:rFonts w:hint="eastAsia"/>
          <w:highlight w:val="none"/>
        </w:rPr>
        <w:t>设备接线</w:t>
      </w:r>
    </w:p>
    <w:p w14:paraId="5571F040">
      <w:pPr>
        <w:numPr>
          <w:ilvl w:val="1"/>
          <w:numId w:val="154"/>
        </w:numPr>
        <w:ind w:firstLine="480"/>
        <w:rPr>
          <w:rFonts w:hint="eastAsia"/>
          <w:highlight w:val="none"/>
        </w:rPr>
      </w:pPr>
      <w:r>
        <w:rPr>
          <w:rFonts w:hint="eastAsia"/>
          <w:highlight w:val="none"/>
        </w:rPr>
        <w:t>配电系统接线应按图施工，接线正确；导线与电器元件间的连接应牢固可靠；箱、柜内的导线不应有接头，导线芯线应无损伤。</w:t>
      </w:r>
    </w:p>
    <w:p w14:paraId="0F1AB7A5">
      <w:pPr>
        <w:numPr>
          <w:ilvl w:val="1"/>
          <w:numId w:val="154"/>
        </w:numPr>
        <w:ind w:firstLine="480"/>
        <w:rPr>
          <w:rFonts w:hint="eastAsia"/>
          <w:highlight w:val="none"/>
        </w:rPr>
      </w:pPr>
      <w:r>
        <w:rPr>
          <w:rFonts w:hint="eastAsia"/>
          <w:highlight w:val="none"/>
        </w:rPr>
        <w:t>电缆芯线和所配导线的端部均应标明其回路编号，编号应正确，字迹清晰且不宜脱色；配线应整齐、清晰、美观，导线绝缘应良好，无损伤；每个接线端子的每侧接线宜为</w:t>
      </w:r>
      <w:r>
        <w:rPr>
          <w:highlight w:val="none"/>
        </w:rPr>
        <w:t>1根，不得超过2根；接线应设专用螺栓。</w:t>
      </w:r>
    </w:p>
    <w:p w14:paraId="0F03FA1B">
      <w:pPr>
        <w:numPr>
          <w:ilvl w:val="1"/>
          <w:numId w:val="154"/>
        </w:numPr>
        <w:ind w:firstLine="480"/>
        <w:rPr>
          <w:rFonts w:hint="eastAsia"/>
          <w:highlight w:val="none"/>
        </w:rPr>
      </w:pPr>
      <w:r>
        <w:rPr>
          <w:rFonts w:hint="eastAsia"/>
          <w:highlight w:val="none"/>
        </w:rPr>
        <w:t>引入箱、柜内的电缆及其芯线符合下列要求：引入箱、柜的电缆应排列整齐，编号清晰，避免交叉，并固定牢固，不得使所接的端子排受到机械应力；箱、柜内的电缆芯线，应按垂直或水平有规律地配置，不得任意歪斜交叉连接。备用芯线长度应留有适当余量。</w:t>
      </w:r>
    </w:p>
    <w:p w14:paraId="269E8406">
      <w:pPr>
        <w:numPr>
          <w:ilvl w:val="1"/>
          <w:numId w:val="154"/>
        </w:numPr>
        <w:ind w:firstLine="480"/>
        <w:rPr>
          <w:rFonts w:hint="eastAsia"/>
          <w:highlight w:val="none"/>
        </w:rPr>
      </w:pPr>
      <w:r>
        <w:rPr>
          <w:rFonts w:hint="eastAsia"/>
          <w:highlight w:val="none"/>
        </w:rPr>
        <w:t>现场电气接线：灯具、插座、开关等的现场接线应严格按照施工规范要求进行，接线牢固、连接可靠。</w:t>
      </w:r>
    </w:p>
    <w:p w14:paraId="2A3BA615">
      <w:pPr>
        <w:numPr>
          <w:ilvl w:val="1"/>
          <w:numId w:val="154"/>
        </w:numPr>
        <w:ind w:firstLine="480"/>
        <w:rPr>
          <w:rFonts w:hint="eastAsia"/>
          <w:highlight w:val="none"/>
        </w:rPr>
      </w:pPr>
      <w:r>
        <w:rPr>
          <w:highlight w:val="none"/>
        </w:rPr>
        <w:t>控制电缆进出配电箱柜需设置橡胶防护胶套，防止划伤电缆、电线外径；</w:t>
      </w:r>
    </w:p>
    <w:p w14:paraId="4D5F4D8B">
      <w:pPr>
        <w:numPr>
          <w:ilvl w:val="1"/>
          <w:numId w:val="154"/>
        </w:numPr>
        <w:ind w:firstLine="480"/>
        <w:rPr>
          <w:rFonts w:hint="eastAsia"/>
          <w:highlight w:val="none"/>
        </w:rPr>
      </w:pPr>
      <w:r>
        <w:rPr>
          <w:highlight w:val="none"/>
        </w:rPr>
        <w:t>控制电缆在配电箱内配线整齐，绑扎成束，无绞接现象，回路编号、标识清晰。</w:t>
      </w:r>
    </w:p>
    <w:p w14:paraId="5C2EA623">
      <w:pPr>
        <w:pStyle w:val="4"/>
        <w:numPr>
          <w:ilvl w:val="2"/>
          <w:numId w:val="13"/>
        </w:numPr>
        <w:rPr>
          <w:rFonts w:hint="eastAsia"/>
          <w:highlight w:val="none"/>
        </w:rPr>
      </w:pPr>
      <w:r>
        <w:rPr>
          <w:rFonts w:hint="eastAsia"/>
          <w:highlight w:val="none"/>
        </w:rPr>
        <w:t>机电工程的调试、试运行</w:t>
      </w:r>
    </w:p>
    <w:p w14:paraId="04A861FD">
      <w:pPr>
        <w:pStyle w:val="5"/>
        <w:numPr>
          <w:ilvl w:val="3"/>
          <w:numId w:val="13"/>
        </w:numPr>
        <w:rPr>
          <w:rFonts w:hint="eastAsia"/>
          <w:highlight w:val="none"/>
        </w:rPr>
      </w:pPr>
      <w:r>
        <w:rPr>
          <w:rFonts w:hint="eastAsia"/>
          <w:highlight w:val="none"/>
        </w:rPr>
        <w:t>动力系统安装调试</w:t>
      </w:r>
    </w:p>
    <w:p w14:paraId="4AC3CF25">
      <w:pPr>
        <w:numPr>
          <w:ilvl w:val="1"/>
          <w:numId w:val="155"/>
        </w:numPr>
        <w:ind w:firstLine="480"/>
        <w:rPr>
          <w:rFonts w:hint="eastAsia"/>
          <w:highlight w:val="none"/>
        </w:rPr>
      </w:pPr>
      <w:r>
        <w:rPr>
          <w:rFonts w:hint="eastAsia"/>
          <w:highlight w:val="none"/>
        </w:rPr>
        <w:t>在封闭母线安装完毕，应进行下列检查：绝缘子的绝缘电阻测量和套管的绝缘电阻测量。</w:t>
      </w:r>
    </w:p>
    <w:p w14:paraId="54EEAD09">
      <w:pPr>
        <w:numPr>
          <w:ilvl w:val="1"/>
          <w:numId w:val="155"/>
        </w:numPr>
        <w:ind w:firstLine="480"/>
        <w:rPr>
          <w:rFonts w:hint="eastAsia"/>
          <w:highlight w:val="none"/>
        </w:rPr>
      </w:pPr>
      <w:r>
        <w:rPr>
          <w:rFonts w:hint="eastAsia"/>
          <w:highlight w:val="none"/>
        </w:rPr>
        <w:t>动力电缆：测量电缆线芯对地或对金属屏蔽层间和各线芯间的绝缘电阻，电缆直流耐压试验和直流泄露试验。电缆相位检查、电缆头制作应符合规范要求。</w:t>
      </w:r>
    </w:p>
    <w:p w14:paraId="63711001">
      <w:pPr>
        <w:pStyle w:val="5"/>
        <w:numPr>
          <w:ilvl w:val="3"/>
          <w:numId w:val="13"/>
        </w:numPr>
        <w:rPr>
          <w:rFonts w:hint="eastAsia"/>
          <w:highlight w:val="none"/>
        </w:rPr>
      </w:pPr>
      <w:r>
        <w:rPr>
          <w:rFonts w:hint="eastAsia"/>
          <w:highlight w:val="none"/>
        </w:rPr>
        <w:t>电机</w:t>
      </w:r>
    </w:p>
    <w:p w14:paraId="037FD91F">
      <w:pPr>
        <w:ind w:firstLine="480"/>
        <w:rPr>
          <w:rFonts w:hint="eastAsia"/>
          <w:highlight w:val="none"/>
        </w:rPr>
      </w:pPr>
      <w:r>
        <w:rPr>
          <w:rFonts w:hint="eastAsia"/>
          <w:highlight w:val="none"/>
        </w:rPr>
        <w:t>电机试运行前应测试其线圈阻值符合说明书之要求。检查电刷与换向器或滑环接触是否良好，转子是否灵活，引出线相位是否正确，连接是否牢固。电机每次启动应为空载运行，运行时间为</w:t>
      </w:r>
      <w:r>
        <w:rPr>
          <w:highlight w:val="none"/>
        </w:rPr>
        <w:t>2小时。试运时，如发现旋向不对，换向器、滑环及电刷工作不正常，电机温升过高，电机振动过大，应立即停机检修。电机空载运行正常，无异常现象，才能投入负载运行。</w:t>
      </w:r>
    </w:p>
    <w:p w14:paraId="5AB93D2C">
      <w:pPr>
        <w:pStyle w:val="5"/>
        <w:numPr>
          <w:ilvl w:val="3"/>
          <w:numId w:val="13"/>
        </w:numPr>
        <w:rPr>
          <w:rFonts w:hint="eastAsia"/>
          <w:highlight w:val="none"/>
        </w:rPr>
      </w:pPr>
      <w:r>
        <w:rPr>
          <w:rFonts w:hint="eastAsia"/>
          <w:highlight w:val="none"/>
        </w:rPr>
        <w:t>通电试运行</w:t>
      </w:r>
    </w:p>
    <w:p w14:paraId="0F6CA2B2">
      <w:pPr>
        <w:ind w:firstLine="480"/>
        <w:rPr>
          <w:rFonts w:hint="eastAsia"/>
          <w:highlight w:val="none"/>
        </w:rPr>
      </w:pPr>
      <w:r>
        <w:rPr>
          <w:rFonts w:hint="eastAsia"/>
          <w:highlight w:val="none"/>
        </w:rPr>
        <w:t>变压器通电试运行前应做好全面检查，确认符合试运行条件时，方可投入运行。</w:t>
      </w:r>
    </w:p>
    <w:p w14:paraId="55AA34BE">
      <w:pPr>
        <w:pStyle w:val="5"/>
        <w:rPr>
          <w:rFonts w:hint="eastAsia"/>
          <w:highlight w:val="none"/>
        </w:rPr>
      </w:pPr>
      <w:r>
        <w:rPr>
          <w:rFonts w:hint="eastAsia"/>
          <w:highlight w:val="none"/>
        </w:rPr>
        <w:t>给水系统调试</w:t>
      </w:r>
    </w:p>
    <w:p w14:paraId="7DB6520F">
      <w:pPr>
        <w:spacing w:before="120" w:beforeLines="50" w:after="120" w:afterLines="50"/>
        <w:ind w:firstLine="849" w:firstLineChars="354"/>
        <w:rPr>
          <w:rFonts w:hint="eastAsia" w:asciiTheme="minorEastAsia" w:hAnsiTheme="minorEastAsia"/>
          <w:highlight w:val="none"/>
        </w:rPr>
      </w:pPr>
      <w:r>
        <w:rPr>
          <w:rFonts w:hint="eastAsia" w:asciiTheme="minorEastAsia" w:hAnsiTheme="minorEastAsia"/>
          <w:highlight w:val="none"/>
        </w:rPr>
        <w:t>给水系统调试主要内容是管道系统试压、冲洗、消毒试验，通水能力检查。</w:t>
      </w:r>
    </w:p>
    <w:p w14:paraId="5676FF03">
      <w:pPr>
        <w:numPr>
          <w:ilvl w:val="1"/>
          <w:numId w:val="156"/>
        </w:numPr>
        <w:spacing w:before="120" w:beforeLines="50" w:after="120" w:afterLines="50"/>
        <w:ind w:left="425" w:leftChars="177" w:firstLine="480"/>
        <w:rPr>
          <w:rFonts w:hint="eastAsia" w:asciiTheme="minorEastAsia" w:hAnsiTheme="minorEastAsia"/>
          <w:bCs/>
          <w:highlight w:val="none"/>
        </w:rPr>
      </w:pPr>
      <w:r>
        <w:rPr>
          <w:rFonts w:hint="eastAsia" w:asciiTheme="minorEastAsia" w:hAnsiTheme="minorEastAsia"/>
          <w:bCs/>
          <w:highlight w:val="none"/>
        </w:rPr>
        <w:t>系统试压</w:t>
      </w:r>
    </w:p>
    <w:p w14:paraId="2E21EFC8">
      <w:pPr>
        <w:numPr>
          <w:ilvl w:val="0"/>
          <w:numId w:val="157"/>
        </w:numPr>
        <w:ind w:firstLine="480"/>
        <w:rPr>
          <w:rFonts w:hint="eastAsia"/>
          <w:highlight w:val="none"/>
        </w:rPr>
      </w:pPr>
      <w:r>
        <w:rPr>
          <w:rFonts w:hint="eastAsia"/>
          <w:highlight w:val="none"/>
        </w:rPr>
        <w:t>灌水前的检查工作：检查全系统管路、设备、阀件、支架等必修安装无误。各连接处均无遗漏；检查全系统试压的实际情况，检查系统上各类阀门的开、关状态，不得漏检，保证各用水点的阀门全部关闭严密；检查试压用的压力表灵敏度；水压试验系统中的阀门都处于全关闭状态，待试压中需要开启时再打开，控制阀门打开后，派专人巡视。</w:t>
      </w:r>
    </w:p>
    <w:p w14:paraId="66F88F64">
      <w:pPr>
        <w:numPr>
          <w:ilvl w:val="0"/>
          <w:numId w:val="157"/>
        </w:numPr>
        <w:ind w:firstLine="480"/>
        <w:rPr>
          <w:rFonts w:hint="eastAsia"/>
          <w:highlight w:val="none"/>
        </w:rPr>
      </w:pPr>
      <w:r>
        <w:rPr>
          <w:rFonts w:hint="eastAsia"/>
          <w:highlight w:val="none"/>
        </w:rPr>
        <w:t>向管道系统注水：用生活水泵从下往上向系统送水，注水时，应该将楼内给水系统最高点的阀门打开，并安排专人进行看守；待管道系统内的空气全部排净见水后，才可将阀门关闭，此时表明管道系统注水已满（应反复关闭数次进行验证）。</w:t>
      </w:r>
    </w:p>
    <w:p w14:paraId="68A1D0F5">
      <w:pPr>
        <w:numPr>
          <w:ilvl w:val="0"/>
          <w:numId w:val="157"/>
        </w:numPr>
        <w:ind w:firstLine="480"/>
        <w:rPr>
          <w:rFonts w:hint="eastAsia"/>
          <w:highlight w:val="none"/>
        </w:rPr>
      </w:pPr>
      <w:r>
        <w:rPr>
          <w:rFonts w:hint="eastAsia"/>
          <w:highlight w:val="none"/>
        </w:rPr>
        <w:t>向管道系统加压：管道系统注满水后，启动加压泵使系统水压逐渐升高，先升至工作压力，停泵检查，观察各部位无破裂、无渗漏时，再将压力升至试验压力</w:t>
      </w:r>
      <w:r>
        <w:rPr>
          <w:highlight w:val="none"/>
        </w:rPr>
        <w:t xml:space="preserve"> (工作压力的1.5倍)，并稳压10</w:t>
      </w:r>
      <w:r>
        <w:rPr>
          <w:rFonts w:hint="eastAsia"/>
          <w:highlight w:val="none"/>
        </w:rPr>
        <w:t>分钟</w:t>
      </w:r>
      <w:r>
        <w:rPr>
          <w:highlight w:val="none"/>
        </w:rPr>
        <w:t>，压力降不大于0.02</w:t>
      </w:r>
      <w:r>
        <w:rPr>
          <w:rFonts w:hint="eastAsia"/>
          <w:highlight w:val="none"/>
        </w:rPr>
        <w:t xml:space="preserve"> </w:t>
      </w:r>
      <w:r>
        <w:rPr>
          <w:highlight w:val="none"/>
        </w:rPr>
        <w:t>MPa，表明系统强度试验合格。然后再将试验压力缓慢降至工作压力，保持压力不小于2小时，压力不下降并且管道各连接处无渗漏现象，试压合格。</w:t>
      </w:r>
    </w:p>
    <w:p w14:paraId="22DA3AD8">
      <w:pPr>
        <w:numPr>
          <w:ilvl w:val="0"/>
          <w:numId w:val="157"/>
        </w:numPr>
        <w:ind w:firstLine="480"/>
        <w:rPr>
          <w:rFonts w:hint="eastAsia"/>
          <w:highlight w:val="none"/>
        </w:rPr>
      </w:pPr>
      <w:r>
        <w:rPr>
          <w:rFonts w:hint="eastAsia"/>
          <w:highlight w:val="none"/>
        </w:rPr>
        <w:t>泄水：系统试压合格后，放掉管道内的全部存水，特别注意将系统低处的存水泄掉。</w:t>
      </w:r>
    </w:p>
    <w:p w14:paraId="29104344">
      <w:pPr>
        <w:numPr>
          <w:ilvl w:val="1"/>
          <w:numId w:val="156"/>
        </w:numPr>
        <w:ind w:firstLine="480"/>
        <w:rPr>
          <w:rFonts w:hint="eastAsia"/>
          <w:highlight w:val="none"/>
        </w:rPr>
      </w:pPr>
      <w:r>
        <w:rPr>
          <w:rFonts w:hint="eastAsia"/>
          <w:highlight w:val="none"/>
        </w:rPr>
        <w:t>冲洗、消毒</w:t>
      </w:r>
    </w:p>
    <w:p w14:paraId="6FF15686">
      <w:pPr>
        <w:numPr>
          <w:ilvl w:val="0"/>
          <w:numId w:val="158"/>
        </w:numPr>
        <w:ind w:firstLine="480"/>
        <w:rPr>
          <w:rFonts w:hint="eastAsia"/>
          <w:highlight w:val="none"/>
        </w:rPr>
      </w:pPr>
      <w:r>
        <w:rPr>
          <w:rFonts w:hint="eastAsia"/>
          <w:highlight w:val="none"/>
        </w:rPr>
        <w:t>给水系统冲洗应该先冲洗底部干管，后冲洗各环路支管。冲洗前，将管道系统内的止回阀阀芯等拆除，待冲洗合格后重新安上。</w:t>
      </w:r>
    </w:p>
    <w:p w14:paraId="1891562E">
      <w:pPr>
        <w:numPr>
          <w:ilvl w:val="0"/>
          <w:numId w:val="158"/>
        </w:numPr>
        <w:ind w:firstLine="480"/>
        <w:rPr>
          <w:rFonts w:hint="eastAsia"/>
          <w:highlight w:val="none"/>
        </w:rPr>
      </w:pPr>
      <w:r>
        <w:rPr>
          <w:rFonts w:hint="eastAsia"/>
          <w:highlight w:val="none"/>
        </w:rPr>
        <w:t>将临时自来水接至供水水平主管向系统供水。关闭其他支管控制阀门，只开启干管末端支管最底层的阀门，由底层放水并引至排水系统内。观察出水口处水质的变化。底层干管冲洗后再依次冲洗各分支。直至全系统管路冲洗完毕为止。</w:t>
      </w:r>
    </w:p>
    <w:p w14:paraId="1AA3F429">
      <w:pPr>
        <w:numPr>
          <w:ilvl w:val="0"/>
          <w:numId w:val="158"/>
        </w:numPr>
        <w:ind w:firstLine="480"/>
        <w:rPr>
          <w:rFonts w:hint="eastAsia"/>
          <w:highlight w:val="none"/>
        </w:rPr>
      </w:pPr>
      <w:r>
        <w:rPr>
          <w:rFonts w:hint="eastAsia"/>
          <w:highlight w:val="none"/>
        </w:rPr>
        <w:t>冲洗时水压应该大于系统供水工作压力，保证出水口的排水流速</w:t>
      </w:r>
      <w:r>
        <w:rPr>
          <w:highlight w:val="none"/>
        </w:rPr>
        <w:t>υ</w:t>
      </w:r>
      <w:r>
        <w:rPr>
          <w:rFonts w:hint="eastAsia"/>
          <w:highlight w:val="none"/>
        </w:rPr>
        <w:t>≮</w:t>
      </w:r>
      <w:r>
        <w:rPr>
          <w:highlight w:val="none"/>
        </w:rPr>
        <w:t>1.5m/s。</w:t>
      </w:r>
    </w:p>
    <w:p w14:paraId="1EDA8D62">
      <w:pPr>
        <w:numPr>
          <w:ilvl w:val="0"/>
          <w:numId w:val="158"/>
        </w:numPr>
        <w:ind w:firstLine="480"/>
        <w:rPr>
          <w:rFonts w:hint="eastAsia"/>
          <w:highlight w:val="none"/>
        </w:rPr>
      </w:pPr>
      <w:r>
        <w:rPr>
          <w:rFonts w:hint="eastAsia"/>
          <w:highlight w:val="none"/>
        </w:rPr>
        <w:t>出水口处的管径截面不小于被冲洗管径截面的</w:t>
      </w:r>
      <w:r>
        <w:rPr>
          <w:highlight w:val="none"/>
        </w:rPr>
        <w:t>3/5。</w:t>
      </w:r>
    </w:p>
    <w:p w14:paraId="416E9CD4">
      <w:pPr>
        <w:numPr>
          <w:ilvl w:val="0"/>
          <w:numId w:val="158"/>
        </w:numPr>
        <w:ind w:firstLine="480"/>
        <w:rPr>
          <w:rFonts w:hint="eastAsia"/>
          <w:highlight w:val="none"/>
        </w:rPr>
      </w:pPr>
      <w:r>
        <w:rPr>
          <w:rFonts w:hint="eastAsia"/>
          <w:highlight w:val="none"/>
        </w:rPr>
        <w:t>冲洗前，结合生活饮用水消毒规定，先进行处理，即用每升水中含</w:t>
      </w:r>
      <w:r>
        <w:rPr>
          <w:highlight w:val="none"/>
        </w:rPr>
        <w:t>20~30mg游离氯的水灌满管道，并在管中留置24</w:t>
      </w:r>
      <w:r>
        <w:rPr>
          <w:rFonts w:hint="eastAsia"/>
          <w:highlight w:val="none"/>
        </w:rPr>
        <w:t>小时</w:t>
      </w:r>
      <w:r>
        <w:rPr>
          <w:highlight w:val="none"/>
        </w:rPr>
        <w:t>以上，然后再进行冲洗。</w:t>
      </w:r>
    </w:p>
    <w:p w14:paraId="4B833BA5">
      <w:pPr>
        <w:numPr>
          <w:ilvl w:val="1"/>
          <w:numId w:val="156"/>
        </w:numPr>
        <w:ind w:firstLine="480"/>
        <w:rPr>
          <w:rFonts w:hint="eastAsia"/>
          <w:highlight w:val="none"/>
        </w:rPr>
      </w:pPr>
      <w:r>
        <w:rPr>
          <w:rFonts w:hint="eastAsia"/>
          <w:highlight w:val="none"/>
        </w:rPr>
        <w:t>系统通水能力：室内生活通水能力检查，按设计要求同时开放最大数量配水点是否全部达到额定流量。</w:t>
      </w:r>
    </w:p>
    <w:p w14:paraId="0493FF7D">
      <w:pPr>
        <w:pStyle w:val="5"/>
        <w:numPr>
          <w:ilvl w:val="3"/>
          <w:numId w:val="13"/>
        </w:numPr>
        <w:rPr>
          <w:rFonts w:hint="eastAsia"/>
          <w:highlight w:val="none"/>
        </w:rPr>
      </w:pPr>
      <w:r>
        <w:rPr>
          <w:rFonts w:hint="eastAsia"/>
          <w:highlight w:val="none"/>
        </w:rPr>
        <w:t>排水系统调试</w:t>
      </w:r>
    </w:p>
    <w:p w14:paraId="3CBD0A05">
      <w:pPr>
        <w:spacing w:before="120" w:beforeLines="50" w:after="120" w:afterLines="50"/>
        <w:ind w:left="851" w:firstLine="0" w:firstLineChars="0"/>
        <w:rPr>
          <w:rFonts w:hint="eastAsia" w:asciiTheme="minorEastAsia" w:hAnsiTheme="minorEastAsia"/>
          <w:highlight w:val="none"/>
        </w:rPr>
      </w:pPr>
      <w:r>
        <w:rPr>
          <w:rFonts w:hint="eastAsia" w:asciiTheme="minorEastAsia" w:hAnsiTheme="minorEastAsia"/>
          <w:highlight w:val="none"/>
        </w:rPr>
        <w:t>排水系统调试主要内容为排水管道系统的灌水、通球、通水试验。</w:t>
      </w:r>
    </w:p>
    <w:p w14:paraId="3B3630B7">
      <w:pPr>
        <w:numPr>
          <w:ilvl w:val="1"/>
          <w:numId w:val="159"/>
        </w:numPr>
        <w:ind w:firstLine="480"/>
        <w:rPr>
          <w:rFonts w:hint="eastAsia"/>
          <w:highlight w:val="none"/>
        </w:rPr>
      </w:pPr>
      <w:r>
        <w:rPr>
          <w:rFonts w:hint="eastAsia"/>
          <w:highlight w:val="none"/>
        </w:rPr>
        <w:t>排水管道的灌水试验在施工过程中需按照规范要求进行。</w:t>
      </w:r>
    </w:p>
    <w:p w14:paraId="28F7C096">
      <w:pPr>
        <w:numPr>
          <w:ilvl w:val="1"/>
          <w:numId w:val="159"/>
        </w:numPr>
        <w:ind w:firstLine="480"/>
        <w:rPr>
          <w:rFonts w:hint="eastAsia"/>
          <w:highlight w:val="none"/>
        </w:rPr>
      </w:pPr>
      <w:r>
        <w:rPr>
          <w:rFonts w:hint="eastAsia"/>
          <w:highlight w:val="none"/>
        </w:rPr>
        <w:t>通球试验：通球的直径不小于排水管道管径的</w:t>
      </w:r>
      <w:r>
        <w:rPr>
          <w:highlight w:val="none"/>
        </w:rPr>
        <w:t>2/3，通球率必须达到100%。</w:t>
      </w:r>
    </w:p>
    <w:p w14:paraId="43A407BE">
      <w:pPr>
        <w:numPr>
          <w:ilvl w:val="1"/>
          <w:numId w:val="159"/>
        </w:numPr>
        <w:ind w:firstLine="480"/>
        <w:rPr>
          <w:rFonts w:hint="eastAsia"/>
          <w:highlight w:val="none"/>
        </w:rPr>
      </w:pPr>
      <w:r>
        <w:rPr>
          <w:rFonts w:hint="eastAsia"/>
          <w:highlight w:val="none"/>
        </w:rPr>
        <w:t>通水试验步骤：</w:t>
      </w:r>
    </w:p>
    <w:p w14:paraId="06C9E848">
      <w:pPr>
        <w:numPr>
          <w:ilvl w:val="0"/>
          <w:numId w:val="160"/>
        </w:numPr>
        <w:ind w:firstLine="480"/>
        <w:rPr>
          <w:rFonts w:hint="eastAsia"/>
          <w:highlight w:val="none"/>
        </w:rPr>
      </w:pPr>
      <w:r>
        <w:rPr>
          <w:rFonts w:hint="eastAsia"/>
          <w:highlight w:val="none"/>
        </w:rPr>
        <w:t>检查各排水系统，均应与室外排水系统接通，并可以向室外排水。</w:t>
      </w:r>
    </w:p>
    <w:p w14:paraId="0AE0C6FC">
      <w:pPr>
        <w:numPr>
          <w:ilvl w:val="0"/>
          <w:numId w:val="160"/>
        </w:numPr>
        <w:ind w:firstLine="480"/>
        <w:rPr>
          <w:rFonts w:hint="eastAsia"/>
          <w:highlight w:val="none"/>
        </w:rPr>
      </w:pPr>
      <w:r>
        <w:rPr>
          <w:rFonts w:hint="eastAsia"/>
          <w:highlight w:val="none"/>
        </w:rPr>
        <w:t>将排水立管进行编号，逐步开启各路排水立管顶层各配水阀件至最大水量，使其处于向对应的排水点排水状态。</w:t>
      </w:r>
    </w:p>
    <w:p w14:paraId="6C3E6731">
      <w:pPr>
        <w:numPr>
          <w:ilvl w:val="0"/>
          <w:numId w:val="160"/>
        </w:numPr>
        <w:ind w:firstLine="480"/>
        <w:rPr>
          <w:rFonts w:hint="eastAsia"/>
          <w:highlight w:val="none"/>
        </w:rPr>
      </w:pPr>
      <w:r>
        <w:rPr>
          <w:rFonts w:hint="eastAsia"/>
          <w:highlight w:val="none"/>
        </w:rPr>
        <w:t>检查排水立管从顶层到第一排水检查井各管段及排水点，对渗漏和排水不畅处，进行及时处理，再次通水检查。</w:t>
      </w:r>
    </w:p>
    <w:p w14:paraId="3109C51A">
      <w:pPr>
        <w:numPr>
          <w:ilvl w:val="0"/>
          <w:numId w:val="160"/>
        </w:numPr>
        <w:ind w:firstLine="480"/>
        <w:rPr>
          <w:rFonts w:hint="eastAsia"/>
          <w:highlight w:val="none"/>
        </w:rPr>
      </w:pPr>
      <w:r>
        <w:rPr>
          <w:rFonts w:hint="eastAsia"/>
          <w:highlight w:val="none"/>
        </w:rPr>
        <w:t>检查室内排水系统，设计要求同时开放的最大的数量配水点是否达到额定流量。</w:t>
      </w:r>
    </w:p>
    <w:p w14:paraId="5EDB4B7D">
      <w:pPr>
        <w:numPr>
          <w:ilvl w:val="0"/>
          <w:numId w:val="160"/>
        </w:numPr>
        <w:ind w:firstLine="480"/>
        <w:rPr>
          <w:rFonts w:hint="eastAsia"/>
          <w:highlight w:val="none"/>
        </w:rPr>
      </w:pPr>
      <w:r>
        <w:rPr>
          <w:rFonts w:hint="eastAsia"/>
          <w:highlight w:val="none"/>
        </w:rPr>
        <w:t>将室内排水系统，按给水系统的</w:t>
      </w:r>
      <w:r>
        <w:rPr>
          <w:highlight w:val="none"/>
        </w:rPr>
        <w:t>1/3配水点同时开放，检查各排水点是否畅通，接口处有无渗漏。</w:t>
      </w:r>
    </w:p>
    <w:p w14:paraId="1DEBDA78">
      <w:pPr>
        <w:pStyle w:val="5"/>
        <w:numPr>
          <w:ilvl w:val="3"/>
          <w:numId w:val="13"/>
        </w:numPr>
        <w:rPr>
          <w:rFonts w:hint="eastAsia"/>
          <w:highlight w:val="none"/>
        </w:rPr>
      </w:pPr>
      <w:r>
        <w:rPr>
          <w:rFonts w:hint="eastAsia"/>
          <w:highlight w:val="none"/>
        </w:rPr>
        <w:t>水泵等设备调试</w:t>
      </w:r>
    </w:p>
    <w:p w14:paraId="7C29022F">
      <w:pPr>
        <w:numPr>
          <w:ilvl w:val="1"/>
          <w:numId w:val="161"/>
        </w:numPr>
        <w:ind w:firstLine="480"/>
        <w:rPr>
          <w:rFonts w:hint="eastAsia"/>
          <w:highlight w:val="none"/>
        </w:rPr>
      </w:pPr>
      <w:r>
        <w:rPr>
          <w:rFonts w:hint="eastAsia"/>
          <w:highlight w:val="none"/>
        </w:rPr>
        <w:t>试运转前检查</w:t>
      </w:r>
    </w:p>
    <w:p w14:paraId="4C45C80C">
      <w:pPr>
        <w:numPr>
          <w:ilvl w:val="0"/>
          <w:numId w:val="162"/>
        </w:numPr>
        <w:ind w:firstLine="480"/>
        <w:rPr>
          <w:rFonts w:hint="eastAsia"/>
          <w:highlight w:val="none"/>
        </w:rPr>
      </w:pPr>
      <w:r>
        <w:rPr>
          <w:rFonts w:hint="eastAsia"/>
          <w:highlight w:val="none"/>
        </w:rPr>
        <w:t>清洗泵外表，检查泵体有无杂物。</w:t>
      </w:r>
    </w:p>
    <w:p w14:paraId="2C1861AE">
      <w:pPr>
        <w:numPr>
          <w:ilvl w:val="0"/>
          <w:numId w:val="162"/>
        </w:numPr>
        <w:ind w:firstLine="480"/>
        <w:rPr>
          <w:rFonts w:hint="eastAsia"/>
          <w:highlight w:val="none"/>
        </w:rPr>
      </w:pPr>
      <w:r>
        <w:rPr>
          <w:rFonts w:hint="eastAsia"/>
          <w:highlight w:val="none"/>
        </w:rPr>
        <w:t>各紧固件连接部位、地脚螺栓的紧固情况，不得有松动情况。</w:t>
      </w:r>
    </w:p>
    <w:p w14:paraId="3E682A93">
      <w:pPr>
        <w:numPr>
          <w:ilvl w:val="0"/>
          <w:numId w:val="162"/>
        </w:numPr>
        <w:ind w:firstLine="480"/>
        <w:rPr>
          <w:rFonts w:hint="eastAsia"/>
          <w:highlight w:val="none"/>
        </w:rPr>
      </w:pPr>
      <w:r>
        <w:rPr>
          <w:rFonts w:hint="eastAsia"/>
          <w:highlight w:val="none"/>
        </w:rPr>
        <w:t>润滑状况良好，润滑油已按规定加入。</w:t>
      </w:r>
    </w:p>
    <w:p w14:paraId="3D36257D">
      <w:pPr>
        <w:numPr>
          <w:ilvl w:val="0"/>
          <w:numId w:val="162"/>
        </w:numPr>
        <w:ind w:firstLine="480"/>
        <w:rPr>
          <w:rFonts w:hint="eastAsia"/>
          <w:highlight w:val="none"/>
        </w:rPr>
      </w:pPr>
      <w:r>
        <w:rPr>
          <w:rFonts w:hint="eastAsia"/>
          <w:highlight w:val="none"/>
        </w:rPr>
        <w:t>附属设备及管路是否冲洗干净，管路是否保持畅通，吸入口有无杂物。</w:t>
      </w:r>
    </w:p>
    <w:p w14:paraId="61490F50">
      <w:pPr>
        <w:numPr>
          <w:ilvl w:val="0"/>
          <w:numId w:val="162"/>
        </w:numPr>
        <w:ind w:firstLine="480"/>
        <w:rPr>
          <w:rFonts w:hint="eastAsia"/>
          <w:highlight w:val="none"/>
        </w:rPr>
      </w:pPr>
      <w:r>
        <w:rPr>
          <w:rFonts w:hint="eastAsia"/>
          <w:highlight w:val="none"/>
        </w:rPr>
        <w:t>盘车灵活，声音正常。</w:t>
      </w:r>
    </w:p>
    <w:p w14:paraId="4ADD6746">
      <w:pPr>
        <w:numPr>
          <w:ilvl w:val="0"/>
          <w:numId w:val="162"/>
        </w:numPr>
        <w:ind w:firstLine="480"/>
        <w:rPr>
          <w:rFonts w:hint="eastAsia"/>
          <w:highlight w:val="none"/>
        </w:rPr>
      </w:pPr>
      <w:r>
        <w:rPr>
          <w:rFonts w:hint="eastAsia"/>
          <w:highlight w:val="none"/>
        </w:rPr>
        <w:t>各指示仪表、安全保护装置及电控装置应灵活、准确、可靠。</w:t>
      </w:r>
    </w:p>
    <w:p w14:paraId="2ACFC1E5">
      <w:pPr>
        <w:numPr>
          <w:ilvl w:val="0"/>
          <w:numId w:val="162"/>
        </w:numPr>
        <w:ind w:firstLine="480"/>
        <w:rPr>
          <w:rFonts w:hint="eastAsia"/>
          <w:highlight w:val="none"/>
        </w:rPr>
      </w:pPr>
      <w:r>
        <w:rPr>
          <w:rFonts w:hint="eastAsia"/>
          <w:highlight w:val="none"/>
        </w:rPr>
        <w:t>检查所有接地装置；水泵试运转前必须进行绝缘测试。</w:t>
      </w:r>
    </w:p>
    <w:p w14:paraId="7F4E4362">
      <w:pPr>
        <w:numPr>
          <w:ilvl w:val="0"/>
          <w:numId w:val="162"/>
        </w:numPr>
        <w:ind w:firstLine="480"/>
        <w:rPr>
          <w:rFonts w:hint="eastAsia"/>
          <w:highlight w:val="none"/>
        </w:rPr>
      </w:pPr>
      <w:r>
        <w:rPr>
          <w:rFonts w:hint="eastAsia"/>
          <w:highlight w:val="none"/>
        </w:rPr>
        <w:t>查电源供应及电压是否正常。</w:t>
      </w:r>
    </w:p>
    <w:p w14:paraId="787BF498">
      <w:pPr>
        <w:numPr>
          <w:ilvl w:val="0"/>
          <w:numId w:val="162"/>
        </w:numPr>
        <w:ind w:firstLine="480"/>
        <w:rPr>
          <w:rFonts w:hint="eastAsia"/>
          <w:highlight w:val="none"/>
        </w:rPr>
      </w:pPr>
      <w:r>
        <w:rPr>
          <w:rFonts w:hint="eastAsia"/>
          <w:highlight w:val="none"/>
        </w:rPr>
        <w:t>水泵、阀门、泵送排水管道等的安装是否符合要求。</w:t>
      </w:r>
    </w:p>
    <w:p w14:paraId="46635DEF">
      <w:pPr>
        <w:numPr>
          <w:ilvl w:val="0"/>
          <w:numId w:val="162"/>
        </w:numPr>
        <w:ind w:firstLine="480"/>
        <w:rPr>
          <w:rFonts w:hint="eastAsia"/>
          <w:highlight w:val="none"/>
        </w:rPr>
      </w:pPr>
      <w:r>
        <w:rPr>
          <w:rFonts w:hint="eastAsia"/>
          <w:highlight w:val="none"/>
        </w:rPr>
        <w:t>检查水位控制器的安装是否符检合要求。</w:t>
      </w:r>
    </w:p>
    <w:p w14:paraId="6D177742">
      <w:pPr>
        <w:numPr>
          <w:ilvl w:val="0"/>
          <w:numId w:val="162"/>
        </w:numPr>
        <w:ind w:firstLine="480"/>
        <w:rPr>
          <w:rFonts w:hint="eastAsia"/>
          <w:highlight w:val="none"/>
        </w:rPr>
      </w:pPr>
      <w:r>
        <w:rPr>
          <w:rFonts w:hint="eastAsia"/>
          <w:highlight w:val="none"/>
        </w:rPr>
        <w:t>检查水泵轴封是否有泄漏。</w:t>
      </w:r>
    </w:p>
    <w:p w14:paraId="38470C39">
      <w:pPr>
        <w:numPr>
          <w:ilvl w:val="1"/>
          <w:numId w:val="161"/>
        </w:numPr>
        <w:ind w:firstLine="480"/>
        <w:rPr>
          <w:rFonts w:hint="eastAsia"/>
          <w:highlight w:val="none"/>
        </w:rPr>
      </w:pPr>
      <w:r>
        <w:rPr>
          <w:rFonts w:hint="eastAsia"/>
          <w:highlight w:val="none"/>
        </w:rPr>
        <w:t>无负荷试运转</w:t>
      </w:r>
    </w:p>
    <w:p w14:paraId="18ACBA41">
      <w:pPr>
        <w:numPr>
          <w:ilvl w:val="0"/>
          <w:numId w:val="163"/>
        </w:numPr>
        <w:ind w:firstLine="480"/>
        <w:rPr>
          <w:rFonts w:hint="eastAsia"/>
          <w:highlight w:val="none"/>
        </w:rPr>
      </w:pPr>
      <w:r>
        <w:rPr>
          <w:rFonts w:hint="eastAsia"/>
          <w:highlight w:val="none"/>
        </w:rPr>
        <w:t>全开启入口阀门，全关闭出口阀门，防止水泵启动电流过大。</w:t>
      </w:r>
    </w:p>
    <w:p w14:paraId="35721765">
      <w:pPr>
        <w:numPr>
          <w:ilvl w:val="0"/>
          <w:numId w:val="163"/>
        </w:numPr>
        <w:ind w:firstLine="480"/>
        <w:rPr>
          <w:rFonts w:hint="eastAsia"/>
          <w:highlight w:val="none"/>
        </w:rPr>
      </w:pPr>
      <w:r>
        <w:rPr>
          <w:rFonts w:hint="eastAsia"/>
          <w:highlight w:val="none"/>
        </w:rPr>
        <w:t>启动泵，运转</w:t>
      </w:r>
      <w:r>
        <w:rPr>
          <w:highlight w:val="none"/>
        </w:rPr>
        <w:t>1~3</w:t>
      </w:r>
      <w:r>
        <w:rPr>
          <w:rFonts w:hint="eastAsia"/>
          <w:highlight w:val="none"/>
        </w:rPr>
        <w:t>分钟</w:t>
      </w:r>
      <w:r>
        <w:rPr>
          <w:highlight w:val="none"/>
        </w:rPr>
        <w:t>后停车。</w:t>
      </w:r>
    </w:p>
    <w:p w14:paraId="74F857FA">
      <w:pPr>
        <w:numPr>
          <w:ilvl w:val="0"/>
          <w:numId w:val="163"/>
        </w:numPr>
        <w:ind w:firstLine="480"/>
        <w:rPr>
          <w:rFonts w:hint="eastAsia"/>
          <w:highlight w:val="none"/>
        </w:rPr>
      </w:pPr>
      <w:r>
        <w:rPr>
          <w:rFonts w:hint="eastAsia"/>
          <w:highlight w:val="none"/>
        </w:rPr>
        <w:t>运转中有无不正常声响，各紧固部分无松动现象，轴承无明显的温升。</w:t>
      </w:r>
    </w:p>
    <w:p w14:paraId="76540D4D">
      <w:pPr>
        <w:numPr>
          <w:ilvl w:val="1"/>
          <w:numId w:val="161"/>
        </w:numPr>
        <w:ind w:firstLine="480"/>
        <w:rPr>
          <w:rFonts w:hint="eastAsia"/>
          <w:highlight w:val="none"/>
        </w:rPr>
      </w:pPr>
      <w:r>
        <w:rPr>
          <w:rFonts w:hint="eastAsia"/>
          <w:highlight w:val="none"/>
        </w:rPr>
        <w:t>负荷试运转</w:t>
      </w:r>
    </w:p>
    <w:p w14:paraId="118F2A01">
      <w:pPr>
        <w:numPr>
          <w:ilvl w:val="0"/>
          <w:numId w:val="164"/>
        </w:numPr>
        <w:ind w:firstLine="480"/>
        <w:rPr>
          <w:rFonts w:hint="eastAsia"/>
          <w:highlight w:val="none"/>
        </w:rPr>
      </w:pPr>
      <w:r>
        <w:rPr>
          <w:rFonts w:hint="eastAsia"/>
          <w:highlight w:val="none"/>
        </w:rPr>
        <w:t>系统运行正常，其压力、温度、流量等符合设计要求。</w:t>
      </w:r>
    </w:p>
    <w:p w14:paraId="3C4B128C">
      <w:pPr>
        <w:numPr>
          <w:ilvl w:val="0"/>
          <w:numId w:val="164"/>
        </w:numPr>
        <w:ind w:firstLine="480"/>
        <w:rPr>
          <w:rFonts w:hint="eastAsia"/>
          <w:highlight w:val="none"/>
        </w:rPr>
      </w:pPr>
      <w:r>
        <w:rPr>
          <w:rFonts w:hint="eastAsia"/>
          <w:highlight w:val="none"/>
        </w:rPr>
        <w:t>泵运转无杂声，泵体无泄漏。</w:t>
      </w:r>
    </w:p>
    <w:p w14:paraId="271368D1">
      <w:pPr>
        <w:numPr>
          <w:ilvl w:val="0"/>
          <w:numId w:val="164"/>
        </w:numPr>
        <w:ind w:firstLine="480"/>
        <w:rPr>
          <w:rFonts w:hint="eastAsia"/>
          <w:highlight w:val="none"/>
        </w:rPr>
      </w:pPr>
      <w:r>
        <w:rPr>
          <w:rFonts w:hint="eastAsia"/>
          <w:highlight w:val="none"/>
        </w:rPr>
        <w:t>各紧固部位无松动。</w:t>
      </w:r>
    </w:p>
    <w:p w14:paraId="2EA8D93E">
      <w:pPr>
        <w:numPr>
          <w:ilvl w:val="0"/>
          <w:numId w:val="164"/>
        </w:numPr>
        <w:ind w:firstLine="480"/>
        <w:rPr>
          <w:rFonts w:hint="eastAsia"/>
          <w:highlight w:val="none"/>
        </w:rPr>
      </w:pPr>
      <w:r>
        <w:rPr>
          <w:rFonts w:hint="eastAsia"/>
          <w:highlight w:val="none"/>
        </w:rPr>
        <w:t>电动机起动电流和负荷运转电流符合要求。</w:t>
      </w:r>
    </w:p>
    <w:p w14:paraId="1EA2E5A9">
      <w:pPr>
        <w:numPr>
          <w:ilvl w:val="1"/>
          <w:numId w:val="161"/>
        </w:numPr>
        <w:ind w:firstLine="480"/>
        <w:rPr>
          <w:rFonts w:hint="eastAsia"/>
          <w:highlight w:val="none"/>
        </w:rPr>
      </w:pPr>
      <w:r>
        <w:rPr>
          <w:rFonts w:hint="eastAsia"/>
          <w:highlight w:val="none"/>
        </w:rPr>
        <w:t>给水减压阀调试要求</w:t>
      </w:r>
    </w:p>
    <w:p w14:paraId="6A513878">
      <w:pPr>
        <w:numPr>
          <w:ilvl w:val="0"/>
          <w:numId w:val="165"/>
        </w:numPr>
        <w:ind w:firstLine="480"/>
        <w:rPr>
          <w:rFonts w:hint="eastAsia"/>
          <w:highlight w:val="none"/>
        </w:rPr>
      </w:pPr>
      <w:r>
        <w:rPr>
          <w:rFonts w:hint="eastAsia"/>
          <w:highlight w:val="none"/>
        </w:rPr>
        <w:t>给水减压阀组正式交付使用前应进行现场调试和安装检验。</w:t>
      </w:r>
    </w:p>
    <w:p w14:paraId="48F036A6">
      <w:pPr>
        <w:numPr>
          <w:ilvl w:val="0"/>
          <w:numId w:val="165"/>
        </w:numPr>
        <w:ind w:firstLine="480"/>
        <w:rPr>
          <w:rFonts w:hint="eastAsia"/>
          <w:highlight w:val="none"/>
        </w:rPr>
      </w:pPr>
      <w:r>
        <w:rPr>
          <w:rFonts w:hint="eastAsia"/>
          <w:highlight w:val="none"/>
        </w:rPr>
        <w:t>给水减压阀组的安装检验应包括以下内容：</w:t>
      </w:r>
    </w:p>
    <w:p w14:paraId="426D5D17">
      <w:pPr>
        <w:numPr>
          <w:ilvl w:val="0"/>
          <w:numId w:val="165"/>
        </w:numPr>
        <w:ind w:firstLine="480"/>
        <w:rPr>
          <w:rFonts w:hint="eastAsia"/>
          <w:highlight w:val="none"/>
        </w:rPr>
      </w:pPr>
      <w:r>
        <w:rPr>
          <w:rFonts w:hint="eastAsia"/>
          <w:highlight w:val="none"/>
        </w:rPr>
        <w:t>检查阀组安装的完整性，不应漏装，确认阀组水流方向正确；检查阀组设置场所排水设施的可靠性；检查阀组及其连接部位的密封性能；检查正常供水情况下减压阀组的减压功能和可调节性能；检查给水减压阀出口压力的动静压力是否符合要求；检查采用并联减压阀组的出口压力应一致；现场评估减压阀失效后的安全措施是否可靠。</w:t>
      </w:r>
    </w:p>
    <w:p w14:paraId="78990C93">
      <w:pPr>
        <w:numPr>
          <w:ilvl w:val="0"/>
          <w:numId w:val="165"/>
        </w:numPr>
        <w:ind w:firstLine="480"/>
        <w:rPr>
          <w:rFonts w:hint="eastAsia"/>
          <w:highlight w:val="none"/>
        </w:rPr>
      </w:pPr>
      <w:r>
        <w:rPr>
          <w:rFonts w:hint="eastAsia"/>
          <w:highlight w:val="none"/>
        </w:rPr>
        <w:t>给水减压阀组的现场调试应包括以下内容：</w:t>
      </w:r>
    </w:p>
    <w:p w14:paraId="22845FB6">
      <w:pPr>
        <w:numPr>
          <w:ilvl w:val="0"/>
          <w:numId w:val="165"/>
        </w:numPr>
        <w:ind w:firstLine="480"/>
        <w:rPr>
          <w:rFonts w:hint="eastAsia"/>
          <w:highlight w:val="none"/>
        </w:rPr>
      </w:pPr>
      <w:r>
        <w:rPr>
          <w:rFonts w:hint="eastAsia"/>
          <w:highlight w:val="none"/>
        </w:rPr>
        <w:t>调试前，应确认阀组上游管道已冲洗干净，阀组前、后检修阀处于关闭状态；按设计要求调定减压阀出口压力；检查减压分区内最不利点的供水压力和底层供水压力，并符合设计要求；对阀组超压报警装置和泄压保护装置进行调试和试验，确认其有效性。</w:t>
      </w:r>
    </w:p>
    <w:p w14:paraId="4B5889C8">
      <w:pPr>
        <w:numPr>
          <w:ilvl w:val="0"/>
          <w:numId w:val="165"/>
        </w:numPr>
        <w:ind w:firstLine="480"/>
        <w:rPr>
          <w:rFonts w:hint="eastAsia"/>
          <w:highlight w:val="none"/>
        </w:rPr>
      </w:pPr>
      <w:r>
        <w:rPr>
          <w:rFonts w:hint="eastAsia"/>
          <w:highlight w:val="none"/>
        </w:rPr>
        <w:t>各类型给水减压阀出口压力的调定方式按现行国家有关标准的规定执行。</w:t>
      </w:r>
    </w:p>
    <w:p w14:paraId="1EAA8E22">
      <w:pPr>
        <w:numPr>
          <w:ilvl w:val="1"/>
          <w:numId w:val="161"/>
        </w:numPr>
        <w:ind w:firstLine="480"/>
        <w:rPr>
          <w:rFonts w:hint="eastAsia"/>
          <w:highlight w:val="none"/>
        </w:rPr>
      </w:pPr>
      <w:r>
        <w:rPr>
          <w:rFonts w:hint="eastAsia"/>
          <w:highlight w:val="none"/>
        </w:rPr>
        <w:t>排水泵的调试</w:t>
      </w:r>
    </w:p>
    <w:p w14:paraId="101B64FA">
      <w:pPr>
        <w:numPr>
          <w:ilvl w:val="0"/>
          <w:numId w:val="166"/>
        </w:numPr>
        <w:ind w:firstLine="480"/>
        <w:rPr>
          <w:rFonts w:hint="eastAsia"/>
          <w:highlight w:val="none"/>
        </w:rPr>
      </w:pPr>
      <w:r>
        <w:rPr>
          <w:rFonts w:hint="eastAsia"/>
          <w:highlight w:val="none"/>
        </w:rPr>
        <w:t>启动排水泵，检查转向是否正常；记录空载启动电流、空载运行电流、负载启动电流、运行电流。</w:t>
      </w:r>
    </w:p>
    <w:p w14:paraId="05FD8E42">
      <w:pPr>
        <w:numPr>
          <w:ilvl w:val="0"/>
          <w:numId w:val="166"/>
        </w:numPr>
        <w:ind w:firstLine="480"/>
        <w:rPr>
          <w:rFonts w:hint="eastAsia"/>
          <w:highlight w:val="none"/>
        </w:rPr>
      </w:pPr>
      <w:r>
        <w:rPr>
          <w:rFonts w:hint="eastAsia"/>
          <w:highlight w:val="none"/>
        </w:rPr>
        <w:t>测试集水井的高水位报警，并调校过载保护设定值。</w:t>
      </w:r>
    </w:p>
    <w:p w14:paraId="6B473FBC">
      <w:pPr>
        <w:pStyle w:val="3"/>
        <w:numPr>
          <w:ilvl w:val="1"/>
          <w:numId w:val="13"/>
        </w:numPr>
        <w:rPr>
          <w:rFonts w:hint="eastAsia"/>
          <w:highlight w:val="none"/>
        </w:rPr>
      </w:pPr>
      <w:bookmarkStart w:id="771" w:name="_Toc14050"/>
      <w:bookmarkStart w:id="772" w:name="_Toc8431"/>
      <w:bookmarkStart w:id="773" w:name="_Toc3600"/>
      <w:bookmarkStart w:id="774" w:name="_Toc9225"/>
      <w:bookmarkStart w:id="775" w:name="_Toc17062"/>
      <w:bookmarkStart w:id="776" w:name="_Toc7353"/>
      <w:bookmarkStart w:id="777" w:name="_Toc19914"/>
      <w:r>
        <w:rPr>
          <w:highlight w:val="none"/>
        </w:rPr>
        <w:t>BIM技术运用要求</w:t>
      </w:r>
      <w:bookmarkEnd w:id="771"/>
      <w:bookmarkEnd w:id="772"/>
      <w:bookmarkEnd w:id="773"/>
      <w:bookmarkEnd w:id="774"/>
      <w:bookmarkEnd w:id="775"/>
      <w:bookmarkEnd w:id="776"/>
      <w:bookmarkEnd w:id="777"/>
    </w:p>
    <w:p w14:paraId="2764ED42">
      <w:pPr>
        <w:ind w:firstLine="480"/>
        <w:rPr>
          <w:rFonts w:hint="eastAsia"/>
          <w:highlight w:val="none"/>
        </w:rPr>
      </w:pPr>
      <w:r>
        <w:rPr>
          <w:highlight w:val="none"/>
        </w:rPr>
        <w:t>本项目要求充分运用 BIM 技术，利用 BIM 技术实现施工全过程的精细化管理。为保证 BIM 模型的延续使用原则，施工阶段的 BIM 模型必须建立在设计阶段 BIM 模型基础进行深化，直至形成竣工模型。施工过程 BIM 应用包括但不限于施工虚拟建造、施工安全模拟、进度控制、现场巡检、施工风险预案模拟、场地布局规划等。</w:t>
      </w:r>
    </w:p>
    <w:p w14:paraId="65EECE6C">
      <w:pPr>
        <w:ind w:firstLine="480"/>
        <w:rPr>
          <w:rFonts w:hint="eastAsia"/>
          <w:highlight w:val="none"/>
        </w:rPr>
      </w:pPr>
      <w:r>
        <w:rPr>
          <w:highlight w:val="none"/>
        </w:rPr>
        <w:t>承包人必须按照本招标文件、项目合同的要求</w:t>
      </w:r>
      <w:r>
        <w:rPr>
          <w:rFonts w:hint="eastAsia"/>
          <w:highlight w:val="none"/>
        </w:rPr>
        <w:t>分阶段</w:t>
      </w:r>
      <w:r>
        <w:rPr>
          <w:highlight w:val="none"/>
        </w:rPr>
        <w:t>提交完整的项目 BIM 成果，包含但不限于最终完整的与竣工建筑实物一致的 BIM 竣工模型、施工场布模型、碰撞检查报告、施工深化模型（建筑、结构</w:t>
      </w:r>
      <w:r>
        <w:rPr>
          <w:rFonts w:hint="eastAsia"/>
          <w:highlight w:val="none"/>
        </w:rPr>
        <w:t>、外立面</w:t>
      </w:r>
      <w:r>
        <w:rPr>
          <w:highlight w:val="none"/>
        </w:rPr>
        <w:t>、机电、智能化、消防、人防、设备机房、场地）及图纸（平面图、立面图、剖面图、大样图、材料表等）、施工方案模拟动画及优化报告、4D 进度模拟动画及优化报告、工程量清单等。竣工验收模型需按照广州市三维数字化竣工验收模型交付标准的相关要求完成竣工图三维数字化备案。</w:t>
      </w:r>
    </w:p>
    <w:p w14:paraId="1571F016">
      <w:pPr>
        <w:pStyle w:val="3"/>
        <w:numPr>
          <w:ilvl w:val="1"/>
          <w:numId w:val="13"/>
        </w:numPr>
        <w:rPr>
          <w:rFonts w:hint="eastAsia"/>
          <w:highlight w:val="none"/>
        </w:rPr>
      </w:pPr>
      <w:bookmarkStart w:id="778" w:name="_Toc27304"/>
      <w:bookmarkStart w:id="779" w:name="_Toc2496"/>
      <w:bookmarkStart w:id="780" w:name="_Toc27223"/>
      <w:bookmarkStart w:id="781" w:name="_Toc7380"/>
      <w:bookmarkStart w:id="782" w:name="_Toc17984"/>
      <w:bookmarkStart w:id="783" w:name="_Toc27872"/>
      <w:bookmarkStart w:id="784" w:name="_Toc24429"/>
      <w:r>
        <w:rPr>
          <w:rFonts w:hint="eastAsia"/>
          <w:highlight w:val="none"/>
        </w:rPr>
        <w:t>脚手架工程技术要求</w:t>
      </w:r>
      <w:bookmarkEnd w:id="778"/>
      <w:bookmarkEnd w:id="779"/>
      <w:bookmarkEnd w:id="780"/>
      <w:bookmarkEnd w:id="781"/>
      <w:bookmarkEnd w:id="782"/>
      <w:bookmarkEnd w:id="783"/>
      <w:bookmarkEnd w:id="784"/>
    </w:p>
    <w:p w14:paraId="4F143037">
      <w:pPr>
        <w:pStyle w:val="4"/>
        <w:numPr>
          <w:ilvl w:val="2"/>
          <w:numId w:val="13"/>
        </w:numPr>
        <w:rPr>
          <w:rFonts w:hint="eastAsia"/>
          <w:highlight w:val="none"/>
        </w:rPr>
      </w:pPr>
      <w:r>
        <w:rPr>
          <w:rFonts w:hint="eastAsia"/>
          <w:highlight w:val="none"/>
        </w:rPr>
        <w:t>承包人需根据本项目建筑特征编制外脚手架专项施工方案，涉及超一定规模危大工程应组织专家论证，经论证及监理人审批合格后方可实施；</w:t>
      </w:r>
    </w:p>
    <w:p w14:paraId="548A9EF9">
      <w:pPr>
        <w:pStyle w:val="4"/>
        <w:numPr>
          <w:ilvl w:val="2"/>
          <w:numId w:val="13"/>
        </w:numPr>
        <w:rPr>
          <w:rFonts w:hint="eastAsia"/>
          <w:highlight w:val="none"/>
        </w:rPr>
      </w:pPr>
      <w:r>
        <w:rPr>
          <w:rFonts w:hint="eastAsia"/>
          <w:highlight w:val="none"/>
        </w:rPr>
        <w:t>总承包人应选用承插型盘扣式脚手架（含模板支撑架）作为作业脚手架和支撑脚手架的架体形式，相关费用请在投标时一并考虑。附着式升降脚手架在入场时的使用年限不得超过1年，年限计算以设备铭牌和出厂合格证载明的日期为准；</w:t>
      </w:r>
    </w:p>
    <w:p w14:paraId="65018CFF">
      <w:pPr>
        <w:pStyle w:val="4"/>
        <w:numPr>
          <w:ilvl w:val="2"/>
          <w:numId w:val="13"/>
        </w:numPr>
        <w:rPr>
          <w:rFonts w:hint="eastAsia"/>
          <w:highlight w:val="none"/>
        </w:rPr>
      </w:pPr>
      <w:r>
        <w:rPr>
          <w:rFonts w:hint="eastAsia"/>
          <w:highlight w:val="none"/>
        </w:rPr>
        <w:t>外脚手架（包含落地式和悬挑式脚手架）优先选用盘扣式脚手架进行搭设，并优先使用定型化网片作为防护网。临边防护措施随架体同步搭设，并在架体内部挂设兜网，并严格执行《承插型盘扣式钢管支架构件JG/T503-2016》的相关规定。临边防护措施随架体同步搭设，并在架体内部挂设兜网。</w:t>
      </w:r>
    </w:p>
    <w:p w14:paraId="078B0AFA">
      <w:pPr>
        <w:pStyle w:val="4"/>
        <w:numPr>
          <w:ilvl w:val="2"/>
          <w:numId w:val="13"/>
        </w:numPr>
        <w:rPr>
          <w:rFonts w:hint="eastAsia"/>
          <w:highlight w:val="none"/>
        </w:rPr>
      </w:pPr>
      <w:r>
        <w:rPr>
          <w:rFonts w:hint="eastAsia"/>
          <w:highlight w:val="none"/>
        </w:rPr>
        <w:t>外架若为悬挑架优先采用花篮式脚手架，要求脚手架材料选用盘扣式钢管脚手架，外立面防护优先选用定型化网片防护，若承包人使用悬挑脚手架，要求首层悬挑不得高于三层，以便于小市政及景观提前插入施工；</w:t>
      </w:r>
    </w:p>
    <w:p w14:paraId="7C30C15A">
      <w:pPr>
        <w:pStyle w:val="4"/>
        <w:numPr>
          <w:ilvl w:val="2"/>
          <w:numId w:val="13"/>
        </w:numPr>
        <w:rPr>
          <w:rFonts w:hint="eastAsia"/>
          <w:highlight w:val="none"/>
        </w:rPr>
      </w:pPr>
      <w:r>
        <w:rPr>
          <w:rFonts w:hint="eastAsia"/>
          <w:highlight w:val="none"/>
        </w:rPr>
        <w:t>施工现场严禁采用木质登高设施以及自制非标登高设备；</w:t>
      </w:r>
    </w:p>
    <w:p w14:paraId="7576A429">
      <w:pPr>
        <w:pStyle w:val="4"/>
        <w:numPr>
          <w:ilvl w:val="2"/>
          <w:numId w:val="13"/>
        </w:numPr>
        <w:rPr>
          <w:rFonts w:hint="eastAsia"/>
          <w:highlight w:val="none"/>
        </w:rPr>
      </w:pPr>
      <w:r>
        <w:rPr>
          <w:rFonts w:hint="eastAsia"/>
          <w:highlight w:val="none"/>
        </w:rPr>
        <w:t>粗装及装饰装修、机电安装等使用的门式脚手架应编制专项安全施工方案报监理人审批通过后按方案实施。</w:t>
      </w:r>
    </w:p>
    <w:p w14:paraId="6384AC82">
      <w:pPr>
        <w:numPr>
          <w:ilvl w:val="0"/>
          <w:numId w:val="166"/>
        </w:numPr>
        <w:ind w:firstLine="480"/>
        <w:rPr>
          <w:rFonts w:hint="eastAsia"/>
          <w:highlight w:val="none"/>
        </w:rPr>
      </w:pPr>
    </w:p>
    <w:p w14:paraId="73DADB8D">
      <w:pPr>
        <w:spacing w:before="120" w:after="120"/>
        <w:ind w:firstLine="480"/>
        <w:rPr>
          <w:rFonts w:hint="eastAsia" w:eastAsia="黑体"/>
          <w:bCs/>
          <w:kern w:val="44"/>
          <w:sz w:val="36"/>
          <w:szCs w:val="44"/>
          <w:highlight w:val="none"/>
        </w:rPr>
      </w:pPr>
      <w:r>
        <w:rPr>
          <w:highlight w:val="none"/>
        </w:rPr>
        <w:br w:type="page"/>
      </w:r>
    </w:p>
    <w:p w14:paraId="2E25B8BE">
      <w:pPr>
        <w:pStyle w:val="2"/>
        <w:numPr>
          <w:ilvl w:val="0"/>
          <w:numId w:val="13"/>
        </w:numPr>
        <w:spacing w:before="120"/>
        <w:rPr>
          <w:rFonts w:hint="eastAsia"/>
          <w:highlight w:val="none"/>
        </w:rPr>
      </w:pPr>
      <w:bookmarkStart w:id="785" w:name="_Toc169722246"/>
      <w:bookmarkStart w:id="786" w:name="_Toc13837"/>
      <w:bookmarkStart w:id="787" w:name="_Toc14104"/>
      <w:bookmarkStart w:id="788" w:name="_Toc19602"/>
      <w:bookmarkStart w:id="789" w:name="_Toc1845"/>
      <w:bookmarkStart w:id="790" w:name="_Toc14069"/>
      <w:bookmarkStart w:id="791" w:name="_Toc18087"/>
      <w:bookmarkStart w:id="792" w:name="_Toc30505"/>
      <w:bookmarkStart w:id="793" w:name="_Toc219"/>
      <w:bookmarkStart w:id="794" w:name="_Toc6469"/>
      <w:bookmarkStart w:id="795" w:name="_Toc26927"/>
      <w:r>
        <w:rPr>
          <w:rFonts w:hint="eastAsia"/>
          <w:highlight w:val="none"/>
        </w:rPr>
        <w:t>安全管理规定</w:t>
      </w:r>
      <w:bookmarkEnd w:id="785"/>
      <w:bookmarkEnd w:id="786"/>
      <w:bookmarkEnd w:id="787"/>
      <w:bookmarkEnd w:id="788"/>
      <w:bookmarkEnd w:id="789"/>
      <w:bookmarkEnd w:id="790"/>
      <w:bookmarkEnd w:id="791"/>
      <w:bookmarkEnd w:id="792"/>
      <w:bookmarkEnd w:id="793"/>
      <w:bookmarkEnd w:id="794"/>
      <w:bookmarkEnd w:id="795"/>
    </w:p>
    <w:p w14:paraId="782D2910">
      <w:pPr>
        <w:pStyle w:val="3"/>
        <w:numPr>
          <w:ilvl w:val="1"/>
          <w:numId w:val="13"/>
        </w:numPr>
        <w:rPr>
          <w:rFonts w:hint="eastAsia"/>
          <w:highlight w:val="none"/>
        </w:rPr>
      </w:pPr>
      <w:bookmarkStart w:id="796" w:name="_Toc25747"/>
      <w:bookmarkStart w:id="797" w:name="_Toc169722247"/>
      <w:bookmarkStart w:id="798" w:name="_Toc11761"/>
      <w:bookmarkStart w:id="799" w:name="_Toc12033"/>
      <w:bookmarkStart w:id="800" w:name="_Toc30753"/>
      <w:bookmarkStart w:id="801" w:name="_Toc9848"/>
      <w:bookmarkStart w:id="802" w:name="_Toc2559"/>
      <w:bookmarkStart w:id="803" w:name="_Toc14115"/>
      <w:bookmarkStart w:id="804" w:name="_Toc24567"/>
      <w:bookmarkStart w:id="805" w:name="_Toc9571"/>
      <w:bookmarkStart w:id="806" w:name="_Toc4926"/>
      <w:bookmarkStart w:id="807" w:name="_Toc488312939"/>
      <w:r>
        <w:rPr>
          <w:rFonts w:hint="eastAsia"/>
          <w:highlight w:val="none"/>
        </w:rPr>
        <w:t>安全管理理念、原则</w:t>
      </w:r>
      <w:bookmarkEnd w:id="796"/>
      <w:bookmarkEnd w:id="797"/>
      <w:bookmarkEnd w:id="798"/>
      <w:bookmarkEnd w:id="799"/>
      <w:bookmarkEnd w:id="800"/>
      <w:bookmarkEnd w:id="801"/>
      <w:bookmarkEnd w:id="802"/>
      <w:bookmarkEnd w:id="803"/>
      <w:bookmarkEnd w:id="804"/>
      <w:bookmarkEnd w:id="805"/>
      <w:bookmarkEnd w:id="806"/>
    </w:p>
    <w:p w14:paraId="778D350F">
      <w:pPr>
        <w:pStyle w:val="4"/>
        <w:numPr>
          <w:ilvl w:val="2"/>
          <w:numId w:val="13"/>
        </w:numPr>
        <w:rPr>
          <w:rFonts w:hint="eastAsia"/>
          <w:highlight w:val="none"/>
        </w:rPr>
      </w:pPr>
      <w:r>
        <w:rPr>
          <w:rFonts w:hint="eastAsia"/>
          <w:highlight w:val="none"/>
        </w:rPr>
        <w:t>安全的定义为：安全生产、职业健康、环境保护。发包人安全管理理念为“责任驱动进步，绿色改变生活”。总承包人应不以牺牲环境为代价进行生产，不以牺牲环境的长远利益换取生产的暂时利益；工程施工过程中，落实生态环境保护责任，采取必要的绿色施工及节能措施，减少能源消耗、环境污染。</w:t>
      </w:r>
    </w:p>
    <w:p w14:paraId="7F39702A">
      <w:pPr>
        <w:pStyle w:val="4"/>
        <w:numPr>
          <w:ilvl w:val="2"/>
          <w:numId w:val="13"/>
        </w:numPr>
        <w:rPr>
          <w:rFonts w:hint="eastAsia"/>
          <w:highlight w:val="none"/>
        </w:rPr>
      </w:pPr>
      <w:r>
        <w:rPr>
          <w:rFonts w:hint="eastAsia"/>
          <w:highlight w:val="none"/>
        </w:rPr>
        <w:t>发包人安全管理原则包括以下内容，总承包人应遵照执行。</w:t>
      </w:r>
    </w:p>
    <w:p w14:paraId="5990F4DD">
      <w:pPr>
        <w:numPr>
          <w:ilvl w:val="0"/>
          <w:numId w:val="167"/>
        </w:numPr>
        <w:ind w:firstLine="480"/>
        <w:rPr>
          <w:rFonts w:hint="eastAsia"/>
          <w:highlight w:val="none"/>
        </w:rPr>
      </w:pPr>
      <w:r>
        <w:rPr>
          <w:rFonts w:hint="eastAsia"/>
          <w:highlight w:val="none"/>
        </w:rPr>
        <w:t>安全工作必须坚持一岗双责，全员参与。</w:t>
      </w:r>
    </w:p>
    <w:p w14:paraId="290EBAFF">
      <w:pPr>
        <w:numPr>
          <w:ilvl w:val="0"/>
          <w:numId w:val="167"/>
        </w:numPr>
        <w:ind w:firstLine="480"/>
        <w:rPr>
          <w:rFonts w:hint="eastAsia"/>
          <w:highlight w:val="none"/>
        </w:rPr>
      </w:pPr>
      <w:r>
        <w:rPr>
          <w:rFonts w:hint="eastAsia"/>
          <w:highlight w:val="none"/>
        </w:rPr>
        <w:t>项目开工前，必须开展安全评估。</w:t>
      </w:r>
    </w:p>
    <w:p w14:paraId="35289404">
      <w:pPr>
        <w:numPr>
          <w:ilvl w:val="0"/>
          <w:numId w:val="167"/>
        </w:numPr>
        <w:ind w:firstLine="480"/>
        <w:rPr>
          <w:rFonts w:hint="eastAsia"/>
          <w:highlight w:val="none"/>
        </w:rPr>
      </w:pPr>
      <w:r>
        <w:rPr>
          <w:rFonts w:hint="eastAsia"/>
          <w:highlight w:val="none"/>
        </w:rPr>
        <w:t>所有安全隐患必须及时整改关闭。</w:t>
      </w:r>
    </w:p>
    <w:p w14:paraId="70C32CF3">
      <w:pPr>
        <w:numPr>
          <w:ilvl w:val="0"/>
          <w:numId w:val="167"/>
        </w:numPr>
        <w:ind w:firstLine="480"/>
        <w:rPr>
          <w:rFonts w:hint="eastAsia"/>
          <w:highlight w:val="none"/>
        </w:rPr>
      </w:pPr>
      <w:r>
        <w:rPr>
          <w:rFonts w:hint="eastAsia"/>
          <w:highlight w:val="none"/>
        </w:rPr>
        <w:t>所有安全事故事件必须及时报告、分析和处置。</w:t>
      </w:r>
    </w:p>
    <w:p w14:paraId="0AA05BC5">
      <w:pPr>
        <w:numPr>
          <w:ilvl w:val="0"/>
          <w:numId w:val="167"/>
        </w:numPr>
        <w:ind w:firstLine="480"/>
        <w:rPr>
          <w:rFonts w:hint="eastAsia"/>
          <w:highlight w:val="none"/>
        </w:rPr>
      </w:pPr>
      <w:r>
        <w:rPr>
          <w:rFonts w:hint="eastAsia"/>
          <w:highlight w:val="none"/>
        </w:rPr>
        <w:t>必须对所有员工进行安全培训。</w:t>
      </w:r>
    </w:p>
    <w:p w14:paraId="44ED40D9">
      <w:pPr>
        <w:numPr>
          <w:ilvl w:val="0"/>
          <w:numId w:val="167"/>
        </w:numPr>
        <w:ind w:firstLine="480"/>
        <w:rPr>
          <w:rFonts w:hint="eastAsia"/>
          <w:highlight w:val="none"/>
        </w:rPr>
      </w:pPr>
      <w:r>
        <w:rPr>
          <w:rFonts w:hint="eastAsia"/>
          <w:highlight w:val="none"/>
        </w:rPr>
        <w:t>各级管理层必须重视安全工作，并参与安全活动。</w:t>
      </w:r>
    </w:p>
    <w:p w14:paraId="5CDDAC15">
      <w:pPr>
        <w:numPr>
          <w:ilvl w:val="0"/>
          <w:numId w:val="167"/>
        </w:numPr>
        <w:ind w:firstLine="480"/>
        <w:rPr>
          <w:rFonts w:hint="eastAsia"/>
          <w:highlight w:val="none"/>
        </w:rPr>
      </w:pPr>
      <w:r>
        <w:rPr>
          <w:rFonts w:hint="eastAsia"/>
          <w:highlight w:val="none"/>
        </w:rPr>
        <w:t>必须关注员工的工作环境和身心健康。</w:t>
      </w:r>
    </w:p>
    <w:p w14:paraId="3F1F8702">
      <w:pPr>
        <w:numPr>
          <w:ilvl w:val="0"/>
          <w:numId w:val="167"/>
        </w:numPr>
        <w:ind w:firstLine="480"/>
        <w:rPr>
          <w:rFonts w:hint="eastAsia"/>
          <w:highlight w:val="none"/>
        </w:rPr>
      </w:pPr>
      <w:r>
        <w:rPr>
          <w:rFonts w:hint="eastAsia"/>
          <w:highlight w:val="none"/>
        </w:rPr>
        <w:t>将相关方视同我方，纳入公司安全管理范畴。</w:t>
      </w:r>
    </w:p>
    <w:p w14:paraId="378B285A">
      <w:pPr>
        <w:pStyle w:val="3"/>
        <w:numPr>
          <w:ilvl w:val="1"/>
          <w:numId w:val="13"/>
        </w:numPr>
        <w:rPr>
          <w:rFonts w:hint="eastAsia"/>
          <w:highlight w:val="none"/>
        </w:rPr>
      </w:pPr>
      <w:bookmarkStart w:id="808" w:name="_Toc23463"/>
      <w:bookmarkStart w:id="809" w:name="_Toc19963"/>
      <w:bookmarkStart w:id="810" w:name="_Toc17214"/>
      <w:bookmarkStart w:id="811" w:name="_Toc169722248"/>
      <w:bookmarkStart w:id="812" w:name="_Toc2140"/>
      <w:bookmarkStart w:id="813" w:name="_Toc19426"/>
      <w:bookmarkStart w:id="814" w:name="_Toc23603"/>
      <w:bookmarkStart w:id="815" w:name="_Toc11673"/>
      <w:bookmarkStart w:id="816" w:name="_Toc6923"/>
      <w:bookmarkStart w:id="817" w:name="_Toc15617"/>
      <w:bookmarkStart w:id="818" w:name="_Toc29679"/>
      <w:r>
        <w:rPr>
          <w:rFonts w:hint="eastAsia"/>
          <w:highlight w:val="none"/>
        </w:rPr>
        <w:t>安全</w:t>
      </w:r>
      <w:r>
        <w:rPr>
          <w:highlight w:val="none"/>
        </w:rPr>
        <w:t>管理责任</w:t>
      </w:r>
      <w:r>
        <w:rPr>
          <w:rFonts w:hint="eastAsia"/>
          <w:highlight w:val="none"/>
        </w:rPr>
        <w:t>界面</w:t>
      </w:r>
      <w:bookmarkEnd w:id="808"/>
      <w:bookmarkEnd w:id="809"/>
      <w:bookmarkEnd w:id="810"/>
      <w:bookmarkEnd w:id="811"/>
      <w:bookmarkEnd w:id="812"/>
      <w:bookmarkEnd w:id="813"/>
      <w:bookmarkEnd w:id="814"/>
      <w:bookmarkEnd w:id="815"/>
      <w:bookmarkEnd w:id="816"/>
      <w:bookmarkEnd w:id="817"/>
      <w:bookmarkEnd w:id="818"/>
    </w:p>
    <w:p w14:paraId="7097C941">
      <w:pPr>
        <w:pStyle w:val="4"/>
        <w:numPr>
          <w:ilvl w:val="2"/>
          <w:numId w:val="13"/>
        </w:numPr>
        <w:rPr>
          <w:rFonts w:hint="eastAsia"/>
          <w:highlight w:val="none"/>
        </w:rPr>
      </w:pPr>
      <w:r>
        <w:rPr>
          <w:rFonts w:hint="eastAsia"/>
          <w:highlight w:val="none"/>
        </w:rPr>
        <w:t>发包人责任</w:t>
      </w:r>
    </w:p>
    <w:p w14:paraId="0A10A42C">
      <w:pPr>
        <w:pStyle w:val="4"/>
        <w:numPr>
          <w:ilvl w:val="2"/>
          <w:numId w:val="13"/>
        </w:numPr>
        <w:rPr>
          <w:rFonts w:hint="eastAsia"/>
          <w:highlight w:val="none"/>
        </w:rPr>
      </w:pPr>
      <w:r>
        <w:rPr>
          <w:rFonts w:hint="eastAsia"/>
          <w:highlight w:val="none"/>
        </w:rPr>
        <w:t>发包人有权对安全工作实施监督管理，对总承包人的安全工作进行监督检查、评价、考核与实施奖惩。</w:t>
      </w:r>
    </w:p>
    <w:p w14:paraId="3B76F2A4">
      <w:pPr>
        <w:pStyle w:val="4"/>
        <w:numPr>
          <w:ilvl w:val="2"/>
          <w:numId w:val="13"/>
        </w:numPr>
        <w:rPr>
          <w:rFonts w:hint="eastAsia"/>
          <w:highlight w:val="none"/>
        </w:rPr>
      </w:pPr>
      <w:r>
        <w:rPr>
          <w:rFonts w:hint="eastAsia"/>
          <w:highlight w:val="none"/>
        </w:rPr>
        <w:t>总承包人责任</w:t>
      </w:r>
    </w:p>
    <w:p w14:paraId="5D47626E">
      <w:pPr>
        <w:pStyle w:val="5"/>
        <w:rPr>
          <w:rFonts w:hint="eastAsia"/>
          <w:highlight w:val="none"/>
        </w:rPr>
      </w:pPr>
      <w:r>
        <w:rPr>
          <w:rFonts w:hint="eastAsia"/>
          <w:highlight w:val="none"/>
        </w:rPr>
        <w:t>总承包人对承包范围工程安全生产工作负总责，对所有专业承包单位实行统一指挥、协调、管理和监督，对施工现场所有人员（包括供应商、技术服务人员、参观学习等临时入场人员）、材料、设备等物资的安全、保卫工作实施统一管理。</w:t>
      </w:r>
    </w:p>
    <w:p w14:paraId="16980289">
      <w:pPr>
        <w:pStyle w:val="5"/>
        <w:rPr>
          <w:rFonts w:hint="eastAsia"/>
          <w:highlight w:val="none"/>
        </w:rPr>
      </w:pPr>
      <w:r>
        <w:rPr>
          <w:rFonts w:hint="eastAsia"/>
          <w:highlight w:val="none"/>
        </w:rPr>
        <w:t>总承包人执行的安全标准应以不低于</w:t>
      </w:r>
      <w:bookmarkStart w:id="819" w:name="_Hlk166189627"/>
      <w:r>
        <w:rPr>
          <w:rFonts w:hint="eastAsia"/>
          <w:highlight w:val="none"/>
        </w:rPr>
        <w:t>国家现行有关法律法规、标准规范</w:t>
      </w:r>
      <w:bookmarkEnd w:id="819"/>
      <w:r>
        <w:rPr>
          <w:rFonts w:hint="eastAsia"/>
          <w:highlight w:val="none"/>
        </w:rPr>
        <w:t>（包括行业标准、地方标准）为基本原则，如总承包人在本工程采用了低于本工料规范，国家、行业法规、标准或未予描述的做法，造成相关损失，由总承包人承担相应责任。</w:t>
      </w:r>
    </w:p>
    <w:p w14:paraId="60A5FCD0">
      <w:pPr>
        <w:pStyle w:val="5"/>
        <w:rPr>
          <w:rFonts w:hint="eastAsia"/>
          <w:highlight w:val="none"/>
        </w:rPr>
      </w:pPr>
      <w:r>
        <w:rPr>
          <w:rFonts w:hint="eastAsia"/>
          <w:highlight w:val="none"/>
        </w:rPr>
        <w:t>发包人与总承包人签署安全生产协议（</w:t>
      </w:r>
      <w:r>
        <w:rPr>
          <w:rFonts w:hint="eastAsia"/>
          <w:b/>
          <w:bCs/>
          <w:highlight w:val="none"/>
        </w:rPr>
        <w:t>【附件B-5】安全生产协议书</w:t>
      </w:r>
      <w:r>
        <w:rPr>
          <w:rFonts w:hint="eastAsia"/>
          <w:highlight w:val="none"/>
        </w:rPr>
        <w:t>）作为本规定的细化、补充与延伸，具备与合同条款同等的法律效力，总承包人必须无条件执行。</w:t>
      </w:r>
    </w:p>
    <w:p w14:paraId="5AE0967F">
      <w:pPr>
        <w:pStyle w:val="5"/>
        <w:rPr>
          <w:rFonts w:hint="eastAsia"/>
          <w:highlight w:val="none"/>
        </w:rPr>
      </w:pPr>
      <w:r>
        <w:rPr>
          <w:rFonts w:hint="eastAsia"/>
          <w:highlight w:val="none"/>
        </w:rPr>
        <w:t>法律法规或合同约定的总承包人应承担的其他义务与责任。</w:t>
      </w:r>
    </w:p>
    <w:p w14:paraId="74FA654B">
      <w:pPr>
        <w:pStyle w:val="3"/>
        <w:numPr>
          <w:ilvl w:val="1"/>
          <w:numId w:val="13"/>
        </w:numPr>
        <w:rPr>
          <w:rFonts w:hint="eastAsia"/>
          <w:highlight w:val="none"/>
        </w:rPr>
      </w:pPr>
      <w:bookmarkStart w:id="820" w:name="_Toc26193"/>
      <w:bookmarkStart w:id="821" w:name="_Toc10746"/>
      <w:bookmarkStart w:id="822" w:name="_Toc25868"/>
      <w:bookmarkStart w:id="823" w:name="_Toc169722249"/>
      <w:bookmarkStart w:id="824" w:name="_Toc14687"/>
      <w:bookmarkStart w:id="825" w:name="_Toc22335"/>
      <w:bookmarkStart w:id="826" w:name="_Toc14608"/>
      <w:bookmarkStart w:id="827" w:name="_Toc27510"/>
      <w:bookmarkStart w:id="828" w:name="_Toc31016"/>
      <w:bookmarkStart w:id="829" w:name="_Toc7703"/>
      <w:bookmarkStart w:id="830" w:name="_Toc21157"/>
      <w:r>
        <w:rPr>
          <w:rFonts w:hint="eastAsia"/>
          <w:highlight w:val="none"/>
        </w:rPr>
        <w:t>安全目标与责任管理</w:t>
      </w:r>
      <w:bookmarkEnd w:id="820"/>
      <w:bookmarkEnd w:id="821"/>
      <w:bookmarkEnd w:id="822"/>
      <w:bookmarkEnd w:id="823"/>
      <w:bookmarkEnd w:id="824"/>
      <w:bookmarkEnd w:id="825"/>
      <w:bookmarkEnd w:id="826"/>
      <w:bookmarkEnd w:id="827"/>
      <w:bookmarkEnd w:id="828"/>
      <w:bookmarkEnd w:id="829"/>
      <w:bookmarkEnd w:id="830"/>
    </w:p>
    <w:p w14:paraId="450CE24F">
      <w:pPr>
        <w:pStyle w:val="4"/>
        <w:numPr>
          <w:ilvl w:val="2"/>
          <w:numId w:val="13"/>
        </w:numPr>
        <w:rPr>
          <w:rFonts w:hint="eastAsia"/>
          <w:highlight w:val="none"/>
        </w:rPr>
      </w:pPr>
      <w:r>
        <w:rPr>
          <w:rFonts w:hint="eastAsia"/>
          <w:highlight w:val="none"/>
        </w:rPr>
        <w:t>总承包人应建立全员安全责任制，明确各级岗位、人员责任清单，落实“管业务必须管安全、管生产经营必须管安全”要求。</w:t>
      </w:r>
    </w:p>
    <w:p w14:paraId="1A52D87A">
      <w:pPr>
        <w:pStyle w:val="4"/>
        <w:numPr>
          <w:ilvl w:val="2"/>
          <w:numId w:val="13"/>
        </w:numPr>
        <w:rPr>
          <w:rFonts w:hint="eastAsia"/>
          <w:highlight w:val="none"/>
        </w:rPr>
      </w:pPr>
      <w:r>
        <w:rPr>
          <w:rFonts w:hint="eastAsia"/>
          <w:highlight w:val="none"/>
        </w:rPr>
        <w:t>总承包人应建立清晰、明确的安全目标，并分解到各级关键岗位、人员。</w:t>
      </w:r>
    </w:p>
    <w:p w14:paraId="774789BF">
      <w:pPr>
        <w:pStyle w:val="4"/>
        <w:numPr>
          <w:ilvl w:val="2"/>
          <w:numId w:val="13"/>
        </w:numPr>
        <w:rPr>
          <w:rFonts w:hint="eastAsia"/>
          <w:highlight w:val="none"/>
        </w:rPr>
      </w:pPr>
      <w:r>
        <w:rPr>
          <w:rFonts w:hint="eastAsia"/>
          <w:highlight w:val="none"/>
        </w:rPr>
        <w:t>总承包人应建立目标、责任考核制度，全员签订安全责任书，并将安全责任、目标纳入业绩考核。</w:t>
      </w:r>
    </w:p>
    <w:p w14:paraId="0E7C64E4">
      <w:pPr>
        <w:pStyle w:val="3"/>
        <w:numPr>
          <w:ilvl w:val="1"/>
          <w:numId w:val="13"/>
        </w:numPr>
        <w:rPr>
          <w:rFonts w:hint="eastAsia"/>
          <w:highlight w:val="none"/>
        </w:rPr>
      </w:pPr>
      <w:bookmarkStart w:id="831" w:name="_Toc22210"/>
      <w:bookmarkStart w:id="832" w:name="_Toc18587"/>
      <w:bookmarkStart w:id="833" w:name="_Toc13292"/>
      <w:bookmarkStart w:id="834" w:name="_Toc9697"/>
      <w:bookmarkStart w:id="835" w:name="_Toc25715"/>
      <w:bookmarkStart w:id="836" w:name="_Toc8503"/>
      <w:bookmarkStart w:id="837" w:name="_Toc7123"/>
      <w:bookmarkStart w:id="838" w:name="_Toc169722250"/>
      <w:bookmarkStart w:id="839" w:name="_Toc19642"/>
      <w:bookmarkStart w:id="840" w:name="_Toc18828"/>
      <w:bookmarkStart w:id="841" w:name="_Toc4863"/>
      <w:r>
        <w:rPr>
          <w:rFonts w:hint="eastAsia"/>
          <w:highlight w:val="none"/>
        </w:rPr>
        <w:t>安全</w:t>
      </w:r>
      <w:r>
        <w:rPr>
          <w:highlight w:val="none"/>
        </w:rPr>
        <w:t>组织</w:t>
      </w:r>
      <w:r>
        <w:rPr>
          <w:rFonts w:hint="eastAsia"/>
          <w:highlight w:val="none"/>
        </w:rPr>
        <w:t>建设</w:t>
      </w:r>
      <w:r>
        <w:rPr>
          <w:highlight w:val="none"/>
        </w:rPr>
        <w:t>及人员</w:t>
      </w:r>
      <w:r>
        <w:rPr>
          <w:rFonts w:hint="eastAsia"/>
          <w:highlight w:val="none"/>
        </w:rPr>
        <w:t>配置</w:t>
      </w:r>
      <w:bookmarkEnd w:id="831"/>
      <w:bookmarkEnd w:id="832"/>
      <w:bookmarkEnd w:id="833"/>
      <w:bookmarkEnd w:id="834"/>
      <w:bookmarkEnd w:id="835"/>
      <w:bookmarkEnd w:id="836"/>
      <w:bookmarkEnd w:id="837"/>
      <w:bookmarkEnd w:id="838"/>
      <w:bookmarkEnd w:id="839"/>
      <w:bookmarkEnd w:id="840"/>
      <w:bookmarkEnd w:id="841"/>
    </w:p>
    <w:p w14:paraId="55374615">
      <w:pPr>
        <w:pStyle w:val="4"/>
        <w:numPr>
          <w:ilvl w:val="2"/>
          <w:numId w:val="13"/>
        </w:numPr>
        <w:rPr>
          <w:rFonts w:hint="eastAsia"/>
          <w:highlight w:val="none"/>
        </w:rPr>
      </w:pPr>
      <w:r>
        <w:rPr>
          <w:rFonts w:hint="eastAsia"/>
          <w:highlight w:val="none"/>
        </w:rPr>
        <w:t>安全组织建设</w:t>
      </w:r>
    </w:p>
    <w:p w14:paraId="448889DE">
      <w:pPr>
        <w:pStyle w:val="5"/>
        <w:rPr>
          <w:rFonts w:hint="eastAsia"/>
          <w:highlight w:val="none"/>
        </w:rPr>
      </w:pPr>
      <w:r>
        <w:rPr>
          <w:rFonts w:hint="eastAsia"/>
          <w:highlight w:val="none"/>
        </w:rPr>
        <w:t>总承包人应成立企业专职安全监督管理部门，设立安全负责人，</w:t>
      </w:r>
      <w:bookmarkStart w:id="842" w:name="_Hlk166182551"/>
      <w:r>
        <w:rPr>
          <w:rFonts w:hint="eastAsia"/>
          <w:highlight w:val="none"/>
        </w:rPr>
        <w:t>按照法律法规、行业主管部门规定和地方政府部门规定配备足够数量的专职安全管理人员。</w:t>
      </w:r>
      <w:bookmarkEnd w:id="842"/>
    </w:p>
    <w:p w14:paraId="451DD540">
      <w:pPr>
        <w:pStyle w:val="5"/>
        <w:rPr>
          <w:rFonts w:hint="eastAsia"/>
          <w:highlight w:val="none"/>
        </w:rPr>
      </w:pPr>
      <w:r>
        <w:rPr>
          <w:rFonts w:hint="eastAsia"/>
          <w:highlight w:val="none"/>
        </w:rPr>
        <w:t>总承包人应建立以项目负责人为组长的项目安全领导机构，明确</w:t>
      </w:r>
      <w:bookmarkStart w:id="843" w:name="_Hlk166182137"/>
      <w:r>
        <w:rPr>
          <w:rFonts w:hint="eastAsia"/>
          <w:highlight w:val="none"/>
        </w:rPr>
        <w:t>会议、检查、培训等</w:t>
      </w:r>
      <w:bookmarkEnd w:id="843"/>
      <w:r>
        <w:rPr>
          <w:rFonts w:hint="eastAsia"/>
          <w:highlight w:val="none"/>
        </w:rPr>
        <w:t>工作机制，在正式进场后1</w:t>
      </w:r>
      <w:r>
        <w:rPr>
          <w:highlight w:val="none"/>
        </w:rPr>
        <w:t>0</w:t>
      </w:r>
      <w:r>
        <w:rPr>
          <w:rFonts w:hint="eastAsia"/>
          <w:highlight w:val="none"/>
        </w:rPr>
        <w:t>个工作日内书面上报监理人、发包人备案。</w:t>
      </w:r>
    </w:p>
    <w:p w14:paraId="248ADCA8">
      <w:pPr>
        <w:pStyle w:val="4"/>
        <w:numPr>
          <w:ilvl w:val="2"/>
          <w:numId w:val="13"/>
        </w:numPr>
        <w:rPr>
          <w:rFonts w:hint="eastAsia"/>
          <w:highlight w:val="none"/>
        </w:rPr>
      </w:pPr>
      <w:bookmarkStart w:id="844" w:name="_Hlk166182583"/>
      <w:r>
        <w:rPr>
          <w:rFonts w:hint="eastAsia"/>
          <w:highlight w:val="none"/>
        </w:rPr>
        <w:t>项目专职安全管理人员配置</w:t>
      </w:r>
      <w:bookmarkEnd w:id="844"/>
    </w:p>
    <w:p w14:paraId="7E3FDBCA">
      <w:pPr>
        <w:pStyle w:val="5"/>
        <w:rPr>
          <w:rFonts w:hint="eastAsia"/>
          <w:highlight w:val="none"/>
        </w:rPr>
      </w:pPr>
      <w:bookmarkStart w:id="845" w:name="_Hlk166182713"/>
      <w:r>
        <w:rPr>
          <w:rFonts w:hint="eastAsia"/>
          <w:highlight w:val="none"/>
        </w:rPr>
        <w:t>总承包人配备项目专职安全生产管理人员应满足下列要求：</w:t>
      </w:r>
      <w:bookmarkEnd w:id="845"/>
    </w:p>
    <w:p w14:paraId="72DFCE83">
      <w:pPr>
        <w:numPr>
          <w:ilvl w:val="0"/>
          <w:numId w:val="168"/>
        </w:numPr>
        <w:ind w:firstLine="480"/>
        <w:rPr>
          <w:rFonts w:hint="eastAsia"/>
          <w:highlight w:val="none"/>
        </w:rPr>
      </w:pPr>
      <w:r>
        <w:rPr>
          <w:rFonts w:hint="eastAsia"/>
          <w:highlight w:val="none"/>
        </w:rPr>
        <w:t>建筑工程、装修工程按照建筑面积配备：</w:t>
      </w:r>
    </w:p>
    <w:p w14:paraId="0F027ACB">
      <w:pPr>
        <w:ind w:left="480" w:leftChars="200" w:firstLine="480"/>
        <w:rPr>
          <w:rFonts w:hint="eastAsia"/>
          <w:highlight w:val="none"/>
        </w:rPr>
      </w:pPr>
      <w:r>
        <w:rPr>
          <w:rFonts w:hint="eastAsia"/>
          <w:highlight w:val="none"/>
        </w:rPr>
        <w:t>1）1万平方米以下的工程不少于1人；</w:t>
      </w:r>
    </w:p>
    <w:p w14:paraId="6D2D7351">
      <w:pPr>
        <w:ind w:left="480" w:leftChars="200" w:firstLine="480"/>
        <w:rPr>
          <w:rFonts w:hint="eastAsia"/>
          <w:highlight w:val="none"/>
        </w:rPr>
      </w:pPr>
      <w:r>
        <w:rPr>
          <w:rFonts w:hint="eastAsia"/>
          <w:highlight w:val="none"/>
        </w:rPr>
        <w:t>2）1万～5万平方米的工程不少于2人；</w:t>
      </w:r>
    </w:p>
    <w:p w14:paraId="03ADE5C3">
      <w:pPr>
        <w:ind w:left="480" w:leftChars="200" w:firstLine="480"/>
        <w:rPr>
          <w:rFonts w:hint="eastAsia"/>
          <w:highlight w:val="none"/>
        </w:rPr>
      </w:pPr>
      <w:r>
        <w:rPr>
          <w:rFonts w:hint="eastAsia"/>
          <w:highlight w:val="none"/>
        </w:rPr>
        <w:t>3）5万平方米及以上的工程不少于3人，且按专业配备专职安全生产管理人员。</w:t>
      </w:r>
    </w:p>
    <w:p w14:paraId="41541CB7">
      <w:pPr>
        <w:numPr>
          <w:ilvl w:val="0"/>
          <w:numId w:val="168"/>
        </w:numPr>
        <w:ind w:firstLine="480"/>
        <w:rPr>
          <w:rFonts w:hint="eastAsia"/>
          <w:highlight w:val="none"/>
        </w:rPr>
      </w:pPr>
      <w:r>
        <w:rPr>
          <w:rFonts w:hint="eastAsia"/>
          <w:highlight w:val="none"/>
        </w:rPr>
        <w:t>土木工程、线路管道、设备安装工程按照工程合同价配备：</w:t>
      </w:r>
    </w:p>
    <w:p w14:paraId="52DE7F22">
      <w:pPr>
        <w:ind w:left="480" w:leftChars="200" w:firstLine="480"/>
        <w:rPr>
          <w:rFonts w:hint="eastAsia"/>
          <w:highlight w:val="none"/>
        </w:rPr>
      </w:pPr>
      <w:r>
        <w:rPr>
          <w:rFonts w:hint="eastAsia"/>
          <w:highlight w:val="none"/>
        </w:rPr>
        <w:t>1）5000万元以下的工程不少于1人；</w:t>
      </w:r>
    </w:p>
    <w:p w14:paraId="3CC00F59">
      <w:pPr>
        <w:ind w:left="480" w:leftChars="200" w:firstLine="480"/>
        <w:rPr>
          <w:rFonts w:hint="eastAsia"/>
          <w:highlight w:val="none"/>
        </w:rPr>
      </w:pPr>
      <w:r>
        <w:rPr>
          <w:rFonts w:hint="eastAsia"/>
          <w:highlight w:val="none"/>
        </w:rPr>
        <w:t>2）5000万～1亿元的工程不少于2人；</w:t>
      </w:r>
    </w:p>
    <w:p w14:paraId="2F199490">
      <w:pPr>
        <w:ind w:left="480" w:leftChars="200" w:firstLine="480"/>
        <w:rPr>
          <w:rFonts w:hint="eastAsia"/>
          <w:highlight w:val="none"/>
        </w:rPr>
      </w:pPr>
      <w:r>
        <w:rPr>
          <w:rFonts w:hint="eastAsia"/>
          <w:highlight w:val="none"/>
        </w:rPr>
        <w:t>3）1亿元及以上的工程不少于3人，且按专业配备专职安全生产管理人员。</w:t>
      </w:r>
    </w:p>
    <w:p w14:paraId="036519E1">
      <w:pPr>
        <w:pStyle w:val="5"/>
        <w:rPr>
          <w:rFonts w:hint="eastAsia"/>
          <w:highlight w:val="none"/>
        </w:rPr>
      </w:pPr>
      <w:bookmarkStart w:id="846" w:name="_Hlk166183135"/>
      <w:r>
        <w:rPr>
          <w:rFonts w:hint="eastAsia"/>
          <w:highlight w:val="none"/>
        </w:rPr>
        <w:t>分包人配备项目专职安全生产管理人员应满足下列要求：</w:t>
      </w:r>
    </w:p>
    <w:p w14:paraId="589E7DBD">
      <w:pPr>
        <w:numPr>
          <w:ilvl w:val="0"/>
          <w:numId w:val="169"/>
        </w:numPr>
        <w:ind w:firstLine="480"/>
        <w:rPr>
          <w:rFonts w:hint="eastAsia"/>
          <w:highlight w:val="none"/>
        </w:rPr>
      </w:pPr>
      <w:r>
        <w:rPr>
          <w:rFonts w:hint="eastAsia"/>
          <w:highlight w:val="none"/>
        </w:rPr>
        <w:t>专业承包单位应当配置至少1人，并根据所承担的分部分项工程的工程量和施工危险程度增加。</w:t>
      </w:r>
    </w:p>
    <w:p w14:paraId="534AB3EB">
      <w:pPr>
        <w:numPr>
          <w:ilvl w:val="0"/>
          <w:numId w:val="169"/>
        </w:numPr>
        <w:ind w:firstLine="480"/>
        <w:rPr>
          <w:rFonts w:hint="eastAsia"/>
          <w:highlight w:val="none"/>
        </w:rPr>
      </w:pPr>
      <w:r>
        <w:rPr>
          <w:rFonts w:hint="eastAsia"/>
          <w:highlight w:val="none"/>
        </w:rPr>
        <w:t>劳务分包单位施工人员在50人以下的，应当配备1名专职安全生产管理人员；50人-200人的，应当配备2名专职安全生产管理人员；200人及以上的，应当配备3名及以上专职安全生产管理人员，并根据所承担的分部分项工程施工危险实际情况增加，不得少于工程施工人员总人数的5‰。</w:t>
      </w:r>
    </w:p>
    <w:p w14:paraId="73E52CAA">
      <w:pPr>
        <w:pStyle w:val="5"/>
        <w:rPr>
          <w:rFonts w:hint="eastAsia"/>
          <w:highlight w:val="none"/>
        </w:rPr>
      </w:pPr>
      <w:r>
        <w:rPr>
          <w:rFonts w:hint="eastAsia"/>
          <w:highlight w:val="none"/>
        </w:rPr>
        <w:t>承包人必须严格按照省市相关规定和发包人要求，足额投入安全生产管理人员，其中：项目负责人应持有有效的注册在中标单位的安全B证（省级建设主管部门核发、认可的），专职安全员必须持有注册在中标单位的安全C证（省级建设主管部门核发、认可的），涉及的所有特种作业人员必须持有有效的省级建设主管部门核发、认可的特种作业人员证书。</w:t>
      </w:r>
    </w:p>
    <w:p w14:paraId="39EF5DFC">
      <w:pPr>
        <w:pStyle w:val="5"/>
        <w:rPr>
          <w:rFonts w:hint="eastAsia"/>
          <w:highlight w:val="none"/>
        </w:rPr>
      </w:pPr>
      <w:r>
        <w:rPr>
          <w:rFonts w:hint="eastAsia"/>
          <w:highlight w:val="none"/>
        </w:rPr>
        <w:t>承包人必须明确划分各人员的责任，使其在施工过程中履行自己的责任和义务。项目负责人是安全第一责任人，负责安全生产的直接责任。</w:t>
      </w:r>
    </w:p>
    <w:p w14:paraId="2EF55980">
      <w:pPr>
        <w:pStyle w:val="5"/>
        <w:rPr>
          <w:rFonts w:hint="eastAsia"/>
          <w:highlight w:val="none"/>
        </w:rPr>
      </w:pPr>
      <w:r>
        <w:rPr>
          <w:rFonts w:hint="eastAsia"/>
          <w:highlight w:val="none"/>
        </w:rPr>
        <w:t>承包人必须制定严格的安全技术操作规程，并定期对安全生产管理人员进行考核。进场前发包人对安全管理人员进行面试，并定期考核，合格者方能入职上岗，发包人有权更换不合格安全生产管理人员。</w:t>
      </w:r>
    </w:p>
    <w:bookmarkEnd w:id="846"/>
    <w:p w14:paraId="15774BE2">
      <w:pPr>
        <w:pStyle w:val="4"/>
        <w:numPr>
          <w:ilvl w:val="2"/>
          <w:numId w:val="13"/>
        </w:numPr>
        <w:rPr>
          <w:rFonts w:hint="eastAsia"/>
          <w:highlight w:val="none"/>
        </w:rPr>
      </w:pPr>
      <w:r>
        <w:rPr>
          <w:rFonts w:hint="eastAsia"/>
          <w:highlight w:val="none"/>
        </w:rPr>
        <w:t>总承包人</w:t>
      </w:r>
      <w:bookmarkStart w:id="847" w:name="_Hlk166183324"/>
      <w:r>
        <w:rPr>
          <w:rFonts w:hint="eastAsia"/>
          <w:highlight w:val="none"/>
        </w:rPr>
        <w:t>按照上述标准配备的专职安全管理人员</w:t>
      </w:r>
      <w:bookmarkEnd w:id="847"/>
      <w:r>
        <w:rPr>
          <w:rFonts w:hint="eastAsia"/>
          <w:highlight w:val="none"/>
        </w:rPr>
        <w:t>安全管理绩效无法满足发包人安全要求时，发包人有权要求总承包人更换或者增加专职安全管理人员，总承包人必须执行。增加人员产生的费用由总承包人承担。</w:t>
      </w:r>
    </w:p>
    <w:p w14:paraId="1CA6E26A">
      <w:pPr>
        <w:pStyle w:val="4"/>
        <w:numPr>
          <w:ilvl w:val="2"/>
          <w:numId w:val="13"/>
        </w:numPr>
        <w:rPr>
          <w:rFonts w:hint="eastAsia"/>
          <w:highlight w:val="none"/>
        </w:rPr>
      </w:pPr>
      <w:r>
        <w:rPr>
          <w:rFonts w:hint="eastAsia"/>
          <w:highlight w:val="none"/>
        </w:rPr>
        <w:t>总承包人</w:t>
      </w:r>
      <w:bookmarkStart w:id="848" w:name="_Hlk166183364"/>
      <w:r>
        <w:rPr>
          <w:rFonts w:hint="eastAsia"/>
          <w:highlight w:val="none"/>
        </w:rPr>
        <w:t>必须为专职安全管理人员配备标准化的通讯器材、检测（查）工具与仪器、影像记录器材等装备</w:t>
      </w:r>
      <w:bookmarkEnd w:id="848"/>
      <w:r>
        <w:rPr>
          <w:rFonts w:hint="eastAsia"/>
          <w:highlight w:val="none"/>
        </w:rPr>
        <w:t>。</w:t>
      </w:r>
    </w:p>
    <w:p w14:paraId="4948B0A8">
      <w:pPr>
        <w:pStyle w:val="4"/>
        <w:numPr>
          <w:ilvl w:val="2"/>
          <w:numId w:val="13"/>
        </w:numPr>
        <w:rPr>
          <w:rFonts w:hint="eastAsia"/>
          <w:highlight w:val="none"/>
        </w:rPr>
      </w:pPr>
      <w:r>
        <w:rPr>
          <w:rFonts w:hint="eastAsia"/>
          <w:highlight w:val="none"/>
        </w:rPr>
        <w:t>总承包人项目团队关键成员（项目负责人、</w:t>
      </w:r>
      <w:r>
        <w:rPr>
          <w:highlight w:val="none"/>
        </w:rPr>
        <w:t>生产经理</w:t>
      </w:r>
      <w:r>
        <w:rPr>
          <w:rFonts w:hint="eastAsia"/>
          <w:highlight w:val="none"/>
        </w:rPr>
        <w:t>、技术负责人、造价负责人、安全负责人等）</w:t>
      </w:r>
      <w:bookmarkStart w:id="849" w:name="_Hlk166183401"/>
      <w:r>
        <w:rPr>
          <w:rFonts w:hint="eastAsia"/>
          <w:highlight w:val="none"/>
        </w:rPr>
        <w:t>必须从开工至交付全过程参与项目实施，</w:t>
      </w:r>
      <w:bookmarkEnd w:id="849"/>
      <w:r>
        <w:rPr>
          <w:rFonts w:hint="eastAsia"/>
          <w:highlight w:val="none"/>
        </w:rPr>
        <w:t>保证专职专岗并常驻项目，严禁挂职、挂证、挂名、</w:t>
      </w:r>
      <w:bookmarkStart w:id="850" w:name="_Hlk166183451"/>
      <w:r>
        <w:rPr>
          <w:rFonts w:hint="eastAsia"/>
          <w:highlight w:val="none"/>
        </w:rPr>
        <w:t>不在岗履职</w:t>
      </w:r>
      <w:bookmarkEnd w:id="850"/>
      <w:r>
        <w:rPr>
          <w:rFonts w:hint="eastAsia"/>
          <w:highlight w:val="none"/>
        </w:rPr>
        <w:t>行为。</w:t>
      </w:r>
    </w:p>
    <w:p w14:paraId="04AE070F">
      <w:pPr>
        <w:pStyle w:val="4"/>
        <w:numPr>
          <w:ilvl w:val="2"/>
          <w:numId w:val="13"/>
        </w:numPr>
        <w:rPr>
          <w:rFonts w:hint="eastAsia"/>
          <w:highlight w:val="none"/>
        </w:rPr>
      </w:pPr>
      <w:r>
        <w:rPr>
          <w:rFonts w:hint="eastAsia"/>
          <w:highlight w:val="none"/>
        </w:rPr>
        <w:t>总承包人应保证管理人员及一线作业人员身体健康，精神状态无异常，不得安排有职业禁忌的劳动者从事其所禁忌的作业，不得安排孕期、哺乳期女职工从事对本人和胎儿、婴儿有危害的作业。</w:t>
      </w:r>
      <w:bookmarkStart w:id="851" w:name="_Hlk166183486"/>
      <w:r>
        <w:rPr>
          <w:rFonts w:hint="eastAsia"/>
          <w:highlight w:val="none"/>
        </w:rPr>
        <w:t>针对一线作业人员需向监理人提供进场健康体检报告（一月内报告），体检费用由总承包人自行承担。针对特种作业人员，还应提供行业主管部门颁发的有效特种作业证书，报监理人审查备案。普通作业人员年龄18-60周岁，特种作业人员年龄18-55周岁。</w:t>
      </w:r>
      <w:bookmarkEnd w:id="851"/>
    </w:p>
    <w:p w14:paraId="23517EC0">
      <w:pPr>
        <w:pStyle w:val="4"/>
        <w:numPr>
          <w:ilvl w:val="2"/>
          <w:numId w:val="13"/>
        </w:numPr>
        <w:rPr>
          <w:rFonts w:hint="eastAsia"/>
          <w:highlight w:val="none"/>
        </w:rPr>
      </w:pPr>
      <w:r>
        <w:rPr>
          <w:rFonts w:hint="eastAsia"/>
          <w:highlight w:val="none"/>
        </w:rPr>
        <w:t>总承包人应监管专业承包人专职安全管理人员配备情况，确保配备人员数量符合建质〔2008〕91号《建筑施工企业安全生产管理机构设置及专职安全生产管理人员配备办法》的相关规定，同时必须满足现场管理需要。</w:t>
      </w:r>
    </w:p>
    <w:p w14:paraId="08785D5A">
      <w:pPr>
        <w:pStyle w:val="4"/>
        <w:numPr>
          <w:ilvl w:val="2"/>
          <w:numId w:val="13"/>
        </w:numPr>
        <w:rPr>
          <w:rFonts w:hint="eastAsia"/>
          <w:highlight w:val="none"/>
        </w:rPr>
      </w:pPr>
      <w:r>
        <w:rPr>
          <w:rFonts w:hint="eastAsia"/>
          <w:highlight w:val="none"/>
        </w:rPr>
        <w:t>发包人评估认定专业承包人安全管理人员数量、工作质量无法满足安全管理需要时，总承包人应当督促专业承包人增加或更换安全管理人员。</w:t>
      </w:r>
    </w:p>
    <w:p w14:paraId="0CA1F1C2">
      <w:pPr>
        <w:pStyle w:val="3"/>
        <w:rPr>
          <w:rFonts w:hint="eastAsia"/>
          <w:highlight w:val="none"/>
        </w:rPr>
      </w:pPr>
      <w:r>
        <w:rPr>
          <w:rFonts w:hint="eastAsia"/>
          <w:highlight w:val="none"/>
        </w:rPr>
        <w:t>安全组织建设及人员配置</w:t>
      </w:r>
    </w:p>
    <w:p w14:paraId="3BC44B76">
      <w:pPr>
        <w:pStyle w:val="4"/>
        <w:numPr>
          <w:ilvl w:val="2"/>
          <w:numId w:val="13"/>
        </w:numPr>
        <w:rPr>
          <w:rFonts w:hint="eastAsia"/>
          <w:highlight w:val="none"/>
        </w:rPr>
      </w:pPr>
      <w:r>
        <w:rPr>
          <w:rFonts w:hint="eastAsia"/>
          <w:highlight w:val="none"/>
        </w:rPr>
        <w:t>总承包人按法规要求足额配置专职安全管理人员，还应满足以下要求：</w:t>
      </w:r>
    </w:p>
    <w:p w14:paraId="748FB93E">
      <w:pPr>
        <w:ind w:firstLine="480"/>
        <w:rPr>
          <w:rFonts w:hint="eastAsia"/>
          <w:highlight w:val="none"/>
        </w:rPr>
      </w:pPr>
      <w:r>
        <w:rPr>
          <w:rFonts w:hint="eastAsia"/>
          <w:highlight w:val="none"/>
        </w:rPr>
        <w:t>（1）总包单位进场15日内，应至少到位1名专职安全人员；进场1月内，足额配齐。</w:t>
      </w:r>
    </w:p>
    <w:p w14:paraId="48C27563">
      <w:pPr>
        <w:ind w:firstLine="480"/>
        <w:rPr>
          <w:rFonts w:hint="eastAsia"/>
          <w:highlight w:val="none"/>
        </w:rPr>
      </w:pPr>
      <w:r>
        <w:rPr>
          <w:rFonts w:hint="eastAsia"/>
          <w:highlight w:val="none"/>
        </w:rPr>
        <w:t>（2）正式交付前，现场在岗的专职安全管理人员不得低于法规最低配置要求。</w:t>
      </w:r>
    </w:p>
    <w:p w14:paraId="671E2629">
      <w:pPr>
        <w:ind w:firstLine="480"/>
        <w:rPr>
          <w:rFonts w:hint="eastAsia"/>
          <w:highlight w:val="none"/>
        </w:rPr>
      </w:pPr>
      <w:r>
        <w:rPr>
          <w:rFonts w:hint="eastAsia"/>
          <w:highlight w:val="none"/>
        </w:rPr>
        <w:t>（3）项目安全负责人需经发包人安全管理部面试后方可入场，面试通过即锁定未经批准不得擅自更换，其余专职安全管理人员需由项目部进行面试。</w:t>
      </w:r>
    </w:p>
    <w:p w14:paraId="0AAAF2E0">
      <w:pPr>
        <w:pStyle w:val="4"/>
        <w:numPr>
          <w:ilvl w:val="2"/>
          <w:numId w:val="13"/>
        </w:numPr>
        <w:rPr>
          <w:rFonts w:hint="eastAsia"/>
          <w:highlight w:val="none"/>
        </w:rPr>
      </w:pPr>
      <w:r>
        <w:rPr>
          <w:rFonts w:hint="eastAsia"/>
          <w:highlight w:val="none"/>
        </w:rPr>
        <w:t>总承包人需至少配备1名专职大型设备管理人员，同类型工作年限不少于3年，在大型设备安装前配备到位，设备未完全拆除前不得退场。</w:t>
      </w:r>
    </w:p>
    <w:p w14:paraId="5B343824">
      <w:pPr>
        <w:pStyle w:val="4"/>
        <w:numPr>
          <w:ilvl w:val="2"/>
          <w:numId w:val="13"/>
        </w:numPr>
        <w:rPr>
          <w:rFonts w:hint="eastAsia"/>
          <w:highlight w:val="none"/>
        </w:rPr>
      </w:pPr>
      <w:r>
        <w:rPr>
          <w:rFonts w:hint="eastAsia"/>
          <w:highlight w:val="none"/>
        </w:rPr>
        <w:t>专职安全管理人员、专职机械管理员经发包方面试合格后方可进场，上述管理人员更换或者退场时必须事先征得发包人同意后方可实施。</w:t>
      </w:r>
    </w:p>
    <w:p w14:paraId="7D5AA2D4">
      <w:pPr>
        <w:pStyle w:val="4"/>
        <w:numPr>
          <w:ilvl w:val="2"/>
          <w:numId w:val="13"/>
        </w:numPr>
        <w:rPr>
          <w:rFonts w:hint="eastAsia"/>
          <w:highlight w:val="none"/>
        </w:rPr>
      </w:pPr>
      <w:r>
        <w:rPr>
          <w:rFonts w:hint="eastAsia"/>
          <w:highlight w:val="none"/>
        </w:rPr>
        <w:t>总承包人应聘用专业保安公司负责现场治安保卫工作对项目实施24小时封闭式管理，驻场安保人员应为男性年龄不得大于45岁，初中以上文化水平，并按照每个门岗不少于两人进行配置，另需配置1人现场流动巡逻。</w:t>
      </w:r>
    </w:p>
    <w:p w14:paraId="1925927C">
      <w:pPr>
        <w:pStyle w:val="4"/>
        <w:numPr>
          <w:ilvl w:val="2"/>
          <w:numId w:val="13"/>
        </w:numPr>
        <w:rPr>
          <w:rFonts w:hint="eastAsia"/>
          <w:highlight w:val="none"/>
        </w:rPr>
      </w:pPr>
      <w:r>
        <w:rPr>
          <w:rFonts w:hint="eastAsia"/>
          <w:highlight w:val="none"/>
        </w:rPr>
        <w:t>总承包人应组建一支专门负责临边安全防护、文明施工的队伍由总承包人安全监督部门负责管理调配，并按照不低于1万㎡/1人的标准进行配备，以上人员需保证在进场开工前达到50%到岗率，第一块底板施工前80%到岗，总施工楼层数达到20%或地下室顶板施工面积达到100%时全部到岗，退场时间由发包人根据现场实际情况确定，相关费用应在投标时一并考虑。</w:t>
      </w:r>
    </w:p>
    <w:p w14:paraId="51714F13">
      <w:pPr>
        <w:pStyle w:val="4"/>
        <w:numPr>
          <w:ilvl w:val="2"/>
          <w:numId w:val="13"/>
        </w:numPr>
        <w:rPr>
          <w:rFonts w:hint="eastAsia"/>
          <w:highlight w:val="none"/>
        </w:rPr>
      </w:pPr>
      <w:r>
        <w:rPr>
          <w:rFonts w:hint="eastAsia"/>
          <w:highlight w:val="none"/>
        </w:rPr>
        <w:t>需要配合上级、政府检查或者发包人认为现场人员不满足要求时，发包人有权要求总承包人增配人员，总承包人应当无条件配合。</w:t>
      </w:r>
    </w:p>
    <w:p w14:paraId="02F3764E">
      <w:pPr>
        <w:pStyle w:val="3"/>
        <w:numPr>
          <w:ilvl w:val="1"/>
          <w:numId w:val="13"/>
        </w:numPr>
        <w:rPr>
          <w:rFonts w:hint="eastAsia"/>
          <w:highlight w:val="none"/>
        </w:rPr>
      </w:pPr>
      <w:bookmarkStart w:id="852" w:name="_Toc32078"/>
      <w:bookmarkStart w:id="853" w:name="_Toc6745"/>
      <w:bookmarkStart w:id="854" w:name="_Toc19643"/>
      <w:bookmarkStart w:id="855" w:name="_Toc24508"/>
      <w:bookmarkStart w:id="856" w:name="_Toc27259"/>
      <w:bookmarkStart w:id="857" w:name="_Toc17047"/>
      <w:bookmarkStart w:id="858" w:name="_Toc4424"/>
      <w:bookmarkStart w:id="859" w:name="_Toc8365"/>
      <w:bookmarkStart w:id="860" w:name="_Toc14144"/>
      <w:bookmarkStart w:id="861" w:name="_Toc12610"/>
      <w:r>
        <w:rPr>
          <w:rFonts w:hint="eastAsia"/>
          <w:highlight w:val="none"/>
        </w:rPr>
        <w:t>安全管理一般要求</w:t>
      </w:r>
      <w:bookmarkEnd w:id="852"/>
      <w:bookmarkEnd w:id="853"/>
      <w:bookmarkEnd w:id="854"/>
      <w:bookmarkEnd w:id="855"/>
      <w:bookmarkEnd w:id="856"/>
      <w:bookmarkEnd w:id="857"/>
      <w:bookmarkEnd w:id="858"/>
      <w:bookmarkEnd w:id="859"/>
      <w:bookmarkEnd w:id="860"/>
      <w:bookmarkEnd w:id="861"/>
    </w:p>
    <w:p w14:paraId="510E3F1D">
      <w:pPr>
        <w:pStyle w:val="4"/>
        <w:numPr>
          <w:ilvl w:val="2"/>
          <w:numId w:val="13"/>
        </w:numPr>
        <w:rPr>
          <w:rFonts w:hint="eastAsia"/>
          <w:highlight w:val="none"/>
        </w:rPr>
      </w:pPr>
      <w:bookmarkStart w:id="862" w:name="_Toc27790"/>
      <w:r>
        <w:rPr>
          <w:rFonts w:hint="eastAsia"/>
          <w:highlight w:val="none"/>
        </w:rPr>
        <w:t>安全文明施工一般规定</w:t>
      </w:r>
      <w:bookmarkEnd w:id="862"/>
    </w:p>
    <w:p w14:paraId="2A981EE5">
      <w:pPr>
        <w:pStyle w:val="5"/>
        <w:numPr>
          <w:ilvl w:val="3"/>
          <w:numId w:val="13"/>
        </w:numPr>
        <w:rPr>
          <w:rFonts w:hint="eastAsia"/>
          <w:highlight w:val="none"/>
        </w:rPr>
      </w:pPr>
      <w:r>
        <w:rPr>
          <w:rFonts w:hint="eastAsia"/>
          <w:highlight w:val="none"/>
        </w:rPr>
        <w:t>根据广州市城乡建委《广州市住房和城乡建设委员会关于全市建设工地纳入视频监管的通知》（穗建质〔2017〕1166号）要求，建立并完善工地的视频监控系统。</w:t>
      </w:r>
    </w:p>
    <w:p w14:paraId="28E5FC21">
      <w:pPr>
        <w:pStyle w:val="5"/>
        <w:numPr>
          <w:ilvl w:val="3"/>
          <w:numId w:val="13"/>
        </w:numPr>
        <w:rPr>
          <w:rFonts w:hint="eastAsia"/>
          <w:highlight w:val="none"/>
        </w:rPr>
      </w:pPr>
      <w:r>
        <w:rPr>
          <w:rFonts w:hint="eastAsia"/>
          <w:highlight w:val="none"/>
        </w:rPr>
        <w:t>承包人应按《广州市住房和城乡建设局等9部门关于印发广州市建设工程绿色施工围蔽指导图集（V2.0版）的通知》（穗建质〔2020〕1号）实施。</w:t>
      </w:r>
    </w:p>
    <w:p w14:paraId="1A0635AA">
      <w:pPr>
        <w:pStyle w:val="5"/>
        <w:numPr>
          <w:ilvl w:val="3"/>
          <w:numId w:val="13"/>
        </w:numPr>
        <w:rPr>
          <w:rFonts w:hint="eastAsia"/>
          <w:highlight w:val="none"/>
        </w:rPr>
      </w:pPr>
      <w:r>
        <w:rPr>
          <w:rFonts w:hint="eastAsia"/>
          <w:highlight w:val="none"/>
        </w:rPr>
        <w:t>严格按照《广州市城乡建设委员会关于印发广州市建设工程绿色施工工作技术指引的通知》（穗建质〔2014〕914号）要求，对建设工程全过程实施绿色施工。</w:t>
      </w:r>
    </w:p>
    <w:p w14:paraId="7B456CA8">
      <w:pPr>
        <w:pStyle w:val="5"/>
        <w:numPr>
          <w:ilvl w:val="3"/>
          <w:numId w:val="13"/>
        </w:numPr>
        <w:rPr>
          <w:rFonts w:hint="eastAsia"/>
          <w:highlight w:val="none"/>
        </w:rPr>
      </w:pPr>
      <w:r>
        <w:rPr>
          <w:rFonts w:hint="eastAsia"/>
          <w:highlight w:val="none"/>
        </w:rPr>
        <w:t>严格按照《广州市住房和城乡建设局等8部门关于印发广州市建设工程扬尘防治“6个100%”管理标准图集（V2.0版）的通知》的要求，对建设工程全过程实施扬尘防治。</w:t>
      </w:r>
    </w:p>
    <w:p w14:paraId="31666830">
      <w:pPr>
        <w:pStyle w:val="5"/>
        <w:numPr>
          <w:ilvl w:val="3"/>
          <w:numId w:val="13"/>
        </w:numPr>
        <w:rPr>
          <w:rFonts w:hint="eastAsia"/>
          <w:highlight w:val="none"/>
        </w:rPr>
      </w:pPr>
      <w:r>
        <w:rPr>
          <w:rFonts w:hint="eastAsia"/>
          <w:highlight w:val="none"/>
        </w:rPr>
        <w:t>严格执行《广州安居集团建设工程文明施工规程》，符合发包人关于安全文明施工管理的相关规定。</w:t>
      </w:r>
    </w:p>
    <w:p w14:paraId="40B7B65B">
      <w:pPr>
        <w:pStyle w:val="4"/>
        <w:numPr>
          <w:ilvl w:val="2"/>
          <w:numId w:val="13"/>
        </w:numPr>
        <w:rPr>
          <w:rFonts w:hint="eastAsia"/>
          <w:highlight w:val="none"/>
        </w:rPr>
      </w:pPr>
      <w:bookmarkStart w:id="863" w:name="_Toc11135"/>
      <w:r>
        <w:rPr>
          <w:rFonts w:hint="eastAsia"/>
          <w:highlight w:val="none"/>
        </w:rPr>
        <w:t>环境保护一般规定</w:t>
      </w:r>
      <w:bookmarkEnd w:id="863"/>
    </w:p>
    <w:p w14:paraId="62DB8E62">
      <w:pPr>
        <w:ind w:firstLine="480"/>
        <w:rPr>
          <w:rFonts w:hint="eastAsia"/>
          <w:highlight w:val="none"/>
        </w:rPr>
      </w:pPr>
      <w:r>
        <w:rPr>
          <w:rFonts w:hint="eastAsia"/>
          <w:highlight w:val="none"/>
        </w:rPr>
        <w:t>承包人应在进入现场前向监理单位提交施工期间的环境保护方案，经监理工程师批准后实施。在实施过程中所采用的材料、设备等经监理工程师和发包人同意后使用。</w:t>
      </w:r>
    </w:p>
    <w:p w14:paraId="1BF230D4">
      <w:pPr>
        <w:pStyle w:val="4"/>
        <w:numPr>
          <w:ilvl w:val="2"/>
          <w:numId w:val="13"/>
        </w:numPr>
        <w:rPr>
          <w:rFonts w:hint="eastAsia"/>
          <w:highlight w:val="none"/>
        </w:rPr>
      </w:pPr>
      <w:bookmarkStart w:id="864" w:name="_Toc10782"/>
      <w:r>
        <w:rPr>
          <w:rFonts w:hint="eastAsia"/>
          <w:highlight w:val="none"/>
        </w:rPr>
        <w:t>职业健康一般规定</w:t>
      </w:r>
      <w:bookmarkEnd w:id="864"/>
    </w:p>
    <w:p w14:paraId="3547E5B8">
      <w:pPr>
        <w:ind w:firstLine="480"/>
        <w:rPr>
          <w:rFonts w:hint="eastAsia"/>
          <w:highlight w:val="none"/>
        </w:rPr>
      </w:pPr>
      <w:r>
        <w:rPr>
          <w:rFonts w:hint="eastAsia"/>
          <w:highlight w:val="none"/>
        </w:rPr>
        <w:t>承包人应依法为其履行合同所雇用的人员办理必要的证件、许可、保险和注册等按照法律规定保障现场施工人员的劳动安全，提供劳动保护,采取有效的防止粉尘、降低噪声、控制有害气体和保障高温、高寒、高空作业安全等劳动保护措施。承包人雇佣人员在施工中受到伤害的，承包人应立即采取有效措施进行抢救和治疗。承包人应为其履行合同所雇用的人员提供必要的膳宿条件和生活环境，采取有效措施预防传染病，保证施工人员的健康。</w:t>
      </w:r>
    </w:p>
    <w:p w14:paraId="2244A03C">
      <w:pPr>
        <w:pStyle w:val="3"/>
        <w:numPr>
          <w:ilvl w:val="1"/>
          <w:numId w:val="13"/>
        </w:numPr>
        <w:rPr>
          <w:rFonts w:hint="eastAsia"/>
          <w:highlight w:val="none"/>
        </w:rPr>
      </w:pPr>
      <w:bookmarkStart w:id="865" w:name="_Toc13967"/>
      <w:bookmarkStart w:id="866" w:name="_Toc169722251"/>
      <w:bookmarkStart w:id="867" w:name="_Toc26104"/>
      <w:bookmarkStart w:id="868" w:name="_Toc22923"/>
      <w:bookmarkStart w:id="869" w:name="_Toc28687"/>
      <w:bookmarkStart w:id="870" w:name="_Toc8328"/>
      <w:bookmarkStart w:id="871" w:name="_Toc29867"/>
      <w:bookmarkStart w:id="872" w:name="_Toc18641"/>
      <w:bookmarkStart w:id="873" w:name="_Toc6041"/>
      <w:bookmarkStart w:id="874" w:name="_Toc12666"/>
      <w:bookmarkStart w:id="875" w:name="_Toc14589"/>
      <w:r>
        <w:rPr>
          <w:rFonts w:hint="eastAsia"/>
          <w:highlight w:val="none"/>
        </w:rPr>
        <w:t>安全</w:t>
      </w:r>
      <w:r>
        <w:rPr>
          <w:highlight w:val="none"/>
        </w:rPr>
        <w:t>生产管理协议</w:t>
      </w:r>
      <w:bookmarkEnd w:id="865"/>
      <w:bookmarkEnd w:id="866"/>
      <w:bookmarkEnd w:id="867"/>
      <w:bookmarkEnd w:id="868"/>
      <w:bookmarkEnd w:id="869"/>
      <w:bookmarkEnd w:id="870"/>
      <w:bookmarkEnd w:id="871"/>
      <w:bookmarkEnd w:id="872"/>
      <w:bookmarkEnd w:id="873"/>
      <w:bookmarkEnd w:id="874"/>
      <w:bookmarkEnd w:id="875"/>
    </w:p>
    <w:p w14:paraId="3DC3CFD9">
      <w:pPr>
        <w:pStyle w:val="4"/>
        <w:numPr>
          <w:ilvl w:val="2"/>
          <w:numId w:val="13"/>
        </w:numPr>
        <w:rPr>
          <w:rFonts w:hint="eastAsia"/>
          <w:highlight w:val="none"/>
        </w:rPr>
      </w:pPr>
      <w:r>
        <w:rPr>
          <w:rFonts w:hint="eastAsia"/>
          <w:highlight w:val="none"/>
        </w:rPr>
        <w:t>总承包人</w:t>
      </w:r>
      <w:r>
        <w:rPr>
          <w:highlight w:val="none"/>
        </w:rPr>
        <w:t>与</w:t>
      </w:r>
      <w:r>
        <w:rPr>
          <w:rFonts w:hint="eastAsia"/>
          <w:highlight w:val="none"/>
        </w:rPr>
        <w:t>专业承包人</w:t>
      </w:r>
      <w:r>
        <w:rPr>
          <w:highlight w:val="none"/>
        </w:rPr>
        <w:t>的协议</w:t>
      </w:r>
    </w:p>
    <w:p w14:paraId="1C099E90">
      <w:pPr>
        <w:pStyle w:val="5"/>
        <w:rPr>
          <w:rFonts w:hint="eastAsia"/>
          <w:highlight w:val="none"/>
        </w:rPr>
      </w:pPr>
      <w:r>
        <w:rPr>
          <w:rFonts w:hint="eastAsia"/>
          <w:highlight w:val="none"/>
        </w:rPr>
        <w:t>总承包人必须在专业承包人进场时与其签订《安全生产管理协议》，明确双方安全管理责任与义务等内容。</w:t>
      </w:r>
    </w:p>
    <w:p w14:paraId="3814AEEA">
      <w:pPr>
        <w:pStyle w:val="5"/>
        <w:rPr>
          <w:rFonts w:hint="eastAsia"/>
          <w:highlight w:val="none"/>
        </w:rPr>
      </w:pPr>
      <w:r>
        <w:rPr>
          <w:rFonts w:hint="eastAsia"/>
          <w:highlight w:val="none"/>
        </w:rPr>
        <w:t>总承包人与专业承包人签订《安全生产管理协议》等协议时，必须将发包人的安全管理要求向专业承包人书面交底，并监督其认真遵守与执行。</w:t>
      </w:r>
    </w:p>
    <w:p w14:paraId="0C870E1E">
      <w:pPr>
        <w:pStyle w:val="4"/>
        <w:numPr>
          <w:ilvl w:val="2"/>
          <w:numId w:val="13"/>
        </w:numPr>
        <w:rPr>
          <w:rFonts w:hint="eastAsia"/>
          <w:highlight w:val="none"/>
        </w:rPr>
      </w:pPr>
      <w:r>
        <w:rPr>
          <w:rFonts w:hint="eastAsia"/>
          <w:highlight w:val="none"/>
        </w:rPr>
        <w:t>其他</w:t>
      </w:r>
      <w:r>
        <w:rPr>
          <w:highlight w:val="none"/>
        </w:rPr>
        <w:t>协议</w:t>
      </w:r>
    </w:p>
    <w:p w14:paraId="343556D6">
      <w:pPr>
        <w:ind w:firstLine="480"/>
        <w:rPr>
          <w:rFonts w:hint="eastAsia"/>
          <w:highlight w:val="none"/>
        </w:rPr>
      </w:pPr>
      <w:r>
        <w:rPr>
          <w:rFonts w:hint="eastAsia"/>
          <w:highlight w:val="none"/>
        </w:rPr>
        <w:t>总承包人与其他单位存在作业交叉时，总承包人必须与其他单位签订《安全生产管理协议》，并履行自身安全生产管理责任。上述其他单位包括但不限于下列单位：毗邻本工程的本项目其他标段的施工单位，毗邻本工程的道路等红线外施工单位，毗邻本工程的其他房屋市政工程施工单位。</w:t>
      </w:r>
    </w:p>
    <w:p w14:paraId="7D512395">
      <w:pPr>
        <w:pStyle w:val="3"/>
        <w:numPr>
          <w:ilvl w:val="1"/>
          <w:numId w:val="13"/>
        </w:numPr>
        <w:rPr>
          <w:rFonts w:hint="eastAsia"/>
          <w:highlight w:val="none"/>
        </w:rPr>
      </w:pPr>
      <w:bookmarkStart w:id="876" w:name="_Toc14353"/>
      <w:bookmarkStart w:id="877" w:name="_Toc32461"/>
      <w:bookmarkStart w:id="878" w:name="_Toc27861"/>
      <w:bookmarkStart w:id="879" w:name="_Toc30882"/>
      <w:bookmarkStart w:id="880" w:name="_Toc169722252"/>
      <w:bookmarkStart w:id="881" w:name="_Toc11596"/>
      <w:bookmarkStart w:id="882" w:name="_Toc11039"/>
      <w:bookmarkStart w:id="883" w:name="_Toc9970"/>
      <w:bookmarkStart w:id="884" w:name="_Toc4757"/>
      <w:bookmarkStart w:id="885" w:name="_Toc19052"/>
      <w:bookmarkStart w:id="886" w:name="_Toc10745"/>
      <w:r>
        <w:rPr>
          <w:rFonts w:hint="eastAsia"/>
          <w:highlight w:val="none"/>
        </w:rPr>
        <w:t>安全</w:t>
      </w:r>
      <w:r>
        <w:rPr>
          <w:highlight w:val="none"/>
        </w:rPr>
        <w:t>生产费用</w:t>
      </w:r>
      <w:r>
        <w:rPr>
          <w:rFonts w:hint="eastAsia"/>
          <w:highlight w:val="none"/>
        </w:rPr>
        <w:t>管理</w:t>
      </w:r>
      <w:bookmarkEnd w:id="876"/>
      <w:bookmarkEnd w:id="877"/>
      <w:bookmarkEnd w:id="878"/>
      <w:bookmarkEnd w:id="879"/>
      <w:bookmarkEnd w:id="880"/>
      <w:bookmarkEnd w:id="881"/>
      <w:bookmarkEnd w:id="882"/>
      <w:bookmarkEnd w:id="883"/>
      <w:bookmarkEnd w:id="884"/>
      <w:bookmarkEnd w:id="885"/>
      <w:bookmarkEnd w:id="886"/>
    </w:p>
    <w:p w14:paraId="2CCF1526">
      <w:pPr>
        <w:pStyle w:val="4"/>
        <w:numPr>
          <w:ilvl w:val="2"/>
          <w:numId w:val="13"/>
        </w:numPr>
        <w:rPr>
          <w:rFonts w:hint="eastAsia"/>
          <w:highlight w:val="none"/>
        </w:rPr>
      </w:pPr>
      <w:r>
        <w:rPr>
          <w:rFonts w:hint="eastAsia"/>
          <w:highlight w:val="none"/>
        </w:rPr>
        <w:t>费用报价与组成</w:t>
      </w:r>
    </w:p>
    <w:p w14:paraId="1F6B1CC3">
      <w:pPr>
        <w:pStyle w:val="5"/>
        <w:rPr>
          <w:rFonts w:hint="eastAsia"/>
          <w:highlight w:val="none"/>
        </w:rPr>
      </w:pPr>
      <w:r>
        <w:rPr>
          <w:rFonts w:hint="eastAsia"/>
          <w:highlight w:val="none"/>
        </w:rPr>
        <w:t>总承包人必须按照国家及当地有关安全文明施工措施费的规定。</w:t>
      </w:r>
    </w:p>
    <w:p w14:paraId="6B3B2307">
      <w:pPr>
        <w:pStyle w:val="5"/>
        <w:rPr>
          <w:rFonts w:hint="eastAsia"/>
          <w:highlight w:val="none"/>
        </w:rPr>
      </w:pPr>
      <w:r>
        <w:rPr>
          <w:rFonts w:hint="eastAsia"/>
          <w:highlight w:val="none"/>
        </w:rPr>
        <w:t>总承包人项目安全生产费用应当用于以下支出：</w:t>
      </w:r>
    </w:p>
    <w:p w14:paraId="56BBBA9A">
      <w:pPr>
        <w:numPr>
          <w:ilvl w:val="0"/>
          <w:numId w:val="170"/>
        </w:numPr>
        <w:ind w:firstLine="480"/>
        <w:rPr>
          <w:rFonts w:hint="eastAsia"/>
          <w:highlight w:val="none"/>
        </w:rPr>
      </w:pPr>
      <w:r>
        <w:rPr>
          <w:rFonts w:hint="eastAsia"/>
          <w:highlight w:val="none"/>
        </w:rPr>
        <w:t>完善、改造和维护安全防护设施设备支出（不含“三同时”要求初期投入的安全设施），包括施工现场临时用电系统、洞口或临边防护、高处作业或交叉作业防护、临时安全防护、支护及防治边坡滑坡、工程有害气体监测和通风、保障安全的机械设备、防火、防爆、防触电、防尘、防毒、防雷、防台风、防地质灾害等设施设备支出；</w:t>
      </w:r>
    </w:p>
    <w:p w14:paraId="7AF297E8">
      <w:pPr>
        <w:numPr>
          <w:ilvl w:val="0"/>
          <w:numId w:val="170"/>
        </w:numPr>
        <w:ind w:firstLine="480"/>
        <w:rPr>
          <w:rFonts w:hint="eastAsia"/>
          <w:highlight w:val="none"/>
        </w:rPr>
      </w:pPr>
      <w:r>
        <w:rPr>
          <w:rFonts w:hint="eastAsia"/>
          <w:highlight w:val="none"/>
        </w:rPr>
        <w:t>应急救援技术装备、设施配置及维护保养支出，事故逃生和紧急避难设施设备的配置和应急救援队伍建设、应急预案制修订与应急演练支出；</w:t>
      </w:r>
    </w:p>
    <w:p w14:paraId="47BAAA0C">
      <w:pPr>
        <w:numPr>
          <w:ilvl w:val="0"/>
          <w:numId w:val="170"/>
        </w:numPr>
        <w:ind w:firstLine="480"/>
        <w:rPr>
          <w:rFonts w:hint="eastAsia"/>
          <w:highlight w:val="none"/>
        </w:rPr>
      </w:pPr>
      <w:r>
        <w:rPr>
          <w:rFonts w:hint="eastAsia"/>
          <w:highlight w:val="none"/>
        </w:rPr>
        <w:t>开展施工现场重大危险源检测、评估、监控支出，安全风险分级管控和事故隐患排查整改支出，工程项目安全生产信息化建设、运维和网络安全支出；</w:t>
      </w:r>
    </w:p>
    <w:p w14:paraId="5F1A777B">
      <w:pPr>
        <w:numPr>
          <w:ilvl w:val="0"/>
          <w:numId w:val="170"/>
        </w:numPr>
        <w:ind w:firstLine="480"/>
        <w:rPr>
          <w:rFonts w:hint="eastAsia"/>
          <w:highlight w:val="none"/>
        </w:rPr>
      </w:pPr>
      <w:r>
        <w:rPr>
          <w:rFonts w:hint="eastAsia"/>
          <w:highlight w:val="none"/>
        </w:rPr>
        <w:t>安全生产检查、评估评价、咨询和标准化建设支出；</w:t>
      </w:r>
    </w:p>
    <w:p w14:paraId="1566A3D2">
      <w:pPr>
        <w:numPr>
          <w:ilvl w:val="0"/>
          <w:numId w:val="170"/>
        </w:numPr>
        <w:ind w:firstLine="480"/>
        <w:rPr>
          <w:rFonts w:hint="eastAsia"/>
          <w:highlight w:val="none"/>
        </w:rPr>
      </w:pPr>
      <w:r>
        <w:rPr>
          <w:rFonts w:hint="eastAsia"/>
          <w:highlight w:val="none"/>
        </w:rPr>
        <w:t>配备和更新现场作业人员安全防护用品支出；</w:t>
      </w:r>
    </w:p>
    <w:p w14:paraId="1DA7659D">
      <w:pPr>
        <w:numPr>
          <w:ilvl w:val="0"/>
          <w:numId w:val="170"/>
        </w:numPr>
        <w:ind w:firstLine="480"/>
        <w:rPr>
          <w:rFonts w:hint="eastAsia"/>
          <w:highlight w:val="none"/>
        </w:rPr>
      </w:pPr>
      <w:r>
        <w:rPr>
          <w:rFonts w:hint="eastAsia"/>
          <w:highlight w:val="none"/>
        </w:rPr>
        <w:t>安全生产宣传、教育、培训和从业人员发现并报告事故隐患的奖励支出；</w:t>
      </w:r>
    </w:p>
    <w:p w14:paraId="39F205F6">
      <w:pPr>
        <w:numPr>
          <w:ilvl w:val="0"/>
          <w:numId w:val="170"/>
        </w:numPr>
        <w:ind w:firstLine="480"/>
        <w:rPr>
          <w:rFonts w:hint="eastAsia"/>
          <w:highlight w:val="none"/>
        </w:rPr>
      </w:pPr>
      <w:r>
        <w:rPr>
          <w:rFonts w:hint="eastAsia"/>
          <w:highlight w:val="none"/>
        </w:rPr>
        <w:t>安全生产适用的新技术、新标准、新工艺、新装备的推广应用支出；</w:t>
      </w:r>
    </w:p>
    <w:p w14:paraId="14DB849D">
      <w:pPr>
        <w:numPr>
          <w:ilvl w:val="0"/>
          <w:numId w:val="170"/>
        </w:numPr>
        <w:ind w:firstLine="480"/>
        <w:rPr>
          <w:rFonts w:hint="eastAsia"/>
          <w:highlight w:val="none"/>
        </w:rPr>
      </w:pPr>
      <w:r>
        <w:rPr>
          <w:rFonts w:hint="eastAsia"/>
          <w:highlight w:val="none"/>
        </w:rPr>
        <w:t>安全设施及特种设备检测检验、检定校准支出；</w:t>
      </w:r>
    </w:p>
    <w:p w14:paraId="447B3122">
      <w:pPr>
        <w:numPr>
          <w:ilvl w:val="0"/>
          <w:numId w:val="170"/>
        </w:numPr>
        <w:ind w:firstLine="480"/>
        <w:rPr>
          <w:rFonts w:hint="eastAsia"/>
          <w:highlight w:val="none"/>
        </w:rPr>
      </w:pPr>
      <w:r>
        <w:rPr>
          <w:rFonts w:hint="eastAsia"/>
          <w:highlight w:val="none"/>
        </w:rPr>
        <w:t>安全生产责任保险支出；</w:t>
      </w:r>
    </w:p>
    <w:p w14:paraId="4518C4BC">
      <w:pPr>
        <w:numPr>
          <w:ilvl w:val="0"/>
          <w:numId w:val="170"/>
        </w:numPr>
        <w:ind w:firstLine="480"/>
        <w:rPr>
          <w:rFonts w:hint="eastAsia"/>
          <w:highlight w:val="none"/>
        </w:rPr>
      </w:pPr>
      <w:r>
        <w:rPr>
          <w:rFonts w:hint="eastAsia"/>
          <w:highlight w:val="none"/>
        </w:rPr>
        <w:t>与安全生产直接相关的其他支出。</w:t>
      </w:r>
    </w:p>
    <w:p w14:paraId="624042E7">
      <w:pPr>
        <w:pStyle w:val="4"/>
        <w:numPr>
          <w:ilvl w:val="2"/>
          <w:numId w:val="13"/>
        </w:numPr>
        <w:rPr>
          <w:rFonts w:hint="eastAsia"/>
          <w:highlight w:val="none"/>
        </w:rPr>
      </w:pPr>
      <w:r>
        <w:rPr>
          <w:rFonts w:hint="eastAsia"/>
          <w:highlight w:val="none"/>
        </w:rPr>
        <w:t>费用</w:t>
      </w:r>
      <w:r>
        <w:rPr>
          <w:highlight w:val="none"/>
        </w:rPr>
        <w:t>管理</w:t>
      </w:r>
    </w:p>
    <w:p w14:paraId="56537341">
      <w:pPr>
        <w:pStyle w:val="5"/>
        <w:numPr>
          <w:ilvl w:val="3"/>
          <w:numId w:val="13"/>
        </w:numPr>
        <w:rPr>
          <w:rFonts w:hint="eastAsia"/>
          <w:highlight w:val="none"/>
        </w:rPr>
      </w:pPr>
      <w:r>
        <w:rPr>
          <w:rFonts w:hint="eastAsia"/>
          <w:highlight w:val="none"/>
        </w:rPr>
        <w:t>开工前，承包人应制定安全文明施工方案及年度安全文明措施费投入计划，安全文明措施费必须按照工程进度及合同条款要求足额投入，监理单位和发包人定期组织现场验收。承包人须定期上报安全文明措施费使用情况，并提供有效证明材料，上报监理单位及发包人审核。承包人在施工过程中必须严格执行安全文明施工方案，安全防护、文明施工的内容按承包人向发包人提交且经发包人批准的详细的施工组织设计实施，包括且不限于施工的安全设施、机具以及围网、护栏、高压线防护、管线防护、临边防护、涉铁涉路防护、施工通道等，全部按发包人或产权单位的要求统一标准、统一标识。所需安全防护、文明施工措施费必须专款专用，严禁挪用，一经发现，根据合同约定处理。</w:t>
      </w:r>
    </w:p>
    <w:p w14:paraId="5A796E90">
      <w:pPr>
        <w:pStyle w:val="5"/>
        <w:numPr>
          <w:ilvl w:val="3"/>
          <w:numId w:val="13"/>
        </w:numPr>
        <w:rPr>
          <w:rFonts w:hint="eastAsia"/>
          <w:highlight w:val="none"/>
        </w:rPr>
      </w:pPr>
      <w:r>
        <w:rPr>
          <w:rFonts w:hint="eastAsia"/>
          <w:highlight w:val="none"/>
        </w:rPr>
        <w:t>总承包人必须建立健全安全生产费用管理制度，建立专项安全生产费用使用台账，每月报监理人审查。</w:t>
      </w:r>
    </w:p>
    <w:p w14:paraId="7F935E01">
      <w:pPr>
        <w:pStyle w:val="5"/>
        <w:numPr>
          <w:ilvl w:val="3"/>
          <w:numId w:val="13"/>
        </w:numPr>
        <w:rPr>
          <w:rFonts w:hint="eastAsia"/>
          <w:highlight w:val="none"/>
        </w:rPr>
      </w:pPr>
      <w:r>
        <w:rPr>
          <w:rFonts w:hint="eastAsia"/>
          <w:highlight w:val="none"/>
        </w:rPr>
        <w:t>总承包人未按规范要求、合同约定及发包人安全规定落实安全文明施工措施的，发包人有权对该部分安全生产费用予以追缴，并责令总承包人限期整改。</w:t>
      </w:r>
    </w:p>
    <w:p w14:paraId="538A4872">
      <w:pPr>
        <w:pStyle w:val="5"/>
        <w:numPr>
          <w:ilvl w:val="3"/>
          <w:numId w:val="13"/>
        </w:numPr>
        <w:rPr>
          <w:rFonts w:hint="eastAsia"/>
          <w:highlight w:val="none"/>
        </w:rPr>
      </w:pPr>
      <w:r>
        <w:rPr>
          <w:rFonts w:hint="eastAsia"/>
          <w:highlight w:val="none"/>
        </w:rPr>
        <w:t>总承包人在安全生产费用使用管理中存在挪用、克扣、滥用或虚报等违规行为时，发包人将对总承包人进行相应处罚。因总承包人安全生产费用管理不善导致的任何不良后果，承包人承担全部责任。</w:t>
      </w:r>
    </w:p>
    <w:p w14:paraId="7B0A0F75">
      <w:pPr>
        <w:pStyle w:val="5"/>
        <w:numPr>
          <w:ilvl w:val="3"/>
          <w:numId w:val="13"/>
        </w:numPr>
        <w:rPr>
          <w:rFonts w:hint="eastAsia"/>
          <w:highlight w:val="none"/>
        </w:rPr>
      </w:pPr>
      <w:r>
        <w:rPr>
          <w:rFonts w:hint="eastAsia"/>
          <w:highlight w:val="none"/>
        </w:rPr>
        <w:t>总承包人必须按合同约定及有关规定及时向专业承包人支付安全生产费用，并监督、核查专业承包人安全文明施工措施落实情况，保障安全生产费用足额使用。</w:t>
      </w:r>
    </w:p>
    <w:p w14:paraId="4BFFF7BC">
      <w:pPr>
        <w:pStyle w:val="3"/>
        <w:numPr>
          <w:ilvl w:val="1"/>
          <w:numId w:val="13"/>
        </w:numPr>
        <w:rPr>
          <w:rFonts w:hint="eastAsia"/>
          <w:highlight w:val="none"/>
        </w:rPr>
      </w:pPr>
      <w:bookmarkStart w:id="887" w:name="_Toc6380"/>
      <w:bookmarkStart w:id="888" w:name="_Toc26419"/>
      <w:bookmarkStart w:id="889" w:name="_Toc3454"/>
      <w:bookmarkStart w:id="890" w:name="_Toc10522"/>
      <w:bookmarkStart w:id="891" w:name="_Toc15716"/>
      <w:bookmarkStart w:id="892" w:name="_Toc15953"/>
      <w:bookmarkStart w:id="893" w:name="_Toc16953"/>
      <w:bookmarkStart w:id="894" w:name="_Toc28921"/>
      <w:bookmarkStart w:id="895" w:name="_Toc9004"/>
      <w:bookmarkStart w:id="896" w:name="_Toc21692"/>
      <w:bookmarkStart w:id="897" w:name="_Toc21701"/>
      <w:bookmarkStart w:id="898" w:name="_Toc169722253"/>
      <w:r>
        <w:rPr>
          <w:rFonts w:hint="eastAsia"/>
          <w:highlight w:val="none"/>
        </w:rPr>
        <w:t>危险性较大工程的安全管理</w:t>
      </w:r>
      <w:bookmarkEnd w:id="887"/>
      <w:bookmarkEnd w:id="888"/>
      <w:bookmarkEnd w:id="889"/>
      <w:bookmarkEnd w:id="890"/>
      <w:bookmarkEnd w:id="891"/>
      <w:bookmarkEnd w:id="892"/>
      <w:bookmarkEnd w:id="893"/>
      <w:bookmarkEnd w:id="894"/>
      <w:bookmarkEnd w:id="895"/>
      <w:bookmarkEnd w:id="896"/>
      <w:bookmarkEnd w:id="897"/>
    </w:p>
    <w:p w14:paraId="35CFC76E">
      <w:pPr>
        <w:ind w:firstLine="480"/>
        <w:rPr>
          <w:rFonts w:hint="eastAsia"/>
          <w:highlight w:val="none"/>
        </w:rPr>
      </w:pPr>
      <w:r>
        <w:rPr>
          <w:rFonts w:hint="eastAsia"/>
          <w:highlight w:val="none"/>
        </w:rPr>
        <w:t>危险性较大的分部分项工程《危险性较大的分部分项工程安全管理规定》(中华人民共和国住房和城乡建设部令第37号)等文规定执行。本工程可能涉及的危大工程包括但不限于下表所列内容，承包人应根据现场实际和国家及广东省要求及时完善补充。</w:t>
      </w:r>
    </w:p>
    <w:p w14:paraId="7F22A285">
      <w:pPr>
        <w:ind w:firstLine="424"/>
        <w:rPr>
          <w:rFonts w:hint="eastAsia" w:cs="宋体"/>
          <w:spacing w:val="-4"/>
          <w:sz w:val="22"/>
          <w:szCs w:val="22"/>
          <w:highlight w:val="none"/>
        </w:rPr>
      </w:pPr>
    </w:p>
    <w:tbl>
      <w:tblPr>
        <w:tblStyle w:val="2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3"/>
        <w:gridCol w:w="6308"/>
        <w:gridCol w:w="1996"/>
      </w:tblGrid>
      <w:tr w14:paraId="1928B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6EC1C72B">
            <w:pPr>
              <w:pStyle w:val="13"/>
              <w:rPr>
                <w:rFonts w:hint="eastAsia"/>
                <w:b/>
                <w:bCs/>
                <w:highlight w:val="none"/>
              </w:rPr>
            </w:pPr>
            <w:r>
              <w:rPr>
                <w:rFonts w:hint="eastAsia"/>
                <w:b/>
                <w:bCs/>
                <w:highlight w:val="none"/>
              </w:rPr>
              <w:t>序号</w:t>
            </w:r>
          </w:p>
        </w:tc>
        <w:tc>
          <w:tcPr>
            <w:tcW w:w="3391" w:type="pct"/>
            <w:tcBorders>
              <w:top w:val="single" w:color="auto" w:sz="4" w:space="0"/>
              <w:left w:val="single" w:color="auto" w:sz="4" w:space="0"/>
              <w:bottom w:val="single" w:color="auto" w:sz="4" w:space="0"/>
              <w:right w:val="single" w:color="auto" w:sz="4" w:space="0"/>
            </w:tcBorders>
            <w:shd w:val="clear" w:color="auto" w:fill="auto"/>
            <w:vAlign w:val="center"/>
          </w:tcPr>
          <w:p w14:paraId="1B02AA65">
            <w:pPr>
              <w:pStyle w:val="13"/>
              <w:rPr>
                <w:rFonts w:hint="eastAsia"/>
                <w:b/>
                <w:bCs/>
                <w:highlight w:val="none"/>
              </w:rPr>
            </w:pPr>
            <w:r>
              <w:rPr>
                <w:rFonts w:hint="eastAsia"/>
                <w:b/>
                <w:bCs/>
                <w:highlight w:val="none"/>
              </w:rPr>
              <w:t>危险性较大的分部分项工程名称</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14:paraId="504F9C36">
            <w:pPr>
              <w:pStyle w:val="13"/>
              <w:rPr>
                <w:rFonts w:hint="eastAsia"/>
                <w:b/>
                <w:bCs/>
                <w:highlight w:val="none"/>
              </w:rPr>
            </w:pPr>
            <w:r>
              <w:rPr>
                <w:rFonts w:hint="eastAsia"/>
                <w:b/>
                <w:bCs/>
                <w:highlight w:val="none"/>
              </w:rPr>
              <w:t>备注</w:t>
            </w:r>
          </w:p>
        </w:tc>
      </w:tr>
      <w:tr w14:paraId="48978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499A1BBB">
            <w:pPr>
              <w:pStyle w:val="13"/>
              <w:rPr>
                <w:rFonts w:hint="eastAsia"/>
                <w:highlight w:val="none"/>
              </w:rPr>
            </w:pPr>
            <w:r>
              <w:rPr>
                <w:rFonts w:hint="eastAsia"/>
                <w:highlight w:val="none"/>
              </w:rPr>
              <w:t>1</w:t>
            </w:r>
          </w:p>
        </w:tc>
        <w:tc>
          <w:tcPr>
            <w:tcW w:w="3391" w:type="pct"/>
            <w:tcBorders>
              <w:top w:val="single" w:color="auto" w:sz="4" w:space="0"/>
              <w:left w:val="single" w:color="auto" w:sz="4" w:space="0"/>
              <w:bottom w:val="single" w:color="auto" w:sz="4" w:space="0"/>
              <w:right w:val="single" w:color="auto" w:sz="4" w:space="0"/>
            </w:tcBorders>
            <w:shd w:val="clear" w:color="auto" w:fill="auto"/>
            <w:vAlign w:val="center"/>
          </w:tcPr>
          <w:p w14:paraId="3826B764">
            <w:pPr>
              <w:pStyle w:val="13"/>
              <w:rPr>
                <w:rFonts w:hint="eastAsia"/>
                <w:highlight w:val="none"/>
              </w:rPr>
            </w:pPr>
            <w:r>
              <w:rPr>
                <w:rFonts w:hint="eastAsia"/>
                <w:highlight w:val="none"/>
              </w:rPr>
              <w:t>模板工程及支撑体系</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14:paraId="405644BB">
            <w:pPr>
              <w:pStyle w:val="13"/>
              <w:rPr>
                <w:rFonts w:hint="eastAsia"/>
                <w:highlight w:val="none"/>
              </w:rPr>
            </w:pPr>
            <w:r>
              <w:rPr>
                <w:rFonts w:hint="eastAsia"/>
                <w:highlight w:val="none"/>
              </w:rPr>
              <w:t>可能涉及超危大</w:t>
            </w:r>
          </w:p>
        </w:tc>
      </w:tr>
      <w:tr w14:paraId="74D10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77F35CC8">
            <w:pPr>
              <w:pStyle w:val="13"/>
              <w:rPr>
                <w:rFonts w:hint="eastAsia"/>
                <w:highlight w:val="none"/>
              </w:rPr>
            </w:pPr>
            <w:r>
              <w:rPr>
                <w:rFonts w:hint="eastAsia"/>
                <w:highlight w:val="none"/>
              </w:rPr>
              <w:t>2</w:t>
            </w:r>
          </w:p>
        </w:tc>
        <w:tc>
          <w:tcPr>
            <w:tcW w:w="3391" w:type="pct"/>
            <w:tcBorders>
              <w:top w:val="single" w:color="auto" w:sz="4" w:space="0"/>
              <w:left w:val="single" w:color="auto" w:sz="4" w:space="0"/>
              <w:bottom w:val="single" w:color="auto" w:sz="4" w:space="0"/>
              <w:right w:val="single" w:color="auto" w:sz="4" w:space="0"/>
            </w:tcBorders>
            <w:shd w:val="clear" w:color="auto" w:fill="auto"/>
            <w:vAlign w:val="center"/>
          </w:tcPr>
          <w:p w14:paraId="4E3B67C8">
            <w:pPr>
              <w:pStyle w:val="13"/>
              <w:rPr>
                <w:rFonts w:hint="eastAsia"/>
                <w:highlight w:val="none"/>
              </w:rPr>
            </w:pPr>
            <w:r>
              <w:rPr>
                <w:rFonts w:hint="eastAsia"/>
                <w:highlight w:val="none"/>
              </w:rPr>
              <w:t>起重吊装及起重机械安装拆卸工程（起重机械安装/拆除工程、非常规起重、超重起重吊装）</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14:paraId="580938B3">
            <w:pPr>
              <w:pStyle w:val="13"/>
              <w:rPr>
                <w:rFonts w:hint="eastAsia"/>
                <w:highlight w:val="none"/>
              </w:rPr>
            </w:pPr>
            <w:r>
              <w:rPr>
                <w:rFonts w:hint="eastAsia"/>
                <w:highlight w:val="none"/>
              </w:rPr>
              <w:t>可能涉及危大</w:t>
            </w:r>
          </w:p>
        </w:tc>
      </w:tr>
      <w:tr w14:paraId="071AD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12A31F97">
            <w:pPr>
              <w:pStyle w:val="13"/>
              <w:rPr>
                <w:rFonts w:hint="eastAsia"/>
                <w:highlight w:val="none"/>
              </w:rPr>
            </w:pPr>
            <w:r>
              <w:rPr>
                <w:rFonts w:hint="eastAsia"/>
                <w:highlight w:val="none"/>
              </w:rPr>
              <w:t>3</w:t>
            </w:r>
          </w:p>
        </w:tc>
        <w:tc>
          <w:tcPr>
            <w:tcW w:w="3391" w:type="pct"/>
            <w:tcBorders>
              <w:top w:val="single" w:color="auto" w:sz="4" w:space="0"/>
              <w:left w:val="single" w:color="auto" w:sz="4" w:space="0"/>
              <w:bottom w:val="single" w:color="auto" w:sz="4" w:space="0"/>
              <w:right w:val="single" w:color="auto" w:sz="4" w:space="0"/>
            </w:tcBorders>
            <w:shd w:val="clear" w:color="auto" w:fill="auto"/>
            <w:vAlign w:val="center"/>
          </w:tcPr>
          <w:p w14:paraId="16FF9A2E">
            <w:pPr>
              <w:pStyle w:val="13"/>
              <w:rPr>
                <w:rFonts w:hint="eastAsia"/>
                <w:highlight w:val="none"/>
              </w:rPr>
            </w:pPr>
            <w:r>
              <w:rPr>
                <w:rFonts w:hint="eastAsia"/>
                <w:highlight w:val="none"/>
              </w:rPr>
              <w:t>脚手架工程（附着式脚手架、吊篮、悬挑式脚手架、落地式脚手架等）</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14:paraId="66CAA4A2">
            <w:pPr>
              <w:pStyle w:val="13"/>
              <w:rPr>
                <w:rFonts w:hint="eastAsia"/>
                <w:highlight w:val="none"/>
              </w:rPr>
            </w:pPr>
            <w:r>
              <w:rPr>
                <w:rFonts w:hint="eastAsia"/>
                <w:highlight w:val="none"/>
              </w:rPr>
              <w:t>可能涉及危大</w:t>
            </w:r>
          </w:p>
        </w:tc>
      </w:tr>
      <w:tr w14:paraId="35FB6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2BC87FF8">
            <w:pPr>
              <w:pStyle w:val="13"/>
              <w:rPr>
                <w:rFonts w:hint="eastAsia"/>
                <w:highlight w:val="none"/>
              </w:rPr>
            </w:pPr>
            <w:r>
              <w:rPr>
                <w:rFonts w:hint="eastAsia"/>
                <w:highlight w:val="none"/>
              </w:rPr>
              <w:t>4</w:t>
            </w:r>
          </w:p>
        </w:tc>
        <w:tc>
          <w:tcPr>
            <w:tcW w:w="3391" w:type="pct"/>
            <w:tcBorders>
              <w:top w:val="single" w:color="auto" w:sz="4" w:space="0"/>
              <w:left w:val="single" w:color="auto" w:sz="4" w:space="0"/>
              <w:bottom w:val="single" w:color="auto" w:sz="4" w:space="0"/>
              <w:right w:val="single" w:color="auto" w:sz="4" w:space="0"/>
            </w:tcBorders>
            <w:shd w:val="clear" w:color="auto" w:fill="auto"/>
            <w:vAlign w:val="center"/>
          </w:tcPr>
          <w:p w14:paraId="45E2061D">
            <w:pPr>
              <w:pStyle w:val="13"/>
              <w:rPr>
                <w:rFonts w:hint="eastAsia"/>
                <w:highlight w:val="none"/>
              </w:rPr>
            </w:pPr>
            <w:r>
              <w:rPr>
                <w:rFonts w:hint="eastAsia"/>
                <w:highlight w:val="none"/>
              </w:rPr>
              <w:t>装配式建筑混凝土预制构件安装工程</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14:paraId="0B116925">
            <w:pPr>
              <w:pStyle w:val="13"/>
              <w:rPr>
                <w:rFonts w:hint="eastAsia"/>
                <w:highlight w:val="none"/>
              </w:rPr>
            </w:pPr>
          </w:p>
        </w:tc>
      </w:tr>
      <w:tr w14:paraId="57354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14:paraId="086E7D76">
            <w:pPr>
              <w:pStyle w:val="13"/>
              <w:rPr>
                <w:rFonts w:hint="eastAsia"/>
                <w:highlight w:val="none"/>
              </w:rPr>
            </w:pPr>
            <w:r>
              <w:rPr>
                <w:rFonts w:hint="eastAsia"/>
                <w:highlight w:val="none"/>
              </w:rPr>
              <w:t>5</w:t>
            </w:r>
          </w:p>
        </w:tc>
        <w:tc>
          <w:tcPr>
            <w:tcW w:w="3391" w:type="pct"/>
            <w:tcBorders>
              <w:top w:val="single" w:color="auto" w:sz="4" w:space="0"/>
              <w:left w:val="single" w:color="auto" w:sz="4" w:space="0"/>
              <w:bottom w:val="single" w:color="auto" w:sz="4" w:space="0"/>
              <w:right w:val="single" w:color="auto" w:sz="4" w:space="0"/>
            </w:tcBorders>
            <w:shd w:val="clear" w:color="auto" w:fill="auto"/>
            <w:vAlign w:val="center"/>
          </w:tcPr>
          <w:p w14:paraId="11CFC534">
            <w:pPr>
              <w:pStyle w:val="13"/>
              <w:rPr>
                <w:rFonts w:hint="eastAsia"/>
                <w:highlight w:val="none"/>
              </w:rPr>
            </w:pPr>
            <w:r>
              <w:rPr>
                <w:rFonts w:hint="eastAsia"/>
                <w:highlight w:val="none"/>
              </w:rPr>
              <w:t>采用新技术、新工艺、新材料、新设备可能影响工程施工安全，尚无国家、行业及地方技术标准的分部分项工程</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14:paraId="6ACD0B3E">
            <w:pPr>
              <w:pStyle w:val="13"/>
              <w:rPr>
                <w:rFonts w:hint="eastAsia"/>
                <w:highlight w:val="none"/>
              </w:rPr>
            </w:pPr>
          </w:p>
        </w:tc>
      </w:tr>
    </w:tbl>
    <w:p w14:paraId="312F43C5">
      <w:pPr>
        <w:ind w:firstLine="480"/>
        <w:rPr>
          <w:rFonts w:hint="eastAsia"/>
          <w:highlight w:val="none"/>
        </w:rPr>
      </w:pPr>
      <w:r>
        <w:rPr>
          <w:rFonts w:hint="eastAsia"/>
          <w:highlight w:val="none"/>
        </w:rPr>
        <w:t>危险性较大的分部分项工程施工前必须按照规定编制专项施工方案，对于超过一定规模的危险性较大的分部分项工程，除编制专项施工方案外承包人还应按照规定及时组织专家论证，相关专家应选用自政府、行业协会或发包人的专家库。承包人在动力设备、输电线路、地下管道、密封防震车间、易燃易爆地段以及临街交通要道附近施工时，施工开始前应向发包人和监理人提出安全防护措施，经发包人认可后实施。</w:t>
      </w:r>
    </w:p>
    <w:p w14:paraId="7D479D27">
      <w:pPr>
        <w:ind w:firstLine="480"/>
        <w:rPr>
          <w:rFonts w:hint="eastAsia"/>
          <w:highlight w:val="none"/>
        </w:rPr>
      </w:pPr>
      <w:r>
        <w:rPr>
          <w:rFonts w:hint="eastAsia"/>
          <w:highlight w:val="none"/>
        </w:rPr>
        <w:t>实施爆破作业，在放射、毒害性环境中施工（含储存、运输、使用）及使用毒害性、腐蚀性物品施工时，承包人应在施工前7天以书面通知发包人和监理人，并报送相应的安全防护措施，经发包人认可后实施。</w:t>
      </w:r>
    </w:p>
    <w:bookmarkEnd w:id="898"/>
    <w:p w14:paraId="3F64D109">
      <w:pPr>
        <w:pStyle w:val="3"/>
        <w:numPr>
          <w:ilvl w:val="1"/>
          <w:numId w:val="13"/>
        </w:numPr>
        <w:rPr>
          <w:rFonts w:hint="eastAsia"/>
          <w:highlight w:val="none"/>
        </w:rPr>
      </w:pPr>
      <w:bookmarkStart w:id="899" w:name="_Toc7676"/>
      <w:bookmarkStart w:id="900" w:name="_Toc169722254"/>
      <w:bookmarkStart w:id="901" w:name="_Toc30015"/>
      <w:bookmarkStart w:id="902" w:name="_Toc16082"/>
      <w:bookmarkStart w:id="903" w:name="_Toc17104"/>
      <w:bookmarkStart w:id="904" w:name="_Toc22543"/>
      <w:bookmarkStart w:id="905" w:name="_Toc8710"/>
      <w:bookmarkStart w:id="906" w:name="_Toc16783"/>
      <w:bookmarkStart w:id="907" w:name="_Toc15266"/>
      <w:bookmarkStart w:id="908" w:name="_Toc16477"/>
      <w:bookmarkStart w:id="909" w:name="_Toc22450"/>
      <w:r>
        <w:rPr>
          <w:rFonts w:hint="eastAsia"/>
          <w:highlight w:val="none"/>
        </w:rPr>
        <w:t>安全教育培训管理</w:t>
      </w:r>
      <w:bookmarkEnd w:id="899"/>
      <w:bookmarkEnd w:id="900"/>
      <w:bookmarkEnd w:id="901"/>
      <w:bookmarkEnd w:id="902"/>
      <w:bookmarkEnd w:id="903"/>
      <w:bookmarkEnd w:id="904"/>
      <w:bookmarkEnd w:id="905"/>
      <w:bookmarkEnd w:id="906"/>
      <w:bookmarkEnd w:id="907"/>
      <w:bookmarkEnd w:id="908"/>
      <w:bookmarkEnd w:id="909"/>
    </w:p>
    <w:p w14:paraId="19B42774">
      <w:pPr>
        <w:pStyle w:val="4"/>
        <w:numPr>
          <w:ilvl w:val="2"/>
          <w:numId w:val="13"/>
        </w:numPr>
        <w:rPr>
          <w:rFonts w:hint="eastAsia"/>
          <w:highlight w:val="none"/>
        </w:rPr>
      </w:pPr>
      <w:r>
        <w:rPr>
          <w:rFonts w:hint="eastAsia"/>
          <w:highlight w:val="none"/>
        </w:rPr>
        <w:t>总承包人应建立年度安全培训教育计划，并报监理审查。</w:t>
      </w:r>
    </w:p>
    <w:p w14:paraId="2F5A572C">
      <w:pPr>
        <w:pStyle w:val="4"/>
        <w:numPr>
          <w:ilvl w:val="2"/>
          <w:numId w:val="13"/>
        </w:numPr>
        <w:rPr>
          <w:rFonts w:hint="eastAsia"/>
          <w:highlight w:val="none"/>
        </w:rPr>
      </w:pPr>
      <w:r>
        <w:rPr>
          <w:rFonts w:hint="eastAsia"/>
          <w:highlight w:val="none"/>
        </w:rPr>
        <w:t>总承包人应对本单位及专业承包人的施工</w:t>
      </w:r>
      <w:bookmarkStart w:id="910" w:name="_Hlk166187395"/>
      <w:r>
        <w:rPr>
          <w:rFonts w:hint="eastAsia"/>
          <w:highlight w:val="none"/>
        </w:rPr>
        <w:t>现场管理人员，转岗、复岗人员，新入场人员，特种作业人员，一线工人等开展安全培训教育或交底，</w:t>
      </w:r>
      <w:bookmarkEnd w:id="910"/>
      <w:bookmarkStart w:id="911" w:name="_Hlk166187448"/>
      <w:r>
        <w:rPr>
          <w:rFonts w:hint="eastAsia"/>
          <w:highlight w:val="none"/>
        </w:rPr>
        <w:t>并确保培训教育效果，使从业人员安全意识、安全知识和技能与所从事的岗位、工作内容相适应。</w:t>
      </w:r>
      <w:bookmarkEnd w:id="911"/>
    </w:p>
    <w:p w14:paraId="37CEF825">
      <w:pPr>
        <w:pStyle w:val="4"/>
        <w:numPr>
          <w:ilvl w:val="2"/>
          <w:numId w:val="13"/>
        </w:numPr>
        <w:rPr>
          <w:rFonts w:hint="eastAsia"/>
          <w:highlight w:val="none"/>
        </w:rPr>
      </w:pPr>
      <w:r>
        <w:rPr>
          <w:rFonts w:hint="eastAsia"/>
          <w:highlight w:val="none"/>
        </w:rPr>
        <w:t>总承包人安全教育培训的内容、学时等应满足国家有关规定，并做好档案记录。</w:t>
      </w:r>
      <w:bookmarkStart w:id="912" w:name="_Hlk166187512"/>
      <w:r>
        <w:rPr>
          <w:rFonts w:hint="eastAsia"/>
          <w:highlight w:val="none"/>
        </w:rPr>
        <w:t>培训内容应包括环保、健康、安全生产管理与技术知识、安全常识、应急响应与处置措施等。培训形式包括但不限于：三级安全教育、专项安全培训教育（消防、用电、特种作业等）、转岗、复岗安全培训教育、早班会、自检操和反省屋等。</w:t>
      </w:r>
      <w:bookmarkEnd w:id="912"/>
    </w:p>
    <w:p w14:paraId="1A127005">
      <w:pPr>
        <w:pStyle w:val="3"/>
        <w:numPr>
          <w:ilvl w:val="1"/>
          <w:numId w:val="13"/>
        </w:numPr>
        <w:rPr>
          <w:rFonts w:hint="eastAsia"/>
          <w:highlight w:val="none"/>
        </w:rPr>
      </w:pPr>
      <w:bookmarkStart w:id="913" w:name="_Toc15688"/>
      <w:bookmarkStart w:id="914" w:name="_Toc10656"/>
      <w:bookmarkStart w:id="915" w:name="_Toc752"/>
      <w:bookmarkStart w:id="916" w:name="_Toc24553"/>
      <w:bookmarkStart w:id="917" w:name="_Toc8670"/>
      <w:bookmarkStart w:id="918" w:name="_Toc169722255"/>
      <w:bookmarkStart w:id="919" w:name="_Toc9796"/>
      <w:bookmarkStart w:id="920" w:name="_Toc19672"/>
      <w:bookmarkStart w:id="921" w:name="_Toc4022"/>
      <w:bookmarkStart w:id="922" w:name="_Toc1421"/>
      <w:bookmarkStart w:id="923" w:name="_Toc4871"/>
      <w:r>
        <w:rPr>
          <w:rFonts w:hint="eastAsia"/>
          <w:highlight w:val="none"/>
        </w:rPr>
        <w:t>安全生产标准化与双重预防机制建设</w:t>
      </w:r>
      <w:bookmarkEnd w:id="913"/>
      <w:bookmarkEnd w:id="914"/>
      <w:bookmarkEnd w:id="915"/>
      <w:bookmarkEnd w:id="916"/>
      <w:bookmarkEnd w:id="917"/>
      <w:bookmarkEnd w:id="918"/>
      <w:bookmarkEnd w:id="919"/>
      <w:bookmarkEnd w:id="920"/>
      <w:bookmarkEnd w:id="921"/>
      <w:bookmarkEnd w:id="922"/>
      <w:bookmarkEnd w:id="923"/>
    </w:p>
    <w:p w14:paraId="50603BB8">
      <w:pPr>
        <w:pStyle w:val="4"/>
        <w:numPr>
          <w:ilvl w:val="2"/>
          <w:numId w:val="13"/>
        </w:numPr>
        <w:rPr>
          <w:rFonts w:hint="eastAsia"/>
          <w:highlight w:val="none"/>
        </w:rPr>
      </w:pPr>
      <w:r>
        <w:rPr>
          <w:rFonts w:hint="eastAsia"/>
          <w:highlight w:val="none"/>
        </w:rPr>
        <w:t>按照国家《安全生产法》要求，总承包人应</w:t>
      </w:r>
      <w:bookmarkStart w:id="924" w:name="_Hlk166187732"/>
      <w:r>
        <w:rPr>
          <w:rFonts w:hint="eastAsia"/>
          <w:highlight w:val="none"/>
        </w:rPr>
        <w:t>加强安全生产标准化、信息化建设，</w:t>
      </w:r>
      <w:bookmarkEnd w:id="924"/>
      <w:r>
        <w:rPr>
          <w:rFonts w:hint="eastAsia"/>
          <w:highlight w:val="none"/>
        </w:rPr>
        <w:t>构建安全风险分级管控和隐患排查治理双重预防机制，提高安全生产水平，确保安全生产。</w:t>
      </w:r>
    </w:p>
    <w:p w14:paraId="16DFDBC3">
      <w:pPr>
        <w:pStyle w:val="4"/>
        <w:numPr>
          <w:ilvl w:val="2"/>
          <w:numId w:val="13"/>
        </w:numPr>
        <w:rPr>
          <w:rFonts w:hint="eastAsia"/>
          <w:highlight w:val="none"/>
        </w:rPr>
      </w:pPr>
      <w:r>
        <w:rPr>
          <w:rFonts w:hint="eastAsia"/>
          <w:highlight w:val="none"/>
        </w:rPr>
        <w:t>总承包人</w:t>
      </w:r>
      <w:bookmarkStart w:id="925" w:name="_Hlk166187762"/>
      <w:r>
        <w:rPr>
          <w:rFonts w:hint="eastAsia"/>
          <w:highlight w:val="none"/>
        </w:rPr>
        <w:t>开展安全标准化建设，应贯彻执行建筑施工安全法律法规和标准规范、，建立企业和项目安全生产责任制，制定安全管理制度和操作规程，监控危险性较大分部分项工程，排查治理安全生产隐患，使人、机、物、环始终处于安全状态，形成过程控制、持续改进的安全管理机制。</w:t>
      </w:r>
      <w:bookmarkEnd w:id="925"/>
    </w:p>
    <w:p w14:paraId="24FE7A1E">
      <w:pPr>
        <w:pStyle w:val="4"/>
        <w:numPr>
          <w:ilvl w:val="2"/>
          <w:numId w:val="13"/>
        </w:numPr>
        <w:rPr>
          <w:rFonts w:hint="eastAsia"/>
          <w:highlight w:val="none"/>
        </w:rPr>
      </w:pPr>
      <w:r>
        <w:rPr>
          <w:rFonts w:hint="eastAsia"/>
          <w:highlight w:val="none"/>
        </w:rPr>
        <w:t>总承包人</w:t>
      </w:r>
      <w:bookmarkStart w:id="926" w:name="_Hlk166187798"/>
      <w:r>
        <w:rPr>
          <w:rFonts w:hint="eastAsia"/>
          <w:highlight w:val="none"/>
        </w:rPr>
        <w:t>应制定科学的安全风险辨识程序和方法，组织专家和技术人员，全方位、全过程辨识施工工艺、设备设施、作业环境、人员行为和管理体系等方面存在的安全风险。科学评定安全风险等级，绘制项目“红橙黄蓝”四色安全风险空间分布图。根据评估结果，从组织、制度、技术、应急等方面对安全风险进行有效管控，确保安全风险始终处于受控范围内，并建立完善安全风险公告制度，加强风险教育和技能培训，在重点区域设置安全风险公告栏，制作岗位安全风险告知卡。</w:t>
      </w:r>
      <w:bookmarkEnd w:id="926"/>
    </w:p>
    <w:p w14:paraId="519FA62B">
      <w:pPr>
        <w:pStyle w:val="4"/>
        <w:numPr>
          <w:ilvl w:val="2"/>
          <w:numId w:val="13"/>
        </w:numPr>
        <w:rPr>
          <w:rFonts w:hint="eastAsia"/>
          <w:highlight w:val="none"/>
        </w:rPr>
      </w:pPr>
      <w:r>
        <w:rPr>
          <w:rFonts w:hint="eastAsia"/>
          <w:highlight w:val="none"/>
        </w:rPr>
        <w:t>总承包人</w:t>
      </w:r>
      <w:bookmarkStart w:id="927" w:name="_Hlk166187813"/>
      <w:r>
        <w:rPr>
          <w:rFonts w:hint="eastAsia"/>
          <w:highlight w:val="none"/>
        </w:rPr>
        <w:t>应建立完善隐患排查治理制度，制定符合项目实际的隐患排查治理清单，明确和细化隐患排查的事项、内容和频次，并将责任逐一分解落实，重点强化对存在重大风险的场所、环节、部位的隐患排查整改，实现隐患排查治理的闭环管理。</w:t>
      </w:r>
      <w:bookmarkEnd w:id="927"/>
    </w:p>
    <w:p w14:paraId="74B68E38">
      <w:pPr>
        <w:pStyle w:val="3"/>
        <w:numPr>
          <w:ilvl w:val="1"/>
          <w:numId w:val="13"/>
        </w:numPr>
        <w:rPr>
          <w:rFonts w:hint="eastAsia"/>
          <w:highlight w:val="none"/>
        </w:rPr>
      </w:pPr>
      <w:bookmarkStart w:id="928" w:name="_Toc169722256"/>
      <w:bookmarkStart w:id="929" w:name="_Toc14418"/>
      <w:bookmarkStart w:id="930" w:name="_Toc31076"/>
      <w:bookmarkStart w:id="931" w:name="_Toc27443"/>
      <w:bookmarkStart w:id="932" w:name="_Toc13043"/>
      <w:bookmarkStart w:id="933" w:name="_Toc28356"/>
      <w:bookmarkStart w:id="934" w:name="_Toc8115"/>
      <w:bookmarkStart w:id="935" w:name="_Toc11396"/>
      <w:bookmarkStart w:id="936" w:name="_Toc20929"/>
      <w:bookmarkStart w:id="937" w:name="_Toc25557"/>
      <w:bookmarkStart w:id="938" w:name="_Toc6622"/>
      <w:r>
        <w:rPr>
          <w:rFonts w:hint="eastAsia"/>
          <w:highlight w:val="none"/>
        </w:rPr>
        <w:t>应急</w:t>
      </w:r>
      <w:r>
        <w:rPr>
          <w:highlight w:val="none"/>
        </w:rPr>
        <w:t>与事故管理</w:t>
      </w:r>
      <w:bookmarkEnd w:id="928"/>
      <w:bookmarkEnd w:id="929"/>
      <w:bookmarkEnd w:id="930"/>
      <w:bookmarkEnd w:id="931"/>
      <w:bookmarkEnd w:id="932"/>
      <w:bookmarkEnd w:id="933"/>
      <w:bookmarkEnd w:id="934"/>
      <w:bookmarkEnd w:id="935"/>
      <w:bookmarkEnd w:id="936"/>
      <w:bookmarkEnd w:id="937"/>
      <w:bookmarkEnd w:id="938"/>
    </w:p>
    <w:p w14:paraId="1A7AE8F1">
      <w:pPr>
        <w:pStyle w:val="4"/>
        <w:numPr>
          <w:ilvl w:val="2"/>
          <w:numId w:val="13"/>
        </w:numPr>
        <w:rPr>
          <w:rFonts w:hint="eastAsia"/>
          <w:highlight w:val="none"/>
        </w:rPr>
      </w:pPr>
      <w:r>
        <w:rPr>
          <w:rFonts w:hint="eastAsia"/>
          <w:highlight w:val="none"/>
        </w:rPr>
        <w:t>应急</w:t>
      </w:r>
      <w:r>
        <w:rPr>
          <w:highlight w:val="none"/>
        </w:rPr>
        <w:t>管理</w:t>
      </w:r>
    </w:p>
    <w:p w14:paraId="78471CEB">
      <w:pPr>
        <w:pStyle w:val="5"/>
        <w:rPr>
          <w:rFonts w:hint="eastAsia"/>
          <w:highlight w:val="none"/>
        </w:rPr>
      </w:pPr>
      <w:r>
        <w:rPr>
          <w:rFonts w:hint="eastAsia"/>
          <w:highlight w:val="none"/>
        </w:rPr>
        <w:t>总承包人应建立完善综合应急预案、专项应急预案及现场处置方案，明确应急响应组织、流程及应急处置内容，与发包人应急预案体系相衔接，确保迅速处理突发事件。总承包人应按法律法规有关规定组织应急预案评审或论证，并将应急预案提交发包人、监理人备案。</w:t>
      </w:r>
    </w:p>
    <w:p w14:paraId="5B2D6C7D">
      <w:pPr>
        <w:pStyle w:val="5"/>
        <w:rPr>
          <w:rFonts w:hint="eastAsia"/>
          <w:highlight w:val="none"/>
        </w:rPr>
      </w:pPr>
      <w:r>
        <w:rPr>
          <w:rFonts w:hint="eastAsia"/>
          <w:highlight w:val="none"/>
        </w:rPr>
        <w:t>总承包人必须保证配备充足的应急物资、设施设备、器材工具、医疗用品等，并做好维护管理以确保其良好可用。</w:t>
      </w:r>
    </w:p>
    <w:p w14:paraId="78A7E0D5">
      <w:pPr>
        <w:pStyle w:val="5"/>
        <w:rPr>
          <w:rFonts w:hint="eastAsia"/>
          <w:highlight w:val="none"/>
        </w:rPr>
      </w:pPr>
      <w:r>
        <w:rPr>
          <w:rFonts w:hint="eastAsia"/>
          <w:highlight w:val="none"/>
        </w:rPr>
        <w:t>总承包人应当制定项目应急预案演练计划，根据本项目的事故风险特点，积极开展消防、坍塌、机械伤害、高坠等各类应急救援演练，提高应急处置能力。总承包人每年年初将应急演练计划报监理人审查。</w:t>
      </w:r>
    </w:p>
    <w:p w14:paraId="5B693B05">
      <w:pPr>
        <w:pStyle w:val="5"/>
        <w:numPr>
          <w:ilvl w:val="3"/>
          <w:numId w:val="13"/>
        </w:numPr>
        <w:rPr>
          <w:rFonts w:hint="eastAsia"/>
          <w:highlight w:val="none"/>
        </w:rPr>
      </w:pPr>
      <w:r>
        <w:rPr>
          <w:rFonts w:hint="eastAsia"/>
          <w:highlight w:val="none"/>
        </w:rPr>
        <w:t>总承包人应当配置1辆专用应急车辆，并配备担架、绷带、医疗箱等临时急救药品、工具。应急车辆须停放在施工现场便于进出的位置，非应急抢险情况不得挪作他用。</w:t>
      </w:r>
    </w:p>
    <w:p w14:paraId="6F0A2187">
      <w:pPr>
        <w:pStyle w:val="5"/>
        <w:numPr>
          <w:ilvl w:val="3"/>
          <w:numId w:val="13"/>
        </w:numPr>
        <w:rPr>
          <w:rFonts w:hint="eastAsia"/>
          <w:highlight w:val="none"/>
        </w:rPr>
      </w:pPr>
      <w:r>
        <w:rPr>
          <w:rFonts w:hint="eastAsia"/>
          <w:highlight w:val="none"/>
        </w:rPr>
        <w:t>总承包人应当在施工现场配置不低于2万元人民币的应急保障资金，用于从业人员发生职业伤害事件、生产安全事故的应急救援支出。</w:t>
      </w:r>
    </w:p>
    <w:p w14:paraId="72B53BC4">
      <w:pPr>
        <w:pStyle w:val="4"/>
        <w:numPr>
          <w:ilvl w:val="2"/>
          <w:numId w:val="13"/>
        </w:numPr>
        <w:rPr>
          <w:rFonts w:hint="eastAsia"/>
          <w:highlight w:val="none"/>
        </w:rPr>
      </w:pPr>
      <w:r>
        <w:rPr>
          <w:rFonts w:hint="eastAsia"/>
          <w:highlight w:val="none"/>
        </w:rPr>
        <w:t>事故</w:t>
      </w:r>
      <w:r>
        <w:rPr>
          <w:highlight w:val="none"/>
        </w:rPr>
        <w:t>管理</w:t>
      </w:r>
    </w:p>
    <w:p w14:paraId="2DC2B4A2">
      <w:pPr>
        <w:pStyle w:val="5"/>
        <w:rPr>
          <w:rFonts w:hint="eastAsia"/>
          <w:highlight w:val="none"/>
        </w:rPr>
      </w:pPr>
      <w:bookmarkStart w:id="939" w:name="_Hlk166188209"/>
      <w:r>
        <w:rPr>
          <w:rFonts w:hint="eastAsia"/>
          <w:highlight w:val="none"/>
        </w:rPr>
        <w:t>发生安全事故事件，总承包人应在事发后15分钟以内如实报告给发包人，严禁迟报、瞒报、谎报、漏报。报告应说明事故涉及单位、时间地点、简要经过、后果影响等。</w:t>
      </w:r>
      <w:bookmarkEnd w:id="939"/>
    </w:p>
    <w:p w14:paraId="21986A05">
      <w:pPr>
        <w:pStyle w:val="5"/>
        <w:rPr>
          <w:rFonts w:hint="eastAsia"/>
          <w:highlight w:val="none"/>
        </w:rPr>
      </w:pPr>
      <w:r>
        <w:rPr>
          <w:rFonts w:hint="eastAsia"/>
          <w:highlight w:val="none"/>
        </w:rPr>
        <w:t>总承包人应按照发包人要求</w:t>
      </w:r>
      <w:bookmarkStart w:id="940" w:name="_Hlk166188265"/>
      <w:r>
        <w:rPr>
          <w:rFonts w:hint="eastAsia"/>
          <w:highlight w:val="none"/>
        </w:rPr>
        <w:t>提交事故初报、进展报告、调查结果报告</w:t>
      </w:r>
      <w:bookmarkEnd w:id="940"/>
      <w:r>
        <w:rPr>
          <w:rFonts w:hint="eastAsia"/>
          <w:highlight w:val="none"/>
        </w:rPr>
        <w:t>。</w:t>
      </w:r>
    </w:p>
    <w:p w14:paraId="6F27FA03">
      <w:pPr>
        <w:pStyle w:val="5"/>
        <w:rPr>
          <w:rFonts w:hint="eastAsia"/>
          <w:highlight w:val="none"/>
        </w:rPr>
      </w:pPr>
      <w:r>
        <w:rPr>
          <w:rFonts w:hint="eastAsia"/>
          <w:highlight w:val="none"/>
        </w:rPr>
        <w:t>总承包人应建立事故事件统计制度，对发生的事故事件进行详细记录，并将统计信息报监理人、发包人备案。</w:t>
      </w:r>
    </w:p>
    <w:p w14:paraId="6BAF27C5">
      <w:pPr>
        <w:pStyle w:val="5"/>
        <w:rPr>
          <w:rFonts w:hint="eastAsia"/>
          <w:highlight w:val="none"/>
        </w:rPr>
      </w:pPr>
      <w:bookmarkStart w:id="941" w:name="_Hlk166188378"/>
      <w:r>
        <w:rPr>
          <w:rFonts w:hint="eastAsia"/>
          <w:highlight w:val="none"/>
        </w:rPr>
        <w:t>总承包人应对项目发生的事故事件牵头协调处理，杜绝事故后果严重性与不良社会影响的持续扩大。专业承包人发生生产安全事故时，需要总承包人提供支持的，总承包人必须无条件配合、支持事故抢险。</w:t>
      </w:r>
      <w:bookmarkEnd w:id="941"/>
    </w:p>
    <w:p w14:paraId="399592F3">
      <w:pPr>
        <w:pStyle w:val="5"/>
        <w:rPr>
          <w:rFonts w:hint="eastAsia"/>
          <w:highlight w:val="none"/>
        </w:rPr>
      </w:pPr>
      <w:r>
        <w:rPr>
          <w:rFonts w:hint="eastAsia"/>
          <w:highlight w:val="none"/>
        </w:rPr>
        <w:t>总承包人对专业承包人及其用工行为管理不善，</w:t>
      </w:r>
      <w:bookmarkStart w:id="942" w:name="_Hlk166188479"/>
      <w:r>
        <w:rPr>
          <w:rFonts w:hint="eastAsia"/>
          <w:highlight w:val="none"/>
        </w:rPr>
        <w:t>导致出现的安全隐患或事故事件，</w:t>
      </w:r>
      <w:bookmarkEnd w:id="942"/>
      <w:r>
        <w:rPr>
          <w:rFonts w:hint="eastAsia"/>
          <w:highlight w:val="none"/>
        </w:rPr>
        <w:t>发包人将</w:t>
      </w:r>
      <w:bookmarkStart w:id="943" w:name="_Hlk166188497"/>
      <w:r>
        <w:rPr>
          <w:rFonts w:hint="eastAsia"/>
          <w:highlight w:val="none"/>
        </w:rPr>
        <w:t>通过处罚、索赔等形式追究总承包人责任。</w:t>
      </w:r>
      <w:bookmarkEnd w:id="943"/>
    </w:p>
    <w:p w14:paraId="3A333AC9">
      <w:pPr>
        <w:pStyle w:val="5"/>
        <w:rPr>
          <w:rFonts w:hint="eastAsia"/>
          <w:highlight w:val="none"/>
        </w:rPr>
      </w:pPr>
      <w:r>
        <w:rPr>
          <w:rFonts w:hint="eastAsia"/>
          <w:highlight w:val="none"/>
        </w:rPr>
        <w:t>当项目发生以下类型的事故事件时，总承包人作为工程总承包人，应主责进行应急与善后处理。若发包人评估总承包人存在处理不力时，发包人将有权扣除总承包人工程款用于处理事故事件，以尽快消除事故事件的不良影响：</w:t>
      </w:r>
    </w:p>
    <w:p w14:paraId="5A6307EF">
      <w:pPr>
        <w:numPr>
          <w:ilvl w:val="0"/>
          <w:numId w:val="171"/>
        </w:numPr>
        <w:ind w:firstLine="480"/>
        <w:rPr>
          <w:rFonts w:hint="eastAsia"/>
          <w:highlight w:val="none"/>
        </w:rPr>
      </w:pPr>
      <w:r>
        <w:rPr>
          <w:rFonts w:hint="eastAsia"/>
          <w:highlight w:val="none"/>
        </w:rPr>
        <w:t>重伤及以上等级的人身伤害事故的应急与善后处理；</w:t>
      </w:r>
    </w:p>
    <w:p w14:paraId="243450A4">
      <w:pPr>
        <w:numPr>
          <w:ilvl w:val="0"/>
          <w:numId w:val="171"/>
        </w:numPr>
        <w:ind w:firstLine="480"/>
        <w:rPr>
          <w:rFonts w:hint="eastAsia"/>
          <w:highlight w:val="none"/>
        </w:rPr>
      </w:pPr>
      <w:r>
        <w:rPr>
          <w:rFonts w:hint="eastAsia"/>
          <w:highlight w:val="none"/>
        </w:rPr>
        <w:t>火灾、坍塌等恶劣社会影响或重大财产损失事故的应急与恢复处理；</w:t>
      </w:r>
    </w:p>
    <w:p w14:paraId="06065DE0">
      <w:pPr>
        <w:numPr>
          <w:ilvl w:val="0"/>
          <w:numId w:val="171"/>
        </w:numPr>
        <w:ind w:firstLine="480"/>
        <w:rPr>
          <w:rFonts w:hint="eastAsia"/>
          <w:highlight w:val="none"/>
        </w:rPr>
      </w:pPr>
      <w:r>
        <w:rPr>
          <w:rFonts w:hint="eastAsia"/>
          <w:highlight w:val="none"/>
        </w:rPr>
        <w:t>群体性劳资纠纷、卫生防疫及治安保卫事件的应急与善后处理；</w:t>
      </w:r>
    </w:p>
    <w:p w14:paraId="3D4C19FD">
      <w:pPr>
        <w:numPr>
          <w:ilvl w:val="0"/>
          <w:numId w:val="171"/>
        </w:numPr>
        <w:ind w:firstLine="480"/>
        <w:rPr>
          <w:rFonts w:hint="eastAsia"/>
          <w:highlight w:val="none"/>
        </w:rPr>
      </w:pPr>
      <w:r>
        <w:rPr>
          <w:rFonts w:hint="eastAsia"/>
          <w:highlight w:val="none"/>
        </w:rPr>
        <w:t>重大设施设备损毁或处于高危状态事故事件的应急与恢复处理；</w:t>
      </w:r>
    </w:p>
    <w:p w14:paraId="2B8DE0EB">
      <w:pPr>
        <w:numPr>
          <w:ilvl w:val="0"/>
          <w:numId w:val="171"/>
        </w:numPr>
        <w:ind w:firstLine="480"/>
        <w:rPr>
          <w:rFonts w:hint="eastAsia"/>
          <w:highlight w:val="none"/>
        </w:rPr>
      </w:pPr>
      <w:r>
        <w:rPr>
          <w:rFonts w:hint="eastAsia"/>
          <w:highlight w:val="none"/>
        </w:rPr>
        <w:t>严重环境污染事故事件的应急与善后处理（水、光、粉尘、噪声污染等）；</w:t>
      </w:r>
    </w:p>
    <w:p w14:paraId="7CFA6152">
      <w:pPr>
        <w:numPr>
          <w:ilvl w:val="0"/>
          <w:numId w:val="171"/>
        </w:numPr>
        <w:ind w:firstLine="480"/>
        <w:rPr>
          <w:rFonts w:hint="eastAsia"/>
          <w:highlight w:val="none"/>
        </w:rPr>
      </w:pPr>
      <w:r>
        <w:rPr>
          <w:rFonts w:hint="eastAsia"/>
          <w:highlight w:val="none"/>
        </w:rPr>
        <w:t>严重的交通安全事故或自然灾害事故事件；</w:t>
      </w:r>
    </w:p>
    <w:p w14:paraId="2C7491B5">
      <w:pPr>
        <w:numPr>
          <w:ilvl w:val="0"/>
          <w:numId w:val="171"/>
        </w:numPr>
        <w:ind w:firstLine="480"/>
        <w:rPr>
          <w:rFonts w:hint="eastAsia"/>
          <w:highlight w:val="none"/>
        </w:rPr>
      </w:pPr>
      <w:r>
        <w:rPr>
          <w:rFonts w:hint="eastAsia"/>
          <w:highlight w:val="none"/>
        </w:rPr>
        <w:t>对项目正常生产秩序造成严重影响的政府性处罚事件；</w:t>
      </w:r>
    </w:p>
    <w:p w14:paraId="0F069D9B">
      <w:pPr>
        <w:numPr>
          <w:ilvl w:val="0"/>
          <w:numId w:val="171"/>
        </w:numPr>
        <w:ind w:firstLine="480"/>
        <w:rPr>
          <w:rFonts w:hint="eastAsia"/>
          <w:highlight w:val="none"/>
        </w:rPr>
      </w:pPr>
      <w:r>
        <w:rPr>
          <w:rFonts w:hint="eastAsia"/>
          <w:highlight w:val="none"/>
        </w:rPr>
        <w:t>其它对项目正常生产秩序或发包人及其上级单位经营、社会形象造成重大负面影响的事故事件。</w:t>
      </w:r>
    </w:p>
    <w:p w14:paraId="0BD8F66A">
      <w:pPr>
        <w:pStyle w:val="5"/>
        <w:rPr>
          <w:rFonts w:hint="eastAsia"/>
          <w:highlight w:val="none"/>
        </w:rPr>
      </w:pPr>
      <w:r>
        <w:rPr>
          <w:rFonts w:hint="eastAsia"/>
          <w:highlight w:val="none"/>
        </w:rPr>
        <w:t>发包人对项目发生的安全事故事件实行内部调查制度，总承包人应当无条件落实发包人在内部安全事故事件调查报告对总承包人、专业承包人提出的责任追究、整改措施建议等管理要求。</w:t>
      </w:r>
    </w:p>
    <w:p w14:paraId="1D71EF57">
      <w:pPr>
        <w:pStyle w:val="3"/>
        <w:numPr>
          <w:ilvl w:val="1"/>
          <w:numId w:val="13"/>
        </w:numPr>
        <w:rPr>
          <w:rFonts w:hint="eastAsia"/>
          <w:highlight w:val="none"/>
        </w:rPr>
      </w:pPr>
      <w:bookmarkStart w:id="944" w:name="_Toc29109"/>
      <w:bookmarkStart w:id="945" w:name="_Toc19837"/>
      <w:bookmarkStart w:id="946" w:name="_Toc169722258"/>
      <w:bookmarkStart w:id="947" w:name="_Toc12255"/>
      <w:bookmarkStart w:id="948" w:name="_Toc28483"/>
      <w:bookmarkStart w:id="949" w:name="_Toc3117"/>
      <w:bookmarkStart w:id="950" w:name="_Toc25394"/>
      <w:bookmarkStart w:id="951" w:name="_Toc30048"/>
      <w:bookmarkStart w:id="952" w:name="_Toc13170"/>
      <w:bookmarkStart w:id="953" w:name="_Toc23930"/>
      <w:bookmarkStart w:id="954" w:name="_Toc28224"/>
      <w:r>
        <w:rPr>
          <w:rFonts w:hint="eastAsia"/>
          <w:highlight w:val="none"/>
        </w:rPr>
        <w:t>安全信息传递与沟通</w:t>
      </w:r>
      <w:bookmarkEnd w:id="944"/>
      <w:bookmarkEnd w:id="945"/>
      <w:bookmarkEnd w:id="946"/>
      <w:bookmarkEnd w:id="947"/>
      <w:bookmarkEnd w:id="948"/>
      <w:bookmarkEnd w:id="949"/>
      <w:bookmarkEnd w:id="950"/>
      <w:bookmarkEnd w:id="951"/>
      <w:bookmarkEnd w:id="952"/>
      <w:bookmarkEnd w:id="953"/>
      <w:bookmarkEnd w:id="954"/>
    </w:p>
    <w:p w14:paraId="36F7A43D">
      <w:pPr>
        <w:pStyle w:val="4"/>
        <w:numPr>
          <w:ilvl w:val="2"/>
          <w:numId w:val="13"/>
        </w:numPr>
        <w:rPr>
          <w:rFonts w:hint="eastAsia"/>
          <w:highlight w:val="none"/>
        </w:rPr>
      </w:pPr>
      <w:r>
        <w:rPr>
          <w:rFonts w:hint="eastAsia" w:cs="Arial"/>
          <w:bCs/>
          <w:highlight w:val="none"/>
        </w:rPr>
        <w:t>总承包人</w:t>
      </w:r>
      <w:bookmarkStart w:id="955" w:name="_Hlk166188951"/>
      <w:r>
        <w:rPr>
          <w:rFonts w:hint="eastAsia" w:cs="Arial"/>
          <w:bCs/>
          <w:highlight w:val="none"/>
        </w:rPr>
        <w:t>应当遵守并配合发包人、监理人的安全信息传递要求，建立</w:t>
      </w:r>
      <w:r>
        <w:rPr>
          <w:rFonts w:hint="eastAsia"/>
          <w:highlight w:val="none"/>
        </w:rPr>
        <w:t>健全与专业承包人的安全信息传递机制，保障安全信息的良好获取与传达。</w:t>
      </w:r>
      <w:bookmarkEnd w:id="955"/>
    </w:p>
    <w:p w14:paraId="55648483">
      <w:pPr>
        <w:pStyle w:val="4"/>
        <w:numPr>
          <w:ilvl w:val="2"/>
          <w:numId w:val="13"/>
        </w:numPr>
        <w:rPr>
          <w:rFonts w:hint="eastAsia"/>
          <w:highlight w:val="none"/>
        </w:rPr>
      </w:pPr>
      <w:r>
        <w:rPr>
          <w:rFonts w:hint="eastAsia"/>
          <w:highlight w:val="none"/>
        </w:rPr>
        <w:t>总承包人应当严格按照发包人、监理人的有关要求，及时、如实的上报有关安全信息文件，并对文件的质量负责，包括但不限于安全隐患整改回复、安全事故事件报告、安全工作总结、安全工作计划、安全管理月报、安全方案与措施、特种设备有关资料、特种作业人员资质证件等。</w:t>
      </w:r>
    </w:p>
    <w:p w14:paraId="0C3C72F4">
      <w:pPr>
        <w:pStyle w:val="3"/>
        <w:numPr>
          <w:ilvl w:val="1"/>
          <w:numId w:val="13"/>
        </w:numPr>
        <w:rPr>
          <w:rFonts w:hint="eastAsia"/>
          <w:highlight w:val="none"/>
        </w:rPr>
      </w:pPr>
      <w:bookmarkStart w:id="956" w:name="_Toc169722259"/>
      <w:bookmarkStart w:id="957" w:name="_Toc7395"/>
      <w:bookmarkStart w:id="958" w:name="_Toc11106"/>
      <w:bookmarkStart w:id="959" w:name="_Toc11049"/>
      <w:bookmarkStart w:id="960" w:name="_Toc12287"/>
      <w:bookmarkStart w:id="961" w:name="_Toc20996"/>
      <w:bookmarkStart w:id="962" w:name="_Toc1184"/>
      <w:bookmarkStart w:id="963" w:name="_Toc1388"/>
      <w:bookmarkStart w:id="964" w:name="_Toc32479"/>
      <w:bookmarkStart w:id="965" w:name="_Toc18259"/>
      <w:bookmarkStart w:id="966" w:name="_Toc29431"/>
      <w:r>
        <w:rPr>
          <w:rFonts w:hint="eastAsia"/>
          <w:highlight w:val="none"/>
        </w:rPr>
        <w:t>生态环境保护</w:t>
      </w:r>
      <w:bookmarkEnd w:id="956"/>
      <w:bookmarkEnd w:id="957"/>
      <w:bookmarkEnd w:id="958"/>
      <w:bookmarkEnd w:id="959"/>
      <w:bookmarkEnd w:id="960"/>
      <w:bookmarkEnd w:id="961"/>
      <w:bookmarkEnd w:id="962"/>
      <w:bookmarkEnd w:id="963"/>
      <w:bookmarkEnd w:id="964"/>
      <w:bookmarkEnd w:id="965"/>
      <w:bookmarkEnd w:id="966"/>
    </w:p>
    <w:p w14:paraId="0612BA8F">
      <w:pPr>
        <w:pStyle w:val="4"/>
        <w:numPr>
          <w:ilvl w:val="2"/>
          <w:numId w:val="13"/>
        </w:numPr>
        <w:rPr>
          <w:rFonts w:hint="eastAsia"/>
          <w:highlight w:val="none"/>
        </w:rPr>
      </w:pPr>
      <w:r>
        <w:rPr>
          <w:rFonts w:hint="eastAsia"/>
          <w:highlight w:val="none"/>
        </w:rPr>
        <w:t>总承包人是生态环境保护工作的第一责任单位，对生态环境保护工作负总责。</w:t>
      </w:r>
    </w:p>
    <w:p w14:paraId="178BB11B">
      <w:pPr>
        <w:pStyle w:val="4"/>
        <w:numPr>
          <w:ilvl w:val="2"/>
          <w:numId w:val="13"/>
        </w:numPr>
        <w:rPr>
          <w:rFonts w:hint="eastAsia"/>
          <w:highlight w:val="none"/>
        </w:rPr>
      </w:pPr>
      <w:r>
        <w:rPr>
          <w:rFonts w:hint="eastAsia"/>
          <w:highlight w:val="none"/>
        </w:rPr>
        <w:t>总承包人应当及时按照法律法规要求办理有关环保的许可、证照。涉及由发包人办理的有关环保许可、证照，发包人可以要求总承包人代办或者提供其他协助，总承包人应当无条件配合。</w:t>
      </w:r>
    </w:p>
    <w:p w14:paraId="65161247">
      <w:pPr>
        <w:pStyle w:val="4"/>
        <w:numPr>
          <w:ilvl w:val="2"/>
          <w:numId w:val="13"/>
        </w:numPr>
        <w:rPr>
          <w:rFonts w:hint="eastAsia"/>
          <w:highlight w:val="none"/>
        </w:rPr>
      </w:pPr>
      <w:r>
        <w:rPr>
          <w:rFonts w:hint="eastAsia"/>
          <w:highlight w:val="none"/>
        </w:rPr>
        <w:t>总承包人</w:t>
      </w:r>
      <w:bookmarkStart w:id="967" w:name="_Hlk166189090"/>
      <w:r>
        <w:rPr>
          <w:rFonts w:hint="eastAsia"/>
          <w:highlight w:val="none"/>
        </w:rPr>
        <w:t>应当严格落实施工现场“工地周边围挡 100%、物料堆放覆盖（包括裸土）100%、出入车辆清洗100%、路面硬化100%、渣土车辆密闭运输100%、土方开挖及拆除湿法作业100%”六个百分之百要求和属地政府相关规定。</w:t>
      </w:r>
      <w:bookmarkEnd w:id="967"/>
    </w:p>
    <w:p w14:paraId="1AC813D9">
      <w:pPr>
        <w:pStyle w:val="4"/>
        <w:numPr>
          <w:ilvl w:val="2"/>
          <w:numId w:val="13"/>
        </w:numPr>
        <w:rPr>
          <w:rFonts w:hint="eastAsia"/>
          <w:highlight w:val="none"/>
        </w:rPr>
      </w:pPr>
      <w:bookmarkStart w:id="968" w:name="_Hlk166189139"/>
      <w:r>
        <w:rPr>
          <w:rFonts w:hint="eastAsia"/>
          <w:highlight w:val="none"/>
        </w:rPr>
        <w:t>施工现场的机械设备、车辆的尾气排放应当同时符合国家和属地政府的环保排放标准。</w:t>
      </w:r>
      <w:bookmarkEnd w:id="968"/>
    </w:p>
    <w:p w14:paraId="08AE2E72">
      <w:pPr>
        <w:pStyle w:val="4"/>
        <w:numPr>
          <w:ilvl w:val="2"/>
          <w:numId w:val="13"/>
        </w:numPr>
        <w:rPr>
          <w:rFonts w:hint="eastAsia"/>
          <w:highlight w:val="none"/>
        </w:rPr>
      </w:pPr>
      <w:r>
        <w:rPr>
          <w:rFonts w:hint="eastAsia"/>
          <w:highlight w:val="none"/>
        </w:rPr>
        <w:t>总承包人</w:t>
      </w:r>
      <w:bookmarkStart w:id="969" w:name="_Hlk166189224"/>
      <w:r>
        <w:rPr>
          <w:rFonts w:hint="eastAsia"/>
          <w:highlight w:val="none"/>
        </w:rPr>
        <w:t>应当落实属地政府重污染天气预警的有关要求。</w:t>
      </w:r>
      <w:bookmarkEnd w:id="969"/>
    </w:p>
    <w:p w14:paraId="1D389140">
      <w:pPr>
        <w:pStyle w:val="4"/>
        <w:numPr>
          <w:ilvl w:val="2"/>
          <w:numId w:val="13"/>
        </w:numPr>
        <w:rPr>
          <w:rFonts w:hint="eastAsia"/>
          <w:highlight w:val="none"/>
        </w:rPr>
      </w:pPr>
      <w:r>
        <w:rPr>
          <w:rFonts w:hint="eastAsia"/>
          <w:highlight w:val="none"/>
        </w:rPr>
        <w:t>建筑施工昼间噪音不得超过70db，夜间噪音不得超过55db，超过建筑施工现场噪音限值时，总承包人应按规定向建设行政主管部门和环保部门申报，经核准后方能作业。</w:t>
      </w:r>
    </w:p>
    <w:p w14:paraId="1E2902D1">
      <w:pPr>
        <w:pStyle w:val="4"/>
        <w:numPr>
          <w:ilvl w:val="2"/>
          <w:numId w:val="13"/>
        </w:numPr>
        <w:rPr>
          <w:rFonts w:hint="eastAsia"/>
          <w:highlight w:val="none"/>
        </w:rPr>
      </w:pPr>
      <w:r>
        <w:rPr>
          <w:rFonts w:hint="eastAsia"/>
          <w:highlight w:val="none"/>
        </w:rPr>
        <w:t>总承包人应当严格执行《中华人民共和国环境噪声污染防治法》相关要求，禁止夜间（当日 22 时至次日 6 时）在城市噪声敏感建筑物集中区域内开展产生环境噪声污染的施工作业，但抢修、抢险作业和因生产工艺上要求或者特殊需要必须连续作业的除外。因混凝土浇筑等施工工艺需要或其他特殊要求必须连续作业时，及时办理夜间施工许可证，提前公告附近居民，并落实增加噪声隔离设施，优化施工工序等降噪措施。</w:t>
      </w:r>
    </w:p>
    <w:p w14:paraId="265DD91B">
      <w:pPr>
        <w:pStyle w:val="4"/>
        <w:numPr>
          <w:ilvl w:val="2"/>
          <w:numId w:val="13"/>
        </w:numPr>
        <w:rPr>
          <w:rFonts w:hint="eastAsia"/>
          <w:highlight w:val="none"/>
        </w:rPr>
      </w:pPr>
      <w:r>
        <w:rPr>
          <w:rFonts w:hint="eastAsia"/>
          <w:highlight w:val="none"/>
        </w:rPr>
        <w:t>总承包人</w:t>
      </w:r>
      <w:bookmarkStart w:id="970" w:name="_Hlk166189280"/>
      <w:r>
        <w:rPr>
          <w:rFonts w:hint="eastAsia"/>
          <w:highlight w:val="none"/>
        </w:rPr>
        <w:t>应严格落实属地政府在重要节假日、会议、特殊时期（中考、高考、重要赛事等）等作出的停工管控等相关要求。</w:t>
      </w:r>
      <w:bookmarkEnd w:id="970"/>
    </w:p>
    <w:p w14:paraId="795E97BA">
      <w:pPr>
        <w:pStyle w:val="3"/>
        <w:numPr>
          <w:ilvl w:val="1"/>
          <w:numId w:val="13"/>
        </w:numPr>
        <w:rPr>
          <w:rFonts w:hint="eastAsia"/>
          <w:highlight w:val="none"/>
        </w:rPr>
      </w:pPr>
      <w:bookmarkStart w:id="971" w:name="_Toc24350"/>
      <w:bookmarkStart w:id="972" w:name="_Toc24282"/>
      <w:bookmarkStart w:id="973" w:name="_Toc31027"/>
      <w:bookmarkStart w:id="974" w:name="_Toc17454"/>
      <w:bookmarkStart w:id="975" w:name="_Toc15262"/>
      <w:bookmarkStart w:id="976" w:name="_Toc19490"/>
      <w:bookmarkStart w:id="977" w:name="_Toc169722260"/>
      <w:bookmarkStart w:id="978" w:name="_Toc6451"/>
      <w:bookmarkStart w:id="979" w:name="_Toc2066"/>
      <w:bookmarkStart w:id="980" w:name="_Toc31978"/>
      <w:bookmarkStart w:id="981" w:name="_Toc30405"/>
      <w:r>
        <w:rPr>
          <w:rFonts w:hint="eastAsia"/>
          <w:highlight w:val="none"/>
        </w:rPr>
        <w:t>工伤保险及安全生产责任保险</w:t>
      </w:r>
      <w:bookmarkEnd w:id="971"/>
      <w:bookmarkEnd w:id="972"/>
      <w:bookmarkEnd w:id="973"/>
      <w:bookmarkEnd w:id="974"/>
      <w:bookmarkEnd w:id="975"/>
      <w:bookmarkEnd w:id="976"/>
      <w:bookmarkEnd w:id="977"/>
      <w:bookmarkEnd w:id="978"/>
      <w:bookmarkEnd w:id="979"/>
      <w:bookmarkEnd w:id="980"/>
      <w:bookmarkEnd w:id="981"/>
    </w:p>
    <w:p w14:paraId="3CEFC03E">
      <w:pPr>
        <w:pStyle w:val="4"/>
        <w:numPr>
          <w:ilvl w:val="2"/>
          <w:numId w:val="13"/>
        </w:numPr>
        <w:rPr>
          <w:rFonts w:hint="eastAsia"/>
          <w:highlight w:val="none"/>
        </w:rPr>
      </w:pPr>
      <w:r>
        <w:rPr>
          <w:rFonts w:hint="eastAsia"/>
          <w:highlight w:val="none"/>
        </w:rPr>
        <w:t>总承包人必须依法为本项目总承包人及专业承包人的</w:t>
      </w:r>
      <w:bookmarkStart w:id="982" w:name="_Hlk166189358"/>
      <w:r>
        <w:rPr>
          <w:rFonts w:hint="eastAsia"/>
          <w:highlight w:val="none"/>
        </w:rPr>
        <w:t>项目管理人员、建筑工人等</w:t>
      </w:r>
      <w:bookmarkEnd w:id="982"/>
      <w:r>
        <w:rPr>
          <w:rFonts w:hint="eastAsia"/>
          <w:highlight w:val="none"/>
        </w:rPr>
        <w:t>从业人员购买工伤保险</w:t>
      </w:r>
      <w:bookmarkStart w:id="983" w:name="_Hlk166189373"/>
      <w:r>
        <w:rPr>
          <w:rFonts w:hint="eastAsia"/>
          <w:highlight w:val="none"/>
        </w:rPr>
        <w:t>，为从业人员缴纳保险费</w:t>
      </w:r>
      <w:bookmarkEnd w:id="983"/>
      <w:r>
        <w:rPr>
          <w:rFonts w:hint="eastAsia"/>
          <w:highlight w:val="none"/>
        </w:rPr>
        <w:t>。从业人员可以按用人单位参加工伤保险，也可以按项目参加所在地的工伤保险。其中，相对固定的职工，应按用人单位参加工伤保险。对不能按用人单位参保、流动性大的职工特别是农民工，应按项目参加所在地的工伤保险。总承包人应当在本项目取得施工许可证之前完成工伤保险参保。</w:t>
      </w:r>
    </w:p>
    <w:p w14:paraId="54AEE629">
      <w:pPr>
        <w:pStyle w:val="4"/>
        <w:numPr>
          <w:ilvl w:val="2"/>
          <w:numId w:val="13"/>
        </w:numPr>
        <w:rPr>
          <w:rFonts w:hint="eastAsia"/>
          <w:highlight w:val="none"/>
        </w:rPr>
      </w:pPr>
      <w:r>
        <w:rPr>
          <w:rFonts w:hint="eastAsia"/>
          <w:highlight w:val="none"/>
        </w:rPr>
        <w:t>总承包人应当按照国家规定为本项目投保安全生产责任保险，并在本项目取得施工许可证1个月以内完成安全生产责任保险投保。</w:t>
      </w:r>
    </w:p>
    <w:p w14:paraId="54C0925A">
      <w:pPr>
        <w:pStyle w:val="4"/>
        <w:numPr>
          <w:ilvl w:val="2"/>
          <w:numId w:val="13"/>
        </w:numPr>
        <w:rPr>
          <w:rFonts w:hint="eastAsia"/>
          <w:highlight w:val="none"/>
        </w:rPr>
      </w:pPr>
      <w:r>
        <w:rPr>
          <w:rFonts w:hint="eastAsia"/>
          <w:highlight w:val="none"/>
        </w:rPr>
        <w:t>从业人员遭受职业伤害</w:t>
      </w:r>
      <w:bookmarkStart w:id="984" w:name="_Hlk166189392"/>
      <w:r>
        <w:rPr>
          <w:rFonts w:hint="eastAsia"/>
          <w:highlight w:val="none"/>
        </w:rPr>
        <w:t>、生产安全事故</w:t>
      </w:r>
      <w:bookmarkEnd w:id="984"/>
      <w:r>
        <w:rPr>
          <w:rFonts w:hint="eastAsia"/>
          <w:highlight w:val="none"/>
        </w:rPr>
        <w:t>时，总承包人应当牵头办理保险理赔工作，保障其合法权益。</w:t>
      </w:r>
    </w:p>
    <w:bookmarkEnd w:id="807"/>
    <w:p w14:paraId="7ABB7044">
      <w:pPr>
        <w:pStyle w:val="3"/>
        <w:numPr>
          <w:ilvl w:val="1"/>
          <w:numId w:val="13"/>
        </w:numPr>
        <w:rPr>
          <w:rFonts w:hint="eastAsia"/>
          <w:highlight w:val="none"/>
        </w:rPr>
      </w:pPr>
      <w:bookmarkStart w:id="985" w:name="_Toc23689"/>
      <w:bookmarkStart w:id="986" w:name="_Toc32727"/>
      <w:bookmarkStart w:id="987" w:name="_Toc4657"/>
      <w:bookmarkStart w:id="988" w:name="_Toc20450"/>
      <w:bookmarkStart w:id="989" w:name="_Toc16715"/>
      <w:bookmarkStart w:id="990" w:name="_Toc14054"/>
      <w:bookmarkStart w:id="991" w:name="_Toc30093"/>
      <w:r>
        <w:rPr>
          <w:rFonts w:hint="eastAsia"/>
          <w:highlight w:val="none"/>
        </w:rPr>
        <w:t>高处作业管理要求：</w:t>
      </w:r>
      <w:bookmarkEnd w:id="985"/>
      <w:bookmarkEnd w:id="986"/>
      <w:bookmarkEnd w:id="987"/>
      <w:bookmarkEnd w:id="988"/>
      <w:bookmarkEnd w:id="989"/>
      <w:bookmarkEnd w:id="990"/>
      <w:bookmarkEnd w:id="991"/>
    </w:p>
    <w:p w14:paraId="03CEDE49">
      <w:pPr>
        <w:ind w:firstLine="480"/>
        <w:rPr>
          <w:rFonts w:hint="eastAsia"/>
          <w:highlight w:val="none"/>
        </w:rPr>
      </w:pPr>
      <w:r>
        <w:rPr>
          <w:rFonts w:hint="eastAsia"/>
          <w:highlight w:val="none"/>
        </w:rPr>
        <w:t>（1）为保证劳动防护用品的质量，总承包人应对劳动防护用品进行“集中采购、统一管理”。对于批量采购的劳动防护用品，承包人应报监理验收，并按照不低于2%的比例进行现场性能试验，并做好验收及试验记录。</w:t>
      </w:r>
    </w:p>
    <w:p w14:paraId="32325A7B">
      <w:pPr>
        <w:ind w:firstLine="480"/>
        <w:rPr>
          <w:rFonts w:hint="eastAsia"/>
          <w:highlight w:val="none"/>
        </w:rPr>
      </w:pPr>
      <w:r>
        <w:rPr>
          <w:rFonts w:hint="eastAsia"/>
          <w:highlight w:val="none"/>
        </w:rPr>
        <w:t>（2）现场所有登高作业平台含人字梯经验收挂牌后方可投入使用，禁止使用自制单边木制梯、马凳等，总承包人应采用市场上成熟的定型化登高作业平台或工具。操作平台须采用成品铝合金操作平台、定型化登高操作平台、定型化人字梯等。</w:t>
      </w:r>
    </w:p>
    <w:p w14:paraId="50C5F0DB">
      <w:pPr>
        <w:ind w:firstLine="480"/>
        <w:rPr>
          <w:rFonts w:hint="eastAsia"/>
          <w:highlight w:val="none"/>
        </w:rPr>
      </w:pPr>
      <w:r>
        <w:rPr>
          <w:rFonts w:hint="eastAsia"/>
          <w:highlight w:val="none"/>
        </w:rPr>
        <w:t>（3）高处作业人员应配备符合相关国家标准的五点式双大钩安全带。</w:t>
      </w:r>
    </w:p>
    <w:p w14:paraId="54B5E909">
      <w:pPr>
        <w:pStyle w:val="3"/>
        <w:numPr>
          <w:ilvl w:val="1"/>
          <w:numId w:val="13"/>
        </w:numPr>
        <w:rPr>
          <w:rFonts w:hint="eastAsia"/>
          <w:highlight w:val="none"/>
        </w:rPr>
      </w:pPr>
      <w:bookmarkStart w:id="992" w:name="_Toc13629"/>
      <w:bookmarkStart w:id="993" w:name="_Toc4040"/>
      <w:bookmarkStart w:id="994" w:name="_Toc21667"/>
      <w:bookmarkStart w:id="995" w:name="_Toc22395"/>
      <w:bookmarkStart w:id="996" w:name="_Toc23530"/>
      <w:bookmarkStart w:id="997" w:name="_Toc19468"/>
      <w:bookmarkStart w:id="998" w:name="_Toc20781"/>
      <w:r>
        <w:rPr>
          <w:rFonts w:hint="eastAsia"/>
          <w:highlight w:val="none"/>
        </w:rPr>
        <w:t>脚手架工程管理要求：</w:t>
      </w:r>
      <w:bookmarkEnd w:id="992"/>
      <w:bookmarkEnd w:id="993"/>
      <w:bookmarkEnd w:id="994"/>
      <w:bookmarkEnd w:id="995"/>
      <w:bookmarkEnd w:id="996"/>
      <w:bookmarkEnd w:id="997"/>
      <w:bookmarkEnd w:id="998"/>
    </w:p>
    <w:p w14:paraId="61B9D230">
      <w:pPr>
        <w:ind w:firstLine="480"/>
        <w:rPr>
          <w:rFonts w:hint="eastAsia"/>
          <w:highlight w:val="none"/>
        </w:rPr>
      </w:pPr>
      <w:r>
        <w:rPr>
          <w:rFonts w:hint="eastAsia"/>
          <w:highlight w:val="none"/>
        </w:rPr>
        <w:t>（1）在搭设模板支持体系时应同步搭设结构临边、预留洞口、吊料口、流水断面等临边防护措施并作为架体验收前置条件，高支模体系应在内部至少设置一道水平兜网；涉及到后浇带的应独立搭设并在模板支撑方案中予以明确。</w:t>
      </w:r>
    </w:p>
    <w:p w14:paraId="30C16610">
      <w:pPr>
        <w:ind w:firstLine="480"/>
        <w:rPr>
          <w:rFonts w:hint="eastAsia"/>
          <w:highlight w:val="none"/>
        </w:rPr>
      </w:pPr>
      <w:r>
        <w:rPr>
          <w:rFonts w:hint="eastAsia"/>
          <w:highlight w:val="none"/>
        </w:rPr>
        <w:t>（2）吊篮安拆工应按要求持证上岗，吊篮内作业人员应经过关于吊篮使用的专业培训，并经考核合格后由吊篮租赁单位颁发吊篮作业操作证件。</w:t>
      </w:r>
    </w:p>
    <w:p w14:paraId="06753980">
      <w:pPr>
        <w:ind w:firstLine="480"/>
        <w:rPr>
          <w:rFonts w:hint="eastAsia"/>
          <w:highlight w:val="none"/>
        </w:rPr>
      </w:pPr>
      <w:r>
        <w:rPr>
          <w:rFonts w:hint="eastAsia"/>
          <w:highlight w:val="none"/>
        </w:rPr>
        <w:t>（3）安拆工应按要求持证上岗，除投入使用前需做第三方检测外，检测报告报监理核查备案。</w:t>
      </w:r>
    </w:p>
    <w:p w14:paraId="5A2B9421">
      <w:pPr>
        <w:pStyle w:val="3"/>
        <w:numPr>
          <w:ilvl w:val="1"/>
          <w:numId w:val="13"/>
        </w:numPr>
        <w:rPr>
          <w:rFonts w:hint="eastAsia"/>
          <w:highlight w:val="none"/>
        </w:rPr>
      </w:pPr>
      <w:bookmarkStart w:id="999" w:name="_Toc17464"/>
      <w:bookmarkStart w:id="1000" w:name="_Toc21598"/>
      <w:bookmarkStart w:id="1001" w:name="_Toc11159"/>
      <w:bookmarkStart w:id="1002" w:name="_Toc9302"/>
      <w:bookmarkStart w:id="1003" w:name="_Toc18524"/>
      <w:bookmarkStart w:id="1004" w:name="_Toc32580"/>
      <w:bookmarkStart w:id="1005" w:name="_Toc1443"/>
      <w:r>
        <w:rPr>
          <w:rFonts w:hint="eastAsia"/>
          <w:highlight w:val="none"/>
        </w:rPr>
        <w:t>办公生活区管理</w:t>
      </w:r>
      <w:bookmarkEnd w:id="999"/>
      <w:bookmarkEnd w:id="1000"/>
      <w:bookmarkEnd w:id="1001"/>
      <w:bookmarkEnd w:id="1002"/>
      <w:bookmarkEnd w:id="1003"/>
      <w:bookmarkEnd w:id="1004"/>
      <w:bookmarkEnd w:id="1005"/>
    </w:p>
    <w:p w14:paraId="54DE8B68">
      <w:pPr>
        <w:ind w:firstLine="480"/>
        <w:rPr>
          <w:rFonts w:hint="eastAsia"/>
          <w:highlight w:val="none"/>
        </w:rPr>
      </w:pPr>
      <w:r>
        <w:rPr>
          <w:rFonts w:hint="eastAsia"/>
          <w:highlight w:val="none"/>
        </w:rPr>
        <w:t>禁止在红线内设置生活区，在办公生活区搭设前需上报施工方案至监理人审批，生活区要求除应严格遵守《建设工程施工现场安全技术规范（GB50720-2011）》和《施工现场临时建筑物技术规范（JGJ/T188-2009）》外，另须在电气安全、消防安全和治安保卫方面落实以下要求：</w:t>
      </w:r>
    </w:p>
    <w:p w14:paraId="7896F151">
      <w:pPr>
        <w:ind w:firstLine="480"/>
        <w:rPr>
          <w:rFonts w:hint="eastAsia"/>
          <w:highlight w:val="none"/>
        </w:rPr>
      </w:pPr>
      <w:r>
        <w:rPr>
          <w:rFonts w:hint="eastAsia"/>
          <w:highlight w:val="none"/>
        </w:rPr>
        <w:t>（1）所有工人宿舍内按床位配置USB接口，宿舍内采用安全电压照明；</w:t>
      </w:r>
    </w:p>
    <w:p w14:paraId="51B496C7">
      <w:pPr>
        <w:ind w:firstLine="480"/>
        <w:rPr>
          <w:rFonts w:hint="eastAsia"/>
          <w:highlight w:val="none"/>
        </w:rPr>
      </w:pPr>
      <w:r>
        <w:rPr>
          <w:rFonts w:hint="eastAsia"/>
          <w:highlight w:val="none"/>
        </w:rPr>
        <w:t>（2）工人生活区除食堂和空调用电外一律采用安全低压供电系统，其中空调应采用专用线路取电和空调专用插座；</w:t>
      </w:r>
    </w:p>
    <w:p w14:paraId="18092EEE">
      <w:pPr>
        <w:ind w:firstLine="480"/>
        <w:rPr>
          <w:rFonts w:hint="eastAsia"/>
          <w:highlight w:val="none"/>
        </w:rPr>
      </w:pPr>
      <w:r>
        <w:rPr>
          <w:rFonts w:hint="eastAsia"/>
          <w:highlight w:val="none"/>
        </w:rPr>
        <w:t>（3）如有需要工人生活区内可设置集中取电区域（220V/380V）用于手持电动工具充电和使用电吹风等以满足必要的生活和工作用电，但必须配备好消防设施。电动车集中停放、充电区域应与宿舍、厨房等区域保持足够的安全距离，严禁随意停放和私拉电源充电；</w:t>
      </w:r>
    </w:p>
    <w:p w14:paraId="335A23BF">
      <w:pPr>
        <w:ind w:firstLine="480"/>
        <w:rPr>
          <w:rFonts w:hint="eastAsia"/>
          <w:highlight w:val="none"/>
        </w:rPr>
      </w:pPr>
      <w:r>
        <w:rPr>
          <w:rFonts w:hint="eastAsia"/>
          <w:highlight w:val="none"/>
        </w:rPr>
        <w:t>（4）食堂使用的各类厨具均应为电厨具，例如电热灶具、电蒸箱等。食堂不得使用采用可产生明火的厨具，包括使用液化气、生物油、醇基液体燃料等作为热源的厨具。</w:t>
      </w:r>
    </w:p>
    <w:p w14:paraId="241A3493">
      <w:pPr>
        <w:ind w:firstLine="480"/>
        <w:rPr>
          <w:rFonts w:hint="eastAsia"/>
          <w:highlight w:val="none"/>
        </w:rPr>
      </w:pPr>
      <w:r>
        <w:rPr>
          <w:rFonts w:hint="eastAsia"/>
          <w:highlight w:val="none"/>
        </w:rPr>
        <w:t>（5）总承包人单位必须指派专人负责生活区的管理，每天进行巡查并形成记录。</w:t>
      </w:r>
    </w:p>
    <w:p w14:paraId="1C5FAB3E">
      <w:pPr>
        <w:ind w:firstLine="480"/>
        <w:rPr>
          <w:rFonts w:hint="eastAsia"/>
          <w:highlight w:val="none"/>
        </w:rPr>
      </w:pPr>
      <w:r>
        <w:rPr>
          <w:rFonts w:hint="eastAsia"/>
          <w:highlight w:val="none"/>
        </w:rPr>
        <w:t>（6）现场搭设库房前须编制方案报监理审批后方可实施，后续专业承包单位进场需要搭设库房时，总承包人应结合项目施工需求划定专门的区域供专业承包单位搭设库房，库房应至少满足以下要求：</w:t>
      </w:r>
    </w:p>
    <w:p w14:paraId="1D393A13">
      <w:pPr>
        <w:ind w:firstLine="480"/>
        <w:rPr>
          <w:rFonts w:hint="eastAsia"/>
          <w:highlight w:val="none"/>
        </w:rPr>
      </w:pPr>
      <w:r>
        <w:rPr>
          <w:rFonts w:hint="eastAsia"/>
          <w:highlight w:val="none"/>
        </w:rPr>
        <w:t>（7）实行库房样板管理，搭设完成后组织验收，验收通过后方可投入使用，并作为后期库房搭设的样板。</w:t>
      </w:r>
    </w:p>
    <w:p w14:paraId="3775A87F">
      <w:pPr>
        <w:ind w:firstLine="480"/>
        <w:rPr>
          <w:rFonts w:hint="eastAsia"/>
          <w:highlight w:val="none"/>
        </w:rPr>
      </w:pPr>
      <w:r>
        <w:rPr>
          <w:rFonts w:hint="eastAsia"/>
          <w:highlight w:val="none"/>
        </w:rPr>
        <w:t>美观坚固、安全环保，满足国家及地方有关标准要求，消防防火、通风排烟、应急照明、卫生防疫、防盗保卫等安全措施完善</w:t>
      </w:r>
    </w:p>
    <w:p w14:paraId="37CDCF74">
      <w:pPr>
        <w:ind w:firstLine="480"/>
        <w:rPr>
          <w:rFonts w:hint="eastAsia"/>
          <w:highlight w:val="none"/>
        </w:rPr>
      </w:pPr>
      <w:r>
        <w:rPr>
          <w:rFonts w:hint="eastAsia"/>
          <w:highlight w:val="none"/>
        </w:rPr>
        <w:t>（8）工人生活区主出入口应设置门禁系统和岗亭，保安24小时值守。</w:t>
      </w:r>
    </w:p>
    <w:p w14:paraId="6D9C5B45">
      <w:pPr>
        <w:pStyle w:val="3"/>
        <w:numPr>
          <w:ilvl w:val="1"/>
          <w:numId w:val="13"/>
        </w:numPr>
        <w:rPr>
          <w:rFonts w:hint="eastAsia"/>
          <w:highlight w:val="none"/>
        </w:rPr>
      </w:pPr>
      <w:bookmarkStart w:id="1006" w:name="_Toc16195"/>
      <w:bookmarkStart w:id="1007" w:name="_Toc26206"/>
      <w:bookmarkStart w:id="1008" w:name="_Toc18671"/>
      <w:bookmarkStart w:id="1009" w:name="_Toc22394"/>
      <w:bookmarkStart w:id="1010" w:name="_Toc180"/>
      <w:bookmarkStart w:id="1011" w:name="_Toc20497"/>
      <w:bookmarkStart w:id="1012" w:name="_Toc13010"/>
      <w:r>
        <w:rPr>
          <w:rFonts w:hint="eastAsia"/>
          <w:highlight w:val="none"/>
        </w:rPr>
        <w:t>专项管理要求</w:t>
      </w:r>
      <w:bookmarkEnd w:id="1006"/>
      <w:bookmarkEnd w:id="1007"/>
      <w:bookmarkEnd w:id="1008"/>
      <w:bookmarkEnd w:id="1009"/>
      <w:bookmarkEnd w:id="1010"/>
      <w:bookmarkEnd w:id="1011"/>
      <w:bookmarkEnd w:id="1012"/>
    </w:p>
    <w:p w14:paraId="226666DF">
      <w:pPr>
        <w:pStyle w:val="4"/>
        <w:numPr>
          <w:ilvl w:val="2"/>
          <w:numId w:val="13"/>
        </w:numPr>
        <w:rPr>
          <w:rFonts w:hint="eastAsia"/>
          <w:highlight w:val="none"/>
        </w:rPr>
      </w:pPr>
      <w:r>
        <w:rPr>
          <w:rFonts w:hint="eastAsia"/>
          <w:highlight w:val="none"/>
        </w:rPr>
        <w:t>安全样板管理要求：本工程安全有关的设施设备应先经样板评审通过后方可大面积推广实施，相关费用请投标时一并考虑，总承包人在进行场坪规划时应划定区域作为安全样板展示区，可纳入质量样板区，要求面积不低于400㎡或一个楼层，外脚手架、模板支撑体系样板可直接选用现场某一区域的脚手架、模板支持体系作为实体样板。安全样板区内应预留一定区域供后续专业承包单位进场后使用。</w:t>
      </w:r>
    </w:p>
    <w:p w14:paraId="4D8535C7">
      <w:pPr>
        <w:pStyle w:val="4"/>
        <w:numPr>
          <w:ilvl w:val="2"/>
          <w:numId w:val="13"/>
        </w:numPr>
        <w:rPr>
          <w:rFonts w:hint="eastAsia" w:cs="Arial"/>
          <w:bCs/>
          <w:highlight w:val="none"/>
        </w:rPr>
      </w:pPr>
      <w:r>
        <w:rPr>
          <w:rFonts w:hint="eastAsia"/>
          <w:highlight w:val="none"/>
        </w:rPr>
        <w:t>安全体验区要求：本工程要求总承包人在进行场坪规划和安全策划时，应设置成品集成式安全体验区用于对工人进行实景化体验式安全教育，安全体验区内应至少包括安全帽撞击、安全带坠落、洞口坠落、综合用电、平衡木、移动平台、劳保用品展示区、VR体验馆等项目，相关费用包含在安措费内。</w:t>
      </w:r>
    </w:p>
    <w:p w14:paraId="0A6CF90D">
      <w:pPr>
        <w:pStyle w:val="4"/>
        <w:numPr>
          <w:ilvl w:val="2"/>
          <w:numId w:val="13"/>
        </w:numPr>
        <w:rPr>
          <w:rFonts w:hint="eastAsia"/>
          <w:highlight w:val="none"/>
        </w:rPr>
      </w:pPr>
      <w:r>
        <w:rPr>
          <w:rFonts w:hint="eastAsia"/>
          <w:highlight w:val="none"/>
        </w:rPr>
        <w:t>安全检查</w:t>
      </w:r>
    </w:p>
    <w:p w14:paraId="119B0E77">
      <w:pPr>
        <w:widowControl/>
        <w:ind w:firstLine="480"/>
        <w:jc w:val="left"/>
        <w:rPr>
          <w:rFonts w:hint="eastAsia"/>
          <w:highlight w:val="none"/>
        </w:rPr>
      </w:pPr>
      <w:r>
        <w:rPr>
          <w:rFonts w:hint="eastAsia"/>
          <w:highlight w:val="none"/>
        </w:rPr>
        <w:t>发包人将根据不同施工阶段进行安全监督检查与考核，检查标准参见附件</w:t>
      </w:r>
      <w:r>
        <w:rPr>
          <w:rFonts w:hint="eastAsia"/>
          <w:b/>
          <w:bCs/>
          <w:highlight w:val="none"/>
        </w:rPr>
        <w:t>《【附件B-6】安全监督检查与考核表》，</w:t>
      </w:r>
      <w:r>
        <w:rPr>
          <w:rFonts w:hint="eastAsia"/>
          <w:highlight w:val="none"/>
        </w:rPr>
        <w:t>总承包人如检查分数低于70分或发现总承包人有</w:t>
      </w:r>
      <w:r>
        <w:rPr>
          <w:rFonts w:cs="宋体"/>
          <w:kern w:val="0"/>
          <w:highlight w:val="none"/>
        </w:rPr>
        <w:t>违反住建部《房屋市政工程生产安全重大事故隐患判定标准》及发包方制定的重大事故隐患判定标准的</w:t>
      </w:r>
      <w:r>
        <w:rPr>
          <w:rFonts w:hint="eastAsia" w:cs="宋体"/>
          <w:kern w:val="0"/>
          <w:highlight w:val="none"/>
        </w:rPr>
        <w:t>，根据隐患程度，将按照合同条款进行违约</w:t>
      </w:r>
      <w:r>
        <w:rPr>
          <w:rFonts w:hint="eastAsia"/>
          <w:highlight w:val="none"/>
        </w:rPr>
        <w:t>处罚。</w:t>
      </w:r>
    </w:p>
    <w:p w14:paraId="04869B30">
      <w:pPr>
        <w:ind w:firstLine="480"/>
        <w:rPr>
          <w:rFonts w:hint="eastAsia"/>
          <w:highlight w:val="none"/>
        </w:rPr>
      </w:pPr>
      <w:bookmarkStart w:id="1013" w:name="_Toc520245584"/>
      <w:bookmarkEnd w:id="1013"/>
      <w:bookmarkStart w:id="1014" w:name="_Toc520245704"/>
      <w:bookmarkEnd w:id="1014"/>
      <w:bookmarkStart w:id="1015" w:name="_Toc520245798"/>
      <w:bookmarkEnd w:id="1015"/>
      <w:bookmarkStart w:id="1016" w:name="_Toc520245455"/>
      <w:bookmarkEnd w:id="1016"/>
      <w:bookmarkStart w:id="1017" w:name="_Toc520244996"/>
      <w:bookmarkEnd w:id="1017"/>
      <w:bookmarkStart w:id="1018" w:name="_Toc520245594"/>
      <w:bookmarkEnd w:id="1018"/>
      <w:bookmarkStart w:id="1019" w:name="_Toc520245800"/>
      <w:bookmarkEnd w:id="1019"/>
      <w:bookmarkStart w:id="1020" w:name="_Toc520245121"/>
      <w:bookmarkEnd w:id="1020"/>
      <w:bookmarkStart w:id="1021" w:name="_Toc520245644"/>
      <w:bookmarkEnd w:id="1021"/>
      <w:bookmarkStart w:id="1022" w:name="_Toc520245171"/>
      <w:bookmarkEnd w:id="1022"/>
      <w:bookmarkStart w:id="1023" w:name="_Toc520244842"/>
      <w:bookmarkEnd w:id="1023"/>
      <w:bookmarkStart w:id="1024" w:name="_Toc520245428"/>
      <w:bookmarkEnd w:id="1024"/>
      <w:bookmarkStart w:id="1025" w:name="_Toc520245071"/>
      <w:bookmarkEnd w:id="1025"/>
      <w:bookmarkStart w:id="1026" w:name="_Toc520244773"/>
      <w:bookmarkEnd w:id="1026"/>
      <w:bookmarkStart w:id="1027" w:name="_Toc520245794"/>
      <w:bookmarkEnd w:id="1027"/>
      <w:bookmarkStart w:id="1028" w:name="_Toc520244827"/>
      <w:bookmarkEnd w:id="1028"/>
      <w:bookmarkStart w:id="1029" w:name="_Toc520244800"/>
      <w:bookmarkEnd w:id="1029"/>
      <w:bookmarkStart w:id="1030" w:name="_Toc520245769"/>
      <w:bookmarkEnd w:id="1030"/>
      <w:bookmarkStart w:id="1031" w:name="_Toc520245170"/>
      <w:bookmarkEnd w:id="1031"/>
      <w:bookmarkStart w:id="1032" w:name="_Toc520245460"/>
      <w:bookmarkEnd w:id="1032"/>
      <w:bookmarkStart w:id="1033" w:name="_Toc520245061"/>
      <w:bookmarkEnd w:id="1033"/>
      <w:bookmarkStart w:id="1034" w:name="_Toc520245659"/>
      <w:bookmarkEnd w:id="1034"/>
      <w:bookmarkStart w:id="1035" w:name="_Toc520245614"/>
      <w:bookmarkEnd w:id="1035"/>
      <w:bookmarkStart w:id="1036" w:name="_Toc520245036"/>
      <w:bookmarkEnd w:id="1036"/>
      <w:bookmarkStart w:id="1037" w:name="_Toc520245021"/>
      <w:bookmarkEnd w:id="1037"/>
      <w:bookmarkStart w:id="1038" w:name="_Toc520245026"/>
      <w:bookmarkEnd w:id="1038"/>
      <w:bookmarkStart w:id="1039" w:name="_Toc520244904"/>
      <w:bookmarkEnd w:id="1039"/>
      <w:bookmarkStart w:id="1040" w:name="_Toc520245739"/>
      <w:bookmarkEnd w:id="1040"/>
      <w:bookmarkStart w:id="1041" w:name="_Toc520245166"/>
      <w:bookmarkEnd w:id="1041"/>
      <w:bookmarkStart w:id="1042" w:name="_Toc520245500"/>
      <w:bookmarkEnd w:id="1042"/>
      <w:bookmarkStart w:id="1043" w:name="_Toc520244814"/>
      <w:bookmarkEnd w:id="1043"/>
      <w:bookmarkStart w:id="1044" w:name="_Toc520245174"/>
      <w:bookmarkEnd w:id="1044"/>
      <w:bookmarkStart w:id="1045" w:name="_Toc520244936"/>
      <w:bookmarkEnd w:id="1045"/>
      <w:bookmarkStart w:id="1046" w:name="_Toc520245096"/>
      <w:bookmarkEnd w:id="1046"/>
      <w:bookmarkStart w:id="1047" w:name="_Toc520244816"/>
      <w:bookmarkEnd w:id="1047"/>
      <w:bookmarkStart w:id="1048" w:name="_Toc520245649"/>
      <w:bookmarkEnd w:id="1048"/>
      <w:bookmarkStart w:id="1049" w:name="_Toc520245505"/>
      <w:bookmarkEnd w:id="1049"/>
      <w:bookmarkStart w:id="1050" w:name="_Toc520245016"/>
      <w:bookmarkEnd w:id="1050"/>
      <w:bookmarkStart w:id="1051" w:name="_Toc520245554"/>
      <w:bookmarkEnd w:id="1051"/>
      <w:bookmarkStart w:id="1052" w:name="_Toc520245510"/>
      <w:bookmarkEnd w:id="1052"/>
      <w:bookmarkStart w:id="1053" w:name="_Toc520245056"/>
      <w:bookmarkEnd w:id="1053"/>
      <w:bookmarkStart w:id="1054" w:name="_Toc520245734"/>
      <w:bookmarkEnd w:id="1054"/>
      <w:bookmarkStart w:id="1055" w:name="_Toc520245729"/>
      <w:bookmarkEnd w:id="1055"/>
      <w:bookmarkStart w:id="1056" w:name="_Toc520245664"/>
      <w:bookmarkEnd w:id="1056"/>
      <w:bookmarkStart w:id="1057" w:name="_Toc520245569"/>
      <w:bookmarkEnd w:id="1057"/>
      <w:bookmarkStart w:id="1058" w:name="_Toc520244815"/>
      <w:bookmarkEnd w:id="1058"/>
      <w:bookmarkStart w:id="1059" w:name="_Toc520245609"/>
      <w:bookmarkEnd w:id="1059"/>
      <w:bookmarkStart w:id="1060" w:name="_Toc520245749"/>
      <w:bookmarkEnd w:id="1060"/>
      <w:bookmarkStart w:id="1061" w:name="_Toc520245383"/>
      <w:bookmarkEnd w:id="1061"/>
      <w:bookmarkStart w:id="1062" w:name="_Toc520245168"/>
      <w:bookmarkEnd w:id="1062"/>
      <w:bookmarkStart w:id="1063" w:name="_Toc520245433"/>
      <w:bookmarkEnd w:id="1063"/>
      <w:bookmarkStart w:id="1064" w:name="_Toc520245669"/>
      <w:bookmarkEnd w:id="1064"/>
      <w:bookmarkStart w:id="1065" w:name="_Toc520245041"/>
      <w:bookmarkEnd w:id="1065"/>
      <w:bookmarkStart w:id="1066" w:name="_Toc520244986"/>
      <w:bookmarkEnd w:id="1066"/>
      <w:bookmarkStart w:id="1067" w:name="_Toc520244981"/>
      <w:bookmarkEnd w:id="1067"/>
      <w:bookmarkStart w:id="1068" w:name="_Toc520245784"/>
      <w:bookmarkEnd w:id="1068"/>
      <w:bookmarkStart w:id="1069" w:name="_Toc520245161"/>
      <w:bookmarkEnd w:id="1069"/>
      <w:bookmarkStart w:id="1070" w:name="_Toc520244926"/>
      <w:bookmarkEnd w:id="1070"/>
      <w:bookmarkStart w:id="1071" w:name="_Toc520245564"/>
      <w:bookmarkEnd w:id="1071"/>
      <w:bookmarkStart w:id="1072" w:name="_Toc520245111"/>
      <w:bookmarkEnd w:id="1072"/>
      <w:bookmarkStart w:id="1073" w:name="_Toc520245172"/>
      <w:bookmarkEnd w:id="1073"/>
      <w:bookmarkStart w:id="1074" w:name="_Toc520245619"/>
      <w:bookmarkEnd w:id="1074"/>
      <w:bookmarkStart w:id="1075" w:name="_Toc520245046"/>
      <w:bookmarkEnd w:id="1075"/>
      <w:bookmarkStart w:id="1076" w:name="_Toc520245442"/>
      <w:bookmarkEnd w:id="1076"/>
      <w:bookmarkStart w:id="1077" w:name="_Toc520245156"/>
      <w:bookmarkEnd w:id="1077"/>
      <w:bookmarkStart w:id="1078" w:name="_Toc520245719"/>
      <w:bookmarkEnd w:id="1078"/>
      <w:bookmarkStart w:id="1079" w:name="_Toc520244991"/>
      <w:bookmarkEnd w:id="1079"/>
      <w:bookmarkStart w:id="1080" w:name="_Toc520245495"/>
      <w:bookmarkEnd w:id="1080"/>
      <w:bookmarkStart w:id="1081" w:name="_Toc520244872"/>
      <w:bookmarkEnd w:id="1081"/>
      <w:bookmarkStart w:id="1082" w:name="_Toc520245639"/>
      <w:bookmarkEnd w:id="1082"/>
      <w:bookmarkStart w:id="1083" w:name="_Toc520245709"/>
      <w:bookmarkEnd w:id="1083"/>
      <w:bookmarkStart w:id="1084" w:name="_Toc520244941"/>
      <w:bookmarkEnd w:id="1084"/>
      <w:bookmarkStart w:id="1085" w:name="_Toc520245031"/>
      <w:bookmarkEnd w:id="1085"/>
      <w:bookmarkStart w:id="1086" w:name="_Toc520245525"/>
      <w:bookmarkEnd w:id="1086"/>
      <w:bookmarkStart w:id="1087" w:name="_Toc520245579"/>
      <w:bookmarkEnd w:id="1087"/>
      <w:bookmarkStart w:id="1088" w:name="_Toc520245136"/>
      <w:bookmarkEnd w:id="1088"/>
      <w:bookmarkStart w:id="1089" w:name="_Toc520245076"/>
      <w:bookmarkEnd w:id="1089"/>
      <w:bookmarkStart w:id="1090" w:name="_Toc520244832"/>
      <w:bookmarkEnd w:id="1090"/>
      <w:bookmarkStart w:id="1091" w:name="_Toc520245001"/>
      <w:bookmarkEnd w:id="1091"/>
      <w:bookmarkStart w:id="1092" w:name="_Toc520244966"/>
      <w:bookmarkEnd w:id="1092"/>
      <w:bookmarkStart w:id="1093" w:name="_Toc520245470"/>
      <w:bookmarkEnd w:id="1093"/>
      <w:bookmarkStart w:id="1094" w:name="_Toc520244805"/>
      <w:bookmarkEnd w:id="1094"/>
      <w:bookmarkStart w:id="1095" w:name="_Toc520245081"/>
      <w:bookmarkEnd w:id="1095"/>
      <w:bookmarkStart w:id="1096" w:name="_Toc520245684"/>
      <w:bookmarkEnd w:id="1096"/>
      <w:bookmarkStart w:id="1097" w:name="_Toc520245416"/>
      <w:bookmarkEnd w:id="1097"/>
      <w:bookmarkStart w:id="1098" w:name="_Toc520244931"/>
      <w:bookmarkEnd w:id="1098"/>
      <w:bookmarkStart w:id="1099" w:name="_Toc520245101"/>
      <w:bookmarkEnd w:id="1099"/>
      <w:bookmarkStart w:id="1100" w:name="_Toc520245167"/>
      <w:bookmarkEnd w:id="1100"/>
      <w:bookmarkStart w:id="1101" w:name="_Toc520245131"/>
      <w:bookmarkEnd w:id="1101"/>
      <w:bookmarkStart w:id="1102" w:name="_Toc520244756"/>
      <w:bookmarkEnd w:id="1102"/>
      <w:bookmarkStart w:id="1103" w:name="_Toc520244862"/>
      <w:bookmarkEnd w:id="1103"/>
      <w:bookmarkStart w:id="1104" w:name="_Toc520245106"/>
      <w:bookmarkEnd w:id="1104"/>
      <w:bookmarkStart w:id="1105" w:name="_Toc520245539"/>
      <w:bookmarkEnd w:id="1105"/>
      <w:bookmarkStart w:id="1106" w:name="_Toc520245006"/>
      <w:bookmarkEnd w:id="1106"/>
      <w:bookmarkStart w:id="1107" w:name="_Toc520245801"/>
      <w:bookmarkEnd w:id="1107"/>
      <w:bookmarkStart w:id="1108" w:name="_Toc520244788"/>
      <w:bookmarkEnd w:id="1108"/>
      <w:bookmarkStart w:id="1109" w:name="_Toc520244795"/>
      <w:bookmarkEnd w:id="1109"/>
      <w:bookmarkStart w:id="1110" w:name="_Toc520245396"/>
      <w:bookmarkEnd w:id="1110"/>
      <w:bookmarkStart w:id="1111" w:name="_Toc520245544"/>
      <w:bookmarkEnd w:id="1111"/>
      <w:bookmarkStart w:id="1112" w:name="_Toc520245490"/>
      <w:bookmarkEnd w:id="1112"/>
      <w:bookmarkStart w:id="1113" w:name="_Toc520245799"/>
      <w:bookmarkEnd w:id="1113"/>
      <w:bookmarkStart w:id="1114" w:name="_Toc520244976"/>
      <w:bookmarkEnd w:id="1114"/>
      <w:bookmarkStart w:id="1115" w:name="_Toc520245679"/>
      <w:bookmarkEnd w:id="1115"/>
      <w:bookmarkStart w:id="1116" w:name="_Toc520244757"/>
      <w:bookmarkEnd w:id="1116"/>
      <w:bookmarkStart w:id="1117" w:name="_Toc520245141"/>
      <w:bookmarkEnd w:id="1117"/>
      <w:bookmarkStart w:id="1118" w:name="_Toc520245796"/>
      <w:bookmarkEnd w:id="1118"/>
      <w:bookmarkStart w:id="1119" w:name="_Toc520244897"/>
      <w:bookmarkEnd w:id="1119"/>
      <w:bookmarkStart w:id="1120" w:name="_Toc520245385"/>
      <w:bookmarkEnd w:id="1120"/>
      <w:bookmarkStart w:id="1121" w:name="_Toc520244783"/>
      <w:bookmarkEnd w:id="1121"/>
      <w:bookmarkStart w:id="1122" w:name="_Toc520244882"/>
      <w:bookmarkEnd w:id="1122"/>
      <w:bookmarkStart w:id="1123" w:name="_Toc520245480"/>
      <w:bookmarkEnd w:id="1123"/>
      <w:bookmarkStart w:id="1124" w:name="_Toc520245589"/>
      <w:bookmarkEnd w:id="1124"/>
      <w:bookmarkStart w:id="1125" w:name="_Toc520244837"/>
      <w:bookmarkEnd w:id="1125"/>
      <w:bookmarkStart w:id="1126" w:name="_Toc520244951"/>
      <w:bookmarkEnd w:id="1126"/>
      <w:bookmarkStart w:id="1127" w:name="_Toc520245724"/>
      <w:bookmarkEnd w:id="1127"/>
      <w:bookmarkStart w:id="1128" w:name="_Toc520245654"/>
      <w:bookmarkEnd w:id="1128"/>
      <w:bookmarkStart w:id="1129" w:name="_Toc520245624"/>
      <w:bookmarkEnd w:id="1129"/>
      <w:bookmarkStart w:id="1130" w:name="_Toc520244971"/>
      <w:bookmarkEnd w:id="1130"/>
      <w:bookmarkStart w:id="1131" w:name="_Toc520245411"/>
      <w:bookmarkEnd w:id="1131"/>
      <w:bookmarkStart w:id="1132" w:name="_Toc520245444"/>
      <w:bookmarkEnd w:id="1132"/>
      <w:bookmarkStart w:id="1133" w:name="_Toc520245051"/>
      <w:bookmarkEnd w:id="1133"/>
      <w:bookmarkStart w:id="1134" w:name="_Toc520245789"/>
      <w:bookmarkEnd w:id="1134"/>
      <w:bookmarkStart w:id="1135" w:name="_Toc520245634"/>
      <w:bookmarkEnd w:id="1135"/>
      <w:bookmarkStart w:id="1136" w:name="_Toc520245438"/>
      <w:bookmarkEnd w:id="1136"/>
      <w:bookmarkStart w:id="1137" w:name="_Toc520245384"/>
      <w:bookmarkEnd w:id="1137"/>
      <w:bookmarkStart w:id="1138" w:name="_Toc520245694"/>
      <w:bookmarkEnd w:id="1138"/>
      <w:bookmarkStart w:id="1139" w:name="_Toc520245774"/>
      <w:bookmarkEnd w:id="1139"/>
      <w:bookmarkStart w:id="1140" w:name="_Toc520245759"/>
      <w:bookmarkEnd w:id="1140"/>
      <w:bookmarkStart w:id="1141" w:name="_Toc520244956"/>
      <w:bookmarkEnd w:id="1141"/>
      <w:bookmarkStart w:id="1142" w:name="_Toc520244961"/>
      <w:bookmarkEnd w:id="1142"/>
      <w:bookmarkStart w:id="1143" w:name="_Toc520245797"/>
      <w:bookmarkEnd w:id="1143"/>
      <w:bookmarkStart w:id="1144" w:name="_Toc520244852"/>
      <w:bookmarkEnd w:id="1144"/>
      <w:bookmarkStart w:id="1145" w:name="_Toc520244887"/>
      <w:bookmarkEnd w:id="1145"/>
      <w:bookmarkStart w:id="1146" w:name="_Toc520245091"/>
      <w:bookmarkEnd w:id="1146"/>
      <w:bookmarkStart w:id="1147" w:name="_Toc520245764"/>
      <w:bookmarkEnd w:id="1147"/>
      <w:bookmarkStart w:id="1148" w:name="_Toc520244867"/>
      <w:bookmarkEnd w:id="1148"/>
      <w:bookmarkStart w:id="1149" w:name="_Toc520245443"/>
      <w:bookmarkEnd w:id="1149"/>
      <w:bookmarkStart w:id="1150" w:name="_Toc520245169"/>
      <w:bookmarkEnd w:id="1150"/>
      <w:bookmarkStart w:id="1151" w:name="_Toc520244916"/>
      <w:bookmarkEnd w:id="1151"/>
      <w:bookmarkStart w:id="1152" w:name="_Toc520245532"/>
      <w:bookmarkEnd w:id="1152"/>
      <w:bookmarkStart w:id="1153" w:name="_Toc520245629"/>
      <w:bookmarkEnd w:id="1153"/>
      <w:bookmarkStart w:id="1154" w:name="_Toc520245401"/>
      <w:bookmarkEnd w:id="1154"/>
      <w:bookmarkStart w:id="1155" w:name="_Toc520244921"/>
      <w:bookmarkEnd w:id="1155"/>
      <w:bookmarkStart w:id="1156" w:name="_Toc520245604"/>
      <w:bookmarkEnd w:id="1156"/>
      <w:bookmarkStart w:id="1157" w:name="_Toc520245423"/>
      <w:bookmarkEnd w:id="1157"/>
      <w:bookmarkStart w:id="1158" w:name="_Toc520244911"/>
      <w:bookmarkEnd w:id="1158"/>
      <w:bookmarkStart w:id="1159" w:name="_Toc520245116"/>
      <w:bookmarkEnd w:id="1159"/>
      <w:bookmarkStart w:id="1160" w:name="_Toc520245011"/>
      <w:bookmarkEnd w:id="1160"/>
      <w:bookmarkStart w:id="1161" w:name="_Toc520244877"/>
      <w:bookmarkEnd w:id="1161"/>
      <w:bookmarkStart w:id="1162" w:name="_Toc520245515"/>
      <w:bookmarkEnd w:id="1162"/>
      <w:bookmarkStart w:id="1163" w:name="_Toc520244755"/>
      <w:bookmarkEnd w:id="1163"/>
      <w:bookmarkStart w:id="1164" w:name="_Toc520245802"/>
      <w:bookmarkEnd w:id="1164"/>
      <w:bookmarkStart w:id="1165" w:name="_Toc520245795"/>
      <w:bookmarkEnd w:id="1165"/>
      <w:bookmarkStart w:id="1166" w:name="_Toc520245559"/>
      <w:bookmarkEnd w:id="1166"/>
      <w:bookmarkStart w:id="1167" w:name="_Toc520245744"/>
      <w:bookmarkEnd w:id="1167"/>
      <w:bookmarkStart w:id="1168" w:name="_Toc520245689"/>
      <w:bookmarkEnd w:id="1168"/>
      <w:bookmarkStart w:id="1169" w:name="_Toc520245549"/>
      <w:bookmarkEnd w:id="1169"/>
      <w:bookmarkStart w:id="1170" w:name="_Toc520245173"/>
      <w:bookmarkEnd w:id="1170"/>
      <w:bookmarkStart w:id="1171" w:name="_Toc520245599"/>
      <w:bookmarkEnd w:id="1171"/>
      <w:bookmarkStart w:id="1172" w:name="_Toc520245146"/>
      <w:bookmarkEnd w:id="1172"/>
      <w:bookmarkStart w:id="1173" w:name="_Toc520244768"/>
      <w:bookmarkEnd w:id="1173"/>
      <w:bookmarkStart w:id="1174" w:name="_Toc520244810"/>
      <w:bookmarkEnd w:id="1174"/>
      <w:bookmarkStart w:id="1175" w:name="_Toc520245699"/>
      <w:bookmarkEnd w:id="1175"/>
      <w:bookmarkStart w:id="1176" w:name="_Toc520245465"/>
      <w:bookmarkEnd w:id="1176"/>
      <w:bookmarkStart w:id="1177" w:name="_Toc520245066"/>
      <w:bookmarkEnd w:id="1177"/>
      <w:bookmarkStart w:id="1178" w:name="_Toc520245674"/>
      <w:bookmarkEnd w:id="1178"/>
      <w:bookmarkStart w:id="1179" w:name="_Toc6441"/>
      <w:bookmarkStart w:id="1180" w:name="_Toc169722273"/>
      <w:bookmarkStart w:id="1181" w:name="_Toc13280"/>
      <w:bookmarkStart w:id="1182" w:name="_Toc10942"/>
      <w:bookmarkStart w:id="1183" w:name="_Toc32448"/>
      <w:bookmarkStart w:id="1184" w:name="_Toc6577"/>
      <w:bookmarkStart w:id="1185" w:name="_Toc28635"/>
      <w:bookmarkStart w:id="1186" w:name="_Toc12193"/>
      <w:bookmarkStart w:id="1187" w:name="_Toc8051"/>
      <w:bookmarkStart w:id="1188" w:name="_Toc9348"/>
      <w:r>
        <w:rPr>
          <w:rFonts w:hint="eastAsia"/>
          <w:highlight w:val="none"/>
        </w:rPr>
        <w:br w:type="page"/>
      </w:r>
    </w:p>
    <w:p w14:paraId="3AFC3D81">
      <w:pPr>
        <w:pStyle w:val="2"/>
        <w:numPr>
          <w:ilvl w:val="0"/>
          <w:numId w:val="13"/>
        </w:numPr>
        <w:spacing w:before="120"/>
        <w:rPr>
          <w:rFonts w:hint="eastAsia"/>
          <w:highlight w:val="none"/>
        </w:rPr>
      </w:pPr>
      <w:bookmarkStart w:id="1189" w:name="_Toc2468"/>
      <w:r>
        <w:rPr>
          <w:rFonts w:hint="eastAsia"/>
          <w:highlight w:val="none"/>
        </w:rPr>
        <w:t>附件</w:t>
      </w:r>
      <w:bookmarkEnd w:id="1179"/>
      <w:bookmarkEnd w:id="1180"/>
      <w:bookmarkEnd w:id="1181"/>
      <w:bookmarkEnd w:id="1182"/>
      <w:bookmarkEnd w:id="1183"/>
      <w:bookmarkEnd w:id="1184"/>
      <w:bookmarkEnd w:id="1185"/>
      <w:bookmarkEnd w:id="1186"/>
      <w:bookmarkEnd w:id="1187"/>
      <w:bookmarkEnd w:id="1188"/>
      <w:bookmarkEnd w:id="1189"/>
    </w:p>
    <w:p w14:paraId="7EE1D09D">
      <w:pPr>
        <w:numPr>
          <w:ilvl w:val="0"/>
          <w:numId w:val="172"/>
        </w:numPr>
        <w:ind w:firstLine="480"/>
        <w:rPr>
          <w:rFonts w:hint="eastAsia"/>
          <w:highlight w:val="none"/>
        </w:rPr>
      </w:pPr>
      <w:bookmarkStart w:id="1190" w:name="_Toc490036499"/>
      <w:r>
        <w:rPr>
          <w:rFonts w:hint="eastAsia"/>
          <w:highlight w:val="none"/>
        </w:rPr>
        <w:t>【附件</w:t>
      </w:r>
      <w:r>
        <w:rPr>
          <w:rFonts w:hint="eastAsia"/>
          <w:highlight w:val="none"/>
          <w:lang w:val="en-US" w:eastAsia="zh-CN"/>
        </w:rPr>
        <w:t>A</w:t>
      </w:r>
      <w:r>
        <w:rPr>
          <w:rFonts w:hint="eastAsia"/>
          <w:highlight w:val="none"/>
        </w:rPr>
        <w:t>-1】《广州安居集团保障性住房项目设计巡场管理办法（试行）》</w:t>
      </w:r>
    </w:p>
    <w:p w14:paraId="79D0591F">
      <w:pPr>
        <w:numPr>
          <w:ilvl w:val="0"/>
          <w:numId w:val="172"/>
        </w:numPr>
        <w:ind w:firstLine="480"/>
        <w:rPr>
          <w:rFonts w:hint="eastAsia"/>
          <w:highlight w:val="none"/>
        </w:rPr>
      </w:pPr>
      <w:r>
        <w:rPr>
          <w:rFonts w:hint="eastAsia"/>
          <w:highlight w:val="none"/>
        </w:rPr>
        <w:t>【附件B-1】施工策划评审表</w:t>
      </w:r>
    </w:p>
    <w:p w14:paraId="48F8039B">
      <w:pPr>
        <w:numPr>
          <w:ilvl w:val="0"/>
          <w:numId w:val="172"/>
        </w:numPr>
        <w:ind w:firstLine="480"/>
        <w:rPr>
          <w:rFonts w:hint="eastAsia"/>
          <w:highlight w:val="none"/>
        </w:rPr>
      </w:pPr>
      <w:r>
        <w:rPr>
          <w:rFonts w:hint="eastAsia"/>
          <w:highlight w:val="none"/>
        </w:rPr>
        <w:t>【附件B-2】样板管理清单</w:t>
      </w:r>
    </w:p>
    <w:p w14:paraId="6DAF2932">
      <w:pPr>
        <w:numPr>
          <w:ilvl w:val="0"/>
          <w:numId w:val="172"/>
        </w:numPr>
        <w:ind w:firstLine="480"/>
        <w:rPr>
          <w:rFonts w:hint="eastAsia"/>
          <w:highlight w:val="none"/>
        </w:rPr>
      </w:pPr>
      <w:r>
        <w:rPr>
          <w:rFonts w:hint="eastAsia"/>
          <w:highlight w:val="none"/>
        </w:rPr>
        <w:t>【附件B-3】质量过程检查标准</w:t>
      </w:r>
    </w:p>
    <w:p w14:paraId="73CC65D6">
      <w:pPr>
        <w:numPr>
          <w:ilvl w:val="0"/>
          <w:numId w:val="172"/>
        </w:numPr>
        <w:ind w:firstLine="480"/>
        <w:rPr>
          <w:rFonts w:hint="eastAsia"/>
          <w:highlight w:val="none"/>
        </w:rPr>
      </w:pPr>
      <w:r>
        <w:rPr>
          <w:rFonts w:hint="eastAsia"/>
          <w:highlight w:val="none"/>
        </w:rPr>
        <w:t>【附件B-4】关键工序停止点验收清单</w:t>
      </w:r>
    </w:p>
    <w:p w14:paraId="036BBA8E">
      <w:pPr>
        <w:numPr>
          <w:ilvl w:val="0"/>
          <w:numId w:val="172"/>
        </w:numPr>
        <w:ind w:firstLine="480"/>
        <w:rPr>
          <w:rFonts w:hint="eastAsia"/>
          <w:highlight w:val="none"/>
        </w:rPr>
      </w:pPr>
      <w:r>
        <w:rPr>
          <w:rFonts w:hint="eastAsia"/>
          <w:highlight w:val="none"/>
        </w:rPr>
        <w:t>【附件B-5】安全生产协议书</w:t>
      </w:r>
    </w:p>
    <w:p w14:paraId="56E09E25">
      <w:pPr>
        <w:numPr>
          <w:ilvl w:val="0"/>
          <w:numId w:val="172"/>
        </w:numPr>
        <w:ind w:firstLine="480"/>
        <w:rPr>
          <w:rFonts w:hint="eastAsia"/>
          <w:highlight w:val="none"/>
        </w:rPr>
      </w:pPr>
      <w:r>
        <w:rPr>
          <w:rFonts w:hint="eastAsia"/>
          <w:highlight w:val="none"/>
        </w:rPr>
        <w:t>【附件B-6】安全监督检查与考核表</w:t>
      </w:r>
    </w:p>
    <w:bookmarkEnd w:id="1190"/>
    <w:p w14:paraId="021FD301">
      <w:pPr>
        <w:widowControl/>
        <w:snapToGrid/>
        <w:spacing w:line="240" w:lineRule="auto"/>
        <w:ind w:firstLine="0" w:firstLineChars="0"/>
        <w:jc w:val="left"/>
        <w:rPr>
          <w:rFonts w:hint="eastAsia"/>
          <w:highlight w:val="none"/>
        </w:rPr>
      </w:pPr>
      <w:bookmarkStart w:id="1191" w:name="_Toc520245204"/>
      <w:bookmarkEnd w:id="1191"/>
      <w:bookmarkStart w:id="1192" w:name="_Toc520245831"/>
      <w:bookmarkEnd w:id="1192"/>
    </w:p>
    <w:sectPr>
      <w:headerReference r:id="rId8" w:type="default"/>
      <w:footerReference r:id="rId9" w:type="default"/>
      <w:pgSz w:w="11905" w:h="16838"/>
      <w:pgMar w:top="1429" w:right="1378" w:bottom="1310" w:left="1446" w:header="0" w:footer="1145" w:gutter="0"/>
      <w:cols w:space="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仿宋_GB2312">
    <w:panose1 w:val="02010609030101010101"/>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F26E5">
    <w:pPr>
      <w:tabs>
        <w:tab w:val="center" w:pos="4153"/>
        <w:tab w:val="right" w:pos="8306"/>
      </w:tabs>
      <w:ind w:firstLine="48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sdt>
                          <w:sdtPr>
                            <w:id w:val="147477029"/>
                          </w:sdtPr>
                          <w:sdtContent>
                            <w:p w14:paraId="0BBBC17C">
                              <w:pPr>
                                <w:tabs>
                                  <w:tab w:val="center" w:pos="4153"/>
                                  <w:tab w:val="right" w:pos="8306"/>
                                </w:tabs>
                                <w:ind w:firstLine="480"/>
                                <w:jc w:val="center"/>
                                <w:rPr>
                                  <w:rFonts w:hint="eastAsia"/>
                                </w:rPr>
                              </w:pPr>
                              <w:r>
                                <w:fldChar w:fldCharType="begin"/>
                              </w:r>
                              <w:r>
                                <w:instrText xml:space="preserve">PAGE   \* MERGEFORMAT</w:instrText>
                              </w:r>
                              <w:r>
                                <w:fldChar w:fldCharType="separate"/>
                              </w:r>
                              <w:r>
                                <w:rPr>
                                  <w:lang w:val="zh-CN"/>
                                </w:rPr>
                                <w:t>1</w:t>
                              </w:r>
                              <w:r>
                                <w:rPr>
                                  <w:lang w:val="zh-CN"/>
                                </w:rPr>
                                <w:fldChar w:fldCharType="end"/>
                              </w:r>
                            </w:p>
                          </w:sdtContent>
                        </w:sdt>
                        <w:p w14:paraId="3CFA623A">
                          <w:pPr>
                            <w:ind w:firstLine="480"/>
                            <w:rPr>
                              <w:rFonts w:hint="eastAsia"/>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sitUx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rLIrVMQIAAGUEAAAOAAAAAAAAAAEAIAAAAB8BAABkcnMvZTJvRG9jLnhtbFBLBQYA&#10;AAAABgAGAFkBAADCBQAAAAA=&#10;">
              <v:fill on="f" focussize="0,0"/>
              <v:stroke on="f" weight="0.5pt"/>
              <v:imagedata o:title=""/>
              <o:lock v:ext="edit" aspectratio="f"/>
              <v:textbox inset="0mm,0mm,0mm,0mm" style="mso-fit-shape-to-text:t;">
                <w:txbxContent>
                  <w:sdt>
                    <w:sdtPr>
                      <w:id w:val="147477029"/>
                    </w:sdtPr>
                    <w:sdtContent>
                      <w:p w14:paraId="0BBBC17C">
                        <w:pPr>
                          <w:tabs>
                            <w:tab w:val="center" w:pos="4153"/>
                            <w:tab w:val="right" w:pos="8306"/>
                          </w:tabs>
                          <w:ind w:firstLine="480"/>
                          <w:jc w:val="center"/>
                          <w:rPr>
                            <w:rFonts w:hint="eastAsia"/>
                          </w:rPr>
                        </w:pPr>
                        <w:r>
                          <w:fldChar w:fldCharType="begin"/>
                        </w:r>
                        <w:r>
                          <w:instrText xml:space="preserve">PAGE   \* MERGEFORMAT</w:instrText>
                        </w:r>
                        <w:r>
                          <w:fldChar w:fldCharType="separate"/>
                        </w:r>
                        <w:r>
                          <w:rPr>
                            <w:lang w:val="zh-CN"/>
                          </w:rPr>
                          <w:t>1</w:t>
                        </w:r>
                        <w:r>
                          <w:rPr>
                            <w:lang w:val="zh-CN"/>
                          </w:rPr>
                          <w:fldChar w:fldCharType="end"/>
                        </w:r>
                      </w:p>
                    </w:sdtContent>
                  </w:sdt>
                  <w:p w14:paraId="3CFA623A">
                    <w:pPr>
                      <w:ind w:firstLine="480"/>
                      <w:rPr>
                        <w:rFonts w:hint="eastAsia"/>
                      </w:rPr>
                    </w:pPr>
                  </w:p>
                </w:txbxContent>
              </v:textbox>
            </v:shape>
          </w:pict>
        </mc:Fallback>
      </mc:AlternateContent>
    </w:r>
  </w:p>
  <w:p w14:paraId="75D3D91C">
    <w:pPr>
      <w:spacing w:line="180" w:lineRule="auto"/>
      <w:ind w:firstLine="360"/>
      <w:rPr>
        <w:rFonts w:hint="eastAsia" w:eastAsiaTheme="minorEastAsia"/>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EE7309">
    <w:pPr>
      <w:tabs>
        <w:tab w:val="center" w:pos="4153"/>
        <w:tab w:val="right" w:pos="8306"/>
      </w:tabs>
      <w:spacing w:before="120" w:after="120"/>
      <w:ind w:firstLine="480"/>
      <w:jc w:val="center"/>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C41FDE4">
                          <w:pPr>
                            <w:tabs>
                              <w:tab w:val="center" w:pos="4153"/>
                              <w:tab w:val="right" w:pos="8306"/>
                            </w:tabs>
                            <w:spacing w:before="120" w:after="120"/>
                            <w:ind w:firstLine="480"/>
                            <w:jc w:val="center"/>
                            <w:rPr>
                              <w:rFonts w:hint="eastAsia"/>
                            </w:rPr>
                          </w:pPr>
                          <w:r>
                            <w:fldChar w:fldCharType="begin"/>
                          </w:r>
                          <w:r>
                            <w:instrText xml:space="preserve">PAGE   \* MERGEFORMAT</w:instrText>
                          </w:r>
                          <w:r>
                            <w:fldChar w:fldCharType="separate"/>
                          </w:r>
                          <w:r>
                            <w:rPr>
                              <w:lang w:val="zh-CN"/>
                            </w:rPr>
                            <w:t>116</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FyM8yAgAAZ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cXIzzICAABlBAAADgAAAAAAAAABACAAAAAfAQAAZHJzL2Uyb0RvYy54bWxQSwUG&#10;AAAAAAYABgBZAQAAwwUAAAAA&#10;">
              <v:fill on="f" focussize="0,0"/>
              <v:stroke on="f" weight="0.5pt"/>
              <v:imagedata o:title=""/>
              <o:lock v:ext="edit" aspectratio="f"/>
              <v:textbox inset="0mm,0mm,0mm,0mm" style="mso-fit-shape-to-text:t;">
                <w:txbxContent>
                  <w:p w14:paraId="7C41FDE4">
                    <w:pPr>
                      <w:tabs>
                        <w:tab w:val="center" w:pos="4153"/>
                        <w:tab w:val="right" w:pos="8306"/>
                      </w:tabs>
                      <w:spacing w:before="120" w:after="120"/>
                      <w:ind w:firstLine="480"/>
                      <w:jc w:val="center"/>
                      <w:rPr>
                        <w:rFonts w:hint="eastAsia"/>
                      </w:rPr>
                    </w:pPr>
                    <w:r>
                      <w:fldChar w:fldCharType="begin"/>
                    </w:r>
                    <w:r>
                      <w:instrText xml:space="preserve">PAGE   \* MERGEFORMAT</w:instrText>
                    </w:r>
                    <w:r>
                      <w:fldChar w:fldCharType="separate"/>
                    </w:r>
                    <w:r>
                      <w:rPr>
                        <w:lang w:val="zh-CN"/>
                      </w:rPr>
                      <w:t>116</w:t>
                    </w:r>
                    <w:r>
                      <w:rPr>
                        <w:lang w:val="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AD9C73">
    <w:pPr>
      <w:tabs>
        <w:tab w:val="center" w:pos="4153"/>
        <w:tab w:val="right" w:pos="8306"/>
      </w:tabs>
      <w:ind w:firstLine="48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992" name="文本框 9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7B7F6CF">
                          <w:pPr>
                            <w:tabs>
                              <w:tab w:val="center" w:pos="4153"/>
                              <w:tab w:val="right" w:pos="8306"/>
                            </w:tabs>
                            <w:ind w:firstLine="480"/>
                            <w:jc w:val="center"/>
                            <w:rPr>
                              <w:rFonts w:hint="eastAsia"/>
                            </w:rPr>
                          </w:pPr>
                          <w:r>
                            <w:fldChar w:fldCharType="begin"/>
                          </w:r>
                          <w:r>
                            <w:instrText xml:space="preserve">PAGE   \* MERGEFORMAT</w:instrText>
                          </w:r>
                          <w:r>
                            <w:fldChar w:fldCharType="separate"/>
                          </w:r>
                          <w:r>
                            <w:rPr>
                              <w:lang w:val="zh-CN"/>
                            </w:rPr>
                            <w:t>232</w:t>
                          </w:r>
                          <w:r>
                            <w:rPr>
                              <w:lang w:val="zh-CN"/>
                            </w:rPr>
                            <w:fldChar w:fldCharType="end"/>
                          </w:r>
                        </w:p>
                        <w:p w14:paraId="378423F0">
                          <w:pPr>
                            <w:ind w:firstLine="480"/>
                            <w:rPr>
                              <w:rFonts w:hint="eastAsia"/>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QhI6o0AgAAZwQAAA4AAABkcnMvZTJvRG9jLnhtbK1UzY7TMBC+I/EO&#10;lu80aRGrbt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kISOqNAIAAGcEAAAOAAAAAAAAAAEAIAAAAB8BAABkcnMvZTJvRG9jLnhtbFBL&#10;BQYAAAAABgAGAFkBAADFBQAAAAA=&#10;">
              <v:fill on="f" focussize="0,0"/>
              <v:stroke on="f" weight="0.5pt"/>
              <v:imagedata o:title=""/>
              <o:lock v:ext="edit" aspectratio="f"/>
              <v:textbox inset="0mm,0mm,0mm,0mm" style="mso-fit-shape-to-text:t;">
                <w:txbxContent>
                  <w:p w14:paraId="07B7F6CF">
                    <w:pPr>
                      <w:tabs>
                        <w:tab w:val="center" w:pos="4153"/>
                        <w:tab w:val="right" w:pos="8306"/>
                      </w:tabs>
                      <w:ind w:firstLine="480"/>
                      <w:jc w:val="center"/>
                      <w:rPr>
                        <w:rFonts w:hint="eastAsia"/>
                      </w:rPr>
                    </w:pPr>
                    <w:r>
                      <w:fldChar w:fldCharType="begin"/>
                    </w:r>
                    <w:r>
                      <w:instrText xml:space="preserve">PAGE   \* MERGEFORMAT</w:instrText>
                    </w:r>
                    <w:r>
                      <w:fldChar w:fldCharType="separate"/>
                    </w:r>
                    <w:r>
                      <w:rPr>
                        <w:lang w:val="zh-CN"/>
                      </w:rPr>
                      <w:t>232</w:t>
                    </w:r>
                    <w:r>
                      <w:rPr>
                        <w:lang w:val="zh-CN"/>
                      </w:rPr>
                      <w:fldChar w:fldCharType="end"/>
                    </w:r>
                  </w:p>
                  <w:p w14:paraId="378423F0">
                    <w:pPr>
                      <w:ind w:firstLine="480"/>
                      <w:rPr>
                        <w:rFonts w:hint="eastAsia"/>
                      </w:rPr>
                    </w:pPr>
                  </w:p>
                </w:txbxContent>
              </v:textbox>
            </v:shape>
          </w:pict>
        </mc:Fallback>
      </mc:AlternateContent>
    </w:r>
  </w:p>
  <w:p w14:paraId="1657D4F3">
    <w:pPr>
      <w:tabs>
        <w:tab w:val="center" w:pos="4153"/>
        <w:tab w:val="right" w:pos="8306"/>
      </w:tabs>
      <w:ind w:firstLine="480"/>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E9C6BB">
    <w:pPr>
      <w:tabs>
        <w:tab w:val="center" w:pos="4153"/>
        <w:tab w:val="right" w:pos="8306"/>
      </w:tabs>
      <w:spacing w:before="120" w:after="120"/>
      <w:ind w:firstLine="480"/>
      <w:jc w:val="right"/>
      <w:rPr>
        <w:rFonts w:hint="eastAsia"/>
      </w:rPr>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7D183A">
    <w:pPr>
      <w:tabs>
        <w:tab w:val="center" w:pos="4153"/>
        <w:tab w:val="right" w:pos="8306"/>
      </w:tabs>
      <w:ind w:firstLine="48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BB230F"/>
    <w:multiLevelType w:val="multilevel"/>
    <w:tmpl w:val="87BB230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
    <w:nsid w:val="9D281490"/>
    <w:multiLevelType w:val="multilevel"/>
    <w:tmpl w:val="9D281490"/>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
    <w:nsid w:val="A4374ABC"/>
    <w:multiLevelType w:val="singleLevel"/>
    <w:tmpl w:val="A4374ABC"/>
    <w:lvl w:ilvl="0" w:tentative="0">
      <w:start w:val="1"/>
      <w:numFmt w:val="decimal"/>
      <w:lvlText w:val="%1)"/>
      <w:lvlJc w:val="left"/>
      <w:pPr>
        <w:ind w:left="905" w:hanging="425"/>
      </w:pPr>
      <w:rPr>
        <w:rFonts w:hint="default" w:cs="Times New Roman"/>
      </w:rPr>
    </w:lvl>
  </w:abstractNum>
  <w:abstractNum w:abstractNumId="3">
    <w:nsid w:val="A56F51C6"/>
    <w:multiLevelType w:val="multilevel"/>
    <w:tmpl w:val="A56F51C6"/>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
    <w:nsid w:val="AF8F39B0"/>
    <w:multiLevelType w:val="multilevel"/>
    <w:tmpl w:val="AF8F39B0"/>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5">
    <w:nsid w:val="B00C55F7"/>
    <w:multiLevelType w:val="multilevel"/>
    <w:tmpl w:val="B00C55F7"/>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6">
    <w:nsid w:val="BCA0B179"/>
    <w:multiLevelType w:val="singleLevel"/>
    <w:tmpl w:val="BCA0B179"/>
    <w:lvl w:ilvl="0" w:tentative="0">
      <w:start w:val="12"/>
      <w:numFmt w:val="decimal"/>
      <w:suff w:val="nothing"/>
      <w:lvlText w:val="（%1）"/>
      <w:lvlJc w:val="left"/>
      <w:rPr>
        <w:rFonts w:cs="Times New Roman"/>
      </w:rPr>
    </w:lvl>
  </w:abstractNum>
  <w:abstractNum w:abstractNumId="7">
    <w:nsid w:val="BFCE3821"/>
    <w:multiLevelType w:val="singleLevel"/>
    <w:tmpl w:val="BFCE3821"/>
    <w:lvl w:ilvl="0" w:tentative="0">
      <w:start w:val="1"/>
      <w:numFmt w:val="decimal"/>
      <w:suff w:val="nothing"/>
      <w:lvlText w:val="(%1)"/>
      <w:lvlJc w:val="left"/>
      <w:rPr>
        <w:rFonts w:hint="default" w:cs="Times New Roman"/>
      </w:rPr>
    </w:lvl>
  </w:abstractNum>
  <w:abstractNum w:abstractNumId="8">
    <w:nsid w:val="BFDECD27"/>
    <w:multiLevelType w:val="singleLevel"/>
    <w:tmpl w:val="BFDECD27"/>
    <w:lvl w:ilvl="0" w:tentative="0">
      <w:start w:val="1"/>
      <w:numFmt w:val="decimal"/>
      <w:suff w:val="nothing"/>
      <w:lvlText w:val="%1、"/>
      <w:lvlJc w:val="left"/>
      <w:rPr>
        <w:rFonts w:cs="Times New Roman"/>
      </w:rPr>
    </w:lvl>
  </w:abstractNum>
  <w:abstractNum w:abstractNumId="9">
    <w:nsid w:val="C7661832"/>
    <w:multiLevelType w:val="multilevel"/>
    <w:tmpl w:val="C7661832"/>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0">
    <w:nsid w:val="CB879E5A"/>
    <w:multiLevelType w:val="multilevel"/>
    <w:tmpl w:val="CB879E5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
    <w:nsid w:val="CC9C17C1"/>
    <w:multiLevelType w:val="multilevel"/>
    <w:tmpl w:val="CC9C17C1"/>
    <w:lvl w:ilvl="0" w:tentative="0">
      <w:start w:val="1"/>
      <w:numFmt w:val="decimal"/>
      <w:lvlText w:val="%1)"/>
      <w:lvlJc w:val="left"/>
      <w:pPr>
        <w:tabs>
          <w:tab w:val="left" w:pos="-2520"/>
        </w:tabs>
        <w:ind w:left="310" w:hanging="420"/>
      </w:pPr>
    </w:lvl>
    <w:lvl w:ilvl="1" w:tentative="0">
      <w:start w:val="1"/>
      <w:numFmt w:val="lowerLetter"/>
      <w:lvlText w:val="%2)"/>
      <w:lvlJc w:val="left"/>
      <w:pPr>
        <w:tabs>
          <w:tab w:val="left" w:pos="-2520"/>
        </w:tabs>
        <w:ind w:left="730" w:hanging="420"/>
      </w:pPr>
    </w:lvl>
    <w:lvl w:ilvl="2" w:tentative="0">
      <w:start w:val="1"/>
      <w:numFmt w:val="lowerRoman"/>
      <w:lvlText w:val="%3."/>
      <w:lvlJc w:val="right"/>
      <w:pPr>
        <w:tabs>
          <w:tab w:val="left" w:pos="-2520"/>
        </w:tabs>
        <w:ind w:left="1150" w:hanging="420"/>
      </w:pPr>
    </w:lvl>
    <w:lvl w:ilvl="3" w:tentative="0">
      <w:start w:val="1"/>
      <w:numFmt w:val="decimal"/>
      <w:lvlText w:val="%4."/>
      <w:lvlJc w:val="left"/>
      <w:pPr>
        <w:tabs>
          <w:tab w:val="left" w:pos="-2520"/>
        </w:tabs>
        <w:ind w:left="1570" w:hanging="420"/>
      </w:pPr>
    </w:lvl>
    <w:lvl w:ilvl="4" w:tentative="0">
      <w:start w:val="1"/>
      <w:numFmt w:val="lowerLetter"/>
      <w:lvlText w:val="%5)"/>
      <w:lvlJc w:val="left"/>
      <w:pPr>
        <w:tabs>
          <w:tab w:val="left" w:pos="-2520"/>
        </w:tabs>
        <w:ind w:left="1990" w:hanging="420"/>
      </w:pPr>
    </w:lvl>
    <w:lvl w:ilvl="5" w:tentative="0">
      <w:start w:val="1"/>
      <w:numFmt w:val="lowerRoman"/>
      <w:lvlText w:val="%6."/>
      <w:lvlJc w:val="right"/>
      <w:pPr>
        <w:tabs>
          <w:tab w:val="left" w:pos="-2520"/>
        </w:tabs>
        <w:ind w:left="2410" w:hanging="420"/>
      </w:pPr>
    </w:lvl>
    <w:lvl w:ilvl="6" w:tentative="0">
      <w:start w:val="1"/>
      <w:numFmt w:val="decimal"/>
      <w:lvlText w:val="%7."/>
      <w:lvlJc w:val="left"/>
      <w:pPr>
        <w:tabs>
          <w:tab w:val="left" w:pos="-2520"/>
        </w:tabs>
        <w:ind w:left="2830" w:hanging="420"/>
      </w:pPr>
    </w:lvl>
    <w:lvl w:ilvl="7" w:tentative="0">
      <w:start w:val="1"/>
      <w:numFmt w:val="lowerLetter"/>
      <w:lvlText w:val="%8)"/>
      <w:lvlJc w:val="left"/>
      <w:pPr>
        <w:tabs>
          <w:tab w:val="left" w:pos="-2520"/>
        </w:tabs>
        <w:ind w:left="3250" w:hanging="420"/>
      </w:pPr>
    </w:lvl>
    <w:lvl w:ilvl="8" w:tentative="0">
      <w:start w:val="1"/>
      <w:numFmt w:val="lowerRoman"/>
      <w:lvlText w:val="%9."/>
      <w:lvlJc w:val="right"/>
      <w:pPr>
        <w:tabs>
          <w:tab w:val="left" w:pos="-2520"/>
        </w:tabs>
        <w:ind w:left="3670" w:hanging="420"/>
      </w:pPr>
    </w:lvl>
  </w:abstractNum>
  <w:abstractNum w:abstractNumId="12">
    <w:nsid w:val="D09244C0"/>
    <w:multiLevelType w:val="multilevel"/>
    <w:tmpl w:val="D09244C0"/>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3">
    <w:nsid w:val="D1A42E09"/>
    <w:multiLevelType w:val="multilevel"/>
    <w:tmpl w:val="D1A42E0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4">
    <w:nsid w:val="D320FD27"/>
    <w:multiLevelType w:val="multilevel"/>
    <w:tmpl w:val="D320FD27"/>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5">
    <w:nsid w:val="D6311D0B"/>
    <w:multiLevelType w:val="multilevel"/>
    <w:tmpl w:val="D6311D0B"/>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6">
    <w:nsid w:val="DA85E536"/>
    <w:multiLevelType w:val="multilevel"/>
    <w:tmpl w:val="DA85E536"/>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17">
    <w:nsid w:val="DCBA8C70"/>
    <w:multiLevelType w:val="multilevel"/>
    <w:tmpl w:val="DCBA8C70"/>
    <w:lvl w:ilvl="0" w:tentative="0">
      <w:start w:val="1"/>
      <w:numFmt w:val="chineseCounting"/>
      <w:pStyle w:val="2"/>
      <w:suff w:val="space"/>
      <w:lvlText w:val="%1、"/>
      <w:lvlJc w:val="left"/>
      <w:pPr>
        <w:tabs>
          <w:tab w:val="left" w:pos="0"/>
        </w:tabs>
        <w:ind w:left="432" w:hanging="432"/>
      </w:pPr>
      <w:rPr>
        <w:rFonts w:hint="eastAsia" w:ascii="宋体" w:hAnsi="宋体" w:eastAsia="宋体" w:cs="宋体"/>
      </w:rPr>
    </w:lvl>
    <w:lvl w:ilvl="1" w:tentative="0">
      <w:start w:val="1"/>
      <w:numFmt w:val="decimal"/>
      <w:pStyle w:val="3"/>
      <w:isLgl/>
      <w:suff w:val="space"/>
      <w:lvlText w:val="%1.%2"/>
      <w:lvlJc w:val="left"/>
      <w:pPr>
        <w:tabs>
          <w:tab w:val="left" w:pos="420"/>
        </w:tabs>
        <w:ind w:left="575" w:hanging="575"/>
      </w:pPr>
      <w:rPr>
        <w:rFonts w:hint="eastAsia"/>
      </w:rPr>
    </w:lvl>
    <w:lvl w:ilvl="2" w:tentative="0">
      <w:start w:val="1"/>
      <w:numFmt w:val="decimal"/>
      <w:pStyle w:val="4"/>
      <w:isLgl/>
      <w:suff w:val="space"/>
      <w:lvlText w:val="%1.%2.%3"/>
      <w:lvlJc w:val="left"/>
      <w:pPr>
        <w:tabs>
          <w:tab w:val="left" w:pos="420"/>
        </w:tabs>
        <w:ind w:left="720" w:hanging="720"/>
      </w:pPr>
      <w:rPr>
        <w:rFonts w:hint="eastAsia"/>
      </w:rPr>
    </w:lvl>
    <w:lvl w:ilvl="3" w:tentative="0">
      <w:start w:val="1"/>
      <w:numFmt w:val="decimal"/>
      <w:pStyle w:val="5"/>
      <w:isLgl/>
      <w:suff w:val="space"/>
      <w:lvlText w:val="%1.%2.%3.%4"/>
      <w:lvlJc w:val="left"/>
      <w:pPr>
        <w:tabs>
          <w:tab w:val="left" w:pos="420"/>
        </w:tabs>
        <w:ind w:left="1117" w:hanging="864"/>
      </w:pPr>
      <w:rPr>
        <w:rFonts w:hint="eastAsia"/>
      </w:rPr>
    </w:lvl>
    <w:lvl w:ilvl="4" w:tentative="0">
      <w:start w:val="1"/>
      <w:numFmt w:val="decimal"/>
      <w:pStyle w:val="6"/>
      <w:isLgl/>
      <w:suff w:val="space"/>
      <w:lvlText w:val="%1.%2.%3.%4.%5"/>
      <w:lvlJc w:val="left"/>
      <w:pPr>
        <w:tabs>
          <w:tab w:val="left" w:pos="420"/>
        </w:tabs>
        <w:ind w:left="1008" w:hanging="1008"/>
      </w:pPr>
      <w:rPr>
        <w:rFonts w:hint="eastAsia"/>
      </w:rPr>
    </w:lvl>
    <w:lvl w:ilvl="5" w:tentative="0">
      <w:start w:val="1"/>
      <w:numFmt w:val="decimal"/>
      <w:pStyle w:val="7"/>
      <w:isLgl/>
      <w:lvlText w:val="%1.%2.%3.%4.%5.%6."/>
      <w:lvlJc w:val="left"/>
      <w:pPr>
        <w:ind w:left="1151" w:hanging="1151"/>
      </w:pPr>
      <w:rPr>
        <w:rFonts w:hint="eastAsia"/>
      </w:rPr>
    </w:lvl>
    <w:lvl w:ilvl="6" w:tentative="0">
      <w:start w:val="1"/>
      <w:numFmt w:val="decimal"/>
      <w:pStyle w:val="8"/>
      <w:isLgl/>
      <w:lvlText w:val="%1.%2.%3.%4.%5.%6.%7."/>
      <w:lvlJc w:val="left"/>
      <w:pPr>
        <w:ind w:left="1296" w:hanging="1296"/>
      </w:pPr>
      <w:rPr>
        <w:rFonts w:hint="eastAsia"/>
      </w:rPr>
    </w:lvl>
    <w:lvl w:ilvl="7" w:tentative="0">
      <w:start w:val="1"/>
      <w:numFmt w:val="decimal"/>
      <w:pStyle w:val="9"/>
      <w:isLgl/>
      <w:lvlText w:val="%1.%2.%3.%4.%5.%6.%7.%8."/>
      <w:lvlJc w:val="left"/>
      <w:pPr>
        <w:ind w:left="1440" w:hanging="1440"/>
      </w:pPr>
      <w:rPr>
        <w:rFonts w:hint="eastAsia"/>
      </w:rPr>
    </w:lvl>
    <w:lvl w:ilvl="8" w:tentative="0">
      <w:start w:val="1"/>
      <w:numFmt w:val="decimal"/>
      <w:pStyle w:val="10"/>
      <w:isLgl/>
      <w:lvlText w:val="%1.%2.%3.%4.%5.%6.%7.%8.%9."/>
      <w:lvlJc w:val="left"/>
      <w:pPr>
        <w:ind w:left="1583" w:hanging="1583"/>
      </w:pPr>
      <w:rPr>
        <w:rFonts w:hint="eastAsia"/>
      </w:rPr>
    </w:lvl>
  </w:abstractNum>
  <w:abstractNum w:abstractNumId="18">
    <w:nsid w:val="DD9B97C5"/>
    <w:multiLevelType w:val="multilevel"/>
    <w:tmpl w:val="DD9B97C5"/>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19">
    <w:nsid w:val="E0C23BFD"/>
    <w:multiLevelType w:val="multilevel"/>
    <w:tmpl w:val="E0C23BFD"/>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0">
    <w:nsid w:val="E19F11E6"/>
    <w:multiLevelType w:val="singleLevel"/>
    <w:tmpl w:val="E19F11E6"/>
    <w:lvl w:ilvl="0" w:tentative="0">
      <w:start w:val="1"/>
      <w:numFmt w:val="decimal"/>
      <w:suff w:val="nothing"/>
      <w:lvlText w:val="（%1）"/>
      <w:lvlJc w:val="left"/>
    </w:lvl>
  </w:abstractNum>
  <w:abstractNum w:abstractNumId="21">
    <w:nsid w:val="EF8EB219"/>
    <w:multiLevelType w:val="singleLevel"/>
    <w:tmpl w:val="EF8EB219"/>
    <w:lvl w:ilvl="0" w:tentative="0">
      <w:start w:val="1"/>
      <w:numFmt w:val="decimal"/>
      <w:suff w:val="nothing"/>
      <w:lvlText w:val="（%1）"/>
      <w:lvlJc w:val="left"/>
    </w:lvl>
  </w:abstractNum>
  <w:abstractNum w:abstractNumId="22">
    <w:nsid w:val="F71CF7F8"/>
    <w:multiLevelType w:val="multilevel"/>
    <w:tmpl w:val="F71CF7F8"/>
    <w:lvl w:ilvl="0" w:tentative="0">
      <w:start w:val="1"/>
      <w:numFmt w:val="decimal"/>
      <w:lvlText w:val="%1)"/>
      <w:lvlJc w:val="left"/>
      <w:pPr>
        <w:tabs>
          <w:tab w:val="left" w:pos="-2520"/>
        </w:tabs>
        <w:ind w:left="310" w:hanging="420"/>
      </w:pPr>
    </w:lvl>
    <w:lvl w:ilvl="1" w:tentative="0">
      <w:start w:val="1"/>
      <w:numFmt w:val="lowerLetter"/>
      <w:lvlText w:val="%2)"/>
      <w:lvlJc w:val="left"/>
      <w:pPr>
        <w:tabs>
          <w:tab w:val="left" w:pos="-2520"/>
        </w:tabs>
        <w:ind w:left="730" w:hanging="420"/>
      </w:pPr>
    </w:lvl>
    <w:lvl w:ilvl="2" w:tentative="0">
      <w:start w:val="1"/>
      <w:numFmt w:val="lowerRoman"/>
      <w:lvlText w:val="%3."/>
      <w:lvlJc w:val="right"/>
      <w:pPr>
        <w:tabs>
          <w:tab w:val="left" w:pos="-2520"/>
        </w:tabs>
        <w:ind w:left="1150" w:hanging="420"/>
      </w:pPr>
    </w:lvl>
    <w:lvl w:ilvl="3" w:tentative="0">
      <w:start w:val="1"/>
      <w:numFmt w:val="decimal"/>
      <w:lvlText w:val="%4."/>
      <w:lvlJc w:val="left"/>
      <w:pPr>
        <w:tabs>
          <w:tab w:val="left" w:pos="-2520"/>
        </w:tabs>
        <w:ind w:left="1570" w:hanging="420"/>
      </w:pPr>
    </w:lvl>
    <w:lvl w:ilvl="4" w:tentative="0">
      <w:start w:val="1"/>
      <w:numFmt w:val="lowerLetter"/>
      <w:lvlText w:val="%5)"/>
      <w:lvlJc w:val="left"/>
      <w:pPr>
        <w:tabs>
          <w:tab w:val="left" w:pos="-2520"/>
        </w:tabs>
        <w:ind w:left="1990" w:hanging="420"/>
      </w:pPr>
    </w:lvl>
    <w:lvl w:ilvl="5" w:tentative="0">
      <w:start w:val="1"/>
      <w:numFmt w:val="lowerRoman"/>
      <w:lvlText w:val="%6."/>
      <w:lvlJc w:val="right"/>
      <w:pPr>
        <w:tabs>
          <w:tab w:val="left" w:pos="-2520"/>
        </w:tabs>
        <w:ind w:left="2410" w:hanging="420"/>
      </w:pPr>
    </w:lvl>
    <w:lvl w:ilvl="6" w:tentative="0">
      <w:start w:val="1"/>
      <w:numFmt w:val="decimal"/>
      <w:lvlText w:val="%7."/>
      <w:lvlJc w:val="left"/>
      <w:pPr>
        <w:tabs>
          <w:tab w:val="left" w:pos="-2520"/>
        </w:tabs>
        <w:ind w:left="2830" w:hanging="420"/>
      </w:pPr>
    </w:lvl>
    <w:lvl w:ilvl="7" w:tentative="0">
      <w:start w:val="1"/>
      <w:numFmt w:val="lowerLetter"/>
      <w:lvlText w:val="%8)"/>
      <w:lvlJc w:val="left"/>
      <w:pPr>
        <w:tabs>
          <w:tab w:val="left" w:pos="-2520"/>
        </w:tabs>
        <w:ind w:left="3250" w:hanging="420"/>
      </w:pPr>
    </w:lvl>
    <w:lvl w:ilvl="8" w:tentative="0">
      <w:start w:val="1"/>
      <w:numFmt w:val="lowerRoman"/>
      <w:lvlText w:val="%9."/>
      <w:lvlJc w:val="right"/>
      <w:pPr>
        <w:tabs>
          <w:tab w:val="left" w:pos="-2520"/>
        </w:tabs>
        <w:ind w:left="3670" w:hanging="420"/>
      </w:pPr>
    </w:lvl>
  </w:abstractNum>
  <w:abstractNum w:abstractNumId="23">
    <w:nsid w:val="F80AC57F"/>
    <w:multiLevelType w:val="multilevel"/>
    <w:tmpl w:val="F80AC57F"/>
    <w:lvl w:ilvl="0" w:tentative="0">
      <w:start w:val="1"/>
      <w:numFmt w:val="decimal"/>
      <w:lvlText w:val="%1)"/>
      <w:lvlJc w:val="left"/>
      <w:pPr>
        <w:tabs>
          <w:tab w:val="left" w:pos="-2520"/>
        </w:tabs>
        <w:ind w:left="310" w:hanging="420"/>
      </w:pPr>
    </w:lvl>
    <w:lvl w:ilvl="1" w:tentative="0">
      <w:start w:val="1"/>
      <w:numFmt w:val="lowerLetter"/>
      <w:lvlText w:val="%2)"/>
      <w:lvlJc w:val="left"/>
      <w:pPr>
        <w:tabs>
          <w:tab w:val="left" w:pos="-2520"/>
        </w:tabs>
        <w:ind w:left="730" w:hanging="420"/>
      </w:pPr>
    </w:lvl>
    <w:lvl w:ilvl="2" w:tentative="0">
      <w:start w:val="1"/>
      <w:numFmt w:val="lowerRoman"/>
      <w:lvlText w:val="%3."/>
      <w:lvlJc w:val="right"/>
      <w:pPr>
        <w:tabs>
          <w:tab w:val="left" w:pos="-2520"/>
        </w:tabs>
        <w:ind w:left="1150" w:hanging="420"/>
      </w:pPr>
    </w:lvl>
    <w:lvl w:ilvl="3" w:tentative="0">
      <w:start w:val="1"/>
      <w:numFmt w:val="decimal"/>
      <w:lvlText w:val="%4."/>
      <w:lvlJc w:val="left"/>
      <w:pPr>
        <w:tabs>
          <w:tab w:val="left" w:pos="-2520"/>
        </w:tabs>
        <w:ind w:left="1570" w:hanging="420"/>
      </w:pPr>
    </w:lvl>
    <w:lvl w:ilvl="4" w:tentative="0">
      <w:start w:val="1"/>
      <w:numFmt w:val="lowerLetter"/>
      <w:lvlText w:val="%5)"/>
      <w:lvlJc w:val="left"/>
      <w:pPr>
        <w:tabs>
          <w:tab w:val="left" w:pos="-2520"/>
        </w:tabs>
        <w:ind w:left="1990" w:hanging="420"/>
      </w:pPr>
    </w:lvl>
    <w:lvl w:ilvl="5" w:tentative="0">
      <w:start w:val="1"/>
      <w:numFmt w:val="lowerRoman"/>
      <w:lvlText w:val="%6."/>
      <w:lvlJc w:val="right"/>
      <w:pPr>
        <w:tabs>
          <w:tab w:val="left" w:pos="-2520"/>
        </w:tabs>
        <w:ind w:left="2410" w:hanging="420"/>
      </w:pPr>
    </w:lvl>
    <w:lvl w:ilvl="6" w:tentative="0">
      <w:start w:val="1"/>
      <w:numFmt w:val="decimal"/>
      <w:lvlText w:val="%7."/>
      <w:lvlJc w:val="left"/>
      <w:pPr>
        <w:tabs>
          <w:tab w:val="left" w:pos="-2520"/>
        </w:tabs>
        <w:ind w:left="2830" w:hanging="420"/>
      </w:pPr>
    </w:lvl>
    <w:lvl w:ilvl="7" w:tentative="0">
      <w:start w:val="1"/>
      <w:numFmt w:val="lowerLetter"/>
      <w:lvlText w:val="%8)"/>
      <w:lvlJc w:val="left"/>
      <w:pPr>
        <w:tabs>
          <w:tab w:val="left" w:pos="-2520"/>
        </w:tabs>
        <w:ind w:left="3250" w:hanging="420"/>
      </w:pPr>
    </w:lvl>
    <w:lvl w:ilvl="8" w:tentative="0">
      <w:start w:val="1"/>
      <w:numFmt w:val="lowerRoman"/>
      <w:lvlText w:val="%9."/>
      <w:lvlJc w:val="right"/>
      <w:pPr>
        <w:tabs>
          <w:tab w:val="left" w:pos="-2520"/>
        </w:tabs>
        <w:ind w:left="3670" w:hanging="420"/>
      </w:pPr>
    </w:lvl>
  </w:abstractNum>
  <w:abstractNum w:abstractNumId="24">
    <w:nsid w:val="000032B3"/>
    <w:multiLevelType w:val="multilevel"/>
    <w:tmpl w:val="000032B3"/>
    <w:lvl w:ilvl="0" w:tentative="0">
      <w:start w:val="1"/>
      <w:numFmt w:val="lowerLetter"/>
      <w:lvlText w:val="%1)"/>
      <w:lvlJc w:val="left"/>
      <w:pPr>
        <w:ind w:left="1320" w:hanging="420"/>
      </w:pPr>
      <w:rPr>
        <w:rFonts w:hint="eastAsia" w:cs="Times New Roman"/>
      </w:rPr>
    </w:lvl>
    <w:lvl w:ilvl="1" w:tentative="0">
      <w:start w:val="1"/>
      <w:numFmt w:val="lowerLetter"/>
      <w:lvlText w:val="%2)"/>
      <w:lvlJc w:val="left"/>
      <w:pPr>
        <w:ind w:left="-506" w:hanging="420"/>
      </w:pPr>
    </w:lvl>
    <w:lvl w:ilvl="2" w:tentative="0">
      <w:start w:val="1"/>
      <w:numFmt w:val="lowerRoman"/>
      <w:lvlText w:val="%3."/>
      <w:lvlJc w:val="right"/>
      <w:pPr>
        <w:ind w:left="-86" w:hanging="420"/>
      </w:pPr>
    </w:lvl>
    <w:lvl w:ilvl="3" w:tentative="0">
      <w:start w:val="1"/>
      <w:numFmt w:val="decimal"/>
      <w:lvlText w:val="%4."/>
      <w:lvlJc w:val="left"/>
      <w:pPr>
        <w:ind w:left="334" w:hanging="420"/>
      </w:pPr>
    </w:lvl>
    <w:lvl w:ilvl="4" w:tentative="0">
      <w:start w:val="1"/>
      <w:numFmt w:val="lowerLetter"/>
      <w:lvlText w:val="%5)"/>
      <w:lvlJc w:val="left"/>
      <w:pPr>
        <w:ind w:left="754" w:hanging="420"/>
      </w:pPr>
    </w:lvl>
    <w:lvl w:ilvl="5" w:tentative="0">
      <w:start w:val="1"/>
      <w:numFmt w:val="lowerRoman"/>
      <w:lvlText w:val="%6."/>
      <w:lvlJc w:val="right"/>
      <w:pPr>
        <w:ind w:left="1174" w:hanging="420"/>
      </w:pPr>
    </w:lvl>
    <w:lvl w:ilvl="6" w:tentative="0">
      <w:start w:val="1"/>
      <w:numFmt w:val="decimal"/>
      <w:lvlText w:val="%7."/>
      <w:lvlJc w:val="left"/>
      <w:pPr>
        <w:ind w:left="1594" w:hanging="420"/>
      </w:pPr>
    </w:lvl>
    <w:lvl w:ilvl="7" w:tentative="0">
      <w:start w:val="1"/>
      <w:numFmt w:val="lowerLetter"/>
      <w:lvlText w:val="%8)"/>
      <w:lvlJc w:val="left"/>
      <w:pPr>
        <w:ind w:left="2014" w:hanging="420"/>
      </w:pPr>
    </w:lvl>
    <w:lvl w:ilvl="8" w:tentative="0">
      <w:start w:val="1"/>
      <w:numFmt w:val="lowerRoman"/>
      <w:lvlText w:val="%9."/>
      <w:lvlJc w:val="right"/>
      <w:pPr>
        <w:ind w:left="2434" w:hanging="420"/>
      </w:pPr>
    </w:lvl>
  </w:abstractNum>
  <w:abstractNum w:abstractNumId="25">
    <w:nsid w:val="01734D39"/>
    <w:multiLevelType w:val="multilevel"/>
    <w:tmpl w:val="01734D3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color w:val="auto"/>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6">
    <w:nsid w:val="02465FA9"/>
    <w:multiLevelType w:val="multilevel"/>
    <w:tmpl w:val="02465FA9"/>
    <w:lvl w:ilvl="0" w:tentative="0">
      <w:start w:val="1"/>
      <w:numFmt w:val="decimal"/>
      <w:suff w:val="space"/>
      <w:lvlText w:val="%1）"/>
      <w:lvlJc w:val="right"/>
      <w:pPr>
        <w:ind w:left="420" w:hanging="420"/>
      </w:pPr>
      <w:rPr>
        <w:rFonts w:hint="eastAsia"/>
      </w:rPr>
    </w:lvl>
    <w:lvl w:ilvl="1" w:tentative="0">
      <w:start w:val="1"/>
      <w:numFmt w:val="lowerLetter"/>
      <w:lvlText w:val="%2)"/>
      <w:lvlJc w:val="left"/>
      <w:pPr>
        <w:ind w:left="1407" w:hanging="420"/>
      </w:pPr>
    </w:lvl>
    <w:lvl w:ilvl="2" w:tentative="0">
      <w:start w:val="1"/>
      <w:numFmt w:val="lowerRoman"/>
      <w:lvlText w:val="%3."/>
      <w:lvlJc w:val="right"/>
      <w:pPr>
        <w:ind w:left="1827" w:hanging="420"/>
      </w:pPr>
    </w:lvl>
    <w:lvl w:ilvl="3" w:tentative="0">
      <w:start w:val="1"/>
      <w:numFmt w:val="decimal"/>
      <w:lvlText w:val="%4."/>
      <w:lvlJc w:val="left"/>
      <w:pPr>
        <w:ind w:left="2247" w:hanging="420"/>
      </w:pPr>
    </w:lvl>
    <w:lvl w:ilvl="4" w:tentative="0">
      <w:start w:val="1"/>
      <w:numFmt w:val="lowerLetter"/>
      <w:lvlText w:val="%5)"/>
      <w:lvlJc w:val="left"/>
      <w:pPr>
        <w:ind w:left="2667" w:hanging="420"/>
      </w:pPr>
    </w:lvl>
    <w:lvl w:ilvl="5" w:tentative="0">
      <w:start w:val="1"/>
      <w:numFmt w:val="lowerRoman"/>
      <w:lvlText w:val="%6."/>
      <w:lvlJc w:val="right"/>
      <w:pPr>
        <w:ind w:left="3087" w:hanging="420"/>
      </w:pPr>
    </w:lvl>
    <w:lvl w:ilvl="6" w:tentative="0">
      <w:start w:val="1"/>
      <w:numFmt w:val="decimal"/>
      <w:lvlText w:val="%7."/>
      <w:lvlJc w:val="left"/>
      <w:pPr>
        <w:ind w:left="3507" w:hanging="420"/>
      </w:pPr>
    </w:lvl>
    <w:lvl w:ilvl="7" w:tentative="0">
      <w:start w:val="1"/>
      <w:numFmt w:val="lowerLetter"/>
      <w:lvlText w:val="%8)"/>
      <w:lvlJc w:val="left"/>
      <w:pPr>
        <w:ind w:left="3927" w:hanging="420"/>
      </w:pPr>
    </w:lvl>
    <w:lvl w:ilvl="8" w:tentative="0">
      <w:start w:val="1"/>
      <w:numFmt w:val="lowerRoman"/>
      <w:lvlText w:val="%9."/>
      <w:lvlJc w:val="right"/>
      <w:pPr>
        <w:ind w:left="4347" w:hanging="420"/>
      </w:pPr>
    </w:lvl>
  </w:abstractNum>
  <w:abstractNum w:abstractNumId="27">
    <w:nsid w:val="02EF583A"/>
    <w:multiLevelType w:val="multilevel"/>
    <w:tmpl w:val="02EF583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8">
    <w:nsid w:val="03383B7A"/>
    <w:multiLevelType w:val="multilevel"/>
    <w:tmpl w:val="03383B7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9">
    <w:nsid w:val="03C83196"/>
    <w:multiLevelType w:val="multilevel"/>
    <w:tmpl w:val="03C83196"/>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30">
    <w:nsid w:val="04E3E469"/>
    <w:multiLevelType w:val="singleLevel"/>
    <w:tmpl w:val="04E3E469"/>
    <w:lvl w:ilvl="0" w:tentative="0">
      <w:start w:val="1"/>
      <w:numFmt w:val="decimal"/>
      <w:suff w:val="nothing"/>
      <w:lvlText w:val="(%1)"/>
      <w:lvlJc w:val="left"/>
      <w:rPr>
        <w:rFonts w:hint="default" w:cs="Times New Roman"/>
      </w:rPr>
    </w:lvl>
  </w:abstractNum>
  <w:abstractNum w:abstractNumId="31">
    <w:nsid w:val="055A76E0"/>
    <w:multiLevelType w:val="multilevel"/>
    <w:tmpl w:val="055A76E0"/>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32">
    <w:nsid w:val="05B110B7"/>
    <w:multiLevelType w:val="multilevel"/>
    <w:tmpl w:val="05B110B7"/>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33">
    <w:nsid w:val="064E7F88"/>
    <w:multiLevelType w:val="multilevel"/>
    <w:tmpl w:val="064E7F8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4">
    <w:nsid w:val="06ED6C8C"/>
    <w:multiLevelType w:val="multilevel"/>
    <w:tmpl w:val="06ED6C8C"/>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35">
    <w:nsid w:val="07799D05"/>
    <w:multiLevelType w:val="multilevel"/>
    <w:tmpl w:val="07799D05"/>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36">
    <w:nsid w:val="07AD1DA4"/>
    <w:multiLevelType w:val="multilevel"/>
    <w:tmpl w:val="07AD1DA4"/>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37">
    <w:nsid w:val="0867BD42"/>
    <w:multiLevelType w:val="singleLevel"/>
    <w:tmpl w:val="0867BD42"/>
    <w:lvl w:ilvl="0" w:tentative="0">
      <w:start w:val="1"/>
      <w:numFmt w:val="decimal"/>
      <w:suff w:val="nothing"/>
      <w:lvlText w:val="%1）"/>
      <w:lvlJc w:val="left"/>
      <w:pPr>
        <w:ind w:left="390" w:firstLine="0"/>
      </w:pPr>
    </w:lvl>
  </w:abstractNum>
  <w:abstractNum w:abstractNumId="38">
    <w:nsid w:val="08D15C5F"/>
    <w:multiLevelType w:val="multilevel"/>
    <w:tmpl w:val="08D15C5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39">
    <w:nsid w:val="08DE636E"/>
    <w:multiLevelType w:val="multilevel"/>
    <w:tmpl w:val="08DE636E"/>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40">
    <w:nsid w:val="09CA2CE1"/>
    <w:multiLevelType w:val="multilevel"/>
    <w:tmpl w:val="09CA2CE1"/>
    <w:lvl w:ilvl="0" w:tentative="0">
      <w:start w:val="1"/>
      <w:numFmt w:val="decimal"/>
      <w:lvlText w:val="（%1）"/>
      <w:lvlJc w:val="left"/>
      <w:pPr>
        <w:tabs>
          <w:tab w:val="left" w:pos="-840"/>
        </w:tabs>
        <w:ind w:left="80" w:hanging="440"/>
      </w:pPr>
      <w:rPr>
        <w:rFonts w:hint="eastAsia"/>
      </w:rPr>
    </w:lvl>
    <w:lvl w:ilvl="1" w:tentative="0">
      <w:start w:val="1"/>
      <w:numFmt w:val="lowerLetter"/>
      <w:lvlText w:val="%2)"/>
      <w:lvlJc w:val="left"/>
      <w:pPr>
        <w:tabs>
          <w:tab w:val="left" w:pos="-840"/>
        </w:tabs>
        <w:ind w:left="520" w:hanging="440"/>
      </w:pPr>
    </w:lvl>
    <w:lvl w:ilvl="2" w:tentative="0">
      <w:start w:val="1"/>
      <w:numFmt w:val="lowerRoman"/>
      <w:lvlText w:val="%3."/>
      <w:lvlJc w:val="right"/>
      <w:pPr>
        <w:tabs>
          <w:tab w:val="left" w:pos="-840"/>
        </w:tabs>
        <w:ind w:left="960" w:hanging="440"/>
      </w:pPr>
    </w:lvl>
    <w:lvl w:ilvl="3" w:tentative="0">
      <w:start w:val="1"/>
      <w:numFmt w:val="decimal"/>
      <w:lvlText w:val="%4."/>
      <w:lvlJc w:val="left"/>
      <w:pPr>
        <w:tabs>
          <w:tab w:val="left" w:pos="-840"/>
        </w:tabs>
        <w:ind w:left="1400" w:hanging="440"/>
      </w:pPr>
    </w:lvl>
    <w:lvl w:ilvl="4" w:tentative="0">
      <w:start w:val="1"/>
      <w:numFmt w:val="lowerLetter"/>
      <w:lvlText w:val="%5)"/>
      <w:lvlJc w:val="left"/>
      <w:pPr>
        <w:tabs>
          <w:tab w:val="left" w:pos="-840"/>
        </w:tabs>
        <w:ind w:left="1840" w:hanging="440"/>
      </w:pPr>
    </w:lvl>
    <w:lvl w:ilvl="5" w:tentative="0">
      <w:start w:val="1"/>
      <w:numFmt w:val="lowerRoman"/>
      <w:lvlText w:val="%6."/>
      <w:lvlJc w:val="right"/>
      <w:pPr>
        <w:tabs>
          <w:tab w:val="left" w:pos="-840"/>
        </w:tabs>
        <w:ind w:left="2280" w:hanging="440"/>
      </w:pPr>
    </w:lvl>
    <w:lvl w:ilvl="6" w:tentative="0">
      <w:start w:val="1"/>
      <w:numFmt w:val="decimal"/>
      <w:lvlText w:val="%7."/>
      <w:lvlJc w:val="left"/>
      <w:pPr>
        <w:tabs>
          <w:tab w:val="left" w:pos="-840"/>
        </w:tabs>
        <w:ind w:left="2720" w:hanging="440"/>
      </w:pPr>
    </w:lvl>
    <w:lvl w:ilvl="7" w:tentative="0">
      <w:start w:val="1"/>
      <w:numFmt w:val="lowerLetter"/>
      <w:lvlText w:val="%8)"/>
      <w:lvlJc w:val="left"/>
      <w:pPr>
        <w:tabs>
          <w:tab w:val="left" w:pos="-840"/>
        </w:tabs>
        <w:ind w:left="3160" w:hanging="440"/>
      </w:pPr>
    </w:lvl>
    <w:lvl w:ilvl="8" w:tentative="0">
      <w:start w:val="1"/>
      <w:numFmt w:val="lowerRoman"/>
      <w:lvlText w:val="%9."/>
      <w:lvlJc w:val="right"/>
      <w:pPr>
        <w:tabs>
          <w:tab w:val="left" w:pos="-840"/>
        </w:tabs>
        <w:ind w:left="3600" w:hanging="440"/>
      </w:pPr>
    </w:lvl>
  </w:abstractNum>
  <w:abstractNum w:abstractNumId="41">
    <w:nsid w:val="09D019E1"/>
    <w:multiLevelType w:val="multilevel"/>
    <w:tmpl w:val="09D019E1"/>
    <w:lvl w:ilvl="0" w:tentative="0">
      <w:start w:val="1"/>
      <w:numFmt w:val="lowerLetter"/>
      <w:lvlText w:val="%1)"/>
      <w:lvlJc w:val="left"/>
      <w:pPr>
        <w:tabs>
          <w:tab w:val="left" w:pos="-420"/>
        </w:tabs>
        <w:ind w:left="710" w:hanging="420"/>
      </w:pPr>
      <w:rPr>
        <w:rFonts w:hint="eastAsia" w:cs="Times New Roman"/>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42">
    <w:nsid w:val="09D44159"/>
    <w:multiLevelType w:val="multilevel"/>
    <w:tmpl w:val="09D44159"/>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43">
    <w:nsid w:val="0B5C09D2"/>
    <w:multiLevelType w:val="multilevel"/>
    <w:tmpl w:val="0B5C09D2"/>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4">
    <w:nsid w:val="0B7D6F62"/>
    <w:multiLevelType w:val="multilevel"/>
    <w:tmpl w:val="0B7D6F62"/>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45">
    <w:nsid w:val="0D912FB8"/>
    <w:multiLevelType w:val="multilevel"/>
    <w:tmpl w:val="0D912FB8"/>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46">
    <w:nsid w:val="0E5C7D47"/>
    <w:multiLevelType w:val="multilevel"/>
    <w:tmpl w:val="0E5C7D47"/>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7">
    <w:nsid w:val="0F8B7406"/>
    <w:multiLevelType w:val="multilevel"/>
    <w:tmpl w:val="0F8B7406"/>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8">
    <w:nsid w:val="0F975423"/>
    <w:multiLevelType w:val="multilevel"/>
    <w:tmpl w:val="0F975423"/>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49">
    <w:nsid w:val="10A170B4"/>
    <w:multiLevelType w:val="multilevel"/>
    <w:tmpl w:val="10A170B4"/>
    <w:lvl w:ilvl="0" w:tentative="0">
      <w:start w:val="1"/>
      <w:numFmt w:val="decimal"/>
      <w:lvlText w:val="%1)"/>
      <w:lvlJc w:val="left"/>
      <w:pPr>
        <w:ind w:left="862" w:hanging="420"/>
      </w:pPr>
    </w:lvl>
    <w:lvl w:ilvl="1" w:tentative="0">
      <w:start w:val="1"/>
      <w:numFmt w:val="lowerLetter"/>
      <w:lvlText w:val="%2)"/>
      <w:lvlJc w:val="left"/>
      <w:pPr>
        <w:ind w:left="1282" w:hanging="420"/>
      </w:pPr>
    </w:lvl>
    <w:lvl w:ilvl="2" w:tentative="0">
      <w:start w:val="1"/>
      <w:numFmt w:val="lowerRoman"/>
      <w:lvlText w:val="%3."/>
      <w:lvlJc w:val="right"/>
      <w:pPr>
        <w:ind w:left="1702" w:hanging="420"/>
      </w:pPr>
    </w:lvl>
    <w:lvl w:ilvl="3" w:tentative="0">
      <w:start w:val="1"/>
      <w:numFmt w:val="decimal"/>
      <w:lvlText w:val="%4."/>
      <w:lvlJc w:val="left"/>
      <w:pPr>
        <w:ind w:left="2122" w:hanging="420"/>
      </w:pPr>
    </w:lvl>
    <w:lvl w:ilvl="4" w:tentative="0">
      <w:start w:val="1"/>
      <w:numFmt w:val="lowerLetter"/>
      <w:lvlText w:val="%5)"/>
      <w:lvlJc w:val="left"/>
      <w:pPr>
        <w:ind w:left="2542" w:hanging="420"/>
      </w:pPr>
    </w:lvl>
    <w:lvl w:ilvl="5" w:tentative="0">
      <w:start w:val="1"/>
      <w:numFmt w:val="lowerRoman"/>
      <w:lvlText w:val="%6."/>
      <w:lvlJc w:val="right"/>
      <w:pPr>
        <w:ind w:left="2962" w:hanging="420"/>
      </w:pPr>
    </w:lvl>
    <w:lvl w:ilvl="6" w:tentative="0">
      <w:start w:val="1"/>
      <w:numFmt w:val="decimal"/>
      <w:lvlText w:val="%7."/>
      <w:lvlJc w:val="left"/>
      <w:pPr>
        <w:ind w:left="3382" w:hanging="420"/>
      </w:pPr>
    </w:lvl>
    <w:lvl w:ilvl="7" w:tentative="0">
      <w:start w:val="1"/>
      <w:numFmt w:val="lowerLetter"/>
      <w:lvlText w:val="%8)"/>
      <w:lvlJc w:val="left"/>
      <w:pPr>
        <w:ind w:left="3802" w:hanging="420"/>
      </w:pPr>
    </w:lvl>
    <w:lvl w:ilvl="8" w:tentative="0">
      <w:start w:val="1"/>
      <w:numFmt w:val="lowerRoman"/>
      <w:lvlText w:val="%9."/>
      <w:lvlJc w:val="right"/>
      <w:pPr>
        <w:ind w:left="4222" w:hanging="420"/>
      </w:pPr>
    </w:lvl>
  </w:abstractNum>
  <w:abstractNum w:abstractNumId="50">
    <w:nsid w:val="113004A7"/>
    <w:multiLevelType w:val="multilevel"/>
    <w:tmpl w:val="113004A7"/>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51">
    <w:nsid w:val="11B873E9"/>
    <w:multiLevelType w:val="multilevel"/>
    <w:tmpl w:val="11B873E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52">
    <w:nsid w:val="12876704"/>
    <w:multiLevelType w:val="multilevel"/>
    <w:tmpl w:val="12876704"/>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53">
    <w:nsid w:val="12FA26D2"/>
    <w:multiLevelType w:val="multilevel"/>
    <w:tmpl w:val="12FA26D2"/>
    <w:lvl w:ilvl="0" w:tentative="0">
      <w:start w:val="1"/>
      <w:numFmt w:val="decimal"/>
      <w:lvlText w:val="(%1)"/>
      <w:lvlJc w:val="left"/>
      <w:pPr>
        <w:ind w:left="846" w:hanging="420"/>
      </w:pPr>
      <w:rPr>
        <w:rFonts w:hint="default" w:ascii="宋体" w:hAnsi="宋体" w:eastAsia="宋体"/>
        <w:b w:val="0"/>
        <w:color w:val="auto"/>
        <w:sz w:val="21"/>
        <w:szCs w:val="21"/>
      </w:rPr>
    </w:lvl>
    <w:lvl w:ilvl="1" w:tentative="0">
      <w:start w:val="1"/>
      <w:numFmt w:val="lowerLetter"/>
      <w:lvlText w:val="%2)"/>
      <w:lvlJc w:val="left"/>
      <w:pPr>
        <w:ind w:left="1260" w:hanging="420"/>
      </w:pPr>
      <w:rPr>
        <w:rFonts w:hint="eastAsia"/>
        <w:color w:val="auto"/>
      </w:rPr>
    </w:lvl>
    <w:lvl w:ilvl="2" w:tentative="0">
      <w:start w:val="1"/>
      <w:numFmt w:val="lowerLetter"/>
      <w:lvlText w:val="%3."/>
      <w:lvlJc w:val="left"/>
      <w:pPr>
        <w:ind w:left="1620" w:hanging="360"/>
      </w:pPr>
      <w:rPr>
        <w:rFonts w:hint="default"/>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54">
    <w:nsid w:val="14844C95"/>
    <w:multiLevelType w:val="multilevel"/>
    <w:tmpl w:val="14844C95"/>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55">
    <w:nsid w:val="14B75BCA"/>
    <w:multiLevelType w:val="multilevel"/>
    <w:tmpl w:val="14B75BCA"/>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56">
    <w:nsid w:val="14DD1AE2"/>
    <w:multiLevelType w:val="multilevel"/>
    <w:tmpl w:val="14DD1AE2"/>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57">
    <w:nsid w:val="15325720"/>
    <w:multiLevelType w:val="multilevel"/>
    <w:tmpl w:val="15325720"/>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58">
    <w:nsid w:val="155B67F5"/>
    <w:multiLevelType w:val="multilevel"/>
    <w:tmpl w:val="155B67F5"/>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59">
    <w:nsid w:val="15E82AC0"/>
    <w:multiLevelType w:val="multilevel"/>
    <w:tmpl w:val="15E82AC0"/>
    <w:lvl w:ilvl="0" w:tentative="0">
      <w:start w:val="1"/>
      <w:numFmt w:val="lowerLetter"/>
      <w:lvlText w:val="%1)"/>
      <w:lvlJc w:val="left"/>
      <w:pPr>
        <w:ind w:left="1320" w:hanging="420"/>
      </w:pPr>
      <w:rPr>
        <w:rFonts w:hint="eastAsia" w:cs="Times New Roman"/>
      </w:rPr>
    </w:lvl>
    <w:lvl w:ilvl="1" w:tentative="0">
      <w:start w:val="1"/>
      <w:numFmt w:val="lowerLetter"/>
      <w:lvlText w:val="%2)"/>
      <w:lvlJc w:val="left"/>
      <w:pPr>
        <w:ind w:left="-506" w:hanging="420"/>
      </w:pPr>
    </w:lvl>
    <w:lvl w:ilvl="2" w:tentative="0">
      <w:start w:val="1"/>
      <w:numFmt w:val="lowerRoman"/>
      <w:lvlText w:val="%3."/>
      <w:lvlJc w:val="right"/>
      <w:pPr>
        <w:ind w:left="-86" w:hanging="420"/>
      </w:pPr>
    </w:lvl>
    <w:lvl w:ilvl="3" w:tentative="0">
      <w:start w:val="1"/>
      <w:numFmt w:val="decimal"/>
      <w:lvlText w:val="%4."/>
      <w:lvlJc w:val="left"/>
      <w:pPr>
        <w:ind w:left="334" w:hanging="420"/>
      </w:pPr>
    </w:lvl>
    <w:lvl w:ilvl="4" w:tentative="0">
      <w:start w:val="1"/>
      <w:numFmt w:val="lowerLetter"/>
      <w:lvlText w:val="%5)"/>
      <w:lvlJc w:val="left"/>
      <w:pPr>
        <w:ind w:left="754" w:hanging="420"/>
      </w:pPr>
    </w:lvl>
    <w:lvl w:ilvl="5" w:tentative="0">
      <w:start w:val="1"/>
      <w:numFmt w:val="lowerRoman"/>
      <w:lvlText w:val="%6."/>
      <w:lvlJc w:val="right"/>
      <w:pPr>
        <w:ind w:left="1174" w:hanging="420"/>
      </w:pPr>
    </w:lvl>
    <w:lvl w:ilvl="6" w:tentative="0">
      <w:start w:val="1"/>
      <w:numFmt w:val="decimal"/>
      <w:lvlText w:val="%7."/>
      <w:lvlJc w:val="left"/>
      <w:pPr>
        <w:ind w:left="1594" w:hanging="420"/>
      </w:pPr>
    </w:lvl>
    <w:lvl w:ilvl="7" w:tentative="0">
      <w:start w:val="1"/>
      <w:numFmt w:val="lowerLetter"/>
      <w:lvlText w:val="%8)"/>
      <w:lvlJc w:val="left"/>
      <w:pPr>
        <w:ind w:left="2014" w:hanging="420"/>
      </w:pPr>
    </w:lvl>
    <w:lvl w:ilvl="8" w:tentative="0">
      <w:start w:val="1"/>
      <w:numFmt w:val="lowerRoman"/>
      <w:lvlText w:val="%9."/>
      <w:lvlJc w:val="right"/>
      <w:pPr>
        <w:ind w:left="2434" w:hanging="420"/>
      </w:pPr>
    </w:lvl>
  </w:abstractNum>
  <w:abstractNum w:abstractNumId="60">
    <w:nsid w:val="16167409"/>
    <w:multiLevelType w:val="multilevel"/>
    <w:tmpl w:val="16167409"/>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61">
    <w:nsid w:val="168D5B0C"/>
    <w:multiLevelType w:val="multilevel"/>
    <w:tmpl w:val="168D5B0C"/>
    <w:lvl w:ilvl="0" w:tentative="0">
      <w:start w:val="1"/>
      <w:numFmt w:val="lowerLetter"/>
      <w:lvlText w:val="%1)"/>
      <w:lvlJc w:val="left"/>
      <w:pPr>
        <w:tabs>
          <w:tab w:val="left" w:pos="-420"/>
        </w:tabs>
        <w:ind w:left="71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62">
    <w:nsid w:val="16D512CB"/>
    <w:multiLevelType w:val="multilevel"/>
    <w:tmpl w:val="16D512CB"/>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63">
    <w:nsid w:val="17EE4304"/>
    <w:multiLevelType w:val="multilevel"/>
    <w:tmpl w:val="17EE4304"/>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64">
    <w:nsid w:val="180643FA"/>
    <w:multiLevelType w:val="multilevel"/>
    <w:tmpl w:val="180643FA"/>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65">
    <w:nsid w:val="1808286B"/>
    <w:multiLevelType w:val="multilevel"/>
    <w:tmpl w:val="1808286B"/>
    <w:lvl w:ilvl="0" w:tentative="0">
      <w:start w:val="1"/>
      <w:numFmt w:val="decimal"/>
      <w:lvlText w:val="%1）"/>
      <w:lvlJc w:val="right"/>
      <w:pPr>
        <w:tabs>
          <w:tab w:val="left" w:pos="-420"/>
        </w:tabs>
        <w:ind w:left="480" w:hanging="420"/>
      </w:pPr>
      <w:rPr>
        <w:rFonts w:hint="eastAsia"/>
      </w:rPr>
    </w:lvl>
    <w:lvl w:ilvl="1" w:tentative="0">
      <w:start w:val="1"/>
      <w:numFmt w:val="lowerLetter"/>
      <w:lvlText w:val="%2)"/>
      <w:lvlJc w:val="left"/>
      <w:pPr>
        <w:tabs>
          <w:tab w:val="left" w:pos="-420"/>
        </w:tabs>
        <w:ind w:left="900" w:hanging="420"/>
      </w:pPr>
    </w:lvl>
    <w:lvl w:ilvl="2" w:tentative="0">
      <w:start w:val="1"/>
      <w:numFmt w:val="lowerRoman"/>
      <w:lvlText w:val="%3."/>
      <w:lvlJc w:val="right"/>
      <w:pPr>
        <w:tabs>
          <w:tab w:val="left" w:pos="-420"/>
        </w:tabs>
        <w:ind w:left="1320" w:hanging="420"/>
      </w:pPr>
    </w:lvl>
    <w:lvl w:ilvl="3" w:tentative="0">
      <w:start w:val="1"/>
      <w:numFmt w:val="decimal"/>
      <w:lvlText w:val="%4."/>
      <w:lvlJc w:val="left"/>
      <w:pPr>
        <w:tabs>
          <w:tab w:val="left" w:pos="-420"/>
        </w:tabs>
        <w:ind w:left="1740" w:hanging="420"/>
      </w:pPr>
    </w:lvl>
    <w:lvl w:ilvl="4" w:tentative="0">
      <w:start w:val="1"/>
      <w:numFmt w:val="lowerLetter"/>
      <w:lvlText w:val="%5)"/>
      <w:lvlJc w:val="left"/>
      <w:pPr>
        <w:tabs>
          <w:tab w:val="left" w:pos="-420"/>
        </w:tabs>
        <w:ind w:left="2160" w:hanging="420"/>
      </w:pPr>
    </w:lvl>
    <w:lvl w:ilvl="5" w:tentative="0">
      <w:start w:val="1"/>
      <w:numFmt w:val="lowerRoman"/>
      <w:lvlText w:val="%6."/>
      <w:lvlJc w:val="right"/>
      <w:pPr>
        <w:tabs>
          <w:tab w:val="left" w:pos="-420"/>
        </w:tabs>
        <w:ind w:left="2580" w:hanging="420"/>
      </w:pPr>
    </w:lvl>
    <w:lvl w:ilvl="6" w:tentative="0">
      <w:start w:val="1"/>
      <w:numFmt w:val="decimal"/>
      <w:lvlText w:val="%7."/>
      <w:lvlJc w:val="left"/>
      <w:pPr>
        <w:tabs>
          <w:tab w:val="left" w:pos="-420"/>
        </w:tabs>
        <w:ind w:left="3000" w:hanging="420"/>
      </w:pPr>
    </w:lvl>
    <w:lvl w:ilvl="7" w:tentative="0">
      <w:start w:val="1"/>
      <w:numFmt w:val="lowerLetter"/>
      <w:lvlText w:val="%8)"/>
      <w:lvlJc w:val="left"/>
      <w:pPr>
        <w:tabs>
          <w:tab w:val="left" w:pos="-420"/>
        </w:tabs>
        <w:ind w:left="3420" w:hanging="420"/>
      </w:pPr>
    </w:lvl>
    <w:lvl w:ilvl="8" w:tentative="0">
      <w:start w:val="1"/>
      <w:numFmt w:val="lowerRoman"/>
      <w:lvlText w:val="%9."/>
      <w:lvlJc w:val="right"/>
      <w:pPr>
        <w:tabs>
          <w:tab w:val="left" w:pos="-420"/>
        </w:tabs>
        <w:ind w:left="3840" w:hanging="420"/>
      </w:pPr>
    </w:lvl>
  </w:abstractNum>
  <w:abstractNum w:abstractNumId="66">
    <w:nsid w:val="18244A1F"/>
    <w:multiLevelType w:val="multilevel"/>
    <w:tmpl w:val="18244A1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67">
    <w:nsid w:val="18261C56"/>
    <w:multiLevelType w:val="multilevel"/>
    <w:tmpl w:val="18261C56"/>
    <w:lvl w:ilvl="0" w:tentative="0">
      <w:start w:val="1"/>
      <w:numFmt w:val="decimal"/>
      <w:lvlText w:val="%1）"/>
      <w:lvlJc w:val="right"/>
      <w:pPr>
        <w:tabs>
          <w:tab w:val="left" w:pos="-420"/>
        </w:tabs>
        <w:ind w:left="480" w:hanging="420"/>
      </w:pPr>
      <w:rPr>
        <w:rFonts w:hint="eastAsia"/>
      </w:rPr>
    </w:lvl>
    <w:lvl w:ilvl="1" w:tentative="0">
      <w:start w:val="1"/>
      <w:numFmt w:val="lowerLetter"/>
      <w:lvlText w:val="%2)"/>
      <w:lvlJc w:val="left"/>
      <w:pPr>
        <w:tabs>
          <w:tab w:val="left" w:pos="-420"/>
        </w:tabs>
        <w:ind w:left="900" w:hanging="420"/>
      </w:pPr>
    </w:lvl>
    <w:lvl w:ilvl="2" w:tentative="0">
      <w:start w:val="1"/>
      <w:numFmt w:val="lowerRoman"/>
      <w:lvlText w:val="%3."/>
      <w:lvlJc w:val="right"/>
      <w:pPr>
        <w:tabs>
          <w:tab w:val="left" w:pos="-420"/>
        </w:tabs>
        <w:ind w:left="1320" w:hanging="420"/>
      </w:pPr>
    </w:lvl>
    <w:lvl w:ilvl="3" w:tentative="0">
      <w:start w:val="1"/>
      <w:numFmt w:val="decimal"/>
      <w:lvlText w:val="%4."/>
      <w:lvlJc w:val="left"/>
      <w:pPr>
        <w:tabs>
          <w:tab w:val="left" w:pos="-420"/>
        </w:tabs>
        <w:ind w:left="1740" w:hanging="420"/>
      </w:pPr>
    </w:lvl>
    <w:lvl w:ilvl="4" w:tentative="0">
      <w:start w:val="1"/>
      <w:numFmt w:val="lowerLetter"/>
      <w:lvlText w:val="%5)"/>
      <w:lvlJc w:val="left"/>
      <w:pPr>
        <w:tabs>
          <w:tab w:val="left" w:pos="-420"/>
        </w:tabs>
        <w:ind w:left="2160" w:hanging="420"/>
      </w:pPr>
    </w:lvl>
    <w:lvl w:ilvl="5" w:tentative="0">
      <w:start w:val="1"/>
      <w:numFmt w:val="lowerRoman"/>
      <w:lvlText w:val="%6."/>
      <w:lvlJc w:val="right"/>
      <w:pPr>
        <w:tabs>
          <w:tab w:val="left" w:pos="-420"/>
        </w:tabs>
        <w:ind w:left="2580" w:hanging="420"/>
      </w:pPr>
    </w:lvl>
    <w:lvl w:ilvl="6" w:tentative="0">
      <w:start w:val="1"/>
      <w:numFmt w:val="decimal"/>
      <w:lvlText w:val="%7."/>
      <w:lvlJc w:val="left"/>
      <w:pPr>
        <w:tabs>
          <w:tab w:val="left" w:pos="-420"/>
        </w:tabs>
        <w:ind w:left="3000" w:hanging="420"/>
      </w:pPr>
    </w:lvl>
    <w:lvl w:ilvl="7" w:tentative="0">
      <w:start w:val="1"/>
      <w:numFmt w:val="lowerLetter"/>
      <w:lvlText w:val="%8)"/>
      <w:lvlJc w:val="left"/>
      <w:pPr>
        <w:tabs>
          <w:tab w:val="left" w:pos="-420"/>
        </w:tabs>
        <w:ind w:left="3420" w:hanging="420"/>
      </w:pPr>
    </w:lvl>
    <w:lvl w:ilvl="8" w:tentative="0">
      <w:start w:val="1"/>
      <w:numFmt w:val="lowerRoman"/>
      <w:lvlText w:val="%9."/>
      <w:lvlJc w:val="right"/>
      <w:pPr>
        <w:tabs>
          <w:tab w:val="left" w:pos="-420"/>
        </w:tabs>
        <w:ind w:left="3840" w:hanging="420"/>
      </w:pPr>
    </w:lvl>
  </w:abstractNum>
  <w:abstractNum w:abstractNumId="68">
    <w:nsid w:val="184951A9"/>
    <w:multiLevelType w:val="multilevel"/>
    <w:tmpl w:val="184951A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69">
    <w:nsid w:val="184C43DD"/>
    <w:multiLevelType w:val="multilevel"/>
    <w:tmpl w:val="184C43DD"/>
    <w:lvl w:ilvl="0" w:tentative="0">
      <w:start w:val="1"/>
      <w:numFmt w:val="decimal"/>
      <w:lvlText w:val="%1)"/>
      <w:lvlJc w:val="left"/>
      <w:pPr>
        <w:tabs>
          <w:tab w:val="left" w:pos="-420"/>
        </w:tabs>
        <w:ind w:left="0" w:hanging="420"/>
      </w:p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70">
    <w:nsid w:val="1D667CD9"/>
    <w:multiLevelType w:val="multilevel"/>
    <w:tmpl w:val="1D667CD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71">
    <w:nsid w:val="1E898D09"/>
    <w:multiLevelType w:val="singleLevel"/>
    <w:tmpl w:val="1E898D09"/>
    <w:lvl w:ilvl="0" w:tentative="0">
      <w:start w:val="10"/>
      <w:numFmt w:val="decimal"/>
      <w:suff w:val="nothing"/>
      <w:lvlText w:val="（%1）"/>
      <w:lvlJc w:val="left"/>
      <w:rPr>
        <w:rFonts w:cs="Times New Roman"/>
      </w:rPr>
    </w:lvl>
  </w:abstractNum>
  <w:abstractNum w:abstractNumId="72">
    <w:nsid w:val="1EA6757A"/>
    <w:multiLevelType w:val="multilevel"/>
    <w:tmpl w:val="1EA6757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73">
    <w:nsid w:val="1F390958"/>
    <w:multiLevelType w:val="multilevel"/>
    <w:tmpl w:val="1F390958"/>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74">
    <w:nsid w:val="1F663EE9"/>
    <w:multiLevelType w:val="multilevel"/>
    <w:tmpl w:val="1F663EE9"/>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75">
    <w:nsid w:val="1FF77A10"/>
    <w:multiLevelType w:val="multilevel"/>
    <w:tmpl w:val="1FF77A10"/>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76">
    <w:nsid w:val="21F32FC6"/>
    <w:multiLevelType w:val="multilevel"/>
    <w:tmpl w:val="21F32FC6"/>
    <w:lvl w:ilvl="0" w:tentative="0">
      <w:start w:val="1"/>
      <w:numFmt w:val="decimal"/>
      <w:lvlText w:val="%1)"/>
      <w:lvlJc w:val="left"/>
      <w:pPr>
        <w:tabs>
          <w:tab w:val="left" w:pos="-420"/>
        </w:tabs>
        <w:ind w:left="0" w:hanging="420"/>
      </w:p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77">
    <w:nsid w:val="2253554F"/>
    <w:multiLevelType w:val="singleLevel"/>
    <w:tmpl w:val="2253554F"/>
    <w:lvl w:ilvl="0" w:tentative="0">
      <w:start w:val="1"/>
      <w:numFmt w:val="decimal"/>
      <w:suff w:val="nothing"/>
      <w:lvlText w:val="（%1）"/>
      <w:lvlJc w:val="left"/>
    </w:lvl>
  </w:abstractNum>
  <w:abstractNum w:abstractNumId="78">
    <w:nsid w:val="22961705"/>
    <w:multiLevelType w:val="multilevel"/>
    <w:tmpl w:val="22961705"/>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79">
    <w:nsid w:val="242A074D"/>
    <w:multiLevelType w:val="multilevel"/>
    <w:tmpl w:val="242A074D"/>
    <w:lvl w:ilvl="0" w:tentative="0">
      <w:start w:val="1"/>
      <w:numFmt w:val="decimal"/>
      <w:lvlText w:val="（%1）"/>
      <w:lvlJc w:val="left"/>
      <w:pPr>
        <w:tabs>
          <w:tab w:val="left" w:pos="-840"/>
        </w:tabs>
        <w:ind w:left="80" w:hanging="440"/>
      </w:pPr>
      <w:rPr>
        <w:rFonts w:hint="eastAsia"/>
      </w:rPr>
    </w:lvl>
    <w:lvl w:ilvl="1" w:tentative="0">
      <w:start w:val="1"/>
      <w:numFmt w:val="lowerLetter"/>
      <w:lvlText w:val="%2)"/>
      <w:lvlJc w:val="left"/>
      <w:pPr>
        <w:tabs>
          <w:tab w:val="left" w:pos="-840"/>
        </w:tabs>
        <w:ind w:left="520" w:hanging="440"/>
      </w:pPr>
    </w:lvl>
    <w:lvl w:ilvl="2" w:tentative="0">
      <w:start w:val="1"/>
      <w:numFmt w:val="lowerRoman"/>
      <w:lvlText w:val="%3."/>
      <w:lvlJc w:val="right"/>
      <w:pPr>
        <w:tabs>
          <w:tab w:val="left" w:pos="-840"/>
        </w:tabs>
        <w:ind w:left="960" w:hanging="440"/>
      </w:pPr>
    </w:lvl>
    <w:lvl w:ilvl="3" w:tentative="0">
      <w:start w:val="1"/>
      <w:numFmt w:val="decimal"/>
      <w:lvlText w:val="%4."/>
      <w:lvlJc w:val="left"/>
      <w:pPr>
        <w:tabs>
          <w:tab w:val="left" w:pos="-840"/>
        </w:tabs>
        <w:ind w:left="1400" w:hanging="440"/>
      </w:pPr>
    </w:lvl>
    <w:lvl w:ilvl="4" w:tentative="0">
      <w:start w:val="1"/>
      <w:numFmt w:val="lowerLetter"/>
      <w:lvlText w:val="%5)"/>
      <w:lvlJc w:val="left"/>
      <w:pPr>
        <w:tabs>
          <w:tab w:val="left" w:pos="-840"/>
        </w:tabs>
        <w:ind w:left="1840" w:hanging="440"/>
      </w:pPr>
    </w:lvl>
    <w:lvl w:ilvl="5" w:tentative="0">
      <w:start w:val="1"/>
      <w:numFmt w:val="lowerRoman"/>
      <w:lvlText w:val="%6."/>
      <w:lvlJc w:val="right"/>
      <w:pPr>
        <w:tabs>
          <w:tab w:val="left" w:pos="-840"/>
        </w:tabs>
        <w:ind w:left="2280" w:hanging="440"/>
      </w:pPr>
    </w:lvl>
    <w:lvl w:ilvl="6" w:tentative="0">
      <w:start w:val="1"/>
      <w:numFmt w:val="decimal"/>
      <w:lvlText w:val="%7."/>
      <w:lvlJc w:val="left"/>
      <w:pPr>
        <w:tabs>
          <w:tab w:val="left" w:pos="-840"/>
        </w:tabs>
        <w:ind w:left="2720" w:hanging="440"/>
      </w:pPr>
    </w:lvl>
    <w:lvl w:ilvl="7" w:tentative="0">
      <w:start w:val="1"/>
      <w:numFmt w:val="lowerLetter"/>
      <w:lvlText w:val="%8)"/>
      <w:lvlJc w:val="left"/>
      <w:pPr>
        <w:tabs>
          <w:tab w:val="left" w:pos="-840"/>
        </w:tabs>
        <w:ind w:left="3160" w:hanging="440"/>
      </w:pPr>
    </w:lvl>
    <w:lvl w:ilvl="8" w:tentative="0">
      <w:start w:val="1"/>
      <w:numFmt w:val="lowerRoman"/>
      <w:lvlText w:val="%9."/>
      <w:lvlJc w:val="right"/>
      <w:pPr>
        <w:tabs>
          <w:tab w:val="left" w:pos="-840"/>
        </w:tabs>
        <w:ind w:left="3600" w:hanging="440"/>
      </w:pPr>
    </w:lvl>
  </w:abstractNum>
  <w:abstractNum w:abstractNumId="80">
    <w:nsid w:val="244808EB"/>
    <w:multiLevelType w:val="multilevel"/>
    <w:tmpl w:val="244808EB"/>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81">
    <w:nsid w:val="244F3635"/>
    <w:multiLevelType w:val="multilevel"/>
    <w:tmpl w:val="244F3635"/>
    <w:lvl w:ilvl="0" w:tentative="0">
      <w:start w:val="1"/>
      <w:numFmt w:val="decimal"/>
      <w:lvlText w:val="%1）"/>
      <w:lvlJc w:val="right"/>
      <w:pPr>
        <w:tabs>
          <w:tab w:val="left" w:pos="-4200"/>
        </w:tabs>
        <w:ind w:left="473" w:hanging="420"/>
      </w:pPr>
      <w:rPr>
        <w:rFonts w:hint="eastAsia"/>
      </w:rPr>
    </w:lvl>
    <w:lvl w:ilvl="1" w:tentative="0">
      <w:start w:val="1"/>
      <w:numFmt w:val="lowerLetter"/>
      <w:lvlText w:val="%2)"/>
      <w:lvlJc w:val="left"/>
      <w:pPr>
        <w:tabs>
          <w:tab w:val="left" w:pos="-4200"/>
        </w:tabs>
        <w:ind w:left="893" w:hanging="420"/>
      </w:pPr>
    </w:lvl>
    <w:lvl w:ilvl="2" w:tentative="0">
      <w:start w:val="1"/>
      <w:numFmt w:val="lowerRoman"/>
      <w:lvlText w:val="%3."/>
      <w:lvlJc w:val="right"/>
      <w:pPr>
        <w:tabs>
          <w:tab w:val="left" w:pos="-4200"/>
        </w:tabs>
        <w:ind w:left="1313" w:hanging="420"/>
      </w:pPr>
    </w:lvl>
    <w:lvl w:ilvl="3" w:tentative="0">
      <w:start w:val="1"/>
      <w:numFmt w:val="decimal"/>
      <w:lvlText w:val="%4."/>
      <w:lvlJc w:val="left"/>
      <w:pPr>
        <w:tabs>
          <w:tab w:val="left" w:pos="-4200"/>
        </w:tabs>
        <w:ind w:left="1733" w:hanging="420"/>
      </w:pPr>
    </w:lvl>
    <w:lvl w:ilvl="4" w:tentative="0">
      <w:start w:val="1"/>
      <w:numFmt w:val="lowerLetter"/>
      <w:lvlText w:val="%5)"/>
      <w:lvlJc w:val="left"/>
      <w:pPr>
        <w:tabs>
          <w:tab w:val="left" w:pos="-4200"/>
        </w:tabs>
        <w:ind w:left="2153" w:hanging="420"/>
      </w:pPr>
    </w:lvl>
    <w:lvl w:ilvl="5" w:tentative="0">
      <w:start w:val="1"/>
      <w:numFmt w:val="lowerRoman"/>
      <w:lvlText w:val="%6."/>
      <w:lvlJc w:val="right"/>
      <w:pPr>
        <w:tabs>
          <w:tab w:val="left" w:pos="-4200"/>
        </w:tabs>
        <w:ind w:left="2573" w:hanging="420"/>
      </w:pPr>
    </w:lvl>
    <w:lvl w:ilvl="6" w:tentative="0">
      <w:start w:val="1"/>
      <w:numFmt w:val="decimal"/>
      <w:lvlText w:val="%7."/>
      <w:lvlJc w:val="left"/>
      <w:pPr>
        <w:tabs>
          <w:tab w:val="left" w:pos="-4200"/>
        </w:tabs>
        <w:ind w:left="2993" w:hanging="420"/>
      </w:pPr>
    </w:lvl>
    <w:lvl w:ilvl="7" w:tentative="0">
      <w:start w:val="1"/>
      <w:numFmt w:val="lowerLetter"/>
      <w:lvlText w:val="%8)"/>
      <w:lvlJc w:val="left"/>
      <w:pPr>
        <w:tabs>
          <w:tab w:val="left" w:pos="-4200"/>
        </w:tabs>
        <w:ind w:left="3413" w:hanging="420"/>
      </w:pPr>
    </w:lvl>
    <w:lvl w:ilvl="8" w:tentative="0">
      <w:start w:val="1"/>
      <w:numFmt w:val="lowerRoman"/>
      <w:lvlText w:val="%9."/>
      <w:lvlJc w:val="right"/>
      <w:pPr>
        <w:tabs>
          <w:tab w:val="left" w:pos="-4200"/>
        </w:tabs>
        <w:ind w:left="3833" w:hanging="420"/>
      </w:pPr>
    </w:lvl>
  </w:abstractNum>
  <w:abstractNum w:abstractNumId="82">
    <w:nsid w:val="252D794F"/>
    <w:multiLevelType w:val="multilevel"/>
    <w:tmpl w:val="252D794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83">
    <w:nsid w:val="256E263B"/>
    <w:multiLevelType w:val="multilevel"/>
    <w:tmpl w:val="256E263B"/>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84">
    <w:nsid w:val="262D52AD"/>
    <w:multiLevelType w:val="multilevel"/>
    <w:tmpl w:val="262D52AD"/>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85">
    <w:nsid w:val="28E3408A"/>
    <w:multiLevelType w:val="multilevel"/>
    <w:tmpl w:val="28E3408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86">
    <w:nsid w:val="2B504688"/>
    <w:multiLevelType w:val="multilevel"/>
    <w:tmpl w:val="2B504688"/>
    <w:lvl w:ilvl="0" w:tentative="0">
      <w:start w:val="1"/>
      <w:numFmt w:val="decimal"/>
      <w:lvlText w:val="%1）"/>
      <w:lvlJc w:val="righ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7">
    <w:nsid w:val="2C491CD9"/>
    <w:multiLevelType w:val="multilevel"/>
    <w:tmpl w:val="2C491CD9"/>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88">
    <w:nsid w:val="2D443BCA"/>
    <w:multiLevelType w:val="multilevel"/>
    <w:tmpl w:val="2D443BCA"/>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89">
    <w:nsid w:val="2E42360A"/>
    <w:multiLevelType w:val="singleLevel"/>
    <w:tmpl w:val="2E42360A"/>
    <w:lvl w:ilvl="0" w:tentative="0">
      <w:start w:val="1"/>
      <w:numFmt w:val="decimal"/>
      <w:suff w:val="nothing"/>
      <w:lvlText w:val="（%1）"/>
      <w:lvlJc w:val="left"/>
      <w:rPr>
        <w:rFonts w:cs="Times New Roman"/>
      </w:rPr>
    </w:lvl>
  </w:abstractNum>
  <w:abstractNum w:abstractNumId="90">
    <w:nsid w:val="2EBE7DDD"/>
    <w:multiLevelType w:val="multilevel"/>
    <w:tmpl w:val="2EBE7DDD"/>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91">
    <w:nsid w:val="2EE95C9D"/>
    <w:multiLevelType w:val="multilevel"/>
    <w:tmpl w:val="2EE95C9D"/>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92">
    <w:nsid w:val="2F32D9BE"/>
    <w:multiLevelType w:val="multilevel"/>
    <w:tmpl w:val="2F32D9BE"/>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93">
    <w:nsid w:val="2F8E4FF1"/>
    <w:multiLevelType w:val="multilevel"/>
    <w:tmpl w:val="2F8E4FF1"/>
    <w:lvl w:ilvl="0" w:tentative="0">
      <w:start w:val="1"/>
      <w:numFmt w:val="lowerLetter"/>
      <w:lvlText w:val="%1)"/>
      <w:lvlJc w:val="left"/>
      <w:pPr>
        <w:tabs>
          <w:tab w:val="left" w:pos="-420"/>
        </w:tabs>
        <w:ind w:left="710" w:hanging="420"/>
      </w:pPr>
      <w:rPr>
        <w:rFonts w:hint="eastAsia" w:cs="Times New Roman"/>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94">
    <w:nsid w:val="30EC77BA"/>
    <w:multiLevelType w:val="multilevel"/>
    <w:tmpl w:val="30EC77B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95">
    <w:nsid w:val="30FA2D5D"/>
    <w:multiLevelType w:val="multilevel"/>
    <w:tmpl w:val="30FA2D5D"/>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96">
    <w:nsid w:val="31F9507A"/>
    <w:multiLevelType w:val="multilevel"/>
    <w:tmpl w:val="31F9507A"/>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97">
    <w:nsid w:val="322E5445"/>
    <w:multiLevelType w:val="multilevel"/>
    <w:tmpl w:val="322E5445"/>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98">
    <w:nsid w:val="35874898"/>
    <w:multiLevelType w:val="multilevel"/>
    <w:tmpl w:val="35874898"/>
    <w:lvl w:ilvl="0" w:tentative="0">
      <w:start w:val="1"/>
      <w:numFmt w:val="decimal"/>
      <w:lvlText w:val="7.16.1.%1"/>
      <w:lvlJc w:val="left"/>
      <w:pPr>
        <w:ind w:left="420" w:hanging="420"/>
      </w:pPr>
      <w:rPr>
        <w:rFonts w:hint="default" w:ascii="Times New Roman" w:hAnsi="Times New Roman" w:cs="Times New Roman"/>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9">
    <w:nsid w:val="37A323D6"/>
    <w:multiLevelType w:val="multilevel"/>
    <w:tmpl w:val="37A323D6"/>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00">
    <w:nsid w:val="384B602F"/>
    <w:multiLevelType w:val="multilevel"/>
    <w:tmpl w:val="384B602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01">
    <w:nsid w:val="387B7FF3"/>
    <w:multiLevelType w:val="multilevel"/>
    <w:tmpl w:val="387B7FF3"/>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02">
    <w:nsid w:val="38804CA1"/>
    <w:multiLevelType w:val="multilevel"/>
    <w:tmpl w:val="38804CA1"/>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03">
    <w:nsid w:val="391C2F80"/>
    <w:multiLevelType w:val="multilevel"/>
    <w:tmpl w:val="391C2F80"/>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04">
    <w:nsid w:val="3A557BEC"/>
    <w:multiLevelType w:val="multilevel"/>
    <w:tmpl w:val="3A557BEC"/>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05">
    <w:nsid w:val="3B142B9A"/>
    <w:multiLevelType w:val="singleLevel"/>
    <w:tmpl w:val="3B142B9A"/>
    <w:lvl w:ilvl="0" w:tentative="0">
      <w:start w:val="9"/>
      <w:numFmt w:val="decimal"/>
      <w:suff w:val="nothing"/>
      <w:lvlText w:val="（%1）"/>
      <w:lvlJc w:val="left"/>
      <w:pPr>
        <w:ind w:left="480"/>
      </w:pPr>
      <w:rPr>
        <w:rFonts w:cs="Times New Roman"/>
      </w:rPr>
    </w:lvl>
  </w:abstractNum>
  <w:abstractNum w:abstractNumId="106">
    <w:nsid w:val="3B5612FA"/>
    <w:multiLevelType w:val="multilevel"/>
    <w:tmpl w:val="3B5612FA"/>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107">
    <w:nsid w:val="3BDA2C55"/>
    <w:multiLevelType w:val="multilevel"/>
    <w:tmpl w:val="3BDA2C55"/>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08">
    <w:nsid w:val="3C7805CB"/>
    <w:multiLevelType w:val="multilevel"/>
    <w:tmpl w:val="3C7805CB"/>
    <w:lvl w:ilvl="0" w:tentative="0">
      <w:start w:val="1"/>
      <w:numFmt w:val="decimal"/>
      <w:lvlText w:val="（%1）"/>
      <w:lvlJc w:val="left"/>
      <w:pPr>
        <w:ind w:left="920" w:hanging="440"/>
      </w:pPr>
      <w:rPr>
        <w:rFonts w:hint="eastAsia"/>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09">
    <w:nsid w:val="3D7D3386"/>
    <w:multiLevelType w:val="multilevel"/>
    <w:tmpl w:val="3D7D3386"/>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110">
    <w:nsid w:val="3EE943DF"/>
    <w:multiLevelType w:val="multilevel"/>
    <w:tmpl w:val="3EE943D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1">
    <w:nsid w:val="45005EAA"/>
    <w:multiLevelType w:val="multilevel"/>
    <w:tmpl w:val="45005EA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2">
    <w:nsid w:val="459E0D5A"/>
    <w:multiLevelType w:val="multilevel"/>
    <w:tmpl w:val="459E0D5A"/>
    <w:lvl w:ilvl="0" w:tentative="0">
      <w:start w:val="1"/>
      <w:numFmt w:val="decimal"/>
      <w:lvlText w:val="(%1)"/>
      <w:lvlJc w:val="left"/>
      <w:pPr>
        <w:ind w:left="846" w:hanging="420"/>
      </w:pPr>
      <w:rPr>
        <w:rFonts w:hint="default" w:ascii="宋体" w:hAnsi="宋体" w:eastAsia="宋体"/>
        <w:b w:val="0"/>
        <w:color w:val="auto"/>
        <w:sz w:val="21"/>
        <w:szCs w:val="21"/>
      </w:rPr>
    </w:lvl>
    <w:lvl w:ilvl="1" w:tentative="0">
      <w:start w:val="1"/>
      <w:numFmt w:val="lowerLetter"/>
      <w:lvlText w:val="%2)"/>
      <w:lvlJc w:val="left"/>
      <w:pPr>
        <w:ind w:left="1260" w:hanging="420"/>
      </w:pPr>
      <w:rPr>
        <w:rFonts w:hint="eastAsia"/>
        <w:color w:val="auto"/>
      </w:rPr>
    </w:lvl>
    <w:lvl w:ilvl="2" w:tentative="0">
      <w:start w:val="1"/>
      <w:numFmt w:val="lowerLetter"/>
      <w:lvlText w:val="%3."/>
      <w:lvlJc w:val="left"/>
      <w:pPr>
        <w:ind w:left="1620" w:hanging="360"/>
      </w:pPr>
      <w:rPr>
        <w:rFonts w:hint="default"/>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13">
    <w:nsid w:val="46894739"/>
    <w:multiLevelType w:val="multilevel"/>
    <w:tmpl w:val="46894739"/>
    <w:lvl w:ilvl="0" w:tentative="0">
      <w:start w:val="1"/>
      <w:numFmt w:val="decimal"/>
      <w:lvlText w:val="%1)"/>
      <w:lvlJc w:val="left"/>
      <w:pPr>
        <w:tabs>
          <w:tab w:val="left" w:pos="-420"/>
        </w:tabs>
        <w:ind w:left="300" w:hanging="720"/>
      </w:pPr>
      <w:rPr>
        <w:rFonts w:hint="eastAsia"/>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14">
    <w:nsid w:val="46C66CB4"/>
    <w:multiLevelType w:val="multilevel"/>
    <w:tmpl w:val="46C66CB4"/>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15">
    <w:nsid w:val="4717015F"/>
    <w:multiLevelType w:val="multilevel"/>
    <w:tmpl w:val="4717015F"/>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16">
    <w:nsid w:val="473A3DE6"/>
    <w:multiLevelType w:val="multilevel"/>
    <w:tmpl w:val="473A3DE6"/>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7">
    <w:nsid w:val="47722751"/>
    <w:multiLevelType w:val="multilevel"/>
    <w:tmpl w:val="47722751"/>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118">
    <w:nsid w:val="4AAC61A3"/>
    <w:multiLevelType w:val="multilevel"/>
    <w:tmpl w:val="4AAC61A3"/>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9">
    <w:nsid w:val="4C39644D"/>
    <w:multiLevelType w:val="multilevel"/>
    <w:tmpl w:val="4C39644D"/>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20">
    <w:nsid w:val="4CF2265C"/>
    <w:multiLevelType w:val="multilevel"/>
    <w:tmpl w:val="4CF2265C"/>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121">
    <w:nsid w:val="4DD82564"/>
    <w:multiLevelType w:val="multilevel"/>
    <w:tmpl w:val="4DD82564"/>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122">
    <w:nsid w:val="4FD278F7"/>
    <w:multiLevelType w:val="multilevel"/>
    <w:tmpl w:val="4FD278F7"/>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123">
    <w:nsid w:val="520D07FF"/>
    <w:multiLevelType w:val="multilevel"/>
    <w:tmpl w:val="520D07F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24">
    <w:nsid w:val="540629EB"/>
    <w:multiLevelType w:val="multilevel"/>
    <w:tmpl w:val="540629EB"/>
    <w:lvl w:ilvl="0" w:tentative="0">
      <w:start w:val="1"/>
      <w:numFmt w:val="decimal"/>
      <w:lvlText w:val="%1."/>
      <w:lvlJc w:val="left"/>
      <w:pPr>
        <w:ind w:left="425" w:hanging="425"/>
      </w:pPr>
      <w:rPr>
        <w:rFonts w:hint="eastAsia"/>
      </w:r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rPr>
        <w:rFonts w:hint="eastAsia"/>
      </w:rPr>
    </w:lvl>
    <w:lvl w:ilvl="3" w:tentative="0">
      <w:start w:val="1"/>
      <w:numFmt w:val="decimal"/>
      <w:lvlText w:val="%1.%2.%3.%4."/>
      <w:lvlJc w:val="left"/>
      <w:pPr>
        <w:ind w:left="851" w:hanging="851"/>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125">
    <w:nsid w:val="54D41EE5"/>
    <w:multiLevelType w:val="multilevel"/>
    <w:tmpl w:val="54D41EE5"/>
    <w:lvl w:ilvl="0" w:tentative="0">
      <w:start w:val="1"/>
      <w:numFmt w:val="decimal"/>
      <w:lvlText w:val="(%1)"/>
      <w:lvlJc w:val="left"/>
      <w:pPr>
        <w:ind w:left="846" w:hanging="420"/>
      </w:pPr>
      <w:rPr>
        <w:rFonts w:hint="default" w:ascii="宋体" w:hAnsi="宋体" w:eastAsia="宋体"/>
        <w:b w:val="0"/>
        <w:color w:val="auto"/>
        <w:sz w:val="21"/>
        <w:szCs w:val="21"/>
      </w:rPr>
    </w:lvl>
    <w:lvl w:ilvl="1" w:tentative="0">
      <w:start w:val="1"/>
      <w:numFmt w:val="lowerLetter"/>
      <w:lvlText w:val="%2)"/>
      <w:lvlJc w:val="left"/>
      <w:pPr>
        <w:ind w:left="1260" w:hanging="420"/>
      </w:pPr>
      <w:rPr>
        <w:rFonts w:hint="eastAsia"/>
        <w:color w:val="auto"/>
      </w:rPr>
    </w:lvl>
    <w:lvl w:ilvl="2" w:tentative="0">
      <w:start w:val="1"/>
      <w:numFmt w:val="lowerLetter"/>
      <w:lvlText w:val="%3."/>
      <w:lvlJc w:val="left"/>
      <w:pPr>
        <w:ind w:left="1620" w:hanging="360"/>
      </w:pPr>
      <w:rPr>
        <w:rFonts w:hint="default"/>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26">
    <w:nsid w:val="55B301A9"/>
    <w:multiLevelType w:val="multilevel"/>
    <w:tmpl w:val="55B301A9"/>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127">
    <w:nsid w:val="560071F3"/>
    <w:multiLevelType w:val="multilevel"/>
    <w:tmpl w:val="560071F3"/>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28">
    <w:nsid w:val="56BE10A8"/>
    <w:multiLevelType w:val="multilevel"/>
    <w:tmpl w:val="56BE10A8"/>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129">
    <w:nsid w:val="57F64988"/>
    <w:multiLevelType w:val="multilevel"/>
    <w:tmpl w:val="57F64988"/>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130">
    <w:nsid w:val="585F02A2"/>
    <w:multiLevelType w:val="multilevel"/>
    <w:tmpl w:val="585F02A2"/>
    <w:lvl w:ilvl="0" w:tentative="0">
      <w:start w:val="1"/>
      <w:numFmt w:val="decimal"/>
      <w:lvlText w:val="(%1)"/>
      <w:lvlJc w:val="left"/>
      <w:pPr>
        <w:ind w:left="846" w:hanging="420"/>
      </w:pPr>
      <w:rPr>
        <w:rFonts w:hint="default" w:ascii="宋体" w:hAnsi="宋体" w:eastAsia="宋体"/>
        <w:b w:val="0"/>
        <w:color w:val="auto"/>
        <w:sz w:val="21"/>
        <w:szCs w:val="21"/>
      </w:rPr>
    </w:lvl>
    <w:lvl w:ilvl="1" w:tentative="0">
      <w:start w:val="1"/>
      <w:numFmt w:val="lowerLetter"/>
      <w:lvlText w:val="%2)"/>
      <w:lvlJc w:val="left"/>
      <w:pPr>
        <w:ind w:left="1260" w:hanging="420"/>
      </w:pPr>
      <w:rPr>
        <w:rFonts w:hint="eastAsia"/>
        <w:color w:val="auto"/>
      </w:rPr>
    </w:lvl>
    <w:lvl w:ilvl="2" w:tentative="0">
      <w:start w:val="1"/>
      <w:numFmt w:val="lowerLetter"/>
      <w:lvlText w:val="%3."/>
      <w:lvlJc w:val="left"/>
      <w:pPr>
        <w:ind w:left="1620" w:hanging="360"/>
      </w:pPr>
      <w:rPr>
        <w:rFonts w:hint="default"/>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31">
    <w:nsid w:val="59462184"/>
    <w:multiLevelType w:val="multilevel"/>
    <w:tmpl w:val="59462184"/>
    <w:lvl w:ilvl="0" w:tentative="0">
      <w:start w:val="1"/>
      <w:numFmt w:val="decimal"/>
      <w:lvlText w:val="%1）"/>
      <w:lvlJc w:val="right"/>
      <w:pPr>
        <w:tabs>
          <w:tab w:val="left" w:pos="-420"/>
        </w:tabs>
        <w:ind w:left="480" w:hanging="420"/>
      </w:pPr>
      <w:rPr>
        <w:rFonts w:hint="eastAsia"/>
      </w:rPr>
    </w:lvl>
    <w:lvl w:ilvl="1" w:tentative="0">
      <w:start w:val="1"/>
      <w:numFmt w:val="lowerLetter"/>
      <w:lvlText w:val="%2)"/>
      <w:lvlJc w:val="left"/>
      <w:pPr>
        <w:tabs>
          <w:tab w:val="left" w:pos="-420"/>
        </w:tabs>
        <w:ind w:left="900" w:hanging="420"/>
      </w:pPr>
    </w:lvl>
    <w:lvl w:ilvl="2" w:tentative="0">
      <w:start w:val="1"/>
      <w:numFmt w:val="lowerRoman"/>
      <w:lvlText w:val="%3."/>
      <w:lvlJc w:val="right"/>
      <w:pPr>
        <w:tabs>
          <w:tab w:val="left" w:pos="-420"/>
        </w:tabs>
        <w:ind w:left="1320" w:hanging="420"/>
      </w:pPr>
    </w:lvl>
    <w:lvl w:ilvl="3" w:tentative="0">
      <w:start w:val="1"/>
      <w:numFmt w:val="decimal"/>
      <w:lvlText w:val="%4."/>
      <w:lvlJc w:val="left"/>
      <w:pPr>
        <w:tabs>
          <w:tab w:val="left" w:pos="-420"/>
        </w:tabs>
        <w:ind w:left="1740" w:hanging="420"/>
      </w:pPr>
    </w:lvl>
    <w:lvl w:ilvl="4" w:tentative="0">
      <w:start w:val="1"/>
      <w:numFmt w:val="lowerLetter"/>
      <w:lvlText w:val="%5)"/>
      <w:lvlJc w:val="left"/>
      <w:pPr>
        <w:tabs>
          <w:tab w:val="left" w:pos="-420"/>
        </w:tabs>
        <w:ind w:left="2160" w:hanging="420"/>
      </w:pPr>
    </w:lvl>
    <w:lvl w:ilvl="5" w:tentative="0">
      <w:start w:val="1"/>
      <w:numFmt w:val="lowerRoman"/>
      <w:lvlText w:val="%6."/>
      <w:lvlJc w:val="right"/>
      <w:pPr>
        <w:tabs>
          <w:tab w:val="left" w:pos="-420"/>
        </w:tabs>
        <w:ind w:left="2580" w:hanging="420"/>
      </w:pPr>
    </w:lvl>
    <w:lvl w:ilvl="6" w:tentative="0">
      <w:start w:val="1"/>
      <w:numFmt w:val="decimal"/>
      <w:lvlText w:val="%7."/>
      <w:lvlJc w:val="left"/>
      <w:pPr>
        <w:tabs>
          <w:tab w:val="left" w:pos="-420"/>
        </w:tabs>
        <w:ind w:left="3000" w:hanging="420"/>
      </w:pPr>
    </w:lvl>
    <w:lvl w:ilvl="7" w:tentative="0">
      <w:start w:val="1"/>
      <w:numFmt w:val="lowerLetter"/>
      <w:lvlText w:val="%8)"/>
      <w:lvlJc w:val="left"/>
      <w:pPr>
        <w:tabs>
          <w:tab w:val="left" w:pos="-420"/>
        </w:tabs>
        <w:ind w:left="3420" w:hanging="420"/>
      </w:pPr>
    </w:lvl>
    <w:lvl w:ilvl="8" w:tentative="0">
      <w:start w:val="1"/>
      <w:numFmt w:val="lowerRoman"/>
      <w:lvlText w:val="%9."/>
      <w:lvlJc w:val="right"/>
      <w:pPr>
        <w:tabs>
          <w:tab w:val="left" w:pos="-420"/>
        </w:tabs>
        <w:ind w:left="3840" w:hanging="420"/>
      </w:pPr>
    </w:lvl>
  </w:abstractNum>
  <w:abstractNum w:abstractNumId="132">
    <w:nsid w:val="59DD4205"/>
    <w:multiLevelType w:val="multilevel"/>
    <w:tmpl w:val="59DD4205"/>
    <w:lvl w:ilvl="0" w:tentative="0">
      <w:start w:val="1"/>
      <w:numFmt w:val="decimal"/>
      <w:lvlText w:val="%1)"/>
      <w:lvlJc w:val="left"/>
      <w:pPr>
        <w:tabs>
          <w:tab w:val="left" w:pos="-420"/>
        </w:tabs>
        <w:ind w:left="0" w:hanging="420"/>
      </w:p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33">
    <w:nsid w:val="59F8497D"/>
    <w:multiLevelType w:val="multilevel"/>
    <w:tmpl w:val="59F8497D"/>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34">
    <w:nsid w:val="5A535D02"/>
    <w:multiLevelType w:val="multilevel"/>
    <w:tmpl w:val="5A535D02"/>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135">
    <w:nsid w:val="5B033BA9"/>
    <w:multiLevelType w:val="multilevel"/>
    <w:tmpl w:val="5B033BA9"/>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36">
    <w:nsid w:val="5BA05EB1"/>
    <w:multiLevelType w:val="multilevel"/>
    <w:tmpl w:val="5BA05EB1"/>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137">
    <w:nsid w:val="5D777194"/>
    <w:multiLevelType w:val="multilevel"/>
    <w:tmpl w:val="5D777194"/>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138">
    <w:nsid w:val="5E9C322F"/>
    <w:multiLevelType w:val="multilevel"/>
    <w:tmpl w:val="5E9C322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39">
    <w:nsid w:val="5EA11BFB"/>
    <w:multiLevelType w:val="multilevel"/>
    <w:tmpl w:val="5EA11BFB"/>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40">
    <w:nsid w:val="62424C7C"/>
    <w:multiLevelType w:val="multilevel"/>
    <w:tmpl w:val="62424C7C"/>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41">
    <w:nsid w:val="65222679"/>
    <w:multiLevelType w:val="multilevel"/>
    <w:tmpl w:val="65222679"/>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42">
    <w:nsid w:val="65787BE9"/>
    <w:multiLevelType w:val="multilevel"/>
    <w:tmpl w:val="65787BE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43">
    <w:nsid w:val="66371DF7"/>
    <w:multiLevelType w:val="multilevel"/>
    <w:tmpl w:val="66371DF7"/>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44">
    <w:nsid w:val="665943D5"/>
    <w:multiLevelType w:val="multilevel"/>
    <w:tmpl w:val="665943D5"/>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145">
    <w:nsid w:val="668130A3"/>
    <w:multiLevelType w:val="multilevel"/>
    <w:tmpl w:val="668130A3"/>
    <w:lvl w:ilvl="0" w:tentative="0">
      <w:start w:val="1"/>
      <w:numFmt w:val="decimal"/>
      <w:lvlText w:val="%1)"/>
      <w:lvlJc w:val="left"/>
      <w:pPr>
        <w:tabs>
          <w:tab w:val="left" w:pos="-420"/>
        </w:tabs>
        <w:ind w:left="300" w:hanging="720"/>
      </w:pPr>
      <w:rPr>
        <w:rFonts w:hint="eastAsia"/>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46">
    <w:nsid w:val="66F62E81"/>
    <w:multiLevelType w:val="multilevel"/>
    <w:tmpl w:val="66F62E81"/>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47">
    <w:nsid w:val="67A4523E"/>
    <w:multiLevelType w:val="multilevel"/>
    <w:tmpl w:val="67A4523E"/>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148">
    <w:nsid w:val="68CE058C"/>
    <w:multiLevelType w:val="multilevel"/>
    <w:tmpl w:val="68CE058C"/>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49">
    <w:nsid w:val="69DE2BCA"/>
    <w:multiLevelType w:val="multilevel"/>
    <w:tmpl w:val="69DE2BC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50">
    <w:nsid w:val="6A0222EE"/>
    <w:multiLevelType w:val="multilevel"/>
    <w:tmpl w:val="6A0222EE"/>
    <w:lvl w:ilvl="0" w:tentative="0">
      <w:start w:val="1"/>
      <w:numFmt w:val="decimal"/>
      <w:lvlText w:val="%1)"/>
      <w:lvlJc w:val="left"/>
      <w:pPr>
        <w:tabs>
          <w:tab w:val="left" w:pos="-420"/>
        </w:tabs>
        <w:ind w:left="300" w:hanging="720"/>
      </w:pPr>
      <w:rPr>
        <w:rFonts w:hint="eastAsia"/>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51">
    <w:nsid w:val="6B2D6043"/>
    <w:multiLevelType w:val="singleLevel"/>
    <w:tmpl w:val="6B2D6043"/>
    <w:lvl w:ilvl="0" w:tentative="0">
      <w:start w:val="11"/>
      <w:numFmt w:val="decimal"/>
      <w:suff w:val="nothing"/>
      <w:lvlText w:val="（%1）"/>
      <w:lvlJc w:val="left"/>
      <w:rPr>
        <w:rFonts w:cs="Times New Roman"/>
      </w:rPr>
    </w:lvl>
  </w:abstractNum>
  <w:abstractNum w:abstractNumId="152">
    <w:nsid w:val="6E505377"/>
    <w:multiLevelType w:val="multilevel"/>
    <w:tmpl w:val="6E505377"/>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53">
    <w:nsid w:val="6F086014"/>
    <w:multiLevelType w:val="multilevel"/>
    <w:tmpl w:val="6F086014"/>
    <w:lvl w:ilvl="0" w:tentative="0">
      <w:start w:val="1"/>
      <w:numFmt w:val="decimal"/>
      <w:lvlText w:val="（%1）"/>
      <w:lvlJc w:val="left"/>
      <w:pPr>
        <w:tabs>
          <w:tab w:val="left" w:pos="-840"/>
        </w:tabs>
        <w:ind w:left="80" w:hanging="440"/>
      </w:pPr>
      <w:rPr>
        <w:rFonts w:hint="eastAsia"/>
      </w:rPr>
    </w:lvl>
    <w:lvl w:ilvl="1" w:tentative="0">
      <w:start w:val="1"/>
      <w:numFmt w:val="lowerLetter"/>
      <w:lvlText w:val="%2)"/>
      <w:lvlJc w:val="left"/>
      <w:pPr>
        <w:tabs>
          <w:tab w:val="left" w:pos="-840"/>
        </w:tabs>
        <w:ind w:left="520" w:hanging="440"/>
      </w:pPr>
    </w:lvl>
    <w:lvl w:ilvl="2" w:tentative="0">
      <w:start w:val="1"/>
      <w:numFmt w:val="lowerRoman"/>
      <w:lvlText w:val="%3."/>
      <w:lvlJc w:val="right"/>
      <w:pPr>
        <w:tabs>
          <w:tab w:val="left" w:pos="-840"/>
        </w:tabs>
        <w:ind w:left="960" w:hanging="440"/>
      </w:pPr>
    </w:lvl>
    <w:lvl w:ilvl="3" w:tentative="0">
      <w:start w:val="1"/>
      <w:numFmt w:val="decimal"/>
      <w:lvlText w:val="%4."/>
      <w:lvlJc w:val="left"/>
      <w:pPr>
        <w:tabs>
          <w:tab w:val="left" w:pos="-840"/>
        </w:tabs>
        <w:ind w:left="1400" w:hanging="440"/>
      </w:pPr>
    </w:lvl>
    <w:lvl w:ilvl="4" w:tentative="0">
      <w:start w:val="1"/>
      <w:numFmt w:val="lowerLetter"/>
      <w:lvlText w:val="%5)"/>
      <w:lvlJc w:val="left"/>
      <w:pPr>
        <w:tabs>
          <w:tab w:val="left" w:pos="-840"/>
        </w:tabs>
        <w:ind w:left="1840" w:hanging="440"/>
      </w:pPr>
    </w:lvl>
    <w:lvl w:ilvl="5" w:tentative="0">
      <w:start w:val="1"/>
      <w:numFmt w:val="lowerRoman"/>
      <w:lvlText w:val="%6."/>
      <w:lvlJc w:val="right"/>
      <w:pPr>
        <w:tabs>
          <w:tab w:val="left" w:pos="-840"/>
        </w:tabs>
        <w:ind w:left="2280" w:hanging="440"/>
      </w:pPr>
    </w:lvl>
    <w:lvl w:ilvl="6" w:tentative="0">
      <w:start w:val="1"/>
      <w:numFmt w:val="decimal"/>
      <w:lvlText w:val="%7."/>
      <w:lvlJc w:val="left"/>
      <w:pPr>
        <w:tabs>
          <w:tab w:val="left" w:pos="-840"/>
        </w:tabs>
        <w:ind w:left="2720" w:hanging="440"/>
      </w:pPr>
    </w:lvl>
    <w:lvl w:ilvl="7" w:tentative="0">
      <w:start w:val="1"/>
      <w:numFmt w:val="lowerLetter"/>
      <w:lvlText w:val="%8)"/>
      <w:lvlJc w:val="left"/>
      <w:pPr>
        <w:tabs>
          <w:tab w:val="left" w:pos="-840"/>
        </w:tabs>
        <w:ind w:left="3160" w:hanging="440"/>
      </w:pPr>
    </w:lvl>
    <w:lvl w:ilvl="8" w:tentative="0">
      <w:start w:val="1"/>
      <w:numFmt w:val="lowerRoman"/>
      <w:lvlText w:val="%9."/>
      <w:lvlJc w:val="right"/>
      <w:pPr>
        <w:tabs>
          <w:tab w:val="left" w:pos="-840"/>
        </w:tabs>
        <w:ind w:left="3600" w:hanging="440"/>
      </w:pPr>
    </w:lvl>
  </w:abstractNum>
  <w:abstractNum w:abstractNumId="154">
    <w:nsid w:val="6F7D64B0"/>
    <w:multiLevelType w:val="multilevel"/>
    <w:tmpl w:val="6F7D64B0"/>
    <w:lvl w:ilvl="0" w:tentative="0">
      <w:start w:val="1"/>
      <w:numFmt w:val="decimal"/>
      <w:lvlText w:val="%1）"/>
      <w:lvlJc w:val="righ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5">
    <w:nsid w:val="700B241B"/>
    <w:multiLevelType w:val="multilevel"/>
    <w:tmpl w:val="700B241B"/>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56">
    <w:nsid w:val="70B23D32"/>
    <w:multiLevelType w:val="singleLevel"/>
    <w:tmpl w:val="70B23D32"/>
    <w:lvl w:ilvl="0" w:tentative="0">
      <w:start w:val="1"/>
      <w:numFmt w:val="decimal"/>
      <w:lvlText w:val="%1)"/>
      <w:lvlJc w:val="left"/>
      <w:pPr>
        <w:ind w:left="905" w:hanging="425"/>
      </w:pPr>
      <w:rPr>
        <w:rFonts w:hint="default" w:cs="Times New Roman"/>
      </w:rPr>
    </w:lvl>
  </w:abstractNum>
  <w:abstractNum w:abstractNumId="157">
    <w:nsid w:val="71021ADC"/>
    <w:multiLevelType w:val="multilevel"/>
    <w:tmpl w:val="71021ADC"/>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158">
    <w:nsid w:val="713422BB"/>
    <w:multiLevelType w:val="multilevel"/>
    <w:tmpl w:val="713422BB"/>
    <w:lvl w:ilvl="0" w:tentative="0">
      <w:start w:val="1"/>
      <w:numFmt w:val="decimal"/>
      <w:lvlText w:val="（%1）"/>
      <w:lvlJc w:val="left"/>
      <w:pPr>
        <w:tabs>
          <w:tab w:val="left" w:pos="-840"/>
        </w:tabs>
        <w:ind w:left="80" w:hanging="440"/>
      </w:pPr>
      <w:rPr>
        <w:rFonts w:hint="eastAsia"/>
      </w:rPr>
    </w:lvl>
    <w:lvl w:ilvl="1" w:tentative="0">
      <w:start w:val="1"/>
      <w:numFmt w:val="lowerLetter"/>
      <w:lvlText w:val="%2)"/>
      <w:lvlJc w:val="left"/>
      <w:pPr>
        <w:tabs>
          <w:tab w:val="left" w:pos="-840"/>
        </w:tabs>
        <w:ind w:left="520" w:hanging="440"/>
      </w:pPr>
    </w:lvl>
    <w:lvl w:ilvl="2" w:tentative="0">
      <w:start w:val="1"/>
      <w:numFmt w:val="lowerRoman"/>
      <w:lvlText w:val="%3."/>
      <w:lvlJc w:val="right"/>
      <w:pPr>
        <w:tabs>
          <w:tab w:val="left" w:pos="-840"/>
        </w:tabs>
        <w:ind w:left="960" w:hanging="440"/>
      </w:pPr>
    </w:lvl>
    <w:lvl w:ilvl="3" w:tentative="0">
      <w:start w:val="1"/>
      <w:numFmt w:val="decimal"/>
      <w:lvlText w:val="%4."/>
      <w:lvlJc w:val="left"/>
      <w:pPr>
        <w:tabs>
          <w:tab w:val="left" w:pos="-840"/>
        </w:tabs>
        <w:ind w:left="1400" w:hanging="440"/>
      </w:pPr>
    </w:lvl>
    <w:lvl w:ilvl="4" w:tentative="0">
      <w:start w:val="1"/>
      <w:numFmt w:val="lowerLetter"/>
      <w:lvlText w:val="%5)"/>
      <w:lvlJc w:val="left"/>
      <w:pPr>
        <w:tabs>
          <w:tab w:val="left" w:pos="-840"/>
        </w:tabs>
        <w:ind w:left="1840" w:hanging="440"/>
      </w:pPr>
    </w:lvl>
    <w:lvl w:ilvl="5" w:tentative="0">
      <w:start w:val="1"/>
      <w:numFmt w:val="lowerRoman"/>
      <w:lvlText w:val="%6."/>
      <w:lvlJc w:val="right"/>
      <w:pPr>
        <w:tabs>
          <w:tab w:val="left" w:pos="-840"/>
        </w:tabs>
        <w:ind w:left="2280" w:hanging="440"/>
      </w:pPr>
    </w:lvl>
    <w:lvl w:ilvl="6" w:tentative="0">
      <w:start w:val="1"/>
      <w:numFmt w:val="decimal"/>
      <w:lvlText w:val="%7."/>
      <w:lvlJc w:val="left"/>
      <w:pPr>
        <w:tabs>
          <w:tab w:val="left" w:pos="-840"/>
        </w:tabs>
        <w:ind w:left="2720" w:hanging="440"/>
      </w:pPr>
    </w:lvl>
    <w:lvl w:ilvl="7" w:tentative="0">
      <w:start w:val="1"/>
      <w:numFmt w:val="lowerLetter"/>
      <w:lvlText w:val="%8)"/>
      <w:lvlJc w:val="left"/>
      <w:pPr>
        <w:tabs>
          <w:tab w:val="left" w:pos="-840"/>
        </w:tabs>
        <w:ind w:left="3160" w:hanging="440"/>
      </w:pPr>
    </w:lvl>
    <w:lvl w:ilvl="8" w:tentative="0">
      <w:start w:val="1"/>
      <w:numFmt w:val="lowerRoman"/>
      <w:lvlText w:val="%9."/>
      <w:lvlJc w:val="right"/>
      <w:pPr>
        <w:tabs>
          <w:tab w:val="left" w:pos="-840"/>
        </w:tabs>
        <w:ind w:left="3600" w:hanging="440"/>
      </w:pPr>
    </w:lvl>
  </w:abstractNum>
  <w:abstractNum w:abstractNumId="159">
    <w:nsid w:val="71B15699"/>
    <w:multiLevelType w:val="multilevel"/>
    <w:tmpl w:val="71B15699"/>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60">
    <w:nsid w:val="752556C7"/>
    <w:multiLevelType w:val="multilevel"/>
    <w:tmpl w:val="752556C7"/>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61">
    <w:nsid w:val="75A8087F"/>
    <w:multiLevelType w:val="multilevel"/>
    <w:tmpl w:val="75A8087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62">
    <w:nsid w:val="75B57B4C"/>
    <w:multiLevelType w:val="multilevel"/>
    <w:tmpl w:val="75B57B4C"/>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63">
    <w:nsid w:val="76086C13"/>
    <w:multiLevelType w:val="multilevel"/>
    <w:tmpl w:val="76086C13"/>
    <w:lvl w:ilvl="0" w:tentative="0">
      <w:start w:val="1"/>
      <w:numFmt w:val="decimal"/>
      <w:lvlText w:val="%1)"/>
      <w:lvlJc w:val="left"/>
      <w:pPr>
        <w:tabs>
          <w:tab w:val="left" w:pos="-2520"/>
        </w:tabs>
        <w:ind w:left="310" w:hanging="420"/>
      </w:pPr>
    </w:lvl>
    <w:lvl w:ilvl="1" w:tentative="0">
      <w:start w:val="1"/>
      <w:numFmt w:val="lowerLetter"/>
      <w:lvlText w:val="%2)"/>
      <w:lvlJc w:val="left"/>
      <w:pPr>
        <w:tabs>
          <w:tab w:val="left" w:pos="-2520"/>
        </w:tabs>
        <w:ind w:left="730" w:hanging="420"/>
      </w:pPr>
    </w:lvl>
    <w:lvl w:ilvl="2" w:tentative="0">
      <w:start w:val="1"/>
      <w:numFmt w:val="lowerRoman"/>
      <w:lvlText w:val="%3."/>
      <w:lvlJc w:val="right"/>
      <w:pPr>
        <w:tabs>
          <w:tab w:val="left" w:pos="-2520"/>
        </w:tabs>
        <w:ind w:left="1150" w:hanging="420"/>
      </w:pPr>
    </w:lvl>
    <w:lvl w:ilvl="3" w:tentative="0">
      <w:start w:val="1"/>
      <w:numFmt w:val="decimal"/>
      <w:lvlText w:val="%4."/>
      <w:lvlJc w:val="left"/>
      <w:pPr>
        <w:tabs>
          <w:tab w:val="left" w:pos="-2520"/>
        </w:tabs>
        <w:ind w:left="1570" w:hanging="420"/>
      </w:pPr>
    </w:lvl>
    <w:lvl w:ilvl="4" w:tentative="0">
      <w:start w:val="1"/>
      <w:numFmt w:val="lowerLetter"/>
      <w:lvlText w:val="%5)"/>
      <w:lvlJc w:val="left"/>
      <w:pPr>
        <w:tabs>
          <w:tab w:val="left" w:pos="-2520"/>
        </w:tabs>
        <w:ind w:left="1990" w:hanging="420"/>
      </w:pPr>
    </w:lvl>
    <w:lvl w:ilvl="5" w:tentative="0">
      <w:start w:val="1"/>
      <w:numFmt w:val="lowerRoman"/>
      <w:lvlText w:val="%6."/>
      <w:lvlJc w:val="right"/>
      <w:pPr>
        <w:tabs>
          <w:tab w:val="left" w:pos="-2520"/>
        </w:tabs>
        <w:ind w:left="2410" w:hanging="420"/>
      </w:pPr>
    </w:lvl>
    <w:lvl w:ilvl="6" w:tentative="0">
      <w:start w:val="1"/>
      <w:numFmt w:val="decimal"/>
      <w:lvlText w:val="%7."/>
      <w:lvlJc w:val="left"/>
      <w:pPr>
        <w:tabs>
          <w:tab w:val="left" w:pos="-2520"/>
        </w:tabs>
        <w:ind w:left="2830" w:hanging="420"/>
      </w:pPr>
    </w:lvl>
    <w:lvl w:ilvl="7" w:tentative="0">
      <w:start w:val="1"/>
      <w:numFmt w:val="lowerLetter"/>
      <w:lvlText w:val="%8)"/>
      <w:lvlJc w:val="left"/>
      <w:pPr>
        <w:tabs>
          <w:tab w:val="left" w:pos="-2520"/>
        </w:tabs>
        <w:ind w:left="3250" w:hanging="420"/>
      </w:pPr>
    </w:lvl>
    <w:lvl w:ilvl="8" w:tentative="0">
      <w:start w:val="1"/>
      <w:numFmt w:val="lowerRoman"/>
      <w:lvlText w:val="%9."/>
      <w:lvlJc w:val="right"/>
      <w:pPr>
        <w:tabs>
          <w:tab w:val="left" w:pos="-2520"/>
        </w:tabs>
        <w:ind w:left="3670" w:hanging="420"/>
      </w:pPr>
    </w:lvl>
  </w:abstractNum>
  <w:abstractNum w:abstractNumId="164">
    <w:nsid w:val="76A72765"/>
    <w:multiLevelType w:val="multilevel"/>
    <w:tmpl w:val="76A72765"/>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65">
    <w:nsid w:val="77287F84"/>
    <w:multiLevelType w:val="multilevel"/>
    <w:tmpl w:val="77287F84"/>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166">
    <w:nsid w:val="784D5B61"/>
    <w:multiLevelType w:val="multilevel"/>
    <w:tmpl w:val="784D5B61"/>
    <w:lvl w:ilvl="0" w:tentative="0">
      <w:start w:val="1"/>
      <w:numFmt w:val="lowerLetter"/>
      <w:lvlText w:val="%1)"/>
      <w:lvlJc w:val="left"/>
      <w:pPr>
        <w:tabs>
          <w:tab w:val="left" w:pos="-420"/>
        </w:tabs>
        <w:ind w:left="710" w:hanging="420"/>
      </w:pPr>
      <w:rPr>
        <w:rFonts w:hint="eastAsia" w:cs="Times New Roman"/>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67">
    <w:nsid w:val="78BF1AF3"/>
    <w:multiLevelType w:val="multilevel"/>
    <w:tmpl w:val="78BF1AF3"/>
    <w:lvl w:ilvl="0" w:tentative="0">
      <w:start w:val="1"/>
      <w:numFmt w:val="decimal"/>
      <w:lvlText w:val="%1)"/>
      <w:lvlJc w:val="left"/>
      <w:pPr>
        <w:tabs>
          <w:tab w:val="left" w:pos="-420"/>
        </w:tabs>
        <w:ind w:left="0" w:hanging="420"/>
      </w:p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68">
    <w:nsid w:val="7AA313EF"/>
    <w:multiLevelType w:val="multilevel"/>
    <w:tmpl w:val="7AA313EF"/>
    <w:lvl w:ilvl="0" w:tentative="0">
      <w:start w:val="1"/>
      <w:numFmt w:val="decimal"/>
      <w:lvlText w:val="%1)"/>
      <w:lvlJc w:val="left"/>
      <w:pPr>
        <w:tabs>
          <w:tab w:val="left" w:pos="-420"/>
        </w:tabs>
        <w:ind w:left="300" w:hanging="720"/>
      </w:pPr>
      <w:rPr>
        <w:rFonts w:hint="eastAsia"/>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69">
    <w:nsid w:val="7BBD633E"/>
    <w:multiLevelType w:val="multilevel"/>
    <w:tmpl w:val="7BBD633E"/>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70">
    <w:nsid w:val="7F540BB3"/>
    <w:multiLevelType w:val="multilevel"/>
    <w:tmpl w:val="7F540BB3"/>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num w:numId="1">
    <w:abstractNumId w:val="17"/>
  </w:num>
  <w:num w:numId="2">
    <w:abstractNumId w:val="105"/>
  </w:num>
  <w:num w:numId="3">
    <w:abstractNumId w:val="71"/>
  </w:num>
  <w:num w:numId="4">
    <w:abstractNumId w:val="151"/>
  </w:num>
  <w:num w:numId="5">
    <w:abstractNumId w:val="6"/>
  </w:num>
  <w:num w:numId="6">
    <w:abstractNumId w:val="89"/>
  </w:num>
  <w:num w:numId="7">
    <w:abstractNumId w:val="2"/>
  </w:num>
  <w:num w:numId="8">
    <w:abstractNumId w:val="156"/>
  </w:num>
  <w:num w:numId="9">
    <w:abstractNumId w:val="21"/>
  </w:num>
  <w:num w:numId="10">
    <w:abstractNumId w:val="8"/>
  </w:num>
  <w:num w:numId="11">
    <w:abstractNumId w:val="30"/>
  </w:num>
  <w:num w:numId="12">
    <w:abstractNumId w:val="7"/>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37"/>
  </w:num>
  <w:num w:numId="16">
    <w:abstractNumId w:val="26"/>
  </w:num>
  <w:num w:numId="17">
    <w:abstractNumId w:val="65"/>
  </w:num>
  <w:num w:numId="18">
    <w:abstractNumId w:val="154"/>
  </w:num>
  <w:num w:numId="19">
    <w:abstractNumId w:val="67"/>
  </w:num>
  <w:num w:numId="20">
    <w:abstractNumId w:val="86"/>
  </w:num>
  <w:num w:numId="21">
    <w:abstractNumId w:val="104"/>
  </w:num>
  <w:num w:numId="22">
    <w:abstractNumId w:val="59"/>
  </w:num>
  <w:num w:numId="23">
    <w:abstractNumId w:val="131"/>
  </w:num>
  <w:num w:numId="24">
    <w:abstractNumId w:val="81"/>
  </w:num>
  <w:num w:numId="25">
    <w:abstractNumId w:val="77"/>
  </w:num>
  <w:num w:numId="26">
    <w:abstractNumId w:val="167"/>
  </w:num>
  <w:num w:numId="27">
    <w:abstractNumId w:val="132"/>
  </w:num>
  <w:num w:numId="28">
    <w:abstractNumId w:val="76"/>
  </w:num>
  <w:num w:numId="29">
    <w:abstractNumId w:val="69"/>
  </w:num>
  <w:num w:numId="30">
    <w:abstractNumId w:val="150"/>
  </w:num>
  <w:num w:numId="31">
    <w:abstractNumId w:val="113"/>
  </w:num>
  <w:num w:numId="32">
    <w:abstractNumId w:val="145"/>
  </w:num>
  <w:num w:numId="33">
    <w:abstractNumId w:val="168"/>
  </w:num>
  <w:num w:numId="34">
    <w:abstractNumId w:val="163"/>
  </w:num>
  <w:num w:numId="35">
    <w:abstractNumId w:val="11"/>
  </w:num>
  <w:num w:numId="36">
    <w:abstractNumId w:val="22"/>
  </w:num>
  <w:num w:numId="37">
    <w:abstractNumId w:val="23"/>
  </w:num>
  <w:num w:numId="38">
    <w:abstractNumId w:val="33"/>
  </w:num>
  <w:num w:numId="39">
    <w:abstractNumId w:val="31"/>
  </w:num>
  <w:num w:numId="40">
    <w:abstractNumId w:val="88"/>
  </w:num>
  <w:num w:numId="41">
    <w:abstractNumId w:val="97"/>
  </w:num>
  <w:num w:numId="42">
    <w:abstractNumId w:val="39"/>
  </w:num>
  <w:num w:numId="43">
    <w:abstractNumId w:val="32"/>
  </w:num>
  <w:num w:numId="44">
    <w:abstractNumId w:val="144"/>
  </w:num>
  <w:num w:numId="45">
    <w:abstractNumId w:val="58"/>
  </w:num>
  <w:num w:numId="46">
    <w:abstractNumId w:val="165"/>
  </w:num>
  <w:num w:numId="47">
    <w:abstractNumId w:val="64"/>
  </w:num>
  <w:num w:numId="48">
    <w:abstractNumId w:val="83"/>
  </w:num>
  <w:num w:numId="49">
    <w:abstractNumId w:val="147"/>
  </w:num>
  <w:num w:numId="50">
    <w:abstractNumId w:val="57"/>
  </w:num>
  <w:num w:numId="51">
    <w:abstractNumId w:val="61"/>
  </w:num>
  <w:num w:numId="52">
    <w:abstractNumId w:val="117"/>
  </w:num>
  <w:num w:numId="53">
    <w:abstractNumId w:val="126"/>
  </w:num>
  <w:num w:numId="54">
    <w:abstractNumId w:val="5"/>
  </w:num>
  <w:num w:numId="55">
    <w:abstractNumId w:val="16"/>
  </w:num>
  <w:num w:numId="56">
    <w:abstractNumId w:val="18"/>
  </w:num>
  <w:num w:numId="57">
    <w:abstractNumId w:val="92"/>
  </w:num>
  <w:num w:numId="58">
    <w:abstractNumId w:val="4"/>
  </w:num>
  <w:num w:numId="59">
    <w:abstractNumId w:val="111"/>
  </w:num>
  <w:num w:numId="60">
    <w:abstractNumId w:val="46"/>
  </w:num>
  <w:num w:numId="61">
    <w:abstractNumId w:val="12"/>
  </w:num>
  <w:num w:numId="62">
    <w:abstractNumId w:val="13"/>
  </w:num>
  <w:num w:numId="63">
    <w:abstractNumId w:val="138"/>
  </w:num>
  <w:num w:numId="64">
    <w:abstractNumId w:val="14"/>
  </w:num>
  <w:num w:numId="65">
    <w:abstractNumId w:val="27"/>
  </w:num>
  <w:num w:numId="66">
    <w:abstractNumId w:val="9"/>
  </w:num>
  <w:num w:numId="67">
    <w:abstractNumId w:val="127"/>
  </w:num>
  <w:num w:numId="68">
    <w:abstractNumId w:val="107"/>
  </w:num>
  <w:num w:numId="69">
    <w:abstractNumId w:val="19"/>
  </w:num>
  <w:num w:numId="70">
    <w:abstractNumId w:val="10"/>
  </w:num>
  <w:num w:numId="71">
    <w:abstractNumId w:val="41"/>
  </w:num>
  <w:num w:numId="72">
    <w:abstractNumId w:val="93"/>
  </w:num>
  <w:num w:numId="73">
    <w:abstractNumId w:val="166"/>
  </w:num>
  <w:num w:numId="74">
    <w:abstractNumId w:val="35"/>
  </w:num>
  <w:num w:numId="75">
    <w:abstractNumId w:val="0"/>
  </w:num>
  <w:num w:numId="76">
    <w:abstractNumId w:val="3"/>
  </w:num>
  <w:num w:numId="77">
    <w:abstractNumId w:val="95"/>
  </w:num>
  <w:num w:numId="78">
    <w:abstractNumId w:val="96"/>
  </w:num>
  <w:num w:numId="79">
    <w:abstractNumId w:val="34"/>
  </w:num>
  <w:num w:numId="80">
    <w:abstractNumId w:val="25"/>
  </w:num>
  <w:num w:numId="81">
    <w:abstractNumId w:val="148"/>
  </w:num>
  <w:num w:numId="82">
    <w:abstractNumId w:val="70"/>
  </w:num>
  <w:num w:numId="83">
    <w:abstractNumId w:val="15"/>
  </w:num>
  <w:num w:numId="84">
    <w:abstractNumId w:val="141"/>
  </w:num>
  <w:num w:numId="85">
    <w:abstractNumId w:val="84"/>
  </w:num>
  <w:num w:numId="86">
    <w:abstractNumId w:val="80"/>
  </w:num>
  <w:num w:numId="87">
    <w:abstractNumId w:val="43"/>
  </w:num>
  <w:num w:numId="88">
    <w:abstractNumId w:val="139"/>
  </w:num>
  <w:num w:numId="89">
    <w:abstractNumId w:val="75"/>
  </w:num>
  <w:num w:numId="90">
    <w:abstractNumId w:val="90"/>
  </w:num>
  <w:num w:numId="91">
    <w:abstractNumId w:val="119"/>
  </w:num>
  <w:num w:numId="92">
    <w:abstractNumId w:val="155"/>
  </w:num>
  <w:num w:numId="93">
    <w:abstractNumId w:val="140"/>
  </w:num>
  <w:num w:numId="94">
    <w:abstractNumId w:val="164"/>
  </w:num>
  <w:num w:numId="95">
    <w:abstractNumId w:val="143"/>
  </w:num>
  <w:num w:numId="96">
    <w:abstractNumId w:val="60"/>
  </w:num>
  <w:num w:numId="97">
    <w:abstractNumId w:val="160"/>
  </w:num>
  <w:num w:numId="98">
    <w:abstractNumId w:val="146"/>
  </w:num>
  <w:num w:numId="99">
    <w:abstractNumId w:val="98"/>
  </w:num>
  <w:num w:numId="100">
    <w:abstractNumId w:val="102"/>
  </w:num>
  <w:num w:numId="101">
    <w:abstractNumId w:val="133"/>
  </w:num>
  <w:num w:numId="102">
    <w:abstractNumId w:val="100"/>
  </w:num>
  <w:num w:numId="103">
    <w:abstractNumId w:val="1"/>
  </w:num>
  <w:num w:numId="104">
    <w:abstractNumId w:val="42"/>
  </w:num>
  <w:num w:numId="105">
    <w:abstractNumId w:val="55"/>
  </w:num>
  <w:num w:numId="106">
    <w:abstractNumId w:val="115"/>
  </w:num>
  <w:num w:numId="107">
    <w:abstractNumId w:val="161"/>
  </w:num>
  <w:num w:numId="108">
    <w:abstractNumId w:val="103"/>
  </w:num>
  <w:num w:numId="109">
    <w:abstractNumId w:val="51"/>
  </w:num>
  <w:num w:numId="110">
    <w:abstractNumId w:val="114"/>
  </w:num>
  <w:num w:numId="111">
    <w:abstractNumId w:val="44"/>
  </w:num>
  <w:num w:numId="112">
    <w:abstractNumId w:val="62"/>
  </w:num>
  <w:num w:numId="113">
    <w:abstractNumId w:val="63"/>
  </w:num>
  <w:num w:numId="114">
    <w:abstractNumId w:val="82"/>
  </w:num>
  <w:num w:numId="115">
    <w:abstractNumId w:val="52"/>
  </w:num>
  <w:num w:numId="116">
    <w:abstractNumId w:val="159"/>
  </w:num>
  <w:num w:numId="117">
    <w:abstractNumId w:val="123"/>
  </w:num>
  <w:num w:numId="118">
    <w:abstractNumId w:val="78"/>
  </w:num>
  <w:num w:numId="119">
    <w:abstractNumId w:val="28"/>
  </w:num>
  <w:num w:numId="120">
    <w:abstractNumId w:val="56"/>
  </w:num>
  <w:num w:numId="121">
    <w:abstractNumId w:val="91"/>
  </w:num>
  <w:num w:numId="122">
    <w:abstractNumId w:val="116"/>
  </w:num>
  <w:num w:numId="123">
    <w:abstractNumId w:val="50"/>
  </w:num>
  <w:num w:numId="124">
    <w:abstractNumId w:val="54"/>
  </w:num>
  <w:num w:numId="125">
    <w:abstractNumId w:val="45"/>
  </w:num>
  <w:num w:numId="126">
    <w:abstractNumId w:val="99"/>
  </w:num>
  <w:num w:numId="127">
    <w:abstractNumId w:val="101"/>
  </w:num>
  <w:num w:numId="128">
    <w:abstractNumId w:val="162"/>
  </w:num>
  <w:num w:numId="129">
    <w:abstractNumId w:val="36"/>
  </w:num>
  <w:num w:numId="130">
    <w:abstractNumId w:val="135"/>
  </w:num>
  <w:num w:numId="131">
    <w:abstractNumId w:val="130"/>
  </w:num>
  <w:num w:numId="132">
    <w:abstractNumId w:val="48"/>
  </w:num>
  <w:num w:numId="133">
    <w:abstractNumId w:val="38"/>
  </w:num>
  <w:num w:numId="134">
    <w:abstractNumId w:val="53"/>
  </w:num>
  <w:num w:numId="135">
    <w:abstractNumId w:val="125"/>
  </w:num>
  <w:num w:numId="136">
    <w:abstractNumId w:val="112"/>
  </w:num>
  <w:num w:numId="137">
    <w:abstractNumId w:val="72"/>
  </w:num>
  <w:num w:numId="138">
    <w:abstractNumId w:val="169"/>
  </w:num>
  <w:num w:numId="139">
    <w:abstractNumId w:val="129"/>
  </w:num>
  <w:num w:numId="140">
    <w:abstractNumId w:val="110"/>
  </w:num>
  <w:num w:numId="141">
    <w:abstractNumId w:val="66"/>
  </w:num>
  <w:num w:numId="142">
    <w:abstractNumId w:val="134"/>
  </w:num>
  <w:num w:numId="143">
    <w:abstractNumId w:val="128"/>
  </w:num>
  <w:num w:numId="144">
    <w:abstractNumId w:val="29"/>
  </w:num>
  <w:num w:numId="145">
    <w:abstractNumId w:val="24"/>
  </w:num>
  <w:num w:numId="146">
    <w:abstractNumId w:val="149"/>
  </w:num>
  <w:num w:numId="147">
    <w:abstractNumId w:val="157"/>
  </w:num>
  <w:num w:numId="148">
    <w:abstractNumId w:val="87"/>
  </w:num>
  <w:num w:numId="149">
    <w:abstractNumId w:val="136"/>
  </w:num>
  <w:num w:numId="150">
    <w:abstractNumId w:val="47"/>
  </w:num>
  <w:num w:numId="151">
    <w:abstractNumId w:val="73"/>
  </w:num>
  <w:num w:numId="152">
    <w:abstractNumId w:val="118"/>
  </w:num>
  <w:num w:numId="153">
    <w:abstractNumId w:val="142"/>
  </w:num>
  <w:num w:numId="154">
    <w:abstractNumId w:val="85"/>
  </w:num>
  <w:num w:numId="155">
    <w:abstractNumId w:val="68"/>
  </w:num>
  <w:num w:numId="156">
    <w:abstractNumId w:val="152"/>
  </w:num>
  <w:num w:numId="157">
    <w:abstractNumId w:val="121"/>
  </w:num>
  <w:num w:numId="158">
    <w:abstractNumId w:val="122"/>
  </w:num>
  <w:num w:numId="159">
    <w:abstractNumId w:val="94"/>
  </w:num>
  <w:num w:numId="160">
    <w:abstractNumId w:val="74"/>
  </w:num>
  <w:num w:numId="161">
    <w:abstractNumId w:val="124"/>
  </w:num>
  <w:num w:numId="162">
    <w:abstractNumId w:val="137"/>
  </w:num>
  <w:num w:numId="163">
    <w:abstractNumId w:val="109"/>
  </w:num>
  <w:num w:numId="164">
    <w:abstractNumId w:val="170"/>
  </w:num>
  <w:num w:numId="165">
    <w:abstractNumId w:val="120"/>
  </w:num>
  <w:num w:numId="166">
    <w:abstractNumId w:val="106"/>
  </w:num>
  <w:num w:numId="167">
    <w:abstractNumId w:val="108"/>
  </w:num>
  <w:num w:numId="168">
    <w:abstractNumId w:val="40"/>
  </w:num>
  <w:num w:numId="169">
    <w:abstractNumId w:val="79"/>
  </w:num>
  <w:num w:numId="170">
    <w:abstractNumId w:val="153"/>
  </w:num>
  <w:num w:numId="171">
    <w:abstractNumId w:val="158"/>
  </w:num>
  <w:num w:numId="172">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revisionView w:markup="0"/>
  <w:trackRevisions w:val="1"/>
  <w:documentProtection w:enforcement="0"/>
  <w:defaultTabStop w:val="420"/>
  <w:drawingGridHorizontalSpacing w:val="240"/>
  <w:drawingGridVerticalSpacing w:val="-794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UxYTIzNWRkYmU0YjIzZmYwMWEzNTUxZmEwYmI2MzUifQ=="/>
  </w:docVars>
  <w:rsids>
    <w:rsidRoot w:val="00172A27"/>
    <w:rsid w:val="00045729"/>
    <w:rsid w:val="00172A27"/>
    <w:rsid w:val="001F5173"/>
    <w:rsid w:val="004C48B8"/>
    <w:rsid w:val="005374EC"/>
    <w:rsid w:val="006862C9"/>
    <w:rsid w:val="006E7221"/>
    <w:rsid w:val="007143C6"/>
    <w:rsid w:val="0073380C"/>
    <w:rsid w:val="007C1FFA"/>
    <w:rsid w:val="008659FA"/>
    <w:rsid w:val="00877DFE"/>
    <w:rsid w:val="00962227"/>
    <w:rsid w:val="00A65123"/>
    <w:rsid w:val="00A955C0"/>
    <w:rsid w:val="00B57E05"/>
    <w:rsid w:val="00BB076B"/>
    <w:rsid w:val="00C11F80"/>
    <w:rsid w:val="00C359E4"/>
    <w:rsid w:val="00E1290C"/>
    <w:rsid w:val="00E72400"/>
    <w:rsid w:val="00FD66D9"/>
    <w:rsid w:val="016078E1"/>
    <w:rsid w:val="01D04021"/>
    <w:rsid w:val="03B92990"/>
    <w:rsid w:val="05052005"/>
    <w:rsid w:val="06131AA7"/>
    <w:rsid w:val="06351208"/>
    <w:rsid w:val="07844837"/>
    <w:rsid w:val="07D109E4"/>
    <w:rsid w:val="08863EFB"/>
    <w:rsid w:val="090062C9"/>
    <w:rsid w:val="0B1146B3"/>
    <w:rsid w:val="0CEA2F24"/>
    <w:rsid w:val="0E7304C4"/>
    <w:rsid w:val="10392AC9"/>
    <w:rsid w:val="104B14B8"/>
    <w:rsid w:val="11767A70"/>
    <w:rsid w:val="131B16E4"/>
    <w:rsid w:val="134573AB"/>
    <w:rsid w:val="16907088"/>
    <w:rsid w:val="176928E2"/>
    <w:rsid w:val="18454A50"/>
    <w:rsid w:val="1B66485B"/>
    <w:rsid w:val="1E2B0B0E"/>
    <w:rsid w:val="1F5D1741"/>
    <w:rsid w:val="1FB36F50"/>
    <w:rsid w:val="22645DF0"/>
    <w:rsid w:val="24311587"/>
    <w:rsid w:val="250707EA"/>
    <w:rsid w:val="25755DC7"/>
    <w:rsid w:val="284511BC"/>
    <w:rsid w:val="29B21F98"/>
    <w:rsid w:val="2B3A563A"/>
    <w:rsid w:val="2B4122A9"/>
    <w:rsid w:val="2C387683"/>
    <w:rsid w:val="2D397F21"/>
    <w:rsid w:val="2F00175D"/>
    <w:rsid w:val="2F6A2C38"/>
    <w:rsid w:val="301461DC"/>
    <w:rsid w:val="302A3DD1"/>
    <w:rsid w:val="311315B3"/>
    <w:rsid w:val="31840810"/>
    <w:rsid w:val="31C15573"/>
    <w:rsid w:val="32C204F6"/>
    <w:rsid w:val="32F3759F"/>
    <w:rsid w:val="372B34A0"/>
    <w:rsid w:val="37A16DEC"/>
    <w:rsid w:val="3A4B46FF"/>
    <w:rsid w:val="3CA63A52"/>
    <w:rsid w:val="3DB755CD"/>
    <w:rsid w:val="3DF5764D"/>
    <w:rsid w:val="3E5205E8"/>
    <w:rsid w:val="3FE91433"/>
    <w:rsid w:val="402C79CD"/>
    <w:rsid w:val="42044F2A"/>
    <w:rsid w:val="4470681D"/>
    <w:rsid w:val="456D0411"/>
    <w:rsid w:val="45EB1D12"/>
    <w:rsid w:val="4B34092B"/>
    <w:rsid w:val="4CE2442C"/>
    <w:rsid w:val="4D7D6575"/>
    <w:rsid w:val="4E8F431F"/>
    <w:rsid w:val="4E9F4A7B"/>
    <w:rsid w:val="4F537D57"/>
    <w:rsid w:val="504850E2"/>
    <w:rsid w:val="566D1474"/>
    <w:rsid w:val="56715B61"/>
    <w:rsid w:val="57194CE6"/>
    <w:rsid w:val="59FE5B32"/>
    <w:rsid w:val="5ABA09E9"/>
    <w:rsid w:val="5B0029FD"/>
    <w:rsid w:val="5C13157B"/>
    <w:rsid w:val="5C8742BD"/>
    <w:rsid w:val="5C8F11EE"/>
    <w:rsid w:val="5E6B4F15"/>
    <w:rsid w:val="6027313D"/>
    <w:rsid w:val="6285540A"/>
    <w:rsid w:val="634E67B8"/>
    <w:rsid w:val="65DC0022"/>
    <w:rsid w:val="6709250B"/>
    <w:rsid w:val="685F41D5"/>
    <w:rsid w:val="686D205F"/>
    <w:rsid w:val="68E51A78"/>
    <w:rsid w:val="692A0243"/>
    <w:rsid w:val="6A4B7A1C"/>
    <w:rsid w:val="6B533B8A"/>
    <w:rsid w:val="6C533BB8"/>
    <w:rsid w:val="6D7256AA"/>
    <w:rsid w:val="6DF972EC"/>
    <w:rsid w:val="6E166D75"/>
    <w:rsid w:val="6EEF533F"/>
    <w:rsid w:val="6F46781D"/>
    <w:rsid w:val="6FB13AA7"/>
    <w:rsid w:val="7012103C"/>
    <w:rsid w:val="701B05DF"/>
    <w:rsid w:val="7206482F"/>
    <w:rsid w:val="739F4EC0"/>
    <w:rsid w:val="73BA6638"/>
    <w:rsid w:val="752601BF"/>
    <w:rsid w:val="781D3D26"/>
    <w:rsid w:val="78240A8F"/>
    <w:rsid w:val="783C54B3"/>
    <w:rsid w:val="786578CA"/>
    <w:rsid w:val="78832648"/>
    <w:rsid w:val="797E17F1"/>
    <w:rsid w:val="79AC345B"/>
    <w:rsid w:val="7AF04842"/>
    <w:rsid w:val="7C0861C2"/>
    <w:rsid w:val="7CFD5F2D"/>
    <w:rsid w:val="7D5C7321"/>
    <w:rsid w:val="7DF12C86"/>
    <w:rsid w:val="7EDF58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99"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iPriority="0" w:semiHidden="0" w:name="Message Header"/>
    <w:lsdException w:qFormat="1" w:unhideWhenUsed="0" w:uiPriority="11"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spacing w:line="360" w:lineRule="auto"/>
      <w:ind w:firstLine="1040" w:firstLineChars="200"/>
      <w:jc w:val="both"/>
    </w:pPr>
    <w:rPr>
      <w:rFonts w:ascii="宋体" w:hAnsi="宋体" w:eastAsia="宋体" w:cstheme="minorBidi"/>
      <w:kern w:val="2"/>
      <w:sz w:val="24"/>
      <w:szCs w:val="24"/>
      <w:lang w:val="en-US" w:eastAsia="zh-CN" w:bidi="ar-SA"/>
    </w:rPr>
  </w:style>
  <w:style w:type="paragraph" w:styleId="2">
    <w:name w:val="heading 1"/>
    <w:basedOn w:val="1"/>
    <w:next w:val="1"/>
    <w:qFormat/>
    <w:uiPriority w:val="0"/>
    <w:pPr>
      <w:keepNext/>
      <w:keepLines/>
      <w:numPr>
        <w:ilvl w:val="0"/>
        <w:numId w:val="1"/>
      </w:numPr>
      <w:tabs>
        <w:tab w:val="left" w:pos="420"/>
      </w:tabs>
      <w:spacing w:beforeLines="50"/>
      <w:ind w:firstLine="0" w:firstLineChars="0"/>
      <w:jc w:val="left"/>
      <w:outlineLvl w:val="0"/>
    </w:pPr>
    <w:rPr>
      <w:b/>
      <w:kern w:val="44"/>
      <w:sz w:val="28"/>
    </w:rPr>
  </w:style>
  <w:style w:type="paragraph" w:styleId="3">
    <w:name w:val="heading 2"/>
    <w:basedOn w:val="1"/>
    <w:next w:val="1"/>
    <w:link w:val="32"/>
    <w:unhideWhenUsed/>
    <w:qFormat/>
    <w:uiPriority w:val="0"/>
    <w:pPr>
      <w:keepNext/>
      <w:keepLines/>
      <w:numPr>
        <w:ilvl w:val="1"/>
        <w:numId w:val="1"/>
      </w:numPr>
      <w:tabs>
        <w:tab w:val="left" w:pos="0"/>
      </w:tabs>
      <w:ind w:firstLine="0" w:firstLineChars="0"/>
      <w:outlineLvl w:val="1"/>
    </w:pPr>
    <w:rPr>
      <w:b/>
    </w:rPr>
  </w:style>
  <w:style w:type="paragraph" w:styleId="4">
    <w:name w:val="heading 3"/>
    <w:basedOn w:val="1"/>
    <w:next w:val="1"/>
    <w:link w:val="29"/>
    <w:unhideWhenUsed/>
    <w:qFormat/>
    <w:uiPriority w:val="0"/>
    <w:pPr>
      <w:keepLines/>
      <w:numPr>
        <w:ilvl w:val="2"/>
        <w:numId w:val="1"/>
      </w:numPr>
      <w:tabs>
        <w:tab w:val="left" w:pos="0"/>
      </w:tabs>
      <w:ind w:firstLine="0" w:firstLineChars="0"/>
      <w:outlineLvl w:val="2"/>
    </w:pPr>
  </w:style>
  <w:style w:type="paragraph" w:styleId="5">
    <w:name w:val="heading 4"/>
    <w:basedOn w:val="1"/>
    <w:next w:val="1"/>
    <w:unhideWhenUsed/>
    <w:qFormat/>
    <w:uiPriority w:val="0"/>
    <w:pPr>
      <w:keepLines/>
      <w:numPr>
        <w:ilvl w:val="3"/>
        <w:numId w:val="1"/>
      </w:numPr>
      <w:ind w:firstLine="0" w:firstLineChars="0"/>
      <w:outlineLvl w:val="3"/>
    </w:pPr>
  </w:style>
  <w:style w:type="paragraph" w:styleId="6">
    <w:name w:val="heading 5"/>
    <w:basedOn w:val="1"/>
    <w:next w:val="1"/>
    <w:unhideWhenUsed/>
    <w:qFormat/>
    <w:uiPriority w:val="0"/>
    <w:pPr>
      <w:keepNext/>
      <w:keepLines/>
      <w:numPr>
        <w:ilvl w:val="4"/>
        <w:numId w:val="1"/>
      </w:numPr>
      <w:ind w:firstLine="0" w:firstLineChars="0"/>
      <w:outlineLvl w:val="4"/>
    </w:pPr>
    <w:rPr>
      <w:rFonts w:cs="宋体"/>
    </w:rPr>
  </w:style>
  <w:style w:type="paragraph" w:styleId="7">
    <w:name w:val="heading 6"/>
    <w:basedOn w:val="1"/>
    <w:next w:val="1"/>
    <w:semiHidden/>
    <w:unhideWhenUsed/>
    <w:qFormat/>
    <w:uiPriority w:val="0"/>
    <w:pPr>
      <w:keepNext/>
      <w:keepLines/>
      <w:numPr>
        <w:ilvl w:val="5"/>
        <w:numId w:val="1"/>
      </w:numPr>
      <w:spacing w:line="317" w:lineRule="auto"/>
      <w:ind w:firstLine="0" w:firstLineChars="0"/>
      <w:outlineLvl w:val="5"/>
    </w:pPr>
    <w:rPr>
      <w:rFonts w:ascii="Arial" w:hAnsi="Arial" w:eastAsia="黑体"/>
      <w:b/>
    </w:rPr>
  </w:style>
  <w:style w:type="paragraph" w:styleId="8">
    <w:name w:val="heading 7"/>
    <w:basedOn w:val="1"/>
    <w:next w:val="1"/>
    <w:semiHidden/>
    <w:unhideWhenUsed/>
    <w:qFormat/>
    <w:uiPriority w:val="0"/>
    <w:pPr>
      <w:keepNext/>
      <w:keepLines/>
      <w:numPr>
        <w:ilvl w:val="6"/>
        <w:numId w:val="1"/>
      </w:numPr>
      <w:spacing w:line="317" w:lineRule="auto"/>
      <w:ind w:firstLine="0" w:firstLineChars="0"/>
      <w:outlineLvl w:val="6"/>
    </w:pPr>
    <w:rPr>
      <w:b/>
    </w:rPr>
  </w:style>
  <w:style w:type="paragraph" w:styleId="9">
    <w:name w:val="heading 8"/>
    <w:basedOn w:val="1"/>
    <w:next w:val="1"/>
    <w:semiHidden/>
    <w:unhideWhenUsed/>
    <w:qFormat/>
    <w:uiPriority w:val="0"/>
    <w:pPr>
      <w:keepNext/>
      <w:keepLines/>
      <w:numPr>
        <w:ilvl w:val="7"/>
        <w:numId w:val="1"/>
      </w:numPr>
      <w:spacing w:line="317" w:lineRule="auto"/>
      <w:ind w:firstLine="0" w:firstLineChars="0"/>
      <w:outlineLvl w:val="7"/>
    </w:pPr>
    <w:rPr>
      <w:rFonts w:ascii="Arial" w:hAnsi="Arial" w:eastAsia="黑体"/>
    </w:rPr>
  </w:style>
  <w:style w:type="paragraph" w:styleId="10">
    <w:name w:val="heading 9"/>
    <w:basedOn w:val="1"/>
    <w:next w:val="1"/>
    <w:semiHidden/>
    <w:unhideWhenUsed/>
    <w:qFormat/>
    <w:uiPriority w:val="0"/>
    <w:pPr>
      <w:keepNext/>
      <w:keepLines/>
      <w:numPr>
        <w:ilvl w:val="8"/>
        <w:numId w:val="1"/>
      </w:numPr>
      <w:spacing w:line="317" w:lineRule="auto"/>
      <w:ind w:firstLine="0" w:firstLineChars="0"/>
      <w:outlineLvl w:val="8"/>
    </w:pPr>
    <w:rPr>
      <w:rFonts w:ascii="Arial" w:hAnsi="Arial" w:eastAsia="黑体"/>
      <w:sz w:val="21"/>
    </w:rPr>
  </w:style>
  <w:style w:type="character" w:default="1" w:styleId="22">
    <w:name w:val="Default Paragraph Font"/>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qFormat/>
    <w:uiPriority w:val="0"/>
    <w:pPr>
      <w:jc w:val="left"/>
    </w:pPr>
  </w:style>
  <w:style w:type="paragraph" w:styleId="12">
    <w:name w:val="Body Text"/>
    <w:basedOn w:val="1"/>
    <w:semiHidden/>
    <w:qFormat/>
    <w:uiPriority w:val="0"/>
    <w:pPr>
      <w:ind w:firstLine="0" w:firstLineChars="0"/>
      <w:jc w:val="center"/>
    </w:pPr>
    <w:rPr>
      <w:rFonts w:cs="宋体"/>
      <w:sz w:val="31"/>
      <w:szCs w:val="31"/>
      <w:lang w:eastAsia="en-US"/>
    </w:rPr>
  </w:style>
  <w:style w:type="paragraph" w:styleId="13">
    <w:name w:val="Block Text"/>
    <w:basedOn w:val="1"/>
    <w:link w:val="31"/>
    <w:qFormat/>
    <w:uiPriority w:val="0"/>
    <w:pPr>
      <w:adjustRightInd w:val="0"/>
      <w:spacing w:line="240" w:lineRule="auto"/>
      <w:ind w:firstLine="0" w:firstLineChars="0"/>
      <w:jc w:val="center"/>
      <w:textAlignment w:val="baseline"/>
    </w:pPr>
    <w:rPr>
      <w:rFonts w:cs="宋体"/>
      <w:kern w:val="0"/>
      <w:sz w:val="21"/>
      <w:szCs w:val="20"/>
    </w:rPr>
  </w:style>
  <w:style w:type="paragraph" w:styleId="14">
    <w:name w:val="Plain Text"/>
    <w:basedOn w:val="1"/>
    <w:next w:val="1"/>
    <w:unhideWhenUsed/>
    <w:qFormat/>
    <w:uiPriority w:val="0"/>
    <w:rPr>
      <w:rFonts w:hAnsi="Courier New"/>
      <w:sz w:val="21"/>
    </w:rPr>
  </w:style>
  <w:style w:type="paragraph" w:styleId="15">
    <w:name w:val="Balloon Text"/>
    <w:basedOn w:val="1"/>
    <w:link w:val="33"/>
    <w:qFormat/>
    <w:uiPriority w:val="0"/>
    <w:pPr>
      <w:spacing w:line="240" w:lineRule="auto"/>
    </w:pPr>
    <w:rPr>
      <w:sz w:val="18"/>
      <w:szCs w:val="18"/>
    </w:rPr>
  </w:style>
  <w:style w:type="paragraph" w:styleId="16">
    <w:name w:val="footer"/>
    <w:basedOn w:val="1"/>
    <w:qFormat/>
    <w:uiPriority w:val="0"/>
    <w:pPr>
      <w:tabs>
        <w:tab w:val="center" w:pos="4153"/>
        <w:tab w:val="right" w:pos="8306"/>
      </w:tabs>
      <w:jc w:val="left"/>
    </w:pPr>
    <w:rPr>
      <w:sz w:val="18"/>
    </w:rPr>
  </w:style>
  <w:style w:type="paragraph" w:styleId="1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pacing w:line="240" w:lineRule="auto"/>
    </w:pPr>
    <w:rPr>
      <w:sz w:val="18"/>
    </w:rPr>
  </w:style>
  <w:style w:type="paragraph" w:styleId="18">
    <w:name w:val="Subtitle"/>
    <w:basedOn w:val="1"/>
    <w:next w:val="1"/>
    <w:link w:val="30"/>
    <w:qFormat/>
    <w:uiPriority w:val="11"/>
    <w:pPr>
      <w:ind w:firstLine="200"/>
    </w:pPr>
    <w:rPr>
      <w:rFonts w:ascii="Times New Roman" w:hAnsi="Times New Roman" w:cstheme="majorBidi"/>
      <w:bCs/>
      <w:kern w:val="28"/>
      <w:szCs w:val="32"/>
    </w:rPr>
  </w:style>
  <w:style w:type="paragraph" w:styleId="19">
    <w:name w:val="Title"/>
    <w:basedOn w:val="1"/>
    <w:next w:val="1"/>
    <w:qFormat/>
    <w:uiPriority w:val="0"/>
    <w:pPr>
      <w:spacing w:beforeLines="50" w:afterLines="50"/>
      <w:outlineLvl w:val="2"/>
    </w:pPr>
    <w:rPr>
      <w:rFonts w:ascii="Times New Roman" w:hAnsi="Times New Roman" w:cstheme="majorBidi"/>
      <w:b/>
      <w:bCs/>
      <w:szCs w:val="32"/>
    </w:rPr>
  </w:style>
  <w:style w:type="table" w:styleId="21">
    <w:name w:val="Table Grid"/>
    <w:basedOn w:val="2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annotation reference"/>
    <w:basedOn w:val="22"/>
    <w:qFormat/>
    <w:uiPriority w:val="0"/>
    <w:rPr>
      <w:sz w:val="21"/>
      <w:szCs w:val="21"/>
    </w:rPr>
  </w:style>
  <w:style w:type="paragraph" w:customStyle="1" w:styleId="24">
    <w:name w:val="样式 宋体 行距: 1.5 倍行距"/>
    <w:basedOn w:val="1"/>
    <w:qFormat/>
    <w:uiPriority w:val="99"/>
    <w:pPr>
      <w:jc w:val="center"/>
    </w:pPr>
    <w:rPr>
      <w:b/>
      <w:bCs/>
    </w:rPr>
  </w:style>
  <w:style w:type="table" w:customStyle="1" w:styleId="25">
    <w:name w:val="Table Normal"/>
    <w:semiHidden/>
    <w:unhideWhenUsed/>
    <w:qFormat/>
    <w:uiPriority w:val="0"/>
    <w:tblPr>
      <w:tblCellMar>
        <w:top w:w="0" w:type="dxa"/>
        <w:left w:w="0" w:type="dxa"/>
        <w:bottom w:w="0" w:type="dxa"/>
        <w:right w:w="0" w:type="dxa"/>
      </w:tblCellMar>
    </w:tblPr>
  </w:style>
  <w:style w:type="paragraph" w:customStyle="1" w:styleId="26">
    <w:name w:val="图片"/>
    <w:basedOn w:val="1"/>
    <w:qFormat/>
    <w:uiPriority w:val="0"/>
    <w:pPr>
      <w:adjustRightInd w:val="0"/>
      <w:spacing w:line="240" w:lineRule="auto"/>
      <w:ind w:firstLine="0" w:firstLineChars="0"/>
      <w:jc w:val="center"/>
      <w:textAlignment w:val="baseline"/>
    </w:pPr>
    <w:rPr>
      <w:rFonts w:hint="eastAsia" w:ascii="等线" w:hAnsi="等线"/>
      <w:b/>
      <w:kern w:val="0"/>
      <w:sz w:val="21"/>
      <w:szCs w:val="20"/>
    </w:rPr>
  </w:style>
  <w:style w:type="table" w:customStyle="1" w:styleId="27">
    <w:name w:val="网格型3"/>
    <w:basedOn w:val="20"/>
    <w:qFormat/>
    <w:uiPriority w:val="59"/>
    <w:pPr>
      <w:widowControl w:val="0"/>
      <w:jc w:val="both"/>
    </w:pPr>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
    <w:name w:val="网格型21"/>
    <w:basedOn w:val="2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9">
    <w:name w:val="标题 3 字符"/>
    <w:link w:val="4"/>
    <w:qFormat/>
    <w:uiPriority w:val="0"/>
    <w:rPr>
      <w:rFonts w:ascii="宋体" w:hAnsi="宋体" w:cstheme="minorBidi"/>
      <w:kern w:val="2"/>
      <w:sz w:val="24"/>
      <w:szCs w:val="24"/>
    </w:rPr>
  </w:style>
  <w:style w:type="character" w:customStyle="1" w:styleId="30">
    <w:name w:val="副标题 字符"/>
    <w:basedOn w:val="22"/>
    <w:link w:val="18"/>
    <w:qFormat/>
    <w:uiPriority w:val="11"/>
    <w:rPr>
      <w:rFonts w:ascii="Times New Roman" w:hAnsi="Times New Roman" w:cstheme="majorBidi"/>
      <w:bCs/>
      <w:kern w:val="28"/>
      <w:sz w:val="24"/>
      <w:szCs w:val="32"/>
    </w:rPr>
  </w:style>
  <w:style w:type="character" w:customStyle="1" w:styleId="31">
    <w:name w:val="文本块 字符"/>
    <w:link w:val="13"/>
    <w:qFormat/>
    <w:uiPriority w:val="0"/>
    <w:rPr>
      <w:rFonts w:ascii="宋体" w:hAnsi="宋体" w:eastAsia="宋体" w:cs="宋体"/>
      <w:kern w:val="0"/>
      <w:sz w:val="21"/>
      <w:szCs w:val="20"/>
    </w:rPr>
  </w:style>
  <w:style w:type="character" w:customStyle="1" w:styleId="32">
    <w:name w:val="标题 2 字符"/>
    <w:link w:val="3"/>
    <w:qFormat/>
    <w:uiPriority w:val="0"/>
    <w:rPr>
      <w:rFonts w:ascii="宋体" w:hAnsi="宋体" w:cstheme="minorBidi"/>
      <w:b/>
      <w:kern w:val="2"/>
      <w:sz w:val="24"/>
      <w:szCs w:val="24"/>
    </w:rPr>
  </w:style>
  <w:style w:type="character" w:customStyle="1" w:styleId="33">
    <w:name w:val="批注框文本 字符"/>
    <w:basedOn w:val="22"/>
    <w:link w:val="15"/>
    <w:qFormat/>
    <w:uiPriority w:val="0"/>
    <w:rPr>
      <w:rFonts w:ascii="宋体" w:hAnsi="宋体" w:cstheme="minorBidi"/>
      <w:kern w:val="2"/>
      <w:sz w:val="18"/>
      <w:szCs w:val="18"/>
    </w:rPr>
  </w:style>
  <w:style w:type="paragraph" w:customStyle="1" w:styleId="34">
    <w:name w:val="Revision"/>
    <w:hidden/>
    <w:unhideWhenUsed/>
    <w:qFormat/>
    <w:uiPriority w:val="99"/>
    <w:rPr>
      <w:rFonts w:ascii="宋体" w:hAnsi="宋体" w:eastAsia="宋体" w:cstheme="minorBidi"/>
      <w:kern w:val="2"/>
      <w:sz w:val="24"/>
      <w:szCs w:val="24"/>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89.jpeg"/><Relationship Id="rId98" Type="http://schemas.openxmlformats.org/officeDocument/2006/relationships/image" Target="media/image88.jpeg"/><Relationship Id="rId97" Type="http://schemas.openxmlformats.org/officeDocument/2006/relationships/image" Target="media/image87.jpeg"/><Relationship Id="rId96" Type="http://schemas.openxmlformats.org/officeDocument/2006/relationships/image" Target="media/image86.jpeg"/><Relationship Id="rId95" Type="http://schemas.openxmlformats.org/officeDocument/2006/relationships/image" Target="media/image85.jpeg"/><Relationship Id="rId94" Type="http://schemas.openxmlformats.org/officeDocument/2006/relationships/image" Target="media/image84.jpeg"/><Relationship Id="rId93" Type="http://schemas.openxmlformats.org/officeDocument/2006/relationships/image" Target="media/image83.jpeg"/><Relationship Id="rId92" Type="http://schemas.openxmlformats.org/officeDocument/2006/relationships/image" Target="media/image82.jpeg"/><Relationship Id="rId91" Type="http://schemas.openxmlformats.org/officeDocument/2006/relationships/image" Target="media/image81.jpeg"/><Relationship Id="rId90" Type="http://schemas.openxmlformats.org/officeDocument/2006/relationships/image" Target="media/image80.jpeg"/><Relationship Id="rId9" Type="http://schemas.openxmlformats.org/officeDocument/2006/relationships/footer" Target="footer3.xml"/><Relationship Id="rId89" Type="http://schemas.openxmlformats.org/officeDocument/2006/relationships/image" Target="media/image79.jpeg"/><Relationship Id="rId88" Type="http://schemas.openxmlformats.org/officeDocument/2006/relationships/image" Target="media/image78.jpeg"/><Relationship Id="rId87" Type="http://schemas.openxmlformats.org/officeDocument/2006/relationships/image" Target="media/image77.jpeg"/><Relationship Id="rId86" Type="http://schemas.openxmlformats.org/officeDocument/2006/relationships/image" Target="media/image76.jpeg"/><Relationship Id="rId85" Type="http://schemas.openxmlformats.org/officeDocument/2006/relationships/image" Target="media/image75.jpeg"/><Relationship Id="rId84" Type="http://schemas.openxmlformats.org/officeDocument/2006/relationships/image" Target="media/image74.jpeg"/><Relationship Id="rId83" Type="http://schemas.openxmlformats.org/officeDocument/2006/relationships/image" Target="media/image73.jpeg"/><Relationship Id="rId82" Type="http://schemas.openxmlformats.org/officeDocument/2006/relationships/image" Target="media/image72.jpeg"/><Relationship Id="rId81" Type="http://schemas.openxmlformats.org/officeDocument/2006/relationships/image" Target="media/image71.jpeg"/><Relationship Id="rId80" Type="http://schemas.openxmlformats.org/officeDocument/2006/relationships/image" Target="media/image70.png"/><Relationship Id="rId8" Type="http://schemas.openxmlformats.org/officeDocument/2006/relationships/header" Target="header2.xml"/><Relationship Id="rId79" Type="http://schemas.openxmlformats.org/officeDocument/2006/relationships/image" Target="media/image69.png"/><Relationship Id="rId78" Type="http://schemas.openxmlformats.org/officeDocument/2006/relationships/image" Target="media/image68.png"/><Relationship Id="rId77" Type="http://schemas.openxmlformats.org/officeDocument/2006/relationships/image" Target="media/image67.jpeg"/><Relationship Id="rId76" Type="http://schemas.openxmlformats.org/officeDocument/2006/relationships/image" Target="media/image66.jpeg"/><Relationship Id="rId75" Type="http://schemas.openxmlformats.org/officeDocument/2006/relationships/image" Target="media/image65.jpeg"/><Relationship Id="rId74" Type="http://schemas.openxmlformats.org/officeDocument/2006/relationships/image" Target="media/image64.png"/><Relationship Id="rId73" Type="http://schemas.openxmlformats.org/officeDocument/2006/relationships/image" Target="media/image63.jpeg"/><Relationship Id="rId72" Type="http://schemas.openxmlformats.org/officeDocument/2006/relationships/image" Target="media/image62.jpeg"/><Relationship Id="rId71" Type="http://schemas.openxmlformats.org/officeDocument/2006/relationships/image" Target="media/image61.jpeg"/><Relationship Id="rId70" Type="http://schemas.openxmlformats.org/officeDocument/2006/relationships/image" Target="media/image60.jpeg"/><Relationship Id="rId7" Type="http://schemas.openxmlformats.org/officeDocument/2006/relationships/footer" Target="footer2.xml"/><Relationship Id="rId69" Type="http://schemas.openxmlformats.org/officeDocument/2006/relationships/image" Target="media/image59.png"/><Relationship Id="rId68" Type="http://schemas.openxmlformats.org/officeDocument/2006/relationships/image" Target="media/image58.jpeg"/><Relationship Id="rId67" Type="http://schemas.openxmlformats.org/officeDocument/2006/relationships/image" Target="media/image57.png"/><Relationship Id="rId66" Type="http://schemas.openxmlformats.org/officeDocument/2006/relationships/image" Target="media/image56.png"/><Relationship Id="rId65" Type="http://schemas.openxmlformats.org/officeDocument/2006/relationships/image" Target="media/image55.jpeg"/><Relationship Id="rId64" Type="http://schemas.openxmlformats.org/officeDocument/2006/relationships/image" Target="media/image54.jpeg"/><Relationship Id="rId63" Type="http://schemas.openxmlformats.org/officeDocument/2006/relationships/image" Target="media/image53.jpeg"/><Relationship Id="rId62" Type="http://schemas.openxmlformats.org/officeDocument/2006/relationships/image" Target="media/image52.jpeg"/><Relationship Id="rId61" Type="http://schemas.openxmlformats.org/officeDocument/2006/relationships/image" Target="media/image51.jpeg"/><Relationship Id="rId60" Type="http://schemas.openxmlformats.org/officeDocument/2006/relationships/image" Target="media/image50.jpeg"/><Relationship Id="rId6" Type="http://schemas.openxmlformats.org/officeDocument/2006/relationships/header" Target="header1.xml"/><Relationship Id="rId59" Type="http://schemas.openxmlformats.org/officeDocument/2006/relationships/image" Target="media/image49.jpeg"/><Relationship Id="rId58" Type="http://schemas.openxmlformats.org/officeDocument/2006/relationships/image" Target="media/image48.jpeg"/><Relationship Id="rId57" Type="http://schemas.openxmlformats.org/officeDocument/2006/relationships/image" Target="media/image47.jpeg"/><Relationship Id="rId56" Type="http://schemas.openxmlformats.org/officeDocument/2006/relationships/image" Target="media/image46.jpeg"/><Relationship Id="rId55" Type="http://schemas.openxmlformats.org/officeDocument/2006/relationships/image" Target="media/image45.jpeg"/><Relationship Id="rId54" Type="http://schemas.openxmlformats.org/officeDocument/2006/relationships/image" Target="media/image44.png"/><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jpeg"/><Relationship Id="rId50" Type="http://schemas.openxmlformats.org/officeDocument/2006/relationships/image" Target="media/image40.jpeg"/><Relationship Id="rId5" Type="http://schemas.openxmlformats.org/officeDocument/2006/relationships/footer" Target="footer1.xml"/><Relationship Id="rId49" Type="http://schemas.openxmlformats.org/officeDocument/2006/relationships/image" Target="media/image39.jpeg"/><Relationship Id="rId48" Type="http://schemas.openxmlformats.org/officeDocument/2006/relationships/image" Target="media/image38.jpeg"/><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pn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endnotes" Target="endnotes.xml"/><Relationship Id="rId39" Type="http://schemas.openxmlformats.org/officeDocument/2006/relationships/image" Target="media/image29.jpeg"/><Relationship Id="rId38" Type="http://schemas.openxmlformats.org/officeDocument/2006/relationships/image" Target="media/image28.jpeg"/><Relationship Id="rId37" Type="http://schemas.openxmlformats.org/officeDocument/2006/relationships/image" Target="media/image27.jpeg"/><Relationship Id="rId36" Type="http://schemas.openxmlformats.org/officeDocument/2006/relationships/image" Target="media/image26.jpeg"/><Relationship Id="rId35" Type="http://schemas.openxmlformats.org/officeDocument/2006/relationships/image" Target="media/image25.jpeg"/><Relationship Id="rId34" Type="http://schemas.openxmlformats.org/officeDocument/2006/relationships/image" Target="media/image24.jpeg"/><Relationship Id="rId33" Type="http://schemas.openxmlformats.org/officeDocument/2006/relationships/image" Target="media/image23.jpeg"/><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jpeg"/><Relationship Id="rId15" Type="http://schemas.openxmlformats.org/officeDocument/2006/relationships/image" Target="media/image5.png"/><Relationship Id="rId144" Type="http://schemas.openxmlformats.org/officeDocument/2006/relationships/fontTable" Target="fontTable.xml"/><Relationship Id="rId143" Type="http://schemas.openxmlformats.org/officeDocument/2006/relationships/numbering" Target="numbering.xml"/><Relationship Id="rId142" Type="http://schemas.openxmlformats.org/officeDocument/2006/relationships/customXml" Target="../customXml/item1.xml"/><Relationship Id="rId141" Type="http://schemas.openxmlformats.org/officeDocument/2006/relationships/image" Target="media/image131.jpeg"/><Relationship Id="rId140" Type="http://schemas.openxmlformats.org/officeDocument/2006/relationships/image" Target="media/image130.png"/><Relationship Id="rId14" Type="http://schemas.openxmlformats.org/officeDocument/2006/relationships/image" Target="media/image4.png"/><Relationship Id="rId139" Type="http://schemas.openxmlformats.org/officeDocument/2006/relationships/image" Target="media/image129.png"/><Relationship Id="rId138" Type="http://schemas.openxmlformats.org/officeDocument/2006/relationships/image" Target="media/image128.jpeg"/><Relationship Id="rId137" Type="http://schemas.openxmlformats.org/officeDocument/2006/relationships/image" Target="media/image127.png"/><Relationship Id="rId136" Type="http://schemas.openxmlformats.org/officeDocument/2006/relationships/image" Target="media/image126.png"/><Relationship Id="rId135" Type="http://schemas.openxmlformats.org/officeDocument/2006/relationships/image" Target="media/image125.png"/><Relationship Id="rId134" Type="http://schemas.openxmlformats.org/officeDocument/2006/relationships/image" Target="media/image124.png"/><Relationship Id="rId133" Type="http://schemas.openxmlformats.org/officeDocument/2006/relationships/image" Target="media/image123.png"/><Relationship Id="rId132" Type="http://schemas.openxmlformats.org/officeDocument/2006/relationships/image" Target="media/image122.png"/><Relationship Id="rId131" Type="http://schemas.openxmlformats.org/officeDocument/2006/relationships/image" Target="media/image121.png"/><Relationship Id="rId130" Type="http://schemas.openxmlformats.org/officeDocument/2006/relationships/image" Target="media/image120.png"/><Relationship Id="rId13" Type="http://schemas.openxmlformats.org/officeDocument/2006/relationships/image" Target="media/image3.jpeg"/><Relationship Id="rId129" Type="http://schemas.openxmlformats.org/officeDocument/2006/relationships/image" Target="media/image119.png"/><Relationship Id="rId128" Type="http://schemas.openxmlformats.org/officeDocument/2006/relationships/image" Target="media/image118.png"/><Relationship Id="rId127" Type="http://schemas.openxmlformats.org/officeDocument/2006/relationships/image" Target="media/image117.png"/><Relationship Id="rId126" Type="http://schemas.openxmlformats.org/officeDocument/2006/relationships/image" Target="media/image116.png"/><Relationship Id="rId125" Type="http://schemas.openxmlformats.org/officeDocument/2006/relationships/image" Target="media/image115.png"/><Relationship Id="rId124" Type="http://schemas.openxmlformats.org/officeDocument/2006/relationships/image" Target="media/image114.png"/><Relationship Id="rId123" Type="http://schemas.openxmlformats.org/officeDocument/2006/relationships/image" Target="media/image113.png"/><Relationship Id="rId122" Type="http://schemas.openxmlformats.org/officeDocument/2006/relationships/image" Target="media/image112.jpeg"/><Relationship Id="rId121" Type="http://schemas.openxmlformats.org/officeDocument/2006/relationships/image" Target="media/image111.jpeg"/><Relationship Id="rId120" Type="http://schemas.openxmlformats.org/officeDocument/2006/relationships/image" Target="media/image110.png"/><Relationship Id="rId12" Type="http://schemas.openxmlformats.org/officeDocument/2006/relationships/image" Target="media/image2.jpeg"/><Relationship Id="rId119" Type="http://schemas.openxmlformats.org/officeDocument/2006/relationships/image" Target="media/image109.jpeg"/><Relationship Id="rId118" Type="http://schemas.openxmlformats.org/officeDocument/2006/relationships/image" Target="media/image108.png"/><Relationship Id="rId117" Type="http://schemas.openxmlformats.org/officeDocument/2006/relationships/image" Target="media/image107.png"/><Relationship Id="rId116" Type="http://schemas.openxmlformats.org/officeDocument/2006/relationships/image" Target="media/image106.jpeg"/><Relationship Id="rId115" Type="http://schemas.openxmlformats.org/officeDocument/2006/relationships/image" Target="media/image105.jpeg"/><Relationship Id="rId114" Type="http://schemas.openxmlformats.org/officeDocument/2006/relationships/image" Target="media/image104.jpeg"/><Relationship Id="rId113" Type="http://schemas.openxmlformats.org/officeDocument/2006/relationships/image" Target="media/image103.jpeg"/><Relationship Id="rId112" Type="http://schemas.openxmlformats.org/officeDocument/2006/relationships/image" Target="media/image102.jpeg"/><Relationship Id="rId111" Type="http://schemas.openxmlformats.org/officeDocument/2006/relationships/image" Target="media/image101.jpeg"/><Relationship Id="rId110" Type="http://schemas.openxmlformats.org/officeDocument/2006/relationships/image" Target="media/image100.jpeg"/><Relationship Id="rId11" Type="http://schemas.openxmlformats.org/officeDocument/2006/relationships/image" Target="media/image1.png"/><Relationship Id="rId109" Type="http://schemas.openxmlformats.org/officeDocument/2006/relationships/image" Target="media/image99.jpeg"/><Relationship Id="rId108" Type="http://schemas.openxmlformats.org/officeDocument/2006/relationships/image" Target="media/image98.jpeg"/><Relationship Id="rId107" Type="http://schemas.openxmlformats.org/officeDocument/2006/relationships/image" Target="media/image97.jpeg"/><Relationship Id="rId106" Type="http://schemas.openxmlformats.org/officeDocument/2006/relationships/image" Target="media/image96.png"/><Relationship Id="rId105" Type="http://schemas.openxmlformats.org/officeDocument/2006/relationships/image" Target="media/image95.jpeg"/><Relationship Id="rId104" Type="http://schemas.openxmlformats.org/officeDocument/2006/relationships/image" Target="media/image94.jpeg"/><Relationship Id="rId103" Type="http://schemas.openxmlformats.org/officeDocument/2006/relationships/image" Target="media/image93.jpeg"/><Relationship Id="rId102" Type="http://schemas.openxmlformats.org/officeDocument/2006/relationships/image" Target="media/image92.jpeg"/><Relationship Id="rId101" Type="http://schemas.openxmlformats.org/officeDocument/2006/relationships/image" Target="media/image91.jpeg"/><Relationship Id="rId100" Type="http://schemas.openxmlformats.org/officeDocument/2006/relationships/image" Target="media/image90.jpe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169</Pages>
  <Words>21437</Words>
  <Characters>22108</Characters>
  <Lines>4579</Lines>
  <Paragraphs>2466</Paragraphs>
  <TotalTime>0</TotalTime>
  <ScaleCrop>false</ScaleCrop>
  <LinksUpToDate>false</LinksUpToDate>
  <CharactersWithSpaces>22130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2025-05-30T07:29:00Z</dcterms:created>
  <dc:creator>-</dc:creator>
  <cp:lastModifiedBy>刘小平</cp:lastModifiedBy>
  <cp:lastPrinted>2025-02-27T01:18:00Z</cp:lastPrinted>
  <dcterms:modified xsi:type="dcterms:W3CDTF">2025-07-02T08:47:13Z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D0A2605AFB9C4085A1931CA1B32C88E5_13</vt:lpwstr>
  </property>
  <property fmtid="{D5CDD505-2E9C-101B-9397-08002B2CF9AE}" pid="4" name="KSOTemplateDocerSaveRecord">
    <vt:lpwstr>eyJoZGlkIjoiNmFhYmYwNjhkNjhhZDljNWIzNWJmMjk2YjFlYWQ5YTUiLCJ1c2VySWQiOiIxNDkxOTUyNTQ3In0=</vt:lpwstr>
  </property>
</Properties>
</file>