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附件1                     </w:t>
      </w:r>
    </w:p>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工程项目情况</w:t>
      </w:r>
    </w:p>
    <w:p>
      <w:pPr>
        <w:adjustRightInd w:val="0"/>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一、工程项目描述</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1、工程地点和建设意义</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深汕高速公路东段（G15汕头至汕尾段）东起汕头达濠，与海湾大桥相接，向西途经汕头市、揭阳市、汕尾市，西止于陆丰潭西，与深汕高速西段连接，国高网桩号范围为K2565+348～K2705+364，路段全长140.016km，均为沥青混凝土路面。全线共有桥梁210 座，其中特大桥1 座、大桥10 座、中桥47 座、小桥152 座，涵洞644 座，设达濠、河浦、海门、田心、仙庵、惠来、隆江、东港、内湖、霞湖十个收费站，十二个出入口，设计为全封闭、全立交双向四车道的高速公路，路基宽24.5m，设计时速为100km/h。1993 年11 月1 日开工，1996 年11 月8 日通车。</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2、工程内容：</w:t>
      </w:r>
    </w:p>
    <w:p>
      <w:pPr>
        <w:pStyle w:val="2"/>
        <w:spacing w:after="0"/>
        <w:ind w:left="0" w:leftChars="0"/>
        <w:rPr>
          <w:rFonts w:hint="eastAsia" w:ascii="仿宋" w:hAnsi="仿宋" w:eastAsia="仿宋" w:cs="仿宋"/>
          <w:color w:val="auto"/>
          <w:highlight w:val="none"/>
        </w:rPr>
      </w:pPr>
      <w:r>
        <w:rPr>
          <w:rFonts w:hint="eastAsia" w:ascii="仿宋" w:hAnsi="仿宋" w:eastAsia="仿宋" w:cs="仿宋"/>
          <w:color w:val="auto"/>
          <w:highlight w:val="none"/>
        </w:rPr>
        <w:t>本项目分为两个标段，其中</w:t>
      </w:r>
    </w:p>
    <w:p>
      <w:pPr>
        <w:adjustRightInd w:val="0"/>
        <w:snapToGrid w:val="0"/>
        <w:spacing w:line="360" w:lineRule="auto"/>
        <w:ind w:firstLine="420" w:firstLineChars="200"/>
        <w:jc w:val="left"/>
        <w:rPr>
          <w:rFonts w:hint="eastAsia" w:ascii="仿宋" w:hAnsi="仿宋" w:eastAsia="仿宋" w:cs="仿宋"/>
          <w:color w:val="auto"/>
          <w:szCs w:val="21"/>
          <w:highlight w:val="none"/>
        </w:rPr>
      </w:pPr>
      <w:bookmarkStart w:id="0" w:name="OLE_LINK87"/>
      <w:bookmarkStart w:id="1" w:name="OLE_LINK88"/>
      <w:r>
        <w:rPr>
          <w:rFonts w:hint="eastAsia" w:ascii="仿宋" w:hAnsi="仿宋" w:eastAsia="仿宋" w:cs="仿宋"/>
          <w:color w:val="auto"/>
          <w:szCs w:val="21"/>
          <w:highlight w:val="none"/>
        </w:rPr>
        <w:t>（1）、</w:t>
      </w:r>
      <w:bookmarkStart w:id="2" w:name="OLE_LINK89"/>
      <w:r>
        <w:rPr>
          <w:rFonts w:hint="eastAsia" w:ascii="仿宋" w:hAnsi="仿宋" w:eastAsia="仿宋" w:cs="仿宋"/>
          <w:color w:val="auto"/>
          <w:szCs w:val="21"/>
          <w:highlight w:val="none"/>
        </w:rPr>
        <w:t>第1标段主要对K2640+277~K2705+227惠来至陆丰段路堤边坡进行检查踏步增设。</w:t>
      </w:r>
      <w:bookmarkEnd w:id="2"/>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bookmarkStart w:id="3" w:name="OLE_LINK91"/>
      <w:bookmarkStart w:id="4" w:name="OLE_LINK90"/>
      <w:r>
        <w:rPr>
          <w:rFonts w:hint="eastAsia" w:ascii="仿宋" w:hAnsi="仿宋" w:eastAsia="仿宋" w:cs="仿宋"/>
          <w:color w:val="auto"/>
          <w:szCs w:val="21"/>
          <w:highlight w:val="none"/>
        </w:rPr>
        <w:t>第2标段主要对K2565+461~K2639+878达濠至惠来段路堤边坡进行检查踏步增设。</w:t>
      </w:r>
      <w:bookmarkEnd w:id="0"/>
      <w:bookmarkEnd w:id="1"/>
      <w:bookmarkEnd w:id="3"/>
      <w:bookmarkEnd w:id="4"/>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3、工程地质、地形与地貌</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路线所经地区为粤东沿海山地丘陵台地与滨海平原、河口平原、冲积平原交替区。总的地势是西北高、东南低，背山（莲花山、大南山）面海（南海）呈阶梯状。沿路线相对高差小于百米。其中平原台地约占路线总长的40%，低山微丘约占路线总长的60%。</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4、水文与气候</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本项目所在区域沿线处于北回归线以南属南亚热带季风海洋性气候，夏热多雨，东暖而霜期短。年平均气温22～23℃，其中7 月份平均温度最高,均值为28.1～28.5℃，最高温度39.0～39.2℃。1 月份平均温度最低，均值为13.4～13.5℃，极端最低温度-0.7～1.0℃。年平均降雨量为183～2200mm。公路自然区划属IV7 区，按公路工程自然区划气候分区属夏季炎热，冬季温暖潮湿区。</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5、交通、动力供应及其他服务条件</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本工程交通方面可通过高速公路到达施工现场。</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期间必须严格按照规定办理上路施工作业审批手续（办理施工交通组织方案评审、施工许可审批、施工公告费用等由中标人自行负责），按照规范要求设置各类道路施工标志，配备专门人员维护施工作业区域安全秩序，加强路面维修专项工程实施期间安全管理，确保自身作业安全和过往车辆交通安全。</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各类施工车辆行驶道路所需缴纳的通行费用等由承包人自行承担。发包人将按工程量清单100章106-1子目中固定总额报价的金额，在工程完工后一次性支付给承包人，作为本项目承包人施工车辆及机械行驶道路的包干通行费用。 </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 工程说明</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（1）、本项目分为两个标段，其中</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A、第1标段主要对K2640+277~K2705+227惠来至陆丰段路堤边坡进行检查踏步增设。具体见施工图设计文件《深汕高速公路东段有限公司2025年边坡增设踏步工程施工图设计》。</w:t>
      </w:r>
      <w:r>
        <w:rPr>
          <w:rFonts w:hint="eastAsia" w:ascii="仿宋" w:hAnsi="仿宋" w:eastAsia="仿宋" w:cs="仿宋"/>
          <w:color w:val="auto"/>
          <w:szCs w:val="21"/>
          <w:highlight w:val="none"/>
        </w:rPr>
        <w:tab/>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b、第2标段主要对K2565+461~K2639+878达濠至惠来段路堤边坡进行检查踏步增设。具体见施工图设计文件《深汕高速公路东段有限公司2025年边坡增设踏步工程施工图设计》。。</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（2）、本项目弃土场由承包人负责，工程所产生的所有废料不得存放在高速公路征地范围内。</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（3）、本工程实际工程数量将可能因路堤边坡的实际情况存在调整变化，承包人应无条件执行发包人的相关工作指令。</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（4）、承包人所有施工车辆及机械均必须严格遵守相关交通法律法规及安全操作规程、相关行业管理规定，特种车辆、设备操作人员必须持证上岗，所有施工车辆不得超限超载、不得人货混载。</w:t>
      </w:r>
    </w:p>
    <w:p>
      <w:pPr>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（5）、凡施工作业区与其他公路(道路)交叉或共线的，承包人须按规定做好施工和疏导交通所需安全标志的摆设和相应的交通组织方案，所有作业和摆设必须符合《公路养护技术规范》(JTG H10-2009)、《公路养护安全作业规程》（JTG H30-2015）、《公路工程施工安全技术规程》(JTG F9-2016)、《道路交通标志和标线设置规范》(JTG D82-2009)、《道路交通标志和标线  第4部分：作业区》（GB 5768.4-2017）和《中华人民共和国公共安全行业标准道路作业交通安全标志》(GA182-1998)、《省交通集团高速公路占道施工安全管理工作指引》(2021年3月印发)、交通组织设计以及发包人、路政部门、交警部门相关路上施工安全的要求，做好各项安全措施及应急预案，确保施工安全及与作业路段交叉或共线公路(道路)正常的通车运营需要和交通安全维护。</w:t>
      </w:r>
    </w:p>
    <w:p>
      <w:pPr>
        <w:topLinePunct/>
        <w:adjustRightInd w:val="0"/>
        <w:snapToGrid w:val="0"/>
        <w:spacing w:line="360" w:lineRule="auto"/>
        <w:ind w:firstLine="556" w:firstLineChars="265"/>
        <w:jc w:val="left"/>
        <w:rPr>
          <w:rFonts w:hint="eastAsia" w:ascii="仿宋" w:hAnsi="仿宋" w:eastAsia="仿宋" w:cs="仿宋"/>
          <w:b/>
          <w:bCs/>
          <w:color w:val="auto"/>
          <w:sz w:val="28"/>
          <w:szCs w:val="28"/>
          <w:highlight w:val="none"/>
        </w:rPr>
      </w:pPr>
      <w:r>
        <w:rPr>
          <w:rFonts w:hint="eastAsia" w:ascii="仿宋" w:hAnsi="仿宋" w:eastAsia="仿宋" w:cs="仿宋"/>
          <w:color w:val="auto"/>
          <w:szCs w:val="21"/>
          <w:highlight w:val="none"/>
        </w:rPr>
        <w:t>（6）、承包人所有施工车辆及机械均必须严格遵守相关交通法律法规及安全操作规程，特种车辆、设备操作人员必须持证上岗，所有施工车辆不得超限超载、不得人货混载。</w:t>
      </w:r>
      <w:r>
        <w:rPr>
          <w:rFonts w:hint="eastAsia" w:ascii="仿宋" w:hAnsi="仿宋" w:eastAsia="仿宋" w:cs="仿宋"/>
          <w:color w:val="auto"/>
          <w:sz w:val="20"/>
          <w:szCs w:val="21"/>
          <w:highlight w:val="none"/>
        </w:rPr>
        <w:br w:type="page"/>
      </w:r>
      <w:r>
        <w:rPr>
          <w:rFonts w:hint="eastAsia" w:ascii="仿宋" w:hAnsi="仿宋" w:eastAsia="仿宋" w:cs="仿宋"/>
          <w:b/>
          <w:bCs/>
          <w:color w:val="auto"/>
          <w:sz w:val="28"/>
          <w:szCs w:val="28"/>
          <w:highlight w:val="none"/>
        </w:rPr>
        <w:t xml:space="preserve">附录1  资格审查条件(资质最低要求)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460" w:type="dxa"/>
            <w:noWrap w:val="0"/>
            <w:vAlign w:val="center"/>
          </w:tcPr>
          <w:p>
            <w:pPr>
              <w:adjustRightInd w:val="0"/>
              <w:snapToGrid w:val="0"/>
              <w:spacing w:before="120"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8460" w:type="dxa"/>
            <w:noWrap w:val="0"/>
            <w:vAlign w:val="center"/>
          </w:tcPr>
          <w:p>
            <w:pPr>
              <w:shd w:val="solid" w:color="FFFFFF" w:fill="auto"/>
              <w:autoSpaceDN w:val="0"/>
              <w:adjustRightInd w:val="0"/>
              <w:snapToGrid w:val="0"/>
              <w:spacing w:before="120" w:beforeLines="50" w:line="360" w:lineRule="auto"/>
              <w:jc w:val="left"/>
              <w:textAlignment w:val="center"/>
              <w:rPr>
                <w:rFonts w:hint="eastAsia" w:ascii="仿宋" w:hAnsi="仿宋" w:eastAsia="仿宋" w:cs="仿宋"/>
                <w:bCs/>
                <w:color w:val="auto"/>
                <w:spacing w:val="-4"/>
                <w:sz w:val="24"/>
                <w:szCs w:val="20"/>
                <w:highlight w:val="none"/>
              </w:rPr>
            </w:pPr>
            <w:r>
              <w:rPr>
                <w:rFonts w:hint="eastAsia" w:ascii="仿宋" w:hAnsi="仿宋" w:eastAsia="仿宋" w:cs="仿宋"/>
                <w:bCs/>
                <w:color w:val="auto"/>
                <w:spacing w:val="-4"/>
                <w:sz w:val="24"/>
                <w:szCs w:val="20"/>
                <w:highlight w:val="none"/>
              </w:rPr>
              <w:t>具备：</w:t>
            </w:r>
          </w:p>
          <w:p>
            <w:pPr>
              <w:adjustRightInd w:val="0"/>
              <w:snapToGrid w:val="0"/>
              <w:spacing w:before="120" w:beforeLines="50" w:line="360" w:lineRule="auto"/>
              <w:ind w:firstLine="1200" w:firstLineChars="500"/>
              <w:jc w:val="left"/>
              <w:rPr>
                <w:rFonts w:hint="eastAsia" w:ascii="仿宋" w:hAnsi="仿宋" w:eastAsia="仿宋" w:cs="仿宋"/>
                <w:color w:val="auto"/>
                <w:szCs w:val="21"/>
                <w:highlight w:val="none"/>
              </w:rPr>
            </w:pPr>
            <w:r>
              <w:rPr>
                <w:rFonts w:hint="eastAsia" w:ascii="仿宋" w:hAnsi="仿宋" w:eastAsia="仿宋" w:cs="仿宋"/>
                <w:color w:val="auto"/>
                <w:sz w:val="24"/>
                <w:highlight w:val="none"/>
              </w:rPr>
              <w:t>交通运输部《公路养护作业单位资质管理办法》中规定的路基路面养护甲级资质</w:t>
            </w:r>
            <w:r>
              <w:rPr>
                <w:rFonts w:hint="eastAsia" w:ascii="仿宋" w:hAnsi="仿宋" w:eastAsia="仿宋" w:cs="仿宋"/>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8460" w:type="dxa"/>
            <w:noWrap w:val="0"/>
            <w:vAlign w:val="center"/>
          </w:tcPr>
          <w:p>
            <w:pPr>
              <w:snapToGrid w:val="0"/>
              <w:spacing w:before="120" w:beforeLines="50" w:line="360" w:lineRule="auto"/>
              <w:ind w:firstLine="464" w:firstLineChars="200"/>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安全生产资格：</w:t>
            </w:r>
          </w:p>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bCs/>
                <w:color w:val="auto"/>
                <w:spacing w:val="-4"/>
                <w:sz w:val="24"/>
                <w:highlight w:val="none"/>
              </w:rPr>
              <w:t>投标人应具有合法有效的安全生产许可证。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8460" w:type="dxa"/>
            <w:noWrap w:val="0"/>
            <w:vAlign w:val="center"/>
          </w:tcPr>
          <w:p>
            <w:pPr>
              <w:adjustRightInd w:val="0"/>
              <w:snapToGrid w:val="0"/>
              <w:spacing w:before="120" w:beforeLines="50"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highlight w:val="none"/>
              </w:rPr>
              <w:t>根据交通运输部办公厅《交通运输部办公厅关于进一步加强公路建设市场信用信息管理和使用有关工作的通知》，参加本次招标的投标人企业名称应已列入全国公路建设市场监督管理系统</w:t>
            </w:r>
            <w:r>
              <w:rPr>
                <w:rFonts w:hint="eastAsia" w:ascii="仿宋" w:hAnsi="仿宋" w:eastAsia="仿宋" w:cs="仿宋"/>
                <w:bCs/>
                <w:color w:val="auto"/>
                <w:spacing w:val="-4"/>
                <w:sz w:val="24"/>
                <w:highlight w:val="none"/>
              </w:rPr>
              <w:t>（以下简称监督管理系统），以监督管理系统生成的名录信息为准。</w:t>
            </w:r>
          </w:p>
        </w:tc>
      </w:tr>
    </w:tbl>
    <w:p>
      <w:pPr>
        <w:widowControl/>
        <w:topLinePunct/>
        <w:spacing w:before="120" w:beforeLines="50" w:line="360" w:lineRule="auto"/>
        <w:rPr>
          <w:rFonts w:hint="eastAsia" w:ascii="仿宋" w:hAnsi="仿宋" w:eastAsia="仿宋" w:cs="仿宋"/>
          <w:b/>
          <w:bCs/>
          <w:color w:val="auto"/>
          <w:kern w:val="0"/>
          <w:sz w:val="28"/>
          <w:szCs w:val="28"/>
          <w:highlight w:val="none"/>
        </w:rPr>
      </w:pPr>
    </w:p>
    <w:p>
      <w:pPr>
        <w:widowControl/>
        <w:snapToGrid w:val="0"/>
        <w:spacing w:before="120" w:beforeLines="50" w:line="360" w:lineRule="auto"/>
        <w:rPr>
          <w:rFonts w:hint="eastAsia" w:ascii="仿宋" w:hAnsi="仿宋" w:eastAsia="仿宋" w:cs="仿宋"/>
          <w:b/>
          <w:bCs/>
          <w:color w:val="auto"/>
          <w:kern w:val="0"/>
          <w:sz w:val="28"/>
          <w:szCs w:val="28"/>
          <w:highlight w:val="none"/>
        </w:rPr>
      </w:pPr>
    </w:p>
    <w:p>
      <w:pPr>
        <w:pStyle w:val="11"/>
        <w:snapToGrid w:val="0"/>
        <w:spacing w:before="120" w:beforeLines="50" w:line="360" w:lineRule="auto"/>
        <w:jc w:val="center"/>
        <w:rPr>
          <w:rFonts w:hint="eastAsia" w:ascii="仿宋" w:hAnsi="仿宋" w:eastAsia="仿宋" w:cs="仿宋"/>
          <w:b/>
          <w:bCs/>
          <w:color w:val="auto"/>
          <w:sz w:val="28"/>
          <w:szCs w:val="28"/>
          <w:highlight w:val="none"/>
        </w:rPr>
      </w:pPr>
    </w:p>
    <w:p>
      <w:pPr>
        <w:pStyle w:val="11"/>
        <w:snapToGrid w:val="0"/>
        <w:spacing w:before="120" w:beforeLines="50" w:line="360" w:lineRule="auto"/>
        <w:jc w:val="center"/>
        <w:rPr>
          <w:rFonts w:hint="eastAsia" w:ascii="仿宋" w:hAnsi="仿宋" w:eastAsia="仿宋" w:cs="仿宋"/>
          <w:b/>
          <w:bCs/>
          <w:color w:val="auto"/>
          <w:sz w:val="28"/>
          <w:szCs w:val="28"/>
          <w:highlight w:val="none"/>
        </w:rPr>
      </w:pPr>
    </w:p>
    <w:p>
      <w:pPr>
        <w:pStyle w:val="11"/>
        <w:snapToGrid w:val="0"/>
        <w:spacing w:before="120" w:beforeLines="50" w:line="360" w:lineRule="auto"/>
        <w:jc w:val="center"/>
        <w:rPr>
          <w:rFonts w:hint="eastAsia" w:ascii="仿宋" w:hAnsi="仿宋" w:eastAsia="仿宋" w:cs="仿宋"/>
          <w:b/>
          <w:bCs/>
          <w:color w:val="auto"/>
          <w:sz w:val="28"/>
          <w:szCs w:val="28"/>
          <w:highlight w:val="none"/>
        </w:rPr>
      </w:pPr>
    </w:p>
    <w:p>
      <w:pPr>
        <w:pStyle w:val="12"/>
        <w:topLinePunct/>
        <w:spacing w:before="120"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附录2  资格审查条件(财务最低要求)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380" w:type="dxa"/>
            <w:noWrap w:val="0"/>
            <w:vAlign w:val="center"/>
          </w:tcPr>
          <w:p>
            <w:pPr>
              <w:adjustRightInd w:val="0"/>
              <w:snapToGrid w:val="0"/>
              <w:spacing w:before="120"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7380" w:type="dxa"/>
            <w:noWrap w:val="0"/>
            <w:vAlign w:val="center"/>
          </w:tcPr>
          <w:p>
            <w:pPr>
              <w:adjustRightInd w:val="0"/>
              <w:snapToGrid w:val="0"/>
              <w:spacing w:before="120" w:beforeLines="5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年经审计的财务报表中营运资本（流动资产－流动负债）不少于350万元人民币；</w:t>
            </w:r>
          </w:p>
          <w:p>
            <w:pPr>
              <w:adjustRightInd w:val="0"/>
              <w:snapToGrid w:val="0"/>
              <w:spacing w:before="120" w:beforeLines="50" w:line="360" w:lineRule="auto"/>
              <w:ind w:left="3"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2、202</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年度的营业总收入不少于1050万元人民币；</w:t>
            </w:r>
          </w:p>
          <w:p>
            <w:pPr>
              <w:adjustRightInd w:val="0"/>
              <w:snapToGrid w:val="0"/>
              <w:spacing w:before="120" w:beforeLines="50" w:line="360" w:lineRule="auto"/>
              <w:ind w:left="3" w:firstLine="475" w:firstLineChars="198"/>
              <w:rPr>
                <w:rFonts w:hint="eastAsia" w:ascii="仿宋" w:hAnsi="仿宋" w:eastAsia="仿宋" w:cs="仿宋"/>
                <w:color w:val="auto"/>
                <w:szCs w:val="21"/>
                <w:highlight w:val="none"/>
              </w:rPr>
            </w:pPr>
            <w:r>
              <w:rPr>
                <w:rFonts w:hint="eastAsia" w:ascii="仿宋" w:hAnsi="仿宋" w:eastAsia="仿宋" w:cs="仿宋"/>
                <w:color w:val="auto"/>
                <w:sz w:val="24"/>
                <w:highlight w:val="none"/>
              </w:rPr>
              <w:t>3、202</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年度至少有两年盈利。</w:t>
            </w:r>
          </w:p>
        </w:tc>
      </w:tr>
    </w:tbl>
    <w:p>
      <w:pPr>
        <w:pStyle w:val="3"/>
        <w:spacing w:before="120" w:beforeLines="50" w:after="0" w:line="360" w:lineRule="auto"/>
        <w:ind w:left="0" w:leftChars="0" w:firstLine="360" w:firstLineChars="200"/>
        <w:rPr>
          <w:rFonts w:hint="eastAsia" w:ascii="仿宋" w:hAnsi="仿宋" w:eastAsia="仿宋" w:cs="仿宋"/>
          <w:color w:val="auto"/>
          <w:sz w:val="18"/>
          <w:szCs w:val="18"/>
          <w:highlight w:val="none"/>
        </w:rPr>
      </w:pPr>
    </w:p>
    <w:p>
      <w:pPr>
        <w:pStyle w:val="3"/>
        <w:spacing w:before="120" w:beforeLines="50" w:after="0" w:line="360" w:lineRule="auto"/>
        <w:ind w:left="0" w:leftChars="0" w:firstLine="360" w:firstLineChars="200"/>
        <w:rPr>
          <w:rFonts w:hint="eastAsia" w:ascii="仿宋" w:hAnsi="仿宋" w:eastAsia="仿宋" w:cs="仿宋"/>
          <w:color w:val="auto"/>
          <w:sz w:val="18"/>
          <w:szCs w:val="18"/>
          <w:highlight w:val="none"/>
        </w:rPr>
      </w:pPr>
    </w:p>
    <w:p>
      <w:pPr>
        <w:pStyle w:val="3"/>
        <w:spacing w:before="120" w:beforeLines="50" w:after="0" w:line="360" w:lineRule="auto"/>
        <w:ind w:left="0" w:leftChars="0" w:firstLine="360" w:firstLineChars="200"/>
        <w:rPr>
          <w:rFonts w:hint="eastAsia" w:ascii="仿宋" w:hAnsi="仿宋" w:eastAsia="仿宋" w:cs="仿宋"/>
          <w:color w:val="auto"/>
          <w:sz w:val="18"/>
          <w:szCs w:val="18"/>
          <w:highlight w:val="none"/>
        </w:rPr>
      </w:pPr>
    </w:p>
    <w:p>
      <w:pPr>
        <w:pStyle w:val="12"/>
        <w:topLinePunct/>
        <w:spacing w:before="120"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 xml:space="preserve">附录3  资格审查条件(业绩最低要求)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231" w:type="dxa"/>
            <w:noWrap w:val="0"/>
            <w:vAlign w:val="center"/>
          </w:tcPr>
          <w:p>
            <w:pPr>
              <w:adjustRightInd w:val="0"/>
              <w:snapToGrid w:val="0"/>
              <w:spacing w:before="120"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8231" w:type="dxa"/>
            <w:noWrap w:val="0"/>
            <w:vAlign w:val="center"/>
          </w:tcPr>
          <w:p>
            <w:pPr>
              <w:snapToGrid w:val="0"/>
              <w:spacing w:before="120" w:beforeLines="50" w:line="360" w:lineRule="auto"/>
              <w:ind w:firstLine="464" w:firstLineChars="200"/>
              <w:rPr>
                <w:rFonts w:hint="eastAsia"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近五年内，至少成功地独立完成2项</w:t>
            </w:r>
            <w:r>
              <w:rPr>
                <w:rFonts w:hint="eastAsia" w:ascii="仿宋" w:hAnsi="仿宋" w:eastAsia="仿宋" w:cs="仿宋"/>
                <w:bCs/>
                <w:color w:val="auto"/>
                <w:spacing w:val="-4"/>
                <w:sz w:val="24"/>
                <w:highlight w:val="none"/>
                <w:lang w:eastAsia="zh-CN"/>
              </w:rPr>
              <w:t>营运高速公路路基边坡加固工程或路基边坡防护工程</w:t>
            </w:r>
            <w:r>
              <w:rPr>
                <w:rFonts w:hint="eastAsia" w:ascii="仿宋" w:hAnsi="仿宋" w:eastAsia="仿宋" w:cs="仿宋"/>
                <w:bCs/>
                <w:color w:val="auto"/>
                <w:spacing w:val="-4"/>
                <w:sz w:val="24"/>
                <w:highlight w:val="none"/>
              </w:rPr>
              <w:t>，且每项合同金额300万元以上。</w:t>
            </w:r>
          </w:p>
          <w:p>
            <w:pPr>
              <w:adjustRightInd w:val="0"/>
              <w:snapToGrid w:val="0"/>
              <w:spacing w:before="120" w:beforeLines="50" w:line="360" w:lineRule="auto"/>
              <w:rPr>
                <w:rFonts w:hint="eastAsia" w:ascii="仿宋" w:hAnsi="仿宋" w:eastAsia="仿宋" w:cs="仿宋"/>
                <w:color w:val="auto"/>
                <w:szCs w:val="21"/>
                <w:highlight w:val="none"/>
              </w:rPr>
            </w:pPr>
          </w:p>
        </w:tc>
      </w:tr>
    </w:tbl>
    <w:p>
      <w:pPr>
        <w:widowControl/>
        <w:spacing w:before="120" w:beforeLines="50" w:line="360" w:lineRule="auto"/>
        <w:ind w:right="88" w:rightChars="42"/>
        <w:rPr>
          <w:rFonts w:hint="eastAsia" w:ascii="仿宋" w:hAnsi="仿宋" w:eastAsia="仿宋" w:cs="仿宋"/>
          <w:color w:val="auto"/>
          <w:highlight w:val="none"/>
        </w:rPr>
      </w:pPr>
      <w:r>
        <w:rPr>
          <w:rFonts w:hint="eastAsia" w:ascii="仿宋" w:hAnsi="仿宋" w:eastAsia="仿宋" w:cs="仿宋"/>
          <w:color w:val="auto"/>
          <w:highlight w:val="none"/>
        </w:rPr>
        <w:t>注：</w:t>
      </w:r>
    </w:p>
    <w:p>
      <w:pPr>
        <w:widowControl/>
        <w:spacing w:before="120" w:beforeLines="50" w:line="360" w:lineRule="auto"/>
        <w:ind w:right="88" w:rightChars="42"/>
        <w:rPr>
          <w:rFonts w:hint="eastAsia" w:ascii="仿宋" w:hAnsi="仿宋" w:eastAsia="仿宋" w:cs="仿宋"/>
          <w:color w:val="auto"/>
          <w:highlight w:val="none"/>
        </w:rPr>
      </w:pPr>
      <w:r>
        <w:rPr>
          <w:rFonts w:hint="eastAsia" w:ascii="仿宋" w:hAnsi="仿宋" w:eastAsia="仿宋" w:cs="仿宋"/>
          <w:color w:val="auto"/>
          <w:highlight w:val="none"/>
        </w:rPr>
        <w:t xml:space="preserve">    近五年是指2020年1月1日至投标文件递交之日止，业绩计算以此期间通过交工验收的项目为准，本文提到的交工验收是指交工验收或一次性竣工验收。</w:t>
      </w:r>
    </w:p>
    <w:p>
      <w:pPr>
        <w:pStyle w:val="11"/>
        <w:snapToGrid w:val="0"/>
        <w:spacing w:before="120" w:beforeLines="50" w:line="360" w:lineRule="auto"/>
        <w:jc w:val="center"/>
        <w:rPr>
          <w:rFonts w:hint="eastAsia" w:ascii="仿宋" w:hAnsi="仿宋" w:eastAsia="仿宋" w:cs="仿宋"/>
          <w:b/>
          <w:bCs/>
          <w:color w:val="auto"/>
          <w:sz w:val="28"/>
          <w:szCs w:val="28"/>
          <w:highlight w:val="none"/>
        </w:rPr>
      </w:pPr>
    </w:p>
    <w:p>
      <w:pPr>
        <w:pStyle w:val="11"/>
        <w:snapToGrid w:val="0"/>
        <w:spacing w:before="120" w:beforeLines="50" w:line="360" w:lineRule="auto"/>
        <w:jc w:val="center"/>
        <w:rPr>
          <w:rFonts w:hint="eastAsia" w:ascii="仿宋" w:hAnsi="仿宋" w:eastAsia="仿宋" w:cs="仿宋"/>
          <w:b/>
          <w:bCs/>
          <w:color w:val="auto"/>
          <w:sz w:val="28"/>
          <w:szCs w:val="28"/>
          <w:highlight w:val="none"/>
        </w:rPr>
      </w:pPr>
    </w:p>
    <w:p>
      <w:pPr>
        <w:pStyle w:val="11"/>
        <w:snapToGrid w:val="0"/>
        <w:spacing w:before="120"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附录4  资格审查条件(信誉最低要求)</w:t>
      </w:r>
    </w:p>
    <w:p>
      <w:pPr>
        <w:widowControl/>
        <w:snapToGrid w:val="0"/>
        <w:spacing w:before="120" w:beforeLines="50" w:line="360" w:lineRule="auto"/>
        <w:jc w:val="left"/>
        <w:rPr>
          <w:rFonts w:hint="eastAsia" w:ascii="仿宋" w:hAnsi="仿宋" w:eastAsia="仿宋" w:cs="仿宋"/>
          <w:b/>
          <w:bCs/>
          <w:color w:val="auto"/>
          <w:kern w:val="0"/>
          <w:sz w:val="28"/>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290" w:type="dxa"/>
            <w:noWrap w:val="0"/>
            <w:vAlign w:val="center"/>
          </w:tcPr>
          <w:p>
            <w:pPr>
              <w:adjustRightInd w:val="0"/>
              <w:snapToGrid w:val="0"/>
              <w:spacing w:before="120"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1" w:hRule="atLeast"/>
          <w:jc w:val="center"/>
        </w:trPr>
        <w:tc>
          <w:tcPr>
            <w:tcW w:w="7290" w:type="dxa"/>
            <w:noWrap w:val="0"/>
            <w:vAlign w:val="center"/>
          </w:tcPr>
          <w:p>
            <w:pPr>
              <w:adjustRightInd w:val="0"/>
              <w:snapToGrid w:val="0"/>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1、没有处于被责令停业，财务被接管、冻结、破产状态；</w:t>
            </w:r>
          </w:p>
          <w:p>
            <w:pPr>
              <w:adjustRightInd w:val="0"/>
              <w:snapToGrid w:val="0"/>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2、没有被国家住建部、交通运输部、广东省交通运输厅通报而且取消相应投标资格（处于有效期内）；</w:t>
            </w:r>
          </w:p>
          <w:p>
            <w:pPr>
              <w:adjustRightInd w:val="0"/>
              <w:snapToGrid w:val="0"/>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3、投标人没有涉及正在诉讼的案件。</w:t>
            </w:r>
          </w:p>
          <w:p>
            <w:pPr>
              <w:adjustRightInd w:val="0"/>
              <w:snapToGrid w:val="0"/>
              <w:spacing w:before="120" w:beforeLines="50" w:line="360" w:lineRule="auto"/>
              <w:ind w:left="-120" w:leftChars="-57" w:firstLine="420" w:firstLineChars="200"/>
              <w:rPr>
                <w:rFonts w:hint="eastAsia" w:ascii="仿宋" w:hAnsi="仿宋" w:eastAsia="仿宋" w:cs="仿宋"/>
                <w:color w:val="auto"/>
                <w:szCs w:val="21"/>
                <w:highlight w:val="none"/>
              </w:rPr>
            </w:pPr>
          </w:p>
        </w:tc>
      </w:tr>
    </w:tbl>
    <w:p>
      <w:pPr>
        <w:pStyle w:val="3"/>
        <w:spacing w:before="120" w:beforeLines="50" w:after="0" w:line="360" w:lineRule="auto"/>
        <w:ind w:left="0" w:leftChars="0"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w:t>
      </w:r>
    </w:p>
    <w:p>
      <w:pPr>
        <w:adjustRightInd w:val="0"/>
        <w:snapToGrid w:val="0"/>
        <w:spacing w:before="120" w:beforeLines="50" w:line="360" w:lineRule="auto"/>
        <w:rPr>
          <w:rFonts w:hint="eastAsia" w:ascii="仿宋" w:hAnsi="仿宋" w:eastAsia="仿宋" w:cs="仿宋"/>
          <w:bCs/>
          <w:color w:val="auto"/>
          <w:highlight w:val="none"/>
        </w:rPr>
      </w:pPr>
    </w:p>
    <w:p>
      <w:pPr>
        <w:widowControl/>
        <w:snapToGrid w:val="0"/>
        <w:spacing w:before="120" w:beforeLines="50"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附录5  资格审查条件(项目经理和项目总工最低要求)</w:t>
      </w:r>
    </w:p>
    <w:tbl>
      <w:tblPr>
        <w:tblStyle w:val="9"/>
        <w:tblW w:w="0" w:type="auto"/>
        <w:jc w:val="center"/>
        <w:tblLayout w:type="fixed"/>
        <w:tblCellMar>
          <w:top w:w="0" w:type="dxa"/>
          <w:left w:w="108" w:type="dxa"/>
          <w:bottom w:w="0" w:type="dxa"/>
          <w:right w:w="108" w:type="dxa"/>
        </w:tblCellMar>
      </w:tblPr>
      <w:tblGrid>
        <w:gridCol w:w="1194"/>
        <w:gridCol w:w="875"/>
        <w:gridCol w:w="4231"/>
        <w:gridCol w:w="1958"/>
      </w:tblGrid>
      <w:tr>
        <w:tblPrEx>
          <w:tblCellMar>
            <w:top w:w="0" w:type="dxa"/>
            <w:left w:w="108" w:type="dxa"/>
            <w:bottom w:w="0" w:type="dxa"/>
            <w:right w:w="108" w:type="dxa"/>
          </w:tblCellMar>
        </w:tblPrEx>
        <w:trPr>
          <w:trHeight w:val="931" w:hRule="atLeast"/>
          <w:jc w:val="center"/>
        </w:trPr>
        <w:tc>
          <w:tcPr>
            <w:tcW w:w="1194" w:type="dxa"/>
            <w:tcBorders>
              <w:top w:val="single" w:color="000000" w:sz="4" w:space="0"/>
              <w:left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人员</w:t>
            </w:r>
          </w:p>
        </w:tc>
        <w:tc>
          <w:tcPr>
            <w:tcW w:w="875" w:type="dxa"/>
            <w:tcBorders>
              <w:top w:val="single" w:color="000000" w:sz="4" w:space="0"/>
              <w:left w:val="nil"/>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数量（人）</w:t>
            </w:r>
          </w:p>
        </w:tc>
        <w:tc>
          <w:tcPr>
            <w:tcW w:w="4231"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资格要求</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在岗要求</w:t>
            </w:r>
          </w:p>
        </w:tc>
      </w:tr>
      <w:tr>
        <w:tblPrEx>
          <w:tblCellMar>
            <w:top w:w="0" w:type="dxa"/>
            <w:left w:w="108" w:type="dxa"/>
            <w:bottom w:w="0" w:type="dxa"/>
            <w:right w:w="108" w:type="dxa"/>
          </w:tblCellMar>
        </w:tblPrEx>
        <w:trPr>
          <w:trHeight w:val="1126"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875" w:type="dxa"/>
            <w:tcBorders>
              <w:top w:val="single" w:color="000000" w:sz="4" w:space="0"/>
              <w:left w:val="nil"/>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231" w:type="dxa"/>
            <w:vMerge w:val="restart"/>
            <w:tcBorders>
              <w:top w:val="single" w:color="000000" w:sz="4" w:space="0"/>
              <w:left w:val="nil"/>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路桥工程师或以上职称，具备3年以上类似工程施工经历和至少担任过1个类似工程施工</w:t>
            </w:r>
            <w:r>
              <w:rPr>
                <w:rFonts w:hint="eastAsia" w:ascii="仿宋" w:hAnsi="仿宋" w:eastAsia="仿宋" w:cs="仿宋"/>
                <w:color w:val="auto"/>
                <w:highlight w:val="none"/>
              </w:rPr>
              <w:t>项目经理的岗位工作经验</w:t>
            </w:r>
            <w:r>
              <w:rPr>
                <w:rFonts w:hint="eastAsia" w:ascii="仿宋" w:hAnsi="仿宋" w:eastAsia="仿宋" w:cs="仿宋"/>
                <w:color w:val="auto"/>
                <w:szCs w:val="21"/>
                <w:highlight w:val="none"/>
              </w:rPr>
              <w:t>，并持有住房和城乡建设部颁发的公路工程专业壹级注册建造师任职资格证书，具有交通主管部门颁发的有效的安全生产“三类人员”B类证书。</w:t>
            </w:r>
          </w:p>
        </w:tc>
        <w:tc>
          <w:tcPr>
            <w:tcW w:w="1958" w:type="dxa"/>
            <w:vMerge w:val="restart"/>
            <w:tcBorders>
              <w:top w:val="single" w:color="000000" w:sz="4" w:space="0"/>
              <w:left w:val="nil"/>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r>
              <w:rPr>
                <w:rFonts w:hint="eastAsia" w:ascii="仿宋" w:hAnsi="仿宋" w:eastAsia="仿宋" w:cs="仿宋"/>
                <w:color w:val="auto"/>
                <w:spacing w:val="-14"/>
                <w:highlight w:val="none"/>
              </w:rPr>
              <w:t>无在岗项目（指目前未在其他项目上任职，或虽在其他项目上任职但本项目中标后能够从该项目撤离）</w:t>
            </w:r>
          </w:p>
        </w:tc>
      </w:tr>
      <w:tr>
        <w:tblPrEx>
          <w:tblCellMar>
            <w:top w:w="0" w:type="dxa"/>
            <w:left w:w="108" w:type="dxa"/>
            <w:bottom w:w="0" w:type="dxa"/>
            <w:right w:w="108" w:type="dxa"/>
          </w:tblCellMar>
        </w:tblPrEx>
        <w:trPr>
          <w:trHeight w:val="1811"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项目经理备选人</w:t>
            </w:r>
          </w:p>
        </w:tc>
        <w:tc>
          <w:tcPr>
            <w:tcW w:w="875" w:type="dxa"/>
            <w:tcBorders>
              <w:top w:val="single" w:color="000000" w:sz="4" w:space="0"/>
              <w:left w:val="nil"/>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231" w:type="dxa"/>
            <w:vMerge w:val="continue"/>
            <w:tcBorders>
              <w:left w:val="nil"/>
              <w:bottom w:val="single" w:color="000000" w:sz="4" w:space="0"/>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p>
        </w:tc>
        <w:tc>
          <w:tcPr>
            <w:tcW w:w="1958" w:type="dxa"/>
            <w:vMerge w:val="continue"/>
            <w:tcBorders>
              <w:left w:val="nil"/>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003"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项目总工</w:t>
            </w:r>
          </w:p>
        </w:tc>
        <w:tc>
          <w:tcPr>
            <w:tcW w:w="875" w:type="dxa"/>
            <w:tcBorders>
              <w:top w:val="single" w:color="000000" w:sz="4" w:space="0"/>
              <w:left w:val="nil"/>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231" w:type="dxa"/>
            <w:vMerge w:val="restart"/>
            <w:tcBorders>
              <w:left w:val="nil"/>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路桥高级或以上职称，具备5年以上类似工程施工经历和至少担任过1个类似工程施工</w:t>
            </w:r>
            <w:r>
              <w:rPr>
                <w:rFonts w:hint="eastAsia" w:ascii="仿宋" w:hAnsi="仿宋" w:eastAsia="仿宋" w:cs="仿宋"/>
                <w:color w:val="auto"/>
                <w:highlight w:val="none"/>
              </w:rPr>
              <w:t>项目总工的岗位工作经验</w:t>
            </w:r>
            <w:r>
              <w:rPr>
                <w:rFonts w:hint="eastAsia" w:ascii="仿宋" w:hAnsi="仿宋" w:eastAsia="仿宋" w:cs="仿宋"/>
                <w:color w:val="auto"/>
                <w:szCs w:val="21"/>
                <w:highlight w:val="none"/>
              </w:rPr>
              <w:t>，并具有交通主管部门颁发的有效的安全生产“三类人员”B类证书。</w:t>
            </w:r>
          </w:p>
        </w:tc>
        <w:tc>
          <w:tcPr>
            <w:tcW w:w="1958" w:type="dxa"/>
            <w:vMerge w:val="continue"/>
            <w:tcBorders>
              <w:left w:val="nil"/>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141"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项目总工备选人</w:t>
            </w:r>
          </w:p>
        </w:tc>
        <w:tc>
          <w:tcPr>
            <w:tcW w:w="875" w:type="dxa"/>
            <w:tcBorders>
              <w:top w:val="single" w:color="000000" w:sz="4" w:space="0"/>
              <w:left w:val="nil"/>
              <w:bottom w:val="single" w:color="000000" w:sz="4" w:space="0"/>
              <w:right w:val="single" w:color="000000" w:sz="4" w:space="0"/>
            </w:tcBorders>
            <w:noWrap w:val="0"/>
            <w:vAlign w:val="center"/>
          </w:tcPr>
          <w:p>
            <w:pPr>
              <w:spacing w:before="120" w:beforeLines="5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231" w:type="dxa"/>
            <w:vMerge w:val="continue"/>
            <w:tcBorders>
              <w:left w:val="nil"/>
              <w:bottom w:val="single" w:color="000000" w:sz="4" w:space="0"/>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p>
        </w:tc>
        <w:tc>
          <w:tcPr>
            <w:tcW w:w="1958" w:type="dxa"/>
            <w:vMerge w:val="continue"/>
            <w:tcBorders>
              <w:left w:val="nil"/>
              <w:bottom w:val="single" w:color="000000" w:sz="4" w:space="0"/>
              <w:right w:val="single" w:color="000000" w:sz="4" w:space="0"/>
            </w:tcBorders>
            <w:noWrap w:val="0"/>
            <w:vAlign w:val="center"/>
          </w:tcPr>
          <w:p>
            <w:pPr>
              <w:spacing w:before="120" w:beforeLines="50" w:line="360" w:lineRule="auto"/>
              <w:jc w:val="left"/>
              <w:rPr>
                <w:rFonts w:hint="eastAsia" w:ascii="仿宋" w:hAnsi="仿宋" w:eastAsia="仿宋" w:cs="仿宋"/>
                <w:color w:val="auto"/>
                <w:highlight w:val="none"/>
              </w:rPr>
            </w:pPr>
          </w:p>
        </w:tc>
      </w:tr>
    </w:tbl>
    <w:p>
      <w:pPr>
        <w:widowControl/>
        <w:spacing w:before="120" w:beforeLines="50" w:line="360" w:lineRule="auto"/>
        <w:ind w:left="893" w:leftChars="425"/>
        <w:rPr>
          <w:rFonts w:hint="eastAsia" w:ascii="仿宋" w:hAnsi="仿宋" w:eastAsia="仿宋" w:cs="仿宋"/>
          <w:color w:val="auto"/>
          <w:sz w:val="18"/>
          <w:szCs w:val="18"/>
          <w:highlight w:val="none"/>
        </w:rPr>
      </w:pPr>
    </w:p>
    <w:p>
      <w:pPr>
        <w:widowControl/>
        <w:spacing w:before="120" w:beforeLines="50" w:line="360" w:lineRule="auto"/>
        <w:ind w:left="893" w:leftChars="425"/>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w:t>
      </w:r>
    </w:p>
    <w:p>
      <w:pPr>
        <w:pStyle w:val="3"/>
        <w:spacing w:before="120" w:beforeLines="50" w:after="0" w:line="360" w:lineRule="auto"/>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1.“类似工程”指</w:t>
      </w:r>
      <w:r>
        <w:rPr>
          <w:rFonts w:hint="eastAsia" w:ascii="仿宋" w:hAnsi="仿宋" w:eastAsia="仿宋" w:cs="仿宋"/>
          <w:color w:val="auto"/>
          <w:sz w:val="18"/>
          <w:szCs w:val="18"/>
          <w:highlight w:val="none"/>
          <w:lang w:eastAsia="zh-CN"/>
        </w:rPr>
        <w:t>营运高速公路路基边坡加固工程或路基边坡防护工程</w:t>
      </w:r>
      <w:r>
        <w:rPr>
          <w:rFonts w:hint="eastAsia" w:ascii="仿宋" w:hAnsi="仿宋" w:eastAsia="仿宋" w:cs="仿宋"/>
          <w:color w:val="auto"/>
          <w:sz w:val="18"/>
          <w:szCs w:val="18"/>
          <w:highlight w:val="none"/>
        </w:rPr>
        <w:t>。</w:t>
      </w:r>
    </w:p>
    <w:p>
      <w:pPr>
        <w:pStyle w:val="3"/>
        <w:spacing w:before="120" w:beforeLines="50" w:after="0" w:line="360" w:lineRule="auto"/>
        <w:ind w:firstLine="540" w:firstLineChars="3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2.上述工作经历以第九章“（六）-2拟委任的项目经理和项目总工资历表”填入的第一个项目经历的起始时间开始计。</w:t>
      </w:r>
    </w:p>
    <w:p>
      <w:pPr>
        <w:pStyle w:val="3"/>
        <w:spacing w:before="120" w:beforeLines="50" w:after="0" w:line="360" w:lineRule="auto"/>
        <w:ind w:left="361" w:leftChars="172" w:firstLine="270" w:firstLineChars="1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3.本表所要求人员须按第九章“（六）-2 拟委任的项目经理和项目总工资历表”的要求附有效的证明材料，所有证明材料均须与身份证上的信息一致，否则视为无效证明材料。</w:t>
      </w:r>
    </w:p>
    <w:p>
      <w:pPr>
        <w:pStyle w:val="12"/>
        <w:topLinePunct/>
        <w:spacing w:before="120"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sz w:val="18"/>
          <w:szCs w:val="18"/>
          <w:highlight w:val="none"/>
        </w:rPr>
        <w:br w:type="page"/>
      </w:r>
      <w:r>
        <w:rPr>
          <w:rFonts w:hint="eastAsia" w:ascii="仿宋" w:hAnsi="仿宋" w:eastAsia="仿宋" w:cs="仿宋"/>
          <w:b/>
          <w:bCs/>
          <w:color w:val="auto"/>
          <w:sz w:val="28"/>
          <w:szCs w:val="28"/>
          <w:highlight w:val="none"/>
        </w:rPr>
        <w:t>附录6  资格审查条件（其他主要管理人员和技术人员最低要求）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2736"/>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24"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  员</w:t>
            </w:r>
          </w:p>
        </w:tc>
        <w:tc>
          <w:tcPr>
            <w:tcW w:w="2736"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相应标段最低数量要求</w:t>
            </w:r>
          </w:p>
        </w:tc>
        <w:tc>
          <w:tcPr>
            <w:tcW w:w="4645"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质检工程师</w:t>
            </w:r>
          </w:p>
        </w:tc>
        <w:tc>
          <w:tcPr>
            <w:tcW w:w="2736"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路桥工程师或以上职称， 5年以上工作经验且必须从事类似工程施工3年以上。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计划工程师</w:t>
            </w:r>
          </w:p>
        </w:tc>
        <w:tc>
          <w:tcPr>
            <w:tcW w:w="2736"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路桥工程师或以上职称，至少有负责计划3年类似工程的经验。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桥梁工程师</w:t>
            </w:r>
          </w:p>
        </w:tc>
        <w:tc>
          <w:tcPr>
            <w:tcW w:w="2736" w:type="dxa"/>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路桥工程师或以上职称，5年以上工作经验且必须从事类似工程施工3年以上。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试验工程师</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工程师，持有交通运输部基本建设质量监督总站颁发的试验检测资格证书，5年以上工作经验且必须从事类似工程施工3年以上。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内业资料员</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具有大专以上学历，至少2年以上类似工作经验。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专职</w:t>
            </w:r>
          </w:p>
          <w:p>
            <w:pPr>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安全生产管理员</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具有交通运输部安全生产“三类人员”C类证书，3年以上工作经验且必须具备类似工程施工经验。</w:t>
            </w:r>
          </w:p>
        </w:tc>
      </w:tr>
    </w:tbl>
    <w:p>
      <w:pPr>
        <w:widowControl/>
        <w:spacing w:before="120" w:beforeLines="50" w:line="360" w:lineRule="auto"/>
        <w:rPr>
          <w:rFonts w:hint="eastAsia" w:ascii="仿宋" w:hAnsi="仿宋" w:eastAsia="仿宋" w:cs="仿宋"/>
          <w:color w:val="auto"/>
          <w:sz w:val="18"/>
          <w:szCs w:val="18"/>
          <w:highlight w:val="none"/>
        </w:rPr>
      </w:pPr>
    </w:p>
    <w:p>
      <w:pPr>
        <w:widowControl/>
        <w:spacing w:before="120" w:beforeLines="50" w:line="360" w:lineRule="auto"/>
        <w:ind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w:t>
      </w:r>
    </w:p>
    <w:p>
      <w:pPr>
        <w:widowControl/>
        <w:spacing w:before="120" w:beforeLines="50" w:line="360" w:lineRule="auto"/>
        <w:ind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18"/>
          <w:szCs w:val="18"/>
          <w:highlight w:val="none"/>
        </w:rPr>
        <w:t>“类似工程”指</w:t>
      </w:r>
      <w:r>
        <w:rPr>
          <w:rFonts w:hint="eastAsia" w:ascii="仿宋" w:hAnsi="仿宋" w:eastAsia="仿宋" w:cs="仿宋"/>
          <w:color w:val="auto"/>
          <w:sz w:val="18"/>
          <w:szCs w:val="18"/>
          <w:highlight w:val="none"/>
          <w:lang w:eastAsia="zh-CN"/>
        </w:rPr>
        <w:t>营运高速公路路基边坡加固工程或路基边坡防护工程</w:t>
      </w:r>
      <w:r>
        <w:rPr>
          <w:rFonts w:hint="eastAsia" w:ascii="仿宋" w:hAnsi="仿宋" w:eastAsia="仿宋" w:cs="仿宋"/>
          <w:color w:val="auto"/>
          <w:sz w:val="18"/>
          <w:szCs w:val="18"/>
          <w:highlight w:val="none"/>
        </w:rPr>
        <w:t>。</w:t>
      </w:r>
    </w:p>
    <w:p>
      <w:pPr>
        <w:widowControl/>
        <w:spacing w:before="120" w:beforeLines="50" w:line="360" w:lineRule="auto"/>
        <w:ind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2.发包人有权根据工程特点、工程量及工程进度情况要求增加相应的人员，投标人不得向发包人要求增加任何相关费用。</w:t>
      </w:r>
    </w:p>
    <w:p>
      <w:pPr>
        <w:widowControl/>
        <w:spacing w:before="120" w:beforeLines="50" w:line="360" w:lineRule="auto"/>
        <w:ind w:left="893" w:leftChars="425"/>
        <w:rPr>
          <w:rFonts w:hint="eastAsia" w:ascii="仿宋" w:hAnsi="仿宋" w:eastAsia="仿宋" w:cs="仿宋"/>
          <w:color w:val="auto"/>
          <w:sz w:val="18"/>
          <w:szCs w:val="18"/>
          <w:highlight w:val="none"/>
        </w:rPr>
      </w:pPr>
    </w:p>
    <w:p>
      <w:pPr>
        <w:pStyle w:val="12"/>
        <w:topLinePunct/>
        <w:spacing w:before="120" w:beforeLines="50" w:line="360" w:lineRule="auto"/>
        <w:jc w:val="center"/>
        <w:rPr>
          <w:rFonts w:hint="eastAsia" w:ascii="仿宋" w:hAnsi="仿宋" w:eastAsia="仿宋" w:cs="仿宋"/>
          <w:b/>
          <w:bCs/>
          <w:color w:val="auto"/>
          <w:sz w:val="28"/>
          <w:szCs w:val="28"/>
          <w:highlight w:val="none"/>
        </w:rPr>
      </w:pPr>
    </w:p>
    <w:p>
      <w:pPr>
        <w:pStyle w:val="12"/>
        <w:topLinePunct/>
        <w:spacing w:before="120" w:beforeLines="50" w:line="360" w:lineRule="auto"/>
        <w:jc w:val="center"/>
        <w:rPr>
          <w:rFonts w:hint="eastAsia" w:ascii="仿宋" w:hAnsi="仿宋" w:eastAsia="仿宋" w:cs="仿宋"/>
          <w:b/>
          <w:bCs/>
          <w:color w:val="auto"/>
          <w:sz w:val="28"/>
          <w:szCs w:val="28"/>
          <w:highlight w:val="none"/>
        </w:rPr>
      </w:pPr>
    </w:p>
    <w:p>
      <w:pPr>
        <w:pStyle w:val="12"/>
        <w:topLinePunct/>
        <w:spacing w:before="120"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napToGrid w:val="0"/>
        <w:spacing w:line="360" w:lineRule="auto"/>
        <w:jc w:val="center"/>
        <w:outlineLvl w:val="1"/>
        <w:rPr>
          <w:rStyle w:val="13"/>
          <w:rFonts w:hint="eastAsia" w:ascii="仿宋" w:hAnsi="仿宋" w:eastAsia="仿宋" w:cs="仿宋"/>
          <w:color w:val="auto"/>
          <w:highlight w:val="none"/>
        </w:rPr>
      </w:pPr>
      <w:r>
        <w:rPr>
          <w:rStyle w:val="13"/>
          <w:rFonts w:hint="eastAsia" w:ascii="仿宋" w:hAnsi="仿宋" w:eastAsia="仿宋" w:cs="仿宋"/>
          <w:color w:val="auto"/>
          <w:highlight w:val="none"/>
        </w:rPr>
        <w:t>附录7-1 资格审查条件</w:t>
      </w:r>
      <w:r>
        <w:rPr>
          <w:rFonts w:hint="eastAsia" w:ascii="仿宋" w:hAnsi="仿宋" w:eastAsia="仿宋" w:cs="仿宋"/>
          <w:b/>
          <w:bCs/>
          <w:color w:val="auto"/>
          <w:sz w:val="28"/>
          <w:szCs w:val="28"/>
          <w:highlight w:val="none"/>
        </w:rPr>
        <w:t>（主要机械设备配备最低要求）</w:t>
      </w:r>
    </w:p>
    <w:tbl>
      <w:tblPr>
        <w:tblStyle w:val="9"/>
        <w:tblW w:w="943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182"/>
        <w:gridCol w:w="1984"/>
        <w:gridCol w:w="709"/>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1" w:type="dxa"/>
            <w:vMerge w:val="restart"/>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2182" w:type="dxa"/>
            <w:vMerge w:val="restart"/>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名称</w:t>
            </w:r>
          </w:p>
        </w:tc>
        <w:tc>
          <w:tcPr>
            <w:tcW w:w="1984" w:type="dxa"/>
            <w:vMerge w:val="restart"/>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设备要求</w:t>
            </w:r>
          </w:p>
        </w:tc>
        <w:tc>
          <w:tcPr>
            <w:tcW w:w="709" w:type="dxa"/>
            <w:vMerge w:val="restart"/>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2268" w:type="dxa"/>
            <w:gridSpan w:val="2"/>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Cs w:val="21"/>
                <w:highlight w:val="none"/>
              </w:rPr>
              <w:t>标段最低数量要求</w:t>
            </w:r>
          </w:p>
        </w:tc>
        <w:tc>
          <w:tcPr>
            <w:tcW w:w="1843" w:type="dxa"/>
            <w:vMerge w:val="restart"/>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1" w:type="dxa"/>
            <w:vMerge w:val="continue"/>
            <w:noWrap w:val="0"/>
            <w:vAlign w:val="center"/>
          </w:tcPr>
          <w:p>
            <w:pPr>
              <w:spacing w:line="360" w:lineRule="auto"/>
              <w:jc w:val="center"/>
              <w:outlineLvl w:val="1"/>
              <w:rPr>
                <w:rFonts w:hint="eastAsia" w:ascii="仿宋" w:hAnsi="仿宋" w:eastAsia="仿宋" w:cs="仿宋"/>
                <w:color w:val="auto"/>
                <w:sz w:val="18"/>
                <w:szCs w:val="18"/>
                <w:highlight w:val="none"/>
              </w:rPr>
            </w:pPr>
          </w:p>
        </w:tc>
        <w:tc>
          <w:tcPr>
            <w:tcW w:w="2182" w:type="dxa"/>
            <w:vMerge w:val="continue"/>
            <w:noWrap w:val="0"/>
            <w:vAlign w:val="center"/>
          </w:tcPr>
          <w:p>
            <w:pPr>
              <w:spacing w:line="360" w:lineRule="auto"/>
              <w:jc w:val="center"/>
              <w:outlineLvl w:val="1"/>
              <w:rPr>
                <w:rFonts w:hint="eastAsia" w:ascii="仿宋" w:hAnsi="仿宋" w:eastAsia="仿宋" w:cs="仿宋"/>
                <w:color w:val="auto"/>
                <w:sz w:val="18"/>
                <w:szCs w:val="18"/>
                <w:highlight w:val="none"/>
              </w:rPr>
            </w:pPr>
          </w:p>
        </w:tc>
        <w:tc>
          <w:tcPr>
            <w:tcW w:w="1984" w:type="dxa"/>
            <w:vMerge w:val="continue"/>
            <w:noWrap w:val="0"/>
            <w:vAlign w:val="center"/>
          </w:tcPr>
          <w:p>
            <w:pPr>
              <w:spacing w:line="360" w:lineRule="auto"/>
              <w:jc w:val="center"/>
              <w:outlineLvl w:val="1"/>
              <w:rPr>
                <w:rFonts w:hint="eastAsia" w:ascii="仿宋" w:hAnsi="仿宋" w:eastAsia="仿宋" w:cs="仿宋"/>
                <w:color w:val="auto"/>
                <w:sz w:val="18"/>
                <w:szCs w:val="18"/>
                <w:highlight w:val="none"/>
              </w:rPr>
            </w:pPr>
          </w:p>
        </w:tc>
        <w:tc>
          <w:tcPr>
            <w:tcW w:w="709" w:type="dxa"/>
            <w:vMerge w:val="continue"/>
            <w:noWrap w:val="0"/>
            <w:vAlign w:val="center"/>
          </w:tcPr>
          <w:p>
            <w:pPr>
              <w:spacing w:line="360" w:lineRule="auto"/>
              <w:jc w:val="center"/>
              <w:outlineLvl w:val="1"/>
              <w:rPr>
                <w:rFonts w:hint="eastAsia" w:ascii="仿宋" w:hAnsi="仿宋" w:eastAsia="仿宋" w:cs="仿宋"/>
                <w:color w:val="auto"/>
                <w:sz w:val="18"/>
                <w:szCs w:val="18"/>
                <w:highlight w:val="none"/>
              </w:rPr>
            </w:pPr>
          </w:p>
        </w:tc>
        <w:tc>
          <w:tcPr>
            <w:tcW w:w="1134" w:type="dxa"/>
            <w:noWrap w:val="0"/>
            <w:vAlign w:val="center"/>
          </w:tcPr>
          <w:p>
            <w:pPr>
              <w:autoSpaceDN w:val="0"/>
              <w:spacing w:line="360" w:lineRule="auto"/>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1标</w:t>
            </w:r>
          </w:p>
        </w:tc>
        <w:tc>
          <w:tcPr>
            <w:tcW w:w="1134" w:type="dxa"/>
            <w:noWrap w:val="0"/>
            <w:vAlign w:val="center"/>
          </w:tcPr>
          <w:p>
            <w:pPr>
              <w:spacing w:line="360" w:lineRule="auto"/>
              <w:jc w:val="center"/>
              <w:outlineLvl w:val="1"/>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2标</w:t>
            </w:r>
          </w:p>
        </w:tc>
        <w:tc>
          <w:tcPr>
            <w:tcW w:w="1843" w:type="dxa"/>
            <w:vMerge w:val="continue"/>
            <w:noWrap w:val="0"/>
            <w:vAlign w:val="center"/>
          </w:tcPr>
          <w:p>
            <w:pPr>
              <w:spacing w:line="360" w:lineRule="auto"/>
              <w:jc w:val="center"/>
              <w:outlineLvl w:val="1"/>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2182"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电动混凝土打磨机</w:t>
            </w:r>
          </w:p>
        </w:tc>
        <w:tc>
          <w:tcPr>
            <w:tcW w:w="198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3.0kw以上</w:t>
            </w:r>
          </w:p>
        </w:tc>
        <w:tc>
          <w:tcPr>
            <w:tcW w:w="709"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noWrap w:val="0"/>
            <w:vAlign w:val="center"/>
          </w:tcPr>
          <w:p>
            <w:pPr>
              <w:autoSpaceDN w:val="0"/>
              <w:spacing w:line="360" w:lineRule="auto"/>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182" w:type="dxa"/>
            <w:noWrap w:val="0"/>
            <w:vAlign w:val="center"/>
          </w:tcPr>
          <w:p>
            <w:pPr>
              <w:pStyle w:val="7"/>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发电机</w:t>
            </w:r>
          </w:p>
        </w:tc>
        <w:tc>
          <w:tcPr>
            <w:tcW w:w="1984" w:type="dxa"/>
            <w:noWrap w:val="0"/>
            <w:vAlign w:val="center"/>
          </w:tcPr>
          <w:p>
            <w:pPr>
              <w:pStyle w:val="7"/>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30kVA以上</w:t>
            </w:r>
          </w:p>
        </w:tc>
        <w:tc>
          <w:tcPr>
            <w:tcW w:w="709" w:type="dxa"/>
            <w:noWrap w:val="0"/>
            <w:vAlign w:val="center"/>
          </w:tcPr>
          <w:p>
            <w:pPr>
              <w:pStyle w:val="7"/>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台</w:t>
            </w:r>
          </w:p>
        </w:tc>
        <w:tc>
          <w:tcPr>
            <w:tcW w:w="1134" w:type="dxa"/>
            <w:noWrap w:val="0"/>
            <w:vAlign w:val="center"/>
          </w:tcPr>
          <w:p>
            <w:pPr>
              <w:autoSpaceDN w:val="0"/>
              <w:spacing w:line="360" w:lineRule="auto"/>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2182"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单筒慢动电动卷扬机</w:t>
            </w:r>
          </w:p>
        </w:tc>
        <w:tc>
          <w:tcPr>
            <w:tcW w:w="198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30kN以上</w:t>
            </w:r>
          </w:p>
        </w:tc>
        <w:tc>
          <w:tcPr>
            <w:tcW w:w="709"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2182"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空气压缩机</w:t>
            </w:r>
          </w:p>
        </w:tc>
        <w:tc>
          <w:tcPr>
            <w:tcW w:w="198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0.3m3/min以上</w:t>
            </w:r>
          </w:p>
        </w:tc>
        <w:tc>
          <w:tcPr>
            <w:tcW w:w="709"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2182"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手持电动冲击钻</w:t>
            </w:r>
          </w:p>
        </w:tc>
        <w:tc>
          <w:tcPr>
            <w:tcW w:w="198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3.0kw以上</w:t>
            </w:r>
          </w:p>
        </w:tc>
        <w:tc>
          <w:tcPr>
            <w:tcW w:w="709"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noWrap w:val="0"/>
            <w:vAlign w:val="center"/>
          </w:tcPr>
          <w:p>
            <w:pPr>
              <w:autoSpaceDN w:val="0"/>
              <w:spacing w:line="360" w:lineRule="auto"/>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51"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2182"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交流电弧焊机</w:t>
            </w:r>
          </w:p>
        </w:tc>
        <w:tc>
          <w:tcPr>
            <w:tcW w:w="1984"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32kVA以上</w:t>
            </w:r>
          </w:p>
        </w:tc>
        <w:tc>
          <w:tcPr>
            <w:tcW w:w="709" w:type="dxa"/>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noWrap w:val="0"/>
            <w:vAlign w:val="center"/>
          </w:tcPr>
          <w:p>
            <w:pPr>
              <w:autoSpaceDN w:val="0"/>
              <w:spacing w:line="360" w:lineRule="auto"/>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134" w:type="dxa"/>
            <w:noWrap w:val="0"/>
            <w:vAlign w:val="center"/>
          </w:tcPr>
          <w:p>
            <w:pPr>
              <w:spacing w:line="360" w:lineRule="auto"/>
              <w:jc w:val="center"/>
              <w:outlineLvl w:val="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843" w:type="dxa"/>
            <w:noWrap w:val="0"/>
            <w:vAlign w:val="center"/>
          </w:tcPr>
          <w:p>
            <w:pPr>
              <w:spacing w:line="360" w:lineRule="auto"/>
              <w:jc w:val="center"/>
              <w:outlineLvl w:val="1"/>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7</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钢筋切断机</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8</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吊架</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防撞车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80型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0</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自卸汽车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装载质量15t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仿宋" w:hAnsi="仿宋" w:eastAsia="仿宋" w:cs="仿宋"/>
                <w:color w:val="auto"/>
                <w:sz w:val="20"/>
                <w:szCs w:val="20"/>
                <w:highlight w:val="none"/>
              </w:rPr>
            </w:pPr>
          </w:p>
        </w:tc>
      </w:tr>
    </w:tbl>
    <w:p>
      <w:pPr>
        <w:rPr>
          <w:rFonts w:hint="eastAsia" w:ascii="仿宋" w:hAnsi="仿宋" w:eastAsia="仿宋" w:cs="仿宋"/>
          <w:color w:val="auto"/>
          <w:sz w:val="18"/>
          <w:szCs w:val="18"/>
          <w:highlight w:val="none"/>
        </w:rPr>
      </w:pPr>
      <w:bookmarkStart w:id="5" w:name="_Toc452533300"/>
      <w:bookmarkStart w:id="6" w:name="_Toc15108"/>
      <w:bookmarkStart w:id="7" w:name="_Toc32429"/>
    </w:p>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w:t>
      </w:r>
    </w:p>
    <w:p>
      <w:pPr>
        <w:spacing w:before="120" w:beforeLines="50"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1、投标人应保证机械设备可以正常使用。</w:t>
      </w:r>
    </w:p>
    <w:p>
      <w:pPr>
        <w:spacing w:before="120"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18"/>
          <w:szCs w:val="18"/>
          <w:highlight w:val="none"/>
        </w:rPr>
        <w:t xml:space="preserve">   2、发包人有权根据工程特点、工程量及工程进度情况要求增加相应的施工设备，投标人不得向发包人要求增加任何相关费用。</w:t>
      </w:r>
    </w:p>
    <w:p>
      <w:pPr>
        <w:spacing w:before="120" w:beforeLines="50" w:line="360" w:lineRule="auto"/>
        <w:jc w:val="center"/>
        <w:rPr>
          <w:rFonts w:hint="eastAsia" w:ascii="仿宋" w:hAnsi="仿宋" w:eastAsia="仿宋" w:cs="仿宋"/>
          <w:color w:val="auto"/>
          <w:szCs w:val="21"/>
          <w:highlight w:val="none"/>
        </w:rPr>
      </w:pPr>
    </w:p>
    <w:p>
      <w:pPr>
        <w:spacing w:before="120" w:beforeLines="50" w:line="360" w:lineRule="auto"/>
        <w:jc w:val="center"/>
        <w:rPr>
          <w:rFonts w:hint="eastAsia" w:ascii="仿宋" w:hAnsi="仿宋" w:eastAsia="仿宋" w:cs="仿宋"/>
          <w:color w:val="auto"/>
          <w:szCs w:val="21"/>
          <w:highlight w:val="none"/>
        </w:rPr>
      </w:pPr>
    </w:p>
    <w:p>
      <w:pPr>
        <w:spacing w:before="120" w:beforeLines="50" w:line="360" w:lineRule="auto"/>
        <w:jc w:val="center"/>
        <w:rPr>
          <w:rFonts w:hint="eastAsia" w:ascii="仿宋" w:hAnsi="仿宋" w:eastAsia="仿宋" w:cs="仿宋"/>
          <w:color w:val="auto"/>
          <w:szCs w:val="21"/>
          <w:highlight w:val="none"/>
        </w:rPr>
      </w:pPr>
    </w:p>
    <w:bookmarkEnd w:id="5"/>
    <w:bookmarkEnd w:id="6"/>
    <w:bookmarkEnd w:id="7"/>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Cs w:val="0"/>
          <w:color w:val="auto"/>
          <w:sz w:val="44"/>
          <w:szCs w:val="20"/>
          <w:highlight w:val="none"/>
        </w:rPr>
      </w:pPr>
      <w:r>
        <w:rPr>
          <w:rFonts w:hint="eastAsia" w:ascii="仿宋" w:hAnsi="仿宋" w:eastAsia="仿宋" w:cs="仿宋"/>
          <w:bCs/>
          <w:color w:val="auto"/>
          <w:sz w:val="36"/>
          <w:szCs w:val="36"/>
          <w:highlight w:val="none"/>
        </w:rPr>
        <w:br w:type="page"/>
      </w:r>
    </w:p>
    <w:p>
      <w:pPr>
        <w:rPr>
          <w:rFonts w:hint="eastAsia" w:ascii="仿宋" w:hAnsi="仿宋" w:eastAsia="仿宋" w:cs="仿宋"/>
          <w:bCs w:val="0"/>
          <w:color w:val="auto"/>
          <w:sz w:val="44"/>
          <w:szCs w:val="20"/>
          <w:highlight w:val="none"/>
        </w:rPr>
      </w:pPr>
    </w:p>
    <w:p>
      <w:pPr>
        <w:rPr>
          <w:rFonts w:hint="eastAsia" w:ascii="仿宋" w:hAnsi="仿宋" w:eastAsia="仿宋" w:cs="仿宋"/>
          <w:bCs w:val="0"/>
          <w:color w:val="auto"/>
          <w:sz w:val="44"/>
          <w:szCs w:val="20"/>
          <w:highlight w:val="none"/>
        </w:rPr>
      </w:pPr>
    </w:p>
    <w:p>
      <w:pPr>
        <w:rPr>
          <w:rFonts w:hint="eastAsia" w:ascii="仿宋" w:hAnsi="仿宋" w:eastAsia="仿宋" w:cs="仿宋"/>
          <w:bCs w:val="0"/>
          <w:color w:val="auto"/>
          <w:sz w:val="44"/>
          <w:szCs w:val="20"/>
          <w:highlight w:val="none"/>
        </w:rPr>
      </w:pPr>
    </w:p>
    <w:p>
      <w:pPr>
        <w:rPr>
          <w:rFonts w:hint="eastAsia" w:ascii="仿宋" w:hAnsi="仿宋" w:eastAsia="仿宋" w:cs="仿宋"/>
          <w:bCs w:val="0"/>
          <w:color w:val="auto"/>
          <w:sz w:val="44"/>
          <w:szCs w:val="20"/>
          <w:highlight w:val="none"/>
        </w:rPr>
      </w:pPr>
    </w:p>
    <w:p>
      <w:pPr>
        <w:rPr>
          <w:rFonts w:hint="eastAsia" w:ascii="仿宋" w:hAnsi="仿宋" w:eastAsia="仿宋" w:cs="仿宋"/>
          <w:bCs w:val="0"/>
          <w:color w:val="auto"/>
          <w:sz w:val="44"/>
          <w:szCs w:val="20"/>
          <w:highlight w:val="none"/>
        </w:rPr>
      </w:pPr>
    </w:p>
    <w:p>
      <w:pPr>
        <w:pStyle w:val="8"/>
        <w:spacing w:before="120" w:beforeLines="50" w:after="0" w:line="360" w:lineRule="auto"/>
        <w:rPr>
          <w:rFonts w:hint="eastAsia" w:ascii="仿宋" w:hAnsi="仿宋" w:eastAsia="仿宋" w:cs="仿宋"/>
          <w:bCs/>
          <w:color w:val="auto"/>
          <w:sz w:val="36"/>
          <w:szCs w:val="36"/>
          <w:highlight w:val="none"/>
        </w:rPr>
      </w:pPr>
    </w:p>
    <w:p>
      <w:pPr>
        <w:pStyle w:val="8"/>
        <w:spacing w:before="120" w:beforeLines="50" w:after="0" w:line="360" w:lineRule="auto"/>
        <w:rPr>
          <w:rFonts w:hint="eastAsia" w:ascii="仿宋" w:hAnsi="仿宋" w:eastAsia="仿宋" w:cs="仿宋"/>
          <w:bCs/>
          <w:color w:val="auto"/>
          <w:sz w:val="36"/>
          <w:szCs w:val="36"/>
          <w:highlight w:val="none"/>
        </w:rPr>
      </w:pPr>
    </w:p>
    <w:p>
      <w:pPr>
        <w:pStyle w:val="8"/>
        <w:spacing w:before="120" w:beforeLines="50" w:after="0" w:line="360" w:lineRule="auto"/>
        <w:rPr>
          <w:rFonts w:hint="eastAsia" w:ascii="仿宋" w:hAnsi="仿宋" w:eastAsia="仿宋" w:cs="仿宋"/>
          <w:bCs/>
          <w:color w:val="auto"/>
          <w:sz w:val="36"/>
          <w:szCs w:val="36"/>
          <w:highlight w:val="none"/>
        </w:rPr>
      </w:pPr>
    </w:p>
    <w:p>
      <w:pPr>
        <w:pStyle w:val="8"/>
        <w:spacing w:before="120" w:beforeLines="50" w:after="0" w:line="360" w:lineRule="auto"/>
        <w:rPr>
          <w:rFonts w:hint="eastAsia" w:ascii="仿宋" w:hAnsi="仿宋" w:eastAsia="仿宋" w:cs="仿宋"/>
          <w:bCs/>
          <w:color w:val="auto"/>
          <w:sz w:val="36"/>
          <w:szCs w:val="36"/>
          <w:highlight w:val="none"/>
        </w:rPr>
      </w:pPr>
    </w:p>
    <w:p>
      <w:pPr>
        <w:pStyle w:val="8"/>
        <w:spacing w:before="120" w:beforeLines="50" w:after="0" w:line="360" w:lineRule="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第三章  评标办法</w:t>
      </w:r>
    </w:p>
    <w:p>
      <w:pPr>
        <w:pStyle w:val="14"/>
        <w:shd w:val="clear" w:color="auto" w:fill="auto"/>
        <w:spacing w:before="120" w:beforeLines="50" w:after="0" w:line="360" w:lineRule="auto"/>
        <w:ind w:firstLine="220"/>
        <w:rPr>
          <w:rStyle w:val="15"/>
          <w:rFonts w:hint="eastAsia" w:ascii="仿宋" w:hAnsi="仿宋" w:eastAsia="仿宋" w:cs="仿宋"/>
          <w:color w:val="auto"/>
          <w:highlight w:val="none"/>
        </w:rPr>
      </w:pPr>
      <w:r>
        <w:rPr>
          <w:rFonts w:hint="eastAsia" w:ascii="仿宋" w:hAnsi="仿宋" w:eastAsia="仿宋" w:cs="仿宋"/>
          <w:color w:val="auto"/>
          <w:sz w:val="36"/>
          <w:szCs w:val="36"/>
          <w:highlight w:val="none"/>
        </w:rPr>
        <w:br w:type="page"/>
      </w:r>
      <w:r>
        <w:rPr>
          <w:rStyle w:val="15"/>
          <w:rFonts w:hint="eastAsia" w:ascii="仿宋" w:hAnsi="仿宋" w:eastAsia="仿宋" w:cs="仿宋"/>
          <w:color w:val="auto"/>
          <w:highlight w:val="none"/>
        </w:rPr>
        <w:t>第三章评标办法（双信封的综合评分法）</w:t>
      </w:r>
    </w:p>
    <w:p>
      <w:pPr>
        <w:pStyle w:val="16"/>
        <w:shd w:val="clear" w:color="auto" w:fill="auto"/>
        <w:spacing w:before="120" w:beforeLines="50" w:line="360" w:lineRule="auto"/>
        <w:rPr>
          <w:rFonts w:hint="eastAsia" w:ascii="仿宋" w:hAnsi="仿宋" w:eastAsia="仿宋" w:cs="仿宋"/>
          <w:b w:val="0"/>
          <w:color w:val="auto"/>
          <w:highlight w:val="none"/>
        </w:rPr>
      </w:pPr>
      <w:r>
        <w:rPr>
          <w:rStyle w:val="17"/>
          <w:rFonts w:hint="eastAsia" w:ascii="仿宋" w:hAnsi="仿宋" w:eastAsia="仿宋" w:cs="仿宋"/>
          <w:b/>
          <w:bCs w:val="0"/>
          <w:color w:val="auto"/>
          <w:highlight w:val="none"/>
        </w:rPr>
        <w:t>评标办法前附表</w:t>
      </w:r>
    </w:p>
    <w:tbl>
      <w:tblPr>
        <w:tblStyle w:val="9"/>
        <w:tblW w:w="9305"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51"/>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076" w:type="dxa"/>
            <w:gridSpan w:val="2"/>
            <w:tcBorders>
              <w:right w:val="single" w:color="000000" w:sz="6" w:space="0"/>
            </w:tcBorders>
            <w:noWrap w:val="0"/>
            <w:vAlign w:val="top"/>
          </w:tcPr>
          <w:p>
            <w:pPr>
              <w:pStyle w:val="18"/>
              <w:spacing w:before="120" w:beforeLines="50" w:line="240" w:lineRule="atLeast"/>
              <w:ind w:right="788" w:firstLine="51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条款号</w:t>
            </w:r>
          </w:p>
        </w:tc>
        <w:tc>
          <w:tcPr>
            <w:tcW w:w="7229" w:type="dxa"/>
            <w:tcBorders>
              <w:left w:val="single" w:color="000000" w:sz="6" w:space="0"/>
            </w:tcBorders>
            <w:noWrap w:val="0"/>
            <w:vAlign w:val="top"/>
          </w:tcPr>
          <w:p>
            <w:pPr>
              <w:pStyle w:val="18"/>
              <w:spacing w:before="120" w:beforeLines="50" w:line="240" w:lineRule="atLeast"/>
              <w:ind w:left="2335" w:right="234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825" w:type="dxa"/>
            <w:noWrap w:val="0"/>
            <w:vAlign w:val="top"/>
          </w:tcPr>
          <w:p>
            <w:pPr>
              <w:pStyle w:val="18"/>
              <w:spacing w:before="120" w:beforeLines="50" w:line="240" w:lineRule="atLeast"/>
              <w:rPr>
                <w:rFonts w:hint="eastAsia" w:ascii="仿宋" w:hAnsi="仿宋" w:eastAsia="仿宋" w:cs="仿宋"/>
                <w:b/>
                <w:color w:val="auto"/>
                <w:highlight w:val="none"/>
              </w:rPr>
            </w:pPr>
          </w:p>
          <w:p>
            <w:pPr>
              <w:pStyle w:val="18"/>
              <w:spacing w:before="120" w:beforeLines="50" w:line="240" w:lineRule="atLeast"/>
              <w:rPr>
                <w:rFonts w:hint="eastAsia" w:ascii="仿宋" w:hAnsi="仿宋" w:eastAsia="仿宋" w:cs="仿宋"/>
                <w:b/>
                <w:color w:val="auto"/>
                <w:highlight w:val="none"/>
              </w:rPr>
            </w:pPr>
          </w:p>
          <w:p>
            <w:pPr>
              <w:pStyle w:val="18"/>
              <w:spacing w:before="120" w:beforeLines="50" w:line="240" w:lineRule="atLeast"/>
              <w:rPr>
                <w:rFonts w:hint="eastAsia" w:ascii="仿宋" w:hAnsi="仿宋" w:eastAsia="仿宋" w:cs="仿宋"/>
                <w:b/>
                <w:color w:val="auto"/>
                <w:highlight w:val="none"/>
              </w:rPr>
            </w:pPr>
          </w:p>
          <w:p>
            <w:pPr>
              <w:pStyle w:val="18"/>
              <w:spacing w:before="120" w:beforeLines="50" w:line="240" w:lineRule="atLeast"/>
              <w:rPr>
                <w:rFonts w:hint="eastAsia" w:ascii="仿宋" w:hAnsi="仿宋" w:eastAsia="仿宋" w:cs="仿宋"/>
                <w:b/>
                <w:color w:val="auto"/>
                <w:sz w:val="28"/>
                <w:highlight w:val="none"/>
              </w:rPr>
            </w:pPr>
          </w:p>
          <w:p>
            <w:pPr>
              <w:pStyle w:val="18"/>
              <w:spacing w:before="120" w:beforeLines="50" w:line="240" w:lineRule="atLeast"/>
              <w:ind w:left="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1</w:t>
            </w:r>
          </w:p>
        </w:tc>
        <w:tc>
          <w:tcPr>
            <w:tcW w:w="1251" w:type="dxa"/>
            <w:tcBorders>
              <w:right w:val="single" w:color="000000" w:sz="6" w:space="0"/>
            </w:tcBorders>
            <w:noWrap w:val="0"/>
            <w:vAlign w:val="top"/>
          </w:tcPr>
          <w:p>
            <w:pPr>
              <w:pStyle w:val="18"/>
              <w:spacing w:before="120" w:beforeLines="50" w:line="240" w:lineRule="atLeast"/>
              <w:rPr>
                <w:rFonts w:hint="eastAsia" w:ascii="仿宋" w:hAnsi="仿宋" w:eastAsia="仿宋" w:cs="仿宋"/>
                <w:b/>
                <w:color w:val="auto"/>
                <w:sz w:val="20"/>
                <w:highlight w:val="none"/>
              </w:rPr>
            </w:pPr>
          </w:p>
          <w:p>
            <w:pPr>
              <w:pStyle w:val="18"/>
              <w:spacing w:before="120" w:beforeLines="50" w:line="240" w:lineRule="atLeast"/>
              <w:rPr>
                <w:rFonts w:hint="eastAsia" w:ascii="仿宋" w:hAnsi="仿宋" w:eastAsia="仿宋" w:cs="仿宋"/>
                <w:b/>
                <w:color w:val="auto"/>
                <w:sz w:val="20"/>
                <w:highlight w:val="none"/>
              </w:rPr>
            </w:pPr>
          </w:p>
          <w:p>
            <w:pPr>
              <w:pStyle w:val="18"/>
              <w:spacing w:before="120" w:beforeLines="50" w:line="240" w:lineRule="atLeast"/>
              <w:rPr>
                <w:rFonts w:hint="eastAsia" w:ascii="仿宋" w:hAnsi="仿宋" w:eastAsia="仿宋" w:cs="仿宋"/>
                <w:b/>
                <w:color w:val="auto"/>
                <w:sz w:val="20"/>
                <w:highlight w:val="none"/>
              </w:rPr>
            </w:pPr>
          </w:p>
          <w:p>
            <w:pPr>
              <w:pStyle w:val="18"/>
              <w:spacing w:before="120" w:beforeLines="50" w:line="240" w:lineRule="atLeast"/>
              <w:rPr>
                <w:rFonts w:hint="eastAsia" w:ascii="仿宋" w:hAnsi="仿宋" w:eastAsia="仿宋" w:cs="仿宋"/>
                <w:b/>
                <w:color w:val="auto"/>
                <w:sz w:val="20"/>
                <w:highlight w:val="none"/>
              </w:rPr>
            </w:pPr>
          </w:p>
          <w:p>
            <w:pPr>
              <w:pStyle w:val="18"/>
              <w:spacing w:before="120" w:beforeLines="50" w:line="240" w:lineRule="atLeast"/>
              <w:ind w:left="217"/>
              <w:rPr>
                <w:rFonts w:hint="eastAsia" w:ascii="仿宋" w:hAnsi="仿宋" w:eastAsia="仿宋" w:cs="仿宋"/>
                <w:color w:val="auto"/>
                <w:sz w:val="21"/>
                <w:highlight w:val="none"/>
              </w:rPr>
            </w:pPr>
            <w:r>
              <w:rPr>
                <w:rFonts w:hint="eastAsia" w:ascii="仿宋" w:hAnsi="仿宋" w:eastAsia="仿宋" w:cs="仿宋"/>
                <w:color w:val="auto"/>
                <w:sz w:val="21"/>
                <w:highlight w:val="none"/>
              </w:rPr>
              <w:t>评标方法</w:t>
            </w:r>
          </w:p>
        </w:tc>
        <w:tc>
          <w:tcPr>
            <w:tcW w:w="7229" w:type="dxa"/>
            <w:tcBorders>
              <w:left w:val="single" w:color="000000" w:sz="6" w:space="0"/>
            </w:tcBorders>
            <w:noWrap w:val="0"/>
            <w:vAlign w:val="top"/>
          </w:tcPr>
          <w:p>
            <w:pPr>
              <w:pStyle w:val="18"/>
              <w:spacing w:before="120" w:beforeLines="50" w:line="240" w:lineRule="atLeast"/>
              <w:ind w:right="97" w:firstLine="420"/>
              <w:rPr>
                <w:rStyle w:val="19"/>
                <w:rFonts w:hint="eastAsia" w:ascii="仿宋" w:hAnsi="仿宋" w:eastAsia="仿宋" w:cs="仿宋"/>
                <w:color w:val="auto"/>
                <w:sz w:val="21"/>
                <w:highlight w:val="none"/>
                <w:lang w:val="zh-CN" w:eastAsia="zh-CN"/>
              </w:rPr>
            </w:pPr>
            <w:r>
              <w:rPr>
                <w:rStyle w:val="19"/>
                <w:rFonts w:hint="eastAsia" w:ascii="仿宋" w:hAnsi="仿宋" w:eastAsia="仿宋" w:cs="仿宋"/>
                <w:color w:val="auto"/>
                <w:sz w:val="21"/>
                <w:highlight w:val="none"/>
                <w:lang w:val="zh-CN" w:eastAsia="zh-CN"/>
              </w:rPr>
              <w:t>综合评分相等时，评标委员会依次按照以下优先顺序推荐中标候选人或确定中标人：</w:t>
            </w:r>
          </w:p>
          <w:p>
            <w:pPr>
              <w:pStyle w:val="18"/>
              <w:numPr>
                <w:ilvl w:val="0"/>
                <w:numId w:val="2"/>
              </w:numPr>
              <w:tabs>
                <w:tab w:val="left" w:pos="1050"/>
              </w:tabs>
              <w:spacing w:before="120" w:beforeLines="50" w:line="240" w:lineRule="atLeast"/>
              <w:ind w:left="104" w:right="97" w:firstLine="420"/>
              <w:rPr>
                <w:rStyle w:val="19"/>
                <w:rFonts w:hint="eastAsia" w:ascii="仿宋" w:hAnsi="仿宋" w:eastAsia="仿宋" w:cs="仿宋"/>
                <w:color w:val="auto"/>
                <w:sz w:val="21"/>
                <w:highlight w:val="none"/>
                <w:lang w:val="zh-CN" w:eastAsia="zh-CN"/>
              </w:rPr>
            </w:pPr>
            <w:r>
              <w:rPr>
                <w:rStyle w:val="19"/>
                <w:rFonts w:hint="eastAsia" w:ascii="仿宋" w:hAnsi="仿宋" w:eastAsia="仿宋" w:cs="仿宋"/>
                <w:color w:val="auto"/>
                <w:sz w:val="21"/>
                <w:highlight w:val="none"/>
                <w:lang w:val="zh-CN" w:eastAsia="zh-CN"/>
              </w:rPr>
              <w:t>评标价低的优先，当一家以上投标人综合得分相等且评标价也相等时，若各投标人工程量清单细目单价也相同，视为串标，应否决其投标；</w:t>
            </w:r>
          </w:p>
          <w:p>
            <w:pPr>
              <w:pStyle w:val="18"/>
              <w:numPr>
                <w:ilvl w:val="0"/>
                <w:numId w:val="2"/>
              </w:numPr>
              <w:tabs>
                <w:tab w:val="left" w:pos="1050"/>
              </w:tabs>
              <w:spacing w:before="120" w:beforeLines="50" w:line="240" w:lineRule="atLeast"/>
              <w:ind w:left="104" w:right="97" w:firstLine="420"/>
              <w:rPr>
                <w:rStyle w:val="19"/>
                <w:rFonts w:hint="eastAsia" w:ascii="仿宋" w:hAnsi="仿宋" w:eastAsia="仿宋" w:cs="仿宋"/>
                <w:color w:val="auto"/>
                <w:sz w:val="21"/>
                <w:highlight w:val="none"/>
                <w:lang w:val="zh-CN" w:eastAsia="zh-CN"/>
              </w:rPr>
            </w:pPr>
            <w:r>
              <w:rPr>
                <w:rFonts w:hint="eastAsia" w:ascii="仿宋" w:hAnsi="仿宋" w:eastAsia="仿宋" w:cs="仿宋"/>
                <w:color w:val="auto"/>
                <w:szCs w:val="21"/>
                <w:highlight w:val="none"/>
                <w:lang w:eastAsia="zh-CN"/>
              </w:rPr>
              <w:t>被广东省级交通交通运输厅评为较高信用等级的投标人优先（对于信用等级为 AA、A 的企业在递交投标文件时应按要求提交使用广东省信用评价等级申请承诺书，否则，AA 级信用等级企业按 A 级对待、A 级信用等级企业按 B 级对待）；</w:t>
            </w:r>
          </w:p>
          <w:p>
            <w:pPr>
              <w:pStyle w:val="18"/>
              <w:spacing w:before="120" w:beforeLines="50" w:line="240" w:lineRule="atLeast"/>
              <w:ind w:left="104" w:right="97" w:firstLine="420"/>
              <w:rPr>
                <w:rStyle w:val="19"/>
                <w:rFonts w:hint="eastAsia" w:ascii="仿宋" w:hAnsi="仿宋" w:eastAsia="仿宋" w:cs="仿宋"/>
                <w:color w:val="auto"/>
                <w:sz w:val="21"/>
                <w:highlight w:val="none"/>
                <w:lang w:eastAsia="zh-CN"/>
              </w:rPr>
            </w:pPr>
            <w:r>
              <w:rPr>
                <w:rStyle w:val="19"/>
                <w:rFonts w:hint="eastAsia" w:ascii="仿宋" w:hAnsi="仿宋" w:eastAsia="仿宋" w:cs="仿宋"/>
                <w:color w:val="auto"/>
                <w:sz w:val="21"/>
                <w:highlight w:val="none"/>
                <w:lang w:eastAsia="zh-CN"/>
              </w:rPr>
              <w:t>（3）以投标人企业最新年度净资产较高的优先；</w:t>
            </w:r>
          </w:p>
          <w:p>
            <w:pPr>
              <w:pStyle w:val="18"/>
              <w:spacing w:before="120" w:beforeLines="50" w:line="240" w:lineRule="atLeast"/>
              <w:ind w:left="104" w:right="97" w:firstLine="420"/>
              <w:rPr>
                <w:rFonts w:hint="eastAsia" w:ascii="仿宋" w:hAnsi="仿宋" w:eastAsia="仿宋" w:cs="仿宋"/>
                <w:color w:val="auto"/>
                <w:sz w:val="21"/>
                <w:highlight w:val="none"/>
                <w:lang w:eastAsia="zh-CN"/>
              </w:rPr>
            </w:pPr>
            <w:r>
              <w:rPr>
                <w:rStyle w:val="19"/>
                <w:rFonts w:hint="eastAsia" w:ascii="仿宋" w:hAnsi="仿宋" w:eastAsia="仿宋" w:cs="仿宋"/>
                <w:color w:val="auto"/>
                <w:sz w:val="21"/>
                <w:highlight w:val="none"/>
                <w:lang w:val="zh-CN" w:eastAsia="zh-CN"/>
              </w:rPr>
              <w:t>（</w:t>
            </w:r>
            <w:r>
              <w:rPr>
                <w:rStyle w:val="19"/>
                <w:rFonts w:hint="eastAsia" w:ascii="仿宋" w:hAnsi="仿宋" w:eastAsia="仿宋" w:cs="仿宋"/>
                <w:color w:val="auto"/>
                <w:sz w:val="21"/>
                <w:highlight w:val="none"/>
                <w:lang w:eastAsia="zh-CN"/>
              </w:rPr>
              <w:t>4</w:t>
            </w:r>
            <w:r>
              <w:rPr>
                <w:rStyle w:val="19"/>
                <w:rFonts w:hint="eastAsia" w:ascii="仿宋" w:hAnsi="仿宋" w:eastAsia="仿宋" w:cs="仿宋"/>
                <w:color w:val="auto"/>
                <w:sz w:val="21"/>
                <w:highlight w:val="none"/>
                <w:lang w:val="zh-CN" w:eastAsia="zh-CN"/>
              </w:rPr>
              <w:t>）评标委员会视投标人情况综合比较，投票确定其名次。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25" w:type="dxa"/>
            <w:noWrap w:val="0"/>
            <w:vAlign w:val="top"/>
          </w:tcPr>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highlight w:val="none"/>
                <w:lang w:eastAsia="zh-CN"/>
              </w:rPr>
            </w:pPr>
          </w:p>
          <w:p>
            <w:pPr>
              <w:pStyle w:val="18"/>
              <w:spacing w:before="120" w:beforeLines="50" w:line="240" w:lineRule="atLeast"/>
              <w:rPr>
                <w:rFonts w:hint="eastAsia" w:ascii="仿宋" w:hAnsi="仿宋" w:eastAsia="仿宋" w:cs="仿宋"/>
                <w:b/>
                <w:color w:val="auto"/>
                <w:sz w:val="30"/>
                <w:highlight w:val="none"/>
                <w:lang w:eastAsia="zh-CN"/>
              </w:rPr>
            </w:pPr>
          </w:p>
          <w:p>
            <w:pPr>
              <w:pStyle w:val="18"/>
              <w:spacing w:before="120" w:beforeLines="50" w:line="240" w:lineRule="atLeast"/>
              <w:ind w:left="282"/>
              <w:rPr>
                <w:rFonts w:hint="eastAsia" w:ascii="仿宋" w:hAnsi="仿宋" w:eastAsia="仿宋" w:cs="仿宋"/>
                <w:color w:val="auto"/>
                <w:sz w:val="21"/>
                <w:highlight w:val="none"/>
              </w:rPr>
            </w:pPr>
            <w:r>
              <w:rPr>
                <w:rFonts w:hint="eastAsia" w:ascii="仿宋" w:hAnsi="仿宋" w:eastAsia="仿宋" w:cs="仿宋"/>
                <w:color w:val="auto"/>
                <w:sz w:val="21"/>
                <w:highlight w:val="none"/>
              </w:rPr>
              <w:t>2.1.1</w:t>
            </w:r>
          </w:p>
          <w:p>
            <w:pPr>
              <w:pStyle w:val="18"/>
              <w:spacing w:before="120" w:beforeLines="50" w:line="240" w:lineRule="atLeast"/>
              <w:ind w:left="282"/>
              <w:rPr>
                <w:rFonts w:hint="eastAsia" w:ascii="仿宋" w:hAnsi="仿宋" w:eastAsia="仿宋" w:cs="仿宋"/>
                <w:color w:val="auto"/>
                <w:sz w:val="21"/>
                <w:highlight w:val="none"/>
              </w:rPr>
            </w:pPr>
            <w:r>
              <w:rPr>
                <w:rFonts w:hint="eastAsia" w:ascii="仿宋" w:hAnsi="仿宋" w:eastAsia="仿宋" w:cs="仿宋"/>
                <w:color w:val="auto"/>
                <w:sz w:val="21"/>
                <w:highlight w:val="none"/>
              </w:rPr>
              <w:t>2.1.3</w:t>
            </w:r>
          </w:p>
        </w:tc>
        <w:tc>
          <w:tcPr>
            <w:tcW w:w="1251" w:type="dxa"/>
            <w:tcBorders>
              <w:right w:val="single" w:color="000000" w:sz="6" w:space="0"/>
            </w:tcBorders>
            <w:noWrap w:val="0"/>
            <w:vAlign w:val="top"/>
          </w:tcPr>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20"/>
                <w:highlight w:val="none"/>
                <w:lang w:eastAsia="zh-CN"/>
              </w:rPr>
            </w:pPr>
          </w:p>
          <w:p>
            <w:pPr>
              <w:pStyle w:val="18"/>
              <w:spacing w:before="120" w:beforeLines="50" w:line="240" w:lineRule="atLeast"/>
              <w:rPr>
                <w:rFonts w:hint="eastAsia" w:ascii="仿宋" w:hAnsi="仿宋" w:eastAsia="仿宋" w:cs="仿宋"/>
                <w:b/>
                <w:color w:val="auto"/>
                <w:sz w:val="15"/>
                <w:highlight w:val="none"/>
                <w:lang w:eastAsia="zh-CN"/>
              </w:rPr>
            </w:pPr>
          </w:p>
          <w:p>
            <w:pPr>
              <w:pStyle w:val="18"/>
              <w:spacing w:before="120" w:beforeLines="50" w:line="240" w:lineRule="atLeast"/>
              <w:ind w:left="112" w:right="99"/>
              <w:jc w:val="center"/>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形式评审与响应性评审标准</w:t>
            </w:r>
          </w:p>
        </w:tc>
        <w:tc>
          <w:tcPr>
            <w:tcW w:w="7229" w:type="dxa"/>
            <w:tcBorders>
              <w:left w:val="single" w:color="000000" w:sz="6" w:space="0"/>
            </w:tcBorders>
            <w:noWrap w:val="0"/>
            <w:vAlign w:val="top"/>
          </w:tcPr>
          <w:p>
            <w:pPr>
              <w:pStyle w:val="18"/>
              <w:spacing w:before="120" w:beforeLines="50" w:line="240" w:lineRule="atLeast"/>
              <w:ind w:left="527"/>
              <w:rPr>
                <w:rFonts w:hint="eastAsia" w:ascii="仿宋" w:hAnsi="仿宋" w:eastAsia="仿宋" w:cs="仿宋"/>
                <w:b/>
                <w:color w:val="auto"/>
                <w:sz w:val="21"/>
                <w:highlight w:val="none"/>
                <w:lang w:eastAsia="zh-CN"/>
              </w:rPr>
            </w:pPr>
            <w:r>
              <w:rPr>
                <w:rFonts w:hint="eastAsia" w:ascii="仿宋" w:hAnsi="仿宋" w:eastAsia="仿宋" w:cs="仿宋"/>
                <w:b/>
                <w:color w:val="auto"/>
                <w:sz w:val="21"/>
                <w:highlight w:val="none"/>
                <w:lang w:eastAsia="zh-CN"/>
              </w:rPr>
              <w:t>第一个信封（商务及技术文件）评审标准：</w:t>
            </w:r>
          </w:p>
          <w:p>
            <w:pPr>
              <w:snapToGrid w:val="0"/>
              <w:spacing w:before="120" w:beforeLines="50" w:line="24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（1）投标文件按照招标文件规定的格式、内容填写，字迹清晰可辨：</w:t>
            </w:r>
            <w:r>
              <w:rPr>
                <w:rFonts w:hint="eastAsia" w:ascii="仿宋" w:hAnsi="仿宋" w:eastAsia="仿宋" w:cs="仿宋"/>
                <w:color w:val="auto"/>
                <w:szCs w:val="21"/>
                <w:highlight w:val="none"/>
              </w:rPr>
              <w:t>投标文件（第一个信封）组成齐全完整，内容均符合规定。</w:t>
            </w:r>
          </w:p>
          <w:p>
            <w:pPr>
              <w:pStyle w:val="18"/>
              <w:spacing w:before="120" w:beforeLines="50" w:line="240" w:lineRule="atLeast"/>
              <w:ind w:left="104" w:right="97"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a.</w:t>
            </w:r>
            <w:r>
              <w:rPr>
                <w:rFonts w:hint="eastAsia" w:ascii="仿宋" w:hAnsi="仿宋" w:eastAsia="仿宋" w:cs="仿宋"/>
                <w:color w:val="auto"/>
                <w:spacing w:val="-15"/>
                <w:sz w:val="21"/>
                <w:highlight w:val="none"/>
                <w:lang w:eastAsia="zh-CN"/>
              </w:rPr>
              <w:t>投标函按招标文件规定填报了项目名称、标段号、补遗书编号</w:t>
            </w:r>
            <w:r>
              <w:rPr>
                <w:rFonts w:hint="eastAsia" w:ascii="仿宋" w:hAnsi="仿宋" w:eastAsia="仿宋" w:cs="仿宋"/>
                <w:color w:val="auto"/>
                <w:spacing w:val="-3"/>
                <w:sz w:val="21"/>
                <w:highlight w:val="none"/>
                <w:lang w:eastAsia="zh-CN"/>
              </w:rPr>
              <w:t>（</w:t>
            </w:r>
            <w:r>
              <w:rPr>
                <w:rFonts w:hint="eastAsia" w:ascii="仿宋" w:hAnsi="仿宋" w:eastAsia="仿宋" w:cs="仿宋"/>
                <w:color w:val="auto"/>
                <w:sz w:val="21"/>
                <w:highlight w:val="none"/>
                <w:lang w:eastAsia="zh-CN"/>
              </w:rPr>
              <w:t>如有</w:t>
            </w:r>
            <w:r>
              <w:rPr>
                <w:rFonts w:hint="eastAsia" w:ascii="仿宋" w:hAnsi="仿宋" w:eastAsia="仿宋" w:cs="仿宋"/>
                <w:color w:val="auto"/>
                <w:spacing w:val="-106"/>
                <w:sz w:val="21"/>
                <w:highlight w:val="none"/>
                <w:lang w:eastAsia="zh-CN"/>
              </w:rPr>
              <w:t>）</w:t>
            </w:r>
            <w:r>
              <w:rPr>
                <w:rFonts w:hint="eastAsia" w:ascii="仿宋" w:hAnsi="仿宋" w:eastAsia="仿宋" w:cs="仿宋"/>
                <w:color w:val="auto"/>
                <w:spacing w:val="-3"/>
                <w:sz w:val="21"/>
                <w:highlight w:val="none"/>
                <w:lang w:eastAsia="zh-CN"/>
              </w:rPr>
              <w:t>、工期、工程质量要求及安全目标；</w:t>
            </w:r>
          </w:p>
          <w:p>
            <w:pPr>
              <w:snapToGrid w:val="0"/>
              <w:spacing w:before="120" w:beforeLines="50" w:line="240" w:lineRule="atLeast"/>
              <w:ind w:firstLine="525"/>
              <w:rPr>
                <w:rFonts w:hint="eastAsia" w:ascii="仿宋" w:hAnsi="仿宋" w:eastAsia="仿宋" w:cs="仿宋"/>
                <w:color w:val="auto"/>
                <w:highlight w:val="none"/>
              </w:rPr>
            </w:pPr>
            <w:r>
              <w:rPr>
                <w:rFonts w:hint="eastAsia" w:ascii="仿宋" w:hAnsi="仿宋" w:eastAsia="仿宋" w:cs="仿宋"/>
                <w:color w:val="auto"/>
                <w:highlight w:val="none"/>
              </w:rPr>
              <w:t>b.投标函附录的所有数据均符合招标文件规定；</w:t>
            </w:r>
          </w:p>
          <w:p>
            <w:pPr>
              <w:pStyle w:val="18"/>
              <w:spacing w:before="120" w:beforeLines="50" w:line="240" w:lineRule="atLeast"/>
              <w:ind w:left="4" w:firstLine="519"/>
              <w:rPr>
                <w:rFonts w:hint="eastAsia" w:ascii="仿宋" w:hAnsi="仿宋" w:eastAsia="仿宋" w:cs="仿宋"/>
                <w:color w:val="auto"/>
                <w:sz w:val="21"/>
                <w:highlight w:val="none"/>
                <w:lang w:eastAsia="zh-CN"/>
              </w:rPr>
            </w:pPr>
            <w:r>
              <w:rPr>
                <w:rFonts w:hint="eastAsia" w:ascii="仿宋" w:hAnsi="仿宋" w:eastAsia="仿宋" w:cs="仿宋"/>
                <w:color w:val="auto"/>
                <w:szCs w:val="21"/>
                <w:highlight w:val="none"/>
                <w:lang w:eastAsia="zh-CN"/>
              </w:rPr>
              <w:t>c.按照招标文件规定的格式、内容编制了施工组织设计及项目管理机构相关图表；</w:t>
            </w:r>
          </w:p>
          <w:p>
            <w:pPr>
              <w:pStyle w:val="18"/>
              <w:spacing w:before="120" w:beforeLines="50" w:line="240" w:lineRule="atLeast"/>
              <w:ind w:left="524"/>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d.投标文件</w:t>
            </w:r>
            <w:r>
              <w:rPr>
                <w:rFonts w:hint="eastAsia" w:ascii="仿宋" w:hAnsi="仿宋" w:eastAsia="仿宋" w:cs="仿宋"/>
                <w:color w:val="auto"/>
                <w:szCs w:val="21"/>
                <w:highlight w:val="none"/>
                <w:lang w:eastAsia="zh-CN"/>
              </w:rPr>
              <w:t>（第一个信封）</w:t>
            </w:r>
            <w:r>
              <w:rPr>
                <w:rFonts w:hint="eastAsia" w:ascii="仿宋" w:hAnsi="仿宋" w:eastAsia="仿宋" w:cs="仿宋"/>
                <w:color w:val="auto"/>
                <w:sz w:val="21"/>
                <w:highlight w:val="none"/>
                <w:lang w:eastAsia="zh-CN"/>
              </w:rPr>
              <w:t>组成齐全完整，内容均按规定填写。</w:t>
            </w:r>
          </w:p>
          <w:p>
            <w:pPr>
              <w:pStyle w:val="18"/>
              <w:spacing w:before="120" w:beforeLines="50" w:line="240" w:lineRule="atLeast"/>
              <w:ind w:left="104" w:right="95"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（2）投标文件上法定代表人或其委托代理人的签字、投标人的单位章盖章齐全，符合招标文件规定。</w:t>
            </w:r>
          </w:p>
          <w:p>
            <w:pPr>
              <w:snapToGrid w:val="0"/>
              <w:spacing w:before="120" w:beforeLines="50" w:line="24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（3）投标人按照招标文件的规定提供了投标保证金：</w:t>
            </w:r>
          </w:p>
          <w:p>
            <w:pPr>
              <w:pStyle w:val="18"/>
              <w:spacing w:before="120" w:beforeLines="50" w:line="240" w:lineRule="atLeast"/>
              <w:ind w:left="104" w:right="95"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a.投标保证金金额符合招标文件规定的金额，且投标保证金有效期不少于投标有效期；</w:t>
            </w:r>
          </w:p>
          <w:p>
            <w:pPr>
              <w:pStyle w:val="18"/>
              <w:spacing w:before="120" w:beforeLines="50" w:line="240" w:lineRule="atLeast"/>
              <w:ind w:left="104" w:right="95"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b.若投标保证金采用现金或支票形式提交，投标人应在投标人须知</w:t>
            </w:r>
            <w:r>
              <w:rPr>
                <w:rFonts w:hint="eastAsia" w:ascii="仿宋" w:hAnsi="仿宋" w:eastAsia="仿宋" w:cs="仿宋"/>
                <w:color w:val="auto"/>
                <w:szCs w:val="21"/>
                <w:highlight w:val="none"/>
                <w:lang w:eastAsia="zh-CN"/>
              </w:rPr>
              <w:t>前附表</w:t>
            </w:r>
            <w:r>
              <w:rPr>
                <w:rFonts w:hint="eastAsia" w:ascii="仿宋" w:hAnsi="仿宋" w:eastAsia="仿宋" w:cs="仿宋"/>
                <w:color w:val="auto"/>
                <w:sz w:val="21"/>
                <w:highlight w:val="none"/>
                <w:lang w:eastAsia="zh-CN"/>
              </w:rPr>
              <w:t>规定的时间，将投标保证金由投标人的基本账户转入招标人指定账户；</w:t>
            </w:r>
          </w:p>
          <w:p>
            <w:pPr>
              <w:pStyle w:val="18"/>
              <w:spacing w:before="120" w:beforeLines="50" w:line="240" w:lineRule="atLeast"/>
              <w:ind w:left="104" w:right="95"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C.若投标保证金采用银行保函形式提交，银行保函的格式、开具保函的银行均满足招标文件要求，银行保函原件在递交投标文件时单独密封递交，其复印件装订在投标文件中。</w:t>
            </w:r>
          </w:p>
          <w:p>
            <w:pPr>
              <w:pStyle w:val="18"/>
              <w:spacing w:before="120" w:beforeLines="50" w:line="240" w:lineRule="atLeast"/>
              <w:ind w:left="104" w:right="95" w:firstLine="420"/>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d. 投标保证金采用投标保险形式提交，原件在递交投标文件时单独密封递交，其复印件装订在投标文件中。</w:t>
            </w:r>
          </w:p>
          <w:p>
            <w:pPr>
              <w:pStyle w:val="18"/>
              <w:spacing w:before="120" w:beforeLines="50" w:line="240" w:lineRule="atLeast"/>
              <w:ind w:left="4" w:right="95" w:firstLine="519"/>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w:t>
            </w:r>
            <w:r>
              <w:rPr>
                <w:rFonts w:hint="eastAsia" w:ascii="仿宋" w:hAnsi="仿宋" w:eastAsia="仿宋" w:cs="仿宋"/>
                <w:color w:val="auto"/>
                <w:sz w:val="21"/>
                <w:highlight w:val="none"/>
                <w:lang w:eastAsia="zh-CN"/>
              </w:rPr>
              <w:t>4）</w:t>
            </w:r>
            <w:r>
              <w:rPr>
                <w:rFonts w:hint="eastAsia" w:ascii="仿宋" w:hAnsi="仿宋" w:eastAsia="仿宋" w:cs="仿宋"/>
                <w:color w:val="auto"/>
                <w:sz w:val="21"/>
                <w:highlight w:val="none"/>
                <w:lang w:val="zh-CN" w:eastAsia="zh-CN"/>
              </w:rPr>
              <w:t>投标人法定代表人授权委托代理人签署投标文件的，需提交</w:t>
            </w:r>
            <w:r>
              <w:rPr>
                <w:rFonts w:hint="eastAsia" w:ascii="仿宋" w:hAnsi="仿宋" w:eastAsia="仿宋" w:cs="仿宋"/>
                <w:color w:val="auto"/>
                <w:szCs w:val="21"/>
                <w:highlight w:val="none"/>
                <w:lang w:eastAsia="zh-CN"/>
              </w:rPr>
              <w:t>附有法定代表人身份证明的</w:t>
            </w:r>
            <w:r>
              <w:rPr>
                <w:rFonts w:hint="eastAsia" w:ascii="仿宋" w:hAnsi="仿宋" w:eastAsia="仿宋" w:cs="仿宋"/>
                <w:color w:val="auto"/>
                <w:sz w:val="21"/>
                <w:highlight w:val="none"/>
                <w:lang w:val="zh-CN" w:eastAsia="zh-CN"/>
              </w:rPr>
              <w:t>授权委托书，且授权人和被授权人均在授权委托书上签名，未使用印 章、签名章或其他电子制版签名代替。</w:t>
            </w:r>
          </w:p>
          <w:p>
            <w:pPr>
              <w:pStyle w:val="18"/>
              <w:tabs>
                <w:tab w:val="left" w:pos="917"/>
              </w:tabs>
              <w:spacing w:before="120" w:beforeLines="50" w:line="240" w:lineRule="atLeast"/>
              <w:ind w:left="4" w:right="95" w:firstLine="519"/>
              <w:jc w:val="both"/>
              <w:rPr>
                <w:rStyle w:val="19"/>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w:t>
            </w:r>
            <w:r>
              <w:rPr>
                <w:rFonts w:hint="eastAsia" w:ascii="仿宋" w:hAnsi="仿宋" w:eastAsia="仿宋" w:cs="仿宋"/>
                <w:color w:val="auto"/>
                <w:sz w:val="21"/>
                <w:highlight w:val="none"/>
                <w:lang w:eastAsia="zh-CN"/>
              </w:rPr>
              <w:t>5）</w:t>
            </w:r>
            <w:r>
              <w:rPr>
                <w:rStyle w:val="19"/>
                <w:rFonts w:hint="eastAsia" w:ascii="仿宋" w:hAnsi="仿宋" w:eastAsia="仿宋" w:cs="仿宋"/>
                <w:color w:val="auto"/>
                <w:sz w:val="21"/>
                <w:highlight w:val="none"/>
                <w:lang w:val="zh-CN" w:eastAsia="zh-CN"/>
              </w:rPr>
              <w:t>投标人法定代表人亲自签署投标文件的，提供了法定代表人 身份证明，且法定代表人在法定代表人身份证明上签名，未使用印章、 签名章或其他电子制版签名代替。</w:t>
            </w:r>
          </w:p>
          <w:p>
            <w:pPr>
              <w:pStyle w:val="18"/>
              <w:tabs>
                <w:tab w:val="left" w:pos="917"/>
              </w:tabs>
              <w:spacing w:before="120" w:beforeLines="50" w:line="240" w:lineRule="atLeast"/>
              <w:ind w:left="4" w:right="95" w:firstLine="519"/>
              <w:jc w:val="both"/>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w:t>
            </w:r>
            <w:r>
              <w:rPr>
                <w:rFonts w:hint="eastAsia" w:ascii="仿宋" w:hAnsi="仿宋" w:eastAsia="仿宋" w:cs="仿宋"/>
                <w:color w:val="auto"/>
                <w:sz w:val="21"/>
                <w:highlight w:val="none"/>
                <w:lang w:eastAsia="zh-CN"/>
              </w:rPr>
              <w:t>6）</w:t>
            </w:r>
            <w:r>
              <w:rPr>
                <w:rStyle w:val="19"/>
                <w:rFonts w:hint="eastAsia" w:ascii="仿宋" w:hAnsi="仿宋" w:eastAsia="仿宋" w:cs="仿宋"/>
                <w:color w:val="auto"/>
                <w:sz w:val="21"/>
                <w:highlight w:val="none"/>
                <w:lang w:val="zh-CN" w:eastAsia="zh-CN"/>
              </w:rPr>
              <w:t>投标人如有分包计划，符合招标文件第二章“投标人须知” 第1.11款规定，且按招标文件第九章“投标文件格式”的要求填写了“拟分包项目情况表”。</w:t>
            </w:r>
          </w:p>
          <w:p>
            <w:pPr>
              <w:pStyle w:val="18"/>
              <w:tabs>
                <w:tab w:val="left" w:pos="917"/>
              </w:tabs>
              <w:spacing w:before="120" w:beforeLines="50" w:line="240" w:lineRule="atLeast"/>
              <w:ind w:left="524" w:right="95"/>
              <w:jc w:val="both"/>
              <w:rPr>
                <w:rStyle w:val="19"/>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w:t>
            </w:r>
            <w:r>
              <w:rPr>
                <w:rFonts w:hint="eastAsia" w:ascii="仿宋" w:hAnsi="仿宋" w:eastAsia="仿宋" w:cs="仿宋"/>
                <w:color w:val="auto"/>
                <w:sz w:val="21"/>
                <w:highlight w:val="none"/>
                <w:lang w:eastAsia="zh-CN"/>
              </w:rPr>
              <w:t>7）</w:t>
            </w:r>
            <w:r>
              <w:rPr>
                <w:rStyle w:val="19"/>
                <w:rFonts w:hint="eastAsia" w:ascii="仿宋" w:hAnsi="仿宋" w:eastAsia="仿宋" w:cs="仿宋"/>
                <w:color w:val="auto"/>
                <w:sz w:val="21"/>
                <w:highlight w:val="none"/>
                <w:lang w:val="zh-CN" w:eastAsia="zh-CN"/>
              </w:rPr>
              <w:t>投标文件中未出现有关投标报价的内容。</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（8）投标文件载明的招标项目完成期限未超过招标文件规定的时限。</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（9）投标文件对招标文件的实质性要求和条件作出响应。</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 xml:space="preserve"> 10）权利义务符合招标文件规定：</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a.</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投标人应接受招标文件规定的风险划分原则，未提出新的风险划分办法；</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b.</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投标人未增加发包人的责任范围，或减少投标人义务；</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c.</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投标人未提出不同的工程验收、计量、支付办法；</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d.</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投标人对合同纠纷、事故处理办法未提出异议；</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e.</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投标人在投标活动中无欺诈行为；</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f.</w:t>
            </w:r>
            <w:r>
              <w:rPr>
                <w:rFonts w:hint="eastAsia" w:ascii="仿宋" w:hAnsi="仿宋" w:eastAsia="仿宋" w:cs="仿宋"/>
                <w:color w:val="auto"/>
                <w:sz w:val="21"/>
                <w:highlight w:val="none"/>
                <w:lang w:val="zh-CN" w:eastAsia="zh-CN"/>
              </w:rPr>
              <w:tab/>
            </w:r>
            <w:r>
              <w:rPr>
                <w:rFonts w:hint="eastAsia" w:ascii="仿宋" w:hAnsi="仿宋" w:eastAsia="仿宋" w:cs="仿宋"/>
                <w:color w:val="auto"/>
                <w:sz w:val="21"/>
                <w:highlight w:val="none"/>
                <w:lang w:val="zh-CN" w:eastAsia="zh-CN"/>
              </w:rPr>
              <w:t>投标人未对合同条款有重要保留。</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 xml:space="preserve"> (11)投标文件正、副本份数符合招标文件第二章“投标人须知 第3.7.4项规定。</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（12）至投标文件递交截止日，投标人的法定代表人、拟委任的项目经理（含备选）、项目总工（含备选）近三年均没有因行贿犯罪而被人民法院判决、裁定生效的行为并在投标函中予以承诺。</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（13）投标文件未附有招标人不能接受的条件。</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p>
          <w:p>
            <w:pPr>
              <w:pStyle w:val="18"/>
              <w:tabs>
                <w:tab w:val="left" w:pos="917"/>
              </w:tabs>
              <w:spacing w:before="120" w:beforeLines="50" w:line="240" w:lineRule="atLeast"/>
              <w:ind w:left="524" w:right="95"/>
              <w:rPr>
                <w:rFonts w:hint="eastAsia" w:ascii="仿宋" w:hAnsi="仿宋" w:eastAsia="仿宋" w:cs="仿宋"/>
                <w:b/>
                <w:bCs/>
                <w:color w:val="auto"/>
                <w:sz w:val="21"/>
                <w:highlight w:val="none"/>
                <w:lang w:val="zh-CN" w:eastAsia="zh-CN"/>
              </w:rPr>
            </w:pPr>
            <w:r>
              <w:rPr>
                <w:rFonts w:hint="eastAsia" w:ascii="仿宋" w:hAnsi="仿宋" w:eastAsia="仿宋" w:cs="仿宋"/>
                <w:b/>
                <w:bCs/>
                <w:color w:val="auto"/>
                <w:sz w:val="21"/>
                <w:highlight w:val="none"/>
                <w:lang w:val="zh-CN" w:eastAsia="zh-CN"/>
              </w:rPr>
              <w:t>第二个信封（报价文件）评审标准：</w:t>
            </w:r>
          </w:p>
          <w:p>
            <w:pPr>
              <w:pStyle w:val="18"/>
              <w:tabs>
                <w:tab w:val="left" w:pos="917"/>
              </w:tabs>
              <w:spacing w:before="120" w:beforeLines="50" w:line="240" w:lineRule="atLeast"/>
              <w:ind w:right="95" w:firstLine="315" w:firstLineChars="15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 xml:space="preserve"> (1)投标文件按照招标文件规定的格式、内容填写，字迹清晰可辨：</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a.投标函按招标文件规定填报了项目名称、标段号、补遗书编号（如 有)、投标价（包括大写金额和小写金额)；</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b.已标价工程量清单说明文字与招标文件规定一致，未进行实质性 修改和删减；</w:t>
            </w:r>
          </w:p>
          <w:p>
            <w:pPr>
              <w:pStyle w:val="18"/>
              <w:tabs>
                <w:tab w:val="left" w:pos="917"/>
              </w:tabs>
              <w:spacing w:before="120" w:beforeLines="50" w:line="240" w:lineRule="atLeast"/>
              <w:ind w:left="524" w:right="95"/>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c.投标文件（第二信封）组成齐全完整，内容均按规定填写。</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（2）投标文件上法定代表人或其委托代理人的签字、投标人的单位章盖章齐全，符合招标文件规定。</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（3）投标报价中的报价未超过招标文件设定的最高投标限价（如有)。</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（4）投标报价中报价的大写金额能够确定具体数值。</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（5）同一投标人未提交两个以上不同的投标报价，但招标文件要求提交备选投标的除外。</w:t>
            </w:r>
          </w:p>
          <w:p>
            <w:pPr>
              <w:pStyle w:val="18"/>
              <w:tabs>
                <w:tab w:val="left" w:pos="917"/>
              </w:tabs>
              <w:spacing w:before="120" w:beforeLines="50" w:line="240" w:lineRule="atLeast"/>
              <w:ind w:right="95" w:firstLine="420" w:firstLineChars="200"/>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（6）投标人若填写工程量固化清单，填写完毕的工程量固化清单未对工程量固化清单电子文件中的数据、格式和运算定义进行修改；工程量固化清单中的投标报价和投标函大写金额报价一致。</w:t>
            </w:r>
          </w:p>
          <w:p>
            <w:pPr>
              <w:pStyle w:val="18"/>
              <w:tabs>
                <w:tab w:val="left" w:pos="917"/>
              </w:tabs>
              <w:spacing w:before="120" w:beforeLines="50" w:line="240" w:lineRule="atLeast"/>
              <w:ind w:right="95" w:firstLine="420" w:firstLineChars="200"/>
              <w:jc w:val="both"/>
              <w:rPr>
                <w:rFonts w:hint="eastAsia" w:ascii="仿宋" w:hAnsi="仿宋" w:eastAsia="仿宋" w:cs="仿宋"/>
                <w:color w:val="auto"/>
                <w:sz w:val="21"/>
                <w:highlight w:val="none"/>
                <w:lang w:val="zh-CN" w:eastAsia="zh-CN"/>
              </w:rPr>
            </w:pPr>
            <w:r>
              <w:rPr>
                <w:rFonts w:hint="eastAsia" w:ascii="仿宋" w:hAnsi="仿宋" w:eastAsia="仿宋" w:cs="仿宋"/>
                <w:color w:val="auto"/>
                <w:sz w:val="21"/>
                <w:highlight w:val="none"/>
                <w:lang w:val="zh-CN" w:eastAsia="zh-CN"/>
              </w:rPr>
              <w:t>（7）投标文件正、副本份数符合招标文件第二章“投标人须知”第 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825"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251"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w:t>
            </w:r>
          </w:p>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pStyle w:val="20"/>
              <w:shd w:val="clear" w:color="auto" w:fill="auto"/>
              <w:spacing w:before="120" w:beforeLines="50"/>
              <w:ind w:firstLine="420" w:firstLineChars="200"/>
              <w:rPr>
                <w:rStyle w:val="21"/>
                <w:rFonts w:hint="eastAsia" w:ascii="仿宋" w:hAnsi="仿宋" w:eastAsia="仿宋" w:cs="仿宋"/>
                <w:color w:val="auto"/>
                <w:kern w:val="2"/>
                <w:sz w:val="21"/>
                <w:szCs w:val="24"/>
                <w:highlight w:val="none"/>
                <w:lang w:val="zh-CN"/>
              </w:rPr>
            </w:pPr>
            <w:r>
              <w:rPr>
                <w:rStyle w:val="21"/>
                <w:rFonts w:hint="eastAsia" w:ascii="仿宋" w:hAnsi="仿宋" w:eastAsia="仿宋" w:cs="仿宋"/>
                <w:color w:val="auto"/>
                <w:kern w:val="2"/>
                <w:sz w:val="21"/>
                <w:szCs w:val="24"/>
                <w:highlight w:val="none"/>
              </w:rPr>
              <w:t>（1）</w:t>
            </w:r>
            <w:r>
              <w:rPr>
                <w:rStyle w:val="21"/>
                <w:rFonts w:hint="eastAsia" w:ascii="仿宋" w:hAnsi="仿宋" w:eastAsia="仿宋" w:cs="仿宋"/>
                <w:color w:val="auto"/>
                <w:kern w:val="2"/>
                <w:sz w:val="21"/>
                <w:szCs w:val="24"/>
                <w:highlight w:val="none"/>
                <w:lang w:val="zh-CN"/>
              </w:rPr>
              <w:t>投标人具备有效的营业执照、组织机构代码证</w:t>
            </w:r>
            <w:r>
              <w:rPr>
                <w:rFonts w:hint="eastAsia" w:ascii="仿宋" w:hAnsi="仿宋" w:eastAsia="仿宋" w:cs="仿宋"/>
                <w:color w:val="auto"/>
                <w:kern w:val="2"/>
                <w:sz w:val="21"/>
                <w:szCs w:val="24"/>
                <w:highlight w:val="none"/>
              </w:rPr>
              <w:t>（如有）</w:t>
            </w:r>
            <w:r>
              <w:rPr>
                <w:rStyle w:val="21"/>
                <w:rFonts w:hint="eastAsia" w:ascii="仿宋" w:hAnsi="仿宋" w:eastAsia="仿宋" w:cs="仿宋"/>
                <w:color w:val="auto"/>
                <w:kern w:val="2"/>
                <w:sz w:val="21"/>
                <w:szCs w:val="24"/>
                <w:highlight w:val="none"/>
                <w:lang w:val="zh-CN"/>
              </w:rPr>
              <w:t>、资质证书、 安全生产许可证和基本账户开户许可证；</w:t>
            </w:r>
          </w:p>
          <w:p>
            <w:pPr>
              <w:pStyle w:val="20"/>
              <w:shd w:val="clear" w:color="auto" w:fill="auto"/>
              <w:spacing w:before="120" w:beforeLines="50"/>
              <w:ind w:firstLine="420" w:firstLineChars="200"/>
              <w:rPr>
                <w:rStyle w:val="21"/>
                <w:rFonts w:hint="eastAsia" w:ascii="仿宋" w:hAnsi="仿宋" w:eastAsia="仿宋" w:cs="仿宋"/>
                <w:color w:val="auto"/>
                <w:kern w:val="2"/>
                <w:sz w:val="21"/>
                <w:szCs w:val="24"/>
                <w:highlight w:val="none"/>
                <w:lang w:val="zh-CN"/>
              </w:rPr>
            </w:pPr>
            <w:r>
              <w:rPr>
                <w:rStyle w:val="21"/>
                <w:rFonts w:hint="eastAsia" w:ascii="仿宋" w:hAnsi="仿宋" w:eastAsia="仿宋" w:cs="仿宋"/>
                <w:color w:val="auto"/>
                <w:kern w:val="2"/>
                <w:sz w:val="21"/>
                <w:szCs w:val="24"/>
                <w:highlight w:val="none"/>
                <w:lang w:val="zh-CN"/>
              </w:rPr>
              <w:t>（2）投标人的资质等级符合招标文件规定；</w:t>
            </w:r>
          </w:p>
          <w:p>
            <w:pPr>
              <w:pStyle w:val="20"/>
              <w:shd w:val="clear" w:color="auto" w:fill="auto"/>
              <w:spacing w:before="120" w:beforeLines="50"/>
              <w:ind w:firstLine="420" w:firstLineChars="200"/>
              <w:rPr>
                <w:rStyle w:val="21"/>
                <w:rFonts w:hint="eastAsia" w:ascii="仿宋" w:hAnsi="仿宋" w:eastAsia="仿宋" w:cs="仿宋"/>
                <w:color w:val="auto"/>
                <w:kern w:val="2"/>
                <w:sz w:val="21"/>
                <w:szCs w:val="24"/>
                <w:highlight w:val="none"/>
                <w:lang w:val="zh-CN"/>
              </w:rPr>
            </w:pPr>
            <w:r>
              <w:rPr>
                <w:rStyle w:val="21"/>
                <w:rFonts w:hint="eastAsia" w:ascii="仿宋" w:hAnsi="仿宋" w:eastAsia="仿宋" w:cs="仿宋"/>
                <w:color w:val="auto"/>
                <w:kern w:val="2"/>
                <w:sz w:val="21"/>
                <w:szCs w:val="24"/>
                <w:highlight w:val="none"/>
                <w:lang w:val="zh-CN"/>
              </w:rPr>
              <w:t>（3）投标人的财务状况符合招标文件规定；</w:t>
            </w:r>
          </w:p>
          <w:p>
            <w:pPr>
              <w:pStyle w:val="20"/>
              <w:shd w:val="clear" w:color="auto" w:fill="auto"/>
              <w:spacing w:before="120" w:beforeLines="50"/>
              <w:ind w:firstLine="420" w:firstLineChars="200"/>
              <w:rPr>
                <w:rStyle w:val="21"/>
                <w:rFonts w:hint="eastAsia" w:ascii="仿宋" w:hAnsi="仿宋" w:eastAsia="仿宋" w:cs="仿宋"/>
                <w:color w:val="auto"/>
                <w:kern w:val="2"/>
                <w:sz w:val="21"/>
                <w:szCs w:val="24"/>
                <w:highlight w:val="none"/>
                <w:lang w:val="zh-CN"/>
              </w:rPr>
            </w:pPr>
            <w:r>
              <w:rPr>
                <w:rStyle w:val="21"/>
                <w:rFonts w:hint="eastAsia" w:ascii="仿宋" w:hAnsi="仿宋" w:eastAsia="仿宋" w:cs="仿宋"/>
                <w:color w:val="auto"/>
                <w:kern w:val="2"/>
                <w:sz w:val="21"/>
                <w:szCs w:val="24"/>
                <w:highlight w:val="none"/>
                <w:lang w:val="zh-CN"/>
              </w:rPr>
              <w:t>（4）投标人的类似项目业绩符合招标文件规定；</w:t>
            </w:r>
          </w:p>
          <w:p>
            <w:pPr>
              <w:pStyle w:val="20"/>
              <w:shd w:val="clear" w:color="auto" w:fill="auto"/>
              <w:spacing w:before="120" w:beforeLines="50"/>
              <w:ind w:firstLine="420" w:firstLineChars="200"/>
              <w:rPr>
                <w:rStyle w:val="21"/>
                <w:rFonts w:hint="eastAsia" w:ascii="仿宋" w:hAnsi="仿宋" w:eastAsia="仿宋" w:cs="仿宋"/>
                <w:color w:val="auto"/>
                <w:kern w:val="2"/>
                <w:sz w:val="21"/>
                <w:szCs w:val="24"/>
                <w:highlight w:val="none"/>
                <w:lang w:val="zh-CN"/>
              </w:rPr>
            </w:pPr>
            <w:r>
              <w:rPr>
                <w:rStyle w:val="21"/>
                <w:rFonts w:hint="eastAsia" w:ascii="仿宋" w:hAnsi="仿宋" w:eastAsia="仿宋" w:cs="仿宋"/>
                <w:color w:val="auto"/>
                <w:kern w:val="2"/>
                <w:sz w:val="21"/>
                <w:szCs w:val="24"/>
                <w:highlight w:val="none"/>
                <w:lang w:val="zh-CN"/>
              </w:rPr>
              <w:t>（5）投标人的信誉符合招标文件规定；</w:t>
            </w:r>
          </w:p>
          <w:p>
            <w:pPr>
              <w:pStyle w:val="20"/>
              <w:shd w:val="clear" w:color="auto" w:fill="auto"/>
              <w:spacing w:before="120" w:beforeLines="50"/>
              <w:ind w:firstLine="420" w:firstLineChars="200"/>
              <w:rPr>
                <w:rFonts w:hint="eastAsia" w:ascii="仿宋" w:hAnsi="仿宋" w:eastAsia="仿宋" w:cs="仿宋"/>
                <w:color w:val="auto"/>
                <w:kern w:val="2"/>
                <w:sz w:val="21"/>
                <w:szCs w:val="24"/>
                <w:highlight w:val="none"/>
              </w:rPr>
            </w:pPr>
            <w:r>
              <w:rPr>
                <w:rStyle w:val="21"/>
                <w:rFonts w:hint="eastAsia" w:ascii="仿宋" w:hAnsi="仿宋" w:eastAsia="仿宋" w:cs="仿宋"/>
                <w:color w:val="auto"/>
                <w:kern w:val="2"/>
                <w:sz w:val="21"/>
                <w:szCs w:val="24"/>
                <w:highlight w:val="none"/>
                <w:lang w:val="zh-CN"/>
              </w:rPr>
              <w:t>（6）</w:t>
            </w:r>
            <w:r>
              <w:rPr>
                <w:rStyle w:val="21"/>
                <w:rFonts w:hint="eastAsia" w:ascii="仿宋" w:hAnsi="仿宋" w:eastAsia="仿宋" w:cs="仿宋"/>
                <w:color w:val="auto"/>
                <w:kern w:val="2"/>
                <w:sz w:val="21"/>
                <w:szCs w:val="24"/>
                <w:highlight w:val="none"/>
              </w:rPr>
              <w:t>投标人的项目经理和项目总工资格（均含备选，如有）、在岗情况</w:t>
            </w:r>
            <w:r>
              <w:rPr>
                <w:rStyle w:val="22"/>
                <w:rFonts w:hint="eastAsia" w:ascii="仿宋" w:hAnsi="仿宋" w:eastAsia="仿宋" w:cs="仿宋"/>
                <w:color w:val="auto"/>
                <w:kern w:val="2"/>
                <w:highlight w:val="none"/>
                <w:lang w:val="zh-CN"/>
              </w:rPr>
              <w:t>符合招标文件规定；</w:t>
            </w:r>
          </w:p>
          <w:p>
            <w:pPr>
              <w:pStyle w:val="23"/>
              <w:shd w:val="clear" w:color="auto" w:fill="auto"/>
              <w:tabs>
                <w:tab w:val="left" w:pos="1075"/>
              </w:tabs>
              <w:spacing w:before="120" w:beforeLines="50" w:line="240" w:lineRule="atLeast"/>
              <w:ind w:firstLine="440" w:firstLineChars="200"/>
              <w:jc w:val="both"/>
              <w:rPr>
                <w:rFonts w:hint="eastAsia" w:ascii="仿宋" w:hAnsi="仿宋" w:eastAsia="仿宋" w:cs="仿宋"/>
                <w:color w:val="auto"/>
                <w:kern w:val="2"/>
                <w:highlight w:val="none"/>
              </w:rPr>
            </w:pPr>
            <w:r>
              <w:rPr>
                <w:rStyle w:val="22"/>
                <w:rFonts w:hint="eastAsia" w:ascii="仿宋" w:hAnsi="仿宋" w:eastAsia="仿宋" w:cs="仿宋"/>
                <w:color w:val="auto"/>
                <w:kern w:val="2"/>
                <w:highlight w:val="none"/>
              </w:rPr>
              <w:t>（7）</w:t>
            </w:r>
            <w:r>
              <w:rPr>
                <w:rStyle w:val="22"/>
                <w:rFonts w:hint="eastAsia" w:ascii="仿宋" w:hAnsi="仿宋" w:eastAsia="仿宋" w:cs="仿宋"/>
                <w:color w:val="auto"/>
                <w:kern w:val="2"/>
                <w:highlight w:val="none"/>
                <w:lang w:val="zh-CN"/>
              </w:rPr>
              <w:t>投标人的其他要求符合招标文件规定</w:t>
            </w:r>
            <w:r>
              <w:rPr>
                <w:rStyle w:val="22"/>
                <w:rFonts w:hint="eastAsia" w:ascii="仿宋" w:hAnsi="仿宋" w:eastAsia="仿宋" w:cs="仿宋"/>
                <w:color w:val="auto"/>
                <w:kern w:val="2"/>
                <w:highlight w:val="none"/>
                <w:vertAlign w:val="subscript"/>
                <w:lang w:val="zh-CN"/>
              </w:rPr>
              <w:t>；</w:t>
            </w:r>
          </w:p>
          <w:p>
            <w:pPr>
              <w:pStyle w:val="23"/>
              <w:shd w:val="clear" w:color="auto" w:fill="auto"/>
              <w:tabs>
                <w:tab w:val="left" w:pos="943"/>
              </w:tabs>
              <w:spacing w:before="120" w:beforeLines="50" w:line="240" w:lineRule="atLeast"/>
              <w:ind w:firstLine="440" w:firstLineChars="200"/>
              <w:jc w:val="both"/>
              <w:rPr>
                <w:rFonts w:hint="eastAsia" w:ascii="仿宋" w:hAnsi="仿宋" w:eastAsia="仿宋" w:cs="仿宋"/>
                <w:color w:val="auto"/>
                <w:kern w:val="2"/>
                <w:highlight w:val="none"/>
              </w:rPr>
            </w:pPr>
            <w:r>
              <w:rPr>
                <w:rStyle w:val="22"/>
                <w:rFonts w:hint="eastAsia" w:ascii="仿宋" w:hAnsi="仿宋" w:eastAsia="仿宋" w:cs="仿宋"/>
                <w:color w:val="auto"/>
                <w:kern w:val="2"/>
                <w:highlight w:val="none"/>
              </w:rPr>
              <w:t>（8）</w:t>
            </w:r>
            <w:r>
              <w:rPr>
                <w:rStyle w:val="22"/>
                <w:rFonts w:hint="eastAsia" w:ascii="仿宋" w:hAnsi="仿宋" w:eastAsia="仿宋" w:cs="仿宋"/>
                <w:color w:val="auto"/>
                <w:kern w:val="2"/>
                <w:highlight w:val="none"/>
                <w:lang w:val="zh-CN"/>
              </w:rPr>
              <w:t>投标人不存在第二章“投标人须知”第</w:t>
            </w:r>
            <w:r>
              <w:rPr>
                <w:rStyle w:val="22"/>
                <w:rFonts w:hint="eastAsia" w:ascii="仿宋" w:hAnsi="仿宋" w:eastAsia="仿宋" w:cs="仿宋"/>
                <w:color w:val="auto"/>
                <w:kern w:val="2"/>
                <w:highlight w:val="none"/>
              </w:rPr>
              <w:t>1.4.3</w:t>
            </w:r>
            <w:r>
              <w:rPr>
                <w:rStyle w:val="22"/>
                <w:rFonts w:hint="eastAsia" w:ascii="仿宋" w:hAnsi="仿宋" w:eastAsia="仿宋" w:cs="仿宋"/>
                <w:color w:val="auto"/>
                <w:kern w:val="2"/>
                <w:highlight w:val="none"/>
                <w:lang w:val="zh-CN"/>
              </w:rPr>
              <w:t>项或第</w:t>
            </w:r>
            <w:r>
              <w:rPr>
                <w:rStyle w:val="22"/>
                <w:rFonts w:hint="eastAsia" w:ascii="仿宋" w:hAnsi="仿宋" w:eastAsia="仿宋" w:cs="仿宋"/>
                <w:color w:val="auto"/>
                <w:kern w:val="2"/>
                <w:highlight w:val="none"/>
              </w:rPr>
              <w:t>1.4.4</w:t>
            </w:r>
            <w:r>
              <w:rPr>
                <w:rStyle w:val="22"/>
                <w:rFonts w:hint="eastAsia" w:ascii="仿宋" w:hAnsi="仿宋" w:eastAsia="仿宋" w:cs="仿宋"/>
                <w:color w:val="auto"/>
                <w:kern w:val="2"/>
                <w:highlight w:val="none"/>
                <w:lang w:val="zh-CN"/>
              </w:rPr>
              <w:t>项规定的任何一种情形；</w:t>
            </w:r>
          </w:p>
          <w:p>
            <w:pPr>
              <w:spacing w:before="120" w:beforeLines="50" w:line="240" w:lineRule="atLeast"/>
              <w:ind w:firstLine="440" w:firstLineChars="200"/>
              <w:rPr>
                <w:rFonts w:hint="eastAsia" w:ascii="仿宋" w:hAnsi="仿宋" w:eastAsia="仿宋" w:cs="仿宋"/>
                <w:color w:val="auto"/>
                <w:szCs w:val="21"/>
                <w:highlight w:val="none"/>
              </w:rPr>
            </w:pPr>
            <w:r>
              <w:rPr>
                <w:rStyle w:val="22"/>
                <w:rFonts w:hint="eastAsia" w:ascii="仿宋" w:hAnsi="仿宋" w:eastAsia="仿宋" w:cs="仿宋"/>
                <w:color w:val="auto"/>
                <w:highlight w:val="none"/>
              </w:rPr>
              <w:t>（9）</w:t>
            </w:r>
            <w:r>
              <w:rPr>
                <w:rStyle w:val="22"/>
                <w:rFonts w:hint="eastAsia" w:ascii="仿宋" w:hAnsi="仿宋" w:eastAsia="仿宋" w:cs="仿宋"/>
                <w:color w:val="auto"/>
                <w:highlight w:val="none"/>
                <w:lang w:val="zh-CN"/>
              </w:rPr>
              <w:t>投标人符合第二章</w:t>
            </w:r>
            <w:r>
              <w:rPr>
                <w:rStyle w:val="22"/>
                <w:rFonts w:hint="eastAsia" w:ascii="仿宋" w:hAnsi="仿宋" w:eastAsia="仿宋" w:cs="仿宋"/>
                <w:color w:val="auto"/>
                <w:highlight w:val="none"/>
              </w:rPr>
              <w:t>“</w:t>
            </w:r>
            <w:r>
              <w:rPr>
                <w:rStyle w:val="22"/>
                <w:rFonts w:hint="eastAsia" w:ascii="仿宋" w:hAnsi="仿宋" w:eastAsia="仿宋" w:cs="仿宋"/>
                <w:color w:val="auto"/>
                <w:highlight w:val="none"/>
                <w:lang w:val="zh-CN"/>
              </w:rPr>
              <w:t>投标人须知</w:t>
            </w:r>
            <w:r>
              <w:rPr>
                <w:rStyle w:val="22"/>
                <w:rFonts w:hint="eastAsia" w:ascii="仿宋" w:hAnsi="仿宋" w:eastAsia="仿宋" w:cs="仿宋"/>
                <w:color w:val="auto"/>
                <w:highlight w:val="none"/>
              </w:rPr>
              <w:t>”</w:t>
            </w:r>
            <w:r>
              <w:rPr>
                <w:rStyle w:val="22"/>
                <w:rFonts w:hint="eastAsia" w:ascii="仿宋" w:hAnsi="仿宋" w:eastAsia="仿宋" w:cs="仿宋"/>
                <w:color w:val="auto"/>
                <w:highlight w:val="none"/>
                <w:lang w:val="zh-CN"/>
              </w:rPr>
              <w:t>第</w:t>
            </w:r>
            <w:r>
              <w:rPr>
                <w:rStyle w:val="22"/>
                <w:rFonts w:hint="eastAsia" w:ascii="仿宋" w:hAnsi="仿宋" w:eastAsia="仿宋" w:cs="仿宋"/>
                <w:color w:val="auto"/>
                <w:highlight w:val="none"/>
              </w:rPr>
              <w:t>1.4.5</w:t>
            </w:r>
            <w:r>
              <w:rPr>
                <w:rStyle w:val="22"/>
                <w:rFonts w:hint="eastAsia" w:ascii="仿宋" w:hAnsi="仿宋" w:eastAsia="仿宋" w:cs="仿宋"/>
                <w:color w:val="auto"/>
                <w:highlight w:val="none"/>
                <w:lang w:val="zh-CN"/>
              </w:rPr>
              <w:t>项规定</w:t>
            </w:r>
            <w:r>
              <w:rPr>
                <w:rStyle w:val="22"/>
                <w:rFonts w:hint="eastAsia" w:ascii="仿宋" w:hAnsi="仿宋" w:eastAsia="仿宋" w:cs="仿宋"/>
                <w:color w:val="auto"/>
                <w:highlight w:val="none"/>
                <w:vertAlign w:val="subscript"/>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8" w:hRule="atLeast"/>
        </w:trPr>
        <w:tc>
          <w:tcPr>
            <w:tcW w:w="825"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251"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第一个信封（商务及技术文件）评分分值构成：</w:t>
            </w:r>
          </w:p>
          <w:p>
            <w:pPr>
              <w:snapToGrid w:val="0"/>
              <w:spacing w:before="120" w:beforeLines="50" w:line="240" w:lineRule="atLeas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施工组织设计（A）：</w:t>
            </w:r>
            <w:r>
              <w:rPr>
                <w:rFonts w:hint="eastAsia" w:ascii="仿宋" w:hAnsi="仿宋" w:eastAsia="仿宋" w:cs="仿宋"/>
                <w:bCs/>
                <w:color w:val="auto"/>
                <w:szCs w:val="21"/>
                <w:highlight w:val="none"/>
                <w:u w:val="single"/>
              </w:rPr>
              <w:t>7分</w:t>
            </w:r>
          </w:p>
          <w:p>
            <w:pPr>
              <w:snapToGrid w:val="0"/>
              <w:spacing w:before="120" w:beforeLines="50"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主要人员(B)：  </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分</w:t>
            </w:r>
          </w:p>
          <w:p>
            <w:pPr>
              <w:snapToGrid w:val="0"/>
              <w:spacing w:before="120" w:beforeLines="50"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其它因素(D)</w:t>
            </w:r>
          </w:p>
          <w:p>
            <w:pPr>
              <w:snapToGrid w:val="0"/>
              <w:spacing w:before="120" w:beforeLines="50" w:line="240" w:lineRule="atLeast"/>
              <w:ind w:firstLine="31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设备配置：</w:t>
            </w:r>
            <w:r>
              <w:rPr>
                <w:rFonts w:hint="eastAsia" w:ascii="仿宋" w:hAnsi="仿宋" w:eastAsia="仿宋" w:cs="仿宋"/>
                <w:color w:val="auto"/>
                <w:szCs w:val="21"/>
                <w:highlight w:val="none"/>
                <w:u w:val="single"/>
              </w:rPr>
              <w:t>1分</w:t>
            </w:r>
          </w:p>
          <w:p>
            <w:pPr>
              <w:snapToGrid w:val="0"/>
              <w:spacing w:before="120" w:beforeLines="50" w:line="240" w:lineRule="atLeast"/>
              <w:ind w:firstLine="315"/>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财务能力：</w:t>
            </w:r>
            <w:r>
              <w:rPr>
                <w:rFonts w:hint="eastAsia" w:ascii="仿宋" w:hAnsi="仿宋" w:eastAsia="仿宋" w:cs="仿宋"/>
                <w:color w:val="auto"/>
                <w:szCs w:val="21"/>
                <w:highlight w:val="none"/>
                <w:u w:val="single"/>
              </w:rPr>
              <w:t>1分</w:t>
            </w:r>
            <w:r>
              <w:rPr>
                <w:rFonts w:hint="eastAsia" w:ascii="仿宋" w:hAnsi="仿宋" w:eastAsia="仿宋" w:cs="仿宋"/>
                <w:color w:val="auto"/>
                <w:szCs w:val="21"/>
                <w:highlight w:val="none"/>
              </w:rPr>
              <w:t xml:space="preserve"> </w:t>
            </w:r>
          </w:p>
          <w:p>
            <w:pPr>
              <w:snapToGrid w:val="0"/>
              <w:spacing w:before="120" w:beforeLines="50" w:line="240" w:lineRule="atLeast"/>
              <w:ind w:firstLine="31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业    绩：</w:t>
            </w:r>
            <w:r>
              <w:rPr>
                <w:rFonts w:hint="eastAsia" w:ascii="仿宋" w:hAnsi="仿宋" w:eastAsia="仿宋" w:cs="仿宋"/>
                <w:color w:val="auto"/>
                <w:szCs w:val="21"/>
                <w:highlight w:val="none"/>
                <w:u w:val="single"/>
              </w:rPr>
              <w:t>5分</w:t>
            </w:r>
          </w:p>
          <w:p>
            <w:pPr>
              <w:snapToGrid w:val="0"/>
              <w:spacing w:before="120" w:beforeLines="50" w:line="240" w:lineRule="atLeast"/>
              <w:ind w:firstLine="31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履约信誉：</w:t>
            </w:r>
            <w:r>
              <w:rPr>
                <w:rFonts w:hint="eastAsia" w:ascii="仿宋" w:hAnsi="仿宋" w:eastAsia="仿宋" w:cs="仿宋"/>
                <w:bCs/>
                <w:color w:val="auto"/>
                <w:szCs w:val="21"/>
                <w:highlight w:val="none"/>
                <w:u w:val="single"/>
              </w:rPr>
              <w:t>5分</w:t>
            </w:r>
          </w:p>
          <w:p>
            <w:pPr>
              <w:snapToGrid w:val="0"/>
              <w:spacing w:before="120" w:beforeLines="50"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第二个信封报价（评标价）的分值(C)：</w:t>
            </w:r>
          </w:p>
          <w:p>
            <w:pPr>
              <w:pStyle w:val="23"/>
              <w:shd w:val="clear" w:color="auto" w:fill="auto"/>
              <w:spacing w:before="120" w:beforeLines="50" w:line="240" w:lineRule="atLeast"/>
              <w:jc w:val="both"/>
              <w:rPr>
                <w:rFonts w:hint="eastAsia" w:ascii="仿宋" w:hAnsi="仿宋" w:eastAsia="仿宋" w:cs="仿宋"/>
                <w:color w:val="auto"/>
                <w:kern w:val="2"/>
                <w:sz w:val="21"/>
                <w:szCs w:val="21"/>
                <w:highlight w:val="none"/>
              </w:rPr>
            </w:pPr>
            <w:r>
              <w:rPr>
                <w:rStyle w:val="24"/>
                <w:rFonts w:hint="eastAsia" w:ascii="仿宋" w:hAnsi="仿宋" w:eastAsia="仿宋" w:cs="仿宋"/>
                <w:b w:val="0"/>
                <w:color w:val="auto"/>
                <w:kern w:val="2"/>
                <w:sz w:val="21"/>
                <w:szCs w:val="21"/>
                <w:highlight w:val="none"/>
              </w:rPr>
              <w:t xml:space="preserve">   </w:t>
            </w:r>
            <w:r>
              <w:rPr>
                <w:rStyle w:val="24"/>
                <w:rFonts w:hint="eastAsia" w:ascii="仿宋" w:hAnsi="仿宋" w:eastAsia="仿宋" w:cs="仿宋"/>
                <w:b w:val="0"/>
                <w:color w:val="auto"/>
                <w:kern w:val="2"/>
                <w:sz w:val="21"/>
                <w:szCs w:val="21"/>
                <w:highlight w:val="none"/>
                <w:lang w:val="zh-CN"/>
              </w:rPr>
              <w:t>第二个信封（报价文件）评分分值构成：</w:t>
            </w:r>
          </w:p>
          <w:p>
            <w:pPr>
              <w:snapToGrid w:val="0"/>
              <w:spacing w:before="120" w:beforeLines="50" w:line="240" w:lineRule="atLeast"/>
              <w:rPr>
                <w:rStyle w:val="22"/>
                <w:rFonts w:hint="eastAsia" w:ascii="仿宋" w:hAnsi="仿宋" w:eastAsia="仿宋" w:cs="仿宋"/>
                <w:color w:val="auto"/>
                <w:highlight w:val="none"/>
              </w:rPr>
            </w:pPr>
            <w:r>
              <w:rPr>
                <w:rFonts w:hint="eastAsia" w:ascii="仿宋" w:hAnsi="仿宋" w:eastAsia="仿宋" w:cs="仿宋"/>
                <w:color w:val="auto"/>
                <w:szCs w:val="21"/>
                <w:highlight w:val="none"/>
              </w:rPr>
              <w:t xml:space="preserve">   评标价：</w:t>
            </w:r>
            <w:r>
              <w:rPr>
                <w:rFonts w:hint="eastAsia" w:ascii="仿宋" w:hAnsi="仿宋" w:eastAsia="仿宋" w:cs="仿宋"/>
                <w:bCs/>
                <w:color w:val="auto"/>
                <w:szCs w:val="21"/>
                <w:highlight w:val="none"/>
                <w:u w:val="single"/>
              </w:rPr>
              <w:t>80</w:t>
            </w:r>
            <w:r>
              <w:rPr>
                <w:rFonts w:hint="eastAsia" w:ascii="仿宋" w:hAnsi="仿宋" w:eastAsia="仿宋" w:cs="仿宋"/>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3" w:hRule="atLeast"/>
        </w:trPr>
        <w:tc>
          <w:tcPr>
            <w:tcW w:w="825"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1251"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w:t>
            </w:r>
          </w:p>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基准价</w:t>
            </w:r>
          </w:p>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计算方法</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240" w:lineRule="atLeast"/>
              <w:ind w:firstLine="21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评标基准价的计算：</w:t>
            </w:r>
          </w:p>
          <w:p>
            <w:pPr>
              <w:spacing w:before="120" w:beforeLines="50" w:line="240" w:lineRule="atLeast"/>
              <w:ind w:firstLine="210"/>
              <w:jc w:val="left"/>
              <w:rPr>
                <w:rFonts w:hint="eastAsia" w:ascii="仿宋" w:hAnsi="仿宋" w:eastAsia="仿宋" w:cs="仿宋"/>
                <w:color w:val="auto"/>
                <w:szCs w:val="21"/>
                <w:highlight w:val="none"/>
              </w:rPr>
            </w:pPr>
            <w:r>
              <w:rPr>
                <w:rStyle w:val="22"/>
                <w:rFonts w:hint="eastAsia" w:ascii="仿宋" w:hAnsi="仿宋" w:eastAsia="仿宋" w:cs="仿宋"/>
                <w:color w:val="auto"/>
                <w:sz w:val="21"/>
                <w:szCs w:val="21"/>
                <w:highlight w:val="none"/>
                <w:lang w:val="zh-CN"/>
              </w:rPr>
              <w:t>在开标现场，招标人将当场计算并宣布评标基准价。</w:t>
            </w:r>
          </w:p>
          <w:p>
            <w:pPr>
              <w:spacing w:before="120" w:beforeLines="50" w:line="240" w:lineRule="atLeast"/>
              <w:ind w:firstLine="21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（1）评标价的确定：</w:t>
            </w:r>
          </w:p>
          <w:p>
            <w:pPr>
              <w:spacing w:before="120" w:beforeLines="50" w:line="240" w:lineRule="atLeast"/>
              <w:ind w:firstLine="21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评标价＝投标函文字报价</w:t>
            </w:r>
          </w:p>
          <w:p>
            <w:pPr>
              <w:numPr>
                <w:ilvl w:val="0"/>
                <w:numId w:val="3"/>
              </w:numPr>
              <w:autoSpaceDE w:val="0"/>
              <w:autoSpaceDN w:val="0"/>
              <w:spacing w:before="120" w:beforeLines="50" w:line="240" w:lineRule="atLeast"/>
              <w:ind w:firstLine="210"/>
              <w:rPr>
                <w:rFonts w:hint="eastAsia" w:ascii="仿宋" w:hAnsi="仿宋" w:eastAsia="仿宋" w:cs="仿宋"/>
                <w:color w:val="auto"/>
                <w:highlight w:val="none"/>
              </w:rPr>
            </w:pPr>
            <w:r>
              <w:rPr>
                <w:rFonts w:hint="eastAsia" w:ascii="仿宋" w:hAnsi="仿宋" w:eastAsia="仿宋" w:cs="仿宋"/>
                <w:color w:val="auto"/>
                <w:highlight w:val="none"/>
              </w:rPr>
              <w:t>最高评标限价的确定</w:t>
            </w:r>
          </w:p>
          <w:p>
            <w:pPr>
              <w:autoSpaceDE w:val="0"/>
              <w:autoSpaceDN w:val="0"/>
              <w:spacing w:before="120" w:beforeLines="50" w:line="240" w:lineRule="atLeast"/>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  最高投标限价下浮率在开标前在开标现场采取摇珠方式确定。摇珠操作办法如下：在下浮率摇珠范围内，以0.1%为一档次增序确定摇珠号码，不少于31个球，一次性摇出3 个球（摇出的球不放回），摇出3个球对应的下浮率的平均值即为本项目招标的下浮率。</w:t>
            </w:r>
          </w:p>
          <w:p>
            <w:pPr>
              <w:autoSpaceDE w:val="0"/>
              <w:autoSpaceDN w:val="0"/>
              <w:spacing w:before="120" w:beforeLines="50" w:line="240" w:lineRule="atLeast"/>
              <w:ind w:firstLine="211"/>
              <w:rPr>
                <w:rFonts w:hint="eastAsia" w:ascii="仿宋" w:hAnsi="仿宋" w:eastAsia="仿宋" w:cs="仿宋"/>
                <w:color w:val="auto"/>
                <w:szCs w:val="21"/>
                <w:highlight w:val="none"/>
              </w:rPr>
            </w:pPr>
            <w:r>
              <w:rPr>
                <w:rFonts w:hint="eastAsia" w:ascii="仿宋" w:hAnsi="仿宋" w:eastAsia="仿宋" w:cs="仿宋"/>
                <w:b/>
                <w:snapToGrid w:val="0"/>
                <w:color w:val="auto"/>
                <w:szCs w:val="21"/>
                <w:highlight w:val="none"/>
              </w:rPr>
              <w:t>（注：下浮率范围控制在2%～5%，三个下浮率的平均值四舍五入取整到0.001％）。</w:t>
            </w:r>
          </w:p>
          <w:p>
            <w:pPr>
              <w:spacing w:before="120" w:beforeLines="50" w:line="240" w:lineRule="atLeast"/>
              <w:ind w:firstLine="360"/>
              <w:rPr>
                <w:rFonts w:hint="eastAsia" w:ascii="仿宋" w:hAnsi="仿宋" w:eastAsia="仿宋" w:cs="仿宋"/>
                <w:color w:val="auto"/>
                <w:szCs w:val="21"/>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highlight w:val="none"/>
              </w:rPr>
              <w:t>最高评标限价＝最高投标限价×（1-下浮率）</w:t>
            </w:r>
          </w:p>
          <w:p>
            <w:pPr>
              <w:spacing w:before="120" w:beforeLines="50" w:line="240" w:lineRule="atLeas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(3)有效评标价范围：</w:t>
            </w:r>
          </w:p>
          <w:p>
            <w:pPr>
              <w:spacing w:before="120" w:beforeLines="50" w:line="240" w:lineRule="atLeast"/>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有效评标价范围：不大于招标人最高评标限价的评标价为有效评标价。大于招标人最高评标限价的评标价，将否决其投标。</w:t>
            </w:r>
          </w:p>
          <w:p>
            <w:pPr>
              <w:spacing w:before="120" w:beforeLines="50" w:line="240" w:lineRule="atLeas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（4）评标基准价的确定：</w:t>
            </w:r>
          </w:p>
          <w:p>
            <w:pPr>
              <w:spacing w:before="120" w:beforeLines="50" w:line="240" w:lineRule="atLeas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招标人最高评标限价下浮1%为评标基准价。</w:t>
            </w:r>
          </w:p>
          <w:p>
            <w:pPr>
              <w:snapToGrid w:val="0"/>
              <w:spacing w:before="120" w:beforeLines="50" w:line="240" w:lineRule="atLeast"/>
              <w:ind w:firstLine="181"/>
              <w:rPr>
                <w:rFonts w:hint="eastAsia" w:ascii="仿宋" w:hAnsi="仿宋" w:eastAsia="仿宋" w:cs="仿宋"/>
                <w:color w:val="auto"/>
                <w:szCs w:val="21"/>
                <w:highlight w:val="none"/>
              </w:rPr>
            </w:pPr>
            <w:r>
              <w:rPr>
                <w:rFonts w:hint="eastAsia" w:ascii="仿宋" w:hAnsi="仿宋" w:eastAsia="仿宋" w:cs="仿宋"/>
                <w:b/>
                <w:color w:val="auto"/>
                <w:sz w:val="18"/>
                <w:szCs w:val="18"/>
                <w:highlight w:val="none"/>
              </w:rPr>
              <w:t>（注: 招标人最高评标限价、评标基准价四舍五入至个位整数。）</w:t>
            </w:r>
            <w:r>
              <w:rPr>
                <w:rFonts w:hint="eastAsia" w:ascii="仿宋" w:hAnsi="仿宋" w:eastAsia="仿宋" w:cs="仿宋"/>
                <w:color w:val="auto"/>
                <w:sz w:val="18"/>
                <w:szCs w:val="18"/>
                <w:highlight w:val="none"/>
              </w:rPr>
              <w:t xml:space="preserve">  </w:t>
            </w:r>
            <w:r>
              <w:rPr>
                <w:rFonts w:hint="eastAsia" w:ascii="仿宋" w:hAnsi="仿宋" w:eastAsia="仿宋" w:cs="仿宋"/>
                <w:vanish/>
                <w:color w:val="auto"/>
                <w:sz w:val="18"/>
                <w:szCs w:val="18"/>
                <w:highlight w:val="none"/>
              </w:rPr>
              <w:cr/>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825"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251" w:type="dxa"/>
            <w:tcBorders>
              <w:top w:val="single" w:color="auto" w:sz="4" w:space="0"/>
              <w:bottom w:val="single" w:color="auto" w:sz="4" w:space="0"/>
              <w:right w:val="single" w:color="auto" w:sz="4" w:space="0"/>
            </w:tcBorders>
            <w:noWrap w:val="0"/>
            <w:vAlign w:val="center"/>
          </w:tcPr>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w:t>
            </w:r>
          </w:p>
          <w:p>
            <w:pPr>
              <w:spacing w:before="120" w:beforeLines="50"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的偏差率计算公式</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line="2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偏差率=100% ×（投标人评标价－评标基准价）/评标基准价</w:t>
            </w:r>
          </w:p>
          <w:p>
            <w:pPr>
              <w:spacing w:before="120" w:beforeLines="50" w:line="240" w:lineRule="atLeast"/>
              <w:rPr>
                <w:rFonts w:hint="eastAsia" w:ascii="仿宋" w:hAnsi="仿宋" w:eastAsia="仿宋" w:cs="仿宋"/>
                <w:b/>
                <w:color w:val="auto"/>
                <w:sz w:val="18"/>
                <w:szCs w:val="18"/>
                <w:highlight w:val="none"/>
              </w:rPr>
            </w:pPr>
            <w:r>
              <w:rPr>
                <w:rFonts w:hint="eastAsia" w:ascii="仿宋" w:hAnsi="仿宋" w:eastAsia="仿宋" w:cs="仿宋"/>
                <w:color w:val="auto"/>
                <w:szCs w:val="21"/>
                <w:highlight w:val="none"/>
              </w:rPr>
              <w:t>注：偏差率精确至小数点后四位</w:t>
            </w:r>
          </w:p>
        </w:tc>
      </w:tr>
    </w:tbl>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pStyle w:val="25"/>
        <w:shd w:val="clear" w:color="auto" w:fill="auto"/>
        <w:spacing w:before="120" w:beforeLines="50" w:line="360" w:lineRule="auto"/>
        <w:ind w:right="440"/>
        <w:rPr>
          <w:rStyle w:val="26"/>
          <w:rFonts w:hint="eastAsia" w:ascii="仿宋" w:hAnsi="仿宋" w:eastAsia="仿宋" w:cs="仿宋"/>
          <w:color w:val="auto"/>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
        <w:gridCol w:w="792"/>
        <w:gridCol w:w="1158"/>
        <w:gridCol w:w="620"/>
        <w:gridCol w:w="467"/>
        <w:gridCol w:w="455"/>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428" w:type="dxa"/>
            <w:gridSpan w:val="7"/>
            <w:noWrap w:val="0"/>
            <w:vAlign w:val="top"/>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评分因素与权重分值</w:t>
            </w:r>
          </w:p>
        </w:tc>
        <w:tc>
          <w:tcPr>
            <w:tcW w:w="4872" w:type="dxa"/>
            <w:vMerge w:val="restart"/>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6"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792"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因素</w:t>
            </w:r>
          </w:p>
        </w:tc>
        <w:tc>
          <w:tcPr>
            <w:tcW w:w="1158"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评分因素权重分值</w:t>
            </w:r>
          </w:p>
        </w:tc>
        <w:tc>
          <w:tcPr>
            <w:tcW w:w="1087"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各评分因素细分项</w:t>
            </w:r>
          </w:p>
        </w:tc>
        <w:tc>
          <w:tcPr>
            <w:tcW w:w="455"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4872" w:type="dxa"/>
            <w:vMerge w:val="continue"/>
            <w:noWrap w:val="0"/>
            <w:vAlign w:val="top"/>
          </w:tcPr>
          <w:p>
            <w:pPr>
              <w:spacing w:line="360" w:lineRule="exact"/>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36" w:type="dxa"/>
            <w:gridSpan w:val="2"/>
            <w:vMerge w:val="restart"/>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2.2.4（1）</w:t>
            </w:r>
          </w:p>
        </w:tc>
        <w:tc>
          <w:tcPr>
            <w:tcW w:w="792" w:type="dxa"/>
            <w:vMerge w:val="restart"/>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施工组织设计</w:t>
            </w:r>
          </w:p>
        </w:tc>
        <w:tc>
          <w:tcPr>
            <w:tcW w:w="1158" w:type="dxa"/>
            <w:vMerge w:val="restart"/>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7分</w:t>
            </w:r>
          </w:p>
        </w:tc>
        <w:tc>
          <w:tcPr>
            <w:tcW w:w="1087"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工期保证</w:t>
            </w:r>
          </w:p>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体系及</w:t>
            </w:r>
          </w:p>
          <w:p>
            <w:pPr>
              <w:spacing w:line="360" w:lineRule="exact"/>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保证措施</w:t>
            </w:r>
          </w:p>
        </w:tc>
        <w:tc>
          <w:tcPr>
            <w:tcW w:w="455"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w:t>
            </w:r>
          </w:p>
        </w:tc>
        <w:tc>
          <w:tcPr>
            <w:tcW w:w="4872" w:type="dxa"/>
            <w:noWrap w:val="0"/>
            <w:vAlign w:val="center"/>
          </w:tcPr>
          <w:p>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进度控制措施得当，对本项目的工期重要性理解特别透彻，对地形地貌特征、重点工序、天气、关键设备故障、与其他承包人衔接、社会环境等问题有切实可行的应对或应急方案，计划科学合理，可操作性性高，得1.6～2分；</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2、工期保证体系及保证措施基本可行，内容较为充实、全面的，得1.2～1.6分； </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 xml:space="preserve"> 一般但不被评定为不响应的，</w:t>
            </w:r>
            <w:r>
              <w:rPr>
                <w:rFonts w:hint="eastAsia" w:ascii="仿宋" w:hAnsi="仿宋" w:eastAsia="仿宋" w:cs="仿宋"/>
                <w:color w:val="auto"/>
                <w:szCs w:val="21"/>
                <w:highlight w:val="none"/>
              </w:rPr>
              <w:t>起评分1.2分。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936" w:type="dxa"/>
            <w:gridSpan w:val="2"/>
            <w:vMerge w:val="continue"/>
            <w:noWrap w:val="0"/>
            <w:vAlign w:val="top"/>
          </w:tcPr>
          <w:p>
            <w:pPr>
              <w:spacing w:line="360" w:lineRule="exact"/>
              <w:jc w:val="center"/>
              <w:rPr>
                <w:rFonts w:hint="eastAsia" w:ascii="仿宋" w:hAnsi="仿宋" w:eastAsia="仿宋" w:cs="仿宋"/>
                <w:color w:val="auto"/>
                <w:szCs w:val="21"/>
                <w:highlight w:val="none"/>
              </w:rPr>
            </w:pPr>
          </w:p>
        </w:tc>
        <w:tc>
          <w:tcPr>
            <w:tcW w:w="792" w:type="dxa"/>
            <w:vMerge w:val="continue"/>
            <w:noWrap w:val="0"/>
            <w:vAlign w:val="top"/>
          </w:tcPr>
          <w:p>
            <w:pPr>
              <w:spacing w:line="360" w:lineRule="exact"/>
              <w:jc w:val="center"/>
              <w:rPr>
                <w:rFonts w:hint="eastAsia" w:ascii="仿宋" w:hAnsi="仿宋" w:eastAsia="仿宋" w:cs="仿宋"/>
                <w:color w:val="auto"/>
                <w:szCs w:val="21"/>
                <w:highlight w:val="none"/>
              </w:rPr>
            </w:pPr>
          </w:p>
        </w:tc>
        <w:tc>
          <w:tcPr>
            <w:tcW w:w="1158" w:type="dxa"/>
            <w:vMerge w:val="continue"/>
            <w:noWrap w:val="0"/>
            <w:vAlign w:val="top"/>
          </w:tcPr>
          <w:p>
            <w:pPr>
              <w:spacing w:line="360" w:lineRule="exact"/>
              <w:jc w:val="center"/>
              <w:rPr>
                <w:rFonts w:hint="eastAsia" w:ascii="仿宋" w:hAnsi="仿宋" w:eastAsia="仿宋" w:cs="仿宋"/>
                <w:color w:val="auto"/>
                <w:szCs w:val="21"/>
                <w:highlight w:val="none"/>
              </w:rPr>
            </w:pPr>
          </w:p>
        </w:tc>
        <w:tc>
          <w:tcPr>
            <w:tcW w:w="1087" w:type="dxa"/>
            <w:gridSpan w:val="2"/>
            <w:noWrap w:val="0"/>
            <w:vAlign w:val="center"/>
          </w:tcPr>
          <w:p>
            <w:pPr>
              <w:spacing w:line="360" w:lineRule="exact"/>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 xml:space="preserve"> 质量、安全保证体系及保证措施</w:t>
            </w:r>
          </w:p>
        </w:tc>
        <w:tc>
          <w:tcPr>
            <w:tcW w:w="455"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3分</w:t>
            </w:r>
          </w:p>
        </w:tc>
        <w:tc>
          <w:tcPr>
            <w:tcW w:w="4872" w:type="dxa"/>
            <w:noWrap w:val="0"/>
            <w:vAlign w:val="center"/>
          </w:tcPr>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对本项目质量及安全控制有透彻的认识，能采取有效的施工方法和措施，保证工程质量稳定，对施工过程中可能发生的各种质量和安全问题有深刻的认识和合理的预见，并有相应的应对措施，应对措施应科学、充分，能有效处理各种突发问题的，得2.4～3分； </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2、对本项目质量及安全控制有一定的认识，基本能合理的预见施工过程中可能发生的各种质量和安全问题，并有相应的应对措施，应对措施较为科学、充分，基本能有效处理各种质量和安全问题的，得 1.8～2.4分； </w:t>
            </w:r>
          </w:p>
          <w:p>
            <w:pPr>
              <w:spacing w:line="320" w:lineRule="exact"/>
              <w:ind w:firstLine="105" w:firstLineChars="5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一般但不被评定为不响应的，</w:t>
            </w:r>
            <w:r>
              <w:rPr>
                <w:rFonts w:hint="eastAsia" w:ascii="仿宋" w:hAnsi="仿宋" w:eastAsia="仿宋" w:cs="仿宋"/>
                <w:color w:val="auto"/>
                <w:szCs w:val="21"/>
                <w:highlight w:val="none"/>
              </w:rPr>
              <w:t>起评分1.8分。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36" w:type="dxa"/>
            <w:gridSpan w:val="2"/>
            <w:vMerge w:val="continue"/>
            <w:noWrap w:val="0"/>
            <w:vAlign w:val="top"/>
          </w:tcPr>
          <w:p>
            <w:pPr>
              <w:spacing w:line="360" w:lineRule="exact"/>
              <w:jc w:val="center"/>
              <w:rPr>
                <w:rFonts w:hint="eastAsia" w:ascii="仿宋" w:hAnsi="仿宋" w:eastAsia="仿宋" w:cs="仿宋"/>
                <w:color w:val="auto"/>
                <w:highlight w:val="none"/>
              </w:rPr>
            </w:pPr>
          </w:p>
        </w:tc>
        <w:tc>
          <w:tcPr>
            <w:tcW w:w="792" w:type="dxa"/>
            <w:vMerge w:val="continue"/>
            <w:noWrap w:val="0"/>
            <w:vAlign w:val="top"/>
          </w:tcPr>
          <w:p>
            <w:pPr>
              <w:spacing w:line="360" w:lineRule="exact"/>
              <w:jc w:val="center"/>
              <w:rPr>
                <w:rFonts w:hint="eastAsia" w:ascii="仿宋" w:hAnsi="仿宋" w:eastAsia="仿宋" w:cs="仿宋"/>
                <w:color w:val="auto"/>
                <w:highlight w:val="none"/>
              </w:rPr>
            </w:pPr>
          </w:p>
        </w:tc>
        <w:tc>
          <w:tcPr>
            <w:tcW w:w="1158" w:type="dxa"/>
            <w:vMerge w:val="continue"/>
            <w:noWrap w:val="0"/>
            <w:vAlign w:val="top"/>
          </w:tcPr>
          <w:p>
            <w:pPr>
              <w:spacing w:line="360" w:lineRule="exact"/>
              <w:jc w:val="center"/>
              <w:rPr>
                <w:rFonts w:hint="eastAsia" w:ascii="仿宋" w:hAnsi="仿宋" w:eastAsia="仿宋" w:cs="仿宋"/>
                <w:color w:val="auto"/>
                <w:highlight w:val="none"/>
              </w:rPr>
            </w:pPr>
          </w:p>
        </w:tc>
        <w:tc>
          <w:tcPr>
            <w:tcW w:w="1087" w:type="dxa"/>
            <w:gridSpan w:val="2"/>
            <w:noWrap w:val="0"/>
            <w:vAlign w:val="center"/>
          </w:tcPr>
          <w:p>
            <w:pPr>
              <w:spacing w:line="360" w:lineRule="exact"/>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交通组织</w:t>
            </w:r>
          </w:p>
          <w:p>
            <w:pPr>
              <w:spacing w:line="360" w:lineRule="exact"/>
              <w:jc w:val="center"/>
              <w:rPr>
                <w:rFonts w:hint="eastAsia" w:ascii="仿宋" w:hAnsi="仿宋" w:eastAsia="仿宋" w:cs="仿宋"/>
                <w:color w:val="auto"/>
                <w:spacing w:val="20"/>
                <w:szCs w:val="21"/>
                <w:highlight w:val="none"/>
              </w:rPr>
            </w:pPr>
          </w:p>
        </w:tc>
        <w:tc>
          <w:tcPr>
            <w:tcW w:w="455" w:type="dxa"/>
            <w:noWrap w:val="0"/>
            <w:vAlign w:val="center"/>
          </w:tcPr>
          <w:p>
            <w:pPr>
              <w:tabs>
                <w:tab w:val="left" w:pos="1260"/>
              </w:tabs>
              <w:snapToGrid w:val="0"/>
              <w:spacing w:line="360" w:lineRule="exact"/>
              <w:ind w:left="1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w:t>
            </w:r>
          </w:p>
        </w:tc>
        <w:tc>
          <w:tcPr>
            <w:tcW w:w="4872" w:type="dxa"/>
            <w:noWrap w:val="0"/>
            <w:vAlign w:val="center"/>
          </w:tcPr>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1、交通组织方案科学可行，交通组织机构健全，分工明确，责任明晰，管理措施得力，能有效保证施工安全和高速公路营运畅通，并有相应的应急方案，能满足本项目交通组织的要求，得0.8～1分； </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2、交通组织方案基本可行，有建立交通组织机构健全，能保证施工安全和高速公路营运畅通，并有相应的应急方案，基本能满足本项目交通组织的要求，得0.6～0.8分； </w:t>
            </w:r>
          </w:p>
          <w:p>
            <w:pPr>
              <w:spacing w:line="320" w:lineRule="exact"/>
              <w:ind w:firstLine="105" w:firstLineChars="5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一般但不被评定为不响应的，</w:t>
            </w:r>
            <w:r>
              <w:rPr>
                <w:rFonts w:hint="eastAsia" w:ascii="仿宋" w:hAnsi="仿宋" w:eastAsia="仿宋" w:cs="仿宋"/>
                <w:color w:val="auto"/>
                <w:szCs w:val="21"/>
                <w:highlight w:val="none"/>
              </w:rPr>
              <w:t>起评分0.6分。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936" w:type="dxa"/>
            <w:gridSpan w:val="2"/>
            <w:vMerge w:val="continue"/>
            <w:noWrap w:val="0"/>
            <w:vAlign w:val="top"/>
          </w:tcPr>
          <w:p>
            <w:pPr>
              <w:spacing w:line="360" w:lineRule="exact"/>
              <w:jc w:val="center"/>
              <w:rPr>
                <w:rFonts w:hint="eastAsia" w:ascii="仿宋" w:hAnsi="仿宋" w:eastAsia="仿宋" w:cs="仿宋"/>
                <w:color w:val="auto"/>
                <w:highlight w:val="none"/>
              </w:rPr>
            </w:pPr>
          </w:p>
        </w:tc>
        <w:tc>
          <w:tcPr>
            <w:tcW w:w="792" w:type="dxa"/>
            <w:vMerge w:val="continue"/>
            <w:noWrap w:val="0"/>
            <w:vAlign w:val="top"/>
          </w:tcPr>
          <w:p>
            <w:pPr>
              <w:spacing w:line="360" w:lineRule="exact"/>
              <w:jc w:val="center"/>
              <w:rPr>
                <w:rFonts w:hint="eastAsia" w:ascii="仿宋" w:hAnsi="仿宋" w:eastAsia="仿宋" w:cs="仿宋"/>
                <w:color w:val="auto"/>
                <w:highlight w:val="none"/>
              </w:rPr>
            </w:pPr>
          </w:p>
        </w:tc>
        <w:tc>
          <w:tcPr>
            <w:tcW w:w="1158" w:type="dxa"/>
            <w:vMerge w:val="continue"/>
            <w:noWrap w:val="0"/>
            <w:vAlign w:val="top"/>
          </w:tcPr>
          <w:p>
            <w:pPr>
              <w:spacing w:line="360" w:lineRule="exact"/>
              <w:jc w:val="center"/>
              <w:rPr>
                <w:rFonts w:hint="eastAsia" w:ascii="仿宋" w:hAnsi="仿宋" w:eastAsia="仿宋" w:cs="仿宋"/>
                <w:color w:val="auto"/>
                <w:highlight w:val="none"/>
              </w:rPr>
            </w:pPr>
          </w:p>
        </w:tc>
        <w:tc>
          <w:tcPr>
            <w:tcW w:w="1087"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环境保护、文明施工保证体系及措施</w:t>
            </w:r>
          </w:p>
        </w:tc>
        <w:tc>
          <w:tcPr>
            <w:tcW w:w="455"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w:t>
            </w:r>
          </w:p>
        </w:tc>
        <w:tc>
          <w:tcPr>
            <w:tcW w:w="4872" w:type="dxa"/>
            <w:noWrap w:val="0"/>
            <w:vAlign w:val="center"/>
          </w:tcPr>
          <w:p>
            <w:pPr>
              <w:autoSpaceDE w:val="0"/>
              <w:autoSpaceDN w:val="0"/>
              <w:adjustRightInd w:val="0"/>
              <w:spacing w:line="320" w:lineRule="exact"/>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kern w:val="0"/>
                <w:szCs w:val="21"/>
                <w:highlight w:val="none"/>
              </w:rPr>
              <w:t>对本项目的环保及文明施工等工作有独到的见解，能制定科学的措施，施工做到符合环保的要求，对文明施工有相应的措施，能创造良好的施工环境的，</w:t>
            </w:r>
            <w:r>
              <w:rPr>
                <w:rFonts w:hint="eastAsia" w:ascii="仿宋" w:hAnsi="仿宋" w:eastAsia="仿宋" w:cs="仿宋"/>
                <w:color w:val="auto"/>
                <w:szCs w:val="21"/>
                <w:highlight w:val="none"/>
              </w:rPr>
              <w:t xml:space="preserve">得 0.8～1分； </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2、对工程环保及文明施工等工作制定有相关的措施， 基本能满足本项目环保及文明施工的要求的，得0.6～0.8分； </w:t>
            </w:r>
          </w:p>
          <w:p>
            <w:pPr>
              <w:spacing w:line="320" w:lineRule="exact"/>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一般但不被评定为不响应的，</w:t>
            </w:r>
            <w:r>
              <w:rPr>
                <w:rFonts w:hint="eastAsia" w:ascii="仿宋" w:hAnsi="仿宋" w:eastAsia="仿宋" w:cs="仿宋"/>
                <w:color w:val="auto"/>
                <w:szCs w:val="21"/>
                <w:highlight w:val="none"/>
              </w:rPr>
              <w:t>起评分0.6分。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86" w:type="dxa"/>
            <w:gridSpan w:val="4"/>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6414" w:type="dxa"/>
            <w:gridSpan w:val="4"/>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8"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2.2.4（2）</w:t>
            </w:r>
          </w:p>
        </w:tc>
        <w:tc>
          <w:tcPr>
            <w:tcW w:w="900"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主要人员</w:t>
            </w:r>
          </w:p>
        </w:tc>
        <w:tc>
          <w:tcPr>
            <w:tcW w:w="1158"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w:t>
            </w:r>
          </w:p>
        </w:tc>
        <w:tc>
          <w:tcPr>
            <w:tcW w:w="6414" w:type="dxa"/>
            <w:gridSpan w:val="4"/>
            <w:noWrap w:val="0"/>
            <w:vAlign w:val="top"/>
          </w:tcPr>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满足投标须知资格审查条件（人员最低要求）最低要求的，得1分。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2.2.4（3）</w:t>
            </w:r>
          </w:p>
        </w:tc>
        <w:tc>
          <w:tcPr>
            <w:tcW w:w="900" w:type="dxa"/>
            <w:gridSpan w:val="2"/>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w:t>
            </w:r>
          </w:p>
        </w:tc>
        <w:tc>
          <w:tcPr>
            <w:tcW w:w="1158"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80分</w:t>
            </w:r>
          </w:p>
        </w:tc>
        <w:tc>
          <w:tcPr>
            <w:tcW w:w="6414" w:type="dxa"/>
            <w:gridSpan w:val="4"/>
            <w:noWrap w:val="0"/>
            <w:vAlign w:val="top"/>
          </w:tcPr>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评标价得分计算公式示例：</w:t>
            </w:r>
          </w:p>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(1)如果投标人的评标价&gt;评标基准价，则评标价得分＝80-偏差率×100×1.5；</w:t>
            </w:r>
          </w:p>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(2)如果投标人的评标价≤评标基准价，则评标价得分＝80+偏差率×100×0.5。</w:t>
            </w:r>
          </w:p>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备注：评标价得分四舍五入至小数点后四位。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8" w:type="dxa"/>
            <w:vMerge w:val="restart"/>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2.2.4（4）</w:t>
            </w:r>
          </w:p>
        </w:tc>
        <w:tc>
          <w:tcPr>
            <w:tcW w:w="900" w:type="dxa"/>
            <w:gridSpan w:val="2"/>
            <w:vMerge w:val="restart"/>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其它因素</w:t>
            </w:r>
          </w:p>
        </w:tc>
        <w:tc>
          <w:tcPr>
            <w:tcW w:w="1158"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w:t>
            </w:r>
          </w:p>
        </w:tc>
        <w:tc>
          <w:tcPr>
            <w:tcW w:w="620"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设备配置</w:t>
            </w:r>
          </w:p>
        </w:tc>
        <w:tc>
          <w:tcPr>
            <w:tcW w:w="5794" w:type="dxa"/>
            <w:gridSpan w:val="3"/>
            <w:noWrap w:val="0"/>
            <w:vAlign w:val="top"/>
          </w:tcPr>
          <w:p>
            <w:pPr>
              <w:autoSpaceDE w:val="0"/>
              <w:autoSpaceDN w:val="0"/>
              <w:spacing w:line="360" w:lineRule="exact"/>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满足投标须知资格审查条件（主要机械设备最低要求）最低要求</w:t>
            </w:r>
            <w:r>
              <w:rPr>
                <w:rFonts w:hint="eastAsia" w:ascii="仿宋" w:hAnsi="仿宋" w:eastAsia="仿宋" w:cs="仿宋"/>
                <w:color w:val="auto"/>
                <w:szCs w:val="21"/>
                <w:highlight w:val="none"/>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continue"/>
            <w:noWrap w:val="0"/>
            <w:vAlign w:val="center"/>
          </w:tcPr>
          <w:p>
            <w:pPr>
              <w:spacing w:line="360" w:lineRule="exact"/>
              <w:jc w:val="center"/>
              <w:rPr>
                <w:rFonts w:hint="eastAsia" w:ascii="仿宋" w:hAnsi="仿宋" w:eastAsia="仿宋" w:cs="仿宋"/>
                <w:color w:val="auto"/>
                <w:szCs w:val="21"/>
                <w:highlight w:val="none"/>
              </w:rPr>
            </w:pPr>
          </w:p>
        </w:tc>
        <w:tc>
          <w:tcPr>
            <w:tcW w:w="900" w:type="dxa"/>
            <w:gridSpan w:val="2"/>
            <w:vMerge w:val="continue"/>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p>
        </w:tc>
        <w:tc>
          <w:tcPr>
            <w:tcW w:w="1158"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w:t>
            </w:r>
          </w:p>
        </w:tc>
        <w:tc>
          <w:tcPr>
            <w:tcW w:w="620"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财务能力</w:t>
            </w:r>
          </w:p>
        </w:tc>
        <w:tc>
          <w:tcPr>
            <w:tcW w:w="5794" w:type="dxa"/>
            <w:gridSpan w:val="3"/>
            <w:noWrap w:val="0"/>
            <w:vAlign w:val="center"/>
          </w:tcPr>
          <w:p>
            <w:pPr>
              <w:spacing w:line="360" w:lineRule="exact"/>
              <w:ind w:firstLine="210" w:firstLineChars="1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满足投标须知资格审查条件（财务最低要求）最低要求的，得1分。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28" w:type="dxa"/>
            <w:vMerge w:val="continue"/>
            <w:noWrap w:val="0"/>
            <w:vAlign w:val="center"/>
          </w:tcPr>
          <w:p>
            <w:pPr>
              <w:spacing w:line="360" w:lineRule="exact"/>
              <w:jc w:val="center"/>
              <w:rPr>
                <w:rFonts w:hint="eastAsia" w:ascii="仿宋" w:hAnsi="仿宋" w:eastAsia="仿宋" w:cs="仿宋"/>
                <w:color w:val="auto"/>
                <w:szCs w:val="21"/>
                <w:highlight w:val="none"/>
              </w:rPr>
            </w:pPr>
          </w:p>
        </w:tc>
        <w:tc>
          <w:tcPr>
            <w:tcW w:w="900" w:type="dxa"/>
            <w:gridSpan w:val="2"/>
            <w:vMerge w:val="continue"/>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p>
        </w:tc>
        <w:tc>
          <w:tcPr>
            <w:tcW w:w="1158"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620"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tc>
        <w:tc>
          <w:tcPr>
            <w:tcW w:w="5794" w:type="dxa"/>
            <w:gridSpan w:val="3"/>
            <w:noWrap w:val="0"/>
            <w:vAlign w:val="center"/>
          </w:tcPr>
          <w:p>
            <w:pPr>
              <w:spacing w:line="360" w:lineRule="exact"/>
              <w:ind w:firstLine="210" w:firstLineChars="1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工程业绩满分5分： </w:t>
            </w:r>
          </w:p>
          <w:p>
            <w:pPr>
              <w:spacing w:line="360" w:lineRule="exact"/>
              <w:ind w:firstLine="210" w:firstLineChars="1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1、最低要求：2020年1月1日至投标文件递交截止日，成功独立完成合同金额在300万元及以上类似</w:t>
            </w:r>
            <w:r>
              <w:rPr>
                <w:rFonts w:hint="eastAsia" w:ascii="仿宋" w:hAnsi="仿宋" w:eastAsia="仿宋" w:cs="仿宋"/>
                <w:snapToGrid w:val="0"/>
                <w:color w:val="auto"/>
                <w:kern w:val="0"/>
                <w:szCs w:val="21"/>
                <w:highlight w:val="none"/>
                <w:lang w:eastAsia="zh-CN"/>
              </w:rPr>
              <w:t>营运高速公路路基边坡加固工程或路基边坡防护工程</w:t>
            </w:r>
            <w:r>
              <w:rPr>
                <w:rFonts w:hint="eastAsia" w:ascii="仿宋" w:hAnsi="仿宋" w:eastAsia="仿宋" w:cs="仿宋"/>
                <w:snapToGrid w:val="0"/>
                <w:color w:val="auto"/>
                <w:kern w:val="0"/>
                <w:szCs w:val="21"/>
                <w:highlight w:val="none"/>
              </w:rPr>
              <w:t>2项及以上：</w:t>
            </w:r>
          </w:p>
          <w:p>
            <w:pPr>
              <w:spacing w:line="360" w:lineRule="exact"/>
              <w:ind w:firstLine="210" w:firstLineChars="1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满足招标文件的最低要求得起评分3.0分；在此基础上完成合同金额在300万元及以上类似</w:t>
            </w:r>
            <w:r>
              <w:rPr>
                <w:rFonts w:hint="eastAsia" w:ascii="仿宋" w:hAnsi="仿宋" w:eastAsia="仿宋" w:cs="仿宋"/>
                <w:snapToGrid w:val="0"/>
                <w:color w:val="auto"/>
                <w:kern w:val="0"/>
                <w:szCs w:val="21"/>
                <w:highlight w:val="none"/>
                <w:lang w:eastAsia="zh-CN"/>
              </w:rPr>
              <w:t>营运高速公路路基边坡加固工程或路基边坡防护工程</w:t>
            </w:r>
            <w:r>
              <w:rPr>
                <w:rFonts w:hint="eastAsia" w:ascii="仿宋" w:hAnsi="仿宋" w:eastAsia="仿宋" w:cs="仿宋"/>
                <w:snapToGrid w:val="0"/>
                <w:color w:val="auto"/>
                <w:kern w:val="0"/>
                <w:szCs w:val="21"/>
                <w:highlight w:val="none"/>
              </w:rPr>
              <w:t>项目每增加一项加0.5分，最高加分不超过2.0分。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28" w:type="dxa"/>
            <w:vMerge w:val="continue"/>
            <w:noWrap w:val="0"/>
            <w:vAlign w:val="center"/>
          </w:tcPr>
          <w:p>
            <w:pPr>
              <w:spacing w:line="360" w:lineRule="exact"/>
              <w:jc w:val="center"/>
              <w:rPr>
                <w:rFonts w:hint="eastAsia" w:ascii="仿宋" w:hAnsi="仿宋" w:eastAsia="仿宋" w:cs="仿宋"/>
                <w:color w:val="auto"/>
                <w:szCs w:val="21"/>
                <w:highlight w:val="none"/>
              </w:rPr>
            </w:pPr>
          </w:p>
        </w:tc>
        <w:tc>
          <w:tcPr>
            <w:tcW w:w="900" w:type="dxa"/>
            <w:gridSpan w:val="2"/>
            <w:vMerge w:val="continue"/>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p>
        </w:tc>
        <w:tc>
          <w:tcPr>
            <w:tcW w:w="1158"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620" w:type="dxa"/>
            <w:noWrap w:val="0"/>
            <w:vAlign w:val="center"/>
          </w:tcPr>
          <w:p>
            <w:pPr>
              <w:spacing w:line="360" w:lineRule="exact"/>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履约信誉</w:t>
            </w:r>
          </w:p>
        </w:tc>
        <w:tc>
          <w:tcPr>
            <w:tcW w:w="5794" w:type="dxa"/>
            <w:gridSpan w:val="3"/>
            <w:noWrap w:val="0"/>
            <w:vAlign w:val="top"/>
          </w:tcPr>
          <w:p>
            <w:pPr>
              <w:pStyle w:val="7"/>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履约情况（5分）</w:t>
            </w:r>
          </w:p>
          <w:p>
            <w:pPr>
              <w:pStyle w:val="7"/>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若没出现下述情形得满分；</w:t>
            </w:r>
          </w:p>
          <w:p>
            <w:pPr>
              <w:autoSpaceDE w:val="0"/>
              <w:autoSpaceDN w:val="0"/>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自2022年1月1日至投标文件递交截止日（投标文件递交截止日前2 年内），因公路工程（含附属设施）质量、安全、履约或招标投标问题等原因被：</w:t>
            </w:r>
          </w:p>
          <w:p>
            <w:pPr>
              <w:autoSpaceDE w:val="0"/>
              <w:autoSpaceDN w:val="0"/>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（1）交通运输部通报批评的，扣5 分/次；</w:t>
            </w:r>
          </w:p>
          <w:p>
            <w:pPr>
              <w:autoSpaceDE w:val="0"/>
              <w:autoSpaceDN w:val="0"/>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（2）广东省交通运输厅通报批评的，扣4 分/次；</w:t>
            </w:r>
          </w:p>
          <w:p>
            <w:pPr>
              <w:autoSpaceDE w:val="0"/>
              <w:autoSpaceDN w:val="0"/>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（3）项目所在地地市级交通局（委）、本项目招标人或</w:t>
            </w:r>
          </w:p>
          <w:p>
            <w:pPr>
              <w:autoSpaceDE w:val="0"/>
              <w:autoSpaceDN w:val="0"/>
              <w:spacing w:line="360" w:lineRule="exact"/>
              <w:rPr>
                <w:rFonts w:hint="eastAsia" w:ascii="仿宋" w:hAnsi="仿宋" w:eastAsia="仿宋" w:cs="仿宋"/>
                <w:color w:val="auto"/>
                <w:sz w:val="11"/>
                <w:highlight w:val="none"/>
              </w:rPr>
            </w:pPr>
            <w:r>
              <w:rPr>
                <w:rFonts w:hint="eastAsia" w:ascii="仿宋" w:hAnsi="仿宋" w:eastAsia="仿宋" w:cs="仿宋"/>
                <w:color w:val="auto"/>
                <w:highlight w:val="none"/>
              </w:rPr>
              <w:t>招标人上级管理单位通报批评扣1 分/次。</w:t>
            </w:r>
          </w:p>
          <w:p>
            <w:pPr>
              <w:tabs>
                <w:tab w:val="left" w:pos="2056"/>
              </w:tabs>
              <w:autoSpaceDE w:val="0"/>
              <w:autoSpaceDN w:val="0"/>
              <w:spacing w:line="36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同一事项同时被多个部门通报批评只按最高的扣分计算1 次。如果扣完本项分值，可以从总分中扣。</w:t>
            </w:r>
          </w:p>
        </w:tc>
      </w:tr>
    </w:tbl>
    <w:p>
      <w:pPr>
        <w:pStyle w:val="25"/>
        <w:shd w:val="clear" w:color="auto" w:fill="auto"/>
        <w:spacing w:before="120" w:beforeLines="50" w:line="360" w:lineRule="auto"/>
        <w:ind w:right="440"/>
        <w:rPr>
          <w:rStyle w:val="26"/>
          <w:rFonts w:hint="eastAsia" w:ascii="仿宋" w:hAnsi="仿宋" w:eastAsia="仿宋" w:cs="仿宋"/>
          <w:color w:val="auto"/>
          <w:highlight w:val="none"/>
        </w:rPr>
      </w:pPr>
      <w:r>
        <w:rPr>
          <w:rStyle w:val="26"/>
          <w:rFonts w:hint="eastAsia" w:ascii="仿宋" w:hAnsi="仿宋" w:eastAsia="仿宋" w:cs="仿宋"/>
          <w:color w:val="auto"/>
          <w:highlight w:val="none"/>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8" w:type="dxa"/>
            <w:gridSpan w:val="2"/>
            <w:noWrap w:val="0"/>
            <w:vAlign w:val="top"/>
          </w:tcPr>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53" w:type="dxa"/>
            <w:noWrap w:val="0"/>
            <w:vAlign w:val="center"/>
          </w:tcPr>
          <w:p>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8325"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1153"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325" w:type="dxa"/>
            <w:noWrap w:val="0"/>
            <w:vAlign w:val="center"/>
          </w:tcPr>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将评标办法范本原文第 1 条“评标方法”改为“评标方法、组织及工作程序”，并且原文内容修改如下：</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1.1 评标方法</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本次评标采用双信封的综合评分法。评标委员会对满足招标文件实质性要求的投标文件，按照本章第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1.2 评标组织</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1.2.1 协助工作组</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exact"/>
              <w:ind w:firstLine="220" w:firstLineChars="10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 xml:space="preserve">  招标人可以协助评标委员会开展下列工作并提供相关信息：</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（1）根据招标文件，编制评标使用的相应表格；</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（2）以评标标准和方法为依据，列出投标文件相对于招标文件的所有偏差，并进行归类汇总；</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（3）根据投标人递交的投标文件对投标人的资质、业绩、主要人员资历和目前在岗情况、信用等级进行核实。</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招标人不得对投标文件作出任何评价，不得故意遗漏或者片面摘录，不得在评标委员会对所有偏差定性之前透露存有偏差的投标人名称。</w:t>
            </w:r>
          </w:p>
          <w:p>
            <w:pPr>
              <w:spacing w:line="360" w:lineRule="exact"/>
              <w:ind w:firstLine="220" w:firstLineChars="105"/>
              <w:rPr>
                <w:rFonts w:hint="eastAsia" w:ascii="仿宋" w:hAnsi="仿宋" w:eastAsia="仿宋" w:cs="仿宋"/>
                <w:snapToGrid w:val="0"/>
                <w:color w:val="auto"/>
                <w:szCs w:val="21"/>
                <w:highlight w:val="none"/>
              </w:rPr>
            </w:pP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1.2.2 评标委员会由招标人按国家、广东省等的有关规定依法组建。评标委员人数为七人及以上单数。评标委员会的主要工作内容包括：</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（1）评标委员会开始评标工作之前，首先听取招标人、协助工作组关于工程情况和辅助工作的说明，并认真研读招标文件，获取评标所需的重要信息和数据；</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（2）对协助工作组提供的评标工作用表和评标内容进行核查。</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（3）按照以下 1.3 款程序进行各项评审工作。</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1.3 评审工作程序</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（一）第一信封（商务文件和技术文件）：</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 xml:space="preserve"> l、初步评审：包括形式评审与响应性评审，</w:t>
            </w:r>
            <w:r>
              <w:rPr>
                <w:rFonts w:hint="eastAsia" w:ascii="仿宋" w:hAnsi="仿宋" w:eastAsia="仿宋" w:cs="仿宋"/>
                <w:color w:val="auto"/>
                <w:szCs w:val="21"/>
                <w:highlight w:val="none"/>
              </w:rPr>
              <w:t>资格评审</w:t>
            </w:r>
            <w:r>
              <w:rPr>
                <w:rFonts w:hint="eastAsia" w:ascii="仿宋" w:hAnsi="仿宋" w:eastAsia="仿宋" w:cs="仿宋"/>
                <w:snapToGrid w:val="0"/>
                <w:color w:val="auto"/>
                <w:szCs w:val="21"/>
                <w:highlight w:val="none"/>
              </w:rPr>
              <w:t xml:space="preserve">； </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 xml:space="preserve"> 2、详细评审（评审打分）：评标委员会首先对通过初步评审的投标文件第一个信封（商务及技术文件）进行详细评审，对投标人的施工组织设计、主要人员、其他部分等因素分别评审打分。</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（二）第二信封（报价文件）：</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1、初步评审：只有投标文件第一个信封通过初步评审的投标人才能继续参加第二信封报价文件的形式评审与响应性评审。对第一个信封不通过初步评审的投标人的第二信封直接退回，不再开启内层信封。</w:t>
            </w:r>
          </w:p>
          <w:p>
            <w:pPr>
              <w:spacing w:line="360" w:lineRule="exact"/>
              <w:ind w:firstLine="426" w:firstLineChars="20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详细评审（评审打分）：评标委员会对投标人的施工组织设计、项目管理机构、其他部分等因素分别评审打分后，在相关人员在场的情况下，进行公开开标，拆启投标人的第二个信封（报价文件），对其进行初步评审。</w:t>
            </w:r>
          </w:p>
          <w:p>
            <w:pPr>
              <w:spacing w:line="360" w:lineRule="exact"/>
              <w:ind w:firstLine="323" w:firstLineChars="154"/>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（三）投标文件相关信息的核查。</w:t>
            </w:r>
          </w:p>
          <w:p>
            <w:pPr>
              <w:spacing w:line="360" w:lineRule="exact"/>
              <w:ind w:firstLine="323" w:firstLineChars="15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(四)投标文件的澄清和说明(如有)</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（五）综合评分，提出评标意见。</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（六）根据《中华人民共和国招标投标法实施条例》第三十九条、第四十条、第四十一条的有关规定，对在评标过程中发现的投标人与投标人之间、投标人与招标人之间存在的串通投标的情形进行评审和认定。</w:t>
            </w:r>
          </w:p>
          <w:p>
            <w:pPr>
              <w:spacing w:line="360" w:lineRule="exact"/>
              <w:ind w:firstLine="323" w:firstLineChars="154"/>
              <w:rPr>
                <w:rFonts w:hint="eastAsia" w:ascii="仿宋" w:hAnsi="仿宋" w:eastAsia="仿宋" w:cs="仿宋"/>
                <w:snapToGrid w:val="0"/>
                <w:color w:val="auto"/>
                <w:szCs w:val="21"/>
                <w:highlight w:val="none"/>
              </w:rPr>
            </w:pPr>
            <w:r>
              <w:rPr>
                <w:rFonts w:hint="eastAsia" w:ascii="仿宋" w:hAnsi="仿宋" w:eastAsia="仿宋" w:cs="仿宋"/>
                <w:color w:val="auto"/>
                <w:szCs w:val="21"/>
                <w:highlight w:val="none"/>
              </w:rPr>
              <w:t>（七）按评标办法规定推荐中标候选人，编写评标报告。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1153"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3.2.3</w:t>
            </w:r>
          </w:p>
        </w:tc>
        <w:tc>
          <w:tcPr>
            <w:tcW w:w="8325" w:type="dxa"/>
            <w:noWrap w:val="0"/>
            <w:vAlign w:val="center"/>
          </w:tcPr>
          <w:p>
            <w:pPr>
              <w:spacing w:line="36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将评标办法范本原文第3.2.3款细化如下：</w:t>
            </w:r>
          </w:p>
          <w:p>
            <w:pPr>
              <w:spacing w:line="36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投标人的商务和技术得分=A+B+D。</w:t>
            </w:r>
          </w:p>
          <w:p>
            <w:pPr>
              <w:spacing w:line="36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投标人的综合得分= A+B+C+D。</w:t>
            </w:r>
          </w:p>
          <w:p>
            <w:pPr>
              <w:spacing w:line="36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kern w:val="0"/>
                <w:szCs w:val="21"/>
                <w:highlight w:val="none"/>
              </w:rPr>
              <w:t>除评标价、技术能力、履约信誉得分外，投标文件各评分因素细分项得分均不应低于其权重分的60%，评分低于权重分值60%的，评标委员会成员应当在评标报告中作出说明。 计算投标人技术得分时: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3"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8325" w:type="dxa"/>
            <w:noWrap w:val="0"/>
            <w:vAlign w:val="center"/>
          </w:tcPr>
          <w:p>
            <w:pPr>
              <w:spacing w:line="360" w:lineRule="exact"/>
              <w:ind w:firstLine="323" w:firstLineChars="154"/>
              <w:rPr>
                <w:rFonts w:hint="eastAsia" w:ascii="仿宋" w:hAnsi="仿宋" w:eastAsia="仿宋" w:cs="仿宋"/>
                <w:color w:val="auto"/>
                <w:szCs w:val="21"/>
                <w:highlight w:val="none"/>
              </w:rPr>
            </w:pPr>
            <w:r>
              <w:rPr>
                <w:rFonts w:hint="eastAsia" w:ascii="仿宋" w:hAnsi="仿宋" w:eastAsia="仿宋" w:cs="仿宋"/>
                <w:color w:val="auto"/>
                <w:szCs w:val="21"/>
                <w:highlight w:val="none"/>
              </w:rPr>
              <w:t>增加3.6.3款：</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3.6.3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153"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3.7.1</w:t>
            </w:r>
          </w:p>
        </w:tc>
        <w:tc>
          <w:tcPr>
            <w:tcW w:w="8325" w:type="dxa"/>
            <w:noWrap w:val="0"/>
            <w:vAlign w:val="center"/>
          </w:tcPr>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将评标办法范本原文第 3.7.1 款修改为：</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投标文件中的下列偏差为细微偏差：（采用固化工程量清单，则 a－d步骤省略）：</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a、在算术性复核中发现的算术性差错：</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b、在招标人给定的工程量清单中漏报了某个工程细目的单价和合价；</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c、在招标人给定的工程量清单中多报了某个工程细目的单价和合价或所报单价增加或减少了报价范围；</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d、在招标人给定的工程量清单中修改了某些支付号的工程数量；</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e、施工组织设计（不含关键工程技术方案）不够完善。</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（2）评标委员会对投标文件中的细微偏差按如下规定处理：（采用固化工程量清单，则 a－d 步骤省略）：</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a、按本评标办法的规定对算术性错误予以修正；</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b、对于漏报的工程细目单价和合价或单价和合价减少的报价内容视为已含入其它工程细目的单价和合价之中；</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c、在保证投标总价不变的前提下，对于多报的工程细目报价或工程细目报价中增加的部分报价从投标报价中予以扣除，并对其它细目作相应的平衡性调整；</w:t>
            </w:r>
          </w:p>
          <w:p>
            <w:pPr>
              <w:tabs>
                <w:tab w:val="left" w:pos="858"/>
              </w:tabs>
              <w:snapToGrid w:val="0"/>
              <w:spacing w:line="360" w:lineRule="exact"/>
              <w:ind w:firstLine="420" w:firstLineChars="200"/>
              <w:rPr>
                <w:rFonts w:hint="eastAsia" w:ascii="仿宋" w:hAnsi="仿宋" w:eastAsia="仿宋" w:cs="仿宋"/>
                <w:snapToGrid w:val="0"/>
                <w:color w:val="auto"/>
                <w:szCs w:val="21"/>
                <w:highlight w:val="none"/>
              </w:rPr>
            </w:pPr>
            <w:r>
              <w:rPr>
                <w:rFonts w:hint="eastAsia" w:ascii="仿宋" w:hAnsi="仿宋" w:eastAsia="仿宋" w:cs="仿宋"/>
                <w:color w:val="auto"/>
                <w:szCs w:val="21"/>
                <w:highlight w:val="none"/>
              </w:rPr>
              <w:t>d、在保证投标总价不变的前提下，对与给定工程量清单数量不符的工程数量进行更正，并对其它细目作相应的平衡性调整。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53" w:type="dxa"/>
            <w:noWrap w:val="0"/>
            <w:vAlign w:val="center"/>
          </w:tcPr>
          <w:p>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8325" w:type="dxa"/>
            <w:noWrap w:val="0"/>
            <w:vAlign w:val="center"/>
          </w:tcPr>
          <w:p>
            <w:pPr>
              <w:tabs>
                <w:tab w:val="left" w:pos="858"/>
              </w:tabs>
              <w:snapToGrid w:val="0"/>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增加3.9.3-3.9.7款：</w:t>
            </w:r>
          </w:p>
          <w:p>
            <w:pPr>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3.9.3 按上述评审办法的综合得分从高到低进行排名,</w:t>
            </w:r>
            <w:r>
              <w:rPr>
                <w:rFonts w:hint="eastAsia" w:ascii="仿宋" w:hAnsi="仿宋" w:eastAsia="仿宋" w:cs="仿宋"/>
                <w:color w:val="auto"/>
                <w:highlight w:val="none"/>
              </w:rPr>
              <w:t xml:space="preserve"> </w:t>
            </w:r>
            <w:r>
              <w:rPr>
                <w:rFonts w:hint="eastAsia" w:ascii="仿宋" w:hAnsi="仿宋" w:eastAsia="仿宋" w:cs="仿宋"/>
                <w:color w:val="auto"/>
                <w:kern w:val="0"/>
                <w:szCs w:val="21"/>
                <w:highlight w:val="none"/>
              </w:rPr>
              <w:t>投标人在所投两个标段中只能中一个标（即兼投不兼中）。评审顺序为先评审第1标段，后评审第2标段。第1标段（业主控制价较高的标段）优先排名，如果同一投标人同时在两个标段的综合得分排名第一时，则评标委员会推荐该投标人在第1标段（业主控制价较高的标段）为第一中标候选人，该投标人自动失去第2标段第一中标候选人的资格，以此类推，推荐第2标段中标候选人。</w:t>
            </w:r>
          </w:p>
          <w:p>
            <w:pPr>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同一标段内，如果综合得分相同，以投标报价较低的投标人排名优先。当一家以上投标人综合得分相等且评标价也相等时，若各投标人工程量清单细目单价也相同，视为串标（仅一工作细目报价的除外），应否决其投标；若各投标人工程量清单细目单价不尽相同，由评标委员会按照以下顺序确定其名次：</w:t>
            </w:r>
          </w:p>
          <w:p>
            <w:pPr>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(1)被广东省交通运输厅评为较高信用等级的投标人优先（对于信用等级为 AA、A 的企业在递交投标文件时应按要求提交使用广东省信用评价等级申请承诺书，否则，AA 级信用等级企业按 A 级对待、A 级信用等级企业按 B 级对待）；</w:t>
            </w:r>
          </w:p>
          <w:p>
            <w:pPr>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 由评标委员会视企业净资产、投标人技术能力、施工方案等情况经评议后，投票确定其名次；</w:t>
            </w:r>
          </w:p>
          <w:p>
            <w:pPr>
              <w:tabs>
                <w:tab w:val="left" w:pos="858"/>
              </w:tabs>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3.9.4 按照上述第 3.9.3 款原则，按排名次序推荐出2名中标候选人。</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3.9.5通过第一信封商务文件和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3.9.6通过第一信封商务文件和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3.9.7如果推荐的第一中标候选人放弃中标、或因不可抗力提出不能履行合同，或招标文件规定应当提交履约保证金而在规定的期限内未能提交的，招标人可以按照评标委员会提出的中标候选人名单排序依次确定其他中标候选人为中标人，也可以重新招标，但第一中标候选人的投标保证金不予退还（因不可抗力的情况除外）。</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3.9.8如果推荐的中标候选人因被投诉并查证属实存在造假行为的，按否决其投标处理，且没收其投标保证金。</w:t>
            </w:r>
          </w:p>
          <w:p>
            <w:pPr>
              <w:tabs>
                <w:tab w:val="left" w:pos="858"/>
              </w:tabs>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3.9.9如果发生无法确定推荐中标候选人的其它意外情况，评标委员会可建议招标人重新招标。</w:t>
            </w:r>
          </w:p>
        </w:tc>
      </w:tr>
    </w:tbl>
    <w:p>
      <w:pPr>
        <w:pStyle w:val="25"/>
        <w:shd w:val="clear" w:color="auto" w:fill="auto"/>
        <w:spacing w:before="120" w:beforeLines="50" w:line="360" w:lineRule="auto"/>
        <w:ind w:right="440"/>
        <w:rPr>
          <w:rStyle w:val="26"/>
          <w:rFonts w:hint="eastAsia" w:ascii="仿宋" w:hAnsi="仿宋" w:eastAsia="仿宋" w:cs="仿宋"/>
          <w:color w:val="auto"/>
          <w:highlight w:val="none"/>
        </w:rPr>
      </w:pPr>
    </w:p>
    <w:p>
      <w:pPr>
        <w:spacing w:before="120" w:beforeLines="5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评标办法正文内容参见：</w:t>
      </w:r>
    </w:p>
    <w:p>
      <w:pPr>
        <w:pStyle w:val="6"/>
        <w:spacing w:before="120" w:beforeLines="5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《公路工程标准施工招标文件》（2018年版）第三章“评标办法（综合评分法）”</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singleLevel"/>
    <w:tmpl w:val="00000027"/>
    <w:lvl w:ilvl="0" w:tentative="0">
      <w:start w:val="2"/>
      <w:numFmt w:val="decimal"/>
      <w:suff w:val="nothing"/>
      <w:lvlText w:val="（%1）"/>
      <w:lvlJc w:val="left"/>
    </w:lvl>
  </w:abstractNum>
  <w:abstractNum w:abstractNumId="1">
    <w:nsid w:val="0000002A"/>
    <w:multiLevelType w:val="multilevel"/>
    <w:tmpl w:val="0000002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4"/>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3248F9E3"/>
    <w:multiLevelType w:val="singleLevel"/>
    <w:tmpl w:val="3248F9E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B7A"/>
    <w:rsid w:val="4E5C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link w:val="13"/>
    <w:qFormat/>
    <w:uiPriority w:val="0"/>
    <w:pPr>
      <w:keepNext/>
      <w:keepLines/>
      <w:widowControl/>
      <w:numPr>
        <w:ilvl w:val="2"/>
        <w:numId w:val="1"/>
      </w:numPr>
      <w:tabs>
        <w:tab w:val="left" w:pos="425"/>
        <w:tab w:val="clear" w:pos="3229"/>
      </w:tabs>
      <w:spacing w:before="120" w:beforeLines="0" w:after="120" w:afterLines="0" w:line="360" w:lineRule="auto"/>
      <w:jc w:val="center"/>
      <w:outlineLvl w:val="2"/>
    </w:pPr>
    <w:rPr>
      <w:b/>
      <w:kern w:val="0"/>
      <w:sz w:val="32"/>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uiPriority w:val="99"/>
    <w:pPr>
      <w:ind w:firstLine="420" w:firstLineChars="200"/>
    </w:pPr>
    <w:rPr>
      <w:rFonts w:ascii="Times New Roman" w:hAnsi="Times New Roman" w:eastAsia="宋体" w:cs="Times New Roman"/>
      <w:szCs w:val="24"/>
    </w:rPr>
  </w:style>
  <w:style w:type="paragraph" w:styleId="3">
    <w:name w:val="Body Text Indent"/>
    <w:basedOn w:val="1"/>
    <w:uiPriority w:val="99"/>
    <w:pPr>
      <w:spacing w:after="120" w:afterLines="0"/>
      <w:ind w:left="420" w:leftChars="200"/>
    </w:pPr>
    <w:rPr>
      <w:rFonts w:ascii="Times New Roman" w:hAnsi="Times New Roman" w:eastAsia="宋体" w:cs="Times New Roman"/>
      <w:szCs w:val="24"/>
    </w:rPr>
  </w:style>
  <w:style w:type="paragraph" w:customStyle="1" w:styleId="5">
    <w:name w:val="Normal Indent"/>
    <w:basedOn w:val="1"/>
    <w:uiPriority w:val="0"/>
    <w:pPr>
      <w:ind w:firstLine="420" w:firstLineChars="200"/>
    </w:pPr>
    <w:rPr>
      <w:kern w:val="0"/>
      <w:sz w:val="20"/>
    </w:rPr>
  </w:style>
  <w:style w:type="paragraph" w:styleId="6">
    <w:name w:val="Normal Indent"/>
    <w:basedOn w:val="1"/>
    <w:uiPriority w:val="0"/>
    <w:pPr>
      <w:ind w:firstLine="420" w:firstLineChars="200"/>
    </w:pPr>
    <w:rPr>
      <w:rFonts w:ascii="Times New Roman" w:hAnsi="Times New Roman" w:eastAsia="宋体" w:cs="Times New Roman"/>
      <w:szCs w:val="24"/>
    </w:rPr>
  </w:style>
  <w:style w:type="paragraph" w:styleId="7">
    <w:name w:val="Plain Text"/>
    <w:basedOn w:val="1"/>
    <w:uiPriority w:val="0"/>
    <w:rPr>
      <w:rFonts w:ascii="宋体" w:hAnsi="Courier New"/>
      <w:szCs w:val="20"/>
    </w:rPr>
  </w:style>
  <w:style w:type="paragraph" w:styleId="8">
    <w:name w:val="Title"/>
    <w:basedOn w:val="1"/>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customStyle="1" w:styleId="11">
    <w:name w:val="p0"/>
    <w:basedOn w:val="1"/>
    <w:uiPriority w:val="0"/>
    <w:pPr>
      <w:widowControl/>
    </w:pPr>
    <w:rPr>
      <w:kern w:val="0"/>
      <w:szCs w:val="21"/>
    </w:rPr>
  </w:style>
  <w:style w:type="paragraph" w:customStyle="1" w:styleId="12">
    <w:name w:val="p17"/>
    <w:basedOn w:val="1"/>
    <w:uiPriority w:val="0"/>
    <w:pPr>
      <w:widowControl/>
    </w:pPr>
    <w:rPr>
      <w:rFonts w:ascii="宋体" w:hAnsi="宋体" w:cs="宋体"/>
      <w:kern w:val="0"/>
      <w:szCs w:val="21"/>
    </w:rPr>
  </w:style>
  <w:style w:type="character" w:customStyle="1" w:styleId="13">
    <w:name w:val="标题 3 Char"/>
    <w:link w:val="4"/>
    <w:uiPriority w:val="0"/>
    <w:rPr>
      <w:b/>
      <w:kern w:val="0"/>
      <w:sz w:val="32"/>
      <w:szCs w:val="20"/>
    </w:rPr>
  </w:style>
  <w:style w:type="paragraph" w:customStyle="1" w:styleId="14">
    <w:name w:val="正文文本 (24)"/>
    <w:basedOn w:val="1"/>
    <w:link w:val="15"/>
    <w:uiPriority w:val="0"/>
    <w:pPr>
      <w:shd w:val="clear" w:color="auto" w:fill="FFFFFF"/>
      <w:spacing w:after="600" w:afterLines="0" w:line="240" w:lineRule="atLeast"/>
      <w:jc w:val="center"/>
    </w:pPr>
    <w:rPr>
      <w:rFonts w:ascii="MingLiU" w:eastAsia="MingLiU"/>
      <w:spacing w:val="30"/>
      <w:kern w:val="0"/>
      <w:sz w:val="42"/>
      <w:szCs w:val="42"/>
      <w:shd w:val="clear" w:color="auto" w:fill="FFFFFF"/>
    </w:rPr>
  </w:style>
  <w:style w:type="character" w:customStyle="1" w:styleId="15">
    <w:name w:val="正文文本 (24)_"/>
    <w:link w:val="14"/>
    <w:uiPriority w:val="0"/>
    <w:rPr>
      <w:rFonts w:ascii="MingLiU" w:eastAsia="MingLiU"/>
      <w:spacing w:val="30"/>
      <w:kern w:val="0"/>
      <w:sz w:val="42"/>
      <w:szCs w:val="42"/>
      <w:shd w:val="clear" w:color="auto" w:fill="FFFFFF"/>
    </w:rPr>
  </w:style>
  <w:style w:type="paragraph" w:customStyle="1" w:styleId="16">
    <w:name w:val="表格标题 (4)"/>
    <w:basedOn w:val="1"/>
    <w:link w:val="17"/>
    <w:uiPriority w:val="0"/>
    <w:pPr>
      <w:shd w:val="clear" w:color="auto" w:fill="FFFFFF"/>
      <w:spacing w:line="240" w:lineRule="atLeast"/>
      <w:jc w:val="left"/>
    </w:pPr>
    <w:rPr>
      <w:rFonts w:ascii="MingLiU" w:eastAsia="MingLiU"/>
      <w:b/>
      <w:bCs/>
      <w:kern w:val="0"/>
      <w:sz w:val="22"/>
      <w:szCs w:val="22"/>
      <w:shd w:val="clear" w:color="auto" w:fill="FFFFFF"/>
    </w:rPr>
  </w:style>
  <w:style w:type="character" w:customStyle="1" w:styleId="17">
    <w:name w:val="表格标题 (4)_"/>
    <w:link w:val="16"/>
    <w:uiPriority w:val="0"/>
    <w:rPr>
      <w:rFonts w:ascii="MingLiU" w:eastAsia="MingLiU"/>
      <w:b/>
      <w:bCs/>
      <w:kern w:val="0"/>
      <w:sz w:val="22"/>
      <w:szCs w:val="22"/>
      <w:shd w:val="clear" w:color="auto" w:fill="FFFFFF"/>
    </w:rPr>
  </w:style>
  <w:style w:type="paragraph" w:customStyle="1" w:styleId="18">
    <w:name w:val="Table Paragraph"/>
    <w:basedOn w:val="1"/>
    <w:uiPriority w:val="0"/>
    <w:pPr>
      <w:jc w:val="left"/>
    </w:pPr>
    <w:rPr>
      <w:rFonts w:ascii="Calibri" w:hAnsi="Calibri"/>
      <w:kern w:val="0"/>
      <w:sz w:val="22"/>
      <w:szCs w:val="22"/>
      <w:lang w:eastAsia="en-US"/>
    </w:rPr>
  </w:style>
  <w:style w:type="character" w:customStyle="1" w:styleId="19">
    <w:name w:val="正文文本 (2) + 10 pt37"/>
    <w:qFormat/>
    <w:uiPriority w:val="0"/>
    <w:rPr>
      <w:rFonts w:ascii="MingLiU" w:eastAsia="MingLiU" w:cs="MingLiU"/>
      <w:spacing w:val="0"/>
      <w:sz w:val="20"/>
      <w:szCs w:val="20"/>
      <w:u w:val="none"/>
    </w:rPr>
  </w:style>
  <w:style w:type="paragraph" w:customStyle="1" w:styleId="20">
    <w:name w:val="正文文本 (5)1"/>
    <w:basedOn w:val="1"/>
    <w:link w:val="21"/>
    <w:uiPriority w:val="0"/>
    <w:pPr>
      <w:shd w:val="clear" w:color="auto" w:fill="FFFFFF"/>
      <w:spacing w:before="5100" w:beforeLines="0" w:line="240" w:lineRule="atLeast"/>
      <w:jc w:val="left"/>
    </w:pPr>
    <w:rPr>
      <w:rFonts w:ascii="MingLiU" w:eastAsia="MingLiU"/>
      <w:kern w:val="0"/>
      <w:sz w:val="20"/>
      <w:szCs w:val="20"/>
      <w:shd w:val="clear" w:color="auto" w:fill="FFFFFF"/>
    </w:rPr>
  </w:style>
  <w:style w:type="character" w:customStyle="1" w:styleId="21">
    <w:name w:val="正文文本 (5)_"/>
    <w:link w:val="20"/>
    <w:uiPriority w:val="0"/>
    <w:rPr>
      <w:rFonts w:ascii="MingLiU" w:eastAsia="MingLiU"/>
      <w:kern w:val="0"/>
      <w:sz w:val="20"/>
      <w:szCs w:val="20"/>
      <w:shd w:val="clear" w:color="auto" w:fill="FFFFFF"/>
    </w:rPr>
  </w:style>
  <w:style w:type="character" w:customStyle="1" w:styleId="22">
    <w:name w:val="正文文本 (2) + 间距 0 pt5"/>
    <w:uiPriority w:val="0"/>
    <w:rPr>
      <w:rFonts w:ascii="MingLiU" w:eastAsia="MingLiU" w:cs="MingLiU"/>
      <w:spacing w:val="0"/>
      <w:sz w:val="22"/>
      <w:szCs w:val="22"/>
      <w:u w:val="none"/>
    </w:rPr>
  </w:style>
  <w:style w:type="paragraph" w:customStyle="1" w:styleId="23">
    <w:name w:val="正文文本 (2)1"/>
    <w:basedOn w:val="1"/>
    <w:uiPriority w:val="0"/>
    <w:pPr>
      <w:shd w:val="clear" w:color="auto" w:fill="FFFFFF"/>
      <w:spacing w:before="300" w:beforeLines="0" w:line="439" w:lineRule="exact"/>
      <w:jc w:val="distribute"/>
    </w:pPr>
    <w:rPr>
      <w:rFonts w:ascii="MingLiU" w:eastAsia="MingLiU"/>
      <w:spacing w:val="20"/>
      <w:kern w:val="0"/>
      <w:sz w:val="22"/>
      <w:szCs w:val="22"/>
      <w:shd w:val="clear" w:color="auto" w:fill="FFFFFF"/>
    </w:rPr>
  </w:style>
  <w:style w:type="character" w:customStyle="1" w:styleId="24">
    <w:name w:val="正文文本 (2) + 10 pt24"/>
    <w:uiPriority w:val="0"/>
    <w:rPr>
      <w:rFonts w:ascii="MingLiU" w:eastAsia="MingLiU" w:cs="MingLiU"/>
      <w:b/>
      <w:bCs/>
      <w:spacing w:val="0"/>
      <w:sz w:val="20"/>
      <w:szCs w:val="20"/>
      <w:u w:val="none"/>
    </w:rPr>
  </w:style>
  <w:style w:type="paragraph" w:customStyle="1" w:styleId="25">
    <w:name w:val="表格标题 (5)"/>
    <w:basedOn w:val="1"/>
    <w:link w:val="26"/>
    <w:uiPriority w:val="0"/>
    <w:pPr>
      <w:shd w:val="clear" w:color="auto" w:fill="FFFFFF"/>
      <w:spacing w:line="240" w:lineRule="atLeast"/>
      <w:jc w:val="left"/>
    </w:pPr>
    <w:rPr>
      <w:rFonts w:ascii="MingLiU" w:eastAsia="MingLiU"/>
      <w:kern w:val="0"/>
      <w:sz w:val="22"/>
      <w:szCs w:val="22"/>
      <w:shd w:val="clear" w:color="auto" w:fill="FFFFFF"/>
    </w:rPr>
  </w:style>
  <w:style w:type="character" w:customStyle="1" w:styleId="26">
    <w:name w:val="表格标题 (5)_"/>
    <w:link w:val="25"/>
    <w:uiPriority w:val="0"/>
    <w:rPr>
      <w:rFonts w:ascii="MingLiU" w:eastAsia="MingLiU"/>
      <w:kern w:val="0"/>
      <w:sz w:val="22"/>
      <w:szCs w:val="22"/>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2025-07-07T06:54:00Z</dcterms:created>
  <dc:creator>刘Laura</dc:creator>
  <cp:lastModifiedBy>刘Laura</cp:lastModifiedBy>
  <dcterms:modified xsi:type="dcterms:W3CDTF">2025-07-07T06:54:35Z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AF4E3A27DEC345A0B1EEC338FCAFB2C8</vt:lpwstr>
  </property>
</Properties>
</file>