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9ECF9">
      <w:pPr>
        <w:widowControl/>
        <w:kinsoku w:val="0"/>
        <w:autoSpaceDE w:val="0"/>
        <w:autoSpaceDN w:val="0"/>
        <w:adjustRightInd w:val="0"/>
        <w:snapToGrid w:val="0"/>
        <w:spacing w:before="169" w:line="221" w:lineRule="auto"/>
        <w:ind w:left="766"/>
        <w:jc w:val="left"/>
        <w:textAlignment w:val="baseline"/>
        <w:outlineLvl w:val="1"/>
        <w:rPr>
          <w:rFonts w:ascii="宋体" w:hAnsi="宋体" w:eastAsia="宋体" w:cs="宋体"/>
          <w:snapToGrid w:val="0"/>
          <w:color w:val="000000"/>
          <w:kern w:val="0"/>
          <w:sz w:val="52"/>
          <w:szCs w:val="52"/>
          <w:lang w:eastAsia="en-US"/>
        </w:rPr>
      </w:pPr>
      <w:r>
        <w:rPr>
          <w:rFonts w:ascii="黑体" w:hAnsi="黑体" w:eastAsia="黑体" w:cs="黑体"/>
          <w:b/>
          <w:bCs/>
          <w:snapToGrid w:val="0"/>
          <w:color w:val="000000"/>
          <w:spacing w:val="-5"/>
          <w:kern w:val="0"/>
          <w:sz w:val="52"/>
          <w:szCs w:val="52"/>
          <w:lang w:eastAsia="en-US"/>
        </w:rPr>
        <w:t>第三章</w:t>
      </w:r>
      <w:r>
        <w:rPr>
          <w:rFonts w:ascii="黑体" w:hAnsi="黑体" w:eastAsia="黑体" w:cs="黑体"/>
          <w:snapToGrid w:val="0"/>
          <w:color w:val="000000"/>
          <w:spacing w:val="-5"/>
          <w:kern w:val="0"/>
          <w:sz w:val="52"/>
          <w:szCs w:val="52"/>
          <w:lang w:eastAsia="en-US"/>
        </w:rPr>
        <w:t xml:space="preserve">  </w:t>
      </w:r>
      <w:r>
        <w:rPr>
          <w:rFonts w:ascii="黑体" w:hAnsi="黑体" w:eastAsia="黑体" w:cs="黑体"/>
          <w:b/>
          <w:bCs/>
          <w:snapToGrid w:val="0"/>
          <w:color w:val="000000"/>
          <w:spacing w:val="-5"/>
          <w:kern w:val="0"/>
          <w:sz w:val="52"/>
          <w:szCs w:val="52"/>
          <w:lang w:eastAsia="en-US"/>
        </w:rPr>
        <w:t>评标办法</w:t>
      </w:r>
      <w:r>
        <w:rPr>
          <w:rFonts w:ascii="宋体" w:hAnsi="宋体" w:eastAsia="宋体" w:cs="宋体"/>
          <w:b/>
          <w:bCs/>
          <w:snapToGrid w:val="0"/>
          <w:color w:val="000000"/>
          <w:spacing w:val="-5"/>
          <w:kern w:val="0"/>
          <w:sz w:val="52"/>
          <w:szCs w:val="52"/>
          <w:lang w:eastAsia="en-US"/>
        </w:rPr>
        <w:t>(</w:t>
      </w:r>
      <w:r>
        <w:rPr>
          <w:rFonts w:ascii="黑体" w:hAnsi="黑体" w:eastAsia="黑体" w:cs="黑体"/>
          <w:b/>
          <w:bCs/>
          <w:snapToGrid w:val="0"/>
          <w:color w:val="000000"/>
          <w:spacing w:val="-5"/>
          <w:kern w:val="0"/>
          <w:sz w:val="52"/>
          <w:szCs w:val="52"/>
          <w:lang w:eastAsia="en-US"/>
        </w:rPr>
        <w:t>综合评分法</w:t>
      </w:r>
      <w:r>
        <w:rPr>
          <w:rFonts w:ascii="宋体" w:hAnsi="宋体" w:eastAsia="宋体" w:cs="宋体"/>
          <w:b/>
          <w:bCs/>
          <w:snapToGrid w:val="0"/>
          <w:color w:val="000000"/>
          <w:spacing w:val="-5"/>
          <w:kern w:val="0"/>
          <w:sz w:val="52"/>
          <w:szCs w:val="52"/>
          <w:lang w:eastAsia="en-US"/>
        </w:rPr>
        <w:t>)</w:t>
      </w:r>
    </w:p>
    <w:p w14:paraId="29516601">
      <w:pPr>
        <w:widowControl/>
        <w:kinsoku w:val="0"/>
        <w:autoSpaceDE w:val="0"/>
        <w:autoSpaceDN w:val="0"/>
        <w:adjustRightInd w:val="0"/>
        <w:snapToGrid w:val="0"/>
        <w:spacing w:before="275" w:line="227" w:lineRule="auto"/>
        <w:ind w:left="19"/>
        <w:jc w:val="left"/>
        <w:textAlignment w:val="baseline"/>
        <w:rPr>
          <w:rFonts w:ascii="黑体" w:hAnsi="黑体" w:eastAsia="黑体" w:cs="黑体"/>
          <w:snapToGrid w:val="0"/>
          <w:color w:val="000000"/>
          <w:kern w:val="0"/>
          <w:sz w:val="26"/>
          <w:szCs w:val="26"/>
          <w:lang w:eastAsia="en-US"/>
        </w:rPr>
      </w:pPr>
      <w:r>
        <w:rPr>
          <w:rFonts w:ascii="黑体" w:hAnsi="黑体" w:eastAsia="黑体" w:cs="黑体"/>
          <w:snapToGrid w:val="0"/>
          <w:color w:val="000000"/>
          <w:spacing w:val="-4"/>
          <w:kern w:val="0"/>
          <w:sz w:val="26"/>
          <w:szCs w:val="26"/>
          <w:lang w:eastAsia="en-US"/>
        </w:rPr>
        <w:t>评标办法前附表</w:t>
      </w:r>
      <w:bookmarkStart w:id="1" w:name="_GoBack"/>
      <w:bookmarkEnd w:id="1"/>
    </w:p>
    <w:p w14:paraId="298220B5">
      <w:pPr>
        <w:widowControl/>
        <w:kinsoku w:val="0"/>
        <w:autoSpaceDE w:val="0"/>
        <w:autoSpaceDN w:val="0"/>
        <w:adjustRightInd w:val="0"/>
        <w:snapToGrid w:val="0"/>
        <w:spacing w:before="8" w:line="240" w:lineRule="auto"/>
        <w:jc w:val="left"/>
        <w:textAlignment w:val="baseline"/>
        <w:rPr>
          <w:rFonts w:ascii="Arial" w:hAnsi="Arial" w:eastAsia="Arial" w:cs="Arial"/>
          <w:snapToGrid w:val="0"/>
          <w:color w:val="000000"/>
          <w:kern w:val="0"/>
          <w:szCs w:val="21"/>
          <w:lang w:eastAsia="en-US"/>
        </w:rPr>
      </w:pPr>
    </w:p>
    <w:tbl>
      <w:tblPr>
        <w:tblStyle w:val="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9"/>
        <w:gridCol w:w="1210"/>
        <w:gridCol w:w="9"/>
        <w:gridCol w:w="6951"/>
        <w:gridCol w:w="16"/>
      </w:tblGrid>
      <w:tr w14:paraId="0B4DE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17" w:type="dxa"/>
            <w:gridSpan w:val="4"/>
            <w:vAlign w:val="top"/>
          </w:tcPr>
          <w:p w14:paraId="1770F070">
            <w:pPr>
              <w:kinsoku w:val="0"/>
              <w:autoSpaceDE w:val="0"/>
              <w:autoSpaceDN w:val="0"/>
              <w:adjustRightInd w:val="0"/>
              <w:snapToGrid w:val="0"/>
              <w:spacing w:before="97" w:line="220" w:lineRule="auto"/>
              <w:ind w:left="81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9"/>
                <w:kern w:val="0"/>
                <w:sz w:val="22"/>
                <w:szCs w:val="22"/>
                <w:lang w:val="en-US" w:eastAsia="en-US" w:bidi="ar-SA"/>
              </w:rPr>
              <w:t>条款号</w:t>
            </w:r>
          </w:p>
        </w:tc>
        <w:tc>
          <w:tcPr>
            <w:tcW w:w="6967" w:type="dxa"/>
            <w:gridSpan w:val="2"/>
            <w:vAlign w:val="top"/>
          </w:tcPr>
          <w:p w14:paraId="4D37A06A">
            <w:pPr>
              <w:kinsoku w:val="0"/>
              <w:autoSpaceDE w:val="0"/>
              <w:autoSpaceDN w:val="0"/>
              <w:adjustRightInd w:val="0"/>
              <w:snapToGrid w:val="0"/>
              <w:spacing w:before="97" w:line="220" w:lineRule="auto"/>
              <w:ind w:left="242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9"/>
                <w:kern w:val="0"/>
                <w:sz w:val="22"/>
                <w:szCs w:val="22"/>
                <w:lang w:val="en-US" w:eastAsia="en-US" w:bidi="ar-SA"/>
              </w:rPr>
              <w:t>评审因素与评审标准</w:t>
            </w:r>
          </w:p>
        </w:tc>
      </w:tr>
      <w:tr w14:paraId="53EFB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trPr>
        <w:tc>
          <w:tcPr>
            <w:tcW w:w="998" w:type="dxa"/>
            <w:gridSpan w:val="2"/>
            <w:vAlign w:val="top"/>
          </w:tcPr>
          <w:p w14:paraId="5394BE5D">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52966AAD">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059E3994">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0A33C47C">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14:paraId="61E02C00">
            <w:pPr>
              <w:kinsoku w:val="0"/>
              <w:autoSpaceDE w:val="0"/>
              <w:autoSpaceDN w:val="0"/>
              <w:adjustRightInd w:val="0"/>
              <w:snapToGrid w:val="0"/>
              <w:spacing w:before="71" w:line="242" w:lineRule="auto"/>
              <w:ind w:left="46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707070"/>
                <w:kern w:val="0"/>
                <w:sz w:val="22"/>
                <w:szCs w:val="22"/>
                <w:lang w:val="en-US" w:eastAsia="en-US" w:bidi="ar-SA"/>
              </w:rPr>
              <w:t>1</w:t>
            </w:r>
          </w:p>
        </w:tc>
        <w:tc>
          <w:tcPr>
            <w:tcW w:w="1219" w:type="dxa"/>
            <w:gridSpan w:val="2"/>
            <w:vAlign w:val="top"/>
          </w:tcPr>
          <w:p w14:paraId="06897BAB">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14:paraId="196632B1">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4B9593DC">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1EE619B0">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01349577">
            <w:pPr>
              <w:kinsoku w:val="0"/>
              <w:autoSpaceDE w:val="0"/>
              <w:autoSpaceDN w:val="0"/>
              <w:adjustRightInd w:val="0"/>
              <w:snapToGrid w:val="0"/>
              <w:spacing w:before="72" w:line="221" w:lineRule="auto"/>
              <w:ind w:left="18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评标方法</w:t>
            </w:r>
          </w:p>
        </w:tc>
        <w:tc>
          <w:tcPr>
            <w:tcW w:w="6967" w:type="dxa"/>
            <w:gridSpan w:val="2"/>
            <w:vAlign w:val="top"/>
          </w:tcPr>
          <w:p w14:paraId="06DFB060">
            <w:pPr>
              <w:kinsoku w:val="0"/>
              <w:autoSpaceDE w:val="0"/>
              <w:autoSpaceDN w:val="0"/>
              <w:adjustRightInd w:val="0"/>
              <w:snapToGrid w:val="0"/>
              <w:spacing w:before="34" w:line="358" w:lineRule="auto"/>
              <w:ind w:left="14" w:right="8" w:firstLine="40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综合评分相等时，评标委员会依次按照以下优先顺序推荐中标候选人或确</w:t>
            </w:r>
            <w:r>
              <w:rPr>
                <w:rFonts w:ascii="宋体" w:hAnsi="宋体" w:eastAsia="宋体" w:cs="宋体"/>
                <w:snapToGrid w:val="0"/>
                <w:color w:val="000000"/>
                <w:spacing w:val="4"/>
                <w:kern w:val="0"/>
                <w:sz w:val="22"/>
                <w:szCs w:val="22"/>
                <w:lang w:val="en-US" w:eastAsia="en-US" w:bidi="ar-SA"/>
              </w:rPr>
              <w:t xml:space="preserve"> </w:t>
            </w:r>
            <w:r>
              <w:rPr>
                <w:rFonts w:ascii="宋体" w:hAnsi="宋体" w:eastAsia="宋体" w:cs="宋体"/>
                <w:snapToGrid w:val="0"/>
                <w:color w:val="000000"/>
                <w:spacing w:val="-13"/>
                <w:kern w:val="0"/>
                <w:sz w:val="22"/>
                <w:szCs w:val="22"/>
                <w:lang w:val="en-US" w:eastAsia="en-US" w:bidi="ar-SA"/>
              </w:rPr>
              <w:t>定中标人：</w:t>
            </w:r>
          </w:p>
          <w:p w14:paraId="57F9576D">
            <w:pPr>
              <w:kinsoku w:val="0"/>
              <w:autoSpaceDE w:val="0"/>
              <w:autoSpaceDN w:val="0"/>
              <w:adjustRightInd w:val="0"/>
              <w:snapToGrid w:val="0"/>
              <w:spacing w:line="218"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(1)评标价低的投标人优先；</w:t>
            </w:r>
          </w:p>
          <w:p w14:paraId="2079B64B">
            <w:pPr>
              <w:kinsoku w:val="0"/>
              <w:autoSpaceDE w:val="0"/>
              <w:autoSpaceDN w:val="0"/>
              <w:adjustRightInd w:val="0"/>
              <w:snapToGrid w:val="0"/>
              <w:spacing w:before="166"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(2)最近1年较高信用等级的投标人优先；</w:t>
            </w:r>
          </w:p>
          <w:p w14:paraId="77C0BCCF">
            <w:pPr>
              <w:kinsoku w:val="0"/>
              <w:autoSpaceDE w:val="0"/>
              <w:autoSpaceDN w:val="0"/>
              <w:adjustRightInd w:val="0"/>
              <w:snapToGrid w:val="0"/>
              <w:spacing w:before="167"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(3)商务和技术得分较高的投标人优先；</w:t>
            </w:r>
          </w:p>
          <w:p w14:paraId="3DAE43BC">
            <w:pPr>
              <w:kinsoku w:val="0"/>
              <w:autoSpaceDE w:val="0"/>
              <w:autoSpaceDN w:val="0"/>
              <w:adjustRightInd w:val="0"/>
              <w:snapToGrid w:val="0"/>
              <w:spacing w:before="165" w:line="219"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(4)随机摇号确定排序。</w:t>
            </w:r>
          </w:p>
        </w:tc>
      </w:tr>
      <w:tr w14:paraId="76A9D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8" w:type="dxa"/>
            <w:gridSpan w:val="2"/>
            <w:vMerge w:val="restart"/>
            <w:vAlign w:val="top"/>
          </w:tcPr>
          <w:p w14:paraId="5074A554">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29D2AE0B">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194317DD">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8E64B69">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0E8E6955">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5DD5E99">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2510C296">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46C70D8">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0C13D6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11EAA713">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8FD13E7">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1C1D6D7E">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915EDBC">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47A97BE">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37A1F5B0">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2646E083">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7E8B3414">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eastAsia="en-US"/>
              </w:rPr>
            </w:pPr>
          </w:p>
          <w:p w14:paraId="12FD542A">
            <w:pPr>
              <w:kinsoku w:val="0"/>
              <w:autoSpaceDE w:val="0"/>
              <w:autoSpaceDN w:val="0"/>
              <w:adjustRightInd w:val="0"/>
              <w:snapToGrid w:val="0"/>
              <w:spacing w:before="72" w:line="240" w:lineRule="auto"/>
              <w:ind w:left="23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2.1.1</w:t>
            </w:r>
          </w:p>
          <w:p w14:paraId="7100EB29">
            <w:pPr>
              <w:kinsoku w:val="0"/>
              <w:autoSpaceDE w:val="0"/>
              <w:autoSpaceDN w:val="0"/>
              <w:adjustRightInd w:val="0"/>
              <w:snapToGrid w:val="0"/>
              <w:spacing w:before="93" w:line="240" w:lineRule="auto"/>
              <w:ind w:left="23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2.1.3</w:t>
            </w:r>
          </w:p>
        </w:tc>
        <w:tc>
          <w:tcPr>
            <w:tcW w:w="1219" w:type="dxa"/>
            <w:gridSpan w:val="2"/>
            <w:vMerge w:val="restart"/>
            <w:vAlign w:val="top"/>
          </w:tcPr>
          <w:p w14:paraId="21DC8667">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32A7EC1">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32166BD">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AA84EAC">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439092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76C067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19E9114">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AF199B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616A134">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B29AFD3">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1AFF1835">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45A636B5">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08AF270">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4F74BF56">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F27EF5A">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3F35630F">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09A49F24">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15E5809">
            <w:pPr>
              <w:kinsoku w:val="0"/>
              <w:autoSpaceDE w:val="0"/>
              <w:autoSpaceDN w:val="0"/>
              <w:adjustRightInd w:val="0"/>
              <w:snapToGrid w:val="0"/>
              <w:spacing w:before="71" w:line="220" w:lineRule="auto"/>
              <w:ind w:left="5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形式评审与</w:t>
            </w:r>
          </w:p>
          <w:p w14:paraId="2609FAEE">
            <w:pPr>
              <w:kinsoku w:val="0"/>
              <w:autoSpaceDE w:val="0"/>
              <w:autoSpaceDN w:val="0"/>
              <w:adjustRightInd w:val="0"/>
              <w:snapToGrid w:val="0"/>
              <w:spacing w:line="219" w:lineRule="auto"/>
              <w:ind w:left="6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响应性评审</w:t>
            </w:r>
          </w:p>
          <w:p w14:paraId="66F738A1">
            <w:pPr>
              <w:kinsoku w:val="0"/>
              <w:autoSpaceDE w:val="0"/>
              <w:autoSpaceDN w:val="0"/>
              <w:adjustRightInd w:val="0"/>
              <w:snapToGrid w:val="0"/>
              <w:spacing w:before="1" w:line="220" w:lineRule="auto"/>
              <w:ind w:left="40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标准</w:t>
            </w:r>
          </w:p>
        </w:tc>
        <w:tc>
          <w:tcPr>
            <w:tcW w:w="6967" w:type="dxa"/>
            <w:gridSpan w:val="2"/>
            <w:vAlign w:val="top"/>
          </w:tcPr>
          <w:p w14:paraId="0989518E">
            <w:pPr>
              <w:kinsoku w:val="0"/>
              <w:autoSpaceDE w:val="0"/>
              <w:autoSpaceDN w:val="0"/>
              <w:adjustRightInd w:val="0"/>
              <w:snapToGrid w:val="0"/>
              <w:spacing w:before="103" w:line="220" w:lineRule="auto"/>
              <w:ind w:left="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7"/>
                <w:kern w:val="0"/>
                <w:sz w:val="22"/>
                <w:szCs w:val="22"/>
                <w:lang w:val="en-US" w:eastAsia="en-US" w:bidi="ar-SA"/>
              </w:rPr>
              <w:t>第一个信封(商务及技术文件)评审标准：</w:t>
            </w:r>
          </w:p>
          <w:p w14:paraId="111B755F">
            <w:pPr>
              <w:kinsoku w:val="0"/>
              <w:autoSpaceDE w:val="0"/>
              <w:autoSpaceDN w:val="0"/>
              <w:adjustRightInd w:val="0"/>
              <w:snapToGrid w:val="0"/>
              <w:spacing w:before="17" w:line="359" w:lineRule="auto"/>
              <w:ind w:left="18" w:firstLine="43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0"/>
                <w:kern w:val="0"/>
                <w:sz w:val="22"/>
                <w:szCs w:val="22"/>
                <w:lang w:val="en-US" w:eastAsia="en-US" w:bidi="ar-SA"/>
              </w:rPr>
              <w:t>(1)投标文件</w:t>
            </w:r>
            <w:r>
              <w:rPr>
                <w:rFonts w:ascii="宋体" w:hAnsi="宋体" w:eastAsia="宋体" w:cs="宋体"/>
                <w:snapToGrid w:val="0"/>
                <w:color w:val="000000"/>
                <w:spacing w:val="-19"/>
                <w:kern w:val="0"/>
                <w:sz w:val="22"/>
                <w:szCs w:val="22"/>
                <w:lang w:val="en-US" w:eastAsia="en-US" w:bidi="ar-SA"/>
              </w:rPr>
              <w:t>能正常打开，并按照招标文件规定的格式、内容填写，字迹</w:t>
            </w:r>
            <w:r>
              <w:rPr>
                <w:rFonts w:ascii="宋体" w:hAnsi="宋体" w:eastAsia="宋体" w:cs="宋体"/>
                <w:snapToGrid w:val="0"/>
                <w:color w:val="000000"/>
                <w:spacing w:val="-12"/>
                <w:kern w:val="0"/>
                <w:sz w:val="22"/>
                <w:szCs w:val="22"/>
                <w:lang w:val="en-US" w:eastAsia="en-US" w:bidi="ar-SA"/>
              </w:rPr>
              <w:t>清</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13"/>
                <w:kern w:val="0"/>
                <w:sz w:val="22"/>
                <w:szCs w:val="22"/>
                <w:lang w:val="en-US" w:eastAsia="en-US" w:bidi="ar-SA"/>
              </w:rPr>
              <w:t>晰可辨：</w:t>
            </w:r>
          </w:p>
          <w:p w14:paraId="51EC5D86">
            <w:pPr>
              <w:kinsoku w:val="0"/>
              <w:autoSpaceDE w:val="0"/>
              <w:autoSpaceDN w:val="0"/>
              <w:adjustRightInd w:val="0"/>
              <w:snapToGrid w:val="0"/>
              <w:spacing w:before="1" w:line="289" w:lineRule="auto"/>
              <w:ind w:left="11" w:right="40" w:firstLine="40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a.投标函按招标文件规定填报了项目名称、标段号、补遗书编号(如有)、</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15"/>
                <w:kern w:val="0"/>
                <w:sz w:val="22"/>
                <w:szCs w:val="22"/>
                <w:lang w:val="en-US" w:eastAsia="en-US" w:bidi="ar-SA"/>
              </w:rPr>
              <w:t>工期、工程质量要求及安全目标、环保目标；</w:t>
            </w:r>
          </w:p>
          <w:p w14:paraId="7FD16334">
            <w:pPr>
              <w:kinsoku w:val="0"/>
              <w:autoSpaceDE w:val="0"/>
              <w:autoSpaceDN w:val="0"/>
              <w:adjustRightInd w:val="0"/>
              <w:snapToGrid w:val="0"/>
              <w:spacing w:before="166" w:line="219" w:lineRule="auto"/>
              <w:ind w:left="41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4"/>
                <w:kern w:val="0"/>
                <w:sz w:val="22"/>
                <w:szCs w:val="22"/>
                <w:lang w:val="en-US" w:eastAsia="en-US" w:bidi="ar-SA"/>
              </w:rPr>
              <w:t>b.投标函附录的所有数据均符合招标文件规</w:t>
            </w:r>
            <w:r>
              <w:rPr>
                <w:rFonts w:ascii="宋体" w:hAnsi="宋体" w:eastAsia="宋体" w:cs="宋体"/>
                <w:snapToGrid w:val="0"/>
                <w:color w:val="000000"/>
                <w:spacing w:val="-15"/>
                <w:kern w:val="0"/>
                <w:sz w:val="22"/>
                <w:szCs w:val="22"/>
                <w:lang w:val="en-US" w:eastAsia="en-US" w:bidi="ar-SA"/>
              </w:rPr>
              <w:t>定；</w:t>
            </w:r>
          </w:p>
          <w:p w14:paraId="6226A7E6">
            <w:pPr>
              <w:kinsoku w:val="0"/>
              <w:autoSpaceDE w:val="0"/>
              <w:autoSpaceDN w:val="0"/>
              <w:adjustRightInd w:val="0"/>
              <w:snapToGrid w:val="0"/>
              <w:spacing w:before="166" w:line="220" w:lineRule="auto"/>
              <w:ind w:left="42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c.投标文件组成齐全完整，内容均按规定填写。</w:t>
            </w:r>
          </w:p>
          <w:p w14:paraId="50474029">
            <w:pPr>
              <w:kinsoku w:val="0"/>
              <w:autoSpaceDE w:val="0"/>
              <w:autoSpaceDN w:val="0"/>
              <w:adjustRightInd w:val="0"/>
              <w:snapToGrid w:val="0"/>
              <w:spacing w:before="166" w:line="290" w:lineRule="auto"/>
              <w:ind w:left="8" w:firstLine="4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0"/>
                <w:kern w:val="0"/>
                <w:sz w:val="22"/>
                <w:szCs w:val="22"/>
                <w:lang w:val="en-US" w:eastAsia="en-US" w:bidi="ar-SA"/>
              </w:rPr>
              <w:t>(2)投标文</w:t>
            </w:r>
            <w:r>
              <w:rPr>
                <w:rFonts w:ascii="宋体" w:hAnsi="宋体" w:eastAsia="宋体" w:cs="宋体"/>
                <w:snapToGrid w:val="0"/>
                <w:color w:val="000000"/>
                <w:spacing w:val="-19"/>
                <w:kern w:val="0"/>
                <w:sz w:val="22"/>
                <w:szCs w:val="22"/>
                <w:lang w:val="en-US" w:eastAsia="en-US" w:bidi="ar-SA"/>
              </w:rPr>
              <w:t>件上法定代表人的签章、投标人的单位章盖章齐全，符合招标</w:t>
            </w:r>
            <w:r>
              <w:rPr>
                <w:rFonts w:ascii="宋体" w:hAnsi="宋体" w:eastAsia="宋体" w:cs="宋体"/>
                <w:snapToGrid w:val="0"/>
                <w:color w:val="000000"/>
                <w:spacing w:val="-13"/>
                <w:kern w:val="0"/>
                <w:sz w:val="22"/>
                <w:szCs w:val="22"/>
                <w:lang w:val="en-US" w:eastAsia="en-US" w:bidi="ar-SA"/>
              </w:rPr>
              <w:t>文</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10"/>
                <w:kern w:val="0"/>
                <w:sz w:val="22"/>
                <w:szCs w:val="22"/>
                <w:lang w:val="en-US" w:eastAsia="en-US" w:bidi="ar-SA"/>
              </w:rPr>
              <w:t>件规定。</w:t>
            </w:r>
          </w:p>
          <w:p w14:paraId="42051F82">
            <w:pPr>
              <w:kinsoku w:val="0"/>
              <w:autoSpaceDE w:val="0"/>
              <w:autoSpaceDN w:val="0"/>
              <w:adjustRightInd w:val="0"/>
              <w:snapToGrid w:val="0"/>
              <w:spacing w:before="165" w:line="219"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3</w:t>
            </w:r>
            <w:r>
              <w:rPr>
                <w:rFonts w:ascii="宋体" w:hAnsi="宋体" w:eastAsia="宋体" w:cs="宋体"/>
                <w:snapToGrid w:val="0"/>
                <w:color w:val="000000"/>
                <w:spacing w:val="-16"/>
                <w:kern w:val="0"/>
                <w:sz w:val="22"/>
                <w:szCs w:val="22"/>
                <w:lang w:val="en-US" w:eastAsia="en-US" w:bidi="ar-SA"/>
              </w:rPr>
              <w:t>)投标人按照招标文件的规定提供了投标保证金：</w:t>
            </w:r>
          </w:p>
          <w:p w14:paraId="31DFA0C7">
            <w:pPr>
              <w:kinsoku w:val="0"/>
              <w:autoSpaceDE w:val="0"/>
              <w:autoSpaceDN w:val="0"/>
              <w:adjustRightInd w:val="0"/>
              <w:snapToGrid w:val="0"/>
              <w:spacing w:before="168" w:line="290" w:lineRule="auto"/>
              <w:ind w:left="11" w:right="8" w:firstLine="40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a.投标保证金金额符合招标文件规定的金额，且</w:t>
            </w:r>
            <w:r>
              <w:rPr>
                <w:rFonts w:ascii="宋体" w:hAnsi="宋体" w:eastAsia="宋体" w:cs="宋体"/>
                <w:snapToGrid w:val="0"/>
                <w:color w:val="000000"/>
                <w:spacing w:val="-16"/>
                <w:kern w:val="0"/>
                <w:sz w:val="22"/>
                <w:szCs w:val="22"/>
                <w:lang w:val="en-US" w:eastAsia="en-US" w:bidi="ar-SA"/>
              </w:rPr>
              <w:t>投标保证金有效期应当与</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4"/>
                <w:kern w:val="0"/>
                <w:sz w:val="22"/>
                <w:szCs w:val="22"/>
                <w:lang w:val="en-US" w:eastAsia="en-US" w:bidi="ar-SA"/>
              </w:rPr>
              <w:t>投标有效期一致；</w:t>
            </w:r>
          </w:p>
          <w:p w14:paraId="620D7CFF">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b.若投标保证金采用现金或支票形式提交，投标人应在递</w:t>
            </w:r>
            <w:r>
              <w:rPr>
                <w:rFonts w:ascii="宋体" w:hAnsi="宋体" w:eastAsia="宋体" w:cs="宋体"/>
                <w:snapToGrid w:val="0"/>
                <w:color w:val="000000"/>
                <w:spacing w:val="-16"/>
                <w:kern w:val="0"/>
                <w:sz w:val="22"/>
                <w:szCs w:val="22"/>
                <w:lang w:val="en-US" w:eastAsia="en-US" w:bidi="ar-SA"/>
              </w:rPr>
              <w:t>交投标文件截止</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6"/>
                <w:kern w:val="0"/>
                <w:sz w:val="22"/>
                <w:szCs w:val="22"/>
                <w:lang w:val="en-US" w:eastAsia="en-US" w:bidi="ar-SA"/>
              </w:rPr>
              <w:t>时间之前，将投标保证金由投标人的基本账户转入招标人指定账户；c.若投标保证金采用银行电子保函形式提交，银行电子保函的格式、开具 保函的银行均满足招标文件要求。</w:t>
            </w:r>
          </w:p>
          <w:p w14:paraId="6367AD71">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4</w:t>
            </w:r>
            <w:r>
              <w:rPr>
                <w:rFonts w:ascii="宋体" w:hAnsi="宋体" w:eastAsia="宋体" w:cs="宋体"/>
                <w:snapToGrid w:val="0"/>
                <w:color w:val="000000"/>
                <w:spacing w:val="-16"/>
                <w:kern w:val="0"/>
                <w:sz w:val="22"/>
                <w:szCs w:val="22"/>
                <w:lang w:val="en-US" w:eastAsia="en-US" w:bidi="ar-SA"/>
              </w:rPr>
              <w:t>)同一投标人未提交两个以上不同的投标文件，但招标文件要求提交备选 投标的除外。</w:t>
            </w:r>
          </w:p>
          <w:p w14:paraId="39FD30E7">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5</w:t>
            </w:r>
            <w:r>
              <w:rPr>
                <w:rFonts w:ascii="宋体" w:hAnsi="宋体" w:eastAsia="宋体" w:cs="宋体"/>
                <w:snapToGrid w:val="0"/>
                <w:color w:val="000000"/>
                <w:spacing w:val="-16"/>
                <w:kern w:val="0"/>
                <w:sz w:val="22"/>
                <w:szCs w:val="22"/>
                <w:lang w:val="en-US" w:eastAsia="en-US" w:bidi="ar-SA"/>
              </w:rPr>
              <w:t>)投标文件中未出现有关投标报价的内容。</w:t>
            </w:r>
          </w:p>
          <w:p w14:paraId="0A8F939C">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6</w:t>
            </w:r>
            <w:r>
              <w:rPr>
                <w:rFonts w:ascii="宋体" w:hAnsi="宋体" w:eastAsia="宋体" w:cs="宋体"/>
                <w:snapToGrid w:val="0"/>
                <w:color w:val="000000"/>
                <w:spacing w:val="-16"/>
                <w:kern w:val="0"/>
                <w:sz w:val="22"/>
                <w:szCs w:val="22"/>
                <w:lang w:val="en-US" w:eastAsia="en-US" w:bidi="ar-SA"/>
              </w:rPr>
              <w:t>)投标文件载明的招标项目完成期限未超过招标文件规定的时限 。</w:t>
            </w:r>
          </w:p>
          <w:p w14:paraId="10EE071C">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7</w:t>
            </w:r>
            <w:r>
              <w:rPr>
                <w:rFonts w:ascii="宋体" w:hAnsi="宋体" w:eastAsia="宋体" w:cs="宋体"/>
                <w:snapToGrid w:val="0"/>
                <w:color w:val="000000"/>
                <w:spacing w:val="-16"/>
                <w:kern w:val="0"/>
                <w:sz w:val="22"/>
                <w:szCs w:val="22"/>
                <w:lang w:val="en-US" w:eastAsia="en-US" w:bidi="ar-SA"/>
              </w:rPr>
              <w:t>)投标文件对招标文件的实质性要求和条件作出响应。</w:t>
            </w:r>
          </w:p>
          <w:p w14:paraId="57518637">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8</w:t>
            </w:r>
            <w:r>
              <w:rPr>
                <w:rFonts w:ascii="宋体" w:hAnsi="宋体" w:eastAsia="宋体" w:cs="宋体"/>
                <w:snapToGrid w:val="0"/>
                <w:color w:val="000000"/>
                <w:spacing w:val="-16"/>
                <w:kern w:val="0"/>
                <w:sz w:val="22"/>
                <w:szCs w:val="22"/>
                <w:lang w:val="en-US" w:eastAsia="en-US" w:bidi="ar-SA"/>
              </w:rPr>
              <w:t>)权利义务符合招标文件规定：</w:t>
            </w:r>
          </w:p>
          <w:p w14:paraId="4C022C18">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 xml:space="preserve">a.投标人应接受招标文件规定的风险划分原则，未提出新的风险划分办法 </w:t>
            </w:r>
          </w:p>
          <w:p w14:paraId="7A856FDB">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b.投标人未增加发包人的责任范围，或减少投标人义务；</w:t>
            </w:r>
          </w:p>
          <w:p w14:paraId="7269393C">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c.投标人未提出不同的工程验收、计量、支付办法；</w:t>
            </w:r>
          </w:p>
          <w:p w14:paraId="29754B3A">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d.投标人对合同纠纷、事故处理办法未提出异议；</w:t>
            </w:r>
          </w:p>
          <w:p w14:paraId="1667B53D">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e.投标人在投标活动中无欺诈行为；</w:t>
            </w:r>
          </w:p>
          <w:p w14:paraId="4686ECD5">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f.投标人未对合同条款有重要保留。</w:t>
            </w:r>
          </w:p>
        </w:tc>
      </w:tr>
      <w:tr w14:paraId="0DDF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8" w:type="dxa"/>
            <w:gridSpan w:val="2"/>
            <w:vMerge w:val="continue"/>
            <w:vAlign w:val="top"/>
          </w:tcPr>
          <w:p w14:paraId="19CDEC56">
            <w:pPr>
              <w:kinsoku w:val="0"/>
              <w:autoSpaceDE w:val="0"/>
              <w:autoSpaceDN w:val="0"/>
              <w:adjustRightInd w:val="0"/>
              <w:snapToGrid w:val="0"/>
              <w:spacing w:before="93" w:line="240" w:lineRule="auto"/>
              <w:ind w:left="236"/>
              <w:jc w:val="left"/>
              <w:textAlignment w:val="baseline"/>
              <w:rPr>
                <w:rFonts w:ascii="宋体" w:hAnsi="宋体" w:eastAsia="宋体" w:cs="宋体"/>
                <w:snapToGrid w:val="0"/>
                <w:color w:val="000000"/>
                <w:spacing w:val="-4"/>
                <w:kern w:val="0"/>
                <w:sz w:val="22"/>
                <w:szCs w:val="22"/>
                <w:lang w:val="en-US" w:eastAsia="en-US" w:bidi="ar-SA"/>
              </w:rPr>
            </w:pPr>
          </w:p>
        </w:tc>
        <w:tc>
          <w:tcPr>
            <w:tcW w:w="1219" w:type="dxa"/>
            <w:gridSpan w:val="2"/>
            <w:vMerge w:val="continue"/>
            <w:vAlign w:val="top"/>
          </w:tcPr>
          <w:p w14:paraId="7CF534E6">
            <w:pPr>
              <w:kinsoku w:val="0"/>
              <w:autoSpaceDE w:val="0"/>
              <w:autoSpaceDN w:val="0"/>
              <w:adjustRightInd w:val="0"/>
              <w:snapToGrid w:val="0"/>
              <w:spacing w:before="1" w:line="220" w:lineRule="auto"/>
              <w:ind w:left="401"/>
              <w:jc w:val="left"/>
              <w:textAlignment w:val="baseline"/>
              <w:rPr>
                <w:rFonts w:ascii="宋体" w:hAnsi="宋体" w:eastAsia="宋体" w:cs="宋体"/>
                <w:snapToGrid w:val="0"/>
                <w:color w:val="000000"/>
                <w:spacing w:val="-5"/>
                <w:kern w:val="0"/>
                <w:sz w:val="22"/>
                <w:szCs w:val="22"/>
                <w:lang w:val="en-US" w:eastAsia="en-US" w:bidi="ar-SA"/>
              </w:rPr>
            </w:pPr>
          </w:p>
        </w:tc>
        <w:tc>
          <w:tcPr>
            <w:tcW w:w="6967" w:type="dxa"/>
            <w:gridSpan w:val="2"/>
            <w:vAlign w:val="top"/>
          </w:tcPr>
          <w:p w14:paraId="52BB2FFE">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第二个信封(报价文件)评审标准：</w:t>
            </w:r>
          </w:p>
          <w:p w14:paraId="797DE5AF">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(1)投标文件能正常打开，并按照招标文件规定的格式、内容填写，字迹清 晰可辨：</w:t>
            </w:r>
          </w:p>
          <w:p w14:paraId="57A5B13D">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a.投标函按招标文件规定填报了项目名称、标段号、补遗书编号(如有)、 投标价(包括大写金额和小写金额);</w:t>
            </w:r>
          </w:p>
          <w:p w14:paraId="69A84977">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b.已标价工程量清单说明文字与招标文件规定一致，未进行实质性修改和 删减；</w:t>
            </w:r>
          </w:p>
          <w:p w14:paraId="213A99D3">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c.投标文件组成齐全完整，内容均按规定填写。</w:t>
            </w:r>
          </w:p>
          <w:p w14:paraId="2C3241FA">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(2)投标文件上法定代表人的签章、投标人的单位章盖章齐全，符合招标文 件规定</w:t>
            </w:r>
          </w:p>
          <w:p w14:paraId="1B0CF0FA">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(3)投标报价中的报价未超过招标文件设定的最高投标限价(如有 )。</w:t>
            </w:r>
          </w:p>
          <w:p w14:paraId="1B4DD7BB">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(4)投标报价中报价的大写金额能够确定具体数值。</w:t>
            </w:r>
          </w:p>
          <w:p w14:paraId="2A71FF73">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(5)同一投标人未提交两个以上不同的投标报价，但招标文件要 求提交备 选投标的除外。</w:t>
            </w:r>
          </w:p>
          <w:p w14:paraId="4F1421C6">
            <w:pPr>
              <w:kinsoku w:val="0"/>
              <w:autoSpaceDE w:val="0"/>
              <w:autoSpaceDN w:val="0"/>
              <w:adjustRightInd w:val="0"/>
              <w:snapToGrid w:val="0"/>
              <w:spacing w:before="163" w:line="290" w:lineRule="auto"/>
              <w:ind w:left="19" w:right="8" w:firstLine="394"/>
              <w:jc w:val="left"/>
              <w:textAlignment w:val="baseline"/>
              <w:rPr>
                <w:rFonts w:ascii="宋体" w:hAnsi="宋体" w:eastAsia="宋体" w:cs="宋体"/>
                <w:snapToGrid w:val="0"/>
                <w:color w:val="000000"/>
                <w:spacing w:val="-16"/>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w:t>
            </w:r>
            <w:r>
              <w:rPr>
                <w:rFonts w:hint="eastAsia" w:ascii="宋体" w:hAnsi="宋体" w:eastAsia="宋体" w:cs="宋体"/>
                <w:snapToGrid w:val="0"/>
                <w:color w:val="000000"/>
                <w:spacing w:val="-16"/>
                <w:kern w:val="0"/>
                <w:sz w:val="22"/>
                <w:szCs w:val="22"/>
                <w:lang w:val="en-US" w:eastAsia="zh-CN" w:bidi="ar-SA"/>
              </w:rPr>
              <w:t>6</w:t>
            </w:r>
            <w:r>
              <w:rPr>
                <w:rFonts w:ascii="宋体" w:hAnsi="宋体" w:eastAsia="宋体" w:cs="宋体"/>
                <w:snapToGrid w:val="0"/>
                <w:color w:val="000000"/>
                <w:spacing w:val="-16"/>
                <w:kern w:val="0"/>
                <w:sz w:val="22"/>
                <w:szCs w:val="22"/>
                <w:lang w:val="en-US" w:eastAsia="en-US" w:bidi="ar-SA"/>
              </w:rPr>
              <w:t>)投标人若填写工程量固化清单，填写完毕的工程量固化清单 未对工程 量固化清单电子文件中的数据、格式和运算定义进行修改；工程量固化清单中 的投标报价和投标函大写金额报价一致。</w:t>
            </w:r>
          </w:p>
        </w:tc>
      </w:tr>
      <w:tr w14:paraId="694EE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6" w:hRule="atLeast"/>
        </w:trPr>
        <w:tc>
          <w:tcPr>
            <w:tcW w:w="998" w:type="dxa"/>
            <w:gridSpan w:val="2"/>
            <w:vAlign w:val="top"/>
          </w:tcPr>
          <w:p w14:paraId="5A4F8047">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7F173582">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1CD3D50A">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5769D339">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21D39CC">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B22F20A">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36CA042B">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24E763E1">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1AEAD99">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20358CB0">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02E1785B">
            <w:pPr>
              <w:kinsoku w:val="0"/>
              <w:autoSpaceDE w:val="0"/>
              <w:autoSpaceDN w:val="0"/>
              <w:adjustRightInd w:val="0"/>
              <w:snapToGrid w:val="0"/>
              <w:spacing w:before="71" w:line="240" w:lineRule="auto"/>
              <w:ind w:left="3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504040"/>
                <w:spacing w:val="-4"/>
                <w:kern w:val="0"/>
                <w:sz w:val="22"/>
                <w:szCs w:val="22"/>
                <w:lang w:val="en-US" w:eastAsia="en-US" w:bidi="ar-SA"/>
              </w:rPr>
              <w:t>2.1.2</w:t>
            </w:r>
          </w:p>
        </w:tc>
        <w:tc>
          <w:tcPr>
            <w:tcW w:w="1219" w:type="dxa"/>
            <w:gridSpan w:val="2"/>
            <w:vAlign w:val="top"/>
          </w:tcPr>
          <w:p w14:paraId="58883FFA">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2D91C4A2">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479DC79B">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52ED5DD2">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0BC7ABCE">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14:paraId="44E914C5">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DF88788">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20867DF2">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01881E47">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6DE99670">
            <w:pPr>
              <w:kinsoku w:val="0"/>
              <w:autoSpaceDE w:val="0"/>
              <w:autoSpaceDN w:val="0"/>
              <w:adjustRightInd w:val="0"/>
              <w:snapToGrid w:val="0"/>
              <w:spacing w:before="71" w:line="220" w:lineRule="auto"/>
              <w:ind w:left="7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资格评审</w:t>
            </w:r>
          </w:p>
          <w:p w14:paraId="2A97864C">
            <w:pPr>
              <w:kinsoku w:val="0"/>
              <w:autoSpaceDE w:val="0"/>
              <w:autoSpaceDN w:val="0"/>
              <w:adjustRightInd w:val="0"/>
              <w:snapToGrid w:val="0"/>
              <w:spacing w:before="119" w:line="221" w:lineRule="auto"/>
              <w:ind w:left="30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标准</w:t>
            </w:r>
          </w:p>
        </w:tc>
        <w:tc>
          <w:tcPr>
            <w:tcW w:w="6967" w:type="dxa"/>
            <w:gridSpan w:val="2"/>
            <w:vAlign w:val="top"/>
          </w:tcPr>
          <w:p w14:paraId="31F52E86">
            <w:pPr>
              <w:kinsoku w:val="0"/>
              <w:autoSpaceDE w:val="0"/>
              <w:autoSpaceDN w:val="0"/>
              <w:adjustRightInd w:val="0"/>
              <w:snapToGrid w:val="0"/>
              <w:spacing w:before="33" w:line="289" w:lineRule="auto"/>
              <w:ind w:left="12" w:firstLine="44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9"/>
                <w:kern w:val="0"/>
                <w:sz w:val="22"/>
                <w:szCs w:val="22"/>
                <w:lang w:val="en-US" w:eastAsia="en-US" w:bidi="ar-SA"/>
              </w:rPr>
              <w:t>(1)投标人具备</w:t>
            </w:r>
            <w:r>
              <w:rPr>
                <w:rFonts w:ascii="宋体" w:hAnsi="宋体" w:eastAsia="宋体" w:cs="宋体"/>
                <w:snapToGrid w:val="0"/>
                <w:color w:val="000000"/>
                <w:spacing w:val="-18"/>
                <w:kern w:val="0"/>
                <w:sz w:val="22"/>
                <w:szCs w:val="22"/>
                <w:lang w:val="en-US" w:eastAsia="en-US" w:bidi="ar-SA"/>
              </w:rPr>
              <w:t>有效的营业执照、资质证书</w:t>
            </w:r>
            <w:r>
              <w:rPr>
                <w:rFonts w:ascii="宋体" w:hAnsi="宋体" w:eastAsia="宋体" w:cs="宋体"/>
                <w:snapToGrid w:val="0"/>
                <w:color w:val="000000"/>
                <w:spacing w:val="-19"/>
                <w:kern w:val="0"/>
                <w:sz w:val="22"/>
                <w:szCs w:val="22"/>
                <w:lang w:val="en-US" w:eastAsia="en-US" w:bidi="ar-SA"/>
              </w:rPr>
              <w:t>、安全生产许可证(如有)和基</w:t>
            </w:r>
            <w:r>
              <w:rPr>
                <w:rFonts w:ascii="宋体" w:hAnsi="宋体" w:eastAsia="宋体" w:cs="宋体"/>
                <w:snapToGrid w:val="0"/>
                <w:color w:val="000000"/>
                <w:spacing w:val="-11"/>
                <w:kern w:val="0"/>
                <w:sz w:val="22"/>
                <w:szCs w:val="22"/>
                <w:lang w:val="en-US" w:eastAsia="en-US" w:bidi="ar-SA"/>
              </w:rPr>
              <w:t>本</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4"/>
                <w:kern w:val="0"/>
                <w:sz w:val="22"/>
                <w:szCs w:val="22"/>
                <w:lang w:val="en-US" w:eastAsia="en-US" w:bidi="ar-SA"/>
              </w:rPr>
              <w:t>账户开户证明。</w:t>
            </w:r>
          </w:p>
          <w:p w14:paraId="14F49B49">
            <w:pPr>
              <w:kinsoku w:val="0"/>
              <w:autoSpaceDE w:val="0"/>
              <w:autoSpaceDN w:val="0"/>
              <w:adjustRightInd w:val="0"/>
              <w:snapToGrid w:val="0"/>
              <w:spacing w:before="165"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(2)投标人的资质等级符合招标文件规定。</w:t>
            </w:r>
          </w:p>
          <w:p w14:paraId="73BBE066">
            <w:pPr>
              <w:kinsoku w:val="0"/>
              <w:autoSpaceDE w:val="0"/>
              <w:autoSpaceDN w:val="0"/>
              <w:adjustRightInd w:val="0"/>
              <w:snapToGrid w:val="0"/>
              <w:spacing w:before="167"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(3)投标人的财务状况符合招标文件规定。</w:t>
            </w:r>
          </w:p>
          <w:p w14:paraId="6C5BDFA6">
            <w:pPr>
              <w:kinsoku w:val="0"/>
              <w:autoSpaceDE w:val="0"/>
              <w:autoSpaceDN w:val="0"/>
              <w:adjustRightInd w:val="0"/>
              <w:snapToGrid w:val="0"/>
              <w:spacing w:before="165"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(4)投标人的类似项目业绩符合招标文件规定。</w:t>
            </w:r>
          </w:p>
          <w:p w14:paraId="05969FCC">
            <w:pPr>
              <w:kinsoku w:val="0"/>
              <w:autoSpaceDE w:val="0"/>
              <w:autoSpaceDN w:val="0"/>
              <w:adjustRightInd w:val="0"/>
              <w:snapToGrid w:val="0"/>
              <w:spacing w:before="165" w:line="219"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(5)投标人的信誉符合招标文件规定。</w:t>
            </w:r>
          </w:p>
          <w:p w14:paraId="687ED6F3">
            <w:pPr>
              <w:kinsoku w:val="0"/>
              <w:autoSpaceDE w:val="0"/>
              <w:autoSpaceDN w:val="0"/>
              <w:adjustRightInd w:val="0"/>
              <w:snapToGrid w:val="0"/>
              <w:spacing w:before="168"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(6)投标人的项目经理和项目总工资格、在岗情况符合招标文件规定。</w:t>
            </w:r>
          </w:p>
          <w:p w14:paraId="2B8BB0F3">
            <w:pPr>
              <w:kinsoku w:val="0"/>
              <w:autoSpaceDE w:val="0"/>
              <w:autoSpaceDN w:val="0"/>
              <w:adjustRightInd w:val="0"/>
              <w:snapToGrid w:val="0"/>
              <w:spacing w:before="165" w:line="220"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(7)投标人的其他要求符合招标文件规定。</w:t>
            </w:r>
          </w:p>
          <w:p w14:paraId="6827FE98">
            <w:pPr>
              <w:kinsoku w:val="0"/>
              <w:autoSpaceDE w:val="0"/>
              <w:autoSpaceDN w:val="0"/>
              <w:adjustRightInd w:val="0"/>
              <w:snapToGrid w:val="0"/>
              <w:spacing w:before="164" w:line="291" w:lineRule="auto"/>
              <w:ind w:left="12" w:firstLine="44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(8)投</w:t>
            </w:r>
            <w:r>
              <w:rPr>
                <w:rFonts w:ascii="宋体" w:hAnsi="宋体" w:eastAsia="宋体" w:cs="宋体"/>
                <w:snapToGrid w:val="0"/>
                <w:color w:val="000000"/>
                <w:spacing w:val="-14"/>
                <w:kern w:val="0"/>
                <w:sz w:val="22"/>
                <w:szCs w:val="22"/>
                <w:lang w:val="en-US" w:eastAsia="en-US" w:bidi="ar-SA"/>
              </w:rPr>
              <w:t>标人不存在第二章“投标人须知”第1.4.3项或第1.4.4 项规定的</w:t>
            </w:r>
            <w:r>
              <w:rPr>
                <w:rFonts w:ascii="宋体" w:hAnsi="宋体" w:eastAsia="宋体" w:cs="宋体"/>
                <w:snapToGrid w:val="0"/>
                <w:color w:val="000000"/>
                <w:spacing w:val="-10"/>
                <w:kern w:val="0"/>
                <w:sz w:val="22"/>
                <w:szCs w:val="22"/>
                <w:lang w:val="en-US" w:eastAsia="en-US" w:bidi="ar-SA"/>
              </w:rPr>
              <w:t>任</w:t>
            </w:r>
            <w:r>
              <w:rPr>
                <w:rFonts w:ascii="宋体" w:hAnsi="宋体" w:eastAsia="宋体" w:cs="宋体"/>
                <w:snapToGrid w:val="0"/>
                <w:color w:val="000000"/>
                <w:spacing w:val="10"/>
                <w:kern w:val="0"/>
                <w:sz w:val="22"/>
                <w:szCs w:val="22"/>
                <w:lang w:val="en-US" w:eastAsia="en-US" w:bidi="ar-SA"/>
              </w:rPr>
              <w:t xml:space="preserve"> </w:t>
            </w:r>
            <w:r>
              <w:rPr>
                <w:rFonts w:ascii="宋体" w:hAnsi="宋体" w:eastAsia="宋体" w:cs="宋体"/>
                <w:snapToGrid w:val="0"/>
                <w:color w:val="000000"/>
                <w:spacing w:val="-13"/>
                <w:kern w:val="0"/>
                <w:sz w:val="22"/>
                <w:szCs w:val="22"/>
                <w:lang w:val="en-US" w:eastAsia="en-US" w:bidi="ar-SA"/>
              </w:rPr>
              <w:t>何一种情形。</w:t>
            </w:r>
          </w:p>
          <w:p w14:paraId="7C15A1A5">
            <w:pPr>
              <w:kinsoku w:val="0"/>
              <w:autoSpaceDE w:val="0"/>
              <w:autoSpaceDN w:val="0"/>
              <w:adjustRightInd w:val="0"/>
              <w:snapToGrid w:val="0"/>
              <w:spacing w:before="165" w:line="313" w:lineRule="auto"/>
              <w:ind w:left="9" w:firstLine="4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0"/>
                <w:kern w:val="0"/>
                <w:sz w:val="22"/>
                <w:szCs w:val="22"/>
                <w:lang w:val="en-US" w:eastAsia="en-US" w:bidi="ar-SA"/>
              </w:rPr>
              <w:t>(9)以联合体形式</w:t>
            </w:r>
            <w:r>
              <w:rPr>
                <w:rFonts w:ascii="宋体" w:hAnsi="宋体" w:eastAsia="宋体" w:cs="宋体"/>
                <w:snapToGrid w:val="0"/>
                <w:color w:val="000000"/>
                <w:spacing w:val="-19"/>
                <w:kern w:val="0"/>
                <w:sz w:val="22"/>
                <w:szCs w:val="22"/>
                <w:lang w:val="en-US" w:eastAsia="en-US" w:bidi="ar-SA"/>
              </w:rPr>
              <w:t>参与投标的，联合体各方均未再以自己名义单独或参加</w:t>
            </w:r>
            <w:r>
              <w:rPr>
                <w:rFonts w:ascii="宋体" w:hAnsi="宋体" w:eastAsia="宋体" w:cs="宋体"/>
                <w:snapToGrid w:val="0"/>
                <w:color w:val="000000"/>
                <w:spacing w:val="-10"/>
                <w:kern w:val="0"/>
                <w:sz w:val="22"/>
                <w:szCs w:val="22"/>
                <w:lang w:val="en-US" w:eastAsia="en-US" w:bidi="ar-SA"/>
              </w:rPr>
              <w:t>其</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16"/>
                <w:kern w:val="0"/>
                <w:sz w:val="22"/>
                <w:szCs w:val="22"/>
                <w:lang w:val="en-US" w:eastAsia="en-US" w:bidi="ar-SA"/>
              </w:rPr>
              <w:t>他联合体在同一标段中投标；独立参与投标的，投标人未同时参加联合体在同</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13"/>
                <w:kern w:val="0"/>
                <w:sz w:val="22"/>
                <w:szCs w:val="22"/>
                <w:lang w:val="en-US" w:eastAsia="en-US" w:bidi="ar-SA"/>
              </w:rPr>
              <w:t>一标段中投标。</w:t>
            </w:r>
          </w:p>
        </w:tc>
      </w:tr>
      <w:tr w14:paraId="3AD8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5" w:hRule="atLeast"/>
        </w:trPr>
        <w:tc>
          <w:tcPr>
            <w:tcW w:w="998" w:type="dxa"/>
            <w:gridSpan w:val="2"/>
            <w:vAlign w:val="top"/>
          </w:tcPr>
          <w:p w14:paraId="65AA5A3F">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5F212CA0">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6C4892ED">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14:paraId="5BB65195">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64A16C4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42EC6CC9">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3744A850">
            <w:pPr>
              <w:kinsoku w:val="0"/>
              <w:autoSpaceDE w:val="0"/>
              <w:autoSpaceDN w:val="0"/>
              <w:adjustRightInd w:val="0"/>
              <w:snapToGrid w:val="0"/>
              <w:spacing w:before="72" w:line="240" w:lineRule="auto"/>
              <w:ind w:left="34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2.2.1</w:t>
            </w:r>
          </w:p>
        </w:tc>
        <w:tc>
          <w:tcPr>
            <w:tcW w:w="1219" w:type="dxa"/>
            <w:gridSpan w:val="2"/>
            <w:vAlign w:val="top"/>
          </w:tcPr>
          <w:p w14:paraId="7295911C">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5355953">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C918D06">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63174B41">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19D7D21">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604D7581">
            <w:pPr>
              <w:kinsoku w:val="0"/>
              <w:autoSpaceDE w:val="0"/>
              <w:autoSpaceDN w:val="0"/>
              <w:adjustRightInd w:val="0"/>
              <w:snapToGrid w:val="0"/>
              <w:spacing w:before="72" w:line="248" w:lineRule="auto"/>
              <w:ind w:left="76" w:right="71" w:firstLine="9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 xml:space="preserve">分值构成  </w:t>
            </w:r>
            <w:r>
              <w:rPr>
                <w:rFonts w:ascii="宋体" w:hAnsi="宋体" w:eastAsia="宋体" w:cs="宋体"/>
                <w:snapToGrid w:val="0"/>
                <w:color w:val="000000"/>
                <w:spacing w:val="-6"/>
                <w:kern w:val="0"/>
                <w:sz w:val="22"/>
                <w:szCs w:val="22"/>
                <w:lang w:val="en-US" w:eastAsia="en-US" w:bidi="ar-SA"/>
              </w:rPr>
              <w:t>(</w:t>
            </w:r>
            <w:r>
              <w:rPr>
                <w:rFonts w:ascii="宋体" w:hAnsi="宋体" w:eastAsia="宋体" w:cs="宋体"/>
                <w:snapToGrid w:val="0"/>
                <w:color w:val="000000"/>
                <w:spacing w:val="-60"/>
                <w:kern w:val="0"/>
                <w:sz w:val="22"/>
                <w:szCs w:val="22"/>
                <w:lang w:val="en-US" w:eastAsia="en-US" w:bidi="ar-SA"/>
              </w:rPr>
              <w:t xml:space="preserve"> </w:t>
            </w:r>
            <w:r>
              <w:rPr>
                <w:rFonts w:ascii="宋体" w:hAnsi="宋体" w:eastAsia="宋体" w:cs="宋体"/>
                <w:snapToGrid w:val="0"/>
                <w:color w:val="000000"/>
                <w:spacing w:val="-6"/>
                <w:kern w:val="0"/>
                <w:sz w:val="22"/>
                <w:szCs w:val="22"/>
                <w:lang w:val="en-US" w:eastAsia="en-US" w:bidi="ar-SA"/>
              </w:rPr>
              <w:t>总</w:t>
            </w:r>
            <w:r>
              <w:rPr>
                <w:rFonts w:ascii="宋体" w:hAnsi="宋体" w:eastAsia="宋体" w:cs="宋体"/>
                <w:snapToGrid w:val="0"/>
                <w:color w:val="000000"/>
                <w:spacing w:val="-31"/>
                <w:kern w:val="0"/>
                <w:sz w:val="22"/>
                <w:szCs w:val="22"/>
                <w:lang w:val="en-US" w:eastAsia="en-US" w:bidi="ar-SA"/>
              </w:rPr>
              <w:t xml:space="preserve"> </w:t>
            </w:r>
            <w:r>
              <w:rPr>
                <w:rFonts w:ascii="宋体" w:hAnsi="宋体" w:eastAsia="宋体" w:cs="宋体"/>
                <w:snapToGrid w:val="0"/>
                <w:color w:val="000000"/>
                <w:spacing w:val="-6"/>
                <w:kern w:val="0"/>
                <w:sz w:val="22"/>
                <w:szCs w:val="22"/>
                <w:lang w:val="en-US" w:eastAsia="en-US" w:bidi="ar-SA"/>
              </w:rPr>
              <w:t>分</w:t>
            </w:r>
            <w:r>
              <w:rPr>
                <w:rFonts w:ascii="宋体" w:hAnsi="宋体" w:eastAsia="宋体" w:cs="宋体"/>
                <w:snapToGrid w:val="0"/>
                <w:color w:val="000000"/>
                <w:spacing w:val="-18"/>
                <w:kern w:val="0"/>
                <w:sz w:val="22"/>
                <w:szCs w:val="22"/>
                <w:lang w:val="en-US" w:eastAsia="en-US" w:bidi="ar-SA"/>
              </w:rPr>
              <w:t xml:space="preserve"> </w:t>
            </w:r>
            <w:r>
              <w:rPr>
                <w:rFonts w:ascii="宋体" w:hAnsi="宋体" w:eastAsia="宋体" w:cs="宋体"/>
                <w:snapToGrid w:val="0"/>
                <w:color w:val="000000"/>
                <w:spacing w:val="-6"/>
                <w:kern w:val="0"/>
                <w:sz w:val="22"/>
                <w:szCs w:val="22"/>
                <w:lang w:val="en-US" w:eastAsia="en-US" w:bidi="ar-SA"/>
              </w:rPr>
              <w:t>100</w:t>
            </w:r>
          </w:p>
          <w:p w14:paraId="4514F360">
            <w:pPr>
              <w:kinsoku w:val="0"/>
              <w:autoSpaceDE w:val="0"/>
              <w:autoSpaceDN w:val="0"/>
              <w:adjustRightInd w:val="0"/>
              <w:snapToGrid w:val="0"/>
              <w:spacing w:before="1" w:line="220" w:lineRule="auto"/>
              <w:ind w:left="40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分</w:t>
            </w:r>
            <w:r>
              <w:rPr>
                <w:rFonts w:ascii="宋体" w:hAnsi="宋体" w:eastAsia="宋体" w:cs="宋体"/>
                <w:snapToGrid w:val="0"/>
                <w:color w:val="000000"/>
                <w:spacing w:val="-33"/>
                <w:kern w:val="0"/>
                <w:sz w:val="22"/>
                <w:szCs w:val="22"/>
                <w:lang w:val="en-US" w:eastAsia="en-US" w:bidi="ar-SA"/>
              </w:rPr>
              <w:t xml:space="preserve"> </w:t>
            </w:r>
            <w:r>
              <w:rPr>
                <w:rFonts w:ascii="宋体" w:hAnsi="宋体" w:eastAsia="宋体" w:cs="宋体"/>
                <w:snapToGrid w:val="0"/>
                <w:color w:val="000000"/>
                <w:spacing w:val="-6"/>
                <w:kern w:val="0"/>
                <w:sz w:val="22"/>
                <w:szCs w:val="22"/>
                <w:lang w:val="en-US" w:eastAsia="en-US" w:bidi="ar-SA"/>
              </w:rPr>
              <w:t>)</w:t>
            </w:r>
          </w:p>
        </w:tc>
        <w:tc>
          <w:tcPr>
            <w:tcW w:w="6967" w:type="dxa"/>
            <w:gridSpan w:val="2"/>
            <w:vAlign w:val="top"/>
          </w:tcPr>
          <w:p w14:paraId="6CD2B6AA">
            <w:pPr>
              <w:kinsoku w:val="0"/>
              <w:autoSpaceDE w:val="0"/>
              <w:autoSpaceDN w:val="0"/>
              <w:adjustRightInd w:val="0"/>
              <w:snapToGrid w:val="0"/>
              <w:spacing w:before="225" w:line="302" w:lineRule="auto"/>
              <w:ind w:left="416" w:right="2279" w:firstLine="2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10"/>
                <w:kern w:val="0"/>
                <w:sz w:val="22"/>
                <w:szCs w:val="22"/>
                <w:lang w:val="en-US" w:eastAsia="en-US" w:bidi="ar-SA"/>
              </w:rPr>
              <w:t>第一个信封(商务及技术文件)评分分值构成：</w:t>
            </w:r>
            <w:r>
              <w:rPr>
                <w:rFonts w:ascii="宋体" w:hAnsi="宋体" w:eastAsia="宋体" w:cs="宋体"/>
                <w:snapToGrid w:val="0"/>
                <w:color w:val="000000"/>
                <w:spacing w:val="3"/>
                <w:kern w:val="0"/>
                <w:sz w:val="22"/>
                <w:szCs w:val="22"/>
                <w:lang w:val="en-US" w:eastAsia="en-US" w:bidi="ar-SA"/>
              </w:rPr>
              <w:t xml:space="preserve"> </w:t>
            </w:r>
            <w:r>
              <w:rPr>
                <w:rFonts w:ascii="宋体" w:hAnsi="宋体" w:eastAsia="宋体" w:cs="宋体"/>
                <w:snapToGrid w:val="0"/>
                <w:color w:val="000000"/>
                <w:spacing w:val="-14"/>
                <w:kern w:val="0"/>
                <w:sz w:val="22"/>
                <w:szCs w:val="22"/>
                <w:lang w:val="en-US" w:eastAsia="en-US" w:bidi="ar-SA"/>
              </w:rPr>
              <w:t>施工组织设计：</w:t>
            </w:r>
            <w:r>
              <w:rPr>
                <w:rFonts w:ascii="宋体" w:hAnsi="宋体" w:eastAsia="宋体" w:cs="宋体"/>
                <w:snapToGrid w:val="0"/>
                <w:color w:val="000000"/>
                <w:spacing w:val="-14"/>
                <w:kern w:val="0"/>
                <w:sz w:val="22"/>
                <w:szCs w:val="22"/>
                <w:u w:val="single" w:color="auto"/>
                <w:lang w:val="en-US" w:eastAsia="en-US" w:bidi="ar-SA"/>
              </w:rPr>
              <w:t>9</w:t>
            </w:r>
            <w:r>
              <w:rPr>
                <w:rFonts w:ascii="宋体" w:hAnsi="宋体" w:eastAsia="宋体" w:cs="宋体"/>
                <w:snapToGrid w:val="0"/>
                <w:color w:val="000000"/>
                <w:spacing w:val="-14"/>
                <w:kern w:val="0"/>
                <w:sz w:val="22"/>
                <w:szCs w:val="22"/>
                <w:lang w:val="en-US" w:eastAsia="en-US" w:bidi="ar-SA"/>
              </w:rPr>
              <w:t>分</w:t>
            </w:r>
          </w:p>
          <w:p w14:paraId="05E404DF">
            <w:pPr>
              <w:kinsoku w:val="0"/>
              <w:autoSpaceDE w:val="0"/>
              <w:autoSpaceDN w:val="0"/>
              <w:adjustRightInd w:val="0"/>
              <w:snapToGrid w:val="0"/>
              <w:spacing w:before="63" w:line="221" w:lineRule="auto"/>
              <w:ind w:left="41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主要人员：</w:t>
            </w:r>
            <w:r>
              <w:rPr>
                <w:rFonts w:ascii="宋体" w:hAnsi="宋体" w:eastAsia="宋体" w:cs="宋体"/>
                <w:snapToGrid w:val="0"/>
                <w:color w:val="000000"/>
                <w:spacing w:val="-13"/>
                <w:kern w:val="0"/>
                <w:sz w:val="22"/>
                <w:szCs w:val="22"/>
                <w:u w:val="single" w:color="auto"/>
                <w:lang w:val="en-US" w:eastAsia="en-US" w:bidi="ar-SA"/>
              </w:rPr>
              <w:t>4</w:t>
            </w:r>
            <w:r>
              <w:rPr>
                <w:rFonts w:ascii="宋体" w:hAnsi="宋体" w:eastAsia="宋体" w:cs="宋体"/>
                <w:snapToGrid w:val="0"/>
                <w:color w:val="000000"/>
                <w:spacing w:val="-13"/>
                <w:kern w:val="0"/>
                <w:sz w:val="22"/>
                <w:szCs w:val="22"/>
                <w:lang w:val="en-US" w:eastAsia="en-US" w:bidi="ar-SA"/>
              </w:rPr>
              <w:t>分</w:t>
            </w:r>
          </w:p>
          <w:p w14:paraId="0DCD913F">
            <w:pPr>
              <w:kinsoku w:val="0"/>
              <w:autoSpaceDE w:val="0"/>
              <w:autoSpaceDN w:val="0"/>
              <w:adjustRightInd w:val="0"/>
              <w:snapToGrid w:val="0"/>
              <w:spacing w:before="164" w:line="220" w:lineRule="auto"/>
              <w:ind w:left="41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财务能力：</w:t>
            </w:r>
            <w:r>
              <w:rPr>
                <w:rFonts w:ascii="宋体" w:hAnsi="宋体" w:eastAsia="宋体" w:cs="宋体"/>
                <w:snapToGrid w:val="0"/>
                <w:color w:val="000000"/>
                <w:spacing w:val="-13"/>
                <w:kern w:val="0"/>
                <w:sz w:val="22"/>
                <w:szCs w:val="22"/>
                <w:u w:val="single" w:color="auto"/>
                <w:lang w:val="en-US" w:eastAsia="en-US" w:bidi="ar-SA"/>
              </w:rPr>
              <w:t>2</w:t>
            </w:r>
            <w:r>
              <w:rPr>
                <w:rFonts w:ascii="宋体" w:hAnsi="宋体" w:eastAsia="宋体" w:cs="宋体"/>
                <w:snapToGrid w:val="0"/>
                <w:color w:val="000000"/>
                <w:spacing w:val="-13"/>
                <w:kern w:val="0"/>
                <w:sz w:val="22"/>
                <w:szCs w:val="22"/>
                <w:lang w:val="en-US" w:eastAsia="en-US" w:bidi="ar-SA"/>
              </w:rPr>
              <w:t>分</w:t>
            </w:r>
          </w:p>
          <w:p w14:paraId="0A836C4E">
            <w:pPr>
              <w:kinsoku w:val="0"/>
              <w:autoSpaceDE w:val="0"/>
              <w:autoSpaceDN w:val="0"/>
              <w:adjustRightInd w:val="0"/>
              <w:snapToGrid w:val="0"/>
              <w:spacing w:before="167" w:line="221" w:lineRule="auto"/>
              <w:ind w:left="41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2"/>
                <w:kern w:val="0"/>
                <w:sz w:val="22"/>
                <w:szCs w:val="22"/>
                <w:lang w:val="en-US" w:eastAsia="en-US" w:bidi="ar-SA"/>
              </w:rPr>
              <w:t>业绩：</w:t>
            </w:r>
            <w:r>
              <w:rPr>
                <w:rFonts w:ascii="宋体" w:hAnsi="宋体" w:eastAsia="宋体" w:cs="宋体"/>
                <w:snapToGrid w:val="0"/>
                <w:color w:val="000000"/>
                <w:spacing w:val="-12"/>
                <w:kern w:val="0"/>
                <w:sz w:val="22"/>
                <w:szCs w:val="22"/>
                <w:u w:val="single" w:color="auto"/>
                <w:lang w:val="en-US" w:eastAsia="en-US" w:bidi="ar-SA"/>
              </w:rPr>
              <w:t>3</w:t>
            </w:r>
            <w:r>
              <w:rPr>
                <w:rFonts w:ascii="宋体" w:hAnsi="宋体" w:eastAsia="宋体" w:cs="宋体"/>
                <w:snapToGrid w:val="0"/>
                <w:color w:val="000000"/>
                <w:spacing w:val="-12"/>
                <w:kern w:val="0"/>
                <w:sz w:val="22"/>
                <w:szCs w:val="22"/>
                <w:lang w:val="en-US" w:eastAsia="en-US" w:bidi="ar-SA"/>
              </w:rPr>
              <w:t>分</w:t>
            </w:r>
          </w:p>
          <w:p w14:paraId="60B1BA21">
            <w:pPr>
              <w:kinsoku w:val="0"/>
              <w:autoSpaceDE w:val="0"/>
              <w:autoSpaceDN w:val="0"/>
              <w:adjustRightInd w:val="0"/>
              <w:snapToGrid w:val="0"/>
              <w:spacing w:before="164" w:line="219" w:lineRule="auto"/>
              <w:ind w:left="42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4"/>
                <w:kern w:val="0"/>
                <w:sz w:val="22"/>
                <w:szCs w:val="22"/>
                <w:lang w:val="en-US" w:eastAsia="en-US" w:bidi="ar-SA"/>
              </w:rPr>
              <w:t>履约信誉：</w:t>
            </w:r>
            <w:r>
              <w:rPr>
                <w:rFonts w:ascii="宋体" w:hAnsi="宋体" w:eastAsia="宋体" w:cs="宋体"/>
                <w:snapToGrid w:val="0"/>
                <w:color w:val="000000"/>
                <w:spacing w:val="-14"/>
                <w:kern w:val="0"/>
                <w:sz w:val="22"/>
                <w:szCs w:val="22"/>
                <w:u w:val="single" w:color="auto"/>
                <w:lang w:val="en-US" w:eastAsia="en-US" w:bidi="ar-SA"/>
              </w:rPr>
              <w:t>2</w:t>
            </w:r>
            <w:r>
              <w:rPr>
                <w:rFonts w:ascii="宋体" w:hAnsi="宋体" w:eastAsia="宋体" w:cs="宋体"/>
                <w:snapToGrid w:val="0"/>
                <w:color w:val="000000"/>
                <w:spacing w:val="-14"/>
                <w:kern w:val="0"/>
                <w:sz w:val="22"/>
                <w:szCs w:val="22"/>
                <w:lang w:val="en-US" w:eastAsia="en-US" w:bidi="ar-SA"/>
              </w:rPr>
              <w:t>分</w:t>
            </w:r>
          </w:p>
          <w:p w14:paraId="666BDD0D">
            <w:pPr>
              <w:kinsoku w:val="0"/>
              <w:autoSpaceDE w:val="0"/>
              <w:autoSpaceDN w:val="0"/>
              <w:adjustRightInd w:val="0"/>
              <w:snapToGrid w:val="0"/>
              <w:spacing w:before="218" w:line="219" w:lineRule="auto"/>
              <w:ind w:left="43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第二个信封(报价文件)评分分值构成：</w:t>
            </w:r>
          </w:p>
          <w:p w14:paraId="204AC907">
            <w:pPr>
              <w:kinsoku w:val="0"/>
              <w:autoSpaceDE w:val="0"/>
              <w:autoSpaceDN w:val="0"/>
              <w:adjustRightInd w:val="0"/>
              <w:snapToGrid w:val="0"/>
              <w:spacing w:before="109" w:line="203" w:lineRule="auto"/>
              <w:ind w:left="52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评标价：80分</w:t>
            </w:r>
          </w:p>
        </w:tc>
      </w:tr>
      <w:tr w14:paraId="659ED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 w:type="dxa"/>
          <w:trHeight w:val="6526" w:hRule="atLeast"/>
        </w:trPr>
        <w:tc>
          <w:tcPr>
            <w:tcW w:w="989" w:type="dxa"/>
            <w:vAlign w:val="top"/>
          </w:tcPr>
          <w:p w14:paraId="1BC97726">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A934440">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E60BA21">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4148598">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AF4B68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97A73C4">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2C71CE5E">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4D728F7">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7AF5A8F">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0BC712C">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F9850DC">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7955E8C">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861CD14">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9BE7A2C">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C0672F6">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A771391">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50F8B07">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717F33DB">
            <w:pPr>
              <w:kinsoku w:val="0"/>
              <w:autoSpaceDE w:val="0"/>
              <w:autoSpaceDN w:val="0"/>
              <w:adjustRightInd w:val="0"/>
              <w:snapToGrid w:val="0"/>
              <w:spacing w:before="72" w:line="240" w:lineRule="auto"/>
              <w:ind w:left="34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505060"/>
                <w:spacing w:val="-4"/>
                <w:kern w:val="0"/>
                <w:sz w:val="22"/>
                <w:szCs w:val="22"/>
                <w:lang w:val="en-US" w:eastAsia="en-US" w:bidi="ar-SA"/>
              </w:rPr>
              <w:t>2.2.2</w:t>
            </w:r>
          </w:p>
        </w:tc>
        <w:tc>
          <w:tcPr>
            <w:tcW w:w="1219" w:type="dxa"/>
            <w:gridSpan w:val="2"/>
            <w:vAlign w:val="top"/>
          </w:tcPr>
          <w:p w14:paraId="5ECC22D6">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958B02F">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3DD4C30">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77244C04">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F9BADC6">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6019797A">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46C4AC1">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1C065DD">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61804F35">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7525BA81">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738EF889">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1241345E">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6A15B9CB">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9ED356A">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22753E0B">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4362698C">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767A2DF">
            <w:pPr>
              <w:kinsoku w:val="0"/>
              <w:autoSpaceDE w:val="0"/>
              <w:autoSpaceDN w:val="0"/>
              <w:adjustRightInd w:val="0"/>
              <w:snapToGrid w:val="0"/>
              <w:spacing w:before="72" w:line="218" w:lineRule="auto"/>
              <w:ind w:left="5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评标基准价</w:t>
            </w:r>
          </w:p>
          <w:p w14:paraId="5E8E84AB">
            <w:pPr>
              <w:kinsoku w:val="0"/>
              <w:autoSpaceDE w:val="0"/>
              <w:autoSpaceDN w:val="0"/>
              <w:adjustRightInd w:val="0"/>
              <w:snapToGrid w:val="0"/>
              <w:spacing w:line="220" w:lineRule="auto"/>
              <w:ind w:left="16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计算方法</w:t>
            </w:r>
          </w:p>
        </w:tc>
        <w:tc>
          <w:tcPr>
            <w:tcW w:w="6960" w:type="dxa"/>
            <w:gridSpan w:val="2"/>
            <w:vAlign w:val="top"/>
          </w:tcPr>
          <w:p w14:paraId="749BE62D">
            <w:pPr>
              <w:kinsoku w:val="0"/>
              <w:autoSpaceDE w:val="0"/>
              <w:autoSpaceDN w:val="0"/>
              <w:adjustRightInd w:val="0"/>
              <w:snapToGrid w:val="0"/>
              <w:spacing w:before="36" w:line="219" w:lineRule="auto"/>
              <w:ind w:left="41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4"/>
                <w:kern w:val="0"/>
                <w:sz w:val="22"/>
                <w:szCs w:val="22"/>
                <w:lang w:val="en-US" w:eastAsia="en-US" w:bidi="ar-SA"/>
              </w:rPr>
              <w:t>评标基准价计算方法：</w:t>
            </w:r>
          </w:p>
          <w:p w14:paraId="2A525F4E">
            <w:pPr>
              <w:kinsoku w:val="0"/>
              <w:autoSpaceDE w:val="0"/>
              <w:autoSpaceDN w:val="0"/>
              <w:adjustRightInd w:val="0"/>
              <w:snapToGrid w:val="0"/>
              <w:spacing w:before="166" w:line="219" w:lineRule="auto"/>
              <w:ind w:left="41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在开标现场，招标人将当场计算并宣布评标基准价。</w:t>
            </w:r>
          </w:p>
          <w:p w14:paraId="53BBF204">
            <w:pPr>
              <w:kinsoku w:val="0"/>
              <w:autoSpaceDE w:val="0"/>
              <w:autoSpaceDN w:val="0"/>
              <w:adjustRightInd w:val="0"/>
              <w:snapToGrid w:val="0"/>
              <w:spacing w:before="166" w:line="219"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(1)评标价的确定：评标价=投标函文字报价</w:t>
            </w:r>
          </w:p>
          <w:p w14:paraId="41E7AA80">
            <w:pPr>
              <w:kinsoku w:val="0"/>
              <w:autoSpaceDE w:val="0"/>
              <w:autoSpaceDN w:val="0"/>
              <w:adjustRightInd w:val="0"/>
              <w:snapToGrid w:val="0"/>
              <w:spacing w:before="168" w:line="219"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(2)理论成本价的确定：</w:t>
            </w:r>
          </w:p>
          <w:p w14:paraId="741350D8">
            <w:pPr>
              <w:kinsoku w:val="0"/>
              <w:autoSpaceDE w:val="0"/>
              <w:autoSpaceDN w:val="0"/>
              <w:adjustRightInd w:val="0"/>
              <w:snapToGrid w:val="0"/>
              <w:spacing w:before="167" w:line="219" w:lineRule="auto"/>
              <w:ind w:left="41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2"/>
                <w:kern w:val="0"/>
                <w:sz w:val="22"/>
                <w:szCs w:val="22"/>
                <w:lang w:val="en-US" w:eastAsia="en-US" w:bidi="ar-SA"/>
              </w:rPr>
              <w:t>按第二章“投标人须知”第5.2.4.1目</w:t>
            </w:r>
            <w:r>
              <w:rPr>
                <w:rFonts w:ascii="宋体" w:hAnsi="宋体" w:eastAsia="宋体" w:cs="宋体"/>
                <w:snapToGrid w:val="0"/>
                <w:color w:val="000000"/>
                <w:spacing w:val="-13"/>
                <w:kern w:val="0"/>
                <w:sz w:val="22"/>
                <w:szCs w:val="22"/>
                <w:lang w:val="en-US" w:eastAsia="en-US" w:bidi="ar-SA"/>
              </w:rPr>
              <w:t>规定计算。</w:t>
            </w:r>
          </w:p>
          <w:p w14:paraId="380E8AFA">
            <w:pPr>
              <w:kinsoku w:val="0"/>
              <w:autoSpaceDE w:val="0"/>
              <w:autoSpaceDN w:val="0"/>
              <w:adjustRightInd w:val="0"/>
              <w:snapToGrid w:val="0"/>
              <w:spacing w:before="165" w:line="219"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(3)评标价平均值的计算：</w:t>
            </w:r>
          </w:p>
          <w:p w14:paraId="6C10637E">
            <w:pPr>
              <w:kinsoku w:val="0"/>
              <w:autoSpaceDE w:val="0"/>
              <w:autoSpaceDN w:val="0"/>
              <w:adjustRightInd w:val="0"/>
              <w:snapToGrid w:val="0"/>
              <w:spacing w:before="169" w:line="359" w:lineRule="auto"/>
              <w:ind w:left="8" w:right="1" w:firstLine="42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4"/>
                <w:kern w:val="0"/>
                <w:sz w:val="22"/>
                <w:szCs w:val="22"/>
                <w:lang w:val="en-US" w:eastAsia="en-US" w:bidi="ar-SA"/>
              </w:rPr>
              <w:t>除按第二章“投标人须知”第5.2.4.2目规定开标现场被宣布为不进</w:t>
            </w:r>
            <w:r>
              <w:rPr>
                <w:rFonts w:ascii="宋体" w:hAnsi="宋体" w:eastAsia="宋体" w:cs="宋体"/>
                <w:snapToGrid w:val="0"/>
                <w:color w:val="000000"/>
                <w:spacing w:val="-15"/>
                <w:kern w:val="0"/>
                <w:sz w:val="22"/>
                <w:szCs w:val="22"/>
                <w:lang w:val="en-US" w:eastAsia="en-US" w:bidi="ar-SA"/>
              </w:rPr>
              <w:t>入评</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7"/>
                <w:kern w:val="0"/>
                <w:sz w:val="22"/>
                <w:szCs w:val="22"/>
                <w:lang w:val="en-US" w:eastAsia="en-US" w:bidi="ar-SA"/>
              </w:rPr>
              <w:t>标基准</w:t>
            </w:r>
            <w:r>
              <w:rPr>
                <w:rFonts w:ascii="宋体" w:hAnsi="宋体" w:eastAsia="宋体" w:cs="宋体"/>
                <w:snapToGrid w:val="0"/>
                <w:color w:val="000000"/>
                <w:spacing w:val="-16"/>
                <w:kern w:val="0"/>
                <w:sz w:val="22"/>
                <w:szCs w:val="22"/>
                <w:lang w:val="en-US" w:eastAsia="en-US" w:bidi="ar-SA"/>
              </w:rPr>
              <w:t>价计算的投标报价之外，所有投标人的评标价去掉一个最高值和一个</w:t>
            </w:r>
            <w:r>
              <w:rPr>
                <w:rFonts w:ascii="宋体" w:hAnsi="宋体" w:eastAsia="宋体" w:cs="宋体"/>
                <w:snapToGrid w:val="0"/>
                <w:color w:val="000000"/>
                <w:spacing w:val="-13"/>
                <w:kern w:val="0"/>
                <w:sz w:val="22"/>
                <w:szCs w:val="22"/>
                <w:lang w:val="en-US" w:eastAsia="en-US" w:bidi="ar-SA"/>
              </w:rPr>
              <w:t>最</w:t>
            </w:r>
            <w:r>
              <w:rPr>
                <w:rFonts w:ascii="宋体" w:hAnsi="宋体" w:eastAsia="宋体" w:cs="宋体"/>
                <w:snapToGrid w:val="0"/>
                <w:color w:val="000000"/>
                <w:spacing w:val="8"/>
                <w:kern w:val="0"/>
                <w:sz w:val="22"/>
                <w:szCs w:val="22"/>
                <w:lang w:val="en-US" w:eastAsia="en-US" w:bidi="ar-SA"/>
              </w:rPr>
              <w:t xml:space="preserve"> </w:t>
            </w:r>
            <w:r>
              <w:rPr>
                <w:rFonts w:ascii="宋体" w:hAnsi="宋体" w:eastAsia="宋体" w:cs="宋体"/>
                <w:snapToGrid w:val="0"/>
                <w:color w:val="000000"/>
                <w:spacing w:val="-16"/>
                <w:kern w:val="0"/>
                <w:sz w:val="22"/>
                <w:szCs w:val="22"/>
                <w:lang w:val="en-US" w:eastAsia="en-US" w:bidi="ar-SA"/>
              </w:rPr>
              <w:t>低值后的算术平均值即为评标价平均值(如果参与评标价平均值计算的有效投</w:t>
            </w:r>
            <w:r>
              <w:rPr>
                <w:rFonts w:ascii="宋体" w:hAnsi="宋体" w:eastAsia="宋体" w:cs="宋体"/>
                <w:snapToGrid w:val="0"/>
                <w:color w:val="000000"/>
                <w:spacing w:val="8"/>
                <w:kern w:val="0"/>
                <w:sz w:val="22"/>
                <w:szCs w:val="22"/>
                <w:lang w:val="en-US" w:eastAsia="en-US" w:bidi="ar-SA"/>
              </w:rPr>
              <w:t xml:space="preserve">  </w:t>
            </w:r>
            <w:r>
              <w:rPr>
                <w:rFonts w:ascii="宋体" w:hAnsi="宋体" w:eastAsia="宋体" w:cs="宋体"/>
                <w:snapToGrid w:val="0"/>
                <w:color w:val="000000"/>
                <w:spacing w:val="-15"/>
                <w:kern w:val="0"/>
                <w:sz w:val="22"/>
                <w:szCs w:val="22"/>
                <w:lang w:val="en-US" w:eastAsia="en-US" w:bidi="ar-SA"/>
              </w:rPr>
              <w:t>标人少于5家时，则计算评标价平均值 时不去掉最高值和最低值)。</w:t>
            </w:r>
          </w:p>
          <w:p w14:paraId="46206744">
            <w:pPr>
              <w:kinsoku w:val="0"/>
              <w:autoSpaceDE w:val="0"/>
              <w:autoSpaceDN w:val="0"/>
              <w:adjustRightInd w:val="0"/>
              <w:snapToGrid w:val="0"/>
              <w:spacing w:line="218" w:lineRule="auto"/>
              <w:ind w:left="45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(4)评标基准价的确定：</w:t>
            </w:r>
          </w:p>
          <w:p w14:paraId="7A4D3C23">
            <w:pPr>
              <w:kinsoku w:val="0"/>
              <w:autoSpaceDE w:val="0"/>
              <w:autoSpaceDN w:val="0"/>
              <w:adjustRightInd w:val="0"/>
              <w:snapToGrid w:val="0"/>
              <w:spacing w:before="166" w:line="360" w:lineRule="auto"/>
              <w:ind w:left="417" w:right="392" w:hanging="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4"/>
                <w:kern w:val="0"/>
                <w:sz w:val="22"/>
                <w:szCs w:val="22"/>
                <w:lang w:val="en-US" w:eastAsia="en-US" w:bidi="ar-SA"/>
              </w:rPr>
              <w:t>评标基准价=(最高投标限价×C1+评标价平均值×C2)×</w:t>
            </w:r>
            <w:r>
              <w:rPr>
                <w:rFonts w:ascii="宋体" w:hAnsi="宋体" w:eastAsia="宋体" w:cs="宋体"/>
                <w:snapToGrid w:val="0"/>
                <w:color w:val="000000"/>
                <w:spacing w:val="-62"/>
                <w:kern w:val="0"/>
                <w:sz w:val="22"/>
                <w:szCs w:val="22"/>
                <w:lang w:val="en-US" w:eastAsia="en-US" w:bidi="ar-SA"/>
              </w:rPr>
              <w:t xml:space="preserve"> </w:t>
            </w:r>
            <w:r>
              <w:rPr>
                <w:rFonts w:ascii="宋体" w:hAnsi="宋体" w:eastAsia="宋体" w:cs="宋体"/>
                <w:snapToGrid w:val="0"/>
                <w:color w:val="000000"/>
                <w:spacing w:val="-14"/>
                <w:kern w:val="0"/>
                <w:sz w:val="22"/>
                <w:szCs w:val="22"/>
                <w:lang w:val="en-US" w:eastAsia="en-US" w:bidi="ar-SA"/>
              </w:rPr>
              <w:t>(1-下浮系数)</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0"/>
                <w:kern w:val="0"/>
                <w:sz w:val="22"/>
                <w:szCs w:val="22"/>
                <w:lang w:val="en-US" w:eastAsia="en-US" w:bidi="ar-SA"/>
              </w:rPr>
              <w:t>其中：</w:t>
            </w:r>
            <w:r>
              <w:rPr>
                <w:rFonts w:ascii="宋体" w:hAnsi="宋体" w:eastAsia="宋体" w:cs="宋体"/>
                <w:snapToGrid w:val="0"/>
                <w:color w:val="0000FF"/>
                <w:spacing w:val="-10"/>
                <w:kern w:val="0"/>
                <w:sz w:val="22"/>
                <w:szCs w:val="22"/>
                <w:lang w:val="en-US" w:eastAsia="en-US" w:bidi="ar-SA"/>
              </w:rPr>
              <w:t>Cl=</w:t>
            </w:r>
            <w:r>
              <w:rPr>
                <w:rFonts w:ascii="宋体" w:hAnsi="宋体" w:eastAsia="宋体" w:cs="宋体"/>
                <w:snapToGrid w:val="0"/>
                <w:color w:val="0000FF"/>
                <w:spacing w:val="-10"/>
                <w:kern w:val="0"/>
                <w:sz w:val="22"/>
                <w:szCs w:val="22"/>
                <w:u w:val="single" w:color="auto"/>
                <w:lang w:val="en-US" w:eastAsia="en-US" w:bidi="ar-SA"/>
              </w:rPr>
              <w:t>0.6</w:t>
            </w:r>
            <w:r>
              <w:rPr>
                <w:rFonts w:ascii="宋体" w:hAnsi="宋体" w:eastAsia="宋体" w:cs="宋体"/>
                <w:snapToGrid w:val="0"/>
                <w:color w:val="0000FF"/>
                <w:spacing w:val="-10"/>
                <w:kern w:val="0"/>
                <w:sz w:val="22"/>
                <w:szCs w:val="22"/>
                <w:lang w:val="en-US" w:eastAsia="en-US" w:bidi="ar-SA"/>
              </w:rPr>
              <w:t>；C2=</w:t>
            </w:r>
            <w:r>
              <w:rPr>
                <w:rFonts w:ascii="宋体" w:hAnsi="宋体" w:eastAsia="宋体" w:cs="宋体"/>
                <w:snapToGrid w:val="0"/>
                <w:color w:val="0000FF"/>
                <w:spacing w:val="-10"/>
                <w:kern w:val="0"/>
                <w:sz w:val="22"/>
                <w:szCs w:val="22"/>
                <w:u w:val="single" w:color="auto"/>
                <w:lang w:val="en-US" w:eastAsia="en-US" w:bidi="ar-SA"/>
              </w:rPr>
              <w:t>0.4</w:t>
            </w:r>
            <w:r>
              <w:rPr>
                <w:rFonts w:ascii="宋体" w:hAnsi="宋体" w:eastAsia="宋体" w:cs="宋体"/>
                <w:snapToGrid w:val="0"/>
                <w:color w:val="000000"/>
                <w:spacing w:val="-10"/>
                <w:kern w:val="0"/>
                <w:sz w:val="22"/>
                <w:szCs w:val="22"/>
                <w:lang w:val="en-US" w:eastAsia="en-US" w:bidi="ar-SA"/>
              </w:rPr>
              <w:t>。</w:t>
            </w:r>
          </w:p>
          <w:p w14:paraId="5B6204BD">
            <w:pPr>
              <w:kinsoku w:val="0"/>
              <w:autoSpaceDE w:val="0"/>
              <w:autoSpaceDN w:val="0"/>
              <w:adjustRightInd w:val="0"/>
              <w:snapToGrid w:val="0"/>
              <w:spacing w:line="359" w:lineRule="auto"/>
              <w:ind w:left="12" w:firstLine="41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0"/>
                <w:kern w:val="0"/>
                <w:sz w:val="22"/>
                <w:szCs w:val="22"/>
                <w:lang w:val="en-US" w:eastAsia="en-US" w:bidi="ar-SA"/>
              </w:rPr>
              <w:t>下浮系数为</w:t>
            </w:r>
            <w:r>
              <w:rPr>
                <w:rFonts w:ascii="宋体" w:hAnsi="宋体" w:eastAsia="宋体" w:cs="宋体"/>
                <w:snapToGrid w:val="0"/>
                <w:color w:val="0000FF"/>
                <w:spacing w:val="-20"/>
                <w:kern w:val="0"/>
                <w:sz w:val="22"/>
                <w:szCs w:val="22"/>
                <w:u w:val="single" w:color="auto"/>
                <w:lang w:val="en-US" w:eastAsia="en-US" w:bidi="ar-SA"/>
              </w:rPr>
              <w:t>1%</w:t>
            </w:r>
            <w:r>
              <w:rPr>
                <w:rFonts w:ascii="宋体" w:hAnsi="宋体" w:eastAsia="宋体" w:cs="宋体"/>
                <w:snapToGrid w:val="0"/>
                <w:color w:val="0000FF"/>
                <w:spacing w:val="-20"/>
                <w:kern w:val="0"/>
                <w:sz w:val="22"/>
                <w:szCs w:val="22"/>
                <w:lang w:val="en-US" w:eastAsia="en-US" w:bidi="ar-SA"/>
              </w:rPr>
              <w:t>、</w:t>
            </w:r>
            <w:r>
              <w:rPr>
                <w:rFonts w:ascii="宋体" w:hAnsi="宋体" w:eastAsia="宋体" w:cs="宋体"/>
                <w:snapToGrid w:val="0"/>
                <w:color w:val="0000FF"/>
                <w:spacing w:val="-20"/>
                <w:kern w:val="0"/>
                <w:sz w:val="22"/>
                <w:szCs w:val="22"/>
                <w:u w:val="single" w:color="auto"/>
                <w:lang w:val="en-US" w:eastAsia="en-US" w:bidi="ar-SA"/>
              </w:rPr>
              <w:t>1.5%</w:t>
            </w:r>
            <w:r>
              <w:rPr>
                <w:rFonts w:ascii="宋体" w:hAnsi="宋体" w:eastAsia="宋体" w:cs="宋体"/>
                <w:snapToGrid w:val="0"/>
                <w:color w:val="0000FF"/>
                <w:spacing w:val="-20"/>
                <w:kern w:val="0"/>
                <w:sz w:val="22"/>
                <w:szCs w:val="22"/>
                <w:lang w:val="en-US" w:eastAsia="en-US" w:bidi="ar-SA"/>
              </w:rPr>
              <w:t>、</w:t>
            </w:r>
            <w:r>
              <w:rPr>
                <w:rFonts w:ascii="宋体" w:hAnsi="宋体" w:eastAsia="宋体" w:cs="宋体"/>
                <w:snapToGrid w:val="0"/>
                <w:color w:val="0000FF"/>
                <w:spacing w:val="-20"/>
                <w:kern w:val="0"/>
                <w:sz w:val="22"/>
                <w:szCs w:val="22"/>
                <w:u w:val="single" w:color="auto"/>
                <w:lang w:val="en-US" w:eastAsia="en-US" w:bidi="ar-SA"/>
              </w:rPr>
              <w:t>2%</w:t>
            </w:r>
            <w:r>
              <w:rPr>
                <w:rFonts w:ascii="宋体" w:hAnsi="宋体" w:eastAsia="宋体" w:cs="宋体"/>
                <w:snapToGrid w:val="0"/>
                <w:color w:val="0000FF"/>
                <w:spacing w:val="-20"/>
                <w:kern w:val="0"/>
                <w:sz w:val="22"/>
                <w:szCs w:val="22"/>
                <w:lang w:val="en-US" w:eastAsia="en-US" w:bidi="ar-SA"/>
              </w:rPr>
              <w:t>、</w:t>
            </w:r>
            <w:r>
              <w:rPr>
                <w:rFonts w:ascii="宋体" w:hAnsi="宋体" w:eastAsia="宋体" w:cs="宋体"/>
                <w:snapToGrid w:val="0"/>
                <w:color w:val="0000FF"/>
                <w:spacing w:val="-20"/>
                <w:kern w:val="0"/>
                <w:sz w:val="22"/>
                <w:szCs w:val="22"/>
                <w:u w:val="single" w:color="auto"/>
                <w:lang w:val="en-US" w:eastAsia="en-US" w:bidi="ar-SA"/>
              </w:rPr>
              <w:t>2.5%</w:t>
            </w:r>
            <w:r>
              <w:rPr>
                <w:rFonts w:ascii="宋体" w:hAnsi="宋体" w:eastAsia="宋体" w:cs="宋体"/>
                <w:snapToGrid w:val="0"/>
                <w:color w:val="0000FF"/>
                <w:spacing w:val="-20"/>
                <w:kern w:val="0"/>
                <w:sz w:val="22"/>
                <w:szCs w:val="22"/>
                <w:lang w:val="en-US" w:eastAsia="en-US" w:bidi="ar-SA"/>
              </w:rPr>
              <w:t>、</w:t>
            </w:r>
            <w:r>
              <w:rPr>
                <w:rFonts w:ascii="宋体" w:hAnsi="宋体" w:eastAsia="宋体" w:cs="宋体"/>
                <w:snapToGrid w:val="0"/>
                <w:color w:val="0000FF"/>
                <w:spacing w:val="-20"/>
                <w:kern w:val="0"/>
                <w:sz w:val="22"/>
                <w:szCs w:val="22"/>
                <w:u w:val="single" w:color="auto"/>
                <w:lang w:val="en-US" w:eastAsia="en-US" w:bidi="ar-SA"/>
              </w:rPr>
              <w:t>3%</w:t>
            </w:r>
            <w:r>
              <w:rPr>
                <w:rFonts w:ascii="宋体" w:hAnsi="宋体" w:eastAsia="宋体" w:cs="宋体"/>
                <w:snapToGrid w:val="0"/>
                <w:color w:val="000000"/>
                <w:spacing w:val="-20"/>
                <w:kern w:val="0"/>
                <w:sz w:val="22"/>
                <w:szCs w:val="22"/>
                <w:lang w:val="en-US" w:eastAsia="en-US" w:bidi="ar-SA"/>
              </w:rPr>
              <w:t>(从1%~5%中选取5个数，</w:t>
            </w:r>
            <w:r>
              <w:rPr>
                <w:rFonts w:ascii="宋体" w:hAnsi="宋体" w:eastAsia="宋体" w:cs="宋体"/>
                <w:snapToGrid w:val="0"/>
                <w:color w:val="000000"/>
                <w:spacing w:val="-21"/>
                <w:kern w:val="0"/>
                <w:sz w:val="22"/>
                <w:szCs w:val="22"/>
                <w:lang w:val="en-US" w:eastAsia="en-US" w:bidi="ar-SA"/>
              </w:rPr>
              <w:t>步距不小于0.5%,</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5"/>
                <w:kern w:val="0"/>
                <w:sz w:val="22"/>
                <w:szCs w:val="22"/>
                <w:lang w:val="en-US" w:eastAsia="en-US" w:bidi="ar-SA"/>
              </w:rPr>
              <w:t>设置等差数列),并在开标时随机抽取。</w:t>
            </w:r>
          </w:p>
          <w:p w14:paraId="050EF556">
            <w:pPr>
              <w:kinsoku w:val="0"/>
              <w:autoSpaceDE w:val="0"/>
              <w:autoSpaceDN w:val="0"/>
              <w:adjustRightInd w:val="0"/>
              <w:snapToGrid w:val="0"/>
              <w:spacing w:before="2" w:line="358" w:lineRule="auto"/>
              <w:ind w:left="10" w:right="51" w:firstLine="40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8"/>
                <w:kern w:val="0"/>
                <w:sz w:val="22"/>
                <w:szCs w:val="22"/>
                <w:lang w:val="en-US" w:eastAsia="en-US" w:bidi="ar-SA"/>
              </w:rPr>
              <w:t>如果投标人认为某一标段的评标基准价计算有误，有权在开标现场提出，</w:t>
            </w:r>
            <w:r>
              <w:rPr>
                <w:rFonts w:ascii="宋体" w:hAnsi="宋体" w:eastAsia="宋体" w:cs="宋体"/>
                <w:snapToGrid w:val="0"/>
                <w:color w:val="000000"/>
                <w:spacing w:val="18"/>
                <w:kern w:val="0"/>
                <w:sz w:val="22"/>
                <w:szCs w:val="22"/>
                <w:lang w:val="en-US" w:eastAsia="en-US" w:bidi="ar-SA"/>
              </w:rPr>
              <w:t xml:space="preserve"> </w:t>
            </w:r>
            <w:r>
              <w:rPr>
                <w:rFonts w:ascii="宋体" w:hAnsi="宋体" w:eastAsia="宋体" w:cs="宋体"/>
                <w:snapToGrid w:val="0"/>
                <w:color w:val="000000"/>
                <w:spacing w:val="-15"/>
                <w:kern w:val="0"/>
                <w:sz w:val="22"/>
                <w:szCs w:val="22"/>
                <w:lang w:val="en-US" w:eastAsia="en-US" w:bidi="ar-SA"/>
              </w:rPr>
              <w:t>经当场核实确认之后，可重新宣布评标基准价。</w:t>
            </w:r>
          </w:p>
          <w:p w14:paraId="5132FB82">
            <w:pPr>
              <w:kinsoku w:val="0"/>
              <w:autoSpaceDE w:val="0"/>
              <w:autoSpaceDN w:val="0"/>
              <w:adjustRightInd w:val="0"/>
              <w:snapToGrid w:val="0"/>
              <w:spacing w:before="2" w:line="347" w:lineRule="auto"/>
              <w:ind w:left="9" w:right="1" w:firstLine="407"/>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7"/>
                <w:kern w:val="0"/>
                <w:sz w:val="22"/>
                <w:szCs w:val="22"/>
                <w:lang w:val="en-US" w:eastAsia="en-US" w:bidi="ar-SA"/>
              </w:rPr>
              <w:t>在评</w:t>
            </w:r>
            <w:r>
              <w:rPr>
                <w:rFonts w:ascii="宋体" w:hAnsi="宋体" w:eastAsia="宋体" w:cs="宋体"/>
                <w:snapToGrid w:val="0"/>
                <w:color w:val="000000"/>
                <w:spacing w:val="-16"/>
                <w:kern w:val="0"/>
                <w:sz w:val="22"/>
                <w:szCs w:val="22"/>
                <w:lang w:val="en-US" w:eastAsia="en-US" w:bidi="ar-SA"/>
              </w:rPr>
              <w:t>标过程中，评标委员会应对招标人计算的评标基准价进行复核，存</w:t>
            </w:r>
            <w:r>
              <w:rPr>
                <w:rFonts w:ascii="宋体" w:hAnsi="宋体" w:eastAsia="宋体" w:cs="宋体"/>
                <w:snapToGrid w:val="0"/>
                <w:color w:val="000000"/>
                <w:spacing w:val="-14"/>
                <w:kern w:val="0"/>
                <w:sz w:val="22"/>
                <w:szCs w:val="22"/>
                <w:lang w:val="en-US" w:eastAsia="en-US" w:bidi="ar-SA"/>
              </w:rPr>
              <w:t>在</w:t>
            </w:r>
            <w:r>
              <w:rPr>
                <w:rFonts w:ascii="宋体" w:hAnsi="宋体" w:eastAsia="宋体" w:cs="宋体"/>
                <w:snapToGrid w:val="0"/>
                <w:color w:val="000000"/>
                <w:spacing w:val="8"/>
                <w:kern w:val="0"/>
                <w:sz w:val="22"/>
                <w:szCs w:val="22"/>
                <w:lang w:val="en-US" w:eastAsia="en-US" w:bidi="ar-SA"/>
              </w:rPr>
              <w:t xml:space="preserve"> </w:t>
            </w:r>
            <w:r>
              <w:rPr>
                <w:rFonts w:ascii="宋体" w:hAnsi="宋体" w:eastAsia="宋体" w:cs="宋体"/>
                <w:snapToGrid w:val="0"/>
                <w:color w:val="000000"/>
                <w:spacing w:val="-17"/>
                <w:kern w:val="0"/>
                <w:sz w:val="22"/>
                <w:szCs w:val="22"/>
                <w:lang w:val="en-US" w:eastAsia="en-US" w:bidi="ar-SA"/>
              </w:rPr>
              <w:t>计算错</w:t>
            </w:r>
            <w:r>
              <w:rPr>
                <w:rFonts w:ascii="宋体" w:hAnsi="宋体" w:eastAsia="宋体" w:cs="宋体"/>
                <w:snapToGrid w:val="0"/>
                <w:color w:val="000000"/>
                <w:spacing w:val="-16"/>
                <w:kern w:val="0"/>
                <w:sz w:val="22"/>
                <w:szCs w:val="22"/>
                <w:lang w:val="en-US" w:eastAsia="en-US" w:bidi="ar-SA"/>
              </w:rPr>
              <w:t>误的应予以修正并在评标报告中作出说明。除此之外，评标基准价在</w:t>
            </w:r>
            <w:r>
              <w:rPr>
                <w:rFonts w:ascii="宋体" w:hAnsi="宋体" w:eastAsia="宋体" w:cs="宋体"/>
                <w:snapToGrid w:val="0"/>
                <w:color w:val="000000"/>
                <w:spacing w:val="-13"/>
                <w:kern w:val="0"/>
                <w:sz w:val="22"/>
                <w:szCs w:val="22"/>
                <w:lang w:val="en-US" w:eastAsia="en-US" w:bidi="ar-SA"/>
              </w:rPr>
              <w:t>整</w:t>
            </w:r>
            <w:r>
              <w:rPr>
                <w:rFonts w:ascii="宋体" w:hAnsi="宋体" w:eastAsia="宋体" w:cs="宋体"/>
                <w:snapToGrid w:val="0"/>
                <w:color w:val="000000"/>
                <w:spacing w:val="7"/>
                <w:kern w:val="0"/>
                <w:sz w:val="22"/>
                <w:szCs w:val="22"/>
                <w:lang w:val="en-US" w:eastAsia="en-US" w:bidi="ar-SA"/>
              </w:rPr>
              <w:t xml:space="preserve"> </w:t>
            </w:r>
            <w:r>
              <w:rPr>
                <w:rFonts w:ascii="宋体" w:hAnsi="宋体" w:eastAsia="宋体" w:cs="宋体"/>
                <w:snapToGrid w:val="0"/>
                <w:color w:val="000000"/>
                <w:spacing w:val="-15"/>
                <w:kern w:val="0"/>
                <w:sz w:val="22"/>
                <w:szCs w:val="22"/>
                <w:lang w:val="en-US" w:eastAsia="en-US" w:bidi="ar-SA"/>
              </w:rPr>
              <w:t>个评标期间保持不变，不随任何因素发生变化。</w:t>
            </w:r>
          </w:p>
        </w:tc>
      </w:tr>
      <w:tr w14:paraId="6E04D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 w:type="dxa"/>
          <w:trHeight w:val="861" w:hRule="atLeast"/>
        </w:trPr>
        <w:tc>
          <w:tcPr>
            <w:tcW w:w="989" w:type="dxa"/>
            <w:vAlign w:val="top"/>
          </w:tcPr>
          <w:p w14:paraId="1E9FCB02">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14:paraId="510A93C9">
            <w:pPr>
              <w:kinsoku w:val="0"/>
              <w:autoSpaceDE w:val="0"/>
              <w:autoSpaceDN w:val="0"/>
              <w:adjustRightInd w:val="0"/>
              <w:snapToGrid w:val="0"/>
              <w:spacing w:before="72" w:line="240" w:lineRule="auto"/>
              <w:ind w:left="35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2.2.3</w:t>
            </w:r>
          </w:p>
        </w:tc>
        <w:tc>
          <w:tcPr>
            <w:tcW w:w="1219" w:type="dxa"/>
            <w:gridSpan w:val="2"/>
            <w:vAlign w:val="top"/>
          </w:tcPr>
          <w:p w14:paraId="4D49382C">
            <w:pPr>
              <w:kinsoku w:val="0"/>
              <w:autoSpaceDE w:val="0"/>
              <w:autoSpaceDN w:val="0"/>
              <w:adjustRightInd w:val="0"/>
              <w:snapToGrid w:val="0"/>
              <w:spacing w:before="88" w:line="218" w:lineRule="auto"/>
              <w:ind w:left="5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评标价的偏</w:t>
            </w:r>
          </w:p>
          <w:p w14:paraId="15B3DD1D">
            <w:pPr>
              <w:kinsoku w:val="0"/>
              <w:autoSpaceDE w:val="0"/>
              <w:autoSpaceDN w:val="0"/>
              <w:adjustRightInd w:val="0"/>
              <w:snapToGrid w:val="0"/>
              <w:spacing w:line="217" w:lineRule="auto"/>
              <w:ind w:left="5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差率计算公</w:t>
            </w:r>
          </w:p>
          <w:p w14:paraId="2072FBF1">
            <w:pPr>
              <w:kinsoku w:val="0"/>
              <w:autoSpaceDE w:val="0"/>
              <w:autoSpaceDN w:val="0"/>
              <w:adjustRightInd w:val="0"/>
              <w:snapToGrid w:val="0"/>
              <w:spacing w:line="204" w:lineRule="auto"/>
              <w:ind w:left="50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式</w:t>
            </w:r>
          </w:p>
        </w:tc>
        <w:tc>
          <w:tcPr>
            <w:tcW w:w="6960" w:type="dxa"/>
            <w:gridSpan w:val="2"/>
            <w:vAlign w:val="top"/>
          </w:tcPr>
          <w:p w14:paraId="74CA8DF9">
            <w:pPr>
              <w:kinsoku w:val="0"/>
              <w:autoSpaceDE w:val="0"/>
              <w:autoSpaceDN w:val="0"/>
              <w:adjustRightInd w:val="0"/>
              <w:snapToGrid w:val="0"/>
              <w:spacing w:before="282" w:line="219" w:lineRule="auto"/>
              <w:ind w:left="53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偏差率=100%×(投标人评标价一评标基准价)/评标基准价</w:t>
            </w:r>
          </w:p>
        </w:tc>
      </w:tr>
    </w:tbl>
    <w:p w14:paraId="27CD47F5">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2217D0D2">
      <w:pPr>
        <w:sectPr>
          <w:footerReference r:id="rId3" w:type="default"/>
          <w:pgSz w:w="11900" w:h="16830"/>
          <w:pgMar w:top="400" w:right="1107" w:bottom="1166" w:left="1619" w:header="0" w:footer="1000" w:gutter="0"/>
          <w:cols w:space="720" w:num="1"/>
        </w:sectPr>
      </w:pPr>
    </w:p>
    <w:p w14:paraId="5084F8AF">
      <w:pPr>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val="en-US" w:eastAsia="en-US" w:bidi="ar-SA"/>
        </w:rPr>
      </w:pPr>
    </w:p>
    <w:p w14:paraId="2471B54E">
      <w:pPr>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val="en-US" w:eastAsia="en-US" w:bidi="ar-SA"/>
        </w:rPr>
      </w:pPr>
    </w:p>
    <w:p w14:paraId="12D566E5">
      <w:pPr>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val="en-US" w:eastAsia="en-US" w:bidi="ar-SA"/>
        </w:rPr>
      </w:pPr>
    </w:p>
    <w:p w14:paraId="5AA79CE1">
      <w:pPr>
        <w:widowControl/>
        <w:kinsoku w:val="0"/>
        <w:autoSpaceDE w:val="0"/>
        <w:autoSpaceDN w:val="0"/>
        <w:adjustRightInd w:val="0"/>
        <w:snapToGrid w:val="0"/>
        <w:spacing w:before="71" w:line="220" w:lineRule="auto"/>
        <w:ind w:left="120"/>
        <w:jc w:val="left"/>
        <w:textAlignment w:val="baseline"/>
        <w:rPr>
          <w:rFonts w:ascii="宋体" w:hAnsi="宋体" w:eastAsia="宋体" w:cs="宋体"/>
          <w:snapToGrid w:val="0"/>
          <w:color w:val="000000"/>
          <w:kern w:val="0"/>
          <w:sz w:val="22"/>
          <w:szCs w:val="22"/>
          <w:lang w:eastAsia="en-US"/>
        </w:rPr>
      </w:pPr>
      <w:r>
        <w:rPr>
          <w:rFonts w:ascii="宋体" w:hAnsi="宋体" w:eastAsia="宋体" w:cs="宋体"/>
          <w:b/>
          <w:bCs/>
          <w:snapToGrid w:val="0"/>
          <w:color w:val="000000"/>
          <w:spacing w:val="-4"/>
          <w:kern w:val="0"/>
          <w:sz w:val="22"/>
          <w:szCs w:val="22"/>
          <w:lang w:eastAsia="en-US"/>
        </w:rPr>
        <w:t>续上表</w:t>
      </w:r>
    </w:p>
    <w:tbl>
      <w:tblPr>
        <w:tblStyle w:val="4"/>
        <w:tblW w:w="913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1463"/>
        <w:gridCol w:w="918"/>
        <w:gridCol w:w="1675"/>
        <w:gridCol w:w="900"/>
        <w:gridCol w:w="2863"/>
      </w:tblGrid>
      <w:tr w14:paraId="4AF81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273" w:type="dxa"/>
            <w:gridSpan w:val="5"/>
            <w:vAlign w:val="top"/>
          </w:tcPr>
          <w:p w14:paraId="05F0A356">
            <w:pPr>
              <w:kinsoku w:val="0"/>
              <w:autoSpaceDE w:val="0"/>
              <w:autoSpaceDN w:val="0"/>
              <w:adjustRightInd w:val="0"/>
              <w:snapToGrid w:val="0"/>
              <w:spacing w:before="92" w:line="235" w:lineRule="auto"/>
              <w:ind w:left="2129"/>
              <w:jc w:val="left"/>
              <w:textAlignment w:val="baseline"/>
              <w:rPr>
                <w:rFonts w:ascii="宋体" w:hAnsi="宋体" w:eastAsia="宋体" w:cs="宋体"/>
                <w:snapToGrid w:val="0"/>
                <w:color w:val="000000"/>
                <w:kern w:val="0"/>
                <w:sz w:val="10"/>
                <w:szCs w:val="10"/>
                <w:lang w:val="en-US" w:eastAsia="en-US" w:bidi="ar-SA"/>
              </w:rPr>
            </w:pPr>
            <w:r>
              <w:rPr>
                <w:rFonts w:ascii="宋体" w:hAnsi="宋体" w:eastAsia="宋体" w:cs="宋体"/>
                <w:snapToGrid w:val="0"/>
                <w:color w:val="000000"/>
                <w:kern w:val="0"/>
                <w:sz w:val="20"/>
                <w:szCs w:val="20"/>
                <w:lang w:val="en-US" w:eastAsia="en-US" w:bidi="ar-SA"/>
              </w:rPr>
              <w:fldChar w:fldCharType="begin"/>
            </w:r>
            <w:r>
              <w:rPr>
                <w:rFonts w:ascii="宋体" w:hAnsi="宋体" w:eastAsia="宋体" w:cs="宋体"/>
                <w:snapToGrid w:val="0"/>
                <w:color w:val="000000"/>
                <w:kern w:val="0"/>
                <w:sz w:val="20"/>
                <w:szCs w:val="20"/>
                <w:lang w:val="en-US" w:eastAsia="en-US" w:bidi="ar-SA"/>
              </w:rPr>
              <w:instrText xml:space="preserve"> HYPERLINK \l "bookmark29" </w:instrText>
            </w:r>
            <w:r>
              <w:rPr>
                <w:rFonts w:ascii="宋体" w:hAnsi="宋体" w:eastAsia="宋体" w:cs="宋体"/>
                <w:snapToGrid w:val="0"/>
                <w:color w:val="000000"/>
                <w:kern w:val="0"/>
                <w:sz w:val="20"/>
                <w:szCs w:val="20"/>
                <w:lang w:val="en-US" w:eastAsia="en-US" w:bidi="ar-SA"/>
              </w:rPr>
              <w:fldChar w:fldCharType="separate"/>
            </w:r>
            <w:r>
              <w:rPr>
                <w:rFonts w:ascii="宋体" w:hAnsi="宋体" w:eastAsia="宋体" w:cs="宋体"/>
                <w:b/>
                <w:bCs/>
                <w:snapToGrid w:val="0"/>
                <w:color w:val="000000"/>
                <w:spacing w:val="-9"/>
                <w:kern w:val="0"/>
                <w:sz w:val="22"/>
                <w:szCs w:val="22"/>
                <w:lang w:val="en-US" w:eastAsia="en-US" w:bidi="ar-SA"/>
              </w:rPr>
              <w:t>评分因素与权重分值</w:t>
            </w:r>
            <w:r>
              <w:rPr>
                <w:rFonts w:ascii="宋体" w:hAnsi="宋体" w:eastAsia="宋体" w:cs="宋体"/>
                <w:b/>
                <w:bCs/>
                <w:snapToGrid w:val="0"/>
                <w:color w:val="000000"/>
                <w:spacing w:val="-9"/>
                <w:kern w:val="0"/>
                <w:position w:val="10"/>
                <w:sz w:val="10"/>
                <w:szCs w:val="10"/>
                <w:lang w:val="en-US" w:eastAsia="en-US" w:bidi="ar-SA"/>
              </w:rPr>
              <w:t>①</w:t>
            </w:r>
            <w:r>
              <w:rPr>
                <w:rFonts w:ascii="宋体" w:hAnsi="宋体" w:eastAsia="宋体" w:cs="宋体"/>
                <w:b/>
                <w:bCs/>
                <w:snapToGrid w:val="0"/>
                <w:color w:val="000000"/>
                <w:spacing w:val="-9"/>
                <w:kern w:val="0"/>
                <w:position w:val="10"/>
                <w:sz w:val="10"/>
                <w:szCs w:val="10"/>
                <w:lang w:val="en-US" w:eastAsia="en-US" w:bidi="ar-SA"/>
              </w:rPr>
              <w:fldChar w:fldCharType="end"/>
            </w:r>
          </w:p>
        </w:tc>
        <w:tc>
          <w:tcPr>
            <w:tcW w:w="2863" w:type="dxa"/>
            <w:vMerge w:val="restart"/>
            <w:tcBorders>
              <w:bottom w:val="nil"/>
            </w:tcBorders>
            <w:vAlign w:val="top"/>
          </w:tcPr>
          <w:p w14:paraId="40BCDCB0">
            <w:pPr>
              <w:widowControl/>
              <w:kinsoku w:val="0"/>
              <w:autoSpaceDE w:val="0"/>
              <w:autoSpaceDN w:val="0"/>
              <w:adjustRightInd w:val="0"/>
              <w:snapToGrid w:val="0"/>
              <w:spacing w:line="424" w:lineRule="auto"/>
              <w:jc w:val="left"/>
              <w:textAlignment w:val="baseline"/>
              <w:rPr>
                <w:rFonts w:ascii="Arial" w:hAnsi="Arial" w:eastAsia="Arial" w:cs="Arial"/>
                <w:snapToGrid w:val="0"/>
                <w:color w:val="000000"/>
                <w:kern w:val="0"/>
                <w:sz w:val="21"/>
                <w:szCs w:val="21"/>
                <w:lang w:eastAsia="en-US"/>
              </w:rPr>
            </w:pPr>
          </w:p>
          <w:p w14:paraId="61BD1114">
            <w:pPr>
              <w:kinsoku w:val="0"/>
              <w:autoSpaceDE w:val="0"/>
              <w:autoSpaceDN w:val="0"/>
              <w:adjustRightInd w:val="0"/>
              <w:snapToGrid w:val="0"/>
              <w:spacing w:before="71" w:line="221" w:lineRule="auto"/>
              <w:ind w:left="100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评分标准</w:t>
            </w:r>
          </w:p>
        </w:tc>
      </w:tr>
      <w:tr w14:paraId="434C3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317" w:type="dxa"/>
            <w:vAlign w:val="top"/>
          </w:tcPr>
          <w:p w14:paraId="1E4BC849">
            <w:pPr>
              <w:kinsoku w:val="0"/>
              <w:autoSpaceDE w:val="0"/>
              <w:autoSpaceDN w:val="0"/>
              <w:adjustRightInd w:val="0"/>
              <w:snapToGrid w:val="0"/>
              <w:spacing w:before="303" w:line="220" w:lineRule="auto"/>
              <w:ind w:left="34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9"/>
                <w:kern w:val="0"/>
                <w:sz w:val="22"/>
                <w:szCs w:val="22"/>
                <w:lang w:val="en-US" w:eastAsia="en-US" w:bidi="ar-SA"/>
              </w:rPr>
              <w:t>条款号</w:t>
            </w:r>
          </w:p>
        </w:tc>
        <w:tc>
          <w:tcPr>
            <w:tcW w:w="1463" w:type="dxa"/>
            <w:vAlign w:val="top"/>
          </w:tcPr>
          <w:p w14:paraId="70599C49">
            <w:pPr>
              <w:widowControl/>
              <w:kinsoku w:val="0"/>
              <w:autoSpaceDE w:val="0"/>
              <w:autoSpaceDN w:val="0"/>
              <w:adjustRightInd w:val="0"/>
              <w:snapToGrid w:val="0"/>
              <w:spacing w:line="344" w:lineRule="auto"/>
              <w:jc w:val="left"/>
              <w:textAlignment w:val="baseline"/>
              <w:rPr>
                <w:rFonts w:ascii="Arial" w:hAnsi="Arial" w:eastAsia="Arial" w:cs="Arial"/>
                <w:snapToGrid w:val="0"/>
                <w:color w:val="000000"/>
                <w:kern w:val="0"/>
                <w:sz w:val="21"/>
                <w:szCs w:val="21"/>
                <w:lang w:eastAsia="en-US"/>
              </w:rPr>
            </w:pPr>
          </w:p>
          <w:p w14:paraId="14B13997">
            <w:pPr>
              <w:kinsoku w:val="0"/>
              <w:autoSpaceDE w:val="0"/>
              <w:autoSpaceDN w:val="0"/>
              <w:adjustRightInd w:val="0"/>
              <w:snapToGrid w:val="0"/>
              <w:spacing w:before="72" w:line="220" w:lineRule="auto"/>
              <w:ind w:left="30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评分因素</w:t>
            </w:r>
          </w:p>
        </w:tc>
        <w:tc>
          <w:tcPr>
            <w:tcW w:w="918" w:type="dxa"/>
            <w:vAlign w:val="top"/>
          </w:tcPr>
          <w:p w14:paraId="3EF4A502">
            <w:pPr>
              <w:kinsoku w:val="0"/>
              <w:autoSpaceDE w:val="0"/>
              <w:autoSpaceDN w:val="0"/>
              <w:adjustRightInd w:val="0"/>
              <w:snapToGrid w:val="0"/>
              <w:spacing w:before="139" w:line="220" w:lineRule="auto"/>
              <w:ind w:left="3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评分因素</w:t>
            </w:r>
          </w:p>
          <w:p w14:paraId="618B584F">
            <w:pPr>
              <w:kinsoku w:val="0"/>
              <w:autoSpaceDE w:val="0"/>
              <w:autoSpaceDN w:val="0"/>
              <w:adjustRightInd w:val="0"/>
              <w:snapToGrid w:val="0"/>
              <w:spacing w:before="104" w:line="216" w:lineRule="auto"/>
              <w:ind w:left="4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权重分值</w:t>
            </w:r>
          </w:p>
        </w:tc>
        <w:tc>
          <w:tcPr>
            <w:tcW w:w="1675" w:type="dxa"/>
            <w:vAlign w:val="top"/>
          </w:tcPr>
          <w:p w14:paraId="7702A8F5">
            <w:pPr>
              <w:kinsoku w:val="0"/>
              <w:autoSpaceDE w:val="0"/>
              <w:autoSpaceDN w:val="0"/>
              <w:adjustRightInd w:val="0"/>
              <w:snapToGrid w:val="0"/>
              <w:spacing w:before="170" w:line="222" w:lineRule="auto"/>
              <w:ind w:left="740" w:right="82" w:hanging="63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10"/>
                <w:kern w:val="0"/>
                <w:sz w:val="22"/>
                <w:szCs w:val="22"/>
                <w:lang w:val="en-US" w:eastAsia="en-US" w:bidi="ar-SA"/>
              </w:rPr>
              <w:t>各评分因素细分</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b/>
                <w:bCs/>
                <w:snapToGrid w:val="0"/>
                <w:color w:val="000000"/>
                <w:spacing w:val="-3"/>
                <w:kern w:val="0"/>
                <w:sz w:val="22"/>
                <w:szCs w:val="22"/>
                <w:lang w:val="en-US" w:eastAsia="en-US" w:bidi="ar-SA"/>
              </w:rPr>
              <w:t>项</w:t>
            </w:r>
          </w:p>
        </w:tc>
        <w:tc>
          <w:tcPr>
            <w:tcW w:w="900" w:type="dxa"/>
            <w:vAlign w:val="top"/>
          </w:tcPr>
          <w:p w14:paraId="1D6E46CB">
            <w:pPr>
              <w:kinsoku w:val="0"/>
              <w:autoSpaceDE w:val="0"/>
              <w:autoSpaceDN w:val="0"/>
              <w:adjustRightInd w:val="0"/>
              <w:snapToGrid w:val="0"/>
              <w:spacing w:before="303" w:line="220" w:lineRule="auto"/>
              <w:ind w:left="2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分值</w:t>
            </w:r>
          </w:p>
        </w:tc>
        <w:tc>
          <w:tcPr>
            <w:tcW w:w="2863" w:type="dxa"/>
            <w:vMerge w:val="continue"/>
            <w:tcBorders>
              <w:top w:val="nil"/>
            </w:tcBorders>
            <w:vAlign w:val="top"/>
          </w:tcPr>
          <w:p w14:paraId="7F09DC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BB0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17" w:type="dxa"/>
            <w:vMerge w:val="restart"/>
            <w:tcBorders>
              <w:bottom w:val="nil"/>
            </w:tcBorders>
            <w:vAlign w:val="top"/>
          </w:tcPr>
          <w:p w14:paraId="5DC6844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9815E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58B48E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E6C9BE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D9FE09D">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F6F8A93">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A7269E8">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6E1A217">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A8ED15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BA7E405">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172AEF2">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5DD77A00">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58A652B">
            <w:pPr>
              <w:kinsoku w:val="0"/>
              <w:autoSpaceDE w:val="0"/>
              <w:autoSpaceDN w:val="0"/>
              <w:adjustRightInd w:val="0"/>
              <w:snapToGrid w:val="0"/>
              <w:spacing w:before="72" w:line="223" w:lineRule="auto"/>
              <w:ind w:left="23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2.2.4(1)</w:t>
            </w:r>
          </w:p>
        </w:tc>
        <w:tc>
          <w:tcPr>
            <w:tcW w:w="1463" w:type="dxa"/>
            <w:vMerge w:val="restart"/>
            <w:tcBorders>
              <w:bottom w:val="nil"/>
            </w:tcBorders>
            <w:vAlign w:val="top"/>
          </w:tcPr>
          <w:p w14:paraId="3A325C5D">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35120DA4">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5FDBF61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41C99059">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4EECF88D">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29381174">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42C322BF">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94F1794">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03108B9">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CC6D302">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00DDF427">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262BD81B">
            <w:pPr>
              <w:kinsoku w:val="0"/>
              <w:autoSpaceDE w:val="0"/>
              <w:autoSpaceDN w:val="0"/>
              <w:adjustRightInd w:val="0"/>
              <w:snapToGrid w:val="0"/>
              <w:spacing w:before="71" w:line="305" w:lineRule="auto"/>
              <w:ind w:left="911" w:right="119" w:hanging="65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施工组织设</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kern w:val="0"/>
                <w:sz w:val="22"/>
                <w:szCs w:val="22"/>
                <w:lang w:val="en-US" w:eastAsia="en-US" w:bidi="ar-SA"/>
              </w:rPr>
              <w:t>计</w:t>
            </w:r>
          </w:p>
        </w:tc>
        <w:tc>
          <w:tcPr>
            <w:tcW w:w="918" w:type="dxa"/>
            <w:vMerge w:val="restart"/>
            <w:tcBorders>
              <w:bottom w:val="nil"/>
            </w:tcBorders>
            <w:vAlign w:val="top"/>
          </w:tcPr>
          <w:p w14:paraId="6673B8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8CBB0A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206A69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436DD6D">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63B88D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513F15E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2C77F1FA">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7B412A5D">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599961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505D3BBB">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54DA6820">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1D06FDD4">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11BDD034">
            <w:pPr>
              <w:kinsoku w:val="0"/>
              <w:autoSpaceDE w:val="0"/>
              <w:autoSpaceDN w:val="0"/>
              <w:adjustRightInd w:val="0"/>
              <w:snapToGrid w:val="0"/>
              <w:spacing w:before="72" w:line="221" w:lineRule="auto"/>
              <w:ind w:left="29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9分</w:t>
            </w:r>
          </w:p>
        </w:tc>
        <w:tc>
          <w:tcPr>
            <w:tcW w:w="1675" w:type="dxa"/>
            <w:vAlign w:val="top"/>
          </w:tcPr>
          <w:p w14:paraId="774CB6D9">
            <w:pPr>
              <w:kinsoku w:val="0"/>
              <w:autoSpaceDE w:val="0"/>
              <w:autoSpaceDN w:val="0"/>
              <w:adjustRightInd w:val="0"/>
              <w:snapToGrid w:val="0"/>
              <w:spacing w:before="211" w:line="221" w:lineRule="auto"/>
              <w:ind w:left="401" w:right="63" w:hanging="32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总体施工组织布</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2"/>
                <w:kern w:val="0"/>
                <w:sz w:val="22"/>
                <w:szCs w:val="22"/>
                <w:lang w:val="en-US" w:eastAsia="en-US" w:bidi="ar-SA"/>
              </w:rPr>
              <w:t>置及规</w:t>
            </w:r>
            <w:r>
              <w:rPr>
                <w:rFonts w:ascii="宋体" w:hAnsi="宋体" w:eastAsia="宋体" w:cs="宋体"/>
                <w:snapToGrid w:val="0"/>
                <w:color w:val="607070"/>
                <w:spacing w:val="-2"/>
                <w:kern w:val="0"/>
                <w:sz w:val="22"/>
                <w:szCs w:val="22"/>
                <w:lang w:val="en-US" w:eastAsia="en-US" w:bidi="ar-SA"/>
              </w:rPr>
              <w:t>划</w:t>
            </w:r>
          </w:p>
        </w:tc>
        <w:tc>
          <w:tcPr>
            <w:tcW w:w="900" w:type="dxa"/>
            <w:vAlign w:val="top"/>
          </w:tcPr>
          <w:p w14:paraId="7D63D27C">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728E3BA7">
            <w:pPr>
              <w:kinsoku w:val="0"/>
              <w:autoSpaceDE w:val="0"/>
              <w:autoSpaceDN w:val="0"/>
              <w:adjustRightInd w:val="0"/>
              <w:snapToGrid w:val="0"/>
              <w:spacing w:before="71" w:line="221" w:lineRule="auto"/>
              <w:ind w:left="19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1.0分</w:t>
            </w:r>
          </w:p>
        </w:tc>
        <w:tc>
          <w:tcPr>
            <w:tcW w:w="2863" w:type="dxa"/>
            <w:vAlign w:val="top"/>
          </w:tcPr>
          <w:p w14:paraId="701C7962">
            <w:pPr>
              <w:kinsoku w:val="0"/>
              <w:autoSpaceDE w:val="0"/>
              <w:autoSpaceDN w:val="0"/>
              <w:adjustRightInd w:val="0"/>
              <w:snapToGrid w:val="0"/>
              <w:spacing w:before="81" w:line="214"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满足工程基本要求，得0.6分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情加分，本项最高得1.0分。</w:t>
            </w:r>
          </w:p>
        </w:tc>
      </w:tr>
      <w:tr w14:paraId="5F7DB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317" w:type="dxa"/>
            <w:vMerge w:val="continue"/>
            <w:tcBorders>
              <w:top w:val="nil"/>
              <w:bottom w:val="nil"/>
            </w:tcBorders>
            <w:vAlign w:val="top"/>
          </w:tcPr>
          <w:p w14:paraId="6E72D4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bottom w:val="nil"/>
            </w:tcBorders>
            <w:vAlign w:val="top"/>
          </w:tcPr>
          <w:p w14:paraId="3EE5D1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bottom w:val="nil"/>
            </w:tcBorders>
            <w:vAlign w:val="top"/>
          </w:tcPr>
          <w:p w14:paraId="7E437EB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0D51AB1D">
            <w:pPr>
              <w:kinsoku w:val="0"/>
              <w:autoSpaceDE w:val="0"/>
              <w:autoSpaceDN w:val="0"/>
              <w:adjustRightInd w:val="0"/>
              <w:snapToGrid w:val="0"/>
              <w:spacing w:before="89" w:line="218" w:lineRule="auto"/>
              <w:ind w:left="7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主要工程项目的</w:t>
            </w:r>
          </w:p>
          <w:p w14:paraId="747B96BF">
            <w:pPr>
              <w:kinsoku w:val="0"/>
              <w:autoSpaceDE w:val="0"/>
              <w:autoSpaceDN w:val="0"/>
              <w:adjustRightInd w:val="0"/>
              <w:snapToGrid w:val="0"/>
              <w:spacing w:line="219" w:lineRule="auto"/>
              <w:jc w:val="righ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施工方案、方法与</w:t>
            </w:r>
          </w:p>
          <w:p w14:paraId="360B022F">
            <w:pPr>
              <w:kinsoku w:val="0"/>
              <w:autoSpaceDE w:val="0"/>
              <w:autoSpaceDN w:val="0"/>
              <w:adjustRightInd w:val="0"/>
              <w:snapToGrid w:val="0"/>
              <w:spacing w:line="210" w:lineRule="auto"/>
              <w:ind w:left="40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技术措施</w:t>
            </w:r>
          </w:p>
        </w:tc>
        <w:tc>
          <w:tcPr>
            <w:tcW w:w="900" w:type="dxa"/>
            <w:vAlign w:val="top"/>
          </w:tcPr>
          <w:p w14:paraId="3AAF550C">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5ED831CD">
            <w:pPr>
              <w:kinsoku w:val="0"/>
              <w:autoSpaceDE w:val="0"/>
              <w:autoSpaceDN w:val="0"/>
              <w:adjustRightInd w:val="0"/>
              <w:snapToGrid w:val="0"/>
              <w:spacing w:before="71" w:line="221" w:lineRule="auto"/>
              <w:ind w:left="18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2.0分</w:t>
            </w:r>
          </w:p>
        </w:tc>
        <w:tc>
          <w:tcPr>
            <w:tcW w:w="2863" w:type="dxa"/>
            <w:vAlign w:val="top"/>
          </w:tcPr>
          <w:p w14:paraId="6BD9AC75">
            <w:pPr>
              <w:kinsoku w:val="0"/>
              <w:autoSpaceDE w:val="0"/>
              <w:autoSpaceDN w:val="0"/>
              <w:adjustRightInd w:val="0"/>
              <w:snapToGrid w:val="0"/>
              <w:spacing w:before="89" w:line="216"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满足工程基本要求，得1.2分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情加分，本项最高得2.0分。</w:t>
            </w:r>
          </w:p>
        </w:tc>
      </w:tr>
      <w:tr w14:paraId="5B90C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17" w:type="dxa"/>
            <w:vMerge w:val="continue"/>
            <w:tcBorders>
              <w:top w:val="nil"/>
              <w:bottom w:val="nil"/>
            </w:tcBorders>
            <w:vAlign w:val="top"/>
          </w:tcPr>
          <w:p w14:paraId="79DA81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bottom w:val="nil"/>
            </w:tcBorders>
            <w:vAlign w:val="top"/>
          </w:tcPr>
          <w:p w14:paraId="7B07A6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bottom w:val="nil"/>
            </w:tcBorders>
            <w:vAlign w:val="top"/>
          </w:tcPr>
          <w:p w14:paraId="223FA2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4713D6C8">
            <w:pPr>
              <w:kinsoku w:val="0"/>
              <w:autoSpaceDE w:val="0"/>
              <w:autoSpaceDN w:val="0"/>
              <w:adjustRightInd w:val="0"/>
              <w:snapToGrid w:val="0"/>
              <w:spacing w:before="213" w:line="220" w:lineRule="auto"/>
              <w:ind w:left="404" w:right="63" w:hanging="32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工期进度及保畅</w:t>
            </w:r>
            <w:r>
              <w:rPr>
                <w:rFonts w:ascii="宋体" w:hAnsi="宋体" w:eastAsia="宋体" w:cs="宋体"/>
                <w:snapToGrid w:val="0"/>
                <w:color w:val="000000"/>
                <w:spacing w:val="2"/>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保证措施</w:t>
            </w:r>
          </w:p>
        </w:tc>
        <w:tc>
          <w:tcPr>
            <w:tcW w:w="900" w:type="dxa"/>
            <w:vAlign w:val="top"/>
          </w:tcPr>
          <w:p w14:paraId="672B142A">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BECDEFA">
            <w:pPr>
              <w:kinsoku w:val="0"/>
              <w:autoSpaceDE w:val="0"/>
              <w:autoSpaceDN w:val="0"/>
              <w:adjustRightInd w:val="0"/>
              <w:snapToGrid w:val="0"/>
              <w:spacing w:before="71" w:line="221" w:lineRule="auto"/>
              <w:ind w:left="18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2.0分</w:t>
            </w:r>
          </w:p>
        </w:tc>
        <w:tc>
          <w:tcPr>
            <w:tcW w:w="2863" w:type="dxa"/>
            <w:vAlign w:val="top"/>
          </w:tcPr>
          <w:p w14:paraId="3D976853">
            <w:pPr>
              <w:kinsoku w:val="0"/>
              <w:autoSpaceDE w:val="0"/>
              <w:autoSpaceDN w:val="0"/>
              <w:adjustRightInd w:val="0"/>
              <w:snapToGrid w:val="0"/>
              <w:spacing w:before="85" w:line="213"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满足工程基本要求，得1.2分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情加分，本项最高得2.0分。</w:t>
            </w:r>
          </w:p>
        </w:tc>
      </w:tr>
      <w:tr w14:paraId="1349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17" w:type="dxa"/>
            <w:vMerge w:val="continue"/>
            <w:tcBorders>
              <w:top w:val="nil"/>
              <w:bottom w:val="nil"/>
            </w:tcBorders>
            <w:vAlign w:val="top"/>
          </w:tcPr>
          <w:p w14:paraId="140537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bottom w:val="nil"/>
            </w:tcBorders>
            <w:vAlign w:val="top"/>
          </w:tcPr>
          <w:p w14:paraId="43F483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bottom w:val="nil"/>
            </w:tcBorders>
            <w:vAlign w:val="top"/>
          </w:tcPr>
          <w:p w14:paraId="17C65B2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7FBF7C1B">
            <w:pPr>
              <w:kinsoku w:val="0"/>
              <w:autoSpaceDE w:val="0"/>
              <w:autoSpaceDN w:val="0"/>
              <w:adjustRightInd w:val="0"/>
              <w:snapToGrid w:val="0"/>
              <w:spacing w:before="213" w:line="222" w:lineRule="auto"/>
              <w:ind w:left="189" w:right="63" w:hanging="11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工程质量管理体</w:t>
            </w:r>
            <w:r>
              <w:rPr>
                <w:rFonts w:ascii="宋体" w:hAnsi="宋体" w:eastAsia="宋体" w:cs="宋体"/>
                <w:snapToGrid w:val="0"/>
                <w:color w:val="000000"/>
                <w:spacing w:val="2"/>
                <w:kern w:val="0"/>
                <w:sz w:val="22"/>
                <w:szCs w:val="22"/>
                <w:lang w:val="en-US" w:eastAsia="en-US" w:bidi="ar-SA"/>
              </w:rPr>
              <w:t xml:space="preserve"> </w:t>
            </w:r>
            <w:r>
              <w:rPr>
                <w:rFonts w:ascii="宋体" w:hAnsi="宋体" w:eastAsia="宋体" w:cs="宋体"/>
                <w:snapToGrid w:val="0"/>
                <w:color w:val="000000"/>
                <w:spacing w:val="-2"/>
                <w:kern w:val="0"/>
                <w:sz w:val="22"/>
                <w:szCs w:val="22"/>
                <w:lang w:val="en-US" w:eastAsia="en-US" w:bidi="ar-SA"/>
              </w:rPr>
              <w:t>系及保证措施</w:t>
            </w:r>
          </w:p>
        </w:tc>
        <w:tc>
          <w:tcPr>
            <w:tcW w:w="900" w:type="dxa"/>
            <w:vAlign w:val="top"/>
          </w:tcPr>
          <w:p w14:paraId="3844066A">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14:paraId="3C351653">
            <w:pPr>
              <w:kinsoku w:val="0"/>
              <w:autoSpaceDE w:val="0"/>
              <w:autoSpaceDN w:val="0"/>
              <w:adjustRightInd w:val="0"/>
              <w:snapToGrid w:val="0"/>
              <w:spacing w:before="72" w:line="221" w:lineRule="auto"/>
              <w:ind w:left="18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2.0分</w:t>
            </w:r>
          </w:p>
        </w:tc>
        <w:tc>
          <w:tcPr>
            <w:tcW w:w="2863" w:type="dxa"/>
            <w:vAlign w:val="top"/>
          </w:tcPr>
          <w:p w14:paraId="2F209BAA">
            <w:pPr>
              <w:kinsoku w:val="0"/>
              <w:autoSpaceDE w:val="0"/>
              <w:autoSpaceDN w:val="0"/>
              <w:adjustRightInd w:val="0"/>
              <w:snapToGrid w:val="0"/>
              <w:spacing w:before="85" w:line="213"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满足工程基本要求，得1.2分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情加分，本项最高得2.0分。</w:t>
            </w:r>
          </w:p>
        </w:tc>
      </w:tr>
      <w:tr w14:paraId="50ED0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317" w:type="dxa"/>
            <w:vMerge w:val="continue"/>
            <w:tcBorders>
              <w:top w:val="nil"/>
              <w:bottom w:val="nil"/>
            </w:tcBorders>
            <w:vAlign w:val="top"/>
          </w:tcPr>
          <w:p w14:paraId="3882D96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bottom w:val="nil"/>
            </w:tcBorders>
            <w:vAlign w:val="top"/>
          </w:tcPr>
          <w:p w14:paraId="21921E6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bottom w:val="nil"/>
            </w:tcBorders>
            <w:vAlign w:val="top"/>
          </w:tcPr>
          <w:p w14:paraId="06CB4E7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5F503FD8">
            <w:pPr>
              <w:kinsoku w:val="0"/>
              <w:autoSpaceDE w:val="0"/>
              <w:autoSpaceDN w:val="0"/>
              <w:adjustRightInd w:val="0"/>
              <w:snapToGrid w:val="0"/>
              <w:spacing w:before="212" w:line="222" w:lineRule="auto"/>
              <w:ind w:left="188" w:right="63" w:hanging="11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安全生产管理体</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2"/>
                <w:kern w:val="0"/>
                <w:sz w:val="22"/>
                <w:szCs w:val="22"/>
                <w:lang w:val="en-US" w:eastAsia="en-US" w:bidi="ar-SA"/>
              </w:rPr>
              <w:t>系及保证措施</w:t>
            </w:r>
          </w:p>
        </w:tc>
        <w:tc>
          <w:tcPr>
            <w:tcW w:w="900" w:type="dxa"/>
            <w:vAlign w:val="top"/>
          </w:tcPr>
          <w:p w14:paraId="6AAB6B21">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2D4B7103">
            <w:pPr>
              <w:kinsoku w:val="0"/>
              <w:autoSpaceDE w:val="0"/>
              <w:autoSpaceDN w:val="0"/>
              <w:adjustRightInd w:val="0"/>
              <w:snapToGrid w:val="0"/>
              <w:spacing w:before="72" w:line="221" w:lineRule="auto"/>
              <w:ind w:left="19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1.0分</w:t>
            </w:r>
          </w:p>
        </w:tc>
        <w:tc>
          <w:tcPr>
            <w:tcW w:w="2863" w:type="dxa"/>
            <w:vAlign w:val="top"/>
          </w:tcPr>
          <w:p w14:paraId="61A87EA7">
            <w:pPr>
              <w:kinsoku w:val="0"/>
              <w:autoSpaceDE w:val="0"/>
              <w:autoSpaceDN w:val="0"/>
              <w:adjustRightInd w:val="0"/>
              <w:snapToGrid w:val="0"/>
              <w:spacing w:before="81" w:line="214"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满足工程基本要求，得0.6分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情加分，本项最高得1.0分。</w:t>
            </w:r>
          </w:p>
        </w:tc>
      </w:tr>
      <w:tr w14:paraId="1CE2D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17" w:type="dxa"/>
            <w:vMerge w:val="continue"/>
            <w:tcBorders>
              <w:top w:val="nil"/>
              <w:bottom w:val="nil"/>
            </w:tcBorders>
            <w:vAlign w:val="top"/>
          </w:tcPr>
          <w:p w14:paraId="1E56D1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bottom w:val="nil"/>
            </w:tcBorders>
            <w:vAlign w:val="top"/>
          </w:tcPr>
          <w:p w14:paraId="75D71D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bottom w:val="nil"/>
            </w:tcBorders>
            <w:vAlign w:val="top"/>
          </w:tcPr>
          <w:p w14:paraId="38024C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0BB7E062">
            <w:pPr>
              <w:kinsoku w:val="0"/>
              <w:autoSpaceDE w:val="0"/>
              <w:autoSpaceDN w:val="0"/>
              <w:adjustRightInd w:val="0"/>
              <w:snapToGrid w:val="0"/>
              <w:spacing w:before="107" w:line="220" w:lineRule="auto"/>
              <w:ind w:left="12"/>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5"/>
                <w:kern w:val="0"/>
                <w:sz w:val="22"/>
                <w:szCs w:val="22"/>
                <w:lang w:val="en-US" w:eastAsia="en-US" w:bidi="ar-SA"/>
              </w:rPr>
              <w:t>文明施工、</w:t>
            </w:r>
            <w:r>
              <w:rPr>
                <w:rFonts w:ascii="宋体" w:hAnsi="宋体" w:eastAsia="宋体" w:cs="宋体"/>
                <w:snapToGrid w:val="0"/>
                <w:color w:val="000000"/>
                <w:spacing w:val="-14"/>
                <w:kern w:val="0"/>
                <w:sz w:val="22"/>
                <w:szCs w:val="22"/>
                <w:lang w:val="en-US" w:eastAsia="en-US" w:bidi="ar-SA"/>
              </w:rPr>
              <w:t>环境</w:t>
            </w:r>
            <w:r>
              <w:rPr>
                <w:rFonts w:ascii="宋体" w:hAnsi="宋体" w:eastAsia="宋体" w:cs="宋体"/>
                <w:snapToGrid w:val="0"/>
                <w:color w:val="000000"/>
                <w:spacing w:val="-9"/>
                <w:kern w:val="0"/>
                <w:sz w:val="22"/>
                <w:szCs w:val="22"/>
                <w:lang w:val="en-US" w:eastAsia="en-US" w:bidi="ar-SA"/>
              </w:rPr>
              <w:t>保</w:t>
            </w:r>
            <w:r>
              <w:rPr>
                <w:rFonts w:ascii="宋体" w:hAnsi="宋体" w:eastAsia="宋体" w:cs="宋体"/>
                <w:snapToGrid w:val="0"/>
                <w:color w:val="000000"/>
                <w:spacing w:val="6"/>
                <w:kern w:val="0"/>
                <w:sz w:val="22"/>
                <w:szCs w:val="22"/>
                <w:lang w:val="en-US" w:eastAsia="en-US" w:bidi="ar-SA"/>
              </w:rPr>
              <w:t xml:space="preserve"> </w:t>
            </w:r>
            <w:r>
              <w:rPr>
                <w:rFonts w:ascii="宋体" w:hAnsi="宋体" w:eastAsia="宋体" w:cs="宋体"/>
                <w:snapToGrid w:val="0"/>
                <w:color w:val="000000"/>
                <w:spacing w:val="-14"/>
                <w:kern w:val="0"/>
                <w:sz w:val="22"/>
                <w:szCs w:val="22"/>
                <w:lang w:val="en-US" w:eastAsia="en-US" w:bidi="ar-SA"/>
              </w:rPr>
              <w:t>护、</w:t>
            </w:r>
            <w:r>
              <w:rPr>
                <w:rFonts w:ascii="宋体" w:hAnsi="宋体" w:eastAsia="宋体" w:cs="宋体"/>
                <w:snapToGrid w:val="0"/>
                <w:color w:val="000000"/>
                <w:spacing w:val="-13"/>
                <w:kern w:val="0"/>
                <w:sz w:val="22"/>
                <w:szCs w:val="22"/>
                <w:lang w:val="en-US" w:eastAsia="en-US" w:bidi="ar-SA"/>
              </w:rPr>
              <w:t>水土保持保</w:t>
            </w:r>
            <w:r>
              <w:rPr>
                <w:rFonts w:ascii="宋体" w:hAnsi="宋体" w:eastAsia="宋体" w:cs="宋体"/>
                <w:snapToGrid w:val="0"/>
                <w:color w:val="000000"/>
                <w:spacing w:val="-11"/>
                <w:kern w:val="0"/>
                <w:sz w:val="22"/>
                <w:szCs w:val="22"/>
                <w:lang w:val="en-US" w:eastAsia="en-US" w:bidi="ar-SA"/>
              </w:rPr>
              <w:t>证</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7"/>
                <w:kern w:val="0"/>
                <w:sz w:val="22"/>
                <w:szCs w:val="22"/>
                <w:lang w:val="en-US" w:eastAsia="en-US" w:bidi="ar-SA"/>
              </w:rPr>
              <w:t>体系及保证措施</w:t>
            </w:r>
          </w:p>
        </w:tc>
        <w:tc>
          <w:tcPr>
            <w:tcW w:w="900" w:type="dxa"/>
            <w:vAlign w:val="top"/>
          </w:tcPr>
          <w:p w14:paraId="2F59F9A2">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14:paraId="2742EB95">
            <w:pPr>
              <w:kinsoku w:val="0"/>
              <w:autoSpaceDE w:val="0"/>
              <w:autoSpaceDN w:val="0"/>
              <w:adjustRightInd w:val="0"/>
              <w:snapToGrid w:val="0"/>
              <w:spacing w:before="71" w:line="221" w:lineRule="auto"/>
              <w:ind w:left="18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0.5分</w:t>
            </w:r>
          </w:p>
        </w:tc>
        <w:tc>
          <w:tcPr>
            <w:tcW w:w="2863" w:type="dxa"/>
            <w:vAlign w:val="top"/>
          </w:tcPr>
          <w:p w14:paraId="4F3F57C4">
            <w:pPr>
              <w:kinsoku w:val="0"/>
              <w:autoSpaceDE w:val="0"/>
              <w:autoSpaceDN w:val="0"/>
              <w:adjustRightInd w:val="0"/>
              <w:snapToGrid w:val="0"/>
              <w:spacing w:before="105" w:line="220"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满足工程基本要求，得0.3分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情加分，本项最高得0.5分。</w:t>
            </w:r>
          </w:p>
        </w:tc>
      </w:tr>
      <w:tr w14:paraId="32BBB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317" w:type="dxa"/>
            <w:vMerge w:val="continue"/>
            <w:tcBorders>
              <w:top w:val="nil"/>
            </w:tcBorders>
            <w:vAlign w:val="top"/>
          </w:tcPr>
          <w:p w14:paraId="3937DE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tcBorders>
            <w:vAlign w:val="top"/>
          </w:tcPr>
          <w:p w14:paraId="4C040C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tcBorders>
            <w:vAlign w:val="top"/>
          </w:tcPr>
          <w:p w14:paraId="111B08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0EFC3794">
            <w:pPr>
              <w:kinsoku w:val="0"/>
              <w:autoSpaceDE w:val="0"/>
              <w:autoSpaceDN w:val="0"/>
              <w:adjustRightInd w:val="0"/>
              <w:snapToGrid w:val="0"/>
              <w:spacing w:before="102" w:line="218" w:lineRule="auto"/>
              <w:ind w:left="7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项目风险预测与</w:t>
            </w:r>
          </w:p>
          <w:p w14:paraId="3722FAD4">
            <w:pPr>
              <w:kinsoku w:val="0"/>
              <w:autoSpaceDE w:val="0"/>
              <w:autoSpaceDN w:val="0"/>
              <w:adjustRightInd w:val="0"/>
              <w:snapToGrid w:val="0"/>
              <w:spacing w:line="217" w:lineRule="auto"/>
              <w:jc w:val="righ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6"/>
                <w:kern w:val="0"/>
                <w:sz w:val="22"/>
                <w:szCs w:val="22"/>
                <w:lang w:val="en-US" w:eastAsia="en-US" w:bidi="ar-SA"/>
              </w:rPr>
              <w:t>防范，事故</w:t>
            </w:r>
            <w:r>
              <w:rPr>
                <w:rFonts w:ascii="宋体" w:hAnsi="宋体" w:eastAsia="宋体" w:cs="宋体"/>
                <w:snapToGrid w:val="0"/>
                <w:color w:val="000000"/>
                <w:spacing w:val="-15"/>
                <w:kern w:val="0"/>
                <w:sz w:val="22"/>
                <w:szCs w:val="22"/>
                <w:lang w:val="en-US" w:eastAsia="en-US" w:bidi="ar-SA"/>
              </w:rPr>
              <w:t>应急</w:t>
            </w:r>
            <w:r>
              <w:rPr>
                <w:rFonts w:ascii="宋体" w:hAnsi="宋体" w:eastAsia="宋体" w:cs="宋体"/>
                <w:snapToGrid w:val="0"/>
                <w:color w:val="000000"/>
                <w:spacing w:val="-10"/>
                <w:kern w:val="0"/>
                <w:sz w:val="22"/>
                <w:szCs w:val="22"/>
                <w:lang w:val="en-US" w:eastAsia="en-US" w:bidi="ar-SA"/>
              </w:rPr>
              <w:t>预</w:t>
            </w:r>
          </w:p>
          <w:p w14:paraId="3AEC19C8">
            <w:pPr>
              <w:kinsoku w:val="0"/>
              <w:autoSpaceDE w:val="0"/>
              <w:autoSpaceDN w:val="0"/>
              <w:adjustRightInd w:val="0"/>
              <w:snapToGrid w:val="0"/>
              <w:spacing w:before="1" w:line="218" w:lineRule="auto"/>
              <w:ind w:left="73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案</w:t>
            </w:r>
          </w:p>
        </w:tc>
        <w:tc>
          <w:tcPr>
            <w:tcW w:w="900" w:type="dxa"/>
            <w:vAlign w:val="top"/>
          </w:tcPr>
          <w:p w14:paraId="06092096">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14:paraId="2355ED66">
            <w:pPr>
              <w:kinsoku w:val="0"/>
              <w:autoSpaceDE w:val="0"/>
              <w:autoSpaceDN w:val="0"/>
              <w:adjustRightInd w:val="0"/>
              <w:snapToGrid w:val="0"/>
              <w:spacing w:before="72" w:line="221" w:lineRule="auto"/>
              <w:ind w:left="18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0.5分</w:t>
            </w:r>
          </w:p>
        </w:tc>
        <w:tc>
          <w:tcPr>
            <w:tcW w:w="2863" w:type="dxa"/>
            <w:vAlign w:val="top"/>
          </w:tcPr>
          <w:p w14:paraId="5B9392FC">
            <w:pPr>
              <w:kinsoku w:val="0"/>
              <w:autoSpaceDE w:val="0"/>
              <w:autoSpaceDN w:val="0"/>
              <w:adjustRightInd w:val="0"/>
              <w:snapToGrid w:val="0"/>
              <w:spacing w:before="102" w:line="218" w:lineRule="auto"/>
              <w:ind w:left="31" w:right="3" w:firstLine="3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满足工程基本要求，得0.3分</w:t>
            </w:r>
            <w:r>
              <w:rPr>
                <w:rFonts w:ascii="宋体" w:hAnsi="宋体" w:eastAsia="宋体" w:cs="宋体"/>
                <w:snapToGrid w:val="0"/>
                <w:color w:val="000000"/>
                <w:spacing w:val="5"/>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；切实可行且合理科学的，酌</w:t>
            </w:r>
            <w:r>
              <w:rPr>
                <w:rFonts w:ascii="宋体" w:hAnsi="宋体" w:eastAsia="宋体" w:cs="宋体"/>
                <w:snapToGrid w:val="0"/>
                <w:color w:val="000000"/>
                <w:spacing w:val="1"/>
                <w:kern w:val="0"/>
                <w:sz w:val="22"/>
                <w:szCs w:val="22"/>
                <w:lang w:val="en-US" w:eastAsia="en-US" w:bidi="ar-SA"/>
              </w:rPr>
              <w:t xml:space="preserve"> 情加分，本项最高得0.5分。</w:t>
            </w:r>
          </w:p>
        </w:tc>
      </w:tr>
      <w:tr w14:paraId="6ED25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317" w:type="dxa"/>
            <w:vMerge w:val="restart"/>
            <w:tcBorders>
              <w:bottom w:val="nil"/>
            </w:tcBorders>
            <w:vAlign w:val="top"/>
          </w:tcPr>
          <w:p w14:paraId="1F7C35F4">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55F11801">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6E06B38F">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15AD6A63">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7FF2184D">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78540663">
            <w:pPr>
              <w:kinsoku w:val="0"/>
              <w:autoSpaceDE w:val="0"/>
              <w:autoSpaceDN w:val="0"/>
              <w:adjustRightInd w:val="0"/>
              <w:snapToGrid w:val="0"/>
              <w:spacing w:before="71" w:line="223" w:lineRule="auto"/>
              <w:ind w:left="32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2.2.4(2)</w:t>
            </w:r>
          </w:p>
        </w:tc>
        <w:tc>
          <w:tcPr>
            <w:tcW w:w="1463" w:type="dxa"/>
            <w:vMerge w:val="restart"/>
            <w:tcBorders>
              <w:bottom w:val="nil"/>
            </w:tcBorders>
            <w:vAlign w:val="top"/>
          </w:tcPr>
          <w:p w14:paraId="0C2A1633">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7EA970B2">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41519956">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319415A0">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4D2B22A3">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1802E91D">
            <w:pPr>
              <w:kinsoku w:val="0"/>
              <w:autoSpaceDE w:val="0"/>
              <w:autoSpaceDN w:val="0"/>
              <w:adjustRightInd w:val="0"/>
              <w:snapToGrid w:val="0"/>
              <w:spacing w:before="72" w:line="222" w:lineRule="auto"/>
              <w:ind w:left="27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404040"/>
                <w:spacing w:val="7"/>
                <w:kern w:val="0"/>
                <w:sz w:val="22"/>
                <w:szCs w:val="22"/>
                <w:lang w:val="en-US" w:eastAsia="en-US" w:bidi="ar-SA"/>
              </w:rPr>
              <w:t>主要人员</w:t>
            </w:r>
          </w:p>
        </w:tc>
        <w:tc>
          <w:tcPr>
            <w:tcW w:w="918" w:type="dxa"/>
            <w:vMerge w:val="restart"/>
            <w:tcBorders>
              <w:bottom w:val="nil"/>
            </w:tcBorders>
            <w:vAlign w:val="top"/>
          </w:tcPr>
          <w:p w14:paraId="3B69C0B6">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14:paraId="5282C9E6">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7464E6C7">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03A03DB1">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0231F41F">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14:paraId="52E35809">
            <w:pPr>
              <w:kinsoku w:val="0"/>
              <w:autoSpaceDE w:val="0"/>
              <w:autoSpaceDN w:val="0"/>
              <w:adjustRightInd w:val="0"/>
              <w:snapToGrid w:val="0"/>
              <w:spacing w:before="71" w:line="221" w:lineRule="auto"/>
              <w:ind w:left="29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4分</w:t>
            </w:r>
          </w:p>
        </w:tc>
        <w:tc>
          <w:tcPr>
            <w:tcW w:w="1675" w:type="dxa"/>
            <w:vAlign w:val="top"/>
          </w:tcPr>
          <w:p w14:paraId="2840483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90F1539">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6C8E365">
            <w:pPr>
              <w:kinsoku w:val="0"/>
              <w:autoSpaceDE w:val="0"/>
              <w:autoSpaceDN w:val="0"/>
              <w:adjustRightInd w:val="0"/>
              <w:snapToGrid w:val="0"/>
              <w:spacing w:before="72" w:line="220" w:lineRule="auto"/>
              <w:ind w:left="402" w:right="63" w:hanging="32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项目经理任职资</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2"/>
                <w:kern w:val="0"/>
                <w:sz w:val="22"/>
                <w:szCs w:val="22"/>
                <w:lang w:val="en-US" w:eastAsia="en-US" w:bidi="ar-SA"/>
              </w:rPr>
              <w:t>格与业绩</w:t>
            </w:r>
          </w:p>
        </w:tc>
        <w:tc>
          <w:tcPr>
            <w:tcW w:w="900" w:type="dxa"/>
            <w:vAlign w:val="top"/>
          </w:tcPr>
          <w:p w14:paraId="6E570FF2">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14:paraId="6DBD5E07">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14:paraId="67E572B2">
            <w:pPr>
              <w:kinsoku w:val="0"/>
              <w:autoSpaceDE w:val="0"/>
              <w:autoSpaceDN w:val="0"/>
              <w:adjustRightInd w:val="0"/>
              <w:snapToGrid w:val="0"/>
              <w:spacing w:before="72" w:line="221" w:lineRule="auto"/>
              <w:ind w:left="29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2分</w:t>
            </w:r>
          </w:p>
        </w:tc>
        <w:tc>
          <w:tcPr>
            <w:tcW w:w="2863" w:type="dxa"/>
            <w:vAlign w:val="top"/>
          </w:tcPr>
          <w:p w14:paraId="4DF9F282">
            <w:pPr>
              <w:kinsoku w:val="0"/>
              <w:autoSpaceDE w:val="0"/>
              <w:autoSpaceDN w:val="0"/>
              <w:adjustRightInd w:val="0"/>
              <w:snapToGrid w:val="0"/>
              <w:spacing w:before="106" w:line="219" w:lineRule="auto"/>
              <w:ind w:left="28" w:right="10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1、满足资格审查条件要求得</w:t>
            </w:r>
            <w:r>
              <w:rPr>
                <w:rFonts w:ascii="宋体" w:hAnsi="宋体" w:eastAsia="宋体" w:cs="宋体"/>
                <w:snapToGrid w:val="0"/>
                <w:color w:val="000000"/>
                <w:spacing w:val="2"/>
                <w:kern w:val="0"/>
                <w:sz w:val="22"/>
                <w:szCs w:val="22"/>
                <w:lang w:val="en-US" w:eastAsia="en-US" w:bidi="ar-SA"/>
              </w:rPr>
              <w:t xml:space="preserve"> </w:t>
            </w:r>
            <w:r>
              <w:rPr>
                <w:rFonts w:ascii="宋体" w:hAnsi="宋体" w:eastAsia="宋体" w:cs="宋体"/>
                <w:snapToGrid w:val="0"/>
                <w:color w:val="000000"/>
                <w:spacing w:val="-5"/>
                <w:kern w:val="0"/>
                <w:sz w:val="22"/>
                <w:szCs w:val="22"/>
                <w:lang w:val="en-US" w:eastAsia="en-US" w:bidi="ar-SA"/>
              </w:rPr>
              <w:t>1.2分；</w:t>
            </w:r>
          </w:p>
          <w:p w14:paraId="3A4EBD8F">
            <w:pPr>
              <w:kinsoku w:val="0"/>
              <w:autoSpaceDE w:val="0"/>
              <w:autoSpaceDN w:val="0"/>
              <w:adjustRightInd w:val="0"/>
              <w:snapToGrid w:val="0"/>
              <w:spacing w:before="72" w:line="217" w:lineRule="auto"/>
              <w:ind w:left="11" w:right="3" w:firstLine="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2"/>
                <w:szCs w:val="22"/>
                <w:lang w:val="en-US" w:eastAsia="en-US" w:bidi="ar-SA"/>
              </w:rPr>
              <w:t>2、</w:t>
            </w:r>
            <w:r>
              <w:rPr>
                <w:rFonts w:ascii="宋体" w:hAnsi="宋体" w:eastAsia="宋体" w:cs="宋体"/>
                <w:snapToGrid w:val="0"/>
                <w:color w:val="000000"/>
                <w:spacing w:val="-8"/>
                <w:kern w:val="0"/>
                <w:sz w:val="24"/>
                <w:szCs w:val="24"/>
                <w:lang w:val="en-US" w:eastAsia="en-US" w:bidi="ar-SA"/>
              </w:rPr>
              <w:t>每增加1个</w:t>
            </w:r>
            <w:r>
              <w:rPr>
                <w:rFonts w:ascii="宋体" w:hAnsi="宋体" w:eastAsia="宋体" w:cs="宋体"/>
                <w:snapToGrid w:val="0"/>
                <w:color w:val="000000"/>
                <w:spacing w:val="-8"/>
                <w:kern w:val="0"/>
                <w:sz w:val="22"/>
                <w:szCs w:val="22"/>
                <w:lang w:val="en-US" w:eastAsia="en-US" w:bidi="ar-SA"/>
              </w:rPr>
              <w:t>满足资格审查条</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件要求的业绩</w:t>
            </w:r>
            <w:r>
              <w:rPr>
                <w:rFonts w:ascii="宋体" w:hAnsi="宋体" w:eastAsia="宋体" w:cs="宋体"/>
                <w:snapToGrid w:val="0"/>
                <w:color w:val="000000"/>
                <w:spacing w:val="-3"/>
                <w:kern w:val="0"/>
                <w:sz w:val="24"/>
                <w:szCs w:val="24"/>
                <w:lang w:val="en-US" w:eastAsia="en-US" w:bidi="ar-SA"/>
              </w:rPr>
              <w:t>，加0.4分，最</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多加0.8分。</w:t>
            </w:r>
          </w:p>
        </w:tc>
      </w:tr>
      <w:tr w14:paraId="10B15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1317" w:type="dxa"/>
            <w:vMerge w:val="continue"/>
            <w:tcBorders>
              <w:top w:val="nil"/>
            </w:tcBorders>
            <w:vAlign w:val="top"/>
          </w:tcPr>
          <w:p w14:paraId="022CE9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3" w:type="dxa"/>
            <w:vMerge w:val="continue"/>
            <w:tcBorders>
              <w:top w:val="nil"/>
            </w:tcBorders>
            <w:vAlign w:val="top"/>
          </w:tcPr>
          <w:p w14:paraId="557B8B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18" w:type="dxa"/>
            <w:vMerge w:val="continue"/>
            <w:tcBorders>
              <w:top w:val="nil"/>
            </w:tcBorders>
            <w:vAlign w:val="top"/>
          </w:tcPr>
          <w:p w14:paraId="2503F7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75" w:type="dxa"/>
            <w:vAlign w:val="top"/>
          </w:tcPr>
          <w:p w14:paraId="4A290934">
            <w:pPr>
              <w:widowControl/>
              <w:kinsoku w:val="0"/>
              <w:autoSpaceDE w:val="0"/>
              <w:autoSpaceDN w:val="0"/>
              <w:adjustRightInd w:val="0"/>
              <w:snapToGrid w:val="0"/>
              <w:spacing w:line="472" w:lineRule="auto"/>
              <w:jc w:val="left"/>
              <w:textAlignment w:val="baseline"/>
              <w:rPr>
                <w:rFonts w:ascii="Arial" w:hAnsi="Arial" w:eastAsia="Arial" w:cs="Arial"/>
                <w:snapToGrid w:val="0"/>
                <w:color w:val="000000"/>
                <w:kern w:val="0"/>
                <w:sz w:val="21"/>
                <w:szCs w:val="21"/>
                <w:lang w:eastAsia="en-US"/>
              </w:rPr>
            </w:pPr>
          </w:p>
          <w:p w14:paraId="63F23EAA">
            <w:pPr>
              <w:kinsoku w:val="0"/>
              <w:autoSpaceDE w:val="0"/>
              <w:autoSpaceDN w:val="0"/>
              <w:adjustRightInd w:val="0"/>
              <w:snapToGrid w:val="0"/>
              <w:spacing w:before="71" w:line="220" w:lineRule="auto"/>
              <w:ind w:left="402" w:right="63" w:hanging="32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项目总工任职资</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2"/>
                <w:kern w:val="0"/>
                <w:sz w:val="22"/>
                <w:szCs w:val="22"/>
                <w:lang w:val="en-US" w:eastAsia="en-US" w:bidi="ar-SA"/>
              </w:rPr>
              <w:t>格与业绩</w:t>
            </w:r>
          </w:p>
        </w:tc>
        <w:tc>
          <w:tcPr>
            <w:tcW w:w="900" w:type="dxa"/>
            <w:vAlign w:val="top"/>
          </w:tcPr>
          <w:p w14:paraId="280EAD85">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1207722B">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3127C67B">
            <w:pPr>
              <w:kinsoku w:val="0"/>
              <w:autoSpaceDE w:val="0"/>
              <w:autoSpaceDN w:val="0"/>
              <w:adjustRightInd w:val="0"/>
              <w:snapToGrid w:val="0"/>
              <w:spacing w:before="71" w:line="221" w:lineRule="auto"/>
              <w:ind w:left="29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2分</w:t>
            </w:r>
          </w:p>
        </w:tc>
        <w:tc>
          <w:tcPr>
            <w:tcW w:w="2863" w:type="dxa"/>
            <w:vAlign w:val="top"/>
          </w:tcPr>
          <w:p w14:paraId="18DA01D5">
            <w:pPr>
              <w:kinsoku w:val="0"/>
              <w:autoSpaceDE w:val="0"/>
              <w:autoSpaceDN w:val="0"/>
              <w:adjustRightInd w:val="0"/>
              <w:snapToGrid w:val="0"/>
              <w:spacing w:before="87" w:line="219" w:lineRule="auto"/>
              <w:ind w:left="28" w:right="10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1、满足资格审查条件要求得</w:t>
            </w:r>
            <w:r>
              <w:rPr>
                <w:rFonts w:ascii="宋体" w:hAnsi="宋体" w:eastAsia="宋体" w:cs="宋体"/>
                <w:snapToGrid w:val="0"/>
                <w:color w:val="000000"/>
                <w:spacing w:val="2"/>
                <w:kern w:val="0"/>
                <w:sz w:val="22"/>
                <w:szCs w:val="22"/>
                <w:lang w:val="en-US" w:eastAsia="en-US" w:bidi="ar-SA"/>
              </w:rPr>
              <w:t xml:space="preserve"> </w:t>
            </w:r>
            <w:r>
              <w:rPr>
                <w:rFonts w:ascii="宋体" w:hAnsi="宋体" w:eastAsia="宋体" w:cs="宋体"/>
                <w:snapToGrid w:val="0"/>
                <w:color w:val="000000"/>
                <w:spacing w:val="-5"/>
                <w:kern w:val="0"/>
                <w:sz w:val="22"/>
                <w:szCs w:val="22"/>
                <w:lang w:val="en-US" w:eastAsia="en-US" w:bidi="ar-SA"/>
              </w:rPr>
              <w:t>1.2分；</w:t>
            </w:r>
          </w:p>
          <w:p w14:paraId="2B5F09A4">
            <w:pPr>
              <w:kinsoku w:val="0"/>
              <w:autoSpaceDE w:val="0"/>
              <w:autoSpaceDN w:val="0"/>
              <w:adjustRightInd w:val="0"/>
              <w:snapToGrid w:val="0"/>
              <w:spacing w:before="70" w:line="213" w:lineRule="auto"/>
              <w:ind w:left="11" w:right="3" w:firstLine="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2"/>
                <w:szCs w:val="22"/>
                <w:lang w:val="en-US" w:eastAsia="en-US" w:bidi="ar-SA"/>
              </w:rPr>
              <w:t>2、</w:t>
            </w:r>
            <w:r>
              <w:rPr>
                <w:rFonts w:ascii="宋体" w:hAnsi="宋体" w:eastAsia="宋体" w:cs="宋体"/>
                <w:snapToGrid w:val="0"/>
                <w:color w:val="000000"/>
                <w:spacing w:val="-8"/>
                <w:kern w:val="0"/>
                <w:sz w:val="24"/>
                <w:szCs w:val="24"/>
                <w:lang w:val="en-US" w:eastAsia="en-US" w:bidi="ar-SA"/>
              </w:rPr>
              <w:t>每增加1个</w:t>
            </w:r>
            <w:r>
              <w:rPr>
                <w:rFonts w:ascii="宋体" w:hAnsi="宋体" w:eastAsia="宋体" w:cs="宋体"/>
                <w:snapToGrid w:val="0"/>
                <w:color w:val="000000"/>
                <w:spacing w:val="-8"/>
                <w:kern w:val="0"/>
                <w:sz w:val="22"/>
                <w:szCs w:val="22"/>
                <w:lang w:val="en-US" w:eastAsia="en-US" w:bidi="ar-SA"/>
              </w:rPr>
              <w:t>满足资格审查条</w:t>
            </w:r>
            <w:r>
              <w:rPr>
                <w:rFonts w:ascii="宋体" w:hAnsi="宋体" w:eastAsia="宋体" w:cs="宋体"/>
                <w:snapToGrid w:val="0"/>
                <w:color w:val="000000"/>
                <w:spacing w:val="1"/>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件要求的业绩</w:t>
            </w:r>
            <w:r>
              <w:rPr>
                <w:rFonts w:ascii="宋体" w:hAnsi="宋体" w:eastAsia="宋体" w:cs="宋体"/>
                <w:snapToGrid w:val="0"/>
                <w:color w:val="000000"/>
                <w:spacing w:val="-3"/>
                <w:kern w:val="0"/>
                <w:sz w:val="24"/>
                <w:szCs w:val="24"/>
                <w:lang w:val="en-US" w:eastAsia="en-US" w:bidi="ar-SA"/>
              </w:rPr>
              <w:t>，加0.4分，最</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多加0.8分。</w:t>
            </w:r>
          </w:p>
        </w:tc>
      </w:tr>
    </w:tbl>
    <w:p w14:paraId="3FDF748B">
      <w:pPr>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val="en-US" w:eastAsia="en-US" w:bidi="ar-SA"/>
        </w:rPr>
      </w:pPr>
    </w:p>
    <w:p w14:paraId="1519BB1C">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val="en-US" w:eastAsia="en-US" w:bidi="ar-SA"/>
        </w:rPr>
      </w:pPr>
    </w:p>
    <w:p w14:paraId="391196E2">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val="en-US" w:eastAsia="en-US" w:bidi="ar-SA"/>
        </w:rPr>
      </w:pPr>
    </w:p>
    <w:p w14:paraId="23A94D0E">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val="en-US" w:eastAsia="en-US" w:bidi="ar-SA"/>
        </w:rPr>
      </w:pPr>
    </w:p>
    <w:p w14:paraId="7D7B5AF6">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val="en-US" w:eastAsia="en-US" w:bidi="ar-SA"/>
        </w:rPr>
      </w:pPr>
    </w:p>
    <w:p w14:paraId="7D547DE1">
      <w:pPr>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828800" cy="0"/>
                <wp:effectExtent l="4445" t="4445" r="5080" b="5080"/>
                <wp:wrapNone/>
                <wp:docPr id="1" name="任意多边形 1"/>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1pt;height:0pt;width:144pt;z-index:251659264;mso-width-relative:page;mso-height-relative:page;" filled="f" stroked="t" coordsize="2880,0" o:gfxdata="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YDa5dIA&#10;AAAEAQAADwAAAAAAAAABACAAAAAiAAAAZHJzL2Rvd25yZXYueG1sUEsBAhQAFAAAAAgAh07iQH0B&#10;W/wlAgAAhwQAAA4AAAAAAAAAAQAgAAAAIQEAAGRycy9lMm9Eb2MueG1sUEsFBgAAAAAGAAYAWQEA&#10;ALgFAAAAAA==&#10;" path="m0,0l2880,0e">
                <v:fill on="f" focussize="0,0"/>
                <v:stroke weight="0pt" color="#000000" miterlimit="0" joinstyle="bevel" endcap="square"/>
                <v:imagedata o:title=""/>
                <o:lock v:ext="edit"/>
              </v:shape>
            </w:pict>
          </mc:Fallback>
        </mc:AlternateContent>
      </w:r>
    </w:p>
    <w:p w14:paraId="139CA0A3">
      <w:pPr>
        <w:widowControl/>
        <w:kinsoku w:val="0"/>
        <w:autoSpaceDE w:val="0"/>
        <w:autoSpaceDN w:val="0"/>
        <w:adjustRightInd w:val="0"/>
        <w:snapToGrid w:val="0"/>
        <w:spacing w:before="58" w:line="403" w:lineRule="auto"/>
        <w:ind w:left="8" w:right="378" w:firstLine="455"/>
        <w:jc w:val="both"/>
        <w:textAlignment w:val="baseline"/>
        <w:rPr>
          <w:rFonts w:ascii="宋体" w:hAnsi="宋体" w:eastAsia="宋体" w:cs="宋体"/>
          <w:snapToGrid w:val="0"/>
          <w:color w:val="000000"/>
          <w:kern w:val="0"/>
          <w:sz w:val="18"/>
          <w:szCs w:val="18"/>
          <w:lang w:eastAsia="en-US"/>
        </w:rPr>
      </w:pPr>
      <w:bookmarkStart w:id="0" w:name="bookmark29"/>
      <w:bookmarkEnd w:id="0"/>
      <w:r>
        <w:rPr>
          <w:rFonts w:ascii="Calibri" w:hAnsi="Calibri" w:eastAsia="Calibri" w:cs="Calibri"/>
          <w:snapToGrid w:val="0"/>
          <w:color w:val="000000"/>
          <w:spacing w:val="-1"/>
          <w:kern w:val="0"/>
          <w:position w:val="5"/>
          <w:sz w:val="11"/>
          <w:szCs w:val="11"/>
          <w:lang w:eastAsia="en-US"/>
        </w:rPr>
        <w:t>①</w:t>
      </w:r>
      <w:r>
        <w:rPr>
          <w:rFonts w:ascii="Calibri" w:hAnsi="Calibri" w:eastAsia="Calibri" w:cs="Calibri"/>
          <w:snapToGrid w:val="0"/>
          <w:color w:val="000000"/>
          <w:spacing w:val="12"/>
          <w:w w:val="103"/>
          <w:kern w:val="0"/>
          <w:position w:val="5"/>
          <w:sz w:val="11"/>
          <w:szCs w:val="11"/>
          <w:lang w:eastAsia="en-US"/>
        </w:rPr>
        <w:t xml:space="preserve">   </w:t>
      </w:r>
      <w:r>
        <w:rPr>
          <w:rFonts w:ascii="宋体" w:hAnsi="宋体" w:eastAsia="宋体" w:cs="宋体"/>
          <w:snapToGrid w:val="0"/>
          <w:color w:val="000000"/>
          <w:spacing w:val="-1"/>
          <w:kern w:val="0"/>
          <w:sz w:val="18"/>
          <w:szCs w:val="18"/>
          <w:lang w:eastAsia="en-US"/>
        </w:rPr>
        <w:t>招标人应根据项目具体情况确定各评分因素及评分因素权重分值，并对各评分因素进行细分</w:t>
      </w:r>
      <w:r>
        <w:rPr>
          <w:rFonts w:ascii="Calibri" w:hAnsi="Calibri" w:eastAsia="Calibri" w:cs="Calibri"/>
          <w:snapToGrid w:val="0"/>
          <w:color w:val="000000"/>
          <w:spacing w:val="-1"/>
          <w:kern w:val="0"/>
          <w:sz w:val="18"/>
          <w:szCs w:val="18"/>
          <w:lang w:eastAsia="en-US"/>
        </w:rPr>
        <w:t>(</w:t>
      </w:r>
      <w:r>
        <w:rPr>
          <w:rFonts w:ascii="宋体" w:hAnsi="宋体" w:eastAsia="宋体" w:cs="宋体"/>
          <w:snapToGrid w:val="0"/>
          <w:color w:val="000000"/>
          <w:spacing w:val="-1"/>
          <w:kern w:val="0"/>
          <w:sz w:val="18"/>
          <w:szCs w:val="18"/>
          <w:lang w:eastAsia="en-US"/>
        </w:rPr>
        <w:t>如有</w:t>
      </w:r>
      <w:r>
        <w:rPr>
          <w:rFonts w:ascii="Calibri" w:hAnsi="Calibri" w:eastAsia="Calibri" w:cs="Calibri"/>
          <w:snapToGrid w:val="0"/>
          <w:color w:val="000000"/>
          <w:spacing w:val="-1"/>
          <w:kern w:val="0"/>
          <w:sz w:val="18"/>
          <w:szCs w:val="18"/>
          <w:lang w:eastAsia="en-US"/>
        </w:rPr>
        <w:t>)</w:t>
      </w:r>
      <w:r>
        <w:rPr>
          <w:rFonts w:ascii="Calibri" w:hAnsi="Calibri" w:eastAsia="Calibri" w:cs="Calibri"/>
          <w:snapToGrid w:val="0"/>
          <w:color w:val="000000"/>
          <w:spacing w:val="-21"/>
          <w:kern w:val="0"/>
          <w:sz w:val="18"/>
          <w:szCs w:val="18"/>
          <w:lang w:eastAsia="en-US"/>
        </w:rPr>
        <w:t xml:space="preserve"> </w:t>
      </w:r>
      <w:r>
        <w:rPr>
          <w:rFonts w:ascii="宋体" w:hAnsi="宋体" w:eastAsia="宋体" w:cs="宋体"/>
          <w:snapToGrid w:val="0"/>
          <w:color w:val="000000"/>
          <w:spacing w:val="-1"/>
          <w:kern w:val="0"/>
          <w:sz w:val="18"/>
          <w:szCs w:val="18"/>
          <w:lang w:eastAsia="en-US"/>
        </w:rPr>
        <w:t>、确</w:t>
      </w:r>
      <w:r>
        <w:rPr>
          <w:rFonts w:ascii="宋体" w:hAnsi="宋体" w:eastAsia="宋体" w:cs="宋体"/>
          <w:snapToGrid w:val="0"/>
          <w:color w:val="000000"/>
          <w:kern w:val="0"/>
          <w:sz w:val="18"/>
          <w:szCs w:val="18"/>
          <w:lang w:eastAsia="en-US"/>
        </w:rPr>
        <w:t xml:space="preserve"> </w:t>
      </w:r>
      <w:r>
        <w:rPr>
          <w:rFonts w:ascii="宋体" w:hAnsi="宋体" w:eastAsia="宋体" w:cs="宋体"/>
          <w:snapToGrid w:val="0"/>
          <w:color w:val="000000"/>
          <w:spacing w:val="-1"/>
          <w:kern w:val="0"/>
          <w:sz w:val="18"/>
          <w:szCs w:val="18"/>
          <w:lang w:eastAsia="en-US"/>
        </w:rPr>
        <w:t>定各评分因素细分项的分值，各评分因素权重分值合计应为</w:t>
      </w:r>
      <w:r>
        <w:rPr>
          <w:rFonts w:ascii="宋体" w:hAnsi="宋体" w:eastAsia="宋体" w:cs="宋体"/>
          <w:snapToGrid w:val="0"/>
          <w:color w:val="000000"/>
          <w:spacing w:val="-14"/>
          <w:kern w:val="0"/>
          <w:sz w:val="18"/>
          <w:szCs w:val="18"/>
          <w:lang w:eastAsia="en-US"/>
        </w:rPr>
        <w:t xml:space="preserve"> </w:t>
      </w:r>
      <w:r>
        <w:rPr>
          <w:rFonts w:ascii="Calibri" w:hAnsi="Calibri" w:eastAsia="Calibri" w:cs="Calibri"/>
          <w:snapToGrid w:val="0"/>
          <w:color w:val="000000"/>
          <w:spacing w:val="-1"/>
          <w:kern w:val="0"/>
          <w:sz w:val="18"/>
          <w:szCs w:val="18"/>
          <w:lang w:eastAsia="en-US"/>
        </w:rPr>
        <w:t>100</w:t>
      </w:r>
      <w:r>
        <w:rPr>
          <w:rFonts w:ascii="Calibri" w:hAnsi="Calibri" w:eastAsia="Calibri" w:cs="Calibri"/>
          <w:snapToGrid w:val="0"/>
          <w:color w:val="000000"/>
          <w:spacing w:val="14"/>
          <w:w w:val="102"/>
          <w:kern w:val="0"/>
          <w:sz w:val="18"/>
          <w:szCs w:val="18"/>
          <w:lang w:eastAsia="en-US"/>
        </w:rPr>
        <w:t xml:space="preserve"> </w:t>
      </w:r>
      <w:r>
        <w:rPr>
          <w:rFonts w:ascii="宋体" w:hAnsi="宋体" w:eastAsia="宋体" w:cs="宋体"/>
          <w:snapToGrid w:val="0"/>
          <w:color w:val="000000"/>
          <w:spacing w:val="-1"/>
          <w:kern w:val="0"/>
          <w:sz w:val="18"/>
          <w:szCs w:val="18"/>
          <w:lang w:eastAsia="en-US"/>
        </w:rPr>
        <w:t>分。各评分因素</w:t>
      </w:r>
      <w:r>
        <w:rPr>
          <w:rFonts w:ascii="Calibri" w:hAnsi="Calibri" w:eastAsia="Calibri" w:cs="Calibri"/>
          <w:snapToGrid w:val="0"/>
          <w:color w:val="000000"/>
          <w:spacing w:val="-1"/>
          <w:kern w:val="0"/>
          <w:sz w:val="18"/>
          <w:szCs w:val="18"/>
          <w:lang w:eastAsia="en-US"/>
        </w:rPr>
        <w:t>(</w:t>
      </w:r>
      <w:r>
        <w:rPr>
          <w:rFonts w:ascii="宋体" w:hAnsi="宋体" w:eastAsia="宋体" w:cs="宋体"/>
          <w:snapToGrid w:val="0"/>
          <w:color w:val="000000"/>
          <w:spacing w:val="-1"/>
          <w:kern w:val="0"/>
          <w:sz w:val="18"/>
          <w:szCs w:val="18"/>
          <w:lang w:eastAsia="en-US"/>
        </w:rPr>
        <w:t>评标价和履约信誉评分项除外</w:t>
      </w:r>
      <w:r>
        <w:rPr>
          <w:rFonts w:ascii="Calibri" w:hAnsi="Calibri" w:eastAsia="Calibri" w:cs="Calibri"/>
          <w:snapToGrid w:val="0"/>
          <w:color w:val="000000"/>
          <w:spacing w:val="-1"/>
          <w:kern w:val="0"/>
          <w:sz w:val="18"/>
          <w:szCs w:val="18"/>
          <w:lang w:eastAsia="en-US"/>
        </w:rPr>
        <w:t>)</w:t>
      </w:r>
      <w:r>
        <w:rPr>
          <w:rFonts w:ascii="Calibri" w:hAnsi="Calibri" w:eastAsia="Calibri" w:cs="Calibri"/>
          <w:snapToGrid w:val="0"/>
          <w:color w:val="000000"/>
          <w:kern w:val="0"/>
          <w:sz w:val="18"/>
          <w:szCs w:val="18"/>
          <w:lang w:eastAsia="en-US"/>
        </w:rPr>
        <w:t xml:space="preserve">  </w:t>
      </w:r>
      <w:r>
        <w:rPr>
          <w:rFonts w:ascii="宋体" w:hAnsi="宋体" w:eastAsia="宋体" w:cs="宋体"/>
          <w:snapToGrid w:val="0"/>
          <w:color w:val="000000"/>
          <w:spacing w:val="-2"/>
          <w:kern w:val="0"/>
          <w:sz w:val="18"/>
          <w:szCs w:val="18"/>
          <w:lang w:eastAsia="en-US"/>
        </w:rPr>
        <w:t>得分一殷不得低于其权重分值的</w:t>
      </w:r>
      <w:r>
        <w:rPr>
          <w:rFonts w:ascii="宋体" w:hAnsi="宋体" w:eastAsia="宋体" w:cs="宋体"/>
          <w:snapToGrid w:val="0"/>
          <w:color w:val="000000"/>
          <w:spacing w:val="-27"/>
          <w:kern w:val="0"/>
          <w:sz w:val="18"/>
          <w:szCs w:val="18"/>
          <w:lang w:eastAsia="en-US"/>
        </w:rPr>
        <w:t xml:space="preserve"> </w:t>
      </w:r>
      <w:r>
        <w:rPr>
          <w:rFonts w:ascii="Calibri" w:hAnsi="Calibri" w:eastAsia="Calibri" w:cs="Calibri"/>
          <w:snapToGrid w:val="0"/>
          <w:color w:val="000000"/>
          <w:spacing w:val="-2"/>
          <w:kern w:val="0"/>
          <w:sz w:val="18"/>
          <w:szCs w:val="18"/>
          <w:lang w:eastAsia="en-US"/>
        </w:rPr>
        <w:t>60%,</w:t>
      </w:r>
      <w:r>
        <w:rPr>
          <w:rFonts w:ascii="宋体" w:hAnsi="宋体" w:eastAsia="宋体" w:cs="宋体"/>
          <w:snapToGrid w:val="0"/>
          <w:color w:val="000000"/>
          <w:spacing w:val="-2"/>
          <w:kern w:val="0"/>
          <w:sz w:val="18"/>
          <w:szCs w:val="18"/>
          <w:lang w:eastAsia="en-US"/>
        </w:rPr>
        <w:t>且各评分因素得分应以评标委员会各成员的打分平均值确定，评标委员会成</w:t>
      </w:r>
      <w:r>
        <w:rPr>
          <w:rFonts w:ascii="宋体" w:hAnsi="宋体" w:eastAsia="宋体" w:cs="宋体"/>
          <w:snapToGrid w:val="0"/>
          <w:color w:val="000000"/>
          <w:kern w:val="0"/>
          <w:sz w:val="18"/>
          <w:szCs w:val="18"/>
          <w:lang w:eastAsia="en-US"/>
        </w:rPr>
        <w:t xml:space="preserve"> </w:t>
      </w:r>
      <w:r>
        <w:rPr>
          <w:rFonts w:ascii="宋体" w:hAnsi="宋体" w:eastAsia="宋体" w:cs="宋体"/>
          <w:snapToGrid w:val="0"/>
          <w:color w:val="000000"/>
          <w:spacing w:val="-1"/>
          <w:kern w:val="0"/>
          <w:sz w:val="18"/>
          <w:szCs w:val="18"/>
          <w:lang w:eastAsia="en-US"/>
        </w:rPr>
        <w:t>员总数为</w:t>
      </w:r>
      <w:r>
        <w:rPr>
          <w:rFonts w:ascii="宋体" w:hAnsi="宋体" w:eastAsia="宋体" w:cs="宋体"/>
          <w:snapToGrid w:val="0"/>
          <w:color w:val="000000"/>
          <w:spacing w:val="-38"/>
          <w:kern w:val="0"/>
          <w:sz w:val="18"/>
          <w:szCs w:val="18"/>
          <w:lang w:eastAsia="en-US"/>
        </w:rPr>
        <w:t xml:space="preserve"> </w:t>
      </w:r>
      <w:r>
        <w:rPr>
          <w:rFonts w:ascii="Calibri" w:hAnsi="Calibri" w:eastAsia="Calibri" w:cs="Calibri"/>
          <w:snapToGrid w:val="0"/>
          <w:color w:val="000000"/>
          <w:spacing w:val="-1"/>
          <w:kern w:val="0"/>
          <w:sz w:val="18"/>
          <w:szCs w:val="18"/>
          <w:lang w:eastAsia="en-US"/>
        </w:rPr>
        <w:t>7</w:t>
      </w:r>
      <w:r>
        <w:rPr>
          <w:rFonts w:ascii="Calibri" w:hAnsi="Calibri" w:eastAsia="Calibri" w:cs="Calibri"/>
          <w:snapToGrid w:val="0"/>
          <w:color w:val="000000"/>
          <w:spacing w:val="13"/>
          <w:w w:val="101"/>
          <w:kern w:val="0"/>
          <w:sz w:val="18"/>
          <w:szCs w:val="18"/>
          <w:lang w:eastAsia="en-US"/>
        </w:rPr>
        <w:t xml:space="preserve"> </w:t>
      </w:r>
      <w:r>
        <w:rPr>
          <w:rFonts w:ascii="宋体" w:hAnsi="宋体" w:eastAsia="宋体" w:cs="宋体"/>
          <w:snapToGrid w:val="0"/>
          <w:color w:val="000000"/>
          <w:spacing w:val="-1"/>
          <w:kern w:val="0"/>
          <w:sz w:val="18"/>
          <w:szCs w:val="18"/>
          <w:lang w:eastAsia="en-US"/>
        </w:rPr>
        <w:t>人以上时，该平均值以去掉一个最高分和一个最低分后计算。评标委员会成</w:t>
      </w:r>
      <w:r>
        <w:rPr>
          <w:rFonts w:ascii="宋体" w:hAnsi="宋体" w:eastAsia="宋体" w:cs="宋体"/>
          <w:snapToGrid w:val="0"/>
          <w:color w:val="000000"/>
          <w:spacing w:val="-2"/>
          <w:kern w:val="0"/>
          <w:sz w:val="18"/>
          <w:szCs w:val="18"/>
          <w:lang w:eastAsia="en-US"/>
        </w:rPr>
        <w:t>员对某一项评分因素的评</w:t>
      </w:r>
      <w:r>
        <w:rPr>
          <w:rFonts w:ascii="宋体" w:hAnsi="宋体" w:eastAsia="宋体" w:cs="宋体"/>
          <w:snapToGrid w:val="0"/>
          <w:color w:val="000000"/>
          <w:kern w:val="0"/>
          <w:sz w:val="18"/>
          <w:szCs w:val="18"/>
          <w:lang w:eastAsia="en-US"/>
        </w:rPr>
        <w:t xml:space="preserve"> </w:t>
      </w:r>
      <w:r>
        <w:rPr>
          <w:rFonts w:ascii="宋体" w:hAnsi="宋体" w:eastAsia="宋体" w:cs="宋体"/>
          <w:snapToGrid w:val="0"/>
          <w:color w:val="000000"/>
          <w:spacing w:val="-1"/>
          <w:kern w:val="0"/>
          <w:sz w:val="18"/>
          <w:szCs w:val="18"/>
          <w:lang w:eastAsia="en-US"/>
        </w:rPr>
        <w:t>分低于权重分值</w:t>
      </w:r>
      <w:r>
        <w:rPr>
          <w:rFonts w:ascii="宋体" w:hAnsi="宋体" w:eastAsia="宋体" w:cs="宋体"/>
          <w:snapToGrid w:val="0"/>
          <w:color w:val="000000"/>
          <w:spacing w:val="-31"/>
          <w:kern w:val="0"/>
          <w:sz w:val="18"/>
          <w:szCs w:val="18"/>
          <w:lang w:eastAsia="en-US"/>
        </w:rPr>
        <w:t xml:space="preserve"> </w:t>
      </w:r>
      <w:r>
        <w:rPr>
          <w:rFonts w:ascii="Calibri" w:hAnsi="Calibri" w:eastAsia="Calibri" w:cs="Calibri"/>
          <w:snapToGrid w:val="0"/>
          <w:color w:val="000000"/>
          <w:spacing w:val="-1"/>
          <w:kern w:val="0"/>
          <w:sz w:val="18"/>
          <w:szCs w:val="18"/>
          <w:lang w:eastAsia="en-US"/>
        </w:rPr>
        <w:t>60%</w:t>
      </w:r>
      <w:r>
        <w:rPr>
          <w:rFonts w:ascii="宋体" w:hAnsi="宋体" w:eastAsia="宋体" w:cs="宋体"/>
          <w:snapToGrid w:val="0"/>
          <w:color w:val="000000"/>
          <w:spacing w:val="-1"/>
          <w:kern w:val="0"/>
          <w:sz w:val="18"/>
          <w:szCs w:val="18"/>
          <w:lang w:eastAsia="en-US"/>
        </w:rPr>
        <w:t>的，应在评标报告中作出说明。</w:t>
      </w:r>
    </w:p>
    <w:p w14:paraId="428C935C">
      <w:pPr>
        <w:spacing w:line="403" w:lineRule="auto"/>
        <w:rPr>
          <w:rFonts w:ascii="宋体" w:hAnsi="宋体" w:eastAsia="宋体" w:cs="宋体"/>
          <w:sz w:val="18"/>
          <w:szCs w:val="18"/>
        </w:rPr>
        <w:sectPr>
          <w:footerReference r:id="rId4" w:type="default"/>
          <w:pgSz w:w="11900" w:h="16830"/>
          <w:pgMar w:top="400" w:right="1115" w:bottom="1166" w:left="1619" w:header="0" w:footer="1000" w:gutter="0"/>
          <w:cols w:space="720" w:num="1"/>
        </w:sectPr>
      </w:pPr>
    </w:p>
    <w:p w14:paraId="5CDB83AB">
      <w:pPr>
        <w:widowControl/>
        <w:kinsoku w:val="0"/>
        <w:autoSpaceDE w:val="0"/>
        <w:autoSpaceDN w:val="0"/>
        <w:adjustRightInd w:val="0"/>
        <w:snapToGrid w:val="0"/>
        <w:spacing w:before="42" w:line="240" w:lineRule="auto"/>
        <w:jc w:val="left"/>
        <w:textAlignment w:val="baseline"/>
        <w:rPr>
          <w:rFonts w:ascii="Arial" w:hAnsi="Arial" w:eastAsia="Arial" w:cs="Arial"/>
          <w:snapToGrid w:val="0"/>
          <w:color w:val="000000"/>
          <w:kern w:val="0"/>
          <w:szCs w:val="21"/>
          <w:lang w:eastAsia="en-US"/>
        </w:rPr>
      </w:pPr>
    </w:p>
    <w:p w14:paraId="0504F874">
      <w:pPr>
        <w:widowControl/>
        <w:kinsoku w:val="0"/>
        <w:autoSpaceDE w:val="0"/>
        <w:autoSpaceDN w:val="0"/>
        <w:adjustRightInd w:val="0"/>
        <w:snapToGrid w:val="0"/>
        <w:spacing w:before="42" w:line="240" w:lineRule="auto"/>
        <w:jc w:val="left"/>
        <w:textAlignment w:val="baseline"/>
        <w:rPr>
          <w:rFonts w:ascii="Arial" w:hAnsi="Arial" w:eastAsia="Arial" w:cs="Arial"/>
          <w:snapToGrid w:val="0"/>
          <w:color w:val="000000"/>
          <w:kern w:val="0"/>
          <w:szCs w:val="21"/>
          <w:lang w:eastAsia="en-US"/>
        </w:rPr>
      </w:pPr>
    </w:p>
    <w:p w14:paraId="64DD9FAE">
      <w:pPr>
        <w:widowControl/>
        <w:kinsoku w:val="0"/>
        <w:autoSpaceDE w:val="0"/>
        <w:autoSpaceDN w:val="0"/>
        <w:adjustRightInd w:val="0"/>
        <w:snapToGrid w:val="0"/>
        <w:spacing w:before="41" w:line="240" w:lineRule="auto"/>
        <w:jc w:val="left"/>
        <w:textAlignment w:val="baseline"/>
        <w:rPr>
          <w:rFonts w:ascii="Arial" w:hAnsi="Arial" w:eastAsia="Arial" w:cs="Arial"/>
          <w:snapToGrid w:val="0"/>
          <w:color w:val="000000"/>
          <w:kern w:val="0"/>
          <w:szCs w:val="21"/>
          <w:lang w:eastAsia="en-US"/>
        </w:rPr>
      </w:pPr>
    </w:p>
    <w:tbl>
      <w:tblPr>
        <w:tblStyle w:val="4"/>
        <w:tblW w:w="9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749"/>
        <w:gridCol w:w="714"/>
        <w:gridCol w:w="918"/>
        <w:gridCol w:w="5438"/>
      </w:tblGrid>
      <w:tr w14:paraId="1F02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1317" w:type="dxa"/>
            <w:vAlign w:val="top"/>
          </w:tcPr>
          <w:p w14:paraId="0DB340F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19E096C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01750D17">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4E673CB6">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03E0486A">
            <w:pPr>
              <w:kinsoku w:val="0"/>
              <w:autoSpaceDE w:val="0"/>
              <w:autoSpaceDN w:val="0"/>
              <w:adjustRightInd w:val="0"/>
              <w:snapToGrid w:val="0"/>
              <w:spacing w:before="71" w:line="223" w:lineRule="auto"/>
              <w:ind w:left="32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2.2.4(3)</w:t>
            </w:r>
          </w:p>
        </w:tc>
        <w:tc>
          <w:tcPr>
            <w:tcW w:w="1463" w:type="dxa"/>
            <w:gridSpan w:val="2"/>
            <w:vAlign w:val="top"/>
          </w:tcPr>
          <w:p w14:paraId="0C1C493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442E5523">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26458C4E">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3016FDE6">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1CB26BD5">
            <w:pPr>
              <w:kinsoku w:val="0"/>
              <w:autoSpaceDE w:val="0"/>
              <w:autoSpaceDN w:val="0"/>
              <w:adjustRightInd w:val="0"/>
              <w:snapToGrid w:val="0"/>
              <w:spacing w:before="72" w:line="219" w:lineRule="auto"/>
              <w:ind w:left="41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评标价</w:t>
            </w:r>
          </w:p>
        </w:tc>
        <w:tc>
          <w:tcPr>
            <w:tcW w:w="918" w:type="dxa"/>
            <w:vAlign w:val="top"/>
          </w:tcPr>
          <w:p w14:paraId="751E2CA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033CBAFB">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5CFD28B9">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0A4EC4EA">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14:paraId="29467EB8">
            <w:pPr>
              <w:kinsoku w:val="0"/>
              <w:autoSpaceDE w:val="0"/>
              <w:autoSpaceDN w:val="0"/>
              <w:adjustRightInd w:val="0"/>
              <w:snapToGrid w:val="0"/>
              <w:spacing w:before="71" w:line="221" w:lineRule="auto"/>
              <w:ind w:left="24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80分</w:t>
            </w:r>
          </w:p>
        </w:tc>
        <w:tc>
          <w:tcPr>
            <w:tcW w:w="5438" w:type="dxa"/>
            <w:vAlign w:val="top"/>
          </w:tcPr>
          <w:p w14:paraId="2D42DFE9">
            <w:pPr>
              <w:kinsoku w:val="0"/>
              <w:autoSpaceDE w:val="0"/>
              <w:autoSpaceDN w:val="0"/>
              <w:adjustRightInd w:val="0"/>
              <w:snapToGrid w:val="0"/>
              <w:spacing w:before="87" w:line="219" w:lineRule="auto"/>
              <w:ind w:left="22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评标价得分计算公式示例：</w:t>
            </w:r>
          </w:p>
          <w:p w14:paraId="19950406">
            <w:pPr>
              <w:kinsoku w:val="0"/>
              <w:autoSpaceDE w:val="0"/>
              <w:autoSpaceDN w:val="0"/>
              <w:adjustRightInd w:val="0"/>
              <w:snapToGrid w:val="0"/>
              <w:spacing w:before="70" w:line="220" w:lineRule="auto"/>
              <w:ind w:left="226" w:right="154" w:firstLine="4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(1)如果投标人的评标价&gt;评标基准价，则评标价得分</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
                <w:kern w:val="0"/>
                <w:sz w:val="22"/>
                <w:szCs w:val="22"/>
                <w:lang w:val="en-US" w:eastAsia="en-US" w:bidi="ar-SA"/>
              </w:rPr>
              <w:t>=F-偏差率×100×E1</w:t>
            </w:r>
          </w:p>
          <w:p w14:paraId="087E6DA2">
            <w:pPr>
              <w:kinsoku w:val="0"/>
              <w:autoSpaceDE w:val="0"/>
              <w:autoSpaceDN w:val="0"/>
              <w:adjustRightInd w:val="0"/>
              <w:snapToGrid w:val="0"/>
              <w:spacing w:before="68" w:line="219" w:lineRule="auto"/>
              <w:ind w:left="226" w:right="3" w:firstLine="4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(2)如果投标人的评标价≤评标基准价，则评标价得 分</w:t>
            </w:r>
            <w:r>
              <w:rPr>
                <w:rFonts w:ascii="宋体" w:hAnsi="宋体" w:eastAsia="宋体" w:cs="宋体"/>
                <w:snapToGrid w:val="0"/>
                <w:color w:val="000000"/>
                <w:spacing w:val="12"/>
                <w:kern w:val="0"/>
                <w:sz w:val="22"/>
                <w:szCs w:val="22"/>
                <w:lang w:val="en-US" w:eastAsia="en-US" w:bidi="ar-SA"/>
              </w:rPr>
              <w:t xml:space="preserve"> </w:t>
            </w:r>
            <w:r>
              <w:rPr>
                <w:rFonts w:ascii="宋体" w:hAnsi="宋体" w:eastAsia="宋体" w:cs="宋体"/>
                <w:snapToGrid w:val="0"/>
                <w:color w:val="000000"/>
                <w:kern w:val="0"/>
                <w:sz w:val="22"/>
                <w:szCs w:val="22"/>
                <w:lang w:val="en-US" w:eastAsia="en-US" w:bidi="ar-SA"/>
              </w:rPr>
              <w:t>=F+偏差率×100×E2.</w:t>
            </w:r>
          </w:p>
          <w:p w14:paraId="537A96A6">
            <w:pPr>
              <w:kinsoku w:val="0"/>
              <w:autoSpaceDE w:val="0"/>
              <w:autoSpaceDN w:val="0"/>
              <w:adjustRightInd w:val="0"/>
              <w:snapToGrid w:val="0"/>
              <w:spacing w:before="68" w:line="217" w:lineRule="auto"/>
              <w:ind w:left="227" w:right="3" w:firstLine="1"/>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其中：F是评标价所占的权重分值，E1是评标价每高于</w:t>
            </w:r>
            <w:r>
              <w:rPr>
                <w:rFonts w:ascii="宋体" w:hAnsi="宋体" w:eastAsia="宋体" w:cs="宋体"/>
                <w:snapToGrid w:val="0"/>
                <w:color w:val="000000"/>
                <w:spacing w:val="14"/>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评标基准价一个百分点的扣分值，E2是评标价</w:t>
            </w:r>
            <w:r>
              <w:rPr>
                <w:rFonts w:ascii="宋体" w:hAnsi="宋体" w:eastAsia="宋体" w:cs="宋体"/>
                <w:snapToGrid w:val="0"/>
                <w:color w:val="000000"/>
                <w:spacing w:val="-4"/>
                <w:kern w:val="0"/>
                <w:sz w:val="22"/>
                <w:szCs w:val="22"/>
                <w:lang w:val="en-US" w:eastAsia="en-US" w:bidi="ar-SA"/>
              </w:rPr>
              <w:t>每低于评</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
                <w:kern w:val="0"/>
                <w:sz w:val="22"/>
                <w:szCs w:val="22"/>
                <w:lang w:val="en-US" w:eastAsia="en-US" w:bidi="ar-SA"/>
              </w:rPr>
              <w:t>标基准价一个百分点的扣分值，</w:t>
            </w:r>
            <w:r>
              <w:rPr>
                <w:rFonts w:ascii="宋体" w:hAnsi="宋体" w:eastAsia="宋体" w:cs="宋体"/>
                <w:b/>
                <w:bCs/>
                <w:snapToGrid w:val="0"/>
                <w:color w:val="0000FF"/>
                <w:spacing w:val="1"/>
                <w:kern w:val="0"/>
                <w:sz w:val="22"/>
                <w:szCs w:val="22"/>
                <w:lang w:val="en-US" w:eastAsia="en-US" w:bidi="ar-SA"/>
              </w:rPr>
              <w:t>E1=1,E2=0.5。</w:t>
            </w:r>
          </w:p>
        </w:tc>
      </w:tr>
      <w:tr w14:paraId="3EA72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317" w:type="dxa"/>
            <w:vMerge w:val="restart"/>
            <w:tcBorders>
              <w:bottom w:val="nil"/>
            </w:tcBorders>
            <w:vAlign w:val="top"/>
          </w:tcPr>
          <w:p w14:paraId="45262FB9">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1FFA858">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5AD5CA5">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6D212C1">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CFD4F59">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4B4A195">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5C8E1540">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127E0D6C">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297E2B80">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6496566C">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3A8A2A2A">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7AE35E7F">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8DEC605">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5B40174">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8D6A737">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7271CEA5">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0EC05F9F">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3C3E696D">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4B40DC0">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27D8FAB">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1895E2C1">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49F1FCDA">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289642E2">
            <w:pPr>
              <w:kinsoku w:val="0"/>
              <w:autoSpaceDE w:val="0"/>
              <w:autoSpaceDN w:val="0"/>
              <w:adjustRightInd w:val="0"/>
              <w:snapToGrid w:val="0"/>
              <w:spacing w:before="72" w:line="223" w:lineRule="auto"/>
              <w:ind w:left="23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2.2.4(4)</w:t>
            </w:r>
          </w:p>
        </w:tc>
        <w:tc>
          <w:tcPr>
            <w:tcW w:w="749" w:type="dxa"/>
            <w:vMerge w:val="restart"/>
            <w:tcBorders>
              <w:bottom w:val="nil"/>
            </w:tcBorders>
            <w:vAlign w:val="top"/>
          </w:tcPr>
          <w:p w14:paraId="4ED7EBD6">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9961395">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4838A5C">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6A88E3AE">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9C53F85">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A9F8243">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7546DF5">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077FECD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365BF54F">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14:paraId="482D2448">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6BFFB50">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10376BE0">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23BFF23A">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0285C896">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0FC4346">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B455399">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7204F4F">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6EC9897B">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A3A4E77">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485A94B0">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36D686DF">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50110110">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14:paraId="2917EB95">
            <w:pPr>
              <w:kinsoku w:val="0"/>
              <w:autoSpaceDE w:val="0"/>
              <w:autoSpaceDN w:val="0"/>
              <w:adjustRightInd w:val="0"/>
              <w:snapToGrid w:val="0"/>
              <w:spacing w:before="72" w:line="220" w:lineRule="auto"/>
              <w:ind w:left="273" w:right="44" w:hanging="21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其他因</w:t>
            </w:r>
            <w:r>
              <w:rPr>
                <w:rFonts w:ascii="宋体" w:hAnsi="宋体" w:eastAsia="宋体" w:cs="宋体"/>
                <w:snapToGrid w:val="0"/>
                <w:color w:val="000000"/>
                <w:kern w:val="0"/>
                <w:sz w:val="22"/>
                <w:szCs w:val="22"/>
                <w:lang w:val="en-US" w:eastAsia="en-US" w:bidi="ar-SA"/>
              </w:rPr>
              <w:t xml:space="preserve"> 素</w:t>
            </w:r>
          </w:p>
        </w:tc>
        <w:tc>
          <w:tcPr>
            <w:tcW w:w="714" w:type="dxa"/>
            <w:vAlign w:val="top"/>
          </w:tcPr>
          <w:p w14:paraId="137BDAB6">
            <w:pPr>
              <w:widowControl/>
              <w:kinsoku w:val="0"/>
              <w:autoSpaceDE w:val="0"/>
              <w:autoSpaceDN w:val="0"/>
              <w:adjustRightInd w:val="0"/>
              <w:snapToGrid w:val="0"/>
              <w:spacing w:line="397" w:lineRule="auto"/>
              <w:jc w:val="left"/>
              <w:textAlignment w:val="baseline"/>
              <w:rPr>
                <w:rFonts w:ascii="Arial" w:hAnsi="Arial" w:eastAsia="Arial" w:cs="Arial"/>
                <w:snapToGrid w:val="0"/>
                <w:color w:val="000000"/>
                <w:kern w:val="0"/>
                <w:sz w:val="21"/>
                <w:szCs w:val="21"/>
                <w:lang w:eastAsia="en-US"/>
              </w:rPr>
            </w:pPr>
          </w:p>
          <w:p w14:paraId="13B22B42">
            <w:pPr>
              <w:kinsoku w:val="0"/>
              <w:autoSpaceDE w:val="0"/>
              <w:autoSpaceDN w:val="0"/>
              <w:adjustRightInd w:val="0"/>
              <w:snapToGrid w:val="0"/>
              <w:spacing w:before="72" w:line="218" w:lineRule="auto"/>
              <w:ind w:left="257" w:right="26" w:hanging="21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财务能</w:t>
            </w:r>
            <w:r>
              <w:rPr>
                <w:rFonts w:ascii="宋体" w:hAnsi="宋体" w:eastAsia="宋体" w:cs="宋体"/>
                <w:snapToGrid w:val="0"/>
                <w:color w:val="000000"/>
                <w:kern w:val="0"/>
                <w:sz w:val="22"/>
                <w:szCs w:val="22"/>
                <w:lang w:val="en-US" w:eastAsia="en-US" w:bidi="ar-SA"/>
              </w:rPr>
              <w:t xml:space="preserve"> 力</w:t>
            </w:r>
          </w:p>
        </w:tc>
        <w:tc>
          <w:tcPr>
            <w:tcW w:w="918" w:type="dxa"/>
            <w:vAlign w:val="top"/>
          </w:tcPr>
          <w:p w14:paraId="37031EAF">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508E47DC">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14:paraId="5C789888">
            <w:pPr>
              <w:kinsoku w:val="0"/>
              <w:autoSpaceDE w:val="0"/>
              <w:autoSpaceDN w:val="0"/>
              <w:adjustRightInd w:val="0"/>
              <w:snapToGrid w:val="0"/>
              <w:spacing w:before="71" w:line="221" w:lineRule="auto"/>
              <w:ind w:left="30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2分</w:t>
            </w:r>
          </w:p>
        </w:tc>
        <w:tc>
          <w:tcPr>
            <w:tcW w:w="5438" w:type="dxa"/>
            <w:vAlign w:val="top"/>
          </w:tcPr>
          <w:p w14:paraId="23F48666">
            <w:pPr>
              <w:kinsoku w:val="0"/>
              <w:autoSpaceDE w:val="0"/>
              <w:autoSpaceDN w:val="0"/>
              <w:adjustRightInd w:val="0"/>
              <w:snapToGrid w:val="0"/>
              <w:spacing w:before="83" w:line="217" w:lineRule="auto"/>
              <w:jc w:val="righ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1.满足资格审查条件(财务最低要求),</w:t>
            </w:r>
            <w:r>
              <w:rPr>
                <w:rFonts w:ascii="宋体" w:hAnsi="宋体" w:eastAsia="宋体" w:cs="宋体"/>
                <w:snapToGrid w:val="0"/>
                <w:color w:val="000000"/>
                <w:spacing w:val="-4"/>
                <w:kern w:val="0"/>
                <w:sz w:val="22"/>
                <w:szCs w:val="22"/>
                <w:lang w:val="en-US" w:eastAsia="en-US" w:bidi="ar-SA"/>
              </w:rPr>
              <w:t>得基本分1.2分；</w:t>
            </w:r>
          </w:p>
          <w:p w14:paraId="489585E6">
            <w:pPr>
              <w:kinsoku w:val="0"/>
              <w:autoSpaceDE w:val="0"/>
              <w:autoSpaceDN w:val="0"/>
              <w:adjustRightInd w:val="0"/>
              <w:snapToGrid w:val="0"/>
              <w:spacing w:before="72" w:line="218" w:lineRule="auto"/>
              <w:ind w:left="229" w:right="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2.在满足资格审查条件(财务最低要求)的基础</w:t>
            </w:r>
            <w:r>
              <w:rPr>
                <w:rFonts w:ascii="宋体" w:hAnsi="宋体" w:eastAsia="宋体" w:cs="宋体"/>
                <w:snapToGrid w:val="0"/>
                <w:color w:val="000000"/>
                <w:spacing w:val="-4"/>
                <w:kern w:val="0"/>
                <w:sz w:val="22"/>
                <w:szCs w:val="22"/>
                <w:lang w:val="en-US" w:eastAsia="en-US" w:bidi="ar-SA"/>
              </w:rPr>
              <w:t>上，投标</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
                <w:kern w:val="0"/>
                <w:sz w:val="22"/>
                <w:szCs w:val="22"/>
                <w:lang w:val="en-US" w:eastAsia="en-US" w:bidi="ar-SA"/>
              </w:rPr>
              <w:t>人在最近三个年度的平均营业总收入不少于20000万元</w:t>
            </w:r>
            <w:r>
              <w:rPr>
                <w:rFonts w:ascii="宋体" w:hAnsi="宋体" w:eastAsia="宋体" w:cs="宋体"/>
                <w:snapToGrid w:val="0"/>
                <w:color w:val="000000"/>
                <w:spacing w:val="16"/>
                <w:kern w:val="0"/>
                <w:sz w:val="22"/>
                <w:szCs w:val="22"/>
                <w:lang w:val="en-US" w:eastAsia="en-US" w:bidi="ar-SA"/>
              </w:rPr>
              <w:t xml:space="preserve"> </w:t>
            </w:r>
            <w:r>
              <w:rPr>
                <w:rFonts w:ascii="宋体" w:hAnsi="宋体" w:eastAsia="宋体" w:cs="宋体"/>
                <w:snapToGrid w:val="0"/>
                <w:color w:val="000000"/>
                <w:spacing w:val="-1"/>
                <w:kern w:val="0"/>
                <w:sz w:val="22"/>
                <w:szCs w:val="22"/>
                <w:lang w:val="en-US" w:eastAsia="en-US" w:bidi="ar-SA"/>
              </w:rPr>
              <w:t>人民币,加0.8分，最多加0.8分。</w:t>
            </w:r>
          </w:p>
        </w:tc>
      </w:tr>
      <w:tr w14:paraId="598D0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317" w:type="dxa"/>
            <w:vMerge w:val="continue"/>
            <w:tcBorders>
              <w:top w:val="nil"/>
              <w:bottom w:val="nil"/>
            </w:tcBorders>
            <w:vAlign w:val="top"/>
          </w:tcPr>
          <w:p w14:paraId="5F125B8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Merge w:val="continue"/>
            <w:tcBorders>
              <w:top w:val="nil"/>
              <w:bottom w:val="nil"/>
            </w:tcBorders>
            <w:vAlign w:val="top"/>
          </w:tcPr>
          <w:p w14:paraId="0015C5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4" w:type="dxa"/>
            <w:vAlign w:val="top"/>
          </w:tcPr>
          <w:p w14:paraId="40F8B952">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14:paraId="7BA55663">
            <w:pPr>
              <w:kinsoku w:val="0"/>
              <w:autoSpaceDE w:val="0"/>
              <w:autoSpaceDN w:val="0"/>
              <w:adjustRightInd w:val="0"/>
              <w:snapToGrid w:val="0"/>
              <w:spacing w:before="71" w:line="221" w:lineRule="auto"/>
              <w:ind w:left="14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业绩</w:t>
            </w:r>
          </w:p>
        </w:tc>
        <w:tc>
          <w:tcPr>
            <w:tcW w:w="918" w:type="dxa"/>
            <w:vAlign w:val="top"/>
          </w:tcPr>
          <w:p w14:paraId="38499A45">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14:paraId="54D4D24A">
            <w:pPr>
              <w:kinsoku w:val="0"/>
              <w:autoSpaceDE w:val="0"/>
              <w:autoSpaceDN w:val="0"/>
              <w:adjustRightInd w:val="0"/>
              <w:snapToGrid w:val="0"/>
              <w:spacing w:before="71" w:line="221" w:lineRule="auto"/>
              <w:ind w:left="30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3分</w:t>
            </w:r>
          </w:p>
        </w:tc>
        <w:tc>
          <w:tcPr>
            <w:tcW w:w="5438" w:type="dxa"/>
            <w:vAlign w:val="top"/>
          </w:tcPr>
          <w:p w14:paraId="0293D946">
            <w:pPr>
              <w:kinsoku w:val="0"/>
              <w:autoSpaceDE w:val="0"/>
              <w:autoSpaceDN w:val="0"/>
              <w:adjustRightInd w:val="0"/>
              <w:snapToGrid w:val="0"/>
              <w:spacing w:before="84" w:line="220" w:lineRule="auto"/>
              <w:ind w:left="24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1.满足资格审查条件(业绩最低要求)得1.8分；</w:t>
            </w:r>
          </w:p>
          <w:p w14:paraId="0BA3E413">
            <w:pPr>
              <w:kinsoku w:val="0"/>
              <w:autoSpaceDE w:val="0"/>
              <w:autoSpaceDN w:val="0"/>
              <w:adjustRightInd w:val="0"/>
              <w:snapToGrid w:val="0"/>
              <w:spacing w:before="68" w:line="213" w:lineRule="auto"/>
              <w:ind w:left="228" w:right="43" w:firstLine="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2.增加第一项满足资格审查条件(业绩最低要求)的业</w:t>
            </w:r>
            <w:r>
              <w:rPr>
                <w:rFonts w:ascii="宋体" w:hAnsi="宋体" w:eastAsia="宋体" w:cs="宋体"/>
                <w:snapToGrid w:val="0"/>
                <w:color w:val="000000"/>
                <w:spacing w:val="7"/>
                <w:kern w:val="0"/>
                <w:sz w:val="22"/>
                <w:szCs w:val="22"/>
                <w:lang w:val="en-US" w:eastAsia="en-US" w:bidi="ar-SA"/>
              </w:rPr>
              <w:t xml:space="preserve">  </w:t>
            </w:r>
            <w:r>
              <w:rPr>
                <w:rFonts w:ascii="宋体" w:hAnsi="宋体" w:eastAsia="宋体" w:cs="宋体"/>
                <w:snapToGrid w:val="0"/>
                <w:color w:val="000000"/>
                <w:spacing w:val="-1"/>
                <w:kern w:val="0"/>
                <w:sz w:val="22"/>
                <w:szCs w:val="22"/>
                <w:lang w:val="en-US" w:eastAsia="en-US" w:bidi="ar-SA"/>
              </w:rPr>
              <w:t>绩加0.84分，增加第二项满足资格审查条件(业绩最低</w:t>
            </w:r>
            <w:r>
              <w:rPr>
                <w:rFonts w:ascii="宋体" w:hAnsi="宋体" w:eastAsia="宋体" w:cs="宋体"/>
                <w:snapToGrid w:val="0"/>
                <w:color w:val="000000"/>
                <w:spacing w:val="15"/>
                <w:kern w:val="0"/>
                <w:sz w:val="22"/>
                <w:szCs w:val="22"/>
                <w:lang w:val="en-US" w:eastAsia="en-US" w:bidi="ar-SA"/>
              </w:rPr>
              <w:t xml:space="preserve"> </w:t>
            </w:r>
            <w:r>
              <w:rPr>
                <w:rFonts w:ascii="宋体" w:hAnsi="宋体" w:eastAsia="宋体" w:cs="宋体"/>
                <w:snapToGrid w:val="0"/>
                <w:color w:val="000000"/>
                <w:spacing w:val="-1"/>
                <w:kern w:val="0"/>
                <w:sz w:val="22"/>
                <w:szCs w:val="22"/>
                <w:lang w:val="en-US" w:eastAsia="en-US" w:bidi="ar-SA"/>
              </w:rPr>
              <w:t>要求)的业绩加0.36分，最多加1.2分。</w:t>
            </w:r>
          </w:p>
        </w:tc>
      </w:tr>
      <w:tr w14:paraId="4AB6C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0" w:hRule="atLeast"/>
        </w:trPr>
        <w:tc>
          <w:tcPr>
            <w:tcW w:w="1317" w:type="dxa"/>
            <w:vMerge w:val="continue"/>
            <w:tcBorders>
              <w:top w:val="nil"/>
            </w:tcBorders>
            <w:vAlign w:val="top"/>
          </w:tcPr>
          <w:p w14:paraId="4BCC1FA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Merge w:val="continue"/>
            <w:tcBorders>
              <w:top w:val="nil"/>
            </w:tcBorders>
            <w:vAlign w:val="top"/>
          </w:tcPr>
          <w:p w14:paraId="57B21CC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4" w:type="dxa"/>
            <w:vAlign w:val="top"/>
          </w:tcPr>
          <w:p w14:paraId="262269D7">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725C63DF">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560B9350">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1D02FB3E">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0E7D78CA">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4FCB2F91">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63D9C548">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7323D87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70F3327A">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036CEAE8">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5B769AD4">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68587328">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6FE668F">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5E525C95">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13C40987">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3686E5B5">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14:paraId="4A2FF494">
            <w:pPr>
              <w:kinsoku w:val="0"/>
              <w:autoSpaceDE w:val="0"/>
              <w:autoSpaceDN w:val="0"/>
              <w:adjustRightInd w:val="0"/>
              <w:snapToGrid w:val="0"/>
              <w:spacing w:before="72" w:line="219" w:lineRule="auto"/>
              <w:ind w:left="252" w:right="26" w:hanging="21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履约信</w:t>
            </w:r>
            <w:r>
              <w:rPr>
                <w:rFonts w:ascii="宋体" w:hAnsi="宋体" w:eastAsia="宋体" w:cs="宋体"/>
                <w:snapToGrid w:val="0"/>
                <w:color w:val="000000"/>
                <w:kern w:val="0"/>
                <w:sz w:val="22"/>
                <w:szCs w:val="22"/>
                <w:lang w:val="en-US" w:eastAsia="en-US" w:bidi="ar-SA"/>
              </w:rPr>
              <w:t xml:space="preserve"> 誉</w:t>
            </w:r>
          </w:p>
        </w:tc>
        <w:tc>
          <w:tcPr>
            <w:tcW w:w="918" w:type="dxa"/>
            <w:vAlign w:val="top"/>
          </w:tcPr>
          <w:p w14:paraId="364320F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71780C7">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11D39EA">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77CAE9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06163FD6">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F35C080">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3C57096">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1DED506">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2DFA956">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51E014D3">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22D5EF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5395B09">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610D26D">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58C218E">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802C42B">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208A6692">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3E867CAA">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14:paraId="1811A519">
            <w:pPr>
              <w:kinsoku w:val="0"/>
              <w:autoSpaceDE w:val="0"/>
              <w:autoSpaceDN w:val="0"/>
              <w:adjustRightInd w:val="0"/>
              <w:snapToGrid w:val="0"/>
              <w:spacing w:before="72" w:line="221" w:lineRule="auto"/>
              <w:ind w:left="30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2分</w:t>
            </w:r>
          </w:p>
        </w:tc>
        <w:tc>
          <w:tcPr>
            <w:tcW w:w="5438" w:type="dxa"/>
            <w:vAlign w:val="top"/>
          </w:tcPr>
          <w:p w14:paraId="7DC8800A">
            <w:pPr>
              <w:kinsoku w:val="0"/>
              <w:autoSpaceDE w:val="0"/>
              <w:autoSpaceDN w:val="0"/>
              <w:adjustRightInd w:val="0"/>
              <w:snapToGrid w:val="0"/>
              <w:spacing w:before="84" w:line="209" w:lineRule="auto"/>
              <w:ind w:left="24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1.养护信用评价(2分):</w:t>
            </w:r>
          </w:p>
          <w:tbl>
            <w:tblPr>
              <w:tblStyle w:val="4"/>
              <w:tblW w:w="4813"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1007"/>
              <w:gridCol w:w="1365"/>
              <w:gridCol w:w="1355"/>
            </w:tblGrid>
            <w:tr w14:paraId="1B1B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86" w:type="dxa"/>
                  <w:vAlign w:val="top"/>
                </w:tcPr>
                <w:p w14:paraId="647CD900">
                  <w:pPr>
                    <w:kinsoku w:val="0"/>
                    <w:autoSpaceDE w:val="0"/>
                    <w:autoSpaceDN w:val="0"/>
                    <w:adjustRightInd w:val="0"/>
                    <w:snapToGrid w:val="0"/>
                    <w:spacing w:before="86" w:line="220" w:lineRule="auto"/>
                    <w:ind w:left="23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年度信</w:t>
                  </w:r>
                </w:p>
                <w:p w14:paraId="52275CB6">
                  <w:pPr>
                    <w:kinsoku w:val="0"/>
                    <w:autoSpaceDE w:val="0"/>
                    <w:autoSpaceDN w:val="0"/>
                    <w:adjustRightInd w:val="0"/>
                    <w:snapToGrid w:val="0"/>
                    <w:spacing w:line="220" w:lineRule="auto"/>
                    <w:ind w:left="23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用等级</w:t>
                  </w:r>
                </w:p>
              </w:tc>
              <w:tc>
                <w:tcPr>
                  <w:tcW w:w="1007" w:type="dxa"/>
                  <w:vAlign w:val="top"/>
                </w:tcPr>
                <w:p w14:paraId="6F590F36">
                  <w:pPr>
                    <w:kinsoku w:val="0"/>
                    <w:autoSpaceDE w:val="0"/>
                    <w:autoSpaceDN w:val="0"/>
                    <w:adjustRightInd w:val="0"/>
                    <w:snapToGrid w:val="0"/>
                    <w:spacing w:before="86" w:line="222" w:lineRule="auto"/>
                    <w:ind w:left="228" w:right="1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最近第</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一年/分</w:t>
                  </w:r>
                </w:p>
              </w:tc>
              <w:tc>
                <w:tcPr>
                  <w:tcW w:w="1365" w:type="dxa"/>
                  <w:vAlign w:val="top"/>
                </w:tcPr>
                <w:p w14:paraId="31F541F4">
                  <w:pPr>
                    <w:kinsoku w:val="0"/>
                    <w:autoSpaceDE w:val="0"/>
                    <w:autoSpaceDN w:val="0"/>
                    <w:adjustRightInd w:val="0"/>
                    <w:snapToGrid w:val="0"/>
                    <w:spacing w:before="86" w:line="222" w:lineRule="auto"/>
                    <w:ind w:left="226" w:right="39" w:firstLine="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最近第二年</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4"/>
                      <w:kern w:val="0"/>
                      <w:sz w:val="22"/>
                      <w:szCs w:val="22"/>
                      <w:lang w:val="en-US" w:eastAsia="en-US" w:bidi="ar-SA"/>
                    </w:rPr>
                    <w:t>/分</w:t>
                  </w:r>
                </w:p>
              </w:tc>
              <w:tc>
                <w:tcPr>
                  <w:tcW w:w="1355" w:type="dxa"/>
                  <w:vAlign w:val="top"/>
                </w:tcPr>
                <w:p w14:paraId="51AA7401">
                  <w:pPr>
                    <w:kinsoku w:val="0"/>
                    <w:autoSpaceDE w:val="0"/>
                    <w:autoSpaceDN w:val="0"/>
                    <w:adjustRightInd w:val="0"/>
                    <w:snapToGrid w:val="0"/>
                    <w:spacing w:before="86" w:line="222" w:lineRule="auto"/>
                    <w:ind w:left="226" w:right="29" w:firstLine="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最近第三年</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4"/>
                      <w:kern w:val="0"/>
                      <w:sz w:val="22"/>
                      <w:szCs w:val="22"/>
                      <w:lang w:val="en-US" w:eastAsia="en-US" w:bidi="ar-SA"/>
                    </w:rPr>
                    <w:t>/分</w:t>
                  </w:r>
                </w:p>
              </w:tc>
            </w:tr>
            <w:tr w14:paraId="0F4D7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86" w:type="dxa"/>
                  <w:vAlign w:val="top"/>
                </w:tcPr>
                <w:p w14:paraId="68C6D5C0">
                  <w:pPr>
                    <w:kinsoku w:val="0"/>
                    <w:autoSpaceDE w:val="0"/>
                    <w:autoSpaceDN w:val="0"/>
                    <w:adjustRightInd w:val="0"/>
                    <w:snapToGrid w:val="0"/>
                    <w:spacing w:before="136" w:line="185" w:lineRule="auto"/>
                    <w:ind w:left="53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AA</w:t>
                  </w:r>
                </w:p>
              </w:tc>
              <w:tc>
                <w:tcPr>
                  <w:tcW w:w="1007" w:type="dxa"/>
                  <w:vAlign w:val="top"/>
                </w:tcPr>
                <w:p w14:paraId="14B6E126">
                  <w:pPr>
                    <w:kinsoku w:val="0"/>
                    <w:autoSpaceDE w:val="0"/>
                    <w:autoSpaceDN w:val="0"/>
                    <w:adjustRightInd w:val="0"/>
                    <w:snapToGrid w:val="0"/>
                    <w:spacing w:before="103" w:line="217" w:lineRule="auto"/>
                    <w:ind w:left="57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365" w:type="dxa"/>
                  <w:vAlign w:val="top"/>
                </w:tcPr>
                <w:p w14:paraId="68EEF985">
                  <w:pPr>
                    <w:kinsoku w:val="0"/>
                    <w:autoSpaceDE w:val="0"/>
                    <w:autoSpaceDN w:val="0"/>
                    <w:adjustRightInd w:val="0"/>
                    <w:snapToGrid w:val="0"/>
                    <w:spacing w:before="103" w:line="217" w:lineRule="auto"/>
                    <w:ind w:left="63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0.6</w:t>
                  </w:r>
                </w:p>
              </w:tc>
              <w:tc>
                <w:tcPr>
                  <w:tcW w:w="1355" w:type="dxa"/>
                  <w:vAlign w:val="top"/>
                </w:tcPr>
                <w:p w14:paraId="5A82AC3B">
                  <w:pPr>
                    <w:kinsoku w:val="0"/>
                    <w:autoSpaceDE w:val="0"/>
                    <w:autoSpaceDN w:val="0"/>
                    <w:adjustRightInd w:val="0"/>
                    <w:snapToGrid w:val="0"/>
                    <w:spacing w:before="103" w:line="217" w:lineRule="auto"/>
                    <w:ind w:left="62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0.4</w:t>
                  </w:r>
                </w:p>
              </w:tc>
            </w:tr>
            <w:tr w14:paraId="4BB85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86" w:type="dxa"/>
                  <w:vAlign w:val="top"/>
                </w:tcPr>
                <w:p w14:paraId="7F39D0DF">
                  <w:pPr>
                    <w:kinsoku w:val="0"/>
                    <w:autoSpaceDE w:val="0"/>
                    <w:autoSpaceDN w:val="0"/>
                    <w:adjustRightInd w:val="0"/>
                    <w:snapToGrid w:val="0"/>
                    <w:spacing w:before="122" w:line="177" w:lineRule="auto"/>
                    <w:ind w:left="59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A</w:t>
                  </w:r>
                </w:p>
              </w:tc>
              <w:tc>
                <w:tcPr>
                  <w:tcW w:w="1007" w:type="dxa"/>
                  <w:vAlign w:val="top"/>
                </w:tcPr>
                <w:p w14:paraId="5E34B3F4">
                  <w:pPr>
                    <w:kinsoku w:val="0"/>
                    <w:autoSpaceDE w:val="0"/>
                    <w:autoSpaceDN w:val="0"/>
                    <w:adjustRightInd w:val="0"/>
                    <w:snapToGrid w:val="0"/>
                    <w:spacing w:before="88" w:line="205" w:lineRule="auto"/>
                    <w:ind w:left="45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0.7</w:t>
                  </w:r>
                </w:p>
              </w:tc>
              <w:tc>
                <w:tcPr>
                  <w:tcW w:w="1365" w:type="dxa"/>
                  <w:vAlign w:val="top"/>
                </w:tcPr>
                <w:p w14:paraId="2B465EE9">
                  <w:pPr>
                    <w:kinsoku w:val="0"/>
                    <w:autoSpaceDE w:val="0"/>
                    <w:autoSpaceDN w:val="0"/>
                    <w:adjustRightInd w:val="0"/>
                    <w:snapToGrid w:val="0"/>
                    <w:spacing w:before="88" w:line="205" w:lineRule="auto"/>
                    <w:ind w:left="57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0.42</w:t>
                  </w:r>
                </w:p>
              </w:tc>
              <w:tc>
                <w:tcPr>
                  <w:tcW w:w="1355" w:type="dxa"/>
                  <w:vAlign w:val="top"/>
                </w:tcPr>
                <w:p w14:paraId="238577AE">
                  <w:pPr>
                    <w:kinsoku w:val="0"/>
                    <w:autoSpaceDE w:val="0"/>
                    <w:autoSpaceDN w:val="0"/>
                    <w:adjustRightInd w:val="0"/>
                    <w:snapToGrid w:val="0"/>
                    <w:spacing w:before="88" w:line="205" w:lineRule="auto"/>
                    <w:ind w:left="57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0.28</w:t>
                  </w:r>
                </w:p>
              </w:tc>
            </w:tr>
            <w:tr w14:paraId="11998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86" w:type="dxa"/>
                  <w:vAlign w:val="top"/>
                </w:tcPr>
                <w:p w14:paraId="7139ED2E">
                  <w:pPr>
                    <w:kinsoku w:val="0"/>
                    <w:autoSpaceDE w:val="0"/>
                    <w:autoSpaceDN w:val="0"/>
                    <w:adjustRightInd w:val="0"/>
                    <w:snapToGrid w:val="0"/>
                    <w:spacing w:before="142" w:line="182" w:lineRule="auto"/>
                    <w:ind w:left="59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B</w:t>
                  </w:r>
                </w:p>
              </w:tc>
              <w:tc>
                <w:tcPr>
                  <w:tcW w:w="3727" w:type="dxa"/>
                  <w:gridSpan w:val="3"/>
                  <w:vAlign w:val="top"/>
                </w:tcPr>
                <w:p w14:paraId="107250CB">
                  <w:pPr>
                    <w:kinsoku w:val="0"/>
                    <w:autoSpaceDE w:val="0"/>
                    <w:autoSpaceDN w:val="0"/>
                    <w:adjustRightInd w:val="0"/>
                    <w:snapToGrid w:val="0"/>
                    <w:spacing w:before="105" w:line="215" w:lineRule="auto"/>
                    <w:ind w:left="192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0</w:t>
                  </w:r>
                </w:p>
              </w:tc>
            </w:tr>
            <w:tr w14:paraId="0028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86" w:type="dxa"/>
                  <w:vAlign w:val="top"/>
                </w:tcPr>
                <w:p w14:paraId="0939EB90">
                  <w:pPr>
                    <w:kinsoku w:val="0"/>
                    <w:autoSpaceDE w:val="0"/>
                    <w:autoSpaceDN w:val="0"/>
                    <w:adjustRightInd w:val="0"/>
                    <w:snapToGrid w:val="0"/>
                    <w:spacing w:before="137" w:line="184" w:lineRule="auto"/>
                    <w:ind w:left="60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C</w:t>
                  </w:r>
                </w:p>
              </w:tc>
              <w:tc>
                <w:tcPr>
                  <w:tcW w:w="3727" w:type="dxa"/>
                  <w:gridSpan w:val="3"/>
                  <w:vAlign w:val="top"/>
                </w:tcPr>
                <w:p w14:paraId="286CEC16">
                  <w:pPr>
                    <w:kinsoku w:val="0"/>
                    <w:autoSpaceDE w:val="0"/>
                    <w:autoSpaceDN w:val="0"/>
                    <w:adjustRightInd w:val="0"/>
                    <w:snapToGrid w:val="0"/>
                    <w:spacing w:before="103" w:line="217" w:lineRule="auto"/>
                    <w:ind w:left="192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0</w:t>
                  </w:r>
                </w:p>
              </w:tc>
            </w:tr>
          </w:tbl>
          <w:p w14:paraId="785F5DDC">
            <w:pPr>
              <w:kinsoku w:val="0"/>
              <w:autoSpaceDE w:val="0"/>
              <w:autoSpaceDN w:val="0"/>
              <w:adjustRightInd w:val="0"/>
              <w:snapToGrid w:val="0"/>
              <w:spacing w:before="83" w:line="224" w:lineRule="auto"/>
              <w:ind w:left="22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注：</w:t>
            </w:r>
          </w:p>
          <w:p w14:paraId="19069BBF">
            <w:pPr>
              <w:kinsoku w:val="0"/>
              <w:autoSpaceDE w:val="0"/>
              <w:autoSpaceDN w:val="0"/>
              <w:adjustRightInd w:val="0"/>
              <w:snapToGrid w:val="0"/>
              <w:spacing w:before="57" w:line="219" w:lineRule="auto"/>
              <w:ind w:left="227" w:right="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信用等级以湖南省交通运输厅发布的公路养护从</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业单位信用评价结果为准，企业信用加分分值按湖</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南省交通运输厅近三年发布的公路养护从业单位</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信用评价结果进行权值分配，企业近三年均无湖南</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省交通运输厅发布公路养护从业单位信用评价结</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果的，按交通运输部近三年发布的公路施工企业全</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国综合信用评价等级进行权值分配，当年在湖南省</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发布的公路养护从业单位信用评价结果中无信用</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评价等级的，其当年的养护信用评价得分按上一年</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度湖南省发布（最近第三年度无信用评价时不再往</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前引用上一年发布的养护信用评价结果，其当年的</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养护信用评价得分按0分计）的公路养护从业单位</w:t>
            </w:r>
            <w:r>
              <w:rPr>
                <w:rFonts w:ascii="宋体" w:hAnsi="宋体" w:eastAsia="宋体" w:cs="宋体"/>
                <w:snapToGrid w:val="0"/>
                <w:color w:val="000000"/>
                <w:spacing w:val="12"/>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信用评价结果的信用等级结果进行评分（其中上一</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年度发布的养护信用评价结果为 AA级的企业，按</w:t>
            </w:r>
            <w:r>
              <w:rPr>
                <w:rFonts w:ascii="宋体" w:hAnsi="宋体" w:eastAsia="宋体" w:cs="宋体"/>
                <w:snapToGrid w:val="0"/>
                <w:color w:val="000000"/>
                <w:spacing w:val="13"/>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照A级计算当年养护信用评价得分</w:t>
            </w:r>
            <w:r>
              <w:rPr>
                <w:rFonts w:ascii="宋体" w:hAnsi="宋体" w:eastAsia="宋体" w:cs="宋体"/>
                <w:snapToGrid w:val="0"/>
                <w:color w:val="000000"/>
                <w:spacing w:val="5"/>
                <w:kern w:val="0"/>
                <w:sz w:val="24"/>
                <w:szCs w:val="24"/>
                <w:lang w:val="en-US" w:eastAsia="en-US" w:bidi="ar-SA"/>
              </w:rPr>
              <w:t>）；</w:t>
            </w:r>
            <w:r>
              <w:rPr>
                <w:rFonts w:ascii="宋体" w:hAnsi="宋体" w:eastAsia="宋体" w:cs="宋体"/>
                <w:snapToGrid w:val="0"/>
                <w:color w:val="000000"/>
                <w:spacing w:val="-1"/>
                <w:kern w:val="0"/>
                <w:sz w:val="24"/>
                <w:szCs w:val="24"/>
                <w:lang w:val="en-US" w:eastAsia="en-US" w:bidi="ar-SA"/>
              </w:rPr>
              <w:t>上一年度发</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布的公路养护从业单位信用评价结果也没有信用</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等级结果的，其当年的养护信用评价得分按0分计</w:t>
            </w:r>
          </w:p>
          <w:p w14:paraId="709C10B9">
            <w:pPr>
              <w:kinsoku w:val="0"/>
              <w:autoSpaceDE w:val="0"/>
              <w:autoSpaceDN w:val="0"/>
              <w:adjustRightInd w:val="0"/>
              <w:snapToGrid w:val="0"/>
              <w:spacing w:before="153" w:line="121" w:lineRule="exact"/>
              <w:ind w:left="2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position w:val="1"/>
                <w:sz w:val="24"/>
                <w:szCs w:val="24"/>
                <w:lang w:val="en-US" w:eastAsia="en-US" w:bidi="ar-SA"/>
              </w:rPr>
              <w:t>。</w:t>
            </w:r>
          </w:p>
          <w:p w14:paraId="7787F7C2">
            <w:pPr>
              <w:kinsoku w:val="0"/>
              <w:autoSpaceDE w:val="0"/>
              <w:autoSpaceDN w:val="0"/>
              <w:adjustRightInd w:val="0"/>
              <w:snapToGrid w:val="0"/>
              <w:spacing w:before="75" w:line="211" w:lineRule="auto"/>
              <w:ind w:left="234" w:right="3" w:firstLine="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（注：湖南省信用等级的评分以养护工程信用评价</w:t>
            </w:r>
            <w:r>
              <w:rPr>
                <w:rFonts w:ascii="宋体" w:hAnsi="宋体" w:eastAsia="宋体" w:cs="宋体"/>
                <w:snapToGrid w:val="0"/>
                <w:color w:val="000000"/>
                <w:spacing w:val="18"/>
                <w:kern w:val="0"/>
                <w:sz w:val="24"/>
                <w:szCs w:val="24"/>
                <w:lang w:val="en-US" w:eastAsia="en-US" w:bidi="ar-SA"/>
              </w:rPr>
              <w:t xml:space="preserve"> </w:t>
            </w:r>
            <w:r>
              <w:rPr>
                <w:rFonts w:ascii="宋体" w:hAnsi="宋体" w:eastAsia="宋体" w:cs="宋体"/>
                <w:snapToGrid w:val="0"/>
                <w:color w:val="000000"/>
                <w:spacing w:val="-3"/>
                <w:kern w:val="0"/>
                <w:sz w:val="24"/>
                <w:szCs w:val="24"/>
                <w:lang w:val="en-US" w:eastAsia="en-US" w:bidi="ar-SA"/>
              </w:rPr>
              <w:t>结果为准。）</w:t>
            </w:r>
          </w:p>
        </w:tc>
      </w:tr>
    </w:tbl>
    <w:p w14:paraId="0B813BA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30716398">
      <w:pPr>
        <w:sectPr>
          <w:footerReference r:id="rId5" w:type="default"/>
          <w:pgSz w:w="11900" w:h="16830"/>
          <w:pgMar w:top="400" w:right="1115" w:bottom="1166" w:left="1643" w:header="0" w:footer="1000" w:gutter="0"/>
          <w:cols w:space="720" w:num="1"/>
        </w:sectPr>
      </w:pPr>
    </w:p>
    <w:p w14:paraId="6A29FB33">
      <w:pPr>
        <w:widowControl/>
        <w:kinsoku w:val="0"/>
        <w:autoSpaceDE w:val="0"/>
        <w:autoSpaceDN w:val="0"/>
        <w:adjustRightInd w:val="0"/>
        <w:snapToGrid w:val="0"/>
        <w:spacing w:before="42" w:line="240" w:lineRule="auto"/>
        <w:jc w:val="left"/>
        <w:textAlignment w:val="baseline"/>
        <w:rPr>
          <w:rFonts w:ascii="Arial" w:hAnsi="Arial" w:eastAsia="Arial" w:cs="Arial"/>
          <w:snapToGrid w:val="0"/>
          <w:color w:val="000000"/>
          <w:kern w:val="0"/>
          <w:szCs w:val="21"/>
          <w:lang w:eastAsia="en-US"/>
        </w:rPr>
      </w:pPr>
    </w:p>
    <w:p w14:paraId="45E33D12">
      <w:pPr>
        <w:widowControl/>
        <w:kinsoku w:val="0"/>
        <w:autoSpaceDE w:val="0"/>
        <w:autoSpaceDN w:val="0"/>
        <w:adjustRightInd w:val="0"/>
        <w:snapToGrid w:val="0"/>
        <w:spacing w:before="42" w:line="240" w:lineRule="auto"/>
        <w:jc w:val="left"/>
        <w:textAlignment w:val="baseline"/>
        <w:rPr>
          <w:rFonts w:ascii="Arial" w:hAnsi="Arial" w:eastAsia="Arial" w:cs="Arial"/>
          <w:snapToGrid w:val="0"/>
          <w:color w:val="000000"/>
          <w:kern w:val="0"/>
          <w:szCs w:val="21"/>
          <w:lang w:eastAsia="en-US"/>
        </w:rPr>
      </w:pPr>
    </w:p>
    <w:p w14:paraId="5442BBBF">
      <w:pPr>
        <w:widowControl/>
        <w:kinsoku w:val="0"/>
        <w:autoSpaceDE w:val="0"/>
        <w:autoSpaceDN w:val="0"/>
        <w:adjustRightInd w:val="0"/>
        <w:snapToGrid w:val="0"/>
        <w:spacing w:before="41" w:line="240" w:lineRule="auto"/>
        <w:jc w:val="left"/>
        <w:textAlignment w:val="baseline"/>
        <w:rPr>
          <w:rFonts w:ascii="Arial" w:hAnsi="Arial" w:eastAsia="Arial" w:cs="Arial"/>
          <w:snapToGrid w:val="0"/>
          <w:color w:val="000000"/>
          <w:kern w:val="0"/>
          <w:szCs w:val="21"/>
          <w:lang w:eastAsia="en-US"/>
        </w:rPr>
      </w:pPr>
    </w:p>
    <w:tbl>
      <w:tblPr>
        <w:tblStyle w:val="4"/>
        <w:tblW w:w="91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39"/>
      </w:tblGrid>
      <w:tr w14:paraId="6A8D6A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681" w:hRule="atLeast"/>
        </w:trPr>
        <w:tc>
          <w:tcPr>
            <w:tcW w:w="9139" w:type="dxa"/>
            <w:vAlign w:val="top"/>
          </w:tcPr>
          <w:p w14:paraId="47455513">
            <w:pPr>
              <w:kinsoku w:val="0"/>
              <w:autoSpaceDE w:val="0"/>
              <w:autoSpaceDN w:val="0"/>
              <w:adjustRightInd w:val="0"/>
              <w:snapToGrid w:val="0"/>
              <w:spacing w:before="137" w:line="220" w:lineRule="auto"/>
              <w:ind w:left="11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需要补充的其他内容：</w:t>
            </w:r>
          </w:p>
          <w:p w14:paraId="63B246AE">
            <w:pPr>
              <w:kinsoku w:val="0"/>
              <w:autoSpaceDE w:val="0"/>
              <w:autoSpaceDN w:val="0"/>
              <w:adjustRightInd w:val="0"/>
              <w:snapToGrid w:val="0"/>
              <w:spacing w:before="126" w:line="220" w:lineRule="auto"/>
              <w:ind w:left="9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*3.5.3项修改为：</w:t>
            </w:r>
          </w:p>
          <w:p w14:paraId="4D1008E0">
            <w:pPr>
              <w:kinsoku w:val="0"/>
              <w:autoSpaceDE w:val="0"/>
              <w:autoSpaceDN w:val="0"/>
              <w:adjustRightInd w:val="0"/>
              <w:snapToGrid w:val="0"/>
              <w:spacing w:before="127" w:line="314" w:lineRule="auto"/>
              <w:ind w:left="108" w:firstLine="7"/>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0"/>
                <w:kern w:val="0"/>
                <w:sz w:val="22"/>
                <w:szCs w:val="22"/>
                <w:lang w:val="en-US" w:eastAsia="en-US" w:bidi="ar-SA"/>
              </w:rPr>
              <w:t>评标委员会发现投标人的报价明显低于其他投标报价，且其评</w:t>
            </w:r>
            <w:r>
              <w:rPr>
                <w:rFonts w:ascii="宋体" w:hAnsi="宋体" w:eastAsia="宋体" w:cs="宋体"/>
                <w:snapToGrid w:val="0"/>
                <w:color w:val="000000"/>
                <w:spacing w:val="-11"/>
                <w:kern w:val="0"/>
                <w:sz w:val="22"/>
                <w:szCs w:val="22"/>
                <w:lang w:val="en-US" w:eastAsia="en-US" w:bidi="ar-SA"/>
              </w:rPr>
              <w:t>标价低于理论成本价时，应要求该投</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1"/>
                <w:kern w:val="0"/>
                <w:sz w:val="22"/>
                <w:szCs w:val="22"/>
                <w:lang w:val="en-US" w:eastAsia="en-US" w:bidi="ar-SA"/>
              </w:rPr>
              <w:t>标人</w:t>
            </w:r>
            <w:r>
              <w:rPr>
                <w:rFonts w:ascii="宋体" w:hAnsi="宋体" w:eastAsia="宋体" w:cs="宋体"/>
                <w:snapToGrid w:val="0"/>
                <w:color w:val="000000"/>
                <w:spacing w:val="-10"/>
                <w:kern w:val="0"/>
                <w:sz w:val="22"/>
                <w:szCs w:val="22"/>
                <w:lang w:val="en-US" w:eastAsia="en-US" w:bidi="ar-SA"/>
              </w:rPr>
              <w:t>作出书面说明并提供相应的证明材料。投标人不能合理说明或不能提供相应证明</w:t>
            </w:r>
            <w:r>
              <w:rPr>
                <w:rFonts w:ascii="宋体" w:hAnsi="宋体" w:eastAsia="宋体" w:cs="宋体"/>
                <w:snapToGrid w:val="0"/>
                <w:color w:val="000000"/>
                <w:spacing w:val="-11"/>
                <w:kern w:val="0"/>
                <w:sz w:val="22"/>
                <w:szCs w:val="22"/>
                <w:lang w:val="en-US" w:eastAsia="en-US" w:bidi="ar-SA"/>
              </w:rPr>
              <w:t>材料的，由</w:t>
            </w:r>
            <w:r>
              <w:rPr>
                <w:rFonts w:ascii="宋体" w:hAnsi="宋体" w:eastAsia="宋体" w:cs="宋体"/>
                <w:snapToGrid w:val="0"/>
                <w:color w:val="000000"/>
                <w:spacing w:val="-9"/>
                <w:kern w:val="0"/>
                <w:sz w:val="22"/>
                <w:szCs w:val="22"/>
                <w:lang w:val="en-US" w:eastAsia="en-US" w:bidi="ar-SA"/>
              </w:rPr>
              <w:t>评</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0"/>
                <w:kern w:val="0"/>
                <w:sz w:val="22"/>
                <w:szCs w:val="22"/>
                <w:lang w:val="en-US" w:eastAsia="en-US" w:bidi="ar-SA"/>
              </w:rPr>
              <w:t>标委员会认定该投标人以低于成本报价竞标，并否决其投</w:t>
            </w:r>
            <w:r>
              <w:rPr>
                <w:rFonts w:ascii="宋体" w:hAnsi="宋体" w:eastAsia="宋体" w:cs="宋体"/>
                <w:snapToGrid w:val="0"/>
                <w:color w:val="000000"/>
                <w:spacing w:val="-11"/>
                <w:kern w:val="0"/>
                <w:sz w:val="22"/>
                <w:szCs w:val="22"/>
                <w:lang w:val="en-US" w:eastAsia="en-US" w:bidi="ar-SA"/>
              </w:rPr>
              <w:t>标。理论成本价的确定按第二章“投标人</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须知</w:t>
            </w:r>
            <w:r>
              <w:rPr>
                <w:rFonts w:ascii="宋体" w:hAnsi="宋体" w:eastAsia="宋体" w:cs="宋体"/>
                <w:snapToGrid w:val="0"/>
                <w:color w:val="000000"/>
                <w:spacing w:val="-71"/>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”第5.2.4.1目规定计算。</w:t>
            </w:r>
          </w:p>
          <w:p w14:paraId="32F80A10">
            <w:pPr>
              <w:kinsoku w:val="0"/>
              <w:autoSpaceDE w:val="0"/>
              <w:autoSpaceDN w:val="0"/>
              <w:adjustRightInd w:val="0"/>
              <w:snapToGrid w:val="0"/>
              <w:spacing w:line="220" w:lineRule="auto"/>
              <w:ind w:left="10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*3.7.1项修改为：</w:t>
            </w:r>
          </w:p>
          <w:p w14:paraId="3C11C9DC">
            <w:pPr>
              <w:kinsoku w:val="0"/>
              <w:autoSpaceDE w:val="0"/>
              <w:autoSpaceDN w:val="0"/>
              <w:adjustRightInd w:val="0"/>
              <w:snapToGrid w:val="0"/>
              <w:spacing w:before="134" w:line="316" w:lineRule="auto"/>
              <w:ind w:left="108" w:hanging="2"/>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1"/>
                <w:kern w:val="0"/>
                <w:sz w:val="22"/>
                <w:szCs w:val="22"/>
                <w:lang w:val="en-US" w:eastAsia="en-US" w:bidi="ar-SA"/>
              </w:rPr>
              <w:t>在</w:t>
            </w:r>
            <w:r>
              <w:rPr>
                <w:rFonts w:ascii="宋体" w:hAnsi="宋体" w:eastAsia="宋体" w:cs="宋体"/>
                <w:snapToGrid w:val="0"/>
                <w:color w:val="000000"/>
                <w:spacing w:val="-10"/>
                <w:kern w:val="0"/>
                <w:sz w:val="22"/>
                <w:szCs w:val="22"/>
                <w:lang w:val="en-US" w:eastAsia="en-US" w:bidi="ar-SA"/>
              </w:rPr>
              <w:t>评标过程中，评标委员会发现投标文件中含义不明确、对同类问题表述不一致、有明显</w:t>
            </w:r>
            <w:r>
              <w:rPr>
                <w:rFonts w:ascii="宋体" w:hAnsi="宋体" w:eastAsia="宋体" w:cs="宋体"/>
                <w:snapToGrid w:val="0"/>
                <w:color w:val="000000"/>
                <w:spacing w:val="-11"/>
                <w:kern w:val="0"/>
                <w:sz w:val="22"/>
                <w:szCs w:val="22"/>
                <w:lang w:val="en-US" w:eastAsia="en-US" w:bidi="ar-SA"/>
              </w:rPr>
              <w:t>文字和</w:t>
            </w:r>
            <w:r>
              <w:rPr>
                <w:rFonts w:ascii="宋体" w:hAnsi="宋体" w:eastAsia="宋体" w:cs="宋体"/>
                <w:snapToGrid w:val="0"/>
                <w:color w:val="000000"/>
                <w:spacing w:val="-10"/>
                <w:kern w:val="0"/>
                <w:sz w:val="22"/>
                <w:szCs w:val="22"/>
                <w:lang w:val="en-US" w:eastAsia="en-US" w:bidi="ar-SA"/>
              </w:rPr>
              <w:t>计</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0"/>
                <w:kern w:val="0"/>
                <w:sz w:val="22"/>
                <w:szCs w:val="22"/>
                <w:lang w:val="en-US" w:eastAsia="en-US" w:bidi="ar-SA"/>
              </w:rPr>
              <w:t>算错误、投标报价可能低于成本影响履约的，应当以书面形式要求投标人对投标文</w:t>
            </w:r>
            <w:r>
              <w:rPr>
                <w:rFonts w:ascii="宋体" w:hAnsi="宋体" w:eastAsia="宋体" w:cs="宋体"/>
                <w:snapToGrid w:val="0"/>
                <w:color w:val="000000"/>
                <w:spacing w:val="-11"/>
                <w:kern w:val="0"/>
                <w:sz w:val="22"/>
                <w:szCs w:val="22"/>
                <w:lang w:val="en-US" w:eastAsia="en-US" w:bidi="ar-SA"/>
              </w:rPr>
              <w:t>件作必要的澄清</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0"/>
                <w:kern w:val="0"/>
                <w:sz w:val="22"/>
                <w:szCs w:val="22"/>
                <w:lang w:val="en-US" w:eastAsia="en-US" w:bidi="ar-SA"/>
              </w:rPr>
              <w:t>、说明，不得直接否决投标。评标委员会不接受投</w:t>
            </w:r>
            <w:r>
              <w:rPr>
                <w:rFonts w:ascii="宋体" w:hAnsi="宋体" w:eastAsia="宋体" w:cs="宋体"/>
                <w:snapToGrid w:val="0"/>
                <w:color w:val="000000"/>
                <w:spacing w:val="-11"/>
                <w:kern w:val="0"/>
                <w:sz w:val="22"/>
                <w:szCs w:val="22"/>
                <w:lang w:val="en-US" w:eastAsia="en-US" w:bidi="ar-SA"/>
              </w:rPr>
              <w:t>标人主动提出的澄清、说明。投标人不按评标委</w:t>
            </w:r>
            <w:r>
              <w:rPr>
                <w:rFonts w:ascii="宋体" w:hAnsi="宋体" w:eastAsia="宋体" w:cs="宋体"/>
                <w:snapToGrid w:val="0"/>
                <w:color w:val="000000"/>
                <w:kern w:val="0"/>
                <w:sz w:val="22"/>
                <w:szCs w:val="22"/>
                <w:lang w:val="en-US" w:eastAsia="en-US" w:bidi="ar-SA"/>
              </w:rPr>
              <w:t xml:space="preserve"> 员会要求澄清或说明的，评标委员会应否决其投标。</w:t>
            </w:r>
          </w:p>
          <w:p w14:paraId="54EED107">
            <w:pPr>
              <w:kinsoku w:val="0"/>
              <w:autoSpaceDE w:val="0"/>
              <w:autoSpaceDN w:val="0"/>
              <w:adjustRightInd w:val="0"/>
              <w:snapToGrid w:val="0"/>
              <w:spacing w:line="220" w:lineRule="auto"/>
              <w:ind w:left="10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补充第3.9.3项：</w:t>
            </w:r>
          </w:p>
          <w:p w14:paraId="74BB853E">
            <w:pPr>
              <w:kinsoku w:val="0"/>
              <w:autoSpaceDE w:val="0"/>
              <w:autoSpaceDN w:val="0"/>
              <w:adjustRightInd w:val="0"/>
              <w:snapToGrid w:val="0"/>
              <w:spacing w:before="117" w:line="273" w:lineRule="auto"/>
              <w:ind w:left="118"/>
              <w:jc w:val="both"/>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1"/>
                <w:kern w:val="0"/>
                <w:sz w:val="22"/>
                <w:szCs w:val="22"/>
                <w:lang w:val="en-US" w:eastAsia="en-US" w:bidi="ar-SA"/>
              </w:rPr>
              <w:t>有</w:t>
            </w:r>
            <w:r>
              <w:rPr>
                <w:rFonts w:ascii="宋体" w:hAnsi="宋体" w:eastAsia="宋体" w:cs="宋体"/>
                <w:snapToGrid w:val="0"/>
                <w:color w:val="000000"/>
                <w:spacing w:val="-10"/>
                <w:kern w:val="0"/>
                <w:sz w:val="22"/>
                <w:szCs w:val="22"/>
                <w:lang w:val="en-US" w:eastAsia="en-US" w:bidi="ar-SA"/>
              </w:rPr>
              <w:t>效投标不足三个的，评标委员会应当对投标是否明显缺乏竞</w:t>
            </w:r>
            <w:r>
              <w:rPr>
                <w:rFonts w:ascii="宋体" w:hAnsi="宋体" w:eastAsia="宋体" w:cs="宋体"/>
                <w:snapToGrid w:val="0"/>
                <w:color w:val="000000"/>
                <w:spacing w:val="-11"/>
                <w:kern w:val="0"/>
                <w:sz w:val="22"/>
                <w:szCs w:val="22"/>
                <w:lang w:val="en-US" w:eastAsia="en-US" w:bidi="ar-SA"/>
              </w:rPr>
              <w:t>争和是否需要否决全部投标进行充</w:t>
            </w:r>
            <w:r>
              <w:rPr>
                <w:rFonts w:ascii="宋体" w:hAnsi="宋体" w:eastAsia="宋体" w:cs="宋体"/>
                <w:snapToGrid w:val="0"/>
                <w:color w:val="000000"/>
                <w:spacing w:val="-10"/>
                <w:kern w:val="0"/>
                <w:sz w:val="22"/>
                <w:szCs w:val="22"/>
                <w:lang w:val="en-US" w:eastAsia="en-US" w:bidi="ar-SA"/>
              </w:rPr>
              <w:t>分</w:t>
            </w:r>
            <w:r>
              <w:rPr>
                <w:rFonts w:ascii="宋体" w:hAnsi="宋体" w:eastAsia="宋体" w:cs="宋体"/>
                <w:snapToGrid w:val="0"/>
                <w:color w:val="000000"/>
                <w:kern w:val="0"/>
                <w:sz w:val="22"/>
                <w:szCs w:val="22"/>
                <w:lang w:val="en-US" w:eastAsia="en-US" w:bidi="ar-SA"/>
              </w:rPr>
              <w:t xml:space="preserve"> </w:t>
            </w:r>
            <w:r>
              <w:rPr>
                <w:rFonts w:ascii="宋体" w:hAnsi="宋体" w:eastAsia="宋体" w:cs="宋体"/>
                <w:snapToGrid w:val="0"/>
                <w:color w:val="000000"/>
                <w:spacing w:val="-11"/>
                <w:kern w:val="0"/>
                <w:sz w:val="22"/>
                <w:szCs w:val="22"/>
                <w:lang w:val="en-US" w:eastAsia="en-US" w:bidi="ar-SA"/>
              </w:rPr>
              <w:t>论证，并在评标报告中记载论证过程和结果；发现违法行为的，以及评标过程和结果受到非法影响</w:t>
            </w:r>
            <w:r>
              <w:rPr>
                <w:rFonts w:ascii="宋体" w:hAnsi="宋体" w:eastAsia="宋体" w:cs="宋体"/>
                <w:snapToGrid w:val="0"/>
                <w:color w:val="000000"/>
                <w:spacing w:val="17"/>
                <w:kern w:val="0"/>
                <w:sz w:val="22"/>
                <w:szCs w:val="22"/>
                <w:lang w:val="en-US" w:eastAsia="en-US" w:bidi="ar-SA"/>
              </w:rPr>
              <w:t xml:space="preserve"> </w:t>
            </w:r>
            <w:r>
              <w:rPr>
                <w:rFonts w:ascii="宋体" w:hAnsi="宋体" w:eastAsia="宋体" w:cs="宋体"/>
                <w:snapToGrid w:val="0"/>
                <w:color w:val="000000"/>
                <w:spacing w:val="-3"/>
                <w:kern w:val="0"/>
                <w:sz w:val="22"/>
                <w:szCs w:val="22"/>
                <w:lang w:val="en-US" w:eastAsia="en-US" w:bidi="ar-SA"/>
              </w:rPr>
              <w:t>或者干预的，应当及时向监督部门报告。</w:t>
            </w:r>
          </w:p>
        </w:tc>
      </w:tr>
    </w:tbl>
    <w:p w14:paraId="465DE5F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1D1F93A0">
      <w:pPr>
        <w:sectPr>
          <w:footerReference r:id="rId6" w:type="default"/>
          <w:pgSz w:w="11900" w:h="16830"/>
          <w:pgMar w:top="400" w:right="1112" w:bottom="1166" w:left="1643" w:header="0" w:footer="1000" w:gutter="0"/>
          <w:cols w:space="720" w:num="1"/>
        </w:sectPr>
      </w:pPr>
    </w:p>
    <w:p w14:paraId="68C647F4">
      <w:pPr>
        <w:widowControl/>
        <w:kinsoku w:val="0"/>
        <w:autoSpaceDE w:val="0"/>
        <w:autoSpaceDN w:val="0"/>
        <w:adjustRightInd w:val="0"/>
        <w:snapToGrid w:val="0"/>
        <w:spacing w:before="97" w:line="221" w:lineRule="auto"/>
        <w:ind w:left="24"/>
        <w:jc w:val="left"/>
        <w:textAlignment w:val="baseline"/>
        <w:rPr>
          <w:rFonts w:ascii="黑体" w:hAnsi="黑体" w:eastAsia="黑体" w:cs="黑体"/>
          <w:snapToGrid w:val="0"/>
          <w:color w:val="000000"/>
          <w:kern w:val="0"/>
          <w:sz w:val="30"/>
          <w:szCs w:val="30"/>
          <w:lang w:eastAsia="en-US"/>
        </w:rPr>
      </w:pPr>
      <w:r>
        <w:rPr>
          <w:rFonts w:ascii="黑体" w:hAnsi="黑体" w:eastAsia="黑体" w:cs="黑体"/>
          <w:b/>
          <w:bCs/>
          <w:snapToGrid w:val="0"/>
          <w:color w:val="000000"/>
          <w:spacing w:val="-17"/>
          <w:kern w:val="0"/>
          <w:sz w:val="30"/>
          <w:szCs w:val="30"/>
          <w:lang w:eastAsia="en-US"/>
        </w:rPr>
        <w:t>1.评标方法</w:t>
      </w:r>
    </w:p>
    <w:p w14:paraId="4FED954E">
      <w:pPr>
        <w:widowControl/>
        <w:kinsoku w:val="0"/>
        <w:autoSpaceDE w:val="0"/>
        <w:autoSpaceDN w:val="0"/>
        <w:adjustRightInd w:val="0"/>
        <w:snapToGrid w:val="0"/>
        <w:spacing w:before="211" w:line="376" w:lineRule="auto"/>
        <w:ind w:firstLine="482"/>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2"/>
          <w:kern w:val="0"/>
          <w:sz w:val="22"/>
          <w:szCs w:val="22"/>
          <w:lang w:eastAsia="en-US"/>
        </w:rPr>
        <w:t>本次评标采用综合评分法。评标委员会对满足招标文件</w:t>
      </w:r>
      <w:r>
        <w:rPr>
          <w:rFonts w:ascii="黑体" w:hAnsi="黑体" w:eastAsia="黑体" w:cs="黑体"/>
          <w:snapToGrid w:val="0"/>
          <w:color w:val="000000"/>
          <w:spacing w:val="21"/>
          <w:kern w:val="0"/>
          <w:sz w:val="22"/>
          <w:szCs w:val="22"/>
          <w:lang w:eastAsia="en-US"/>
        </w:rPr>
        <w:t>实质性要求的投标文件，</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8"/>
          <w:kern w:val="0"/>
          <w:sz w:val="22"/>
          <w:szCs w:val="22"/>
          <w:lang w:eastAsia="en-US"/>
        </w:rPr>
        <w:t>按照本章第2.2款规定</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28"/>
          <w:kern w:val="0"/>
          <w:sz w:val="22"/>
          <w:szCs w:val="22"/>
          <w:lang w:eastAsia="en-US"/>
        </w:rPr>
        <w:t>的评分标准进行打分，并按得分</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28"/>
          <w:kern w:val="0"/>
          <w:sz w:val="22"/>
          <w:szCs w:val="22"/>
          <w:lang w:eastAsia="en-US"/>
        </w:rPr>
        <w:t>由高到低顺序推荐</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27"/>
          <w:kern w:val="0"/>
          <w:sz w:val="22"/>
          <w:szCs w:val="22"/>
          <w:lang w:eastAsia="en-US"/>
        </w:rPr>
        <w:t>中标候</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6"/>
          <w:kern w:val="0"/>
          <w:sz w:val="22"/>
          <w:szCs w:val="22"/>
          <w:lang w:eastAsia="en-US"/>
        </w:rPr>
        <w:t>选人</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26"/>
          <w:kern w:val="0"/>
          <w:sz w:val="22"/>
          <w:szCs w:val="22"/>
          <w:lang w:eastAsia="en-US"/>
        </w:rPr>
        <w:t>，或根据招标人授权直接确定中标人</w:t>
      </w:r>
      <w:r>
        <w:rPr>
          <w:rFonts w:ascii="黑体" w:hAnsi="黑体" w:eastAsia="黑体" w:cs="黑体"/>
          <w:snapToGrid w:val="0"/>
          <w:color w:val="000000"/>
          <w:spacing w:val="-57"/>
          <w:kern w:val="0"/>
          <w:sz w:val="22"/>
          <w:szCs w:val="22"/>
          <w:lang w:eastAsia="en-US"/>
        </w:rPr>
        <w:t xml:space="preserve"> </w:t>
      </w:r>
      <w:r>
        <w:rPr>
          <w:rFonts w:ascii="黑体" w:hAnsi="黑体" w:eastAsia="黑体" w:cs="黑体"/>
          <w:snapToGrid w:val="0"/>
          <w:color w:val="000000"/>
          <w:spacing w:val="26"/>
          <w:kern w:val="0"/>
          <w:sz w:val="22"/>
          <w:szCs w:val="22"/>
          <w:lang w:eastAsia="en-US"/>
        </w:rPr>
        <w:t>，但投标</w:t>
      </w:r>
      <w:r>
        <w:rPr>
          <w:rFonts w:ascii="黑体" w:hAnsi="黑体" w:eastAsia="黑体" w:cs="黑体"/>
          <w:snapToGrid w:val="0"/>
          <w:color w:val="000000"/>
          <w:spacing w:val="25"/>
          <w:kern w:val="0"/>
          <w:sz w:val="22"/>
          <w:szCs w:val="22"/>
          <w:lang w:eastAsia="en-US"/>
        </w:rPr>
        <w:t>报价低于其成本的除外</w:t>
      </w:r>
      <w:r>
        <w:rPr>
          <w:rFonts w:ascii="黑体" w:hAnsi="黑体" w:eastAsia="黑体" w:cs="黑体"/>
          <w:snapToGrid w:val="0"/>
          <w:color w:val="000000"/>
          <w:spacing w:val="-58"/>
          <w:kern w:val="0"/>
          <w:sz w:val="22"/>
          <w:szCs w:val="22"/>
          <w:lang w:eastAsia="en-US"/>
        </w:rPr>
        <w:t xml:space="preserve"> </w:t>
      </w:r>
      <w:r>
        <w:rPr>
          <w:rFonts w:ascii="黑体" w:hAnsi="黑体" w:eastAsia="黑体" w:cs="黑体"/>
          <w:snapToGrid w:val="0"/>
          <w:color w:val="000000"/>
          <w:spacing w:val="25"/>
          <w:kern w:val="0"/>
          <w:sz w:val="22"/>
          <w:szCs w:val="22"/>
          <w:lang w:eastAsia="en-US"/>
        </w:rPr>
        <w:t>。综合</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30"/>
          <w:kern w:val="0"/>
          <w:sz w:val="22"/>
          <w:szCs w:val="22"/>
          <w:lang w:eastAsia="en-US"/>
        </w:rPr>
        <w:t>评分相等时，评标委员会应按照评标办法前附表规定的优先次序推荐中标候选人</w:t>
      </w:r>
      <w:r>
        <w:rPr>
          <w:rFonts w:ascii="黑体" w:hAnsi="黑体" w:eastAsia="黑体" w:cs="黑体"/>
          <w:snapToGrid w:val="0"/>
          <w:color w:val="000000"/>
          <w:spacing w:val="1"/>
          <w:kern w:val="0"/>
          <w:sz w:val="22"/>
          <w:szCs w:val="22"/>
          <w:lang w:eastAsia="en-US"/>
        </w:rPr>
        <w:t xml:space="preserve">  </w:t>
      </w:r>
      <w:r>
        <w:rPr>
          <w:rFonts w:ascii="黑体" w:hAnsi="黑体" w:eastAsia="黑体" w:cs="黑体"/>
          <w:snapToGrid w:val="0"/>
          <w:color w:val="000000"/>
          <w:spacing w:val="11"/>
          <w:kern w:val="0"/>
          <w:sz w:val="22"/>
          <w:szCs w:val="22"/>
          <w:lang w:eastAsia="en-US"/>
        </w:rPr>
        <w:t>或确定</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11"/>
          <w:kern w:val="0"/>
          <w:sz w:val="22"/>
          <w:szCs w:val="22"/>
          <w:lang w:eastAsia="en-US"/>
        </w:rPr>
        <w:t>中标人。</w:t>
      </w:r>
    </w:p>
    <w:p w14:paraId="72648739">
      <w:pPr>
        <w:widowControl/>
        <w:kinsoku w:val="0"/>
        <w:autoSpaceDE w:val="0"/>
        <w:autoSpaceDN w:val="0"/>
        <w:adjustRightInd w:val="0"/>
        <w:snapToGrid w:val="0"/>
        <w:spacing w:before="87" w:line="222" w:lineRule="auto"/>
        <w:ind w:left="6"/>
        <w:jc w:val="left"/>
        <w:textAlignment w:val="baseline"/>
        <w:rPr>
          <w:rFonts w:ascii="黑体" w:hAnsi="黑体" w:eastAsia="黑体" w:cs="黑体"/>
          <w:snapToGrid w:val="0"/>
          <w:color w:val="000000"/>
          <w:kern w:val="0"/>
          <w:sz w:val="30"/>
          <w:szCs w:val="30"/>
          <w:lang w:eastAsia="en-US"/>
        </w:rPr>
      </w:pPr>
      <w:r>
        <w:rPr>
          <w:rFonts w:ascii="黑体" w:hAnsi="黑体" w:eastAsia="黑体" w:cs="黑体"/>
          <w:b/>
          <w:bCs/>
          <w:snapToGrid w:val="0"/>
          <w:color w:val="000000"/>
          <w:spacing w:val="-14"/>
          <w:kern w:val="0"/>
          <w:sz w:val="30"/>
          <w:szCs w:val="30"/>
          <w:lang w:eastAsia="en-US"/>
        </w:rPr>
        <w:t>2.评审标准</w:t>
      </w:r>
    </w:p>
    <w:p w14:paraId="1254494A">
      <w:pPr>
        <w:kinsoku w:val="0"/>
        <w:autoSpaceDE w:val="0"/>
        <w:autoSpaceDN w:val="0"/>
        <w:adjustRightInd w:val="0"/>
        <w:snapToGrid w:val="0"/>
        <w:spacing w:line="379" w:lineRule="auto"/>
        <w:jc w:val="left"/>
        <w:textAlignment w:val="baseline"/>
        <w:rPr>
          <w:rFonts w:ascii="Arial" w:hAnsi="Arial" w:eastAsia="Arial" w:cs="Arial"/>
          <w:snapToGrid w:val="0"/>
          <w:color w:val="000000"/>
          <w:kern w:val="0"/>
          <w:sz w:val="21"/>
          <w:szCs w:val="21"/>
          <w:lang w:val="en-US" w:eastAsia="en-US" w:bidi="ar-SA"/>
        </w:rPr>
      </w:pPr>
    </w:p>
    <w:p w14:paraId="6E59F177">
      <w:pPr>
        <w:widowControl/>
        <w:kinsoku w:val="0"/>
        <w:autoSpaceDE w:val="0"/>
        <w:autoSpaceDN w:val="0"/>
        <w:adjustRightInd w:val="0"/>
        <w:snapToGrid w:val="0"/>
        <w:spacing w:before="72" w:line="230" w:lineRule="auto"/>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5"/>
          <w:kern w:val="0"/>
          <w:sz w:val="22"/>
          <w:szCs w:val="22"/>
          <w:lang w:eastAsia="en-US"/>
        </w:rPr>
        <w:t>2.1初步评审标准</w:t>
      </w:r>
    </w:p>
    <w:p w14:paraId="66097E12">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14:paraId="0EB9D01F">
      <w:pPr>
        <w:widowControl/>
        <w:kinsoku w:val="0"/>
        <w:autoSpaceDE w:val="0"/>
        <w:autoSpaceDN w:val="0"/>
        <w:adjustRightInd w:val="0"/>
        <w:snapToGrid w:val="0"/>
        <w:spacing w:before="71" w:line="229"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6"/>
          <w:kern w:val="0"/>
          <w:sz w:val="22"/>
          <w:szCs w:val="22"/>
          <w:lang w:eastAsia="en-US"/>
        </w:rPr>
        <w:t>2.1.1形式评审标准：</w:t>
      </w:r>
      <w:r>
        <w:rPr>
          <w:rFonts w:ascii="黑体" w:hAnsi="黑体" w:eastAsia="黑体" w:cs="黑体"/>
          <w:snapToGrid w:val="0"/>
          <w:color w:val="000000"/>
          <w:spacing w:val="-48"/>
          <w:kern w:val="0"/>
          <w:sz w:val="22"/>
          <w:szCs w:val="22"/>
          <w:lang w:eastAsia="en-US"/>
        </w:rPr>
        <w:t xml:space="preserve"> </w:t>
      </w:r>
      <w:r>
        <w:rPr>
          <w:rFonts w:ascii="黑体" w:hAnsi="黑体" w:eastAsia="黑体" w:cs="黑体"/>
          <w:snapToGrid w:val="0"/>
          <w:color w:val="000000"/>
          <w:spacing w:val="16"/>
          <w:kern w:val="0"/>
          <w:sz w:val="22"/>
          <w:szCs w:val="22"/>
          <w:lang w:eastAsia="en-US"/>
        </w:rPr>
        <w:t>见评标办法前附表。</w:t>
      </w:r>
    </w:p>
    <w:p w14:paraId="246B2A69">
      <w:pPr>
        <w:widowControl/>
        <w:kinsoku w:val="0"/>
        <w:autoSpaceDE w:val="0"/>
        <w:autoSpaceDN w:val="0"/>
        <w:adjustRightInd w:val="0"/>
        <w:snapToGrid w:val="0"/>
        <w:spacing w:before="176" w:line="229"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2.1.2资格评审标准：</w:t>
      </w:r>
      <w:r>
        <w:rPr>
          <w:rFonts w:ascii="黑体" w:hAnsi="黑体" w:eastAsia="黑体" w:cs="黑体"/>
          <w:snapToGrid w:val="0"/>
          <w:color w:val="000000"/>
          <w:spacing w:val="-60"/>
          <w:kern w:val="0"/>
          <w:sz w:val="22"/>
          <w:szCs w:val="22"/>
          <w:lang w:eastAsia="en-US"/>
        </w:rPr>
        <w:t xml:space="preserve"> </w:t>
      </w:r>
      <w:r>
        <w:rPr>
          <w:rFonts w:ascii="黑体" w:hAnsi="黑体" w:eastAsia="黑体" w:cs="黑体"/>
          <w:snapToGrid w:val="0"/>
          <w:color w:val="000000"/>
          <w:spacing w:val="19"/>
          <w:kern w:val="0"/>
          <w:sz w:val="22"/>
          <w:szCs w:val="22"/>
          <w:lang w:eastAsia="en-US"/>
        </w:rPr>
        <w:t>见评标办法前附表(适用于未进行资格预审的</w:t>
      </w:r>
      <w:r>
        <w:rPr>
          <w:rFonts w:ascii="黑体" w:hAnsi="黑体" w:eastAsia="黑体" w:cs="黑体"/>
          <w:snapToGrid w:val="0"/>
          <w:color w:val="000000"/>
          <w:spacing w:val="18"/>
          <w:kern w:val="0"/>
          <w:sz w:val="22"/>
          <w:szCs w:val="22"/>
          <w:lang w:eastAsia="en-US"/>
        </w:rPr>
        <w:t>)。</w:t>
      </w:r>
    </w:p>
    <w:p w14:paraId="5E5BE13B">
      <w:pPr>
        <w:widowControl/>
        <w:kinsoku w:val="0"/>
        <w:autoSpaceDE w:val="0"/>
        <w:autoSpaceDN w:val="0"/>
        <w:adjustRightInd w:val="0"/>
        <w:snapToGrid w:val="0"/>
        <w:spacing w:before="174" w:line="302" w:lineRule="auto"/>
        <w:ind w:left="4" w:right="171" w:firstLine="47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2.1.2资格评审标准：</w:t>
      </w:r>
      <w:r>
        <w:rPr>
          <w:rFonts w:ascii="黑体" w:hAnsi="黑体" w:eastAsia="黑体" w:cs="黑体"/>
          <w:snapToGrid w:val="0"/>
          <w:color w:val="000000"/>
          <w:spacing w:val="-60"/>
          <w:kern w:val="0"/>
          <w:sz w:val="22"/>
          <w:szCs w:val="22"/>
          <w:lang w:eastAsia="en-US"/>
        </w:rPr>
        <w:t xml:space="preserve"> </w:t>
      </w:r>
      <w:r>
        <w:rPr>
          <w:rFonts w:ascii="黑体" w:hAnsi="黑体" w:eastAsia="黑体" w:cs="黑体"/>
          <w:snapToGrid w:val="0"/>
          <w:color w:val="000000"/>
          <w:spacing w:val="20"/>
          <w:kern w:val="0"/>
          <w:sz w:val="22"/>
          <w:szCs w:val="22"/>
          <w:lang w:eastAsia="en-US"/>
        </w:rPr>
        <w:t>见资格预审文件第三章“资</w:t>
      </w:r>
      <w:r>
        <w:rPr>
          <w:rFonts w:ascii="黑体" w:hAnsi="黑体" w:eastAsia="黑体" w:cs="黑体"/>
          <w:snapToGrid w:val="0"/>
          <w:color w:val="000000"/>
          <w:spacing w:val="19"/>
          <w:kern w:val="0"/>
          <w:sz w:val="22"/>
          <w:szCs w:val="22"/>
          <w:lang w:eastAsia="en-US"/>
        </w:rPr>
        <w:t>格审查办法</w:t>
      </w:r>
      <w:r>
        <w:rPr>
          <w:rFonts w:ascii="黑体" w:hAnsi="黑体" w:eastAsia="黑体" w:cs="黑体"/>
          <w:snapToGrid w:val="0"/>
          <w:color w:val="000000"/>
          <w:spacing w:val="-77"/>
          <w:kern w:val="0"/>
          <w:sz w:val="22"/>
          <w:szCs w:val="22"/>
          <w:lang w:eastAsia="en-US"/>
        </w:rPr>
        <w:t xml:space="preserve"> </w:t>
      </w:r>
      <w:r>
        <w:rPr>
          <w:rFonts w:ascii="黑体" w:hAnsi="黑体" w:eastAsia="黑体" w:cs="黑体"/>
          <w:snapToGrid w:val="0"/>
          <w:color w:val="000000"/>
          <w:spacing w:val="19"/>
          <w:kern w:val="0"/>
          <w:sz w:val="22"/>
          <w:szCs w:val="22"/>
          <w:lang w:eastAsia="en-US"/>
        </w:rPr>
        <w:t>”详细审查标准(</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9"/>
          <w:kern w:val="0"/>
          <w:sz w:val="22"/>
          <w:szCs w:val="22"/>
          <w:lang w:eastAsia="en-US"/>
        </w:rPr>
        <w:t>适用于已进行资格预审的)。</w:t>
      </w:r>
    </w:p>
    <w:p w14:paraId="58C6F324">
      <w:pPr>
        <w:widowControl/>
        <w:kinsoku w:val="0"/>
        <w:autoSpaceDE w:val="0"/>
        <w:autoSpaceDN w:val="0"/>
        <w:adjustRightInd w:val="0"/>
        <w:snapToGrid w:val="0"/>
        <w:spacing w:before="175" w:line="229"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2.1.3响应性评审标准：</w:t>
      </w:r>
      <w:r>
        <w:rPr>
          <w:rFonts w:ascii="黑体" w:hAnsi="黑体" w:eastAsia="黑体" w:cs="黑体"/>
          <w:snapToGrid w:val="0"/>
          <w:color w:val="000000"/>
          <w:spacing w:val="-61"/>
          <w:kern w:val="0"/>
          <w:sz w:val="22"/>
          <w:szCs w:val="22"/>
          <w:lang w:eastAsia="en-US"/>
        </w:rPr>
        <w:t xml:space="preserve"> </w:t>
      </w:r>
      <w:r>
        <w:rPr>
          <w:rFonts w:ascii="黑体" w:hAnsi="黑体" w:eastAsia="黑体" w:cs="黑体"/>
          <w:snapToGrid w:val="0"/>
          <w:color w:val="000000"/>
          <w:spacing w:val="17"/>
          <w:kern w:val="0"/>
          <w:sz w:val="22"/>
          <w:szCs w:val="22"/>
          <w:lang w:eastAsia="en-US"/>
        </w:rPr>
        <w:t>见评标办法前附表。</w:t>
      </w:r>
    </w:p>
    <w:p w14:paraId="34309341">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14:paraId="239F4DC7">
      <w:pPr>
        <w:widowControl/>
        <w:kinsoku w:val="0"/>
        <w:autoSpaceDE w:val="0"/>
        <w:autoSpaceDN w:val="0"/>
        <w:adjustRightInd w:val="0"/>
        <w:snapToGrid w:val="0"/>
        <w:spacing w:before="72" w:line="230" w:lineRule="auto"/>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2.2分值构成与评分标准</w:t>
      </w:r>
    </w:p>
    <w:p w14:paraId="35286A8B">
      <w:pPr>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val="en-US" w:eastAsia="en-US" w:bidi="ar-SA"/>
        </w:rPr>
      </w:pPr>
    </w:p>
    <w:p w14:paraId="012853FD">
      <w:pPr>
        <w:widowControl/>
        <w:kinsoku w:val="0"/>
        <w:autoSpaceDE w:val="0"/>
        <w:autoSpaceDN w:val="0"/>
        <w:adjustRightInd w:val="0"/>
        <w:snapToGrid w:val="0"/>
        <w:spacing w:before="73" w:line="231"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5"/>
          <w:kern w:val="0"/>
          <w:sz w:val="22"/>
          <w:szCs w:val="22"/>
          <w:lang w:eastAsia="en-US"/>
        </w:rPr>
        <w:t>2.2.1分值构成</w:t>
      </w:r>
    </w:p>
    <w:p w14:paraId="7E82A143">
      <w:pPr>
        <w:widowControl/>
        <w:kinsoku w:val="0"/>
        <w:autoSpaceDE w:val="0"/>
        <w:autoSpaceDN w:val="0"/>
        <w:adjustRightInd w:val="0"/>
        <w:snapToGrid w:val="0"/>
        <w:spacing w:before="172"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4"/>
          <w:kern w:val="0"/>
          <w:sz w:val="22"/>
          <w:szCs w:val="22"/>
          <w:lang w:eastAsia="en-US"/>
        </w:rPr>
        <w:t>(1)施工组织设计：</w:t>
      </w:r>
      <w:r>
        <w:rPr>
          <w:rFonts w:ascii="黑体" w:hAnsi="黑体" w:eastAsia="黑体" w:cs="黑体"/>
          <w:snapToGrid w:val="0"/>
          <w:color w:val="000000"/>
          <w:spacing w:val="-47"/>
          <w:kern w:val="0"/>
          <w:sz w:val="22"/>
          <w:szCs w:val="22"/>
          <w:lang w:eastAsia="en-US"/>
        </w:rPr>
        <w:t xml:space="preserve"> </w:t>
      </w:r>
      <w:r>
        <w:rPr>
          <w:rFonts w:ascii="黑体" w:hAnsi="黑体" w:eastAsia="黑体" w:cs="黑体"/>
          <w:snapToGrid w:val="0"/>
          <w:color w:val="000000"/>
          <w:spacing w:val="14"/>
          <w:kern w:val="0"/>
          <w:sz w:val="22"/>
          <w:szCs w:val="22"/>
          <w:lang w:eastAsia="en-US"/>
        </w:rPr>
        <w:t>见评标办法前附表；</w:t>
      </w:r>
    </w:p>
    <w:p w14:paraId="14E0182D">
      <w:pPr>
        <w:widowControl/>
        <w:kinsoku w:val="0"/>
        <w:autoSpaceDE w:val="0"/>
        <w:autoSpaceDN w:val="0"/>
        <w:adjustRightInd w:val="0"/>
        <w:snapToGrid w:val="0"/>
        <w:spacing w:before="185"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3"/>
          <w:kern w:val="0"/>
          <w:sz w:val="22"/>
          <w:szCs w:val="22"/>
          <w:lang w:eastAsia="en-US"/>
        </w:rPr>
        <w:t>(2)主要人员：</w:t>
      </w:r>
      <w:r>
        <w:rPr>
          <w:rFonts w:ascii="黑体" w:hAnsi="黑体" w:eastAsia="黑体" w:cs="黑体"/>
          <w:snapToGrid w:val="0"/>
          <w:color w:val="000000"/>
          <w:spacing w:val="-50"/>
          <w:kern w:val="0"/>
          <w:sz w:val="22"/>
          <w:szCs w:val="22"/>
          <w:lang w:eastAsia="en-US"/>
        </w:rPr>
        <w:t xml:space="preserve"> </w:t>
      </w:r>
      <w:r>
        <w:rPr>
          <w:rFonts w:ascii="黑体" w:hAnsi="黑体" w:eastAsia="黑体" w:cs="黑体"/>
          <w:snapToGrid w:val="0"/>
          <w:color w:val="000000"/>
          <w:spacing w:val="13"/>
          <w:kern w:val="0"/>
          <w:sz w:val="22"/>
          <w:szCs w:val="22"/>
          <w:lang w:eastAsia="en-US"/>
        </w:rPr>
        <w:t>见评标办法前附表；</w:t>
      </w:r>
    </w:p>
    <w:p w14:paraId="11D8331D">
      <w:pPr>
        <w:widowControl/>
        <w:kinsoku w:val="0"/>
        <w:autoSpaceDE w:val="0"/>
        <w:autoSpaceDN w:val="0"/>
        <w:adjustRightInd w:val="0"/>
        <w:snapToGrid w:val="0"/>
        <w:spacing w:before="183"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3"/>
          <w:kern w:val="0"/>
          <w:sz w:val="22"/>
          <w:szCs w:val="22"/>
          <w:lang w:eastAsia="en-US"/>
        </w:rPr>
        <w:t>(3)评标价：</w:t>
      </w:r>
      <w:r>
        <w:rPr>
          <w:rFonts w:ascii="黑体" w:hAnsi="黑体" w:eastAsia="黑体" w:cs="黑体"/>
          <w:snapToGrid w:val="0"/>
          <w:color w:val="000000"/>
          <w:spacing w:val="-61"/>
          <w:kern w:val="0"/>
          <w:sz w:val="22"/>
          <w:szCs w:val="22"/>
          <w:lang w:eastAsia="en-US"/>
        </w:rPr>
        <w:t xml:space="preserve"> </w:t>
      </w:r>
      <w:r>
        <w:rPr>
          <w:rFonts w:ascii="黑体" w:hAnsi="黑体" w:eastAsia="黑体" w:cs="黑体"/>
          <w:snapToGrid w:val="0"/>
          <w:color w:val="000000"/>
          <w:spacing w:val="13"/>
          <w:kern w:val="0"/>
          <w:sz w:val="22"/>
          <w:szCs w:val="22"/>
          <w:lang w:eastAsia="en-US"/>
        </w:rPr>
        <w:t>见评标办法前附表；</w:t>
      </w:r>
    </w:p>
    <w:p w14:paraId="3FC8503F">
      <w:pPr>
        <w:widowControl/>
        <w:kinsoku w:val="0"/>
        <w:autoSpaceDE w:val="0"/>
        <w:autoSpaceDN w:val="0"/>
        <w:adjustRightInd w:val="0"/>
        <w:snapToGrid w:val="0"/>
        <w:spacing w:before="183" w:line="229"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4"/>
          <w:kern w:val="0"/>
          <w:sz w:val="22"/>
          <w:szCs w:val="22"/>
          <w:lang w:eastAsia="en-US"/>
        </w:rPr>
        <w:t>(4)其他评分因素：</w:t>
      </w:r>
      <w:r>
        <w:rPr>
          <w:rFonts w:ascii="黑体" w:hAnsi="黑体" w:eastAsia="黑体" w:cs="黑体"/>
          <w:snapToGrid w:val="0"/>
          <w:color w:val="000000"/>
          <w:spacing w:val="-47"/>
          <w:kern w:val="0"/>
          <w:sz w:val="22"/>
          <w:szCs w:val="22"/>
          <w:lang w:eastAsia="en-US"/>
        </w:rPr>
        <w:t xml:space="preserve"> </w:t>
      </w:r>
      <w:r>
        <w:rPr>
          <w:rFonts w:ascii="黑体" w:hAnsi="黑体" w:eastAsia="黑体" w:cs="黑体"/>
          <w:snapToGrid w:val="0"/>
          <w:color w:val="000000"/>
          <w:spacing w:val="14"/>
          <w:kern w:val="0"/>
          <w:sz w:val="22"/>
          <w:szCs w:val="22"/>
          <w:lang w:eastAsia="en-US"/>
        </w:rPr>
        <w:t>见评标办法前附表。</w:t>
      </w:r>
    </w:p>
    <w:p w14:paraId="321DD9B9">
      <w:pPr>
        <w:widowControl/>
        <w:kinsoku w:val="0"/>
        <w:autoSpaceDE w:val="0"/>
        <w:autoSpaceDN w:val="0"/>
        <w:adjustRightInd w:val="0"/>
        <w:snapToGrid w:val="0"/>
        <w:spacing w:before="176" w:line="230"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2.2.2评标基准价计算</w:t>
      </w:r>
    </w:p>
    <w:p w14:paraId="218B5D9F">
      <w:pPr>
        <w:widowControl/>
        <w:kinsoku w:val="0"/>
        <w:autoSpaceDE w:val="0"/>
        <w:autoSpaceDN w:val="0"/>
        <w:adjustRightInd w:val="0"/>
        <w:snapToGrid w:val="0"/>
        <w:spacing w:before="172" w:line="229"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评标基准价计算方法：</w:t>
      </w:r>
      <w:r>
        <w:rPr>
          <w:rFonts w:ascii="黑体" w:hAnsi="黑体" w:eastAsia="黑体" w:cs="黑体"/>
          <w:snapToGrid w:val="0"/>
          <w:color w:val="000000"/>
          <w:spacing w:val="-44"/>
          <w:kern w:val="0"/>
          <w:sz w:val="22"/>
          <w:szCs w:val="22"/>
          <w:lang w:eastAsia="en-US"/>
        </w:rPr>
        <w:t xml:space="preserve"> </w:t>
      </w:r>
      <w:r>
        <w:rPr>
          <w:rFonts w:ascii="黑体" w:hAnsi="黑体" w:eastAsia="黑体" w:cs="黑体"/>
          <w:snapToGrid w:val="0"/>
          <w:color w:val="000000"/>
          <w:spacing w:val="18"/>
          <w:kern w:val="0"/>
          <w:sz w:val="22"/>
          <w:szCs w:val="22"/>
          <w:lang w:eastAsia="en-US"/>
        </w:rPr>
        <w:t>见评标办法前附表。</w:t>
      </w:r>
    </w:p>
    <w:p w14:paraId="20CFB423">
      <w:pPr>
        <w:widowControl/>
        <w:kinsoku w:val="0"/>
        <w:autoSpaceDE w:val="0"/>
        <w:autoSpaceDN w:val="0"/>
        <w:adjustRightInd w:val="0"/>
        <w:snapToGrid w:val="0"/>
        <w:spacing w:before="176" w:line="230"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2.2.3评标价的偏差率计算</w:t>
      </w:r>
    </w:p>
    <w:p w14:paraId="5EE72422">
      <w:pPr>
        <w:widowControl/>
        <w:kinsoku w:val="0"/>
        <w:autoSpaceDE w:val="0"/>
        <w:autoSpaceDN w:val="0"/>
        <w:adjustRightInd w:val="0"/>
        <w:snapToGrid w:val="0"/>
        <w:spacing w:before="172" w:line="229"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评标价的偏差率计算公式：</w:t>
      </w:r>
      <w:r>
        <w:rPr>
          <w:rFonts w:ascii="黑体" w:hAnsi="黑体" w:eastAsia="黑体" w:cs="黑体"/>
          <w:snapToGrid w:val="0"/>
          <w:color w:val="000000"/>
          <w:spacing w:val="-52"/>
          <w:kern w:val="0"/>
          <w:sz w:val="22"/>
          <w:szCs w:val="22"/>
          <w:lang w:eastAsia="en-US"/>
        </w:rPr>
        <w:t xml:space="preserve"> </w:t>
      </w:r>
      <w:r>
        <w:rPr>
          <w:rFonts w:ascii="黑体" w:hAnsi="黑体" w:eastAsia="黑体" w:cs="黑体"/>
          <w:snapToGrid w:val="0"/>
          <w:color w:val="000000"/>
          <w:spacing w:val="19"/>
          <w:kern w:val="0"/>
          <w:sz w:val="22"/>
          <w:szCs w:val="22"/>
          <w:lang w:eastAsia="en-US"/>
        </w:rPr>
        <w:t>见评标办法前附表。</w:t>
      </w:r>
    </w:p>
    <w:p w14:paraId="248A2329">
      <w:pPr>
        <w:widowControl/>
        <w:kinsoku w:val="0"/>
        <w:autoSpaceDE w:val="0"/>
        <w:autoSpaceDN w:val="0"/>
        <w:adjustRightInd w:val="0"/>
        <w:snapToGrid w:val="0"/>
        <w:spacing w:before="176" w:line="230" w:lineRule="auto"/>
        <w:ind w:left="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5"/>
          <w:kern w:val="0"/>
          <w:sz w:val="22"/>
          <w:szCs w:val="22"/>
          <w:lang w:eastAsia="en-US"/>
        </w:rPr>
        <w:t>2.2.4评分标准</w:t>
      </w:r>
    </w:p>
    <w:p w14:paraId="42A04A20">
      <w:pPr>
        <w:widowControl/>
        <w:kinsoku w:val="0"/>
        <w:autoSpaceDE w:val="0"/>
        <w:autoSpaceDN w:val="0"/>
        <w:adjustRightInd w:val="0"/>
        <w:snapToGrid w:val="0"/>
        <w:spacing w:before="173"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6"/>
          <w:kern w:val="0"/>
          <w:sz w:val="22"/>
          <w:szCs w:val="22"/>
          <w:lang w:eastAsia="en-US"/>
        </w:rPr>
        <w:t>(1)施工组织设计评分标准：</w:t>
      </w:r>
      <w:r>
        <w:rPr>
          <w:rFonts w:ascii="黑体" w:hAnsi="黑体" w:eastAsia="黑体" w:cs="黑体"/>
          <w:snapToGrid w:val="0"/>
          <w:color w:val="000000"/>
          <w:spacing w:val="-53"/>
          <w:kern w:val="0"/>
          <w:sz w:val="22"/>
          <w:szCs w:val="22"/>
          <w:lang w:eastAsia="en-US"/>
        </w:rPr>
        <w:t xml:space="preserve"> </w:t>
      </w:r>
      <w:r>
        <w:rPr>
          <w:rFonts w:ascii="黑体" w:hAnsi="黑体" w:eastAsia="黑体" w:cs="黑体"/>
          <w:snapToGrid w:val="0"/>
          <w:color w:val="000000"/>
          <w:spacing w:val="16"/>
          <w:kern w:val="0"/>
          <w:sz w:val="22"/>
          <w:szCs w:val="22"/>
          <w:lang w:eastAsia="en-US"/>
        </w:rPr>
        <w:t>见评标办法前附表；</w:t>
      </w:r>
    </w:p>
    <w:p w14:paraId="2D2CEA9F">
      <w:pPr>
        <w:widowControl/>
        <w:kinsoku w:val="0"/>
        <w:autoSpaceDE w:val="0"/>
        <w:autoSpaceDN w:val="0"/>
        <w:adjustRightInd w:val="0"/>
        <w:snapToGrid w:val="0"/>
        <w:spacing w:before="183"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5"/>
          <w:kern w:val="0"/>
          <w:sz w:val="22"/>
          <w:szCs w:val="22"/>
          <w:lang w:eastAsia="en-US"/>
        </w:rPr>
        <w:t>(2)主要人员评分标准：</w:t>
      </w:r>
      <w:r>
        <w:rPr>
          <w:rFonts w:ascii="黑体" w:hAnsi="黑体" w:eastAsia="黑体" w:cs="黑体"/>
          <w:snapToGrid w:val="0"/>
          <w:color w:val="000000"/>
          <w:spacing w:val="-47"/>
          <w:kern w:val="0"/>
          <w:sz w:val="22"/>
          <w:szCs w:val="22"/>
          <w:lang w:eastAsia="en-US"/>
        </w:rPr>
        <w:t xml:space="preserve"> </w:t>
      </w:r>
      <w:r>
        <w:rPr>
          <w:rFonts w:ascii="黑体" w:hAnsi="黑体" w:eastAsia="黑体" w:cs="黑体"/>
          <w:snapToGrid w:val="0"/>
          <w:color w:val="000000"/>
          <w:spacing w:val="15"/>
          <w:kern w:val="0"/>
          <w:sz w:val="22"/>
          <w:szCs w:val="22"/>
          <w:lang w:eastAsia="en-US"/>
        </w:rPr>
        <w:t>见评标办法前附表；</w:t>
      </w:r>
    </w:p>
    <w:p w14:paraId="575CAF02">
      <w:pPr>
        <w:widowControl/>
        <w:kinsoku w:val="0"/>
        <w:autoSpaceDE w:val="0"/>
        <w:autoSpaceDN w:val="0"/>
        <w:adjustRightInd w:val="0"/>
        <w:snapToGrid w:val="0"/>
        <w:spacing w:before="185"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5"/>
          <w:kern w:val="0"/>
          <w:sz w:val="22"/>
          <w:szCs w:val="22"/>
          <w:lang w:eastAsia="en-US"/>
        </w:rPr>
        <w:t>(3)评标价评分标准：</w:t>
      </w:r>
      <w:r>
        <w:rPr>
          <w:rFonts w:ascii="黑体" w:hAnsi="黑体" w:eastAsia="黑体" w:cs="黑体"/>
          <w:snapToGrid w:val="0"/>
          <w:color w:val="000000"/>
          <w:spacing w:val="-57"/>
          <w:kern w:val="0"/>
          <w:sz w:val="22"/>
          <w:szCs w:val="22"/>
          <w:lang w:eastAsia="en-US"/>
        </w:rPr>
        <w:t xml:space="preserve"> </w:t>
      </w:r>
      <w:r>
        <w:rPr>
          <w:rFonts w:ascii="黑体" w:hAnsi="黑体" w:eastAsia="黑体" w:cs="黑体"/>
          <w:snapToGrid w:val="0"/>
          <w:color w:val="000000"/>
          <w:spacing w:val="15"/>
          <w:kern w:val="0"/>
          <w:sz w:val="22"/>
          <w:szCs w:val="22"/>
          <w:lang w:eastAsia="en-US"/>
        </w:rPr>
        <w:t>见评标办法前附表；</w:t>
      </w:r>
    </w:p>
    <w:p w14:paraId="62953666">
      <w:pPr>
        <w:widowControl/>
        <w:kinsoku w:val="0"/>
        <w:autoSpaceDE w:val="0"/>
        <w:autoSpaceDN w:val="0"/>
        <w:adjustRightInd w:val="0"/>
        <w:snapToGrid w:val="0"/>
        <w:spacing w:before="183" w:line="229"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5"/>
          <w:kern w:val="0"/>
          <w:sz w:val="22"/>
          <w:szCs w:val="22"/>
          <w:lang w:eastAsia="en-US"/>
        </w:rPr>
        <w:t>(4)其他因素评分标准：</w:t>
      </w:r>
      <w:r>
        <w:rPr>
          <w:rFonts w:ascii="黑体" w:hAnsi="黑体" w:eastAsia="黑体" w:cs="黑体"/>
          <w:snapToGrid w:val="0"/>
          <w:color w:val="000000"/>
          <w:spacing w:val="-47"/>
          <w:kern w:val="0"/>
          <w:sz w:val="22"/>
          <w:szCs w:val="22"/>
          <w:lang w:eastAsia="en-US"/>
        </w:rPr>
        <w:t xml:space="preserve"> </w:t>
      </w:r>
      <w:r>
        <w:rPr>
          <w:rFonts w:ascii="黑体" w:hAnsi="黑体" w:eastAsia="黑体" w:cs="黑体"/>
          <w:snapToGrid w:val="0"/>
          <w:color w:val="000000"/>
          <w:spacing w:val="15"/>
          <w:kern w:val="0"/>
          <w:sz w:val="22"/>
          <w:szCs w:val="22"/>
          <w:lang w:eastAsia="en-US"/>
        </w:rPr>
        <w:t>见评标办法前附表。</w:t>
      </w:r>
    </w:p>
    <w:p w14:paraId="77563695">
      <w:pPr>
        <w:widowControl/>
        <w:kinsoku w:val="0"/>
        <w:autoSpaceDE w:val="0"/>
        <w:autoSpaceDN w:val="0"/>
        <w:adjustRightInd w:val="0"/>
        <w:snapToGrid w:val="0"/>
        <w:spacing w:before="97" w:line="222" w:lineRule="auto"/>
        <w:ind w:left="11"/>
        <w:jc w:val="left"/>
        <w:textAlignment w:val="baseline"/>
        <w:rPr>
          <w:rFonts w:ascii="黑体" w:hAnsi="黑体" w:eastAsia="黑体" w:cs="黑体"/>
          <w:snapToGrid w:val="0"/>
          <w:color w:val="000000"/>
          <w:kern w:val="0"/>
          <w:sz w:val="30"/>
          <w:szCs w:val="30"/>
          <w:lang w:eastAsia="en-US"/>
        </w:rPr>
      </w:pPr>
      <w:r>
        <w:rPr>
          <w:rFonts w:ascii="黑体" w:hAnsi="黑体" w:eastAsia="黑体" w:cs="黑体"/>
          <w:b/>
          <w:bCs/>
          <w:snapToGrid w:val="0"/>
          <w:color w:val="000000"/>
          <w:spacing w:val="-15"/>
          <w:kern w:val="0"/>
          <w:sz w:val="30"/>
          <w:szCs w:val="30"/>
          <w:lang w:eastAsia="en-US"/>
        </w:rPr>
        <w:t>3.评标程序</w:t>
      </w:r>
    </w:p>
    <w:p w14:paraId="38343BA9">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519CE098">
      <w:pPr>
        <w:widowControl/>
        <w:kinsoku w:val="0"/>
        <w:autoSpaceDE w:val="0"/>
        <w:autoSpaceDN w:val="0"/>
        <w:adjustRightInd w:val="0"/>
        <w:snapToGrid w:val="0"/>
        <w:spacing w:before="72" w:line="230" w:lineRule="auto"/>
        <w:ind w:left="4"/>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3.1第一个信封初步评审</w:t>
      </w:r>
    </w:p>
    <w:p w14:paraId="5D3D9B30">
      <w:pPr>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val="en-US" w:eastAsia="en-US" w:bidi="ar-SA"/>
        </w:rPr>
      </w:pPr>
    </w:p>
    <w:p w14:paraId="254136AB">
      <w:pPr>
        <w:widowControl/>
        <w:kinsoku w:val="0"/>
        <w:autoSpaceDE w:val="0"/>
        <w:autoSpaceDN w:val="0"/>
        <w:adjustRightInd w:val="0"/>
        <w:snapToGrid w:val="0"/>
        <w:spacing w:before="71" w:line="229" w:lineRule="auto"/>
        <w:ind w:left="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*3.1.1评标委员会可以要求投标人提交第二章“投标人须</w:t>
      </w:r>
      <w:r>
        <w:rPr>
          <w:rFonts w:ascii="黑体" w:hAnsi="黑体" w:eastAsia="黑体" w:cs="黑体"/>
          <w:snapToGrid w:val="0"/>
          <w:color w:val="000000"/>
          <w:spacing w:val="19"/>
          <w:kern w:val="0"/>
          <w:sz w:val="22"/>
          <w:szCs w:val="22"/>
          <w:lang w:eastAsia="en-US"/>
        </w:rPr>
        <w:t>知</w:t>
      </w:r>
      <w:r>
        <w:rPr>
          <w:rFonts w:ascii="黑体" w:hAnsi="黑体" w:eastAsia="黑体" w:cs="黑体"/>
          <w:snapToGrid w:val="0"/>
          <w:color w:val="000000"/>
          <w:spacing w:val="-79"/>
          <w:kern w:val="0"/>
          <w:sz w:val="22"/>
          <w:szCs w:val="22"/>
          <w:lang w:eastAsia="en-US"/>
        </w:rPr>
        <w:t xml:space="preserve"> </w:t>
      </w:r>
      <w:r>
        <w:rPr>
          <w:rFonts w:ascii="黑体" w:hAnsi="黑体" w:eastAsia="黑体" w:cs="黑体"/>
          <w:snapToGrid w:val="0"/>
          <w:color w:val="000000"/>
          <w:spacing w:val="19"/>
          <w:kern w:val="0"/>
          <w:sz w:val="22"/>
          <w:szCs w:val="22"/>
          <w:lang w:eastAsia="en-US"/>
        </w:rPr>
        <w:t>”第3.5.1项至第</w:t>
      </w:r>
    </w:p>
    <w:p w14:paraId="61D7F950">
      <w:pPr>
        <w:widowControl/>
        <w:kinsoku w:val="0"/>
        <w:autoSpaceDE w:val="0"/>
        <w:autoSpaceDN w:val="0"/>
        <w:adjustRightInd w:val="0"/>
        <w:snapToGrid w:val="0"/>
        <w:spacing w:before="173" w:line="373" w:lineRule="auto"/>
        <w:ind w:left="1" w:right="354" w:firstLine="2"/>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3.5.6项规定的有关证明和证件的原件，以便核验。评标委员会依据本章第2.1款规</w:t>
      </w:r>
      <w:r>
        <w:rPr>
          <w:rFonts w:ascii="黑体" w:hAnsi="黑体" w:eastAsia="黑体" w:cs="黑体"/>
          <w:snapToGrid w:val="0"/>
          <w:color w:val="000000"/>
          <w:spacing w:val="11"/>
          <w:kern w:val="0"/>
          <w:sz w:val="22"/>
          <w:szCs w:val="22"/>
          <w:lang w:eastAsia="en-US"/>
        </w:rPr>
        <w:t xml:space="preserve"> </w:t>
      </w:r>
      <w:r>
        <w:rPr>
          <w:rFonts w:ascii="黑体" w:hAnsi="黑体" w:eastAsia="黑体" w:cs="黑体"/>
          <w:snapToGrid w:val="0"/>
          <w:color w:val="000000"/>
          <w:spacing w:val="20"/>
          <w:kern w:val="0"/>
          <w:sz w:val="22"/>
          <w:szCs w:val="22"/>
          <w:lang w:eastAsia="en-US"/>
        </w:rPr>
        <w:t>定的标准对投标文件第一个信封(商务及技术文件)进行初步评审。</w:t>
      </w:r>
      <w:r>
        <w:rPr>
          <w:rFonts w:ascii="黑体" w:hAnsi="黑体" w:eastAsia="黑体" w:cs="黑体"/>
          <w:snapToGrid w:val="0"/>
          <w:color w:val="000000"/>
          <w:spacing w:val="19"/>
          <w:kern w:val="0"/>
          <w:sz w:val="22"/>
          <w:szCs w:val="22"/>
          <w:lang w:eastAsia="en-US"/>
        </w:rPr>
        <w:t>有一项不符合评</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7"/>
          <w:kern w:val="0"/>
          <w:sz w:val="22"/>
          <w:szCs w:val="22"/>
          <w:lang w:eastAsia="en-US"/>
        </w:rPr>
        <w:t>审标准的</w:t>
      </w:r>
      <w:r>
        <w:rPr>
          <w:rFonts w:ascii="黑体" w:hAnsi="黑体" w:eastAsia="黑体" w:cs="黑体"/>
          <w:snapToGrid w:val="0"/>
          <w:color w:val="000000"/>
          <w:spacing w:val="-55"/>
          <w:kern w:val="0"/>
          <w:sz w:val="22"/>
          <w:szCs w:val="22"/>
          <w:lang w:eastAsia="en-US"/>
        </w:rPr>
        <w:t xml:space="preserve"> </w:t>
      </w:r>
      <w:r>
        <w:rPr>
          <w:rFonts w:ascii="黑体" w:hAnsi="黑体" w:eastAsia="黑体" w:cs="黑体"/>
          <w:snapToGrid w:val="0"/>
          <w:color w:val="000000"/>
          <w:spacing w:val="17"/>
          <w:kern w:val="0"/>
          <w:sz w:val="22"/>
          <w:szCs w:val="22"/>
          <w:lang w:eastAsia="en-US"/>
        </w:rPr>
        <w:t>，评标委员会应否决其投标</w:t>
      </w:r>
      <w:r>
        <w:rPr>
          <w:rFonts w:ascii="黑体" w:hAnsi="黑体" w:eastAsia="黑体" w:cs="黑体"/>
          <w:snapToGrid w:val="0"/>
          <w:color w:val="000000"/>
          <w:spacing w:val="-66"/>
          <w:kern w:val="0"/>
          <w:sz w:val="22"/>
          <w:szCs w:val="22"/>
          <w:lang w:eastAsia="en-US"/>
        </w:rPr>
        <w:t xml:space="preserve"> </w:t>
      </w:r>
      <w:r>
        <w:rPr>
          <w:rFonts w:ascii="黑体" w:hAnsi="黑体" w:eastAsia="黑体" w:cs="黑体"/>
          <w:snapToGrid w:val="0"/>
          <w:color w:val="000000"/>
          <w:spacing w:val="17"/>
          <w:kern w:val="0"/>
          <w:sz w:val="22"/>
          <w:szCs w:val="22"/>
          <w:lang w:eastAsia="en-US"/>
        </w:rPr>
        <w:t>。</w:t>
      </w:r>
      <w:r>
        <w:rPr>
          <w:rFonts w:ascii="黑体" w:hAnsi="黑体" w:eastAsia="黑体" w:cs="黑体"/>
          <w:snapToGrid w:val="0"/>
          <w:color w:val="000000"/>
          <w:spacing w:val="-39"/>
          <w:kern w:val="0"/>
          <w:sz w:val="22"/>
          <w:szCs w:val="22"/>
          <w:lang w:eastAsia="en-US"/>
        </w:rPr>
        <w:t xml:space="preserve"> </w:t>
      </w:r>
      <w:r>
        <w:rPr>
          <w:rFonts w:ascii="黑体" w:hAnsi="黑体" w:eastAsia="黑体" w:cs="黑体"/>
          <w:snapToGrid w:val="0"/>
          <w:color w:val="000000"/>
          <w:spacing w:val="17"/>
          <w:kern w:val="0"/>
          <w:sz w:val="22"/>
          <w:szCs w:val="22"/>
          <w:lang w:eastAsia="en-US"/>
        </w:rPr>
        <w:t>(适用于未进行资格预审的)</w:t>
      </w:r>
    </w:p>
    <w:p w14:paraId="2B298C1A">
      <w:pPr>
        <w:widowControl/>
        <w:kinsoku w:val="0"/>
        <w:autoSpaceDE w:val="0"/>
        <w:autoSpaceDN w:val="0"/>
        <w:adjustRightInd w:val="0"/>
        <w:snapToGrid w:val="0"/>
        <w:spacing w:before="8" w:line="377" w:lineRule="auto"/>
        <w:ind w:right="354" w:firstLine="481"/>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*3.1.1评标委员会依据本章第2.1.1</w:t>
      </w:r>
      <w:r>
        <w:rPr>
          <w:rFonts w:ascii="黑体" w:hAnsi="黑体" w:eastAsia="黑体" w:cs="黑体"/>
          <w:snapToGrid w:val="0"/>
          <w:color w:val="000000"/>
          <w:spacing w:val="16"/>
          <w:kern w:val="0"/>
          <w:sz w:val="22"/>
          <w:szCs w:val="22"/>
          <w:lang w:eastAsia="en-US"/>
        </w:rPr>
        <w:t>项、第2.1.3项规定的评审标准对投标文件</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第一个信封(商务及技术文件)进行初步评审。有一项不符合评审标准</w:t>
      </w:r>
      <w:r>
        <w:rPr>
          <w:rFonts w:ascii="黑体" w:hAnsi="黑体" w:eastAsia="黑体" w:cs="黑体"/>
          <w:snapToGrid w:val="0"/>
          <w:color w:val="000000"/>
          <w:spacing w:val="19"/>
          <w:kern w:val="0"/>
          <w:sz w:val="22"/>
          <w:szCs w:val="22"/>
          <w:lang w:eastAsia="en-US"/>
        </w:rPr>
        <w:t>的，评标委员</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会应否决其投标。当投标人资格预审申请文件的内容发生重大变化时，评标委员会</w:t>
      </w:r>
      <w:r>
        <w:rPr>
          <w:rFonts w:ascii="黑体" w:hAnsi="黑体" w:eastAsia="黑体" w:cs="黑体"/>
          <w:snapToGrid w:val="0"/>
          <w:color w:val="000000"/>
          <w:spacing w:val="14"/>
          <w:kern w:val="0"/>
          <w:sz w:val="22"/>
          <w:szCs w:val="22"/>
          <w:lang w:eastAsia="en-US"/>
        </w:rPr>
        <w:t xml:space="preserve"> </w:t>
      </w:r>
      <w:r>
        <w:rPr>
          <w:rFonts w:ascii="黑体" w:hAnsi="黑体" w:eastAsia="黑体" w:cs="黑体"/>
          <w:snapToGrid w:val="0"/>
          <w:color w:val="000000"/>
          <w:spacing w:val="19"/>
          <w:kern w:val="0"/>
          <w:sz w:val="22"/>
          <w:szCs w:val="22"/>
          <w:lang w:eastAsia="en-US"/>
        </w:rPr>
        <w:t>依据本章第2.1.2项规定的标准对其更新资料进行评审。(适用于已</w:t>
      </w:r>
      <w:r>
        <w:rPr>
          <w:rFonts w:ascii="黑体" w:hAnsi="黑体" w:eastAsia="黑体" w:cs="黑体"/>
          <w:snapToGrid w:val="0"/>
          <w:color w:val="000000"/>
          <w:spacing w:val="18"/>
          <w:kern w:val="0"/>
          <w:sz w:val="22"/>
          <w:szCs w:val="22"/>
          <w:lang w:eastAsia="en-US"/>
        </w:rPr>
        <w:t>进行资格预审的</w:t>
      </w:r>
      <w:r>
        <w:rPr>
          <w:rFonts w:ascii="黑体" w:hAnsi="黑体" w:eastAsia="黑体" w:cs="黑体"/>
          <w:snapToGrid w:val="0"/>
          <w:color w:val="000000"/>
          <w:kern w:val="0"/>
          <w:sz w:val="22"/>
          <w:szCs w:val="22"/>
          <w:lang w:eastAsia="en-US"/>
        </w:rPr>
        <w:t xml:space="preserve"> )</w:t>
      </w:r>
    </w:p>
    <w:p w14:paraId="242B5D88">
      <w:pPr>
        <w:widowControl/>
        <w:kinsoku w:val="0"/>
        <w:autoSpaceDE w:val="0"/>
        <w:autoSpaceDN w:val="0"/>
        <w:adjustRightInd w:val="0"/>
        <w:snapToGrid w:val="0"/>
        <w:spacing w:before="230" w:line="230" w:lineRule="auto"/>
        <w:ind w:left="4"/>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3.2第一个信封详细评审</w:t>
      </w:r>
    </w:p>
    <w:p w14:paraId="351974D7">
      <w:pPr>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val="en-US" w:eastAsia="en-US" w:bidi="ar-SA"/>
        </w:rPr>
      </w:pPr>
    </w:p>
    <w:p w14:paraId="48E5C0E0">
      <w:pPr>
        <w:widowControl/>
        <w:kinsoku w:val="0"/>
        <w:autoSpaceDE w:val="0"/>
        <w:autoSpaceDN w:val="0"/>
        <w:adjustRightInd w:val="0"/>
        <w:snapToGrid w:val="0"/>
        <w:spacing w:before="71" w:line="375" w:lineRule="auto"/>
        <w:ind w:left="2" w:right="354" w:firstLine="48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3.2.1评标委员会按本章第2.2款规定的量化因素和分值进行打分，并计算出各</w:t>
      </w:r>
      <w:r>
        <w:rPr>
          <w:rFonts w:ascii="黑体" w:hAnsi="黑体" w:eastAsia="黑体" w:cs="黑体"/>
          <w:snapToGrid w:val="0"/>
          <w:color w:val="000000"/>
          <w:spacing w:val="4"/>
          <w:kern w:val="0"/>
          <w:sz w:val="22"/>
          <w:szCs w:val="22"/>
          <w:lang w:eastAsia="en-US"/>
        </w:rPr>
        <w:t xml:space="preserve"> </w:t>
      </w:r>
      <w:r>
        <w:rPr>
          <w:rFonts w:ascii="黑体" w:hAnsi="黑体" w:eastAsia="黑体" w:cs="黑体"/>
          <w:snapToGrid w:val="0"/>
          <w:color w:val="000000"/>
          <w:spacing w:val="20"/>
          <w:kern w:val="0"/>
          <w:sz w:val="22"/>
          <w:szCs w:val="22"/>
          <w:lang w:eastAsia="en-US"/>
        </w:rPr>
        <w:t>投标人的商务和技术得分。</w:t>
      </w:r>
    </w:p>
    <w:p w14:paraId="6E3F0978">
      <w:pPr>
        <w:widowControl/>
        <w:kinsoku w:val="0"/>
        <w:autoSpaceDE w:val="0"/>
        <w:autoSpaceDN w:val="0"/>
        <w:adjustRightInd w:val="0"/>
        <w:snapToGrid w:val="0"/>
        <w:spacing w:before="1" w:line="303" w:lineRule="auto"/>
        <w:ind w:left="5" w:right="357" w:firstLine="52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(1)按本章第2.2.4项(1)目规定的评审因素和分值对施工组织设计部分计算出</w:t>
      </w:r>
      <w:r>
        <w:rPr>
          <w:rFonts w:ascii="黑体" w:hAnsi="黑体" w:eastAsia="黑体" w:cs="黑体"/>
          <w:snapToGrid w:val="0"/>
          <w:color w:val="000000"/>
          <w:spacing w:val="12"/>
          <w:kern w:val="0"/>
          <w:sz w:val="22"/>
          <w:szCs w:val="22"/>
          <w:lang w:eastAsia="en-US"/>
        </w:rPr>
        <w:t xml:space="preserve"> </w:t>
      </w:r>
      <w:r>
        <w:rPr>
          <w:rFonts w:ascii="黑体" w:hAnsi="黑体" w:eastAsia="黑体" w:cs="黑体"/>
          <w:snapToGrid w:val="0"/>
          <w:color w:val="000000"/>
          <w:spacing w:val="10"/>
          <w:kern w:val="0"/>
          <w:sz w:val="22"/>
          <w:szCs w:val="22"/>
          <w:lang w:eastAsia="en-US"/>
        </w:rPr>
        <w:t>得分A</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10"/>
          <w:kern w:val="0"/>
          <w:sz w:val="22"/>
          <w:szCs w:val="22"/>
          <w:lang w:eastAsia="en-US"/>
        </w:rPr>
        <w:t>;</w:t>
      </w:r>
    </w:p>
    <w:p w14:paraId="192AD3F1">
      <w:pPr>
        <w:widowControl/>
        <w:kinsoku w:val="0"/>
        <w:autoSpaceDE w:val="0"/>
        <w:autoSpaceDN w:val="0"/>
        <w:adjustRightInd w:val="0"/>
        <w:snapToGrid w:val="0"/>
        <w:spacing w:before="172" w:line="298" w:lineRule="auto"/>
        <w:ind w:left="5" w:right="357" w:firstLine="52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(2)按本章第2.2.4项(2)目规定的评审因素和分值对主要人员部分计算出得分</w:t>
      </w:r>
      <w:r>
        <w:rPr>
          <w:rFonts w:ascii="黑体" w:hAnsi="黑体" w:eastAsia="黑体" w:cs="黑体"/>
          <w:snapToGrid w:val="0"/>
          <w:color w:val="000000"/>
          <w:spacing w:val="12"/>
          <w:kern w:val="0"/>
          <w:sz w:val="22"/>
          <w:szCs w:val="22"/>
          <w:lang w:eastAsia="en-US"/>
        </w:rPr>
        <w:t xml:space="preserve"> </w:t>
      </w:r>
      <w:r>
        <w:rPr>
          <w:rFonts w:ascii="黑体" w:hAnsi="黑体" w:eastAsia="黑体" w:cs="黑体"/>
          <w:snapToGrid w:val="0"/>
          <w:color w:val="000000"/>
          <w:spacing w:val="-3"/>
          <w:kern w:val="0"/>
          <w:sz w:val="22"/>
          <w:szCs w:val="22"/>
          <w:lang w:eastAsia="en-US"/>
        </w:rPr>
        <w:t>B</w:t>
      </w:r>
      <w:r>
        <w:rPr>
          <w:rFonts w:ascii="黑体" w:hAnsi="黑体" w:eastAsia="黑体" w:cs="黑体"/>
          <w:snapToGrid w:val="0"/>
          <w:color w:val="000000"/>
          <w:spacing w:val="-63"/>
          <w:kern w:val="0"/>
          <w:sz w:val="22"/>
          <w:szCs w:val="22"/>
          <w:lang w:eastAsia="en-US"/>
        </w:rPr>
        <w:t xml:space="preserve"> </w:t>
      </w:r>
      <w:r>
        <w:rPr>
          <w:rFonts w:ascii="黑体" w:hAnsi="黑体" w:eastAsia="黑体" w:cs="黑体"/>
          <w:snapToGrid w:val="0"/>
          <w:color w:val="000000"/>
          <w:spacing w:val="-3"/>
          <w:kern w:val="0"/>
          <w:sz w:val="22"/>
          <w:szCs w:val="22"/>
          <w:lang w:eastAsia="en-US"/>
        </w:rPr>
        <w:t>;</w:t>
      </w:r>
    </w:p>
    <w:p w14:paraId="5F40CE6C">
      <w:pPr>
        <w:widowControl/>
        <w:kinsoku w:val="0"/>
        <w:autoSpaceDE w:val="0"/>
        <w:autoSpaceDN w:val="0"/>
        <w:adjustRightInd w:val="0"/>
        <w:snapToGrid w:val="0"/>
        <w:spacing w:before="185" w:line="230" w:lineRule="auto"/>
        <w:ind w:left="53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(3)按本章第2.2.4项(4)目规定的评审因素和分值对其他部分计算出得分D。</w:t>
      </w:r>
    </w:p>
    <w:p w14:paraId="7607A999">
      <w:pPr>
        <w:widowControl/>
        <w:kinsoku w:val="0"/>
        <w:autoSpaceDE w:val="0"/>
        <w:autoSpaceDN w:val="0"/>
        <w:adjustRightInd w:val="0"/>
        <w:snapToGrid w:val="0"/>
        <w:spacing w:before="175" w:line="303" w:lineRule="auto"/>
        <w:ind w:left="14" w:right="354" w:firstLine="47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3.2.2投标人的商务和技术得分分值计算保留小数点后两位</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21"/>
          <w:kern w:val="0"/>
          <w:sz w:val="22"/>
          <w:szCs w:val="22"/>
          <w:lang w:eastAsia="en-US"/>
        </w:rPr>
        <w:t>，小数点</w:t>
      </w:r>
      <w:r>
        <w:rPr>
          <w:rFonts w:ascii="黑体" w:hAnsi="黑体" w:eastAsia="黑体" w:cs="黑体"/>
          <w:snapToGrid w:val="0"/>
          <w:color w:val="000000"/>
          <w:spacing w:val="20"/>
          <w:kern w:val="0"/>
          <w:sz w:val="22"/>
          <w:szCs w:val="22"/>
          <w:lang w:eastAsia="en-US"/>
        </w:rPr>
        <w:t>后第三位</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7"/>
          <w:kern w:val="0"/>
          <w:sz w:val="22"/>
          <w:szCs w:val="22"/>
          <w:lang w:eastAsia="en-US"/>
        </w:rPr>
        <w:t>“</w:t>
      </w:r>
      <w:r>
        <w:rPr>
          <w:rFonts w:ascii="黑体" w:hAnsi="黑体" w:eastAsia="黑体" w:cs="黑体"/>
          <w:snapToGrid w:val="0"/>
          <w:color w:val="000000"/>
          <w:spacing w:val="-80"/>
          <w:kern w:val="0"/>
          <w:sz w:val="22"/>
          <w:szCs w:val="22"/>
          <w:lang w:eastAsia="en-US"/>
        </w:rPr>
        <w:t xml:space="preserve"> </w:t>
      </w:r>
      <w:r>
        <w:rPr>
          <w:rFonts w:ascii="黑体" w:hAnsi="黑体" w:eastAsia="黑体" w:cs="黑体"/>
          <w:snapToGrid w:val="0"/>
          <w:color w:val="000000"/>
          <w:spacing w:val="7"/>
          <w:kern w:val="0"/>
          <w:sz w:val="22"/>
          <w:szCs w:val="22"/>
          <w:lang w:eastAsia="en-US"/>
        </w:rPr>
        <w:t>四舍五入</w:t>
      </w:r>
      <w:r>
        <w:rPr>
          <w:rFonts w:ascii="黑体" w:hAnsi="黑体" w:eastAsia="黑体" w:cs="黑体"/>
          <w:snapToGrid w:val="0"/>
          <w:color w:val="000000"/>
          <w:spacing w:val="-79"/>
          <w:kern w:val="0"/>
          <w:sz w:val="22"/>
          <w:szCs w:val="22"/>
          <w:lang w:eastAsia="en-US"/>
        </w:rPr>
        <w:t xml:space="preserve"> </w:t>
      </w:r>
      <w:r>
        <w:rPr>
          <w:rFonts w:ascii="黑体" w:hAnsi="黑体" w:eastAsia="黑体" w:cs="黑体"/>
          <w:snapToGrid w:val="0"/>
          <w:color w:val="000000"/>
          <w:spacing w:val="7"/>
          <w:kern w:val="0"/>
          <w:sz w:val="22"/>
          <w:szCs w:val="22"/>
          <w:lang w:eastAsia="en-US"/>
        </w:rPr>
        <w:t>”。</w:t>
      </w:r>
    </w:p>
    <w:p w14:paraId="5597427F">
      <w:pPr>
        <w:widowControl/>
        <w:kinsoku w:val="0"/>
        <w:autoSpaceDE w:val="0"/>
        <w:autoSpaceDN w:val="0"/>
        <w:adjustRightInd w:val="0"/>
        <w:snapToGrid w:val="0"/>
        <w:spacing w:before="173" w:line="229" w:lineRule="auto"/>
        <w:ind w:left="48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6"/>
          <w:kern w:val="0"/>
          <w:sz w:val="22"/>
          <w:szCs w:val="22"/>
          <w:lang w:eastAsia="en-US"/>
        </w:rPr>
        <w:t>3.2.3投标人的商务和技术得分=A+B+D。</w:t>
      </w:r>
    </w:p>
    <w:p w14:paraId="0D22231D">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14:paraId="6A7CF7FA">
      <w:pPr>
        <w:widowControl/>
        <w:kinsoku w:val="0"/>
        <w:autoSpaceDE w:val="0"/>
        <w:autoSpaceDN w:val="0"/>
        <w:adjustRightInd w:val="0"/>
        <w:snapToGrid w:val="0"/>
        <w:spacing w:before="72" w:line="230" w:lineRule="auto"/>
        <w:ind w:left="4"/>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6"/>
          <w:kern w:val="0"/>
          <w:sz w:val="22"/>
          <w:szCs w:val="22"/>
          <w:lang w:eastAsia="en-US"/>
        </w:rPr>
        <w:t>3.3第二个信封开标</w:t>
      </w:r>
    </w:p>
    <w:p w14:paraId="6C26DFF8">
      <w:pPr>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val="en-US" w:eastAsia="en-US" w:bidi="ar-SA"/>
        </w:rPr>
      </w:pPr>
    </w:p>
    <w:p w14:paraId="401647E7">
      <w:pPr>
        <w:widowControl/>
        <w:kinsoku w:val="0"/>
        <w:autoSpaceDE w:val="0"/>
        <w:autoSpaceDN w:val="0"/>
        <w:adjustRightInd w:val="0"/>
        <w:snapToGrid w:val="0"/>
        <w:spacing w:before="72" w:line="376" w:lineRule="auto"/>
        <w:ind w:left="4" w:firstLine="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2"/>
          <w:kern w:val="0"/>
          <w:sz w:val="22"/>
          <w:szCs w:val="22"/>
          <w:lang w:eastAsia="en-US"/>
        </w:rPr>
        <w:t>第一个信封(商务及技术文件)评审结束后，招标人将按照第二章“投标人</w:t>
      </w:r>
      <w:r>
        <w:rPr>
          <w:rFonts w:ascii="黑体" w:hAnsi="黑体" w:eastAsia="黑体" w:cs="黑体"/>
          <w:snapToGrid w:val="0"/>
          <w:color w:val="000000"/>
          <w:spacing w:val="21"/>
          <w:kern w:val="0"/>
          <w:sz w:val="22"/>
          <w:szCs w:val="22"/>
          <w:lang w:eastAsia="en-US"/>
        </w:rPr>
        <w:t>须知</w:t>
      </w:r>
      <w:r>
        <w:rPr>
          <w:rFonts w:ascii="黑体" w:hAnsi="黑体" w:eastAsia="黑体" w:cs="黑体"/>
          <w:snapToGrid w:val="0"/>
          <w:color w:val="000000"/>
          <w:spacing w:val="-76"/>
          <w:kern w:val="0"/>
          <w:sz w:val="22"/>
          <w:szCs w:val="22"/>
          <w:lang w:eastAsia="en-US"/>
        </w:rPr>
        <w:t xml:space="preserve"> </w:t>
      </w:r>
      <w:r>
        <w:rPr>
          <w:rFonts w:ascii="黑体" w:hAnsi="黑体" w:eastAsia="黑体" w:cs="黑体"/>
          <w:snapToGrid w:val="0"/>
          <w:color w:val="000000"/>
          <w:spacing w:val="21"/>
          <w:kern w:val="0"/>
          <w:sz w:val="22"/>
          <w:szCs w:val="22"/>
          <w:lang w:eastAsia="en-US"/>
        </w:rPr>
        <w:t>”</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2"/>
          <w:kern w:val="0"/>
          <w:sz w:val="22"/>
          <w:szCs w:val="22"/>
          <w:lang w:eastAsia="en-US"/>
        </w:rPr>
        <w:t>第5.1款规定的时间和地点对通过投标文件第一个信封(商务及技术文件)评审的投</w:t>
      </w:r>
    </w:p>
    <w:p w14:paraId="79A76D82">
      <w:pPr>
        <w:widowControl/>
        <w:kinsoku w:val="0"/>
        <w:autoSpaceDE w:val="0"/>
        <w:autoSpaceDN w:val="0"/>
        <w:adjustRightInd w:val="0"/>
        <w:snapToGrid w:val="0"/>
        <w:spacing w:line="230" w:lineRule="auto"/>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标文件第二个信封(报价文件)进行开标。</w:t>
      </w:r>
    </w:p>
    <w:p w14:paraId="26169DC5">
      <w:pPr>
        <w:widowControl/>
        <w:kinsoku w:val="0"/>
        <w:autoSpaceDE w:val="0"/>
        <w:autoSpaceDN w:val="0"/>
        <w:adjustRightInd w:val="0"/>
        <w:snapToGrid w:val="0"/>
        <w:spacing w:before="71" w:line="230" w:lineRule="auto"/>
        <w:ind w:left="1"/>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3.4第二个信封初步评审</w:t>
      </w:r>
    </w:p>
    <w:p w14:paraId="41635D39">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14:paraId="34A85F59">
      <w:pPr>
        <w:widowControl/>
        <w:kinsoku w:val="0"/>
        <w:autoSpaceDE w:val="0"/>
        <w:autoSpaceDN w:val="0"/>
        <w:adjustRightInd w:val="0"/>
        <w:snapToGrid w:val="0"/>
        <w:spacing w:before="72" w:line="327" w:lineRule="auto"/>
        <w:ind w:left="1" w:right="166" w:firstLine="478"/>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*3.4.1评标委员会依据本章第2.1.1</w:t>
      </w:r>
      <w:r>
        <w:rPr>
          <w:rFonts w:ascii="黑体" w:hAnsi="黑体" w:eastAsia="黑体" w:cs="黑体"/>
          <w:snapToGrid w:val="0"/>
          <w:color w:val="000000"/>
          <w:spacing w:val="16"/>
          <w:kern w:val="0"/>
          <w:sz w:val="22"/>
          <w:szCs w:val="22"/>
          <w:lang w:eastAsia="en-US"/>
        </w:rPr>
        <w:t>项、第2.1.3项规定的评审标准对投标文件</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第二个信封(报价文件)进行初步评审。有一项不符合评审标准</w:t>
      </w:r>
      <w:r>
        <w:rPr>
          <w:rFonts w:ascii="黑体" w:hAnsi="黑体" w:eastAsia="黑体" w:cs="黑体"/>
          <w:snapToGrid w:val="0"/>
          <w:color w:val="000000"/>
          <w:spacing w:val="19"/>
          <w:kern w:val="0"/>
          <w:sz w:val="22"/>
          <w:szCs w:val="22"/>
          <w:lang w:eastAsia="en-US"/>
        </w:rPr>
        <w:t>的，评标委员会应否</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4"/>
          <w:kern w:val="0"/>
          <w:sz w:val="22"/>
          <w:szCs w:val="22"/>
          <w:lang w:eastAsia="en-US"/>
        </w:rPr>
        <w:t>决其投标。</w:t>
      </w:r>
    </w:p>
    <w:p w14:paraId="69F08FCB">
      <w:pPr>
        <w:widowControl/>
        <w:kinsoku w:val="0"/>
        <w:autoSpaceDE w:val="0"/>
        <w:autoSpaceDN w:val="0"/>
        <w:adjustRightInd w:val="0"/>
        <w:snapToGrid w:val="0"/>
        <w:spacing w:before="172" w:line="327" w:lineRule="auto"/>
        <w:ind w:right="119" w:firstLine="479"/>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*3.4.2投标报价有算术错误的</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，评标委员会按以下原则</w:t>
      </w:r>
      <w:r>
        <w:rPr>
          <w:rFonts w:ascii="黑体" w:hAnsi="黑体" w:eastAsia="黑体" w:cs="黑体"/>
          <w:snapToGrid w:val="0"/>
          <w:color w:val="000000"/>
          <w:spacing w:val="18"/>
          <w:kern w:val="0"/>
          <w:sz w:val="22"/>
          <w:szCs w:val="22"/>
          <w:lang w:eastAsia="en-US"/>
        </w:rPr>
        <w:t>对投标报价进行修正，</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修正的价格经投标人书面确认后具有约束力。投标人不接受修正价格的，评标委员</w:t>
      </w:r>
      <w:r>
        <w:rPr>
          <w:rFonts w:ascii="黑体" w:hAnsi="黑体" w:eastAsia="黑体" w:cs="黑体"/>
          <w:snapToGrid w:val="0"/>
          <w:color w:val="000000"/>
          <w:spacing w:val="13"/>
          <w:kern w:val="0"/>
          <w:sz w:val="22"/>
          <w:szCs w:val="22"/>
          <w:lang w:eastAsia="en-US"/>
        </w:rPr>
        <w:t xml:space="preserve"> </w:t>
      </w:r>
      <w:r>
        <w:rPr>
          <w:rFonts w:ascii="黑体" w:hAnsi="黑体" w:eastAsia="黑体" w:cs="黑体"/>
          <w:snapToGrid w:val="0"/>
          <w:color w:val="000000"/>
          <w:spacing w:val="18"/>
          <w:kern w:val="0"/>
          <w:sz w:val="22"/>
          <w:szCs w:val="22"/>
          <w:lang w:eastAsia="en-US"/>
        </w:rPr>
        <w:t>会应否决其投标。</w:t>
      </w:r>
    </w:p>
    <w:p w14:paraId="098D5170">
      <w:pPr>
        <w:widowControl/>
        <w:kinsoku w:val="0"/>
        <w:autoSpaceDE w:val="0"/>
        <w:autoSpaceDN w:val="0"/>
        <w:adjustRightInd w:val="0"/>
        <w:snapToGrid w:val="0"/>
        <w:spacing w:before="171" w:line="221" w:lineRule="auto"/>
        <w:ind w:left="52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(1)投标文件中的大写金额与小写金额不一致的</w:t>
      </w:r>
      <w:r>
        <w:rPr>
          <w:rFonts w:ascii="黑体" w:hAnsi="黑体" w:eastAsia="黑体" w:cs="黑体"/>
          <w:snapToGrid w:val="0"/>
          <w:color w:val="000000"/>
          <w:spacing w:val="-54"/>
          <w:kern w:val="0"/>
          <w:sz w:val="22"/>
          <w:szCs w:val="22"/>
          <w:lang w:eastAsia="en-US"/>
        </w:rPr>
        <w:t xml:space="preserve"> </w:t>
      </w:r>
      <w:r>
        <w:rPr>
          <w:rFonts w:ascii="黑体" w:hAnsi="黑体" w:eastAsia="黑体" w:cs="黑体"/>
          <w:snapToGrid w:val="0"/>
          <w:color w:val="000000"/>
          <w:spacing w:val="18"/>
          <w:kern w:val="0"/>
          <w:sz w:val="22"/>
          <w:szCs w:val="22"/>
          <w:lang w:eastAsia="en-US"/>
        </w:rPr>
        <w:t>，以大写金额为准；</w:t>
      </w:r>
    </w:p>
    <w:p w14:paraId="1B772728">
      <w:pPr>
        <w:widowControl/>
        <w:kinsoku w:val="0"/>
        <w:autoSpaceDE w:val="0"/>
        <w:autoSpaceDN w:val="0"/>
        <w:adjustRightInd w:val="0"/>
        <w:snapToGrid w:val="0"/>
        <w:spacing w:before="185" w:line="298" w:lineRule="auto"/>
        <w:ind w:right="225" w:firstLine="52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(2)总价金额与依据单价计算出的结果不一致的</w:t>
      </w:r>
      <w:r>
        <w:rPr>
          <w:rFonts w:ascii="黑体" w:hAnsi="黑体" w:eastAsia="黑体" w:cs="黑体"/>
          <w:snapToGrid w:val="0"/>
          <w:color w:val="000000"/>
          <w:spacing w:val="-54"/>
          <w:kern w:val="0"/>
          <w:sz w:val="22"/>
          <w:szCs w:val="22"/>
          <w:lang w:eastAsia="en-US"/>
        </w:rPr>
        <w:t xml:space="preserve"> </w:t>
      </w:r>
      <w:r>
        <w:rPr>
          <w:rFonts w:ascii="黑体" w:hAnsi="黑体" w:eastAsia="黑体" w:cs="黑体"/>
          <w:snapToGrid w:val="0"/>
          <w:color w:val="000000"/>
          <w:spacing w:val="17"/>
          <w:kern w:val="0"/>
          <w:sz w:val="22"/>
          <w:szCs w:val="22"/>
          <w:lang w:eastAsia="en-US"/>
        </w:rPr>
        <w:t>，</w:t>
      </w:r>
      <w:r>
        <w:rPr>
          <w:rFonts w:ascii="黑体" w:hAnsi="黑体" w:eastAsia="黑体" w:cs="黑体"/>
          <w:snapToGrid w:val="0"/>
          <w:color w:val="000000"/>
          <w:spacing w:val="-65"/>
          <w:kern w:val="0"/>
          <w:sz w:val="22"/>
          <w:szCs w:val="22"/>
          <w:lang w:eastAsia="en-US"/>
        </w:rPr>
        <w:t xml:space="preserve"> </w:t>
      </w:r>
      <w:r>
        <w:rPr>
          <w:rFonts w:ascii="黑体" w:hAnsi="黑体" w:eastAsia="黑体" w:cs="黑体"/>
          <w:snapToGrid w:val="0"/>
          <w:color w:val="000000"/>
          <w:spacing w:val="17"/>
          <w:kern w:val="0"/>
          <w:sz w:val="22"/>
          <w:szCs w:val="22"/>
          <w:lang w:eastAsia="en-US"/>
        </w:rPr>
        <w:t>以单价金额为准修正总价，</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1"/>
          <w:kern w:val="0"/>
          <w:sz w:val="22"/>
          <w:szCs w:val="22"/>
          <w:lang w:eastAsia="en-US"/>
        </w:rPr>
        <w:t>但单价金额小数点有明显错误的除外；</w:t>
      </w:r>
    </w:p>
    <w:p w14:paraId="01F09907">
      <w:pPr>
        <w:widowControl/>
        <w:kinsoku w:val="0"/>
        <w:autoSpaceDE w:val="0"/>
        <w:autoSpaceDN w:val="0"/>
        <w:adjustRightInd w:val="0"/>
        <w:snapToGrid w:val="0"/>
        <w:spacing w:before="185" w:line="298" w:lineRule="auto"/>
        <w:ind w:left="2" w:right="169" w:firstLine="52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(3)当单价与数量相乘不等于合价时</w:t>
      </w:r>
      <w:r>
        <w:rPr>
          <w:rFonts w:ascii="黑体" w:hAnsi="黑体" w:eastAsia="黑体" w:cs="黑体"/>
          <w:snapToGrid w:val="0"/>
          <w:color w:val="000000"/>
          <w:spacing w:val="-63"/>
          <w:kern w:val="0"/>
          <w:sz w:val="22"/>
          <w:szCs w:val="22"/>
          <w:lang w:eastAsia="en-US"/>
        </w:rPr>
        <w:t xml:space="preserve"> </w:t>
      </w:r>
      <w:r>
        <w:rPr>
          <w:rFonts w:ascii="黑体" w:hAnsi="黑体" w:eastAsia="黑体" w:cs="黑体"/>
          <w:snapToGrid w:val="0"/>
          <w:color w:val="000000"/>
          <w:spacing w:val="18"/>
          <w:kern w:val="0"/>
          <w:sz w:val="22"/>
          <w:szCs w:val="22"/>
          <w:lang w:eastAsia="en-US"/>
        </w:rPr>
        <w:t>，</w:t>
      </w:r>
      <w:r>
        <w:rPr>
          <w:rFonts w:ascii="黑体" w:hAnsi="黑体" w:eastAsia="黑体" w:cs="黑体"/>
          <w:snapToGrid w:val="0"/>
          <w:color w:val="000000"/>
          <w:spacing w:val="-65"/>
          <w:kern w:val="0"/>
          <w:sz w:val="22"/>
          <w:szCs w:val="22"/>
          <w:lang w:eastAsia="en-US"/>
        </w:rPr>
        <w:t xml:space="preserve"> </w:t>
      </w:r>
      <w:r>
        <w:rPr>
          <w:rFonts w:ascii="黑体" w:hAnsi="黑体" w:eastAsia="黑体" w:cs="黑体"/>
          <w:snapToGrid w:val="0"/>
          <w:color w:val="000000"/>
          <w:spacing w:val="18"/>
          <w:kern w:val="0"/>
          <w:sz w:val="22"/>
          <w:szCs w:val="22"/>
          <w:lang w:eastAsia="en-US"/>
        </w:rPr>
        <w:t>以</w:t>
      </w:r>
      <w:r>
        <w:rPr>
          <w:rFonts w:ascii="黑体" w:hAnsi="黑体" w:eastAsia="黑体" w:cs="黑体"/>
          <w:snapToGrid w:val="0"/>
          <w:color w:val="000000"/>
          <w:spacing w:val="17"/>
          <w:kern w:val="0"/>
          <w:sz w:val="22"/>
          <w:szCs w:val="22"/>
          <w:lang w:eastAsia="en-US"/>
        </w:rPr>
        <w:t>单价计算为准</w:t>
      </w:r>
      <w:r>
        <w:rPr>
          <w:rFonts w:ascii="黑体" w:hAnsi="黑体" w:eastAsia="黑体" w:cs="黑体"/>
          <w:snapToGrid w:val="0"/>
          <w:color w:val="000000"/>
          <w:spacing w:val="-63"/>
          <w:kern w:val="0"/>
          <w:sz w:val="22"/>
          <w:szCs w:val="22"/>
          <w:lang w:eastAsia="en-US"/>
        </w:rPr>
        <w:t xml:space="preserve"> </w:t>
      </w:r>
      <w:r>
        <w:rPr>
          <w:rFonts w:ascii="黑体" w:hAnsi="黑体" w:eastAsia="黑体" w:cs="黑体"/>
          <w:snapToGrid w:val="0"/>
          <w:color w:val="000000"/>
          <w:spacing w:val="17"/>
          <w:kern w:val="0"/>
          <w:sz w:val="22"/>
          <w:szCs w:val="22"/>
          <w:lang w:eastAsia="en-US"/>
        </w:rPr>
        <w:t>，如果单价有明显的小</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9"/>
          <w:kern w:val="0"/>
          <w:sz w:val="22"/>
          <w:szCs w:val="22"/>
          <w:lang w:eastAsia="en-US"/>
        </w:rPr>
        <w:t>数点位置差错</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，应以标出的合价为准</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，同时对单</w:t>
      </w:r>
      <w:r>
        <w:rPr>
          <w:rFonts w:ascii="黑体" w:hAnsi="黑体" w:eastAsia="黑体" w:cs="黑体"/>
          <w:snapToGrid w:val="0"/>
          <w:color w:val="000000"/>
          <w:spacing w:val="18"/>
          <w:kern w:val="0"/>
          <w:sz w:val="22"/>
          <w:szCs w:val="22"/>
          <w:lang w:eastAsia="en-US"/>
        </w:rPr>
        <w:t>价予以修正；</w:t>
      </w:r>
    </w:p>
    <w:p w14:paraId="2A7869DB">
      <w:pPr>
        <w:widowControl/>
        <w:kinsoku w:val="0"/>
        <w:autoSpaceDE w:val="0"/>
        <w:autoSpaceDN w:val="0"/>
        <w:adjustRightInd w:val="0"/>
        <w:snapToGrid w:val="0"/>
        <w:spacing w:before="186" w:line="302" w:lineRule="auto"/>
        <w:ind w:right="169" w:firstLine="52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(4)当各子目的合价累计不等于总价时</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，应以各子目合价累计数为</w:t>
      </w:r>
      <w:r>
        <w:rPr>
          <w:rFonts w:ascii="黑体" w:hAnsi="黑体" w:eastAsia="黑体" w:cs="黑体"/>
          <w:snapToGrid w:val="0"/>
          <w:color w:val="000000"/>
          <w:spacing w:val="18"/>
          <w:kern w:val="0"/>
          <w:sz w:val="22"/>
          <w:szCs w:val="22"/>
          <w:lang w:eastAsia="en-US"/>
        </w:rPr>
        <w:t>准</w:t>
      </w:r>
      <w:r>
        <w:rPr>
          <w:rFonts w:ascii="黑体" w:hAnsi="黑体" w:eastAsia="黑体" w:cs="黑体"/>
          <w:snapToGrid w:val="0"/>
          <w:color w:val="000000"/>
          <w:spacing w:val="-63"/>
          <w:kern w:val="0"/>
          <w:sz w:val="22"/>
          <w:szCs w:val="22"/>
          <w:lang w:eastAsia="en-US"/>
        </w:rPr>
        <w:t xml:space="preserve"> </w:t>
      </w:r>
      <w:r>
        <w:rPr>
          <w:rFonts w:ascii="黑体" w:hAnsi="黑体" w:eastAsia="黑体" w:cs="黑体"/>
          <w:snapToGrid w:val="0"/>
          <w:color w:val="000000"/>
          <w:spacing w:val="18"/>
          <w:kern w:val="0"/>
          <w:sz w:val="22"/>
          <w:szCs w:val="22"/>
          <w:lang w:eastAsia="en-US"/>
        </w:rPr>
        <w:t>，修正总</w:t>
      </w:r>
      <w:r>
        <w:rPr>
          <w:rFonts w:ascii="黑体" w:hAnsi="黑体" w:eastAsia="黑体" w:cs="黑体"/>
          <w:snapToGrid w:val="0"/>
          <w:color w:val="000000"/>
          <w:kern w:val="0"/>
          <w:sz w:val="22"/>
          <w:szCs w:val="22"/>
          <w:lang w:eastAsia="en-US"/>
        </w:rPr>
        <w:t xml:space="preserve"> 价。</w:t>
      </w:r>
    </w:p>
    <w:p w14:paraId="7AC28D7F">
      <w:pPr>
        <w:widowControl/>
        <w:kinsoku w:val="0"/>
        <w:autoSpaceDE w:val="0"/>
        <w:autoSpaceDN w:val="0"/>
        <w:adjustRightInd w:val="0"/>
        <w:snapToGrid w:val="0"/>
        <w:spacing w:before="173" w:line="373" w:lineRule="auto"/>
        <w:ind w:right="166" w:firstLine="479"/>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*3.4.3工程量清单中的投标报价有其他错误的，评标委</w:t>
      </w:r>
      <w:r>
        <w:rPr>
          <w:rFonts w:ascii="黑体" w:hAnsi="黑体" w:eastAsia="黑体" w:cs="黑体"/>
          <w:snapToGrid w:val="0"/>
          <w:color w:val="000000"/>
          <w:spacing w:val="18"/>
          <w:kern w:val="0"/>
          <w:sz w:val="22"/>
          <w:szCs w:val="22"/>
          <w:lang w:eastAsia="en-US"/>
        </w:rPr>
        <w:t>员会按以下原则对投标</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报价进行修正，修正的价格经投标人书面确认后具有约束力。投标人不接受修正价</w:t>
      </w:r>
      <w:r>
        <w:rPr>
          <w:rFonts w:ascii="黑体" w:hAnsi="黑体" w:eastAsia="黑体" w:cs="黑体"/>
          <w:snapToGrid w:val="0"/>
          <w:color w:val="000000"/>
          <w:spacing w:val="13"/>
          <w:kern w:val="0"/>
          <w:sz w:val="22"/>
          <w:szCs w:val="22"/>
          <w:lang w:eastAsia="en-US"/>
        </w:rPr>
        <w:t xml:space="preserve"> </w:t>
      </w:r>
      <w:r>
        <w:rPr>
          <w:rFonts w:ascii="黑体" w:hAnsi="黑体" w:eastAsia="黑体" w:cs="黑体"/>
          <w:snapToGrid w:val="0"/>
          <w:color w:val="000000"/>
          <w:spacing w:val="21"/>
          <w:kern w:val="0"/>
          <w:sz w:val="22"/>
          <w:szCs w:val="22"/>
          <w:lang w:eastAsia="en-US"/>
        </w:rPr>
        <w:t>格的，评标委员会应否决其投标。</w:t>
      </w:r>
    </w:p>
    <w:p w14:paraId="5AB5C2E1">
      <w:pPr>
        <w:widowControl/>
        <w:kinsoku w:val="0"/>
        <w:autoSpaceDE w:val="0"/>
        <w:autoSpaceDN w:val="0"/>
        <w:adjustRightInd w:val="0"/>
        <w:snapToGrid w:val="0"/>
        <w:spacing w:before="9" w:line="339" w:lineRule="auto"/>
        <w:ind w:firstLine="52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(1)在招标人给定的工程量清单中漏报了某个工程子目的单价</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18"/>
          <w:kern w:val="0"/>
          <w:sz w:val="22"/>
          <w:szCs w:val="22"/>
          <w:lang w:eastAsia="en-US"/>
        </w:rPr>
        <w:t>、合价或总额价，</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或所报单价、合价或总额价减少了报价范围，则漏报的工程子目单价、合价和总额</w:t>
      </w:r>
      <w:r>
        <w:rPr>
          <w:rFonts w:ascii="黑体" w:hAnsi="黑体" w:eastAsia="黑体" w:cs="黑体"/>
          <w:snapToGrid w:val="0"/>
          <w:color w:val="000000"/>
          <w:spacing w:val="6"/>
          <w:kern w:val="0"/>
          <w:sz w:val="22"/>
          <w:szCs w:val="22"/>
          <w:lang w:eastAsia="en-US"/>
        </w:rPr>
        <w:t xml:space="preserve">  </w:t>
      </w:r>
      <w:r>
        <w:rPr>
          <w:rFonts w:ascii="黑体" w:hAnsi="黑体" w:eastAsia="黑体" w:cs="黑体"/>
          <w:snapToGrid w:val="0"/>
          <w:color w:val="000000"/>
          <w:spacing w:val="20"/>
          <w:kern w:val="0"/>
          <w:sz w:val="22"/>
          <w:szCs w:val="22"/>
          <w:lang w:eastAsia="en-US"/>
        </w:rPr>
        <w:t>价或单价、合价和总额价中减少的报价内容视为已含入其他工程子目的单价、合价</w:t>
      </w:r>
      <w:r>
        <w:rPr>
          <w:rFonts w:ascii="黑体" w:hAnsi="黑体" w:eastAsia="黑体" w:cs="黑体"/>
          <w:snapToGrid w:val="0"/>
          <w:color w:val="000000"/>
          <w:spacing w:val="6"/>
          <w:kern w:val="0"/>
          <w:sz w:val="22"/>
          <w:szCs w:val="22"/>
          <w:lang w:eastAsia="en-US"/>
        </w:rPr>
        <w:t xml:space="preserve">  </w:t>
      </w:r>
      <w:r>
        <w:rPr>
          <w:rFonts w:ascii="黑体" w:hAnsi="黑体" w:eastAsia="黑体" w:cs="黑体"/>
          <w:snapToGrid w:val="0"/>
          <w:color w:val="000000"/>
          <w:spacing w:val="17"/>
          <w:kern w:val="0"/>
          <w:sz w:val="22"/>
          <w:szCs w:val="22"/>
          <w:lang w:eastAsia="en-US"/>
        </w:rPr>
        <w:t>和总额价之中。</w:t>
      </w:r>
    </w:p>
    <w:p w14:paraId="09A6516C">
      <w:pPr>
        <w:widowControl/>
        <w:kinsoku w:val="0"/>
        <w:autoSpaceDE w:val="0"/>
        <w:autoSpaceDN w:val="0"/>
        <w:adjustRightInd w:val="0"/>
        <w:snapToGrid w:val="0"/>
        <w:spacing w:before="173" w:line="327" w:lineRule="auto"/>
        <w:ind w:firstLine="52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(2)在招标人给定的工程量清单中多报了某个工程子目的单价</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18"/>
          <w:kern w:val="0"/>
          <w:sz w:val="22"/>
          <w:szCs w:val="22"/>
          <w:lang w:eastAsia="en-US"/>
        </w:rPr>
        <w:t>、合价或总额价，</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或所报单价、合价或总额价增加了报价范围，则从投标报价中扣除多报的工程子目</w:t>
      </w:r>
      <w:r>
        <w:rPr>
          <w:rFonts w:ascii="黑体" w:hAnsi="黑体" w:eastAsia="黑体" w:cs="黑体"/>
          <w:snapToGrid w:val="0"/>
          <w:color w:val="000000"/>
          <w:spacing w:val="6"/>
          <w:kern w:val="0"/>
          <w:sz w:val="22"/>
          <w:szCs w:val="22"/>
          <w:lang w:eastAsia="en-US"/>
        </w:rPr>
        <w:t xml:space="preserve">  </w:t>
      </w:r>
      <w:r>
        <w:rPr>
          <w:rFonts w:ascii="黑体" w:hAnsi="黑体" w:eastAsia="黑体" w:cs="黑体"/>
          <w:snapToGrid w:val="0"/>
          <w:color w:val="000000"/>
          <w:spacing w:val="22"/>
          <w:kern w:val="0"/>
          <w:sz w:val="22"/>
          <w:szCs w:val="22"/>
          <w:lang w:eastAsia="en-US"/>
        </w:rPr>
        <w:t>报价或工程子目报价中增加了报价范围的部分报价。</w:t>
      </w:r>
    </w:p>
    <w:p w14:paraId="008DA84D">
      <w:pPr>
        <w:widowControl/>
        <w:kinsoku w:val="0"/>
        <w:autoSpaceDE w:val="0"/>
        <w:autoSpaceDN w:val="0"/>
        <w:adjustRightInd w:val="0"/>
        <w:snapToGrid w:val="0"/>
        <w:spacing w:before="174" w:line="298" w:lineRule="auto"/>
        <w:ind w:right="166" w:firstLine="52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(3)当单价与数量的乘积与合价(金额)虽然一致</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20"/>
          <w:kern w:val="0"/>
          <w:sz w:val="22"/>
          <w:szCs w:val="22"/>
          <w:lang w:eastAsia="en-US"/>
        </w:rPr>
        <w:t>，但</w:t>
      </w:r>
      <w:r>
        <w:rPr>
          <w:rFonts w:ascii="黑体" w:hAnsi="黑体" w:eastAsia="黑体" w:cs="黑体"/>
          <w:snapToGrid w:val="0"/>
          <w:color w:val="000000"/>
          <w:spacing w:val="19"/>
          <w:kern w:val="0"/>
          <w:sz w:val="22"/>
          <w:szCs w:val="22"/>
          <w:lang w:eastAsia="en-US"/>
        </w:rPr>
        <w:t>投标人修改了该子目的工</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1"/>
          <w:kern w:val="0"/>
          <w:sz w:val="22"/>
          <w:szCs w:val="22"/>
          <w:lang w:eastAsia="en-US"/>
        </w:rPr>
        <w:t>程数量</w:t>
      </w:r>
      <w:r>
        <w:rPr>
          <w:rFonts w:ascii="黑体" w:hAnsi="黑体" w:eastAsia="黑体" w:cs="黑体"/>
          <w:snapToGrid w:val="0"/>
          <w:color w:val="000000"/>
          <w:spacing w:val="-58"/>
          <w:kern w:val="0"/>
          <w:sz w:val="22"/>
          <w:szCs w:val="22"/>
          <w:lang w:eastAsia="en-US"/>
        </w:rPr>
        <w:t xml:space="preserve"> </w:t>
      </w:r>
      <w:r>
        <w:rPr>
          <w:rFonts w:ascii="黑体" w:hAnsi="黑体" w:eastAsia="黑体" w:cs="黑体"/>
          <w:snapToGrid w:val="0"/>
          <w:color w:val="000000"/>
          <w:spacing w:val="21"/>
          <w:kern w:val="0"/>
          <w:sz w:val="22"/>
          <w:szCs w:val="22"/>
          <w:lang w:eastAsia="en-US"/>
        </w:rPr>
        <w:t>，则其合价按招标人给定的工程数量乘以投标人所报单价予以修正。</w:t>
      </w:r>
    </w:p>
    <w:p w14:paraId="3ADA6B49">
      <w:pPr>
        <w:widowControl/>
        <w:kinsoku w:val="0"/>
        <w:autoSpaceDE w:val="0"/>
        <w:autoSpaceDN w:val="0"/>
        <w:adjustRightInd w:val="0"/>
        <w:snapToGrid w:val="0"/>
        <w:spacing w:before="184" w:line="375" w:lineRule="auto"/>
        <w:ind w:left="4" w:right="169" w:firstLine="47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*3.4.4修正后的最终投标报价若超过最高投标限价(如有),评标委员会应否决</w:t>
      </w:r>
      <w:r>
        <w:rPr>
          <w:rFonts w:ascii="黑体" w:hAnsi="黑体" w:eastAsia="黑体" w:cs="黑体"/>
          <w:snapToGrid w:val="0"/>
          <w:color w:val="000000"/>
          <w:spacing w:val="2"/>
          <w:kern w:val="0"/>
          <w:sz w:val="22"/>
          <w:szCs w:val="22"/>
          <w:lang w:eastAsia="en-US"/>
        </w:rPr>
        <w:t xml:space="preserve"> </w:t>
      </w:r>
      <w:r>
        <w:rPr>
          <w:rFonts w:ascii="黑体" w:hAnsi="黑体" w:eastAsia="黑体" w:cs="黑体"/>
          <w:snapToGrid w:val="0"/>
          <w:color w:val="000000"/>
          <w:spacing w:val="11"/>
          <w:kern w:val="0"/>
          <w:sz w:val="22"/>
          <w:szCs w:val="22"/>
          <w:lang w:eastAsia="en-US"/>
        </w:rPr>
        <w:t>其投标。</w:t>
      </w:r>
    </w:p>
    <w:p w14:paraId="0BA11AAF">
      <w:pPr>
        <w:widowControl/>
        <w:kinsoku w:val="0"/>
        <w:autoSpaceDE w:val="0"/>
        <w:autoSpaceDN w:val="0"/>
        <w:adjustRightInd w:val="0"/>
        <w:snapToGrid w:val="0"/>
        <w:spacing w:before="1" w:line="377" w:lineRule="auto"/>
        <w:ind w:left="14" w:right="166" w:firstLine="469"/>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3.4.5修正后的最终投标报价仅作为签订合同的一个依据</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21"/>
          <w:kern w:val="0"/>
          <w:sz w:val="22"/>
          <w:szCs w:val="22"/>
          <w:lang w:eastAsia="en-US"/>
        </w:rPr>
        <w:t>，不参与评</w:t>
      </w:r>
      <w:r>
        <w:rPr>
          <w:rFonts w:ascii="黑体" w:hAnsi="黑体" w:eastAsia="黑体" w:cs="黑体"/>
          <w:snapToGrid w:val="0"/>
          <w:color w:val="000000"/>
          <w:spacing w:val="20"/>
          <w:kern w:val="0"/>
          <w:sz w:val="22"/>
          <w:szCs w:val="22"/>
          <w:lang w:eastAsia="en-US"/>
        </w:rPr>
        <w:t>标价得分</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8"/>
          <w:kern w:val="0"/>
          <w:sz w:val="22"/>
          <w:szCs w:val="22"/>
          <w:lang w:eastAsia="en-US"/>
        </w:rPr>
        <w:t>的计算。</w:t>
      </w:r>
    </w:p>
    <w:p w14:paraId="689E9832">
      <w:pPr>
        <w:widowControl/>
        <w:kinsoku w:val="0"/>
        <w:autoSpaceDE w:val="0"/>
        <w:autoSpaceDN w:val="0"/>
        <w:adjustRightInd w:val="0"/>
        <w:snapToGrid w:val="0"/>
        <w:spacing w:before="71" w:line="374" w:lineRule="auto"/>
        <w:ind w:right="208" w:firstLine="485"/>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7"/>
          <w:kern w:val="0"/>
          <w:sz w:val="22"/>
          <w:szCs w:val="22"/>
          <w:lang w:eastAsia="en-US"/>
        </w:rPr>
        <w:t>如本项目招标由投标人按照招标人提供的书面工程量清单填写本合同各工程</w:t>
      </w:r>
      <w:r>
        <w:rPr>
          <w:rFonts w:ascii="黑体" w:hAnsi="黑体" w:eastAsia="黑体" w:cs="黑体"/>
          <w:snapToGrid w:val="0"/>
          <w:color w:val="000000"/>
          <w:spacing w:val="18"/>
          <w:kern w:val="0"/>
          <w:sz w:val="22"/>
          <w:szCs w:val="22"/>
          <w:lang w:eastAsia="en-US"/>
        </w:rPr>
        <w:t xml:space="preserve"> 子目的单价、合价和总额价，则评标委员会按照本章第3.4.2项和第3.4.3项</w:t>
      </w:r>
      <w:r>
        <w:rPr>
          <w:rFonts w:ascii="黑体" w:hAnsi="黑体" w:eastAsia="黑体" w:cs="黑体"/>
          <w:snapToGrid w:val="0"/>
          <w:color w:val="000000"/>
          <w:spacing w:val="17"/>
          <w:kern w:val="0"/>
          <w:sz w:val="22"/>
          <w:szCs w:val="22"/>
          <w:lang w:eastAsia="en-US"/>
        </w:rPr>
        <w:t>的规定</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对投标人的投标报价进行修正。如本项目招标由投标人按照招标人提供的工程量固</w:t>
      </w:r>
      <w:r>
        <w:rPr>
          <w:rFonts w:ascii="黑体" w:hAnsi="黑体" w:eastAsia="黑体" w:cs="黑体"/>
          <w:snapToGrid w:val="0"/>
          <w:color w:val="000000"/>
          <w:spacing w:val="15"/>
          <w:kern w:val="0"/>
          <w:sz w:val="22"/>
          <w:szCs w:val="22"/>
          <w:lang w:eastAsia="en-US"/>
        </w:rPr>
        <w:t xml:space="preserve"> </w:t>
      </w:r>
      <w:r>
        <w:rPr>
          <w:rFonts w:ascii="黑体" w:hAnsi="黑体" w:eastAsia="黑体" w:cs="黑体"/>
          <w:snapToGrid w:val="0"/>
          <w:color w:val="000000"/>
          <w:spacing w:val="18"/>
          <w:kern w:val="0"/>
          <w:sz w:val="22"/>
          <w:szCs w:val="22"/>
          <w:lang w:eastAsia="en-US"/>
        </w:rPr>
        <w:t>化清单电子文件填写工程量清单，无须按照本章第3.4.2项和第3.4.3项的规</w:t>
      </w:r>
      <w:r>
        <w:rPr>
          <w:rFonts w:ascii="黑体" w:hAnsi="黑体" w:eastAsia="黑体" w:cs="黑体"/>
          <w:snapToGrid w:val="0"/>
          <w:color w:val="000000"/>
          <w:spacing w:val="17"/>
          <w:kern w:val="0"/>
          <w:sz w:val="22"/>
          <w:szCs w:val="22"/>
          <w:lang w:eastAsia="en-US"/>
        </w:rPr>
        <w:t>定对投</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7"/>
          <w:kern w:val="0"/>
          <w:sz w:val="22"/>
          <w:szCs w:val="22"/>
          <w:lang w:eastAsia="en-US"/>
        </w:rPr>
        <w:t>标报价进行修正</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7"/>
          <w:kern w:val="0"/>
          <w:sz w:val="22"/>
          <w:szCs w:val="22"/>
          <w:lang w:eastAsia="en-US"/>
        </w:rPr>
        <w:t>，第3.4.2项至第3.4</w:t>
      </w:r>
      <w:r>
        <w:rPr>
          <w:rFonts w:ascii="黑体" w:hAnsi="黑体" w:eastAsia="黑体" w:cs="黑体"/>
          <w:snapToGrid w:val="0"/>
          <w:color w:val="000000"/>
          <w:spacing w:val="16"/>
          <w:kern w:val="0"/>
          <w:sz w:val="22"/>
          <w:szCs w:val="22"/>
          <w:lang w:eastAsia="en-US"/>
        </w:rPr>
        <w:t>.5项内容不适用。</w:t>
      </w:r>
    </w:p>
    <w:p w14:paraId="4BFF02A2">
      <w:pPr>
        <w:widowControl/>
        <w:kinsoku w:val="0"/>
        <w:autoSpaceDE w:val="0"/>
        <w:autoSpaceDN w:val="0"/>
        <w:adjustRightInd w:val="0"/>
        <w:snapToGrid w:val="0"/>
        <w:spacing w:before="250" w:line="230" w:lineRule="auto"/>
        <w:ind w:left="4"/>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3.5第二个信封详细评审</w:t>
      </w:r>
    </w:p>
    <w:p w14:paraId="22BAB7F9">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13485032">
      <w:pPr>
        <w:widowControl/>
        <w:kinsoku w:val="0"/>
        <w:autoSpaceDE w:val="0"/>
        <w:autoSpaceDN w:val="0"/>
        <w:adjustRightInd w:val="0"/>
        <w:snapToGrid w:val="0"/>
        <w:spacing w:before="72" w:line="298" w:lineRule="auto"/>
        <w:ind w:left="5" w:right="208" w:firstLine="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3.5.1评标委员会按本章第2.2.4(3)目规定的评审因素和分值对评标价计</w:t>
      </w:r>
      <w:r>
        <w:rPr>
          <w:rFonts w:ascii="黑体" w:hAnsi="黑体" w:eastAsia="黑体" w:cs="黑体"/>
          <w:snapToGrid w:val="0"/>
          <w:color w:val="000000"/>
          <w:spacing w:val="19"/>
          <w:kern w:val="0"/>
          <w:sz w:val="22"/>
          <w:szCs w:val="22"/>
          <w:lang w:eastAsia="en-US"/>
        </w:rPr>
        <w:t>算出</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9"/>
          <w:kern w:val="0"/>
          <w:sz w:val="22"/>
          <w:szCs w:val="22"/>
          <w:lang w:eastAsia="en-US"/>
        </w:rPr>
        <w:t>得分C。评标价得分分值计算保留小数点后两位</w:t>
      </w:r>
      <w:r>
        <w:rPr>
          <w:rFonts w:ascii="黑体" w:hAnsi="黑体" w:eastAsia="黑体" w:cs="黑体"/>
          <w:snapToGrid w:val="0"/>
          <w:color w:val="000000"/>
          <w:spacing w:val="-53"/>
          <w:kern w:val="0"/>
          <w:sz w:val="22"/>
          <w:szCs w:val="22"/>
          <w:lang w:eastAsia="en-US"/>
        </w:rPr>
        <w:t xml:space="preserve"> </w:t>
      </w:r>
      <w:r>
        <w:rPr>
          <w:rFonts w:ascii="黑体" w:hAnsi="黑体" w:eastAsia="黑体" w:cs="黑体"/>
          <w:snapToGrid w:val="0"/>
          <w:color w:val="000000"/>
          <w:spacing w:val="19"/>
          <w:kern w:val="0"/>
          <w:sz w:val="22"/>
          <w:szCs w:val="22"/>
          <w:lang w:eastAsia="en-US"/>
        </w:rPr>
        <w:t>，小数点后第三位“</w:t>
      </w:r>
      <w:r>
        <w:rPr>
          <w:rFonts w:ascii="黑体" w:hAnsi="黑体" w:eastAsia="黑体" w:cs="黑体"/>
          <w:snapToGrid w:val="0"/>
          <w:color w:val="000000"/>
          <w:spacing w:val="-80"/>
          <w:kern w:val="0"/>
          <w:sz w:val="22"/>
          <w:szCs w:val="22"/>
          <w:lang w:eastAsia="en-US"/>
        </w:rPr>
        <w:t xml:space="preserve"> </w:t>
      </w:r>
      <w:r>
        <w:rPr>
          <w:rFonts w:ascii="黑体" w:hAnsi="黑体" w:eastAsia="黑体" w:cs="黑体"/>
          <w:snapToGrid w:val="0"/>
          <w:color w:val="000000"/>
          <w:spacing w:val="19"/>
          <w:kern w:val="0"/>
          <w:sz w:val="22"/>
          <w:szCs w:val="22"/>
          <w:lang w:eastAsia="en-US"/>
        </w:rPr>
        <w:t>四舍五入</w:t>
      </w:r>
      <w:r>
        <w:rPr>
          <w:rFonts w:ascii="黑体" w:hAnsi="黑体" w:eastAsia="黑体" w:cs="黑体"/>
          <w:snapToGrid w:val="0"/>
          <w:color w:val="000000"/>
          <w:spacing w:val="-76"/>
          <w:kern w:val="0"/>
          <w:sz w:val="22"/>
          <w:szCs w:val="22"/>
          <w:lang w:eastAsia="en-US"/>
        </w:rPr>
        <w:t xml:space="preserve"> </w:t>
      </w:r>
      <w:r>
        <w:rPr>
          <w:rFonts w:ascii="黑体" w:hAnsi="黑体" w:eastAsia="黑体" w:cs="黑体"/>
          <w:snapToGrid w:val="0"/>
          <w:color w:val="000000"/>
          <w:spacing w:val="19"/>
          <w:kern w:val="0"/>
          <w:sz w:val="22"/>
          <w:szCs w:val="22"/>
          <w:lang w:eastAsia="en-US"/>
        </w:rPr>
        <w:t>”。</w:t>
      </w:r>
    </w:p>
    <w:p w14:paraId="409745F2">
      <w:pPr>
        <w:widowControl/>
        <w:kinsoku w:val="0"/>
        <w:autoSpaceDE w:val="0"/>
        <w:autoSpaceDN w:val="0"/>
        <w:adjustRightInd w:val="0"/>
        <w:snapToGrid w:val="0"/>
        <w:spacing w:before="185" w:line="229" w:lineRule="auto"/>
        <w:ind w:left="48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3.5.2投标人综合得分=投标人的商务和</w:t>
      </w:r>
      <w:r>
        <w:rPr>
          <w:rFonts w:ascii="黑体" w:hAnsi="黑体" w:eastAsia="黑体" w:cs="黑体"/>
          <w:snapToGrid w:val="0"/>
          <w:color w:val="000000"/>
          <w:spacing w:val="18"/>
          <w:kern w:val="0"/>
          <w:sz w:val="22"/>
          <w:szCs w:val="22"/>
          <w:lang w:eastAsia="en-US"/>
        </w:rPr>
        <w:t>技术得分+C。</w:t>
      </w:r>
    </w:p>
    <w:p w14:paraId="1E5CF2DD">
      <w:pPr>
        <w:widowControl/>
        <w:kinsoku w:val="0"/>
        <w:autoSpaceDE w:val="0"/>
        <w:autoSpaceDN w:val="0"/>
        <w:adjustRightInd w:val="0"/>
        <w:snapToGrid w:val="0"/>
        <w:spacing w:before="173" w:line="374" w:lineRule="auto"/>
        <w:ind w:right="208" w:firstLine="482"/>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*3.5.3评标委员会发现投标人的报价明显低于其他投标</w:t>
      </w:r>
      <w:r>
        <w:rPr>
          <w:rFonts w:ascii="黑体" w:hAnsi="黑体" w:eastAsia="黑体" w:cs="黑体"/>
          <w:snapToGrid w:val="0"/>
          <w:color w:val="000000"/>
          <w:spacing w:val="18"/>
          <w:kern w:val="0"/>
          <w:sz w:val="22"/>
          <w:szCs w:val="22"/>
          <w:lang w:eastAsia="en-US"/>
        </w:rPr>
        <w:t>报价，使得其投标报价</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可能低于其个别成本的，应要求该投标人作出书面说明并提供相应的证明材料。投</w:t>
      </w:r>
      <w:r>
        <w:rPr>
          <w:rFonts w:ascii="黑体" w:hAnsi="黑体" w:eastAsia="黑体" w:cs="黑体"/>
          <w:snapToGrid w:val="0"/>
          <w:color w:val="000000"/>
          <w:spacing w:val="15"/>
          <w:kern w:val="0"/>
          <w:sz w:val="22"/>
          <w:szCs w:val="22"/>
          <w:lang w:eastAsia="en-US"/>
        </w:rPr>
        <w:t xml:space="preserve"> </w:t>
      </w:r>
      <w:r>
        <w:rPr>
          <w:rFonts w:ascii="黑体" w:hAnsi="黑体" w:eastAsia="黑体" w:cs="黑体"/>
          <w:snapToGrid w:val="0"/>
          <w:color w:val="000000"/>
          <w:spacing w:val="20"/>
          <w:kern w:val="0"/>
          <w:sz w:val="22"/>
          <w:szCs w:val="22"/>
          <w:lang w:eastAsia="en-US"/>
        </w:rPr>
        <w:t>标人不能合理说明或不能提供相应证明材料的，评标委员会应认定该投标人以低于</w:t>
      </w:r>
      <w:r>
        <w:rPr>
          <w:rFonts w:ascii="黑体" w:hAnsi="黑体" w:eastAsia="黑体" w:cs="黑体"/>
          <w:snapToGrid w:val="0"/>
          <w:color w:val="000000"/>
          <w:spacing w:val="15"/>
          <w:kern w:val="0"/>
          <w:sz w:val="22"/>
          <w:szCs w:val="22"/>
          <w:lang w:eastAsia="en-US"/>
        </w:rPr>
        <w:t xml:space="preserve"> </w:t>
      </w:r>
      <w:r>
        <w:rPr>
          <w:rFonts w:ascii="黑体" w:hAnsi="黑体" w:eastAsia="黑体" w:cs="黑体"/>
          <w:snapToGrid w:val="0"/>
          <w:color w:val="000000"/>
          <w:spacing w:val="17"/>
          <w:kern w:val="0"/>
          <w:sz w:val="22"/>
          <w:szCs w:val="22"/>
          <w:lang w:eastAsia="en-US"/>
        </w:rPr>
        <w:t>成本报价竞标</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17"/>
          <w:kern w:val="0"/>
          <w:sz w:val="22"/>
          <w:szCs w:val="22"/>
          <w:lang w:eastAsia="en-US"/>
        </w:rPr>
        <w:t>，并否决其投标。</w:t>
      </w:r>
    </w:p>
    <w:p w14:paraId="0A2251B8">
      <w:pPr>
        <w:widowControl/>
        <w:kinsoku w:val="0"/>
        <w:autoSpaceDE w:val="0"/>
        <w:autoSpaceDN w:val="0"/>
        <w:adjustRightInd w:val="0"/>
        <w:snapToGrid w:val="0"/>
        <w:spacing w:before="247" w:line="230" w:lineRule="auto"/>
        <w:ind w:left="4"/>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8"/>
          <w:kern w:val="0"/>
          <w:sz w:val="22"/>
          <w:szCs w:val="22"/>
          <w:lang w:eastAsia="en-US"/>
        </w:rPr>
        <w:t>3.6投标文件相关信息的核查</w:t>
      </w:r>
    </w:p>
    <w:p w14:paraId="14CB7889">
      <w:pPr>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val="en-US" w:eastAsia="en-US" w:bidi="ar-SA"/>
        </w:rPr>
      </w:pPr>
    </w:p>
    <w:p w14:paraId="7EFD20DB">
      <w:pPr>
        <w:widowControl/>
        <w:kinsoku w:val="0"/>
        <w:autoSpaceDE w:val="0"/>
        <w:autoSpaceDN w:val="0"/>
        <w:adjustRightInd w:val="0"/>
        <w:snapToGrid w:val="0"/>
        <w:spacing w:before="72" w:line="337" w:lineRule="auto"/>
        <w:ind w:left="2" w:firstLine="479"/>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*3.6.1在评标过程中，评标委员会应查询“全国公路建设市场监督管</w:t>
      </w:r>
      <w:r>
        <w:rPr>
          <w:rFonts w:ascii="黑体" w:hAnsi="黑体" w:eastAsia="黑体" w:cs="黑体"/>
          <w:snapToGrid w:val="0"/>
          <w:color w:val="000000"/>
          <w:spacing w:val="17"/>
          <w:kern w:val="0"/>
          <w:sz w:val="22"/>
          <w:szCs w:val="22"/>
          <w:lang w:eastAsia="en-US"/>
        </w:rPr>
        <w:t>理系统</w:t>
      </w:r>
      <w:r>
        <w:rPr>
          <w:rFonts w:ascii="黑体" w:hAnsi="黑体" w:eastAsia="黑体" w:cs="黑体"/>
          <w:snapToGrid w:val="0"/>
          <w:color w:val="000000"/>
          <w:spacing w:val="-76"/>
          <w:kern w:val="0"/>
          <w:sz w:val="22"/>
          <w:szCs w:val="22"/>
          <w:lang w:eastAsia="en-US"/>
        </w:rPr>
        <w:t xml:space="preserve"> </w:t>
      </w:r>
      <w:r>
        <w:rPr>
          <w:rFonts w:ascii="黑体" w:hAnsi="黑体" w:eastAsia="黑体" w:cs="黑体"/>
          <w:snapToGrid w:val="0"/>
          <w:color w:val="000000"/>
          <w:spacing w:val="17"/>
          <w:kern w:val="0"/>
          <w:sz w:val="22"/>
          <w:szCs w:val="22"/>
          <w:lang w:eastAsia="en-US"/>
        </w:rPr>
        <w:t>”,</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8"/>
          <w:kern w:val="0"/>
          <w:sz w:val="22"/>
          <w:szCs w:val="22"/>
          <w:lang w:eastAsia="en-US"/>
        </w:rPr>
        <w:t>对投标人的资质、业绩</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18"/>
          <w:kern w:val="0"/>
          <w:sz w:val="22"/>
          <w:szCs w:val="22"/>
          <w:lang w:eastAsia="en-US"/>
        </w:rPr>
        <w:t>、主要人员资历和目前在岗情况、信用等级等信息进行核实。</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9"/>
          <w:kern w:val="0"/>
          <w:sz w:val="22"/>
          <w:szCs w:val="22"/>
          <w:lang w:eastAsia="en-US"/>
        </w:rPr>
        <w:t>若投标文件载明的信息与“全国公路建设市场监督管理系统</w:t>
      </w:r>
      <w:r>
        <w:rPr>
          <w:rFonts w:ascii="黑体" w:hAnsi="黑体" w:eastAsia="黑体" w:cs="黑体"/>
          <w:snapToGrid w:val="0"/>
          <w:color w:val="000000"/>
          <w:spacing w:val="-61"/>
          <w:kern w:val="0"/>
          <w:sz w:val="22"/>
          <w:szCs w:val="22"/>
          <w:lang w:eastAsia="en-US"/>
        </w:rPr>
        <w:t xml:space="preserve"> </w:t>
      </w:r>
      <w:r>
        <w:rPr>
          <w:rFonts w:ascii="黑体" w:hAnsi="黑体" w:eastAsia="黑体" w:cs="黑体"/>
          <w:snapToGrid w:val="0"/>
          <w:color w:val="000000"/>
          <w:spacing w:val="19"/>
          <w:kern w:val="0"/>
          <w:sz w:val="22"/>
          <w:szCs w:val="22"/>
          <w:lang w:eastAsia="en-US"/>
        </w:rPr>
        <w:t>”发布的信息不符，使</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1"/>
          <w:kern w:val="0"/>
          <w:sz w:val="22"/>
          <w:szCs w:val="22"/>
          <w:lang w:eastAsia="en-US"/>
        </w:rPr>
        <w:t>得投标人的资格条件不符合招标文件规定的</w:t>
      </w:r>
      <w:r>
        <w:rPr>
          <w:rFonts w:ascii="黑体" w:hAnsi="黑体" w:eastAsia="黑体" w:cs="黑体"/>
          <w:snapToGrid w:val="0"/>
          <w:color w:val="000000"/>
          <w:spacing w:val="-61"/>
          <w:kern w:val="0"/>
          <w:sz w:val="22"/>
          <w:szCs w:val="22"/>
          <w:lang w:eastAsia="en-US"/>
        </w:rPr>
        <w:t xml:space="preserve"> </w:t>
      </w:r>
      <w:r>
        <w:rPr>
          <w:rFonts w:ascii="黑体" w:hAnsi="黑体" w:eastAsia="黑体" w:cs="黑体"/>
          <w:snapToGrid w:val="0"/>
          <w:color w:val="000000"/>
          <w:spacing w:val="21"/>
          <w:kern w:val="0"/>
          <w:sz w:val="22"/>
          <w:szCs w:val="22"/>
          <w:lang w:eastAsia="en-US"/>
        </w:rPr>
        <w:t>，评标委员会应否决其投标。</w:t>
      </w:r>
    </w:p>
    <w:p w14:paraId="63105E8E">
      <w:pPr>
        <w:widowControl/>
        <w:kinsoku w:val="0"/>
        <w:autoSpaceDE w:val="0"/>
        <w:autoSpaceDN w:val="0"/>
        <w:adjustRightInd w:val="0"/>
        <w:snapToGrid w:val="0"/>
        <w:spacing w:before="183" w:line="324" w:lineRule="auto"/>
        <w:ind w:firstLine="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*3.6.2评标委员会应对在评标过程中发现的投标人与投</w:t>
      </w:r>
      <w:r>
        <w:rPr>
          <w:rFonts w:ascii="黑体" w:hAnsi="黑体" w:eastAsia="黑体" w:cs="黑体"/>
          <w:snapToGrid w:val="0"/>
          <w:color w:val="000000"/>
          <w:spacing w:val="18"/>
          <w:kern w:val="0"/>
          <w:sz w:val="22"/>
          <w:szCs w:val="22"/>
          <w:lang w:eastAsia="en-US"/>
        </w:rPr>
        <w:t>标人之间、投标人与招</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标人之间存在的串通投标的情形进行评审和认</w:t>
      </w:r>
      <w:r>
        <w:rPr>
          <w:rFonts w:ascii="黑体" w:hAnsi="黑体" w:eastAsia="黑体" w:cs="黑体"/>
          <w:snapToGrid w:val="0"/>
          <w:color w:val="000000"/>
          <w:spacing w:val="19"/>
          <w:kern w:val="0"/>
          <w:sz w:val="22"/>
          <w:szCs w:val="22"/>
          <w:lang w:eastAsia="en-US"/>
        </w:rPr>
        <w:t>定。投标人存在串通投标、弄虚作假、</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2"/>
          <w:kern w:val="0"/>
          <w:sz w:val="22"/>
          <w:szCs w:val="22"/>
          <w:lang w:eastAsia="en-US"/>
        </w:rPr>
        <w:t>行贿等违法行为的，评标委员会应否决其投标。</w:t>
      </w:r>
    </w:p>
    <w:p w14:paraId="1A46F3FE">
      <w:pPr>
        <w:widowControl/>
        <w:kinsoku w:val="0"/>
        <w:autoSpaceDE w:val="0"/>
        <w:autoSpaceDN w:val="0"/>
        <w:adjustRightInd w:val="0"/>
        <w:snapToGrid w:val="0"/>
        <w:spacing w:before="183" w:line="221" w:lineRule="auto"/>
        <w:ind w:left="53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(1)有下列情形之一的，属于投标人相互串通投标：</w:t>
      </w:r>
    </w:p>
    <w:p w14:paraId="3B6DC9CC">
      <w:pPr>
        <w:widowControl/>
        <w:kinsoku w:val="0"/>
        <w:autoSpaceDE w:val="0"/>
        <w:autoSpaceDN w:val="0"/>
        <w:adjustRightInd w:val="0"/>
        <w:snapToGrid w:val="0"/>
        <w:spacing w:before="185" w:line="221" w:lineRule="auto"/>
        <w:ind w:left="487"/>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a.投标人之间协商投标报价等投标文件的实质性内容；</w:t>
      </w:r>
    </w:p>
    <w:p w14:paraId="6F8312EB">
      <w:pPr>
        <w:widowControl/>
        <w:kinsoku w:val="0"/>
        <w:autoSpaceDE w:val="0"/>
        <w:autoSpaceDN w:val="0"/>
        <w:adjustRightInd w:val="0"/>
        <w:snapToGrid w:val="0"/>
        <w:spacing w:before="183" w:line="221" w:lineRule="auto"/>
        <w:ind w:left="488"/>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b.投标人之间约定中标人；</w:t>
      </w:r>
    </w:p>
    <w:p w14:paraId="75B92516">
      <w:pPr>
        <w:widowControl/>
        <w:kinsoku w:val="0"/>
        <w:autoSpaceDE w:val="0"/>
        <w:autoSpaceDN w:val="0"/>
        <w:adjustRightInd w:val="0"/>
        <w:snapToGrid w:val="0"/>
        <w:spacing w:before="186" w:line="221" w:lineRule="auto"/>
        <w:ind w:left="48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c.投标人之间约定部分投标人放弃投标或中标；</w:t>
      </w:r>
    </w:p>
    <w:p w14:paraId="4BF4F31E">
      <w:pPr>
        <w:widowControl/>
        <w:kinsoku w:val="0"/>
        <w:autoSpaceDE w:val="0"/>
        <w:autoSpaceDN w:val="0"/>
        <w:adjustRightInd w:val="0"/>
        <w:snapToGrid w:val="0"/>
        <w:spacing w:before="183" w:line="221" w:lineRule="auto"/>
        <w:ind w:left="48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d.属于同一集团</w:t>
      </w:r>
      <w:r>
        <w:rPr>
          <w:rFonts w:ascii="黑体" w:hAnsi="黑体" w:eastAsia="黑体" w:cs="黑体"/>
          <w:snapToGrid w:val="0"/>
          <w:color w:val="000000"/>
          <w:spacing w:val="-56"/>
          <w:kern w:val="0"/>
          <w:sz w:val="22"/>
          <w:szCs w:val="22"/>
          <w:lang w:eastAsia="en-US"/>
        </w:rPr>
        <w:t xml:space="preserve"> </w:t>
      </w:r>
      <w:r>
        <w:rPr>
          <w:rFonts w:ascii="黑体" w:hAnsi="黑体" w:eastAsia="黑体" w:cs="黑体"/>
          <w:snapToGrid w:val="0"/>
          <w:color w:val="000000"/>
          <w:spacing w:val="19"/>
          <w:kern w:val="0"/>
          <w:sz w:val="22"/>
          <w:szCs w:val="22"/>
          <w:lang w:eastAsia="en-US"/>
        </w:rPr>
        <w:t>、协会</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19"/>
          <w:kern w:val="0"/>
          <w:sz w:val="22"/>
          <w:szCs w:val="22"/>
          <w:lang w:eastAsia="en-US"/>
        </w:rPr>
        <w:t>、商会等组织成员的投标人按照该组织要求协同投标；</w:t>
      </w:r>
    </w:p>
    <w:p w14:paraId="6FD00F89">
      <w:pPr>
        <w:widowControl/>
        <w:kinsoku w:val="0"/>
        <w:autoSpaceDE w:val="0"/>
        <w:autoSpaceDN w:val="0"/>
        <w:adjustRightInd w:val="0"/>
        <w:snapToGrid w:val="0"/>
        <w:spacing w:before="185" w:line="229" w:lineRule="auto"/>
        <w:ind w:left="48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2"/>
          <w:kern w:val="0"/>
          <w:sz w:val="22"/>
          <w:szCs w:val="22"/>
          <w:lang w:eastAsia="en-US"/>
        </w:rPr>
        <w:t>e.投标人之间为谋取中标或排斥特定投标</w:t>
      </w:r>
      <w:r>
        <w:rPr>
          <w:rFonts w:ascii="黑体" w:hAnsi="黑体" w:eastAsia="黑体" w:cs="黑体"/>
          <w:snapToGrid w:val="0"/>
          <w:color w:val="000000"/>
          <w:spacing w:val="21"/>
          <w:kern w:val="0"/>
          <w:sz w:val="22"/>
          <w:szCs w:val="22"/>
          <w:lang w:eastAsia="en-US"/>
        </w:rPr>
        <w:t>人而采取的其他联合行动。</w:t>
      </w:r>
    </w:p>
    <w:p w14:paraId="338D280A">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r>
        <w:rPr>
          <w:rFonts w:ascii="黑体" w:hAnsi="黑体" w:eastAsia="黑体" w:cs="黑体"/>
          <w:snapToGrid w:val="0"/>
          <w:color w:val="000000"/>
          <w:spacing w:val="18"/>
          <w:kern w:val="0"/>
          <w:sz w:val="22"/>
          <w:szCs w:val="22"/>
          <w:lang w:eastAsia="en-US"/>
        </w:rPr>
        <w:t>(2)有下列情形之一的，视为投标人相互串通投标：</w:t>
      </w:r>
    </w:p>
    <w:p w14:paraId="5BC890C1">
      <w:pPr>
        <w:widowControl/>
        <w:kinsoku w:val="0"/>
        <w:autoSpaceDE w:val="0"/>
        <w:autoSpaceDN w:val="0"/>
        <w:adjustRightInd w:val="0"/>
        <w:snapToGrid w:val="0"/>
        <w:spacing w:before="72" w:line="221" w:lineRule="auto"/>
        <w:ind w:left="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a.不同投标人的投标文件由同一单位或个人编制；</w:t>
      </w:r>
    </w:p>
    <w:p w14:paraId="6170195C">
      <w:pPr>
        <w:widowControl/>
        <w:kinsoku w:val="0"/>
        <w:autoSpaceDE w:val="0"/>
        <w:autoSpaceDN w:val="0"/>
        <w:adjustRightInd w:val="0"/>
        <w:snapToGrid w:val="0"/>
        <w:spacing w:before="183" w:line="221" w:lineRule="auto"/>
        <w:ind w:left="48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b.不同投标人委托同一单位或个人办理投标事宜；</w:t>
      </w:r>
    </w:p>
    <w:p w14:paraId="5ADCD29F">
      <w:pPr>
        <w:widowControl/>
        <w:kinsoku w:val="0"/>
        <w:autoSpaceDE w:val="0"/>
        <w:autoSpaceDN w:val="0"/>
        <w:adjustRightInd w:val="0"/>
        <w:snapToGrid w:val="0"/>
        <w:spacing w:before="183" w:line="221" w:lineRule="auto"/>
        <w:ind w:left="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c.不同投标人的投标文件载明的项目管理成员为同一人；</w:t>
      </w:r>
    </w:p>
    <w:p w14:paraId="09A86169">
      <w:pPr>
        <w:widowControl/>
        <w:kinsoku w:val="0"/>
        <w:autoSpaceDE w:val="0"/>
        <w:autoSpaceDN w:val="0"/>
        <w:adjustRightInd w:val="0"/>
        <w:snapToGrid w:val="0"/>
        <w:spacing w:before="185" w:line="221" w:lineRule="auto"/>
        <w:ind w:left="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d.不同投标人的投标文件异常一致或投标报价呈规律性差异；</w:t>
      </w:r>
    </w:p>
    <w:p w14:paraId="29295C06">
      <w:pPr>
        <w:widowControl/>
        <w:kinsoku w:val="0"/>
        <w:autoSpaceDE w:val="0"/>
        <w:autoSpaceDN w:val="0"/>
        <w:adjustRightInd w:val="0"/>
        <w:snapToGrid w:val="0"/>
        <w:spacing w:before="183" w:line="221" w:lineRule="auto"/>
        <w:ind w:left="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e.不同投标人的投标文件相互混装；</w:t>
      </w:r>
    </w:p>
    <w:p w14:paraId="6BBEA1E3">
      <w:pPr>
        <w:widowControl/>
        <w:kinsoku w:val="0"/>
        <w:autoSpaceDE w:val="0"/>
        <w:autoSpaceDN w:val="0"/>
        <w:adjustRightInd w:val="0"/>
        <w:snapToGrid w:val="0"/>
        <w:spacing w:before="185" w:line="221" w:lineRule="auto"/>
        <w:ind w:left="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f.不同投标人的投标保证金从同一单位或个人的账户转出；</w:t>
      </w:r>
    </w:p>
    <w:p w14:paraId="08354DDF">
      <w:pPr>
        <w:widowControl/>
        <w:kinsoku w:val="0"/>
        <w:autoSpaceDE w:val="0"/>
        <w:autoSpaceDN w:val="0"/>
        <w:adjustRightInd w:val="0"/>
        <w:snapToGrid w:val="0"/>
        <w:spacing w:before="183" w:line="221" w:lineRule="auto"/>
        <w:ind w:left="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g.不同投标人的电子投标文件编制识别码完全</w:t>
      </w:r>
      <w:r>
        <w:rPr>
          <w:rFonts w:ascii="黑体" w:hAnsi="黑体" w:eastAsia="黑体" w:cs="黑体"/>
          <w:snapToGrid w:val="0"/>
          <w:color w:val="000000"/>
          <w:spacing w:val="20"/>
          <w:kern w:val="0"/>
          <w:sz w:val="22"/>
          <w:szCs w:val="22"/>
          <w:lang w:eastAsia="en-US"/>
        </w:rPr>
        <w:t>一致；</w:t>
      </w:r>
    </w:p>
    <w:p w14:paraId="2481C880">
      <w:pPr>
        <w:widowControl/>
        <w:kinsoku w:val="0"/>
        <w:autoSpaceDE w:val="0"/>
        <w:autoSpaceDN w:val="0"/>
        <w:adjustRightInd w:val="0"/>
        <w:snapToGrid w:val="0"/>
        <w:spacing w:before="183" w:line="221" w:lineRule="auto"/>
        <w:ind w:left="486"/>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2"/>
          <w:kern w:val="0"/>
          <w:sz w:val="22"/>
          <w:szCs w:val="22"/>
          <w:lang w:eastAsia="en-US"/>
        </w:rPr>
        <w:t>h.不同投标人提交电子投标文件</w:t>
      </w:r>
      <w:r>
        <w:rPr>
          <w:rFonts w:ascii="黑体" w:hAnsi="黑体" w:eastAsia="黑体" w:cs="黑体"/>
          <w:snapToGrid w:val="0"/>
          <w:color w:val="000000"/>
          <w:kern w:val="0"/>
          <w:sz w:val="22"/>
          <w:szCs w:val="22"/>
          <w:lang w:eastAsia="en-US"/>
        </w:rPr>
        <w:t>IP</w:t>
      </w:r>
      <w:r>
        <w:rPr>
          <w:rFonts w:ascii="黑体" w:hAnsi="黑体" w:eastAsia="黑体" w:cs="黑体"/>
          <w:snapToGrid w:val="0"/>
          <w:color w:val="000000"/>
          <w:spacing w:val="22"/>
          <w:kern w:val="0"/>
          <w:sz w:val="22"/>
          <w:szCs w:val="22"/>
          <w:lang w:eastAsia="en-US"/>
        </w:rPr>
        <w:t>地址相同且无法合理说明的；</w:t>
      </w:r>
    </w:p>
    <w:p w14:paraId="5A5A156B">
      <w:pPr>
        <w:widowControl/>
        <w:kinsoku w:val="0"/>
        <w:autoSpaceDE w:val="0"/>
        <w:autoSpaceDN w:val="0"/>
        <w:adjustRightInd w:val="0"/>
        <w:snapToGrid w:val="0"/>
        <w:spacing w:before="185" w:line="221" w:lineRule="auto"/>
        <w:jc w:val="righ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i.不同投标人提交电子投标文件的</w:t>
      </w:r>
      <w:r>
        <w:rPr>
          <w:rFonts w:ascii="黑体" w:hAnsi="黑体" w:eastAsia="黑体" w:cs="黑体"/>
          <w:snapToGrid w:val="0"/>
          <w:color w:val="000000"/>
          <w:kern w:val="0"/>
          <w:sz w:val="22"/>
          <w:szCs w:val="22"/>
          <w:lang w:eastAsia="en-US"/>
        </w:rPr>
        <w:t>IP</w:t>
      </w:r>
      <w:r>
        <w:rPr>
          <w:rFonts w:ascii="黑体" w:hAnsi="黑体" w:eastAsia="黑体" w:cs="黑体"/>
          <w:snapToGrid w:val="0"/>
          <w:color w:val="000000"/>
          <w:spacing w:val="21"/>
          <w:kern w:val="0"/>
          <w:sz w:val="22"/>
          <w:szCs w:val="22"/>
          <w:lang w:eastAsia="en-US"/>
        </w:rPr>
        <w:t>地址在某一特定区</w:t>
      </w:r>
      <w:r>
        <w:rPr>
          <w:rFonts w:ascii="黑体" w:hAnsi="黑体" w:eastAsia="黑体" w:cs="黑体"/>
          <w:snapToGrid w:val="0"/>
          <w:color w:val="000000"/>
          <w:spacing w:val="20"/>
          <w:kern w:val="0"/>
          <w:sz w:val="22"/>
          <w:szCs w:val="22"/>
          <w:lang w:eastAsia="en-US"/>
        </w:rPr>
        <w:t>域且无法合理说明的；</w:t>
      </w:r>
    </w:p>
    <w:p w14:paraId="0DB512FC">
      <w:pPr>
        <w:widowControl/>
        <w:kinsoku w:val="0"/>
        <w:autoSpaceDE w:val="0"/>
        <w:autoSpaceDN w:val="0"/>
        <w:adjustRightInd w:val="0"/>
        <w:snapToGrid w:val="0"/>
        <w:spacing w:before="183" w:line="226" w:lineRule="auto"/>
        <w:ind w:left="49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j.电子投标文件硬件信息相同且无法合理说明的。</w:t>
      </w:r>
    </w:p>
    <w:p w14:paraId="2E046A76">
      <w:pPr>
        <w:widowControl/>
        <w:kinsoku w:val="0"/>
        <w:autoSpaceDE w:val="0"/>
        <w:autoSpaceDN w:val="0"/>
        <w:adjustRightInd w:val="0"/>
        <w:snapToGrid w:val="0"/>
        <w:spacing w:before="179"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(3)有下列情形之一的，属于招标人与投标人串通投标：</w:t>
      </w:r>
    </w:p>
    <w:p w14:paraId="260A62D8">
      <w:pPr>
        <w:widowControl/>
        <w:kinsoku w:val="0"/>
        <w:autoSpaceDE w:val="0"/>
        <w:autoSpaceDN w:val="0"/>
        <w:adjustRightInd w:val="0"/>
        <w:snapToGrid w:val="0"/>
        <w:spacing w:before="183" w:line="221" w:lineRule="auto"/>
        <w:ind w:left="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a.招标人在开标前开启投标文件并将有关信息泄露给其他投标人；</w:t>
      </w:r>
    </w:p>
    <w:p w14:paraId="60C7E016">
      <w:pPr>
        <w:widowControl/>
        <w:kinsoku w:val="0"/>
        <w:autoSpaceDE w:val="0"/>
        <w:autoSpaceDN w:val="0"/>
        <w:adjustRightInd w:val="0"/>
        <w:snapToGrid w:val="0"/>
        <w:spacing w:before="185" w:line="221" w:lineRule="auto"/>
        <w:ind w:left="48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b.招标人直接或间接向投标人泄露标底</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20"/>
          <w:kern w:val="0"/>
          <w:sz w:val="22"/>
          <w:szCs w:val="22"/>
          <w:lang w:eastAsia="en-US"/>
        </w:rPr>
        <w:t>、评标委员会成</w:t>
      </w:r>
      <w:r>
        <w:rPr>
          <w:rFonts w:ascii="黑体" w:hAnsi="黑体" w:eastAsia="黑体" w:cs="黑体"/>
          <w:snapToGrid w:val="0"/>
          <w:color w:val="000000"/>
          <w:spacing w:val="19"/>
          <w:kern w:val="0"/>
          <w:sz w:val="22"/>
          <w:szCs w:val="22"/>
          <w:lang w:eastAsia="en-US"/>
        </w:rPr>
        <w:t>员等信息；</w:t>
      </w:r>
    </w:p>
    <w:p w14:paraId="2B79AB28">
      <w:pPr>
        <w:widowControl/>
        <w:kinsoku w:val="0"/>
        <w:autoSpaceDE w:val="0"/>
        <w:autoSpaceDN w:val="0"/>
        <w:adjustRightInd w:val="0"/>
        <w:snapToGrid w:val="0"/>
        <w:spacing w:before="183" w:line="221" w:lineRule="auto"/>
        <w:ind w:left="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c.招标人明示或暗示投标人压低或抬高投标</w:t>
      </w:r>
      <w:r>
        <w:rPr>
          <w:rFonts w:ascii="黑体" w:hAnsi="黑体" w:eastAsia="黑体" w:cs="黑体"/>
          <w:snapToGrid w:val="0"/>
          <w:color w:val="000000"/>
          <w:spacing w:val="20"/>
          <w:kern w:val="0"/>
          <w:sz w:val="22"/>
          <w:szCs w:val="22"/>
          <w:lang w:eastAsia="en-US"/>
        </w:rPr>
        <w:t>报价；</w:t>
      </w:r>
    </w:p>
    <w:p w14:paraId="6FB7B47B">
      <w:pPr>
        <w:widowControl/>
        <w:kinsoku w:val="0"/>
        <w:autoSpaceDE w:val="0"/>
        <w:autoSpaceDN w:val="0"/>
        <w:adjustRightInd w:val="0"/>
        <w:snapToGrid w:val="0"/>
        <w:spacing w:before="183" w:line="221" w:lineRule="auto"/>
        <w:ind w:left="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8"/>
          <w:kern w:val="0"/>
          <w:sz w:val="22"/>
          <w:szCs w:val="22"/>
          <w:lang w:eastAsia="en-US"/>
        </w:rPr>
        <w:t>d.招标人授意投标人撤换</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18"/>
          <w:kern w:val="0"/>
          <w:sz w:val="22"/>
          <w:szCs w:val="22"/>
          <w:lang w:eastAsia="en-US"/>
        </w:rPr>
        <w:t>、修改投标文件；</w:t>
      </w:r>
    </w:p>
    <w:p w14:paraId="601959BE">
      <w:pPr>
        <w:widowControl/>
        <w:kinsoku w:val="0"/>
        <w:autoSpaceDE w:val="0"/>
        <w:autoSpaceDN w:val="0"/>
        <w:adjustRightInd w:val="0"/>
        <w:snapToGrid w:val="0"/>
        <w:spacing w:before="186" w:line="221" w:lineRule="auto"/>
        <w:ind w:left="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e.招标人明示或暗示投标人为特定投标人中标提供方便；</w:t>
      </w:r>
    </w:p>
    <w:p w14:paraId="22249E79">
      <w:pPr>
        <w:widowControl/>
        <w:kinsoku w:val="0"/>
        <w:autoSpaceDE w:val="0"/>
        <w:autoSpaceDN w:val="0"/>
        <w:adjustRightInd w:val="0"/>
        <w:snapToGrid w:val="0"/>
        <w:spacing w:before="183" w:line="229" w:lineRule="auto"/>
        <w:ind w:left="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f.招标人与投标人为谋求特定投标人中标而采取的其他串通行为。</w:t>
      </w:r>
    </w:p>
    <w:p w14:paraId="5883E517">
      <w:pPr>
        <w:widowControl/>
        <w:kinsoku w:val="0"/>
        <w:autoSpaceDE w:val="0"/>
        <w:autoSpaceDN w:val="0"/>
        <w:adjustRightInd w:val="0"/>
        <w:snapToGrid w:val="0"/>
        <w:spacing w:before="176" w:line="221" w:lineRule="auto"/>
        <w:ind w:left="525"/>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(4)投标人有下列情形之一的，属于弄虚作</w:t>
      </w:r>
      <w:r>
        <w:rPr>
          <w:rFonts w:ascii="黑体" w:hAnsi="黑体" w:eastAsia="黑体" w:cs="黑体"/>
          <w:snapToGrid w:val="0"/>
          <w:color w:val="000000"/>
          <w:spacing w:val="18"/>
          <w:kern w:val="0"/>
          <w:sz w:val="22"/>
          <w:szCs w:val="22"/>
          <w:lang w:eastAsia="en-US"/>
        </w:rPr>
        <w:t>假的行为：</w:t>
      </w:r>
    </w:p>
    <w:p w14:paraId="787E7A5A">
      <w:pPr>
        <w:widowControl/>
        <w:kinsoku w:val="0"/>
        <w:autoSpaceDE w:val="0"/>
        <w:autoSpaceDN w:val="0"/>
        <w:adjustRightInd w:val="0"/>
        <w:snapToGrid w:val="0"/>
        <w:spacing w:before="183" w:line="221" w:lineRule="auto"/>
        <w:ind w:left="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a.使用通过受让或租借等方式获取的资格</w:t>
      </w:r>
      <w:r>
        <w:rPr>
          <w:rFonts w:ascii="黑体" w:hAnsi="黑体" w:eastAsia="黑体" w:cs="黑体"/>
          <w:snapToGrid w:val="0"/>
          <w:color w:val="000000"/>
          <w:spacing w:val="-51"/>
          <w:kern w:val="0"/>
          <w:sz w:val="22"/>
          <w:szCs w:val="22"/>
          <w:lang w:eastAsia="en-US"/>
        </w:rPr>
        <w:t xml:space="preserve"> </w:t>
      </w:r>
      <w:r>
        <w:rPr>
          <w:rFonts w:ascii="黑体" w:hAnsi="黑体" w:eastAsia="黑体" w:cs="黑体"/>
          <w:snapToGrid w:val="0"/>
          <w:color w:val="000000"/>
          <w:spacing w:val="19"/>
          <w:kern w:val="0"/>
          <w:sz w:val="22"/>
          <w:szCs w:val="22"/>
          <w:lang w:eastAsia="en-US"/>
        </w:rPr>
        <w:t>、资质证书投标；</w:t>
      </w:r>
    </w:p>
    <w:p w14:paraId="1245EE10">
      <w:pPr>
        <w:widowControl/>
        <w:kinsoku w:val="0"/>
        <w:autoSpaceDE w:val="0"/>
        <w:autoSpaceDN w:val="0"/>
        <w:adjustRightInd w:val="0"/>
        <w:snapToGrid w:val="0"/>
        <w:spacing w:before="185" w:line="221" w:lineRule="auto"/>
        <w:ind w:left="484"/>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5"/>
          <w:kern w:val="0"/>
          <w:sz w:val="22"/>
          <w:szCs w:val="22"/>
          <w:lang w:eastAsia="en-US"/>
        </w:rPr>
        <w:t>b.使用伪造</w:t>
      </w:r>
      <w:r>
        <w:rPr>
          <w:rFonts w:ascii="黑体" w:hAnsi="黑体" w:eastAsia="黑体" w:cs="黑体"/>
          <w:snapToGrid w:val="0"/>
          <w:color w:val="000000"/>
          <w:spacing w:val="-52"/>
          <w:kern w:val="0"/>
          <w:sz w:val="22"/>
          <w:szCs w:val="22"/>
          <w:lang w:eastAsia="en-US"/>
        </w:rPr>
        <w:t xml:space="preserve"> </w:t>
      </w:r>
      <w:r>
        <w:rPr>
          <w:rFonts w:ascii="黑体" w:hAnsi="黑体" w:eastAsia="黑体" w:cs="黑体"/>
          <w:snapToGrid w:val="0"/>
          <w:color w:val="000000"/>
          <w:spacing w:val="15"/>
          <w:kern w:val="0"/>
          <w:sz w:val="22"/>
          <w:szCs w:val="22"/>
          <w:lang w:eastAsia="en-US"/>
        </w:rPr>
        <w:t>、变造的许可证件；</w:t>
      </w:r>
    </w:p>
    <w:p w14:paraId="0CA2E177">
      <w:pPr>
        <w:widowControl/>
        <w:kinsoku w:val="0"/>
        <w:autoSpaceDE w:val="0"/>
        <w:autoSpaceDN w:val="0"/>
        <w:adjustRightInd w:val="0"/>
        <w:snapToGrid w:val="0"/>
        <w:spacing w:before="183" w:line="221" w:lineRule="auto"/>
        <w:ind w:left="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c.提供虚假的财务状况或业绩；</w:t>
      </w:r>
    </w:p>
    <w:p w14:paraId="1C89C8B9">
      <w:pPr>
        <w:widowControl/>
        <w:kinsoku w:val="0"/>
        <w:autoSpaceDE w:val="0"/>
        <w:autoSpaceDN w:val="0"/>
        <w:adjustRightInd w:val="0"/>
        <w:snapToGrid w:val="0"/>
        <w:spacing w:before="183" w:line="221" w:lineRule="auto"/>
        <w:ind w:left="481"/>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d.提供虚假的项目负责人或主要技术人员简历</w:t>
      </w:r>
      <w:r>
        <w:rPr>
          <w:rFonts w:ascii="黑体" w:hAnsi="黑体" w:eastAsia="黑体" w:cs="黑体"/>
          <w:snapToGrid w:val="0"/>
          <w:color w:val="000000"/>
          <w:spacing w:val="-61"/>
          <w:kern w:val="0"/>
          <w:sz w:val="22"/>
          <w:szCs w:val="22"/>
          <w:lang w:eastAsia="en-US"/>
        </w:rPr>
        <w:t xml:space="preserve"> </w:t>
      </w:r>
      <w:r>
        <w:rPr>
          <w:rFonts w:ascii="黑体" w:hAnsi="黑体" w:eastAsia="黑体" w:cs="黑体"/>
          <w:snapToGrid w:val="0"/>
          <w:color w:val="000000"/>
          <w:spacing w:val="20"/>
          <w:kern w:val="0"/>
          <w:sz w:val="22"/>
          <w:szCs w:val="22"/>
          <w:lang w:eastAsia="en-US"/>
        </w:rPr>
        <w:t>、劳动</w:t>
      </w:r>
      <w:r>
        <w:rPr>
          <w:rFonts w:ascii="黑体" w:hAnsi="黑体" w:eastAsia="黑体" w:cs="黑体"/>
          <w:snapToGrid w:val="0"/>
          <w:color w:val="000000"/>
          <w:spacing w:val="19"/>
          <w:kern w:val="0"/>
          <w:sz w:val="22"/>
          <w:szCs w:val="22"/>
          <w:lang w:eastAsia="en-US"/>
        </w:rPr>
        <w:t>关系证明；</w:t>
      </w:r>
    </w:p>
    <w:p w14:paraId="08A70B63">
      <w:pPr>
        <w:widowControl/>
        <w:kinsoku w:val="0"/>
        <w:autoSpaceDE w:val="0"/>
        <w:autoSpaceDN w:val="0"/>
        <w:adjustRightInd w:val="0"/>
        <w:snapToGrid w:val="0"/>
        <w:spacing w:before="186" w:line="221" w:lineRule="auto"/>
        <w:ind w:left="482"/>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e.提供虚假的信用状况；</w:t>
      </w:r>
    </w:p>
    <w:p w14:paraId="5B9B449E">
      <w:pPr>
        <w:widowControl/>
        <w:kinsoku w:val="0"/>
        <w:autoSpaceDE w:val="0"/>
        <w:autoSpaceDN w:val="0"/>
        <w:adjustRightInd w:val="0"/>
        <w:snapToGrid w:val="0"/>
        <w:spacing w:before="182" w:line="230" w:lineRule="auto"/>
        <w:ind w:left="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f.其他弄虚作假的行为。</w:t>
      </w:r>
    </w:p>
    <w:p w14:paraId="23DE0CE6">
      <w:pPr>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val="en-US" w:eastAsia="en-US" w:bidi="ar-SA"/>
        </w:rPr>
      </w:pPr>
    </w:p>
    <w:p w14:paraId="0EFEC5F0">
      <w:pPr>
        <w:widowControl/>
        <w:kinsoku w:val="0"/>
        <w:autoSpaceDE w:val="0"/>
        <w:autoSpaceDN w:val="0"/>
        <w:adjustRightInd w:val="0"/>
        <w:snapToGrid w:val="0"/>
        <w:spacing w:before="72" w:line="229" w:lineRule="auto"/>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3.7投标文件的澄清和说明</w:t>
      </w:r>
    </w:p>
    <w:p w14:paraId="1D038285">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164C9B5A">
      <w:pPr>
        <w:widowControl/>
        <w:kinsoku w:val="0"/>
        <w:autoSpaceDE w:val="0"/>
        <w:autoSpaceDN w:val="0"/>
        <w:adjustRightInd w:val="0"/>
        <w:snapToGrid w:val="0"/>
        <w:spacing w:before="72" w:line="376" w:lineRule="auto"/>
        <w:ind w:left="1" w:right="53" w:firstLine="476"/>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9"/>
          <w:kern w:val="0"/>
          <w:sz w:val="22"/>
          <w:szCs w:val="22"/>
          <w:lang w:eastAsia="en-US"/>
        </w:rPr>
        <w:t>*3.7.1在评标过程中，评标委员会可以书面形式要求投</w:t>
      </w:r>
      <w:r>
        <w:rPr>
          <w:rFonts w:ascii="黑体" w:hAnsi="黑体" w:eastAsia="黑体" w:cs="黑体"/>
          <w:snapToGrid w:val="0"/>
          <w:color w:val="000000"/>
          <w:spacing w:val="18"/>
          <w:kern w:val="0"/>
          <w:sz w:val="22"/>
          <w:szCs w:val="22"/>
          <w:lang w:eastAsia="en-US"/>
        </w:rPr>
        <w:t>标人对投标文件中含义</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不明确的内容、明显文字或计算错误进行书面澄清或说明。评标委员会不接受投标</w:t>
      </w:r>
      <w:r>
        <w:rPr>
          <w:rFonts w:ascii="黑体" w:hAnsi="黑体" w:eastAsia="黑体" w:cs="黑体"/>
          <w:snapToGrid w:val="0"/>
          <w:color w:val="000000"/>
          <w:spacing w:val="9"/>
          <w:kern w:val="0"/>
          <w:sz w:val="22"/>
          <w:szCs w:val="22"/>
          <w:lang w:eastAsia="en-US"/>
        </w:rPr>
        <w:t xml:space="preserve"> </w:t>
      </w:r>
      <w:r>
        <w:rPr>
          <w:rFonts w:ascii="黑体" w:hAnsi="黑体" w:eastAsia="黑体" w:cs="黑体"/>
          <w:snapToGrid w:val="0"/>
          <w:color w:val="000000"/>
          <w:spacing w:val="19"/>
          <w:kern w:val="0"/>
          <w:sz w:val="22"/>
          <w:szCs w:val="22"/>
          <w:lang w:eastAsia="en-US"/>
        </w:rPr>
        <w:t>人主动提出的澄清</w:t>
      </w:r>
      <w:r>
        <w:rPr>
          <w:rFonts w:ascii="黑体" w:hAnsi="黑体" w:eastAsia="黑体" w:cs="黑体"/>
          <w:snapToGrid w:val="0"/>
          <w:color w:val="000000"/>
          <w:spacing w:val="-65"/>
          <w:kern w:val="0"/>
          <w:sz w:val="22"/>
          <w:szCs w:val="22"/>
          <w:lang w:eastAsia="en-US"/>
        </w:rPr>
        <w:t xml:space="preserve"> </w:t>
      </w:r>
      <w:r>
        <w:rPr>
          <w:rFonts w:ascii="黑体" w:hAnsi="黑体" w:eastAsia="黑体" w:cs="黑体"/>
          <w:snapToGrid w:val="0"/>
          <w:color w:val="000000"/>
          <w:spacing w:val="19"/>
          <w:kern w:val="0"/>
          <w:sz w:val="22"/>
          <w:szCs w:val="22"/>
          <w:lang w:eastAsia="en-US"/>
        </w:rPr>
        <w:t>、说明。投标人不按评标委员会要求澄清或说明的，评标委员会</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6"/>
          <w:kern w:val="0"/>
          <w:sz w:val="22"/>
          <w:szCs w:val="22"/>
          <w:lang w:eastAsia="en-US"/>
        </w:rPr>
        <w:t>应否决其投标。</w:t>
      </w:r>
    </w:p>
    <w:p w14:paraId="56A62D15">
      <w:pPr>
        <w:widowControl/>
        <w:kinsoku w:val="0"/>
        <w:autoSpaceDE w:val="0"/>
        <w:autoSpaceDN w:val="0"/>
        <w:adjustRightInd w:val="0"/>
        <w:snapToGrid w:val="0"/>
        <w:spacing w:before="71" w:line="302" w:lineRule="auto"/>
        <w:ind w:right="188" w:firstLine="483"/>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5"/>
          <w:kern w:val="0"/>
          <w:sz w:val="22"/>
          <w:szCs w:val="22"/>
          <w:lang w:eastAsia="en-US"/>
        </w:rPr>
        <w:t>3.7.2澄清和说明不得超出投标文件的范围或改变投标文件的实质性内容(算</w:t>
      </w:r>
      <w:r>
        <w:rPr>
          <w:rFonts w:ascii="黑体" w:hAnsi="黑体" w:eastAsia="黑体" w:cs="黑体"/>
          <w:snapToGrid w:val="0"/>
          <w:color w:val="000000"/>
          <w:spacing w:val="8"/>
          <w:kern w:val="0"/>
          <w:sz w:val="22"/>
          <w:szCs w:val="22"/>
          <w:lang w:eastAsia="en-US"/>
        </w:rPr>
        <w:t xml:space="preserve"> </w:t>
      </w:r>
      <w:r>
        <w:rPr>
          <w:rFonts w:ascii="黑体" w:hAnsi="黑体" w:eastAsia="黑体" w:cs="黑体"/>
          <w:snapToGrid w:val="0"/>
          <w:color w:val="000000"/>
          <w:spacing w:val="21"/>
          <w:kern w:val="0"/>
          <w:sz w:val="22"/>
          <w:szCs w:val="22"/>
          <w:lang w:eastAsia="en-US"/>
        </w:rPr>
        <w:t>术性错误的修正除外)。投标人的书面澄清</w:t>
      </w:r>
      <w:r>
        <w:rPr>
          <w:rFonts w:ascii="黑体" w:hAnsi="黑体" w:eastAsia="黑体" w:cs="黑体"/>
          <w:snapToGrid w:val="0"/>
          <w:color w:val="000000"/>
          <w:spacing w:val="-61"/>
          <w:kern w:val="0"/>
          <w:sz w:val="22"/>
          <w:szCs w:val="22"/>
          <w:lang w:eastAsia="en-US"/>
        </w:rPr>
        <w:t xml:space="preserve"> </w:t>
      </w:r>
      <w:r>
        <w:rPr>
          <w:rFonts w:ascii="黑体" w:hAnsi="黑体" w:eastAsia="黑体" w:cs="黑体"/>
          <w:snapToGrid w:val="0"/>
          <w:color w:val="000000"/>
          <w:spacing w:val="21"/>
          <w:kern w:val="0"/>
          <w:sz w:val="22"/>
          <w:szCs w:val="22"/>
          <w:lang w:eastAsia="en-US"/>
        </w:rPr>
        <w:t>、说明属于投标文件的</w:t>
      </w:r>
      <w:r>
        <w:rPr>
          <w:rFonts w:ascii="黑体" w:hAnsi="黑体" w:eastAsia="黑体" w:cs="黑体"/>
          <w:snapToGrid w:val="0"/>
          <w:color w:val="000000"/>
          <w:spacing w:val="20"/>
          <w:kern w:val="0"/>
          <w:sz w:val="22"/>
          <w:szCs w:val="22"/>
          <w:lang w:eastAsia="en-US"/>
        </w:rPr>
        <w:t>组成部分。</w:t>
      </w:r>
    </w:p>
    <w:p w14:paraId="7DD21551">
      <w:pPr>
        <w:widowControl/>
        <w:kinsoku w:val="0"/>
        <w:autoSpaceDE w:val="0"/>
        <w:autoSpaceDN w:val="0"/>
        <w:adjustRightInd w:val="0"/>
        <w:snapToGrid w:val="0"/>
        <w:spacing w:before="171" w:line="329" w:lineRule="auto"/>
        <w:ind w:left="2" w:right="188" w:firstLine="480"/>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3.7.3评标委员会不得暗示或诱导投标人</w:t>
      </w:r>
      <w:r>
        <w:rPr>
          <w:rFonts w:ascii="黑体" w:hAnsi="黑体" w:eastAsia="黑体" w:cs="黑体"/>
          <w:snapToGrid w:val="0"/>
          <w:color w:val="000000"/>
          <w:spacing w:val="19"/>
          <w:kern w:val="0"/>
          <w:sz w:val="22"/>
          <w:szCs w:val="22"/>
          <w:lang w:eastAsia="en-US"/>
        </w:rPr>
        <w:t>作出澄清</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19"/>
          <w:kern w:val="0"/>
          <w:sz w:val="22"/>
          <w:szCs w:val="22"/>
          <w:lang w:eastAsia="en-US"/>
        </w:rPr>
        <w:t>、说明</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，对投标人提交的澄</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9"/>
          <w:kern w:val="0"/>
          <w:sz w:val="22"/>
          <w:szCs w:val="22"/>
          <w:lang w:eastAsia="en-US"/>
        </w:rPr>
        <w:t>清、说明有疑问的</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，可以要求投标人进一步澄清或说明，直至满足评标委员会的要</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
          <w:kern w:val="0"/>
          <w:sz w:val="22"/>
          <w:szCs w:val="22"/>
          <w:lang w:eastAsia="en-US"/>
        </w:rPr>
        <w:t>求。</w:t>
      </w:r>
    </w:p>
    <w:p w14:paraId="3619C257">
      <w:pPr>
        <w:widowControl/>
        <w:kinsoku w:val="0"/>
        <w:autoSpaceDE w:val="0"/>
        <w:autoSpaceDN w:val="0"/>
        <w:adjustRightInd w:val="0"/>
        <w:snapToGrid w:val="0"/>
        <w:spacing w:before="170" w:line="302" w:lineRule="auto"/>
        <w:ind w:left="3" w:right="188" w:firstLine="479"/>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1"/>
          <w:kern w:val="0"/>
          <w:sz w:val="22"/>
          <w:szCs w:val="22"/>
          <w:lang w:eastAsia="en-US"/>
        </w:rPr>
        <w:t>3.7.4凡超出招标文件规定的或给发包人带来未曾要求的利益的</w:t>
      </w:r>
      <w:r>
        <w:rPr>
          <w:rFonts w:ascii="黑体" w:hAnsi="黑体" w:eastAsia="黑体" w:cs="黑体"/>
          <w:snapToGrid w:val="0"/>
          <w:color w:val="000000"/>
          <w:spacing w:val="20"/>
          <w:kern w:val="0"/>
          <w:sz w:val="22"/>
          <w:szCs w:val="22"/>
          <w:lang w:eastAsia="en-US"/>
        </w:rPr>
        <w:t>变化</w:t>
      </w:r>
      <w:r>
        <w:rPr>
          <w:rFonts w:ascii="黑体" w:hAnsi="黑体" w:eastAsia="黑体" w:cs="黑体"/>
          <w:snapToGrid w:val="0"/>
          <w:color w:val="000000"/>
          <w:spacing w:val="-62"/>
          <w:kern w:val="0"/>
          <w:sz w:val="22"/>
          <w:szCs w:val="22"/>
          <w:lang w:eastAsia="en-US"/>
        </w:rPr>
        <w:t xml:space="preserve"> </w:t>
      </w:r>
      <w:r>
        <w:rPr>
          <w:rFonts w:ascii="黑体" w:hAnsi="黑体" w:eastAsia="黑体" w:cs="黑体"/>
          <w:snapToGrid w:val="0"/>
          <w:color w:val="000000"/>
          <w:spacing w:val="20"/>
          <w:kern w:val="0"/>
          <w:sz w:val="22"/>
          <w:szCs w:val="22"/>
          <w:lang w:eastAsia="en-US"/>
        </w:rPr>
        <w:t>、偏差或</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0"/>
          <w:kern w:val="0"/>
          <w:sz w:val="22"/>
          <w:szCs w:val="22"/>
          <w:lang w:eastAsia="en-US"/>
        </w:rPr>
        <w:t>其他因素在评标时不予考虑。</w:t>
      </w:r>
    </w:p>
    <w:p w14:paraId="5715E710">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14:paraId="5DB9B983">
      <w:pPr>
        <w:widowControl/>
        <w:kinsoku w:val="0"/>
        <w:autoSpaceDE w:val="0"/>
        <w:autoSpaceDN w:val="0"/>
        <w:adjustRightInd w:val="0"/>
        <w:snapToGrid w:val="0"/>
        <w:spacing w:before="71" w:line="231" w:lineRule="auto"/>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7"/>
          <w:kern w:val="0"/>
          <w:sz w:val="22"/>
          <w:szCs w:val="22"/>
          <w:lang w:eastAsia="en-US"/>
        </w:rPr>
        <w:t>3.8不得否决投标的情形</w:t>
      </w:r>
    </w:p>
    <w:p w14:paraId="06B21A29">
      <w:pPr>
        <w:kinsoku w:val="0"/>
        <w:autoSpaceDE w:val="0"/>
        <w:autoSpaceDN w:val="0"/>
        <w:adjustRightInd w:val="0"/>
        <w:snapToGrid w:val="0"/>
        <w:spacing w:line="340" w:lineRule="auto"/>
        <w:jc w:val="left"/>
        <w:textAlignment w:val="baseline"/>
        <w:rPr>
          <w:rFonts w:ascii="Arial" w:hAnsi="Arial" w:eastAsia="Arial" w:cs="Arial"/>
          <w:snapToGrid w:val="0"/>
          <w:color w:val="000000"/>
          <w:kern w:val="0"/>
          <w:sz w:val="21"/>
          <w:szCs w:val="21"/>
          <w:lang w:val="en-US" w:eastAsia="en-US" w:bidi="ar-SA"/>
        </w:rPr>
      </w:pPr>
    </w:p>
    <w:p w14:paraId="6C560F1C">
      <w:pPr>
        <w:widowControl/>
        <w:kinsoku w:val="0"/>
        <w:autoSpaceDE w:val="0"/>
        <w:autoSpaceDN w:val="0"/>
        <w:adjustRightInd w:val="0"/>
        <w:snapToGrid w:val="0"/>
        <w:spacing w:before="72" w:line="376" w:lineRule="auto"/>
        <w:ind w:firstLine="481"/>
        <w:jc w:val="both"/>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17"/>
          <w:kern w:val="0"/>
          <w:sz w:val="22"/>
          <w:szCs w:val="22"/>
          <w:lang w:eastAsia="en-US"/>
        </w:rPr>
        <w:t>投标文件存在第二章“投标人须知</w:t>
      </w:r>
      <w:r>
        <w:rPr>
          <w:rFonts w:ascii="黑体" w:hAnsi="黑体" w:eastAsia="黑体" w:cs="黑体"/>
          <w:snapToGrid w:val="0"/>
          <w:color w:val="000000"/>
          <w:spacing w:val="-78"/>
          <w:kern w:val="0"/>
          <w:sz w:val="22"/>
          <w:szCs w:val="22"/>
          <w:lang w:eastAsia="en-US"/>
        </w:rPr>
        <w:t xml:space="preserve"> </w:t>
      </w:r>
      <w:r>
        <w:rPr>
          <w:rFonts w:ascii="黑体" w:hAnsi="黑体" w:eastAsia="黑体" w:cs="黑体"/>
          <w:snapToGrid w:val="0"/>
          <w:color w:val="000000"/>
          <w:spacing w:val="17"/>
          <w:kern w:val="0"/>
          <w:sz w:val="22"/>
          <w:szCs w:val="22"/>
          <w:lang w:eastAsia="en-US"/>
        </w:rPr>
        <w:t>”第1.</w:t>
      </w:r>
      <w:r>
        <w:rPr>
          <w:rFonts w:ascii="黑体" w:hAnsi="黑体" w:eastAsia="黑体" w:cs="黑体"/>
          <w:snapToGrid w:val="0"/>
          <w:color w:val="000000"/>
          <w:spacing w:val="16"/>
          <w:kern w:val="0"/>
          <w:sz w:val="22"/>
          <w:szCs w:val="22"/>
          <w:lang w:eastAsia="en-US"/>
        </w:rPr>
        <w:t>12.3项所列情形的，均视为细微偏差，</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8"/>
          <w:kern w:val="0"/>
          <w:sz w:val="22"/>
          <w:szCs w:val="22"/>
          <w:lang w:eastAsia="en-US"/>
        </w:rPr>
        <w:t>评标委员会不得否决投标人的投标，应按照第二章“投标人须知</w:t>
      </w:r>
      <w:r>
        <w:rPr>
          <w:rFonts w:ascii="黑体" w:hAnsi="黑体" w:eastAsia="黑体" w:cs="黑体"/>
          <w:snapToGrid w:val="0"/>
          <w:color w:val="000000"/>
          <w:spacing w:val="-78"/>
          <w:kern w:val="0"/>
          <w:sz w:val="22"/>
          <w:szCs w:val="22"/>
          <w:lang w:eastAsia="en-US"/>
        </w:rPr>
        <w:t xml:space="preserve"> </w:t>
      </w:r>
      <w:r>
        <w:rPr>
          <w:rFonts w:ascii="黑体" w:hAnsi="黑体" w:eastAsia="黑体" w:cs="黑体"/>
          <w:snapToGrid w:val="0"/>
          <w:color w:val="000000"/>
          <w:spacing w:val="18"/>
          <w:kern w:val="0"/>
          <w:sz w:val="22"/>
          <w:szCs w:val="22"/>
          <w:lang w:eastAsia="en-US"/>
        </w:rPr>
        <w:t>”第1.12.4项</w:t>
      </w:r>
      <w:r>
        <w:rPr>
          <w:rFonts w:ascii="黑体" w:hAnsi="黑体" w:eastAsia="黑体" w:cs="黑体"/>
          <w:snapToGrid w:val="0"/>
          <w:color w:val="000000"/>
          <w:spacing w:val="17"/>
          <w:kern w:val="0"/>
          <w:sz w:val="22"/>
          <w:szCs w:val="22"/>
          <w:lang w:eastAsia="en-US"/>
        </w:rPr>
        <w:t>规定</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16"/>
          <w:kern w:val="0"/>
          <w:sz w:val="22"/>
          <w:szCs w:val="22"/>
          <w:lang w:eastAsia="en-US"/>
        </w:rPr>
        <w:t>的原则处理。</w:t>
      </w:r>
    </w:p>
    <w:p w14:paraId="15B98F0B">
      <w:pPr>
        <w:widowControl/>
        <w:kinsoku w:val="0"/>
        <w:autoSpaceDE w:val="0"/>
        <w:autoSpaceDN w:val="0"/>
        <w:adjustRightInd w:val="0"/>
        <w:snapToGrid w:val="0"/>
        <w:spacing w:before="237" w:line="230" w:lineRule="auto"/>
        <w:jc w:val="left"/>
        <w:textAlignment w:val="baseline"/>
        <w:rPr>
          <w:rFonts w:ascii="黑体" w:hAnsi="黑体" w:eastAsia="黑体" w:cs="黑体"/>
          <w:snapToGrid w:val="0"/>
          <w:color w:val="000000"/>
          <w:kern w:val="0"/>
          <w:sz w:val="22"/>
          <w:szCs w:val="22"/>
          <w:lang w:eastAsia="en-US"/>
        </w:rPr>
      </w:pPr>
      <w:r>
        <w:rPr>
          <w:rFonts w:ascii="黑体" w:hAnsi="黑体" w:eastAsia="黑体" w:cs="黑体"/>
          <w:b/>
          <w:bCs/>
          <w:snapToGrid w:val="0"/>
          <w:color w:val="000000"/>
          <w:spacing w:val="13"/>
          <w:kern w:val="0"/>
          <w:sz w:val="22"/>
          <w:szCs w:val="22"/>
          <w:lang w:eastAsia="en-US"/>
        </w:rPr>
        <w:t>3.9评标结果</w:t>
      </w:r>
    </w:p>
    <w:p w14:paraId="7268E3F4">
      <w:pPr>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val="en-US" w:eastAsia="en-US" w:bidi="ar-SA"/>
        </w:rPr>
      </w:pPr>
    </w:p>
    <w:p w14:paraId="244CA090">
      <w:pPr>
        <w:widowControl/>
        <w:kinsoku w:val="0"/>
        <w:autoSpaceDE w:val="0"/>
        <w:autoSpaceDN w:val="0"/>
        <w:adjustRightInd w:val="0"/>
        <w:snapToGrid w:val="0"/>
        <w:spacing w:before="71" w:line="298" w:lineRule="auto"/>
        <w:ind w:left="3" w:right="190" w:firstLine="479"/>
        <w:jc w:val="left"/>
        <w:textAlignment w:val="baseline"/>
        <w:rPr>
          <w:rFonts w:ascii="黑体" w:hAnsi="黑体" w:eastAsia="黑体" w:cs="黑体"/>
          <w:snapToGrid w:val="0"/>
          <w:color w:val="000000"/>
          <w:kern w:val="0"/>
          <w:sz w:val="22"/>
          <w:szCs w:val="22"/>
          <w:lang w:eastAsia="en-US"/>
        </w:rPr>
      </w:pPr>
      <w:r>
        <w:rPr>
          <w:rFonts w:ascii="黑体" w:hAnsi="黑体" w:eastAsia="黑体" w:cs="黑体"/>
          <w:snapToGrid w:val="0"/>
          <w:color w:val="000000"/>
          <w:spacing w:val="20"/>
          <w:kern w:val="0"/>
          <w:sz w:val="22"/>
          <w:szCs w:val="22"/>
          <w:lang w:eastAsia="en-US"/>
        </w:rPr>
        <w:t>3.9.1除第二章“投标人须知</w:t>
      </w:r>
      <w:r>
        <w:rPr>
          <w:rFonts w:ascii="黑体" w:hAnsi="黑体" w:eastAsia="黑体" w:cs="黑体"/>
          <w:snapToGrid w:val="0"/>
          <w:color w:val="000000"/>
          <w:spacing w:val="-76"/>
          <w:kern w:val="0"/>
          <w:sz w:val="22"/>
          <w:szCs w:val="22"/>
          <w:lang w:eastAsia="en-US"/>
        </w:rPr>
        <w:t xml:space="preserve"> </w:t>
      </w:r>
      <w:r>
        <w:rPr>
          <w:rFonts w:ascii="黑体" w:hAnsi="黑体" w:eastAsia="黑体" w:cs="黑体"/>
          <w:snapToGrid w:val="0"/>
          <w:color w:val="000000"/>
          <w:spacing w:val="20"/>
          <w:kern w:val="0"/>
          <w:sz w:val="22"/>
          <w:szCs w:val="22"/>
          <w:lang w:eastAsia="en-US"/>
        </w:rPr>
        <w:t>”前附表授权直接确定中标人外</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20"/>
          <w:kern w:val="0"/>
          <w:sz w:val="22"/>
          <w:szCs w:val="22"/>
          <w:lang w:eastAsia="en-US"/>
        </w:rPr>
        <w:t>，评标</w:t>
      </w:r>
      <w:r>
        <w:rPr>
          <w:rFonts w:ascii="黑体" w:hAnsi="黑体" w:eastAsia="黑体" w:cs="黑体"/>
          <w:snapToGrid w:val="0"/>
          <w:color w:val="000000"/>
          <w:spacing w:val="19"/>
          <w:kern w:val="0"/>
          <w:sz w:val="22"/>
          <w:szCs w:val="22"/>
          <w:lang w:eastAsia="en-US"/>
        </w:rPr>
        <w:t>委员会按</w:t>
      </w:r>
      <w:r>
        <w:rPr>
          <w:rFonts w:ascii="黑体" w:hAnsi="黑体" w:eastAsia="黑体" w:cs="黑体"/>
          <w:snapToGrid w:val="0"/>
          <w:color w:val="000000"/>
          <w:kern w:val="0"/>
          <w:sz w:val="22"/>
          <w:szCs w:val="22"/>
          <w:lang w:eastAsia="en-US"/>
        </w:rPr>
        <w:t xml:space="preserve"> </w:t>
      </w:r>
      <w:r>
        <w:rPr>
          <w:rFonts w:ascii="黑体" w:hAnsi="黑体" w:eastAsia="黑体" w:cs="黑体"/>
          <w:snapToGrid w:val="0"/>
          <w:color w:val="000000"/>
          <w:spacing w:val="22"/>
          <w:kern w:val="0"/>
          <w:sz w:val="22"/>
          <w:szCs w:val="22"/>
          <w:lang w:eastAsia="en-US"/>
        </w:rPr>
        <w:t>照得分由高到低的顺序推荐中标候选人，并标明</w:t>
      </w:r>
      <w:r>
        <w:rPr>
          <w:rFonts w:ascii="黑体" w:hAnsi="黑体" w:eastAsia="黑体" w:cs="黑体"/>
          <w:snapToGrid w:val="0"/>
          <w:color w:val="000000"/>
          <w:spacing w:val="21"/>
          <w:kern w:val="0"/>
          <w:sz w:val="22"/>
          <w:szCs w:val="22"/>
          <w:lang w:eastAsia="en-US"/>
        </w:rPr>
        <w:t>排序。</w:t>
      </w:r>
    </w:p>
    <w:p w14:paraId="32FFF7FE">
      <w:r>
        <w:rPr>
          <w:rFonts w:ascii="黑体" w:hAnsi="黑体" w:eastAsia="黑体" w:cs="黑体"/>
          <w:snapToGrid w:val="0"/>
          <w:color w:val="000000"/>
          <w:spacing w:val="19"/>
          <w:kern w:val="0"/>
          <w:sz w:val="22"/>
          <w:szCs w:val="22"/>
          <w:lang w:eastAsia="en-US"/>
        </w:rPr>
        <w:t>3.9.2评标委员会完成评标后</w:t>
      </w:r>
      <w:r>
        <w:rPr>
          <w:rFonts w:ascii="黑体" w:hAnsi="黑体" w:eastAsia="黑体" w:cs="黑体"/>
          <w:snapToGrid w:val="0"/>
          <w:color w:val="000000"/>
          <w:spacing w:val="-64"/>
          <w:kern w:val="0"/>
          <w:sz w:val="22"/>
          <w:szCs w:val="22"/>
          <w:lang w:eastAsia="en-US"/>
        </w:rPr>
        <w:t xml:space="preserve"> </w:t>
      </w:r>
      <w:r>
        <w:rPr>
          <w:rFonts w:ascii="黑体" w:hAnsi="黑体" w:eastAsia="黑体" w:cs="黑体"/>
          <w:snapToGrid w:val="0"/>
          <w:color w:val="000000"/>
          <w:spacing w:val="19"/>
          <w:kern w:val="0"/>
          <w:sz w:val="22"/>
          <w:szCs w:val="22"/>
          <w:lang w:eastAsia="en-US"/>
        </w:rPr>
        <w:t>，应向招标人提交书</w:t>
      </w:r>
      <w:r>
        <w:rPr>
          <w:rFonts w:ascii="黑体" w:hAnsi="黑体" w:eastAsia="黑体" w:cs="黑体"/>
          <w:snapToGrid w:val="0"/>
          <w:color w:val="000000"/>
          <w:spacing w:val="18"/>
          <w:kern w:val="0"/>
          <w:sz w:val="22"/>
          <w:szCs w:val="22"/>
          <w:lang w:eastAsia="en-US"/>
        </w:rPr>
        <w:t>面评标报告。</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5DB77">
    <w:pPr>
      <w:widowControl/>
      <w:kinsoku w:val="0"/>
      <w:autoSpaceDE w:val="0"/>
      <w:autoSpaceDN w:val="0"/>
      <w:adjustRightInd w:val="0"/>
      <w:snapToGrid w:val="0"/>
      <w:spacing w:line="169" w:lineRule="auto"/>
      <w:ind w:left="4310"/>
      <w:jc w:val="left"/>
      <w:textAlignment w:val="baseline"/>
      <w:rPr>
        <w:rFonts w:ascii="Calibri" w:hAnsi="Calibri" w:eastAsia="Calibri" w:cs="Calibri"/>
        <w:snapToGrid w:val="0"/>
        <w:color w:val="000000"/>
        <w:kern w:val="0"/>
        <w:sz w:val="18"/>
        <w:szCs w:val="18"/>
        <w:lang w:eastAsia="en-US"/>
      </w:rPr>
    </w:pPr>
    <w:r>
      <w:rPr>
        <w:rFonts w:ascii="Calibri" w:hAnsi="Calibri" w:eastAsia="Calibri" w:cs="Calibri"/>
        <w:snapToGrid w:val="0"/>
        <w:color w:val="000000"/>
        <w:spacing w:val="-5"/>
        <w:kern w:val="0"/>
        <w:sz w:val="18"/>
        <w:szCs w:val="18"/>
        <w:lang w:eastAsia="en-US"/>
      </w:rPr>
      <w:t>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E925">
    <w:pPr>
      <w:widowControl/>
      <w:kinsoku w:val="0"/>
      <w:autoSpaceDE w:val="0"/>
      <w:autoSpaceDN w:val="0"/>
      <w:adjustRightInd w:val="0"/>
      <w:snapToGrid w:val="0"/>
      <w:spacing w:line="169" w:lineRule="auto"/>
      <w:ind w:left="4310"/>
      <w:jc w:val="left"/>
      <w:textAlignment w:val="baseline"/>
      <w:rPr>
        <w:rFonts w:ascii="Calibri" w:hAnsi="Calibri" w:eastAsia="Calibri" w:cs="Calibri"/>
        <w:snapToGrid w:val="0"/>
        <w:color w:val="000000"/>
        <w:kern w:val="0"/>
        <w:sz w:val="18"/>
        <w:szCs w:val="18"/>
        <w:lang w:eastAsia="en-US"/>
      </w:rPr>
    </w:pPr>
    <w:r>
      <w:rPr>
        <w:rFonts w:ascii="Calibri" w:hAnsi="Calibri" w:eastAsia="Calibri" w:cs="Calibri"/>
        <w:snapToGrid w:val="0"/>
        <w:color w:val="000000"/>
        <w:spacing w:val="-5"/>
        <w:kern w:val="0"/>
        <w:sz w:val="18"/>
        <w:szCs w:val="18"/>
        <w:lang w:eastAsia="en-US"/>
      </w:rPr>
      <w:t>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BCC5">
    <w:pPr>
      <w:widowControl/>
      <w:kinsoku w:val="0"/>
      <w:autoSpaceDE w:val="0"/>
      <w:autoSpaceDN w:val="0"/>
      <w:adjustRightInd w:val="0"/>
      <w:snapToGrid w:val="0"/>
      <w:spacing w:line="169" w:lineRule="auto"/>
      <w:ind w:left="4286"/>
      <w:jc w:val="left"/>
      <w:textAlignment w:val="baseline"/>
      <w:rPr>
        <w:rFonts w:ascii="Calibri" w:hAnsi="Calibri" w:eastAsia="Calibri" w:cs="Calibri"/>
        <w:snapToGrid w:val="0"/>
        <w:color w:val="000000"/>
        <w:kern w:val="0"/>
        <w:sz w:val="18"/>
        <w:szCs w:val="18"/>
        <w:lang w:eastAsia="en-US"/>
      </w:rPr>
    </w:pPr>
    <w:r>
      <w:rPr>
        <w:rFonts w:ascii="Calibri" w:hAnsi="Calibri" w:eastAsia="Calibri" w:cs="Calibri"/>
        <w:snapToGrid w:val="0"/>
        <w:color w:val="000000"/>
        <w:spacing w:val="-5"/>
        <w:kern w:val="0"/>
        <w:sz w:val="18"/>
        <w:szCs w:val="18"/>
        <w:lang w:eastAsia="en-US"/>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B879">
    <w:pPr>
      <w:widowControl/>
      <w:kinsoku w:val="0"/>
      <w:autoSpaceDE w:val="0"/>
      <w:autoSpaceDN w:val="0"/>
      <w:adjustRightInd w:val="0"/>
      <w:snapToGrid w:val="0"/>
      <w:spacing w:line="169" w:lineRule="auto"/>
      <w:ind w:left="4286"/>
      <w:jc w:val="left"/>
      <w:textAlignment w:val="baseline"/>
      <w:rPr>
        <w:rFonts w:ascii="Calibri" w:hAnsi="Calibri" w:eastAsia="Calibri" w:cs="Calibri"/>
        <w:snapToGrid w:val="0"/>
        <w:color w:val="000000"/>
        <w:kern w:val="0"/>
        <w:sz w:val="18"/>
        <w:szCs w:val="18"/>
        <w:lang w:eastAsia="en-US"/>
      </w:rPr>
    </w:pPr>
    <w:r>
      <w:rPr>
        <w:rFonts w:ascii="Calibri" w:hAnsi="Calibri" w:eastAsia="Calibri" w:cs="Calibri"/>
        <w:snapToGrid w:val="0"/>
        <w:color w:val="000000"/>
        <w:spacing w:val="-5"/>
        <w:kern w:val="0"/>
        <w:sz w:val="18"/>
        <w:szCs w:val="18"/>
        <w:lang w:eastAsia="en-US"/>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84BC">
    <w:pPr>
      <w:widowControl/>
      <w:kinsoku w:val="0"/>
      <w:autoSpaceDE w:val="0"/>
      <w:autoSpaceDN w:val="0"/>
      <w:adjustRightInd w:val="0"/>
      <w:snapToGrid w:val="0"/>
      <w:spacing w:line="169" w:lineRule="auto"/>
      <w:ind w:left="4245"/>
      <w:jc w:val="left"/>
      <w:textAlignment w:val="baseline"/>
      <w:rPr>
        <w:rFonts w:ascii="Calibri" w:hAnsi="Calibri" w:eastAsia="Calibri" w:cs="Calibri"/>
        <w:snapToGrid w:val="0"/>
        <w:color w:val="000000"/>
        <w:kern w:val="0"/>
        <w:sz w:val="18"/>
        <w:szCs w:val="18"/>
        <w:lang w:eastAsia="en-US"/>
      </w:rPr>
    </w:pPr>
    <w:r>
      <w:rPr>
        <w:rFonts w:ascii="Calibri" w:hAnsi="Calibri" w:eastAsia="Calibri" w:cs="Calibri"/>
        <w:snapToGrid w:val="0"/>
        <w:color w:val="000000"/>
        <w:spacing w:val="-5"/>
        <w:kern w:val="0"/>
        <w:sz w:val="18"/>
        <w:szCs w:val="18"/>
        <w:lang w:eastAsia="en-US"/>
      </w:rPr>
      <w:t>66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3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2025-07-07T03:17:49Z</dcterms:created>
  <dc:creator>ADC</dc:creator>
  <cp:lastModifiedBy>刘泽亚</cp:lastModifiedBy>
  <dcterms:modified xsi:type="dcterms:W3CDTF">2025-07-07T03:18:48Z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eyJoZGlkIjoiZmZhYTNiYWJhYzEwMzJkMjRkNTY1MGM2NDE4YjZlYjEiLCJ1c2VySWQiOiIxNDgxOTYyMjc0In0=</vt:lpwstr>
  </property>
  <property fmtid="{D5CDD505-2E9C-101B-9397-08002B2CF9AE}" pid="4" name="ICV">
    <vt:lpwstr>1348935F9C234DA4871D44CB02141007_12</vt:lpwstr>
  </property>
</Properties>
</file>