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A6D94">
      <w:pPr>
        <w:pStyle w:val="3"/>
        <w:spacing w:line="480" w:lineRule="exact"/>
        <w:rPr>
          <w:rFonts w:ascii="仿宋" w:hAnsi="仿宋" w:eastAsia="仿宋" w:cs="微软雅黑"/>
          <w:b/>
          <w:sz w:val="24"/>
          <w:szCs w:val="24"/>
        </w:rPr>
      </w:pPr>
      <w:r>
        <w:rPr>
          <w:rFonts w:hint="eastAsia" w:ascii="仿宋" w:hAnsi="仿宋" w:eastAsia="仿宋" w:cs="微软雅黑"/>
          <w:b/>
          <w:sz w:val="24"/>
          <w:szCs w:val="24"/>
        </w:rPr>
        <w:t>附件</w:t>
      </w:r>
      <w:r>
        <w:rPr>
          <w:rFonts w:hint="eastAsia" w:ascii="仿宋" w:hAnsi="仿宋" w:eastAsia="仿宋" w:cs="微软雅黑"/>
          <w:b/>
          <w:sz w:val="24"/>
          <w:szCs w:val="24"/>
          <w:lang w:val="en-US" w:eastAsia="zh-CN"/>
        </w:rPr>
        <w:t>9</w:t>
      </w:r>
      <w:bookmarkStart w:id="0" w:name="_GoBack"/>
      <w:bookmarkEnd w:id="0"/>
      <w:r>
        <w:rPr>
          <w:rFonts w:hint="eastAsia" w:ascii="仿宋" w:hAnsi="仿宋" w:eastAsia="仿宋" w:cs="微软雅黑"/>
          <w:b/>
          <w:sz w:val="24"/>
          <w:szCs w:val="24"/>
        </w:rPr>
        <w:t>：</w:t>
      </w:r>
    </w:p>
    <w:p w14:paraId="590A88DA">
      <w:pPr>
        <w:pStyle w:val="3"/>
        <w:spacing w:line="480" w:lineRule="exact"/>
        <w:jc w:val="center"/>
        <w:rPr>
          <w:rFonts w:ascii="仿宋" w:hAnsi="仿宋" w:eastAsia="仿宋" w:cs="微软雅黑"/>
          <w:sz w:val="24"/>
          <w:szCs w:val="24"/>
        </w:rPr>
      </w:pPr>
      <w:r>
        <w:rPr>
          <w:rFonts w:hint="eastAsia" w:ascii="仿宋" w:hAnsi="仿宋" w:eastAsia="仿宋" w:cs="微软雅黑"/>
          <w:b/>
          <w:bCs/>
          <w:kern w:val="0"/>
          <w:sz w:val="24"/>
          <w:szCs w:val="24"/>
          <w:lang w:bidi="ar"/>
        </w:rPr>
        <w:t>新增或变更项目计价方式</w:t>
      </w:r>
    </w:p>
    <w:p w14:paraId="0430F4FB">
      <w:pPr>
        <w:pStyle w:val="3"/>
        <w:spacing w:line="480" w:lineRule="exact"/>
        <w:rPr>
          <w:rFonts w:ascii="仿宋" w:hAnsi="仿宋" w:eastAsia="仿宋" w:cs="微软雅黑"/>
          <w:sz w:val="24"/>
          <w:szCs w:val="24"/>
        </w:rPr>
      </w:pPr>
      <w:r>
        <w:rPr>
          <w:rFonts w:hint="eastAsia" w:ascii="仿宋" w:hAnsi="仿宋" w:eastAsia="仿宋" w:cs="微软雅黑"/>
          <w:sz w:val="24"/>
          <w:szCs w:val="24"/>
        </w:rPr>
        <w:t xml:space="preserve">  </w:t>
      </w:r>
      <w:r>
        <w:rPr>
          <w:rFonts w:ascii="仿宋" w:hAnsi="仿宋" w:eastAsia="仿宋" w:cs="微软雅黑"/>
          <w:sz w:val="24"/>
          <w:szCs w:val="24"/>
        </w:rPr>
        <w:tab/>
      </w:r>
      <w:r>
        <w:rPr>
          <w:rFonts w:hint="eastAsia" w:ascii="仿宋" w:hAnsi="仿宋" w:eastAsia="仿宋" w:cs="微软雅黑"/>
          <w:b/>
          <w:bCs/>
          <w:sz w:val="24"/>
          <w:szCs w:val="24"/>
        </w:rPr>
        <w:t>根据本合同相应条款规定，对于项目中所有合同范围内的变更工程（仅适用于：甲方指令导致工程范围实质性改变，引起的工程量或标准调整；基准资料如图纸地勘存在重大错误；甲方指令导致施工方案颠覆性调整）。措施项目费和其他项目费不予变更，税金按相关规定计算：</w:t>
      </w:r>
    </w:p>
    <w:p w14:paraId="6532F63B">
      <w:pPr>
        <w:pStyle w:val="3"/>
        <w:spacing w:line="480" w:lineRule="exact"/>
        <w:rPr>
          <w:rFonts w:ascii="仿宋" w:hAnsi="仿宋" w:eastAsia="仿宋" w:cs="微软雅黑"/>
          <w:sz w:val="24"/>
          <w:szCs w:val="24"/>
        </w:rPr>
      </w:pPr>
      <w:r>
        <w:rPr>
          <w:rFonts w:hint="eastAsia" w:ascii="仿宋" w:hAnsi="仿宋" w:eastAsia="仿宋" w:cs="微软雅黑"/>
          <w:sz w:val="24"/>
          <w:szCs w:val="24"/>
        </w:rPr>
        <w:t>（1）工程量清单中有适用的价格，按适用的价格计算；</w:t>
      </w:r>
    </w:p>
    <w:p w14:paraId="6F1D2659">
      <w:pPr>
        <w:pStyle w:val="3"/>
        <w:spacing w:line="480" w:lineRule="exact"/>
        <w:rPr>
          <w:rFonts w:ascii="仿宋" w:hAnsi="仿宋" w:eastAsia="仿宋" w:cs="微软雅黑"/>
          <w:sz w:val="24"/>
          <w:szCs w:val="24"/>
        </w:rPr>
      </w:pPr>
      <w:r>
        <w:rPr>
          <w:rFonts w:hint="eastAsia" w:ascii="仿宋" w:hAnsi="仿宋" w:eastAsia="仿宋" w:cs="微软雅黑"/>
          <w:sz w:val="24"/>
          <w:szCs w:val="24"/>
        </w:rPr>
        <w:t>（2）工程量清单中有类似的价格，用清单内的单价换算。换算方法：①只是主要材料发生变更时，主要材料的确价方式按清单外变更项目计价方式中主材价格确定方式及优先次序进行确价，且只调整该材料价差，其它单价组成部分均不予调整。②工程量清单报价表中已有类似项目的综合单价，只是个别工作内容增加或调整的，按原单价分析表套取新工作内容，只在类似综合单价基础上调整该新工作内容价差，原管理费、利润保持不变。</w:t>
      </w:r>
    </w:p>
    <w:p w14:paraId="4C551A45">
      <w:pPr>
        <w:pStyle w:val="3"/>
        <w:spacing w:line="480" w:lineRule="exact"/>
        <w:rPr>
          <w:rFonts w:ascii="仿宋" w:hAnsi="仿宋" w:eastAsia="仿宋" w:cs="微软雅黑"/>
          <w:sz w:val="24"/>
          <w:szCs w:val="24"/>
        </w:rPr>
      </w:pPr>
      <w:r>
        <w:rPr>
          <w:rFonts w:hint="eastAsia" w:ascii="仿宋" w:hAnsi="仿宋" w:eastAsia="仿宋" w:cs="微软雅黑"/>
          <w:sz w:val="24"/>
          <w:szCs w:val="24"/>
        </w:rPr>
        <w:t>（3）如工程量清单报价表中类似项目的综合单价有两个以上，则以按上述换算方法得出的最低换算结果作为最终综合单价。</w:t>
      </w:r>
    </w:p>
    <w:p w14:paraId="77DD9F4E">
      <w:pPr>
        <w:pStyle w:val="3"/>
        <w:spacing w:line="480" w:lineRule="exact"/>
        <w:rPr>
          <w:rFonts w:ascii="仿宋" w:hAnsi="仿宋" w:eastAsia="仿宋" w:cs="微软雅黑"/>
          <w:sz w:val="24"/>
          <w:szCs w:val="24"/>
        </w:rPr>
      </w:pPr>
      <w:r>
        <w:rPr>
          <w:rFonts w:hint="eastAsia" w:ascii="仿宋" w:hAnsi="仿宋" w:eastAsia="仿宋" w:cs="微软雅黑"/>
          <w:sz w:val="24"/>
          <w:szCs w:val="24"/>
        </w:rPr>
        <w:t>（4）若工程量清单中没有类似和适用的价格，采用固定计价程序和固定的有关费率。具体计价程序和费率按清单外计价方式计算，具体方式如下：</w:t>
      </w:r>
    </w:p>
    <w:tbl>
      <w:tblPr>
        <w:tblStyle w:val="10"/>
        <w:tblW w:w="9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31"/>
        <w:gridCol w:w="2925"/>
        <w:gridCol w:w="4568"/>
      </w:tblGrid>
      <w:tr w14:paraId="2E4F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81" w:type="dxa"/>
            <w:tcBorders>
              <w:top w:val="single" w:color="auto" w:sz="4" w:space="0"/>
              <w:left w:val="single" w:color="auto" w:sz="4" w:space="0"/>
              <w:bottom w:val="single" w:color="auto" w:sz="4" w:space="0"/>
              <w:right w:val="single" w:color="auto" w:sz="4" w:space="0"/>
            </w:tcBorders>
            <w:noWrap/>
          </w:tcPr>
          <w:p w14:paraId="0C35762A">
            <w:pPr>
              <w:pStyle w:val="3"/>
              <w:spacing w:line="480" w:lineRule="exact"/>
              <w:rPr>
                <w:rFonts w:ascii="仿宋" w:hAnsi="仿宋" w:eastAsia="仿宋" w:cs="微软雅黑"/>
                <w:b/>
                <w:sz w:val="24"/>
                <w:szCs w:val="24"/>
              </w:rPr>
            </w:pPr>
            <w:r>
              <w:rPr>
                <w:rFonts w:hint="eastAsia" w:ascii="仿宋" w:hAnsi="仿宋" w:eastAsia="仿宋" w:cs="微软雅黑"/>
                <w:b/>
                <w:sz w:val="24"/>
                <w:szCs w:val="24"/>
              </w:rPr>
              <w:t>序号</w:t>
            </w:r>
          </w:p>
        </w:tc>
        <w:tc>
          <w:tcPr>
            <w:tcW w:w="1530" w:type="dxa"/>
            <w:tcBorders>
              <w:top w:val="single" w:color="auto" w:sz="4" w:space="0"/>
              <w:left w:val="single" w:color="auto" w:sz="4" w:space="0"/>
              <w:bottom w:val="single" w:color="auto" w:sz="4" w:space="0"/>
              <w:right w:val="single" w:color="auto" w:sz="4" w:space="0"/>
            </w:tcBorders>
            <w:noWrap/>
          </w:tcPr>
          <w:p w14:paraId="7A02E26D">
            <w:pPr>
              <w:pStyle w:val="3"/>
              <w:spacing w:line="480" w:lineRule="exact"/>
              <w:rPr>
                <w:rFonts w:ascii="仿宋" w:hAnsi="仿宋" w:eastAsia="仿宋" w:cs="微软雅黑"/>
                <w:b/>
                <w:sz w:val="24"/>
                <w:szCs w:val="24"/>
              </w:rPr>
            </w:pPr>
            <w:r>
              <w:rPr>
                <w:rFonts w:hint="eastAsia" w:ascii="仿宋" w:hAnsi="仿宋" w:eastAsia="仿宋" w:cs="微软雅黑"/>
                <w:b/>
                <w:sz w:val="24"/>
                <w:szCs w:val="24"/>
              </w:rPr>
              <w:t>名称</w:t>
            </w:r>
          </w:p>
        </w:tc>
        <w:tc>
          <w:tcPr>
            <w:tcW w:w="2923" w:type="dxa"/>
            <w:tcBorders>
              <w:top w:val="single" w:color="auto" w:sz="4" w:space="0"/>
              <w:left w:val="single" w:color="auto" w:sz="4" w:space="0"/>
              <w:bottom w:val="single" w:color="auto" w:sz="4" w:space="0"/>
              <w:right w:val="single" w:color="auto" w:sz="4" w:space="0"/>
            </w:tcBorders>
            <w:noWrap/>
          </w:tcPr>
          <w:p w14:paraId="5BB56023">
            <w:pPr>
              <w:pStyle w:val="3"/>
              <w:spacing w:line="480" w:lineRule="exact"/>
              <w:rPr>
                <w:rFonts w:ascii="仿宋" w:hAnsi="仿宋" w:eastAsia="仿宋" w:cs="微软雅黑"/>
                <w:b/>
                <w:sz w:val="24"/>
                <w:szCs w:val="24"/>
              </w:rPr>
            </w:pPr>
            <w:r>
              <w:rPr>
                <w:rFonts w:hint="eastAsia" w:ascii="仿宋" w:hAnsi="仿宋" w:eastAsia="仿宋" w:cs="微软雅黑"/>
                <w:b/>
                <w:sz w:val="24"/>
                <w:szCs w:val="24"/>
              </w:rPr>
              <w:t>计费办法</w:t>
            </w:r>
          </w:p>
        </w:tc>
        <w:tc>
          <w:tcPr>
            <w:tcW w:w="4566" w:type="dxa"/>
            <w:tcBorders>
              <w:top w:val="single" w:color="auto" w:sz="4" w:space="0"/>
              <w:left w:val="single" w:color="auto" w:sz="4" w:space="0"/>
              <w:bottom w:val="single" w:color="auto" w:sz="4" w:space="0"/>
              <w:right w:val="single" w:color="auto" w:sz="4" w:space="0"/>
            </w:tcBorders>
            <w:noWrap/>
          </w:tcPr>
          <w:p w14:paraId="58361853">
            <w:pPr>
              <w:pStyle w:val="3"/>
              <w:spacing w:line="480" w:lineRule="exact"/>
              <w:rPr>
                <w:rFonts w:ascii="仿宋" w:hAnsi="仿宋" w:eastAsia="仿宋" w:cs="微软雅黑"/>
                <w:b/>
                <w:sz w:val="24"/>
                <w:szCs w:val="24"/>
              </w:rPr>
            </w:pPr>
            <w:r>
              <w:rPr>
                <w:rFonts w:hint="eastAsia" w:ascii="仿宋" w:hAnsi="仿宋" w:eastAsia="仿宋" w:cs="微软雅黑"/>
                <w:b/>
                <w:sz w:val="24"/>
                <w:szCs w:val="24"/>
              </w:rPr>
              <w:t>备注</w:t>
            </w:r>
          </w:p>
        </w:tc>
      </w:tr>
      <w:tr w14:paraId="472F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1" w:type="dxa"/>
            <w:tcBorders>
              <w:top w:val="single" w:color="auto" w:sz="4" w:space="0"/>
              <w:left w:val="single" w:color="auto" w:sz="4" w:space="0"/>
              <w:bottom w:val="single" w:color="auto" w:sz="4" w:space="0"/>
              <w:right w:val="single" w:color="auto" w:sz="4" w:space="0"/>
            </w:tcBorders>
            <w:noWrap/>
          </w:tcPr>
          <w:p w14:paraId="4D46EC02">
            <w:pPr>
              <w:pStyle w:val="3"/>
              <w:spacing w:line="480" w:lineRule="exact"/>
              <w:rPr>
                <w:rFonts w:ascii="仿宋" w:hAnsi="仿宋" w:eastAsia="仿宋" w:cs="微软雅黑"/>
                <w:sz w:val="24"/>
                <w:szCs w:val="24"/>
              </w:rPr>
            </w:pPr>
            <w:r>
              <w:rPr>
                <w:rFonts w:hint="eastAsia" w:ascii="仿宋" w:hAnsi="仿宋" w:eastAsia="仿宋" w:cs="微软雅黑"/>
                <w:sz w:val="24"/>
                <w:szCs w:val="24"/>
              </w:rPr>
              <w:t>1</w:t>
            </w:r>
          </w:p>
        </w:tc>
        <w:tc>
          <w:tcPr>
            <w:tcW w:w="1530" w:type="dxa"/>
            <w:tcBorders>
              <w:top w:val="single" w:color="auto" w:sz="4" w:space="0"/>
              <w:left w:val="single" w:color="auto" w:sz="4" w:space="0"/>
              <w:bottom w:val="single" w:color="auto" w:sz="4" w:space="0"/>
              <w:right w:val="single" w:color="auto" w:sz="4" w:space="0"/>
            </w:tcBorders>
            <w:noWrap/>
          </w:tcPr>
          <w:p w14:paraId="34D8DC59">
            <w:pPr>
              <w:pStyle w:val="3"/>
              <w:spacing w:line="480" w:lineRule="exact"/>
              <w:rPr>
                <w:rFonts w:ascii="仿宋" w:hAnsi="仿宋" w:eastAsia="仿宋" w:cs="微软雅黑"/>
                <w:sz w:val="24"/>
                <w:szCs w:val="24"/>
              </w:rPr>
            </w:pPr>
            <w:r>
              <w:rPr>
                <w:rFonts w:hint="eastAsia" w:ascii="仿宋" w:hAnsi="仿宋" w:eastAsia="仿宋" w:cs="微软雅黑"/>
                <w:sz w:val="24"/>
                <w:szCs w:val="24"/>
              </w:rPr>
              <w:t>人工费</w:t>
            </w:r>
          </w:p>
        </w:tc>
        <w:tc>
          <w:tcPr>
            <w:tcW w:w="2923" w:type="dxa"/>
            <w:tcBorders>
              <w:top w:val="single" w:color="auto" w:sz="4" w:space="0"/>
              <w:left w:val="single" w:color="auto" w:sz="4" w:space="0"/>
              <w:bottom w:val="single" w:color="auto" w:sz="4" w:space="0"/>
              <w:right w:val="single" w:color="auto" w:sz="4" w:space="0"/>
            </w:tcBorders>
            <w:noWrap/>
          </w:tcPr>
          <w:p w14:paraId="7E8A1114">
            <w:pPr>
              <w:pStyle w:val="3"/>
              <w:spacing w:line="480" w:lineRule="exact"/>
              <w:rPr>
                <w:rFonts w:ascii="仿宋" w:hAnsi="仿宋" w:eastAsia="仿宋" w:cs="微软雅黑"/>
                <w:sz w:val="24"/>
                <w:szCs w:val="24"/>
              </w:rPr>
            </w:pPr>
            <w:r>
              <w:rPr>
                <w:rFonts w:hint="eastAsia" w:ascii="仿宋" w:hAnsi="仿宋" w:eastAsia="仿宋" w:cs="微软雅黑"/>
                <w:sz w:val="24"/>
                <w:szCs w:val="24"/>
              </w:rPr>
              <w:t>（）元</w:t>
            </w:r>
          </w:p>
        </w:tc>
        <w:tc>
          <w:tcPr>
            <w:tcW w:w="4566" w:type="dxa"/>
            <w:tcBorders>
              <w:top w:val="single" w:color="auto" w:sz="4" w:space="0"/>
              <w:left w:val="single" w:color="auto" w:sz="4" w:space="0"/>
              <w:bottom w:val="single" w:color="auto" w:sz="4" w:space="0"/>
              <w:right w:val="single" w:color="auto" w:sz="4" w:space="0"/>
            </w:tcBorders>
            <w:noWrap/>
          </w:tcPr>
          <w:p w14:paraId="11BE28CD">
            <w:pPr>
              <w:pStyle w:val="3"/>
              <w:spacing w:line="480" w:lineRule="exact"/>
              <w:rPr>
                <w:rFonts w:ascii="仿宋" w:hAnsi="仿宋" w:eastAsia="仿宋" w:cs="微软雅黑"/>
                <w:sz w:val="24"/>
                <w:szCs w:val="24"/>
              </w:rPr>
            </w:pPr>
            <w:r>
              <w:rPr>
                <w:rFonts w:hint="eastAsia" w:ascii="仿宋" w:hAnsi="仿宋" w:eastAsia="仿宋" w:cs="微软雅黑"/>
                <w:sz w:val="24"/>
                <w:szCs w:val="24"/>
              </w:rPr>
              <w:t>按定额子目单位工程相应的人工费及当时期发布的动态人工调整系数计算。</w:t>
            </w:r>
          </w:p>
        </w:tc>
      </w:tr>
      <w:tr w14:paraId="27B2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81" w:type="dxa"/>
            <w:tcBorders>
              <w:top w:val="single" w:color="auto" w:sz="4" w:space="0"/>
              <w:left w:val="single" w:color="auto" w:sz="4" w:space="0"/>
              <w:bottom w:val="single" w:color="auto" w:sz="4" w:space="0"/>
              <w:right w:val="single" w:color="auto" w:sz="4" w:space="0"/>
            </w:tcBorders>
            <w:noWrap/>
          </w:tcPr>
          <w:p w14:paraId="150D8A32">
            <w:pPr>
              <w:pStyle w:val="3"/>
              <w:spacing w:line="480" w:lineRule="exact"/>
              <w:rPr>
                <w:rFonts w:ascii="仿宋" w:hAnsi="仿宋" w:eastAsia="仿宋" w:cs="微软雅黑"/>
                <w:sz w:val="24"/>
                <w:szCs w:val="24"/>
              </w:rPr>
            </w:pPr>
            <w:r>
              <w:rPr>
                <w:rFonts w:hint="eastAsia" w:ascii="仿宋" w:hAnsi="仿宋" w:eastAsia="仿宋" w:cs="微软雅黑"/>
                <w:sz w:val="24"/>
                <w:szCs w:val="24"/>
              </w:rPr>
              <w:t>2</w:t>
            </w:r>
          </w:p>
        </w:tc>
        <w:tc>
          <w:tcPr>
            <w:tcW w:w="1530" w:type="dxa"/>
            <w:tcBorders>
              <w:top w:val="single" w:color="auto" w:sz="4" w:space="0"/>
              <w:left w:val="single" w:color="auto" w:sz="4" w:space="0"/>
              <w:bottom w:val="single" w:color="auto" w:sz="4" w:space="0"/>
              <w:right w:val="single" w:color="auto" w:sz="4" w:space="0"/>
            </w:tcBorders>
            <w:noWrap/>
          </w:tcPr>
          <w:p w14:paraId="437B53CA">
            <w:pPr>
              <w:pStyle w:val="3"/>
              <w:spacing w:line="480" w:lineRule="exact"/>
              <w:rPr>
                <w:rFonts w:ascii="仿宋" w:hAnsi="仿宋" w:eastAsia="仿宋" w:cs="微软雅黑"/>
                <w:sz w:val="24"/>
                <w:szCs w:val="24"/>
              </w:rPr>
            </w:pPr>
            <w:r>
              <w:rPr>
                <w:rFonts w:hint="eastAsia" w:ascii="仿宋" w:hAnsi="仿宋" w:eastAsia="仿宋" w:cs="微软雅黑"/>
                <w:sz w:val="24"/>
                <w:szCs w:val="24"/>
              </w:rPr>
              <w:t>材料费</w:t>
            </w:r>
          </w:p>
        </w:tc>
        <w:tc>
          <w:tcPr>
            <w:tcW w:w="2923" w:type="dxa"/>
            <w:tcBorders>
              <w:top w:val="single" w:color="auto" w:sz="4" w:space="0"/>
              <w:left w:val="single" w:color="auto" w:sz="4" w:space="0"/>
              <w:bottom w:val="single" w:color="auto" w:sz="4" w:space="0"/>
              <w:right w:val="single" w:color="auto" w:sz="4" w:space="0"/>
            </w:tcBorders>
            <w:noWrap/>
          </w:tcPr>
          <w:p w14:paraId="6D4A4BFD">
            <w:pPr>
              <w:pStyle w:val="3"/>
              <w:spacing w:line="480" w:lineRule="exact"/>
              <w:rPr>
                <w:rFonts w:ascii="仿宋" w:hAnsi="仿宋" w:eastAsia="仿宋" w:cs="微软雅黑"/>
                <w:sz w:val="24"/>
                <w:szCs w:val="24"/>
              </w:rPr>
            </w:pPr>
            <w:r>
              <w:rPr>
                <w:rFonts w:hint="eastAsia" w:ascii="仿宋" w:hAnsi="仿宋" w:eastAsia="仿宋" w:cs="微软雅黑"/>
                <w:sz w:val="24"/>
                <w:szCs w:val="24"/>
              </w:rPr>
              <w:t>∑（材料数量×材料单价）</w:t>
            </w:r>
          </w:p>
        </w:tc>
        <w:tc>
          <w:tcPr>
            <w:tcW w:w="4566" w:type="dxa"/>
            <w:tcBorders>
              <w:top w:val="single" w:color="auto" w:sz="4" w:space="0"/>
              <w:left w:val="single" w:color="auto" w:sz="4" w:space="0"/>
              <w:bottom w:val="single" w:color="auto" w:sz="4" w:space="0"/>
              <w:right w:val="single" w:color="auto" w:sz="4" w:space="0"/>
            </w:tcBorders>
            <w:noWrap/>
          </w:tcPr>
          <w:p w14:paraId="5652206B">
            <w:pPr>
              <w:pStyle w:val="3"/>
              <w:spacing w:line="480" w:lineRule="exact"/>
              <w:rPr>
                <w:rFonts w:ascii="仿宋" w:hAnsi="仿宋" w:eastAsia="仿宋" w:cs="微软雅黑"/>
                <w:sz w:val="24"/>
                <w:szCs w:val="24"/>
              </w:rPr>
            </w:pPr>
            <w:r>
              <w:rPr>
                <w:rFonts w:hint="eastAsia" w:ascii="仿宋" w:hAnsi="仿宋" w:eastAsia="仿宋" w:cs="微软雅黑"/>
                <w:sz w:val="24"/>
                <w:szCs w:val="24"/>
              </w:rPr>
              <w:t>材料含量按“定额”，但需扣除定额有的而实际图纸没有的材料；材料价格按备注的材料价格确定方式计算。</w:t>
            </w:r>
          </w:p>
        </w:tc>
      </w:tr>
      <w:tr w14:paraId="5650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81" w:type="dxa"/>
            <w:tcBorders>
              <w:top w:val="single" w:color="auto" w:sz="4" w:space="0"/>
              <w:left w:val="single" w:color="auto" w:sz="4" w:space="0"/>
              <w:bottom w:val="single" w:color="auto" w:sz="4" w:space="0"/>
              <w:right w:val="single" w:color="auto" w:sz="4" w:space="0"/>
            </w:tcBorders>
            <w:noWrap/>
          </w:tcPr>
          <w:p w14:paraId="0A6F2233">
            <w:pPr>
              <w:pStyle w:val="3"/>
              <w:spacing w:line="480" w:lineRule="exact"/>
              <w:rPr>
                <w:rFonts w:ascii="仿宋" w:hAnsi="仿宋" w:eastAsia="仿宋" w:cs="微软雅黑"/>
                <w:sz w:val="24"/>
                <w:szCs w:val="24"/>
              </w:rPr>
            </w:pPr>
            <w:r>
              <w:rPr>
                <w:rFonts w:hint="eastAsia" w:ascii="仿宋" w:hAnsi="仿宋" w:eastAsia="仿宋" w:cs="微软雅黑"/>
                <w:sz w:val="24"/>
                <w:szCs w:val="24"/>
              </w:rPr>
              <w:t>3</w:t>
            </w:r>
          </w:p>
        </w:tc>
        <w:tc>
          <w:tcPr>
            <w:tcW w:w="1530" w:type="dxa"/>
            <w:tcBorders>
              <w:top w:val="single" w:color="auto" w:sz="4" w:space="0"/>
              <w:left w:val="single" w:color="auto" w:sz="4" w:space="0"/>
              <w:bottom w:val="single" w:color="auto" w:sz="4" w:space="0"/>
              <w:right w:val="single" w:color="auto" w:sz="4" w:space="0"/>
            </w:tcBorders>
            <w:noWrap/>
          </w:tcPr>
          <w:p w14:paraId="647FC389">
            <w:pPr>
              <w:pStyle w:val="3"/>
              <w:spacing w:line="480" w:lineRule="exact"/>
              <w:rPr>
                <w:rFonts w:ascii="仿宋" w:hAnsi="仿宋" w:eastAsia="仿宋" w:cs="微软雅黑"/>
                <w:sz w:val="24"/>
                <w:szCs w:val="24"/>
              </w:rPr>
            </w:pPr>
            <w:r>
              <w:rPr>
                <w:rFonts w:hint="eastAsia" w:ascii="仿宋" w:hAnsi="仿宋" w:eastAsia="仿宋" w:cs="微软雅黑"/>
                <w:sz w:val="24"/>
                <w:szCs w:val="24"/>
              </w:rPr>
              <w:t>施工机具费</w:t>
            </w:r>
          </w:p>
        </w:tc>
        <w:tc>
          <w:tcPr>
            <w:tcW w:w="2923" w:type="dxa"/>
            <w:tcBorders>
              <w:top w:val="single" w:color="auto" w:sz="4" w:space="0"/>
              <w:left w:val="single" w:color="auto" w:sz="4" w:space="0"/>
              <w:bottom w:val="single" w:color="auto" w:sz="4" w:space="0"/>
              <w:right w:val="single" w:color="auto" w:sz="4" w:space="0"/>
            </w:tcBorders>
            <w:noWrap/>
          </w:tcPr>
          <w:p w14:paraId="147D43C7">
            <w:pPr>
              <w:pStyle w:val="3"/>
              <w:spacing w:line="480" w:lineRule="exact"/>
              <w:rPr>
                <w:rFonts w:ascii="仿宋" w:hAnsi="仿宋" w:eastAsia="仿宋" w:cs="微软雅黑"/>
                <w:sz w:val="24"/>
                <w:szCs w:val="24"/>
              </w:rPr>
            </w:pPr>
            <w:r>
              <w:rPr>
                <w:rFonts w:hint="eastAsia" w:ascii="仿宋" w:hAnsi="仿宋" w:eastAsia="仿宋" w:cs="微软雅黑"/>
                <w:sz w:val="24"/>
                <w:szCs w:val="24"/>
              </w:rPr>
              <w:t>∑（机具台班数量×机具台班单价）</w:t>
            </w:r>
          </w:p>
        </w:tc>
        <w:tc>
          <w:tcPr>
            <w:tcW w:w="4566" w:type="dxa"/>
            <w:tcBorders>
              <w:top w:val="single" w:color="auto" w:sz="4" w:space="0"/>
              <w:left w:val="single" w:color="auto" w:sz="4" w:space="0"/>
              <w:bottom w:val="single" w:color="auto" w:sz="4" w:space="0"/>
              <w:right w:val="single" w:color="auto" w:sz="4" w:space="0"/>
            </w:tcBorders>
            <w:noWrap/>
          </w:tcPr>
          <w:p w14:paraId="249DD713">
            <w:pPr>
              <w:pStyle w:val="3"/>
              <w:spacing w:line="480" w:lineRule="exact"/>
              <w:rPr>
                <w:rFonts w:ascii="仿宋" w:hAnsi="仿宋" w:eastAsia="仿宋" w:cs="微软雅黑"/>
                <w:sz w:val="24"/>
                <w:szCs w:val="24"/>
              </w:rPr>
            </w:pPr>
            <w:r>
              <w:rPr>
                <w:rFonts w:hint="eastAsia" w:ascii="仿宋" w:hAnsi="仿宋" w:eastAsia="仿宋" w:cs="微软雅黑"/>
                <w:sz w:val="24"/>
                <w:szCs w:val="24"/>
              </w:rPr>
              <w:t>施工机具费：机具台班含量按“定额”；单价按《广东省建设工程施工机具台班费用编制规则(2018)》；燃料动力单价按当月相关部门发布的价格取定；《广东省建设工程施工机具台班费用编制规则(2018)》中没有列项的机械，由承包人根据工程实际测定，报发包人审定。</w:t>
            </w:r>
          </w:p>
        </w:tc>
      </w:tr>
      <w:tr w14:paraId="26CD9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81" w:type="dxa"/>
            <w:tcBorders>
              <w:top w:val="single" w:color="auto" w:sz="4" w:space="0"/>
              <w:left w:val="single" w:color="auto" w:sz="4" w:space="0"/>
              <w:bottom w:val="single" w:color="auto" w:sz="4" w:space="0"/>
              <w:right w:val="single" w:color="auto" w:sz="4" w:space="0"/>
            </w:tcBorders>
            <w:noWrap/>
          </w:tcPr>
          <w:p w14:paraId="74D7E4DB">
            <w:pPr>
              <w:pStyle w:val="3"/>
              <w:spacing w:line="480" w:lineRule="exact"/>
              <w:rPr>
                <w:rFonts w:ascii="仿宋" w:hAnsi="仿宋" w:eastAsia="仿宋" w:cs="微软雅黑"/>
                <w:sz w:val="24"/>
                <w:szCs w:val="24"/>
              </w:rPr>
            </w:pPr>
            <w:r>
              <w:rPr>
                <w:rFonts w:hint="eastAsia" w:ascii="仿宋" w:hAnsi="仿宋" w:eastAsia="仿宋" w:cs="微软雅黑"/>
                <w:sz w:val="24"/>
                <w:szCs w:val="24"/>
              </w:rPr>
              <w:t>4</w:t>
            </w:r>
          </w:p>
        </w:tc>
        <w:tc>
          <w:tcPr>
            <w:tcW w:w="1530" w:type="dxa"/>
            <w:tcBorders>
              <w:top w:val="single" w:color="auto" w:sz="4" w:space="0"/>
              <w:left w:val="single" w:color="auto" w:sz="4" w:space="0"/>
              <w:bottom w:val="single" w:color="auto" w:sz="4" w:space="0"/>
              <w:right w:val="single" w:color="auto" w:sz="4" w:space="0"/>
            </w:tcBorders>
            <w:noWrap/>
          </w:tcPr>
          <w:p w14:paraId="1973A40A">
            <w:pPr>
              <w:pStyle w:val="3"/>
              <w:spacing w:line="480" w:lineRule="exact"/>
              <w:rPr>
                <w:rFonts w:ascii="仿宋" w:hAnsi="仿宋" w:eastAsia="仿宋" w:cs="微软雅黑"/>
                <w:sz w:val="24"/>
                <w:szCs w:val="24"/>
              </w:rPr>
            </w:pPr>
            <w:r>
              <w:rPr>
                <w:rFonts w:hint="eastAsia" w:ascii="仿宋" w:hAnsi="仿宋" w:eastAsia="仿宋" w:cs="微软雅黑"/>
                <w:sz w:val="24"/>
                <w:szCs w:val="24"/>
              </w:rPr>
              <w:t>管理费</w:t>
            </w:r>
          </w:p>
        </w:tc>
        <w:tc>
          <w:tcPr>
            <w:tcW w:w="2923" w:type="dxa"/>
            <w:tcBorders>
              <w:top w:val="single" w:color="auto" w:sz="4" w:space="0"/>
              <w:left w:val="single" w:color="auto" w:sz="4" w:space="0"/>
              <w:bottom w:val="single" w:color="auto" w:sz="4" w:space="0"/>
              <w:right w:val="single" w:color="auto" w:sz="4" w:space="0"/>
            </w:tcBorders>
            <w:noWrap/>
          </w:tcPr>
          <w:p w14:paraId="0468DE7D">
            <w:pPr>
              <w:pStyle w:val="3"/>
              <w:spacing w:line="480" w:lineRule="exact"/>
              <w:rPr>
                <w:rFonts w:ascii="仿宋" w:hAnsi="仿宋" w:eastAsia="仿宋" w:cs="微软雅黑"/>
                <w:sz w:val="24"/>
                <w:szCs w:val="24"/>
              </w:rPr>
            </w:pPr>
            <w:r>
              <w:rPr>
                <w:rFonts w:hint="eastAsia" w:ascii="仿宋" w:hAnsi="仿宋" w:eastAsia="仿宋" w:cs="微软雅黑"/>
                <w:sz w:val="24"/>
                <w:szCs w:val="24"/>
              </w:rPr>
              <w:t>（1+3）×（）%</w:t>
            </w:r>
          </w:p>
        </w:tc>
        <w:tc>
          <w:tcPr>
            <w:tcW w:w="4566" w:type="dxa"/>
            <w:tcBorders>
              <w:top w:val="single" w:color="auto" w:sz="4" w:space="0"/>
              <w:left w:val="single" w:color="auto" w:sz="4" w:space="0"/>
              <w:bottom w:val="single" w:color="auto" w:sz="4" w:space="0"/>
              <w:right w:val="single" w:color="auto" w:sz="4" w:space="0"/>
            </w:tcBorders>
            <w:noWrap/>
          </w:tcPr>
          <w:p w14:paraId="462C267E">
            <w:pPr>
              <w:pStyle w:val="3"/>
              <w:spacing w:line="480" w:lineRule="exact"/>
              <w:rPr>
                <w:rFonts w:ascii="仿宋" w:hAnsi="仿宋" w:eastAsia="仿宋" w:cs="微软雅黑"/>
                <w:sz w:val="24"/>
                <w:szCs w:val="24"/>
              </w:rPr>
            </w:pPr>
            <w:r>
              <w:rPr>
                <w:rFonts w:hint="eastAsia" w:ascii="仿宋" w:hAnsi="仿宋" w:eastAsia="仿宋" w:cs="微软雅黑"/>
                <w:sz w:val="24"/>
                <w:szCs w:val="24"/>
              </w:rPr>
              <w:t>管理费：(人工费+施工机具费）*管理费费率，管理费费率按相应定额的“管理费分摊费率表”中的费率</w:t>
            </w:r>
          </w:p>
        </w:tc>
      </w:tr>
      <w:tr w14:paraId="111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81" w:type="dxa"/>
            <w:tcBorders>
              <w:top w:val="single" w:color="auto" w:sz="4" w:space="0"/>
              <w:left w:val="single" w:color="auto" w:sz="4" w:space="0"/>
              <w:bottom w:val="single" w:color="auto" w:sz="4" w:space="0"/>
              <w:right w:val="single" w:color="auto" w:sz="4" w:space="0"/>
            </w:tcBorders>
            <w:noWrap/>
          </w:tcPr>
          <w:p w14:paraId="38DCBE69">
            <w:pPr>
              <w:pStyle w:val="3"/>
              <w:spacing w:line="480" w:lineRule="exact"/>
              <w:rPr>
                <w:rFonts w:ascii="仿宋" w:hAnsi="仿宋" w:eastAsia="仿宋" w:cs="微软雅黑"/>
                <w:sz w:val="24"/>
                <w:szCs w:val="24"/>
              </w:rPr>
            </w:pPr>
            <w:r>
              <w:rPr>
                <w:rFonts w:hint="eastAsia" w:ascii="仿宋" w:hAnsi="仿宋" w:eastAsia="仿宋" w:cs="微软雅黑"/>
                <w:sz w:val="24"/>
                <w:szCs w:val="24"/>
              </w:rPr>
              <w:t>5</w:t>
            </w:r>
          </w:p>
        </w:tc>
        <w:tc>
          <w:tcPr>
            <w:tcW w:w="1530" w:type="dxa"/>
            <w:tcBorders>
              <w:top w:val="single" w:color="auto" w:sz="4" w:space="0"/>
              <w:left w:val="single" w:color="auto" w:sz="4" w:space="0"/>
              <w:bottom w:val="single" w:color="auto" w:sz="4" w:space="0"/>
              <w:right w:val="single" w:color="auto" w:sz="4" w:space="0"/>
            </w:tcBorders>
            <w:noWrap/>
          </w:tcPr>
          <w:p w14:paraId="07819BB0">
            <w:pPr>
              <w:pStyle w:val="3"/>
              <w:spacing w:line="480" w:lineRule="exact"/>
              <w:rPr>
                <w:rFonts w:ascii="仿宋" w:hAnsi="仿宋" w:eastAsia="仿宋" w:cs="微软雅黑"/>
                <w:sz w:val="24"/>
                <w:szCs w:val="24"/>
              </w:rPr>
            </w:pPr>
            <w:r>
              <w:rPr>
                <w:rFonts w:hint="eastAsia" w:ascii="仿宋" w:hAnsi="仿宋" w:eastAsia="仿宋" w:cs="微软雅黑"/>
                <w:sz w:val="24"/>
                <w:szCs w:val="24"/>
              </w:rPr>
              <w:t>利润</w:t>
            </w:r>
          </w:p>
        </w:tc>
        <w:tc>
          <w:tcPr>
            <w:tcW w:w="2923" w:type="dxa"/>
            <w:tcBorders>
              <w:top w:val="single" w:color="auto" w:sz="4" w:space="0"/>
              <w:left w:val="single" w:color="auto" w:sz="4" w:space="0"/>
              <w:bottom w:val="single" w:color="auto" w:sz="4" w:space="0"/>
              <w:right w:val="single" w:color="auto" w:sz="4" w:space="0"/>
            </w:tcBorders>
            <w:noWrap/>
          </w:tcPr>
          <w:p w14:paraId="123E64BD">
            <w:pPr>
              <w:pStyle w:val="3"/>
              <w:spacing w:line="480" w:lineRule="exact"/>
              <w:rPr>
                <w:rFonts w:ascii="仿宋" w:hAnsi="仿宋" w:eastAsia="仿宋" w:cs="微软雅黑"/>
                <w:sz w:val="24"/>
                <w:szCs w:val="24"/>
              </w:rPr>
            </w:pPr>
            <w:r>
              <w:rPr>
                <w:rFonts w:hint="eastAsia" w:ascii="仿宋" w:hAnsi="仿宋" w:eastAsia="仿宋" w:cs="微软雅黑"/>
                <w:sz w:val="24"/>
                <w:szCs w:val="24"/>
              </w:rPr>
              <w:t>（1+3）×（）%</w:t>
            </w:r>
          </w:p>
        </w:tc>
        <w:tc>
          <w:tcPr>
            <w:tcW w:w="4566" w:type="dxa"/>
            <w:tcBorders>
              <w:top w:val="single" w:color="auto" w:sz="4" w:space="0"/>
              <w:left w:val="single" w:color="auto" w:sz="4" w:space="0"/>
              <w:bottom w:val="single" w:color="auto" w:sz="4" w:space="0"/>
              <w:right w:val="single" w:color="auto" w:sz="4" w:space="0"/>
            </w:tcBorders>
            <w:noWrap/>
          </w:tcPr>
          <w:p w14:paraId="7EAB6A2B">
            <w:pPr>
              <w:pStyle w:val="3"/>
              <w:spacing w:line="480" w:lineRule="exact"/>
              <w:rPr>
                <w:rFonts w:ascii="仿宋" w:hAnsi="仿宋" w:eastAsia="仿宋" w:cs="微软雅黑"/>
                <w:sz w:val="24"/>
                <w:szCs w:val="24"/>
              </w:rPr>
            </w:pPr>
            <w:r>
              <w:rPr>
                <w:rFonts w:hint="eastAsia" w:ascii="仿宋" w:hAnsi="仿宋" w:eastAsia="仿宋" w:cs="微软雅黑"/>
                <w:sz w:val="24"/>
                <w:szCs w:val="24"/>
              </w:rPr>
              <w:t>利润：（人工费+施工机具费）*  %，按相应专业定额的“工程利润标准”中的约定执行。</w:t>
            </w:r>
          </w:p>
        </w:tc>
      </w:tr>
      <w:tr w14:paraId="5F52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1" w:type="dxa"/>
            <w:tcBorders>
              <w:top w:val="single" w:color="auto" w:sz="4" w:space="0"/>
              <w:left w:val="single" w:color="auto" w:sz="4" w:space="0"/>
              <w:bottom w:val="single" w:color="auto" w:sz="4" w:space="0"/>
              <w:right w:val="single" w:color="auto" w:sz="4" w:space="0"/>
            </w:tcBorders>
            <w:noWrap/>
          </w:tcPr>
          <w:p w14:paraId="69E3ADF4">
            <w:pPr>
              <w:pStyle w:val="3"/>
              <w:spacing w:line="480" w:lineRule="exact"/>
              <w:rPr>
                <w:rFonts w:ascii="仿宋" w:hAnsi="仿宋" w:eastAsia="仿宋" w:cs="微软雅黑"/>
                <w:sz w:val="24"/>
                <w:szCs w:val="24"/>
              </w:rPr>
            </w:pPr>
            <w:r>
              <w:rPr>
                <w:rFonts w:hint="eastAsia" w:ascii="仿宋" w:hAnsi="仿宋" w:eastAsia="仿宋" w:cs="微软雅黑"/>
                <w:sz w:val="24"/>
                <w:szCs w:val="24"/>
              </w:rPr>
              <w:t>6</w:t>
            </w:r>
          </w:p>
        </w:tc>
        <w:tc>
          <w:tcPr>
            <w:tcW w:w="1530" w:type="dxa"/>
            <w:tcBorders>
              <w:top w:val="single" w:color="auto" w:sz="4" w:space="0"/>
              <w:left w:val="single" w:color="auto" w:sz="4" w:space="0"/>
              <w:bottom w:val="single" w:color="auto" w:sz="4" w:space="0"/>
              <w:right w:val="single" w:color="auto" w:sz="4" w:space="0"/>
            </w:tcBorders>
            <w:noWrap/>
          </w:tcPr>
          <w:p w14:paraId="5E9561AD">
            <w:pPr>
              <w:pStyle w:val="3"/>
              <w:spacing w:line="480" w:lineRule="exact"/>
              <w:rPr>
                <w:rFonts w:ascii="仿宋" w:hAnsi="仿宋" w:eastAsia="仿宋" w:cs="微软雅黑"/>
                <w:sz w:val="24"/>
                <w:szCs w:val="24"/>
              </w:rPr>
            </w:pPr>
            <w:r>
              <w:rPr>
                <w:rFonts w:hint="eastAsia" w:ascii="仿宋" w:hAnsi="仿宋" w:eastAsia="仿宋" w:cs="微软雅黑"/>
                <w:sz w:val="24"/>
                <w:szCs w:val="24"/>
              </w:rPr>
              <w:t>下浮</w:t>
            </w:r>
          </w:p>
        </w:tc>
        <w:tc>
          <w:tcPr>
            <w:tcW w:w="2923" w:type="dxa"/>
            <w:tcBorders>
              <w:top w:val="single" w:color="auto" w:sz="4" w:space="0"/>
              <w:left w:val="single" w:color="auto" w:sz="4" w:space="0"/>
              <w:bottom w:val="single" w:color="auto" w:sz="4" w:space="0"/>
              <w:right w:val="single" w:color="auto" w:sz="4" w:space="0"/>
            </w:tcBorders>
            <w:noWrap/>
          </w:tcPr>
          <w:p w14:paraId="23D1033D">
            <w:pPr>
              <w:pStyle w:val="3"/>
              <w:spacing w:line="480" w:lineRule="exact"/>
              <w:rPr>
                <w:rFonts w:ascii="仿宋" w:hAnsi="仿宋" w:eastAsia="仿宋" w:cs="微软雅黑"/>
                <w:sz w:val="24"/>
                <w:szCs w:val="24"/>
              </w:rPr>
            </w:pPr>
            <w:r>
              <w:rPr>
                <w:rFonts w:hint="eastAsia" w:ascii="仿宋" w:hAnsi="仿宋" w:eastAsia="仿宋" w:cs="微软雅黑"/>
                <w:sz w:val="24"/>
                <w:szCs w:val="24"/>
              </w:rPr>
              <w:t>（3+～5）×（－5 %）</w:t>
            </w:r>
          </w:p>
        </w:tc>
        <w:tc>
          <w:tcPr>
            <w:tcW w:w="4566" w:type="dxa"/>
            <w:tcBorders>
              <w:top w:val="single" w:color="auto" w:sz="4" w:space="0"/>
              <w:left w:val="single" w:color="auto" w:sz="4" w:space="0"/>
              <w:bottom w:val="single" w:color="auto" w:sz="4" w:space="0"/>
              <w:right w:val="single" w:color="auto" w:sz="4" w:space="0"/>
            </w:tcBorders>
            <w:noWrap/>
          </w:tcPr>
          <w:p w14:paraId="24760963">
            <w:pPr>
              <w:pStyle w:val="3"/>
              <w:spacing w:line="480" w:lineRule="exact"/>
              <w:rPr>
                <w:rFonts w:ascii="仿宋" w:hAnsi="仿宋" w:eastAsia="仿宋" w:cs="微软雅黑"/>
                <w:sz w:val="24"/>
                <w:szCs w:val="24"/>
              </w:rPr>
            </w:pPr>
            <w:r>
              <w:rPr>
                <w:rFonts w:hint="eastAsia" w:ascii="仿宋" w:hAnsi="仿宋" w:eastAsia="仿宋" w:cs="微软雅黑"/>
                <w:sz w:val="24"/>
                <w:szCs w:val="24"/>
              </w:rPr>
              <w:t>扣除人工及材料费下浮5%</w:t>
            </w:r>
          </w:p>
        </w:tc>
      </w:tr>
      <w:tr w14:paraId="0FDA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81" w:type="dxa"/>
            <w:tcBorders>
              <w:top w:val="single" w:color="auto" w:sz="4" w:space="0"/>
              <w:left w:val="single" w:color="auto" w:sz="4" w:space="0"/>
              <w:bottom w:val="single" w:color="auto" w:sz="4" w:space="0"/>
              <w:right w:val="single" w:color="auto" w:sz="4" w:space="0"/>
            </w:tcBorders>
            <w:noWrap/>
          </w:tcPr>
          <w:p w14:paraId="0A69ECD3">
            <w:pPr>
              <w:pStyle w:val="3"/>
              <w:spacing w:line="480" w:lineRule="exact"/>
              <w:rPr>
                <w:rFonts w:ascii="仿宋" w:hAnsi="仿宋" w:eastAsia="仿宋" w:cs="微软雅黑"/>
                <w:sz w:val="24"/>
                <w:szCs w:val="24"/>
              </w:rPr>
            </w:pPr>
            <w:r>
              <w:rPr>
                <w:rFonts w:hint="eastAsia" w:ascii="仿宋" w:hAnsi="仿宋" w:eastAsia="仿宋" w:cs="微软雅黑"/>
                <w:sz w:val="24"/>
                <w:szCs w:val="24"/>
              </w:rPr>
              <w:t>7</w:t>
            </w:r>
          </w:p>
        </w:tc>
        <w:tc>
          <w:tcPr>
            <w:tcW w:w="1530" w:type="dxa"/>
            <w:tcBorders>
              <w:top w:val="single" w:color="auto" w:sz="4" w:space="0"/>
              <w:left w:val="single" w:color="auto" w:sz="4" w:space="0"/>
              <w:bottom w:val="single" w:color="auto" w:sz="4" w:space="0"/>
              <w:right w:val="single" w:color="auto" w:sz="4" w:space="0"/>
            </w:tcBorders>
            <w:noWrap/>
          </w:tcPr>
          <w:p w14:paraId="1CAF152C">
            <w:pPr>
              <w:pStyle w:val="3"/>
              <w:spacing w:line="480" w:lineRule="exact"/>
              <w:rPr>
                <w:rFonts w:ascii="仿宋" w:hAnsi="仿宋" w:eastAsia="仿宋" w:cs="微软雅黑"/>
                <w:sz w:val="24"/>
                <w:szCs w:val="24"/>
              </w:rPr>
            </w:pPr>
            <w:r>
              <w:rPr>
                <w:rFonts w:hint="eastAsia" w:ascii="仿宋" w:hAnsi="仿宋" w:eastAsia="仿宋" w:cs="微软雅黑"/>
                <w:sz w:val="24"/>
                <w:szCs w:val="24"/>
              </w:rPr>
              <w:t>综合单价</w:t>
            </w:r>
          </w:p>
        </w:tc>
        <w:tc>
          <w:tcPr>
            <w:tcW w:w="2923" w:type="dxa"/>
            <w:tcBorders>
              <w:top w:val="single" w:color="auto" w:sz="4" w:space="0"/>
              <w:left w:val="single" w:color="auto" w:sz="4" w:space="0"/>
              <w:bottom w:val="single" w:color="auto" w:sz="4" w:space="0"/>
              <w:right w:val="single" w:color="auto" w:sz="4" w:space="0"/>
            </w:tcBorders>
            <w:noWrap/>
          </w:tcPr>
          <w:p w14:paraId="03CC0D82">
            <w:pPr>
              <w:pStyle w:val="3"/>
              <w:spacing w:line="480" w:lineRule="exact"/>
              <w:rPr>
                <w:rFonts w:ascii="仿宋" w:hAnsi="仿宋" w:eastAsia="仿宋" w:cs="微软雅黑"/>
                <w:sz w:val="24"/>
                <w:szCs w:val="24"/>
              </w:rPr>
            </w:pPr>
            <w:r>
              <w:rPr>
                <w:rFonts w:hint="eastAsia" w:ascii="仿宋" w:hAnsi="仿宋" w:eastAsia="仿宋" w:cs="微软雅黑"/>
                <w:sz w:val="24"/>
                <w:szCs w:val="24"/>
              </w:rPr>
              <w:t>（1+……+6）</w:t>
            </w:r>
          </w:p>
        </w:tc>
        <w:tc>
          <w:tcPr>
            <w:tcW w:w="4566" w:type="dxa"/>
            <w:tcBorders>
              <w:top w:val="single" w:color="auto" w:sz="4" w:space="0"/>
              <w:left w:val="single" w:color="auto" w:sz="4" w:space="0"/>
              <w:bottom w:val="single" w:color="auto" w:sz="4" w:space="0"/>
              <w:right w:val="single" w:color="auto" w:sz="4" w:space="0"/>
            </w:tcBorders>
            <w:noWrap/>
          </w:tcPr>
          <w:p w14:paraId="462EE382">
            <w:pPr>
              <w:pStyle w:val="3"/>
              <w:spacing w:line="480" w:lineRule="exact"/>
              <w:rPr>
                <w:rFonts w:ascii="仿宋" w:hAnsi="仿宋" w:eastAsia="仿宋" w:cs="微软雅黑"/>
                <w:sz w:val="24"/>
                <w:szCs w:val="24"/>
              </w:rPr>
            </w:pPr>
          </w:p>
        </w:tc>
      </w:tr>
    </w:tbl>
    <w:p w14:paraId="559D3353">
      <w:pPr>
        <w:pStyle w:val="3"/>
        <w:spacing w:line="480" w:lineRule="exact"/>
        <w:rPr>
          <w:rFonts w:ascii="仿宋" w:hAnsi="仿宋" w:eastAsia="仿宋" w:cs="微软雅黑"/>
          <w:sz w:val="24"/>
          <w:szCs w:val="24"/>
        </w:rPr>
      </w:pPr>
    </w:p>
    <w:p w14:paraId="0AC6D6C4">
      <w:pPr>
        <w:pStyle w:val="3"/>
        <w:spacing w:line="480" w:lineRule="exact"/>
        <w:rPr>
          <w:rFonts w:ascii="仿宋" w:hAnsi="仿宋" w:eastAsia="仿宋" w:cs="微软雅黑"/>
          <w:sz w:val="24"/>
          <w:szCs w:val="24"/>
        </w:rPr>
      </w:pPr>
      <w:r>
        <w:rPr>
          <w:rFonts w:hint="eastAsia" w:ascii="仿宋" w:hAnsi="仿宋" w:eastAsia="仿宋" w:cs="微软雅黑"/>
          <w:sz w:val="24"/>
          <w:szCs w:val="24"/>
        </w:rPr>
        <w:t>备注：</w:t>
      </w:r>
    </w:p>
    <w:p w14:paraId="0929C7FE">
      <w:pPr>
        <w:pStyle w:val="3"/>
        <w:spacing w:line="480" w:lineRule="exact"/>
        <w:rPr>
          <w:rFonts w:ascii="仿宋" w:hAnsi="仿宋" w:eastAsia="仿宋" w:cs="微软雅黑"/>
          <w:sz w:val="24"/>
          <w:szCs w:val="24"/>
        </w:rPr>
      </w:pPr>
      <w:r>
        <w:rPr>
          <w:rFonts w:hint="eastAsia" w:ascii="仿宋" w:hAnsi="仿宋" w:eastAsia="仿宋" w:cs="微软雅黑"/>
          <w:sz w:val="24"/>
          <w:szCs w:val="24"/>
        </w:rPr>
        <w:t>1、上表中的“定额”是指《广东省通用安装工程综合定额（2018）》《广东省房屋建筑与装饰工程综合定额（2018）》《广东省市政工程综合定额（2018）》及施工期间施行的广东省颁布的2018年其它专业定额；</w:t>
      </w:r>
    </w:p>
    <w:p w14:paraId="22EA03E3">
      <w:pPr>
        <w:pStyle w:val="3"/>
        <w:spacing w:line="480" w:lineRule="exact"/>
        <w:rPr>
          <w:rFonts w:ascii="仿宋" w:hAnsi="仿宋" w:eastAsia="仿宋" w:cs="微软雅黑"/>
          <w:sz w:val="24"/>
          <w:szCs w:val="24"/>
        </w:rPr>
      </w:pPr>
      <w:r>
        <w:rPr>
          <w:rFonts w:hint="eastAsia" w:ascii="仿宋" w:hAnsi="仿宋" w:eastAsia="仿宋" w:cs="微软雅黑"/>
          <w:sz w:val="24"/>
          <w:szCs w:val="24"/>
        </w:rPr>
        <w:t>2、材料价格按下述变更工程和新增工程材料价格确定方式确定。</w:t>
      </w:r>
    </w:p>
    <w:p w14:paraId="06A3E02E">
      <w:pPr>
        <w:pStyle w:val="3"/>
        <w:spacing w:line="480" w:lineRule="exact"/>
        <w:rPr>
          <w:rFonts w:ascii="仿宋" w:hAnsi="仿宋" w:eastAsia="仿宋" w:cs="微软雅黑"/>
          <w:sz w:val="24"/>
          <w:szCs w:val="24"/>
        </w:rPr>
      </w:pPr>
      <w:r>
        <w:rPr>
          <w:rFonts w:hint="eastAsia" w:ascii="仿宋" w:hAnsi="仿宋" w:eastAsia="仿宋" w:cs="微软雅黑"/>
          <w:sz w:val="24"/>
          <w:szCs w:val="24"/>
        </w:rPr>
        <w:t>3、材料价格确定方式及优先次序：</w:t>
      </w:r>
    </w:p>
    <w:p w14:paraId="57DBE77A">
      <w:pPr>
        <w:pStyle w:val="3"/>
        <w:spacing w:line="480" w:lineRule="exact"/>
        <w:rPr>
          <w:rFonts w:ascii="仿宋" w:hAnsi="仿宋" w:eastAsia="仿宋" w:cs="微软雅黑"/>
          <w:sz w:val="24"/>
          <w:szCs w:val="24"/>
        </w:rPr>
      </w:pPr>
      <w:r>
        <w:rPr>
          <w:rFonts w:hint="eastAsia" w:ascii="仿宋" w:hAnsi="仿宋" w:eastAsia="仿宋" w:cs="微软雅黑"/>
          <w:sz w:val="24"/>
          <w:szCs w:val="24"/>
        </w:rPr>
        <w:t>（1）①合同中有适用的价格按已有价格计入。②合同中没有适用材料、有相同类型但规格（或型号、标号等）不同的材料，参照合同已有最接近规格（或型号、标号等）材料的价格（若为约定可调价的材料应按招标文件相关条款确定材料价格），采用插值法换算新增主材价格，换算结果高于市场价的，按市场价执行，换算结果低于市场价的按换算结果执行。③投标文件没有适用及相同类型材料,但有类似材料的，按类似材料价格乘以相应浮动率（即：相应浮动率=该新增材料2025年8月份《广州建设工程造价信息》税前价格/类似材料2025年8月份《广州建设工程造价信息》税前价格*100%）进行换算（若该材料为合同条款可调差材料的，可按相关条款进行价差调整），经换算新增主材价格结果如果高于市场价的，按市场价执行，低于市场价的按换算价格执行。</w:t>
      </w:r>
    </w:p>
    <w:p w14:paraId="2A4C17F3">
      <w:pPr>
        <w:pStyle w:val="3"/>
        <w:spacing w:line="480" w:lineRule="exact"/>
        <w:rPr>
          <w:rFonts w:ascii="仿宋" w:hAnsi="仿宋" w:eastAsia="仿宋" w:cs="微软雅黑"/>
          <w:sz w:val="24"/>
          <w:szCs w:val="24"/>
        </w:rPr>
      </w:pPr>
      <w:r>
        <w:rPr>
          <w:rFonts w:hint="eastAsia" w:ascii="仿宋" w:hAnsi="仿宋" w:eastAsia="仿宋" w:cs="微软雅黑"/>
          <w:sz w:val="24"/>
          <w:szCs w:val="24"/>
        </w:rPr>
        <w:t>（2）投标文件中没有适用或类似的材料，而变更或新增工程发生该季度的广州市建设工程造价管理站发布的《广州建设工程造价信息》税前综合价有适用或类似的材料，则按相应材料价格下浮一定比例确定，其中：</w:t>
      </w:r>
    </w:p>
    <w:p w14:paraId="443F9CF2">
      <w:pPr>
        <w:pStyle w:val="3"/>
        <w:spacing w:line="480" w:lineRule="exact"/>
        <w:rPr>
          <w:rFonts w:ascii="仿宋" w:hAnsi="仿宋" w:eastAsia="仿宋" w:cs="微软雅黑"/>
          <w:sz w:val="24"/>
          <w:szCs w:val="24"/>
        </w:rPr>
      </w:pPr>
      <w:r>
        <w:rPr>
          <w:rFonts w:hint="eastAsia" w:ascii="仿宋" w:hAnsi="仿宋" w:eastAsia="仿宋" w:cs="微软雅黑"/>
          <w:sz w:val="24"/>
          <w:szCs w:val="24"/>
        </w:rPr>
        <w:t>-土建类下浮5%；</w:t>
      </w:r>
    </w:p>
    <w:p w14:paraId="5774B752">
      <w:pPr>
        <w:pStyle w:val="3"/>
        <w:spacing w:line="480" w:lineRule="exact"/>
        <w:rPr>
          <w:rFonts w:ascii="仿宋" w:hAnsi="仿宋" w:eastAsia="仿宋" w:cs="微软雅黑"/>
          <w:sz w:val="24"/>
          <w:szCs w:val="24"/>
        </w:rPr>
      </w:pPr>
      <w:r>
        <w:rPr>
          <w:rFonts w:hint="eastAsia" w:ascii="仿宋" w:hAnsi="仿宋" w:eastAsia="仿宋" w:cs="微软雅黑"/>
          <w:sz w:val="24"/>
          <w:szCs w:val="24"/>
        </w:rPr>
        <w:t>-装饰类下浮10%；</w:t>
      </w:r>
    </w:p>
    <w:p w14:paraId="33A9A29A">
      <w:pPr>
        <w:pStyle w:val="3"/>
        <w:spacing w:line="480" w:lineRule="exact"/>
        <w:rPr>
          <w:rFonts w:ascii="仿宋" w:hAnsi="仿宋" w:eastAsia="仿宋" w:cs="微软雅黑"/>
          <w:sz w:val="24"/>
          <w:szCs w:val="24"/>
        </w:rPr>
      </w:pPr>
      <w:r>
        <w:rPr>
          <w:rFonts w:hint="eastAsia" w:ascii="仿宋" w:hAnsi="仿宋" w:eastAsia="仿宋" w:cs="微软雅黑"/>
          <w:sz w:val="24"/>
          <w:szCs w:val="24"/>
        </w:rPr>
        <w:t>-市政类下浮10%；</w:t>
      </w:r>
    </w:p>
    <w:p w14:paraId="0DCFB14F">
      <w:pPr>
        <w:pStyle w:val="3"/>
        <w:spacing w:line="480" w:lineRule="exact"/>
        <w:rPr>
          <w:rFonts w:ascii="仿宋" w:hAnsi="仿宋" w:eastAsia="仿宋" w:cs="微软雅黑"/>
          <w:sz w:val="24"/>
          <w:szCs w:val="24"/>
        </w:rPr>
      </w:pPr>
      <w:r>
        <w:rPr>
          <w:rFonts w:hint="eastAsia" w:ascii="仿宋" w:hAnsi="仿宋" w:eastAsia="仿宋" w:cs="微软雅黑"/>
          <w:sz w:val="24"/>
          <w:szCs w:val="24"/>
        </w:rPr>
        <w:t>-机电类下浮15%；</w:t>
      </w:r>
    </w:p>
    <w:p w14:paraId="73D1E27C">
      <w:pPr>
        <w:pStyle w:val="3"/>
        <w:spacing w:line="480" w:lineRule="exact"/>
        <w:rPr>
          <w:rFonts w:ascii="仿宋" w:hAnsi="仿宋" w:eastAsia="仿宋" w:cs="微软雅黑"/>
          <w:sz w:val="24"/>
          <w:szCs w:val="24"/>
        </w:rPr>
      </w:pPr>
      <w:r>
        <w:rPr>
          <w:rFonts w:hint="eastAsia" w:ascii="仿宋" w:hAnsi="仿宋" w:eastAsia="仿宋" w:cs="微软雅黑"/>
          <w:sz w:val="24"/>
          <w:szCs w:val="24"/>
        </w:rPr>
        <w:t>-绿化类下浮15%；</w:t>
      </w:r>
    </w:p>
    <w:p w14:paraId="55EAB77E">
      <w:pPr>
        <w:pStyle w:val="3"/>
        <w:spacing w:line="480" w:lineRule="exact"/>
        <w:rPr>
          <w:rFonts w:ascii="仿宋" w:hAnsi="仿宋" w:eastAsia="仿宋" w:cs="微软雅黑"/>
          <w:sz w:val="24"/>
          <w:szCs w:val="24"/>
        </w:rPr>
      </w:pPr>
      <w:r>
        <w:rPr>
          <w:rFonts w:hint="eastAsia" w:ascii="仿宋" w:hAnsi="仿宋" w:eastAsia="仿宋" w:cs="微软雅黑"/>
          <w:sz w:val="24"/>
          <w:szCs w:val="24"/>
        </w:rPr>
        <w:t>（3）投标文件中没有适用或类似的材料，且《广州建设工程造价信息》税前综合价也没有适用或类似的材料，则采取由承包人报发包人审核的方式确定，若双方对价格不能达成一致意见，发包人有权采取询价的方式确定材料价格，承包人承诺对于发包人询价结果认可并按询价结果进行采购。属发包人集中采购成果，采用集采价格，其材料设备配合管理费（包括采购保管费用）为5%。</w:t>
      </w:r>
    </w:p>
    <w:p w14:paraId="288E2DC6">
      <w:pPr>
        <w:pStyle w:val="3"/>
        <w:spacing w:line="480" w:lineRule="exact"/>
        <w:rPr>
          <w:rFonts w:ascii="仿宋" w:hAnsi="仿宋" w:eastAsia="仿宋" w:cs="微软雅黑"/>
          <w:sz w:val="24"/>
          <w:szCs w:val="24"/>
        </w:rPr>
      </w:pPr>
      <w:r>
        <w:rPr>
          <w:rFonts w:hint="eastAsia" w:ascii="仿宋" w:hAnsi="仿宋" w:eastAsia="仿宋" w:cs="微软雅黑"/>
          <w:sz w:val="24"/>
          <w:szCs w:val="24"/>
        </w:rPr>
        <w:t>（4）所有的新增、变更项目主材均要由发包人定板后确定价格。</w:t>
      </w:r>
    </w:p>
    <w:p w14:paraId="717EC5F7">
      <w:pPr>
        <w:pStyle w:val="3"/>
        <w:spacing w:line="480" w:lineRule="exact"/>
        <w:rPr>
          <w:rFonts w:ascii="仿宋" w:hAnsi="仿宋" w:eastAsia="仿宋" w:cs="微软雅黑"/>
          <w:sz w:val="24"/>
          <w:szCs w:val="24"/>
        </w:rPr>
      </w:pPr>
      <w:r>
        <w:rPr>
          <w:rFonts w:hint="eastAsia" w:ascii="仿宋" w:hAnsi="仿宋" w:eastAsia="仿宋" w:cs="微软雅黑"/>
          <w:sz w:val="24"/>
          <w:szCs w:val="24"/>
        </w:rPr>
        <w:t>（5）若政府主管部门对“广州地区建设工程常用材料税前综合价格”政策进行调整，根据调整后的“广州地区建设工程常用材料税前综合价格”的政策按上述原则执行。</w:t>
      </w:r>
    </w:p>
    <w:p w14:paraId="277D880C">
      <w:pPr>
        <w:pStyle w:val="3"/>
        <w:spacing w:line="480" w:lineRule="exact"/>
        <w:rPr>
          <w:rFonts w:ascii="仿宋" w:hAnsi="仿宋" w:eastAsia="仿宋" w:cs="微软雅黑"/>
          <w:sz w:val="24"/>
          <w:szCs w:val="24"/>
        </w:rPr>
      </w:pPr>
      <w:r>
        <w:rPr>
          <w:rFonts w:hint="eastAsia" w:ascii="仿宋" w:hAnsi="仿宋" w:eastAsia="仿宋" w:cs="微软雅黑"/>
          <w:sz w:val="24"/>
          <w:szCs w:val="24"/>
        </w:rPr>
        <w:t>（6）主材是指建筑安装工程中所用的构成工程实体的主要原材料。建筑与装饰工程中泛指构成建筑物的主要影响造价的材料，即钢材、木材、水泥以及玻璃、沥青等。安装工程中，构成分项工程的主要实体材料就是主材。</w:t>
      </w:r>
    </w:p>
    <w:p w14:paraId="15D8FCD1">
      <w:pPr>
        <w:pStyle w:val="3"/>
        <w:spacing w:line="480" w:lineRule="exact"/>
        <w:rPr>
          <w:rFonts w:ascii="仿宋" w:hAnsi="仿宋" w:eastAsia="仿宋" w:cs="微软雅黑"/>
          <w:sz w:val="24"/>
          <w:szCs w:val="24"/>
        </w:rPr>
      </w:pPr>
      <w:r>
        <w:rPr>
          <w:rFonts w:hint="eastAsia" w:ascii="仿宋" w:hAnsi="仿宋" w:eastAsia="仿宋" w:cs="微软雅黑"/>
          <w:sz w:val="24"/>
          <w:szCs w:val="24"/>
        </w:rPr>
        <w:t>4、按以上计价程序执行的合同内外新增变更、签证工程，单宗（特指“以设计变更通知单或业主委托书或业主审批的监理工作联系单为单宗”）审核造价在10万元以下（含10万元），承包人在具备相应施工能力的情况下,不得以发包人按该计价程序审核的造价低为理由拒绝施工，若承包人拒绝施工使发包人需另委其它施工单位施工，则发包人按该新增变更工程审定委托单位预算费用的20%（且最小处罚金额不低于 2 万元）进行处罚。</w:t>
      </w:r>
    </w:p>
    <w:p w14:paraId="4067AA34">
      <w:pPr>
        <w:pStyle w:val="3"/>
        <w:spacing w:line="480" w:lineRule="exact"/>
        <w:rPr>
          <w:rFonts w:ascii="仿宋" w:hAnsi="仿宋" w:eastAsia="仿宋" w:cs="微软雅黑"/>
          <w:sz w:val="24"/>
          <w:szCs w:val="24"/>
        </w:rPr>
      </w:pPr>
      <w:r>
        <w:rPr>
          <w:rFonts w:hint="eastAsia" w:ascii="仿宋" w:hAnsi="仿宋" w:eastAsia="仿宋" w:cs="微软雅黑"/>
          <w:sz w:val="24"/>
          <w:szCs w:val="24"/>
        </w:rPr>
        <w:t>5、按以上计价程序执行的内容，单宗（特指“以设计变更通知单或发包人委托书或发包人审批的监理工作联系单为单宗”）审核造价在10万元以上，若承包人提出采用该计价程序审核的造价严重偏离市场，经发包人市场调查核实情况属实的，发包人可根据市场实际价格与承包人进行谈判协商，若协商不成，承包人在具备相应施工能力的情况下,仍不同意按市场实际价格承接该新增变更工程，使发包人需另委其它施工单位施工，则发包人有权按该新增变更工程审定委托单位预算费用的20%（且最小处罚金额不低于3万元，最高处罚金额不高于50万元）进行处罚。”</w:t>
      </w:r>
    </w:p>
    <w:p w14:paraId="63F96348">
      <w:pPr>
        <w:pStyle w:val="3"/>
        <w:spacing w:line="480" w:lineRule="exact"/>
        <w:rPr>
          <w:rFonts w:ascii="仿宋" w:hAnsi="仿宋" w:eastAsia="仿宋" w:cs="微软雅黑"/>
          <w:sz w:val="24"/>
          <w:szCs w:val="24"/>
        </w:rPr>
      </w:pPr>
      <w:r>
        <w:rPr>
          <w:rFonts w:hint="eastAsia" w:ascii="仿宋" w:hAnsi="仿宋" w:eastAsia="仿宋" w:cs="微软雅黑"/>
          <w:sz w:val="24"/>
          <w:szCs w:val="24"/>
        </w:rPr>
        <w:t>6、删减工作或工程的补偿</w:t>
      </w:r>
    </w:p>
    <w:p w14:paraId="7162AB8D">
      <w:pPr>
        <w:pStyle w:val="3"/>
        <w:spacing w:line="480" w:lineRule="exact"/>
        <w:rPr>
          <w:rFonts w:ascii="仿宋" w:hAnsi="仿宋" w:eastAsia="仿宋" w:cs="微软雅黑"/>
          <w:sz w:val="24"/>
          <w:szCs w:val="24"/>
        </w:rPr>
      </w:pPr>
      <w:r>
        <w:rPr>
          <w:rFonts w:hint="eastAsia" w:ascii="仿宋" w:hAnsi="仿宋" w:eastAsia="仿宋" w:cs="微软雅黑"/>
          <w:sz w:val="24"/>
          <w:szCs w:val="24"/>
        </w:rPr>
        <w:t>如果因为非承包人原因删减了合同中的某项原定工作或工程，致使承包人发生的费用或(和)预期收益不能被包括在其它已支付或应支付的项目中，也未包含在任何替代的工作或工程中，发包人不对承包人作出补偿。</w:t>
      </w:r>
    </w:p>
    <w:p w14:paraId="715C3D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Njg5ZmEyNWM5NjNmMGUzODQzYmJmOTA0YzRkZTQifQ=="/>
  </w:docVars>
  <w:rsids>
    <w:rsidRoot w:val="6FAE7194"/>
    <w:rsid w:val="000137C4"/>
    <w:rsid w:val="00070F33"/>
    <w:rsid w:val="000940EF"/>
    <w:rsid w:val="001413B1"/>
    <w:rsid w:val="001E5C1E"/>
    <w:rsid w:val="002B0DE1"/>
    <w:rsid w:val="002D407E"/>
    <w:rsid w:val="003406F0"/>
    <w:rsid w:val="00356309"/>
    <w:rsid w:val="00492E42"/>
    <w:rsid w:val="005505C3"/>
    <w:rsid w:val="0059490D"/>
    <w:rsid w:val="005B5C01"/>
    <w:rsid w:val="005D4509"/>
    <w:rsid w:val="006437CB"/>
    <w:rsid w:val="00741BA3"/>
    <w:rsid w:val="00965B6F"/>
    <w:rsid w:val="00A0707C"/>
    <w:rsid w:val="00A9705D"/>
    <w:rsid w:val="00B15327"/>
    <w:rsid w:val="00CA00BC"/>
    <w:rsid w:val="00D51222"/>
    <w:rsid w:val="00E11130"/>
    <w:rsid w:val="00E516C6"/>
    <w:rsid w:val="32473408"/>
    <w:rsid w:val="6FAE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等线" w:cs="Times New Roman"/>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unhideWhenUsed/>
    <w:qFormat/>
    <w:uiPriority w:val="99"/>
    <w:pPr>
      <w:spacing w:after="120"/>
    </w:pPr>
    <w:rPr>
      <w:rFonts w:eastAsia="宋体"/>
      <w:kern w:val="2"/>
      <w:sz w:val="21"/>
    </w:rPr>
  </w:style>
  <w:style w:type="paragraph" w:styleId="4">
    <w:name w:val="Balloon Text"/>
    <w:basedOn w:val="1"/>
    <w:link w:val="16"/>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szCs w:val="24"/>
    </w:rPr>
  </w:style>
  <w:style w:type="paragraph" w:styleId="8">
    <w:name w:val="annotation subject"/>
    <w:basedOn w:val="2"/>
    <w:next w:val="2"/>
    <w:link w:val="18"/>
    <w:uiPriority w:val="0"/>
    <w:rPr>
      <w:b/>
      <w:bCs/>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uiPriority w:val="0"/>
    <w:rPr>
      <w:sz w:val="21"/>
      <w:szCs w:val="21"/>
    </w:rPr>
  </w:style>
  <w:style w:type="paragraph" w:customStyle="1" w:styleId="13">
    <w:name w:val="cjk1"/>
    <w:basedOn w:val="1"/>
    <w:qFormat/>
    <w:uiPriority w:val="0"/>
    <w:pPr>
      <w:widowControl/>
      <w:spacing w:before="284" w:line="360" w:lineRule="auto"/>
      <w:jc w:val="left"/>
    </w:pPr>
    <w:rPr>
      <w:rFonts w:ascii="宋体" w:hAnsi="宋体" w:eastAsia="宋体"/>
      <w:sz w:val="22"/>
      <w:szCs w:val="22"/>
    </w:rPr>
  </w:style>
  <w:style w:type="character" w:customStyle="1" w:styleId="14">
    <w:name w:val="页眉 字符"/>
    <w:basedOn w:val="11"/>
    <w:link w:val="6"/>
    <w:qFormat/>
    <w:uiPriority w:val="0"/>
    <w:rPr>
      <w:rFonts w:ascii="Times New Roman" w:hAnsi="Times New Roman" w:eastAsia="等线" w:cs="Times New Roman"/>
      <w:sz w:val="18"/>
      <w:szCs w:val="18"/>
    </w:rPr>
  </w:style>
  <w:style w:type="character" w:customStyle="1" w:styleId="15">
    <w:name w:val="页脚 字符"/>
    <w:basedOn w:val="11"/>
    <w:link w:val="5"/>
    <w:uiPriority w:val="0"/>
    <w:rPr>
      <w:rFonts w:ascii="Times New Roman" w:hAnsi="Times New Roman" w:eastAsia="等线" w:cs="Times New Roman"/>
      <w:sz w:val="18"/>
      <w:szCs w:val="18"/>
    </w:rPr>
  </w:style>
  <w:style w:type="character" w:customStyle="1" w:styleId="16">
    <w:name w:val="批注框文本 字符"/>
    <w:basedOn w:val="11"/>
    <w:link w:val="4"/>
    <w:qFormat/>
    <w:uiPriority w:val="0"/>
    <w:rPr>
      <w:rFonts w:ascii="Times New Roman" w:hAnsi="Times New Roman" w:eastAsia="等线" w:cs="Times New Roman"/>
      <w:sz w:val="18"/>
      <w:szCs w:val="18"/>
    </w:rPr>
  </w:style>
  <w:style w:type="character" w:customStyle="1" w:styleId="17">
    <w:name w:val="批注文字 字符"/>
    <w:basedOn w:val="11"/>
    <w:link w:val="2"/>
    <w:uiPriority w:val="0"/>
    <w:rPr>
      <w:rFonts w:ascii="Times New Roman" w:hAnsi="Times New Roman" w:eastAsia="等线" w:cs="Times New Roman"/>
    </w:rPr>
  </w:style>
  <w:style w:type="character" w:customStyle="1" w:styleId="18">
    <w:name w:val="批注主题 字符"/>
    <w:basedOn w:val="17"/>
    <w:link w:val="8"/>
    <w:uiPriority w:val="0"/>
    <w:rPr>
      <w:rFonts w:ascii="Times New Roman" w:hAnsi="Times New Roman" w:eastAsia="等线" w:cs="Times New Roman"/>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2403</Words>
  <Characters>2462</Characters>
  <Lines>18</Lines>
  <Paragraphs>5</Paragraphs>
  <TotalTime>1042</TotalTime>
  <ScaleCrop>false</ScaleCrop>
  <LinksUpToDate>false</LinksUpToDate>
  <CharactersWithSpaces>2470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2023-10-25T08:25:00Z</dcterms:created>
  <dc:creator>清川.</dc:creator>
  <cp:lastModifiedBy>杭</cp:lastModifiedBy>
  <dcterms:modified xsi:type="dcterms:W3CDTF">2025-07-01T09:35:02Z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2E981E9327274C3F9FF2D2310782C1A6_11</vt:lpwstr>
  </property>
  <property fmtid="{D5CDD505-2E9C-101B-9397-08002B2CF9AE}" pid="4" name="KSOTemplateDocerSaveRecord">
    <vt:lpwstr>eyJoZGlkIjoiNzJiNmM1NTUyZmMzNzQ2MDU0NTMyMmZmY2FhZDZlZjciLCJ1c2VySWQiOiI2NzU5MjM0NjMifQ==</vt:lpwstr>
  </property>
</Properties>
</file>