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3765A">
      <w:pPr>
        <w:autoSpaceDE w:val="0"/>
        <w:autoSpaceDN w:val="0"/>
        <w:adjustRightInd w:val="0"/>
        <w:spacing w:line="360" w:lineRule="auto"/>
        <w:jc w:val="center"/>
        <w:rPr>
          <w:rFonts w:hint="eastAsia" w:ascii="宋体" w:hAnsi="宋体" w:cs="宋体"/>
          <w:b/>
          <w:color w:val="auto"/>
          <w:sz w:val="44"/>
          <w:szCs w:val="44"/>
          <w:highlight w:val="none"/>
        </w:rPr>
      </w:pPr>
    </w:p>
    <w:p w14:paraId="70AE2D62">
      <w:pPr>
        <w:autoSpaceDE w:val="0"/>
        <w:autoSpaceDN w:val="0"/>
        <w:adjustRightInd w:val="0"/>
        <w:spacing w:line="360" w:lineRule="auto"/>
        <w:jc w:val="center"/>
        <w:rPr>
          <w:rFonts w:hint="eastAsia" w:ascii="宋体" w:hAnsi="宋体" w:cs="宋体"/>
          <w:b/>
          <w:color w:val="auto"/>
          <w:sz w:val="44"/>
          <w:szCs w:val="44"/>
          <w:highlight w:val="none"/>
        </w:rPr>
      </w:pPr>
      <w:r>
        <w:rPr>
          <w:rFonts w:hint="eastAsia" w:ascii="宋体" w:hAnsi="宋体" w:eastAsia="宋体" w:cs="宋体"/>
          <w:b/>
          <w:bCs w:val="0"/>
          <w:color w:val="auto"/>
          <w:sz w:val="44"/>
          <w:szCs w:val="44"/>
          <w:highlight w:val="none"/>
          <w:lang w:eastAsia="zh-CN"/>
        </w:rPr>
        <w:t>番禺区经济技术开发区万博西片区大石宾至路等4条道路改建项目施工阶段全过程造价咨询</w:t>
      </w:r>
      <w:r>
        <w:rPr>
          <w:rFonts w:hint="eastAsia" w:ascii="宋体" w:hAnsi="宋体" w:eastAsia="宋体" w:cs="宋体"/>
          <w:b/>
          <w:bCs w:val="0"/>
          <w:color w:val="auto"/>
          <w:sz w:val="44"/>
          <w:szCs w:val="44"/>
          <w:highlight w:val="none"/>
          <w:lang w:val="en-US" w:eastAsia="zh-CN"/>
        </w:rPr>
        <w:t>服务</w:t>
      </w:r>
    </w:p>
    <w:p w14:paraId="68D08E03">
      <w:pPr>
        <w:autoSpaceDE w:val="0"/>
        <w:autoSpaceDN w:val="0"/>
        <w:adjustRightInd w:val="0"/>
        <w:jc w:val="center"/>
        <w:rPr>
          <w:rFonts w:hint="eastAsia" w:ascii="宋体" w:hAnsi="宋体" w:cs="宋体"/>
          <w:b/>
          <w:color w:val="auto"/>
          <w:sz w:val="44"/>
          <w:szCs w:val="44"/>
          <w:highlight w:val="none"/>
        </w:rPr>
      </w:pPr>
    </w:p>
    <w:p w14:paraId="0226A94E">
      <w:pPr>
        <w:pStyle w:val="5"/>
        <w:rPr>
          <w:rFonts w:hint="eastAsia" w:ascii="宋体" w:hAnsi="宋体" w:cs="宋体"/>
          <w:color w:val="auto"/>
          <w:highlight w:val="none"/>
        </w:rPr>
      </w:pPr>
    </w:p>
    <w:p w14:paraId="701D52E8">
      <w:pPr>
        <w:pStyle w:val="9"/>
        <w:rPr>
          <w:rFonts w:hint="eastAsia" w:ascii="宋体" w:hAnsi="宋体" w:cs="宋体"/>
          <w:color w:val="auto"/>
          <w:highlight w:val="none"/>
        </w:rPr>
      </w:pPr>
    </w:p>
    <w:p w14:paraId="2779B899">
      <w:pPr>
        <w:spacing w:line="400" w:lineRule="exact"/>
        <w:rPr>
          <w:rFonts w:hint="eastAsia" w:ascii="宋体" w:hAnsi="宋体" w:cs="宋体"/>
          <w:color w:val="auto"/>
          <w:highlight w:val="none"/>
        </w:rPr>
      </w:pPr>
    </w:p>
    <w:p w14:paraId="2B4847E2">
      <w:pPr>
        <w:rPr>
          <w:rFonts w:hint="eastAsia" w:ascii="宋体" w:hAnsi="宋体" w:cs="宋体"/>
          <w:color w:val="auto"/>
          <w:sz w:val="28"/>
          <w:szCs w:val="28"/>
          <w:highlight w:val="none"/>
        </w:rPr>
      </w:pPr>
    </w:p>
    <w:p w14:paraId="3080E904">
      <w:pPr>
        <w:rPr>
          <w:rFonts w:hint="eastAsia" w:ascii="宋体" w:hAnsi="宋体" w:cs="宋体"/>
          <w:color w:val="auto"/>
          <w:sz w:val="28"/>
          <w:szCs w:val="28"/>
          <w:highlight w:val="none"/>
        </w:rPr>
      </w:pPr>
    </w:p>
    <w:p w14:paraId="7C64DADA">
      <w:pPr>
        <w:rPr>
          <w:rFonts w:hint="eastAsia" w:ascii="宋体" w:hAnsi="宋体" w:cs="宋体"/>
          <w:color w:val="auto"/>
          <w:sz w:val="28"/>
          <w:szCs w:val="28"/>
          <w:highlight w:val="none"/>
        </w:rPr>
      </w:pPr>
    </w:p>
    <w:p w14:paraId="112F7E02">
      <w:pPr>
        <w:rPr>
          <w:rFonts w:hint="eastAsia" w:ascii="宋体" w:hAnsi="宋体" w:cs="宋体"/>
          <w:color w:val="auto"/>
          <w:sz w:val="28"/>
          <w:highlight w:val="none"/>
        </w:rPr>
      </w:pPr>
    </w:p>
    <w:p w14:paraId="6A41F476">
      <w:pPr>
        <w:jc w:val="center"/>
        <w:rPr>
          <w:rFonts w:hint="eastAsia" w:ascii="宋体" w:hAnsi="宋体" w:cs="宋体"/>
          <w:b/>
          <w:bCs/>
          <w:color w:val="auto"/>
          <w:sz w:val="72"/>
          <w:szCs w:val="72"/>
          <w:highlight w:val="none"/>
        </w:rPr>
      </w:pPr>
      <w:r>
        <w:rPr>
          <w:rFonts w:hint="eastAsia" w:ascii="宋体" w:hAnsi="宋体" w:cs="宋体"/>
          <w:b/>
          <w:bCs/>
          <w:color w:val="auto"/>
          <w:sz w:val="72"/>
          <w:szCs w:val="72"/>
          <w:highlight w:val="none"/>
        </w:rPr>
        <w:t>招标文件</w:t>
      </w:r>
    </w:p>
    <w:p w14:paraId="7978C73D">
      <w:pPr>
        <w:spacing w:line="400" w:lineRule="exact"/>
        <w:rPr>
          <w:rFonts w:hint="eastAsia" w:ascii="宋体" w:hAnsi="宋体" w:cs="宋体"/>
          <w:color w:val="auto"/>
          <w:highlight w:val="none"/>
        </w:rPr>
      </w:pPr>
    </w:p>
    <w:p w14:paraId="54215301">
      <w:pPr>
        <w:spacing w:line="400" w:lineRule="exact"/>
        <w:rPr>
          <w:rFonts w:hint="eastAsia" w:ascii="宋体" w:hAnsi="宋体" w:cs="宋体"/>
          <w:color w:val="auto"/>
          <w:highlight w:val="none"/>
        </w:rPr>
      </w:pPr>
    </w:p>
    <w:p w14:paraId="013AA28F">
      <w:pPr>
        <w:spacing w:line="400" w:lineRule="exact"/>
        <w:rPr>
          <w:rFonts w:hint="eastAsia" w:ascii="宋体" w:hAnsi="宋体" w:cs="宋体"/>
          <w:color w:val="auto"/>
          <w:highlight w:val="none"/>
        </w:rPr>
      </w:pPr>
    </w:p>
    <w:p w14:paraId="6809270C">
      <w:pPr>
        <w:spacing w:line="400" w:lineRule="exact"/>
        <w:rPr>
          <w:rFonts w:hint="eastAsia" w:ascii="宋体" w:hAnsi="宋体" w:cs="宋体"/>
          <w:color w:val="auto"/>
          <w:highlight w:val="none"/>
        </w:rPr>
      </w:pPr>
    </w:p>
    <w:p w14:paraId="71CBDC5D">
      <w:pPr>
        <w:spacing w:line="400" w:lineRule="exact"/>
        <w:rPr>
          <w:rFonts w:hint="eastAsia" w:ascii="宋体" w:hAnsi="宋体" w:cs="宋体"/>
          <w:color w:val="auto"/>
          <w:highlight w:val="none"/>
        </w:rPr>
      </w:pPr>
    </w:p>
    <w:p w14:paraId="2B045775">
      <w:pPr>
        <w:spacing w:line="400" w:lineRule="exact"/>
        <w:rPr>
          <w:rFonts w:hint="eastAsia" w:ascii="宋体" w:hAnsi="宋体" w:cs="宋体"/>
          <w:color w:val="auto"/>
          <w:highlight w:val="none"/>
        </w:rPr>
      </w:pPr>
    </w:p>
    <w:p w14:paraId="4FC5737F">
      <w:pPr>
        <w:spacing w:line="400" w:lineRule="exact"/>
        <w:rPr>
          <w:rFonts w:hint="eastAsia" w:ascii="宋体" w:hAnsi="宋体" w:cs="宋体"/>
          <w:color w:val="auto"/>
          <w:highlight w:val="none"/>
        </w:rPr>
      </w:pPr>
    </w:p>
    <w:p w14:paraId="7F87BCAF">
      <w:pPr>
        <w:pStyle w:val="6"/>
        <w:rPr>
          <w:rFonts w:hint="eastAsia"/>
        </w:rPr>
      </w:pPr>
    </w:p>
    <w:p w14:paraId="59EAA181">
      <w:pPr>
        <w:spacing w:line="400" w:lineRule="exact"/>
        <w:rPr>
          <w:rFonts w:hint="eastAsia" w:ascii="宋体" w:hAnsi="宋体" w:cs="宋体"/>
          <w:color w:val="auto"/>
          <w:highlight w:val="none"/>
        </w:rPr>
      </w:pPr>
    </w:p>
    <w:p w14:paraId="7E401A08">
      <w:pPr>
        <w:spacing w:line="360" w:lineRule="auto"/>
        <w:ind w:left="2746" w:leftChars="336" w:hanging="2040" w:hangingChars="635"/>
        <w:rPr>
          <w:rFonts w:hint="eastAsia" w:ascii="宋体" w:hAnsi="宋体" w:cs="宋体"/>
          <w:b/>
          <w:color w:val="auto"/>
          <w:sz w:val="32"/>
          <w:szCs w:val="32"/>
          <w:highlight w:val="none"/>
        </w:rPr>
      </w:pPr>
      <w:r>
        <w:rPr>
          <w:rFonts w:hint="eastAsia" w:ascii="宋体" w:hAnsi="宋体" w:cs="宋体"/>
          <w:b/>
          <w:color w:val="auto"/>
          <w:sz w:val="32"/>
          <w:szCs w:val="32"/>
          <w:highlight w:val="none"/>
        </w:rPr>
        <w:t>招 标  单 位：</w:t>
      </w:r>
      <w:r>
        <w:rPr>
          <w:rFonts w:hint="eastAsia" w:ascii="宋体" w:hAnsi="宋体" w:eastAsia="宋体" w:cs="宋体"/>
          <w:b/>
          <w:bCs w:val="0"/>
          <w:color w:val="auto"/>
          <w:sz w:val="32"/>
          <w:szCs w:val="32"/>
          <w:highlight w:val="none"/>
          <w:u w:val="none"/>
          <w:lang w:eastAsia="zh-CN"/>
        </w:rPr>
        <w:t>广州市番禺区人民政府大石街道办事处</w:t>
      </w:r>
    </w:p>
    <w:p w14:paraId="10F9B24D">
      <w:pPr>
        <w:spacing w:line="360" w:lineRule="auto"/>
        <w:ind w:firstLine="707" w:firstLineChars="220"/>
        <w:rPr>
          <w:rFonts w:hint="eastAsia" w:ascii="宋体" w:hAnsi="宋体" w:cs="宋体"/>
          <w:b/>
          <w:color w:val="auto"/>
          <w:sz w:val="32"/>
          <w:szCs w:val="32"/>
          <w:highlight w:val="none"/>
        </w:rPr>
      </w:pPr>
      <w:r>
        <w:rPr>
          <w:rFonts w:hint="eastAsia" w:ascii="宋体" w:hAnsi="宋体" w:cs="宋体"/>
          <w:b/>
          <w:color w:val="auto"/>
          <w:sz w:val="32"/>
          <w:szCs w:val="32"/>
          <w:highlight w:val="none"/>
        </w:rPr>
        <w:t>招标代理单位：</w:t>
      </w:r>
      <w:r>
        <w:rPr>
          <w:rFonts w:hint="eastAsia" w:ascii="宋体" w:hAnsi="宋体" w:eastAsia="宋体" w:cs="宋体"/>
          <w:b/>
          <w:bCs w:val="0"/>
          <w:color w:val="auto"/>
          <w:sz w:val="32"/>
          <w:szCs w:val="32"/>
          <w:highlight w:val="none"/>
          <w:u w:val="none"/>
          <w:lang w:eastAsia="zh-CN"/>
        </w:rPr>
        <w:t>广东省广大工程顾问有限公司</w:t>
      </w:r>
    </w:p>
    <w:p w14:paraId="7643DC13">
      <w:pPr>
        <w:spacing w:line="360" w:lineRule="auto"/>
        <w:ind w:firstLine="707" w:firstLineChars="220"/>
        <w:rPr>
          <w:rFonts w:hint="eastAsia" w:ascii="宋体" w:hAnsi="宋体" w:cs="宋体"/>
          <w:b/>
          <w:color w:val="auto"/>
          <w:sz w:val="32"/>
          <w:szCs w:val="32"/>
          <w:highlight w:val="none"/>
        </w:rPr>
      </w:pPr>
      <w:r>
        <w:rPr>
          <w:rFonts w:hint="eastAsia" w:ascii="宋体" w:hAnsi="宋体" w:cs="宋体"/>
          <w:b/>
          <w:color w:val="auto"/>
          <w:sz w:val="32"/>
          <w:szCs w:val="32"/>
          <w:highlight w:val="none"/>
        </w:rPr>
        <w:t>日        期：2025年</w:t>
      </w:r>
      <w:r>
        <w:rPr>
          <w:rFonts w:hint="eastAsia" w:ascii="宋体" w:hAnsi="宋体" w:cs="宋体"/>
          <w:b/>
          <w:color w:val="auto"/>
          <w:sz w:val="32"/>
          <w:szCs w:val="32"/>
          <w:highlight w:val="none"/>
          <w:lang w:val="en-US" w:eastAsia="zh-CN"/>
        </w:rPr>
        <w:t>7</w:t>
      </w:r>
      <w:bookmarkStart w:id="813" w:name="_GoBack"/>
      <w:bookmarkEnd w:id="813"/>
      <w:r>
        <w:rPr>
          <w:rFonts w:hint="eastAsia" w:ascii="宋体" w:hAnsi="宋体" w:cs="宋体"/>
          <w:b/>
          <w:color w:val="auto"/>
          <w:sz w:val="32"/>
          <w:szCs w:val="32"/>
          <w:highlight w:val="none"/>
        </w:rPr>
        <w:t>月</w:t>
      </w:r>
    </w:p>
    <w:p w14:paraId="775C05CB">
      <w:pPr>
        <w:pStyle w:val="22"/>
        <w:keepNext w:val="0"/>
        <w:keepLines w:val="0"/>
        <w:widowControl w:val="0"/>
        <w:jc w:val="center"/>
        <w:rPr>
          <w:rFonts w:hint="eastAsia" w:ascii="宋体" w:hAnsi="宋体" w:cs="宋体"/>
          <w:b w:val="0"/>
          <w:color w:val="auto"/>
          <w:highlight w:val="none"/>
          <w:lang w:val="zh-CN"/>
        </w:rPr>
        <w:sectPr>
          <w:pgSz w:w="12240" w:h="15840"/>
          <w:pgMar w:top="1440" w:right="1800" w:bottom="1440" w:left="1800" w:header="720" w:footer="720" w:gutter="0"/>
          <w:pgNumType w:start="1"/>
          <w:cols w:space="720" w:num="1"/>
          <w:docGrid w:linePitch="285" w:charSpace="0"/>
        </w:sectPr>
      </w:pPr>
      <w:bookmarkStart w:id="0" w:name="_Toc5058"/>
      <w:bookmarkStart w:id="1" w:name="_Toc144974479"/>
      <w:bookmarkStart w:id="2" w:name="_Toc152042287"/>
      <w:bookmarkStart w:id="3" w:name="_Toc152045511"/>
    </w:p>
    <w:p w14:paraId="4908D59C">
      <w:pPr>
        <w:pStyle w:val="22"/>
        <w:keepNext w:val="0"/>
        <w:keepLines w:val="0"/>
        <w:widowControl w:val="0"/>
        <w:jc w:val="center"/>
        <w:rPr>
          <w:rFonts w:hint="eastAsia" w:ascii="宋体" w:hAnsi="宋体" w:cs="宋体"/>
          <w:b w:val="0"/>
          <w:color w:val="auto"/>
          <w:highlight w:val="none"/>
        </w:rPr>
      </w:pPr>
      <w:r>
        <w:rPr>
          <w:rFonts w:hint="eastAsia" w:ascii="宋体" w:hAnsi="宋体" w:cs="宋体"/>
          <w:b w:val="0"/>
          <w:color w:val="auto"/>
          <w:highlight w:val="none"/>
          <w:lang w:val="zh-CN"/>
        </w:rPr>
        <w:t>目  录</w:t>
      </w:r>
      <w:bookmarkEnd w:id="0"/>
    </w:p>
    <w:p w14:paraId="6CF2C7C6">
      <w:pPr>
        <w:pStyle w:val="15"/>
        <w:tabs>
          <w:tab w:val="right" w:leader="dot" w:pos="8630"/>
        </w:tabs>
        <w:jc w:val="center"/>
        <w:rPr>
          <w:rFonts w:hint="eastAsia" w:ascii="宋体" w:hAnsi="宋体" w:cs="宋体"/>
          <w:color w:val="auto"/>
          <w:highlight w:val="none"/>
        </w:rPr>
      </w:pPr>
    </w:p>
    <w:p w14:paraId="5618C85C">
      <w:pPr>
        <w:pStyle w:val="15"/>
        <w:tabs>
          <w:tab w:val="right" w:leader="dot" w:pos="8640"/>
        </w:tabs>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TOC \o "1-3" \h \z \u </w:instrText>
      </w:r>
      <w:r>
        <w:rPr>
          <w:rFonts w:hint="eastAsia" w:ascii="宋体" w:hAnsi="宋体" w:cs="宋体"/>
          <w:color w:val="auto"/>
          <w:highlight w:val="none"/>
        </w:rPr>
        <w:fldChar w:fldCharType="separate"/>
      </w:r>
      <w:r>
        <w:rPr>
          <w:color w:val="auto"/>
          <w:highlight w:val="none"/>
        </w:rPr>
        <w:fldChar w:fldCharType="begin"/>
      </w:r>
      <w:r>
        <w:rPr>
          <w:color w:val="auto"/>
          <w:highlight w:val="none"/>
        </w:rPr>
        <w:instrText xml:space="preserve"> HYPERLINK \l "_Toc5058" </w:instrText>
      </w:r>
      <w:r>
        <w:rPr>
          <w:color w:val="auto"/>
          <w:highlight w:val="none"/>
        </w:rPr>
        <w:fldChar w:fldCharType="separate"/>
      </w:r>
      <w:r>
        <w:rPr>
          <w:rFonts w:hint="eastAsia" w:ascii="宋体" w:hAnsi="宋体" w:cs="宋体"/>
          <w:color w:val="auto"/>
          <w:highlight w:val="none"/>
          <w:lang w:val="zh-CN"/>
        </w:rPr>
        <w:t>目  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_Toc5058 \h </w:instrText>
      </w:r>
      <w:r>
        <w:rPr>
          <w:rFonts w:hint="eastAsia" w:ascii="宋体" w:hAnsi="宋体" w:cs="宋体"/>
          <w:color w:val="auto"/>
          <w:highlight w:val="none"/>
        </w:rPr>
        <w:fldChar w:fldCharType="separate"/>
      </w:r>
      <w:r>
        <w:rPr>
          <w:rFonts w:hint="eastAsia" w:ascii="宋体" w:hAnsi="宋体" w:cs="宋体"/>
          <w:color w:val="auto"/>
          <w:highlight w:val="none"/>
        </w:rPr>
        <w:t>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3A4B97C">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"_Toc4819" </w:instrText>
      </w:r>
      <w:r>
        <w:rPr>
          <w:color w:val="auto"/>
          <w:highlight w:val="none"/>
        </w:rPr>
        <w:fldChar w:fldCharType="separate"/>
      </w:r>
      <w:r>
        <w:rPr>
          <w:rFonts w:hint="eastAsia" w:ascii="宋体" w:hAnsi="宋体" w:cs="宋体"/>
          <w:color w:val="auto"/>
          <w:highlight w:val="none"/>
        </w:rPr>
        <w:t>第一卷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_Toc4819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782B5E2">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"_Toc12835" </w:instrText>
      </w:r>
      <w:r>
        <w:rPr>
          <w:color w:val="auto"/>
          <w:highlight w:val="none"/>
        </w:rPr>
        <w:fldChar w:fldCharType="separate"/>
      </w:r>
      <w:r>
        <w:rPr>
          <w:rFonts w:hint="eastAsia" w:ascii="宋体" w:hAnsi="宋体" w:cs="宋体"/>
          <w:color w:val="auto"/>
          <w:highlight w:val="none"/>
        </w:rPr>
        <w:t>第一章招标公告</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_Toc12835 \h </w:instrText>
      </w:r>
      <w:r>
        <w:rPr>
          <w:rFonts w:hint="eastAsia" w:ascii="宋体" w:hAnsi="宋体" w:cs="宋体"/>
          <w:color w:val="auto"/>
          <w:highlight w:val="none"/>
        </w:rPr>
        <w:fldChar w:fldCharType="separate"/>
      </w:r>
      <w:r>
        <w:rPr>
          <w:rFonts w:hint="eastAsia" w:ascii="宋体" w:hAnsi="宋体" w:cs="宋体"/>
          <w:color w:val="auto"/>
          <w:highlight w:val="none"/>
        </w:rPr>
        <w:t>2</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9D9B52D">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"_Toc4437" </w:instrText>
      </w:r>
      <w:r>
        <w:rPr>
          <w:color w:val="auto"/>
          <w:highlight w:val="none"/>
        </w:rPr>
        <w:fldChar w:fldCharType="separate"/>
      </w:r>
      <w:r>
        <w:rPr>
          <w:rFonts w:hint="eastAsia" w:ascii="宋体" w:hAnsi="宋体" w:cs="宋体"/>
          <w:color w:val="auto"/>
          <w:highlight w:val="none"/>
        </w:rPr>
        <w:t>第二章投标人须知</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_Toc4437 \h </w:instrText>
      </w:r>
      <w:r>
        <w:rPr>
          <w:rFonts w:hint="eastAsia" w:ascii="宋体" w:hAnsi="宋体" w:cs="宋体"/>
          <w:color w:val="auto"/>
          <w:highlight w:val="none"/>
        </w:rPr>
        <w:fldChar w:fldCharType="separate"/>
      </w:r>
      <w:r>
        <w:rPr>
          <w:rFonts w:hint="eastAsia" w:ascii="宋体" w:hAnsi="宋体" w:cs="宋体"/>
          <w:color w:val="auto"/>
          <w:highlight w:val="none"/>
        </w:rPr>
        <w:t>3</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A549367">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"_Toc27120" </w:instrText>
      </w:r>
      <w:r>
        <w:rPr>
          <w:color w:val="auto"/>
          <w:highlight w:val="none"/>
        </w:rPr>
        <w:fldChar w:fldCharType="separate"/>
      </w:r>
      <w:r>
        <w:rPr>
          <w:rFonts w:hint="eastAsia" w:ascii="宋体" w:hAnsi="宋体" w:cs="宋体"/>
          <w:color w:val="auto"/>
          <w:highlight w:val="none"/>
        </w:rPr>
        <w:t>第三章评标办法（综合评估法）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_Toc27120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6C1561C">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"_Toc29928" </w:instrText>
      </w:r>
      <w:r>
        <w:rPr>
          <w:color w:val="auto"/>
          <w:highlight w:val="none"/>
        </w:rPr>
        <w:fldChar w:fldCharType="separate"/>
      </w:r>
      <w:r>
        <w:rPr>
          <w:rFonts w:hint="eastAsia" w:ascii="宋体" w:hAnsi="宋体" w:cs="宋体"/>
          <w:color w:val="auto"/>
          <w:highlight w:val="none"/>
        </w:rPr>
        <w:t>评标办法前附表</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_Toc29928 \h </w:instrText>
      </w:r>
      <w:r>
        <w:rPr>
          <w:rFonts w:hint="eastAsia" w:ascii="宋体" w:hAnsi="宋体" w:cs="宋体"/>
          <w:color w:val="auto"/>
          <w:highlight w:val="none"/>
        </w:rPr>
        <w:fldChar w:fldCharType="separate"/>
      </w:r>
      <w:r>
        <w:rPr>
          <w:rFonts w:hint="eastAsia" w:ascii="宋体" w:hAnsi="宋体" w:cs="宋体"/>
          <w:color w:val="auto"/>
          <w:highlight w:val="none"/>
        </w:rPr>
        <w:t>29</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B5BB81E">
      <w:pPr>
        <w:pStyle w:val="16"/>
        <w:tabs>
          <w:tab w:val="right" w:leader="dot" w:pos="8640"/>
        </w:tabs>
        <w:ind w:left="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"_Toc7335" </w:instrText>
      </w:r>
      <w:r>
        <w:rPr>
          <w:color w:val="auto"/>
          <w:highlight w:val="none"/>
        </w:rPr>
        <w:fldChar w:fldCharType="separate"/>
      </w:r>
      <w:r>
        <w:rPr>
          <w:rFonts w:hint="eastAsia" w:ascii="宋体" w:hAnsi="宋体" w:cs="宋体"/>
          <w:color w:val="auto"/>
          <w:highlight w:val="none"/>
        </w:rPr>
        <w:t>1. 评标方法</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_Toc7335 \h </w:instrText>
      </w:r>
      <w:r>
        <w:rPr>
          <w:rFonts w:hint="eastAsia" w:ascii="宋体" w:hAnsi="宋体" w:cs="宋体"/>
          <w:color w:val="auto"/>
          <w:highlight w:val="none"/>
        </w:rPr>
        <w:fldChar w:fldCharType="separate"/>
      </w:r>
      <w:r>
        <w:rPr>
          <w:rFonts w:hint="eastAsia" w:ascii="宋体" w:hAnsi="宋体" w:cs="宋体"/>
          <w:color w:val="auto"/>
          <w:highlight w:val="none"/>
        </w:rPr>
        <w:t>35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61A33C3">
      <w:pPr>
        <w:pStyle w:val="16"/>
        <w:tabs>
          <w:tab w:val="right" w:leader="dot" w:pos="8640"/>
        </w:tabs>
        <w:ind w:left="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"_Toc25506" </w:instrText>
      </w:r>
      <w:r>
        <w:rPr>
          <w:color w:val="auto"/>
          <w:highlight w:val="none"/>
        </w:rPr>
        <w:fldChar w:fldCharType="separate"/>
      </w:r>
      <w:r>
        <w:rPr>
          <w:rFonts w:hint="eastAsia" w:ascii="宋体" w:hAnsi="宋体" w:cs="宋体"/>
          <w:color w:val="auto"/>
          <w:highlight w:val="none"/>
        </w:rPr>
        <w:t>2. 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_Toc25506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5209272">
      <w:pPr>
        <w:pStyle w:val="11"/>
        <w:tabs>
          <w:tab w:val="right" w:leader="dot" w:pos="8640"/>
        </w:tabs>
        <w:ind w:left="84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"_Toc19323" </w:instrText>
      </w:r>
      <w:r>
        <w:rPr>
          <w:color w:val="auto"/>
          <w:highlight w:val="none"/>
        </w:rPr>
        <w:fldChar w:fldCharType="separate"/>
      </w:r>
      <w:r>
        <w:rPr>
          <w:rFonts w:hint="eastAsia" w:ascii="宋体" w:hAnsi="宋体" w:cs="宋体"/>
          <w:color w:val="auto"/>
          <w:highlight w:val="none"/>
        </w:rPr>
        <w:t>2.1 初步评审标准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_Toc19323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1A8D1B72">
      <w:pPr>
        <w:pStyle w:val="11"/>
        <w:tabs>
          <w:tab w:val="right" w:leader="dot" w:pos="8640"/>
        </w:tabs>
        <w:ind w:left="84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"_Toc14146" </w:instrText>
      </w:r>
      <w:r>
        <w:rPr>
          <w:color w:val="auto"/>
          <w:highlight w:val="none"/>
        </w:rPr>
        <w:fldChar w:fldCharType="separate"/>
      </w:r>
      <w:r>
        <w:rPr>
          <w:rFonts w:hint="eastAsia" w:ascii="宋体" w:hAnsi="宋体" w:cs="宋体"/>
          <w:color w:val="auto"/>
          <w:highlight w:val="none"/>
        </w:rPr>
        <w:t>2.2 分值构成与评分标准</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_Toc14146 \h </w:instrText>
      </w:r>
      <w:r>
        <w:rPr>
          <w:rFonts w:hint="eastAsia" w:ascii="宋体" w:hAnsi="宋体" w:cs="宋体"/>
          <w:color w:val="auto"/>
          <w:highlight w:val="none"/>
        </w:rPr>
        <w:fldChar w:fldCharType="separate"/>
      </w:r>
      <w:r>
        <w:rPr>
          <w:rFonts w:hint="eastAsia" w:ascii="宋体" w:hAnsi="宋体" w:cs="宋体"/>
          <w:color w:val="auto"/>
          <w:highlight w:val="none"/>
        </w:rPr>
        <w:t>36</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9ACB8E3">
      <w:pPr>
        <w:pStyle w:val="16"/>
        <w:tabs>
          <w:tab w:val="right" w:leader="dot" w:pos="8640"/>
        </w:tabs>
        <w:ind w:left="42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"_Toc15596" </w:instrText>
      </w:r>
      <w:r>
        <w:rPr>
          <w:color w:val="auto"/>
          <w:highlight w:val="none"/>
        </w:rPr>
        <w:fldChar w:fldCharType="separate"/>
      </w:r>
      <w:r>
        <w:rPr>
          <w:rFonts w:hint="eastAsia" w:ascii="宋体" w:hAnsi="宋体" w:cs="宋体"/>
          <w:color w:val="auto"/>
          <w:highlight w:val="none"/>
        </w:rPr>
        <w:t>3. 评标程序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_Toc15596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2B1BCF6E">
      <w:pPr>
        <w:pStyle w:val="11"/>
        <w:tabs>
          <w:tab w:val="right" w:leader="dot" w:pos="8640"/>
        </w:tabs>
        <w:ind w:left="84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"_Toc11370" </w:instrText>
      </w:r>
      <w:r>
        <w:rPr>
          <w:color w:val="auto"/>
          <w:highlight w:val="none"/>
        </w:rPr>
        <w:fldChar w:fldCharType="separate"/>
      </w:r>
      <w:r>
        <w:rPr>
          <w:rFonts w:hint="eastAsia" w:ascii="宋体" w:hAnsi="宋体" w:cs="宋体"/>
          <w:color w:val="auto"/>
          <w:highlight w:val="none"/>
        </w:rPr>
        <w:t>3.1 初步评审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_Toc11370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7557006A">
      <w:pPr>
        <w:pStyle w:val="11"/>
        <w:tabs>
          <w:tab w:val="right" w:leader="dot" w:pos="8640"/>
        </w:tabs>
        <w:ind w:left="84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"_Toc16019" </w:instrText>
      </w:r>
      <w:r>
        <w:rPr>
          <w:color w:val="auto"/>
          <w:highlight w:val="none"/>
        </w:rPr>
        <w:fldChar w:fldCharType="separate"/>
      </w:r>
      <w:r>
        <w:rPr>
          <w:rFonts w:hint="eastAsia" w:ascii="宋体" w:hAnsi="宋体" w:cs="宋体"/>
          <w:color w:val="auto"/>
          <w:highlight w:val="none"/>
        </w:rPr>
        <w:t>3.2 详细评审</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_Toc16019 \h </w:instrText>
      </w:r>
      <w:r>
        <w:rPr>
          <w:rFonts w:hint="eastAsia" w:ascii="宋体" w:hAnsi="宋体" w:cs="宋体"/>
          <w:color w:val="auto"/>
          <w:highlight w:val="none"/>
        </w:rPr>
        <w:fldChar w:fldCharType="separate"/>
      </w:r>
      <w:r>
        <w:rPr>
          <w:rFonts w:hint="eastAsia" w:ascii="宋体" w:hAnsi="宋体" w:cs="宋体"/>
          <w:color w:val="auto"/>
          <w:highlight w:val="none"/>
        </w:rPr>
        <w:t>37</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43DB8AA3">
      <w:pPr>
        <w:pStyle w:val="11"/>
        <w:tabs>
          <w:tab w:val="right" w:leader="dot" w:pos="8640"/>
        </w:tabs>
        <w:ind w:left="84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"_Toc6364" </w:instrText>
      </w:r>
      <w:r>
        <w:rPr>
          <w:color w:val="auto"/>
          <w:highlight w:val="none"/>
        </w:rPr>
        <w:fldChar w:fldCharType="separate"/>
      </w:r>
      <w:r>
        <w:rPr>
          <w:rFonts w:hint="eastAsia" w:ascii="宋体" w:hAnsi="宋体" w:cs="宋体"/>
          <w:color w:val="auto"/>
          <w:highlight w:val="none"/>
        </w:rPr>
        <w:t>3.3 投标文件的澄清</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_Toc6364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E3169BE">
      <w:pPr>
        <w:pStyle w:val="11"/>
        <w:tabs>
          <w:tab w:val="right" w:leader="dot" w:pos="8640"/>
        </w:tabs>
        <w:ind w:left="840"/>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"_Toc15845" </w:instrText>
      </w:r>
      <w:r>
        <w:rPr>
          <w:color w:val="auto"/>
          <w:highlight w:val="none"/>
        </w:rPr>
        <w:fldChar w:fldCharType="separate"/>
      </w:r>
      <w:r>
        <w:rPr>
          <w:rFonts w:hint="eastAsia" w:ascii="宋体" w:hAnsi="宋体" w:cs="宋体"/>
          <w:color w:val="auto"/>
          <w:highlight w:val="none"/>
        </w:rPr>
        <w:t>3.4 评标结果</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_Toc15845 \h </w:instrText>
      </w:r>
      <w:r>
        <w:rPr>
          <w:rFonts w:hint="eastAsia" w:ascii="宋体" w:hAnsi="宋体" w:cs="宋体"/>
          <w:color w:val="auto"/>
          <w:highlight w:val="none"/>
        </w:rPr>
        <w:fldChar w:fldCharType="separate"/>
      </w:r>
      <w:r>
        <w:rPr>
          <w:rFonts w:hint="eastAsia" w:ascii="宋体" w:hAnsi="宋体" w:cs="宋体"/>
          <w:color w:val="auto"/>
          <w:highlight w:val="none"/>
        </w:rPr>
        <w:t>38</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5A71AC7">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"_Toc16524" </w:instrText>
      </w:r>
      <w:r>
        <w:rPr>
          <w:color w:val="auto"/>
          <w:highlight w:val="none"/>
        </w:rPr>
        <w:fldChar w:fldCharType="separate"/>
      </w:r>
      <w:r>
        <w:rPr>
          <w:rFonts w:hint="eastAsia" w:ascii="宋体" w:hAnsi="宋体" w:cs="宋体"/>
          <w:color w:val="auto"/>
          <w:highlight w:val="none"/>
        </w:rPr>
        <w:t>第四章合同条款及格式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_Toc16524 \h </w:instrText>
      </w:r>
      <w:r>
        <w:rPr>
          <w:rFonts w:hint="eastAsia" w:ascii="宋体" w:hAnsi="宋体" w:cs="宋体"/>
          <w:color w:val="auto"/>
          <w:highlight w:val="none"/>
        </w:rPr>
        <w:fldChar w:fldCharType="separate"/>
      </w:r>
      <w:r>
        <w:rPr>
          <w:rFonts w:hint="eastAsia" w:ascii="宋体" w:hAnsi="宋体" w:cs="宋体"/>
          <w:color w:val="auto"/>
          <w:highlight w:val="none"/>
        </w:rPr>
        <w:t>40</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6F94609F">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"_Toc31490" </w:instrText>
      </w:r>
      <w:r>
        <w:rPr>
          <w:color w:val="auto"/>
          <w:highlight w:val="none"/>
        </w:rPr>
        <w:fldChar w:fldCharType="separate"/>
      </w:r>
      <w:r>
        <w:rPr>
          <w:rFonts w:hint="eastAsia" w:ascii="宋体" w:hAnsi="宋体" w:cs="宋体"/>
          <w:color w:val="auto"/>
          <w:highlight w:val="none"/>
        </w:rPr>
        <w:t>第二卷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_Toc31490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B4092F3">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"_Toc32081" </w:instrText>
      </w:r>
      <w:r>
        <w:rPr>
          <w:color w:val="auto"/>
          <w:highlight w:val="none"/>
        </w:rPr>
        <w:fldChar w:fldCharType="separate"/>
      </w:r>
      <w:r>
        <w:rPr>
          <w:rFonts w:hint="eastAsia" w:ascii="宋体" w:hAnsi="宋体" w:cs="宋体"/>
          <w:color w:val="auto"/>
          <w:highlight w:val="none"/>
        </w:rPr>
        <w:t>第五章委托人要求</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_Toc32081 \h </w:instrText>
      </w:r>
      <w:r>
        <w:rPr>
          <w:rFonts w:hint="eastAsia" w:ascii="宋体" w:hAnsi="宋体" w:cs="宋体"/>
          <w:color w:val="auto"/>
          <w:highlight w:val="none"/>
        </w:rPr>
        <w:fldChar w:fldCharType="separate"/>
      </w:r>
      <w:r>
        <w:rPr>
          <w:rFonts w:hint="eastAsia" w:ascii="宋体" w:hAnsi="宋体" w:cs="宋体"/>
          <w:color w:val="auto"/>
          <w:highlight w:val="none"/>
        </w:rPr>
        <w:t>41</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D59D13B">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"_Toc13946" </w:instrText>
      </w:r>
      <w:r>
        <w:rPr>
          <w:color w:val="auto"/>
          <w:highlight w:val="none"/>
        </w:rPr>
        <w:fldChar w:fldCharType="separate"/>
      </w:r>
      <w:r>
        <w:rPr>
          <w:rFonts w:hint="eastAsia" w:ascii="宋体" w:hAnsi="宋体" w:cs="宋体"/>
          <w:color w:val="auto"/>
          <w:highlight w:val="none"/>
        </w:rPr>
        <w:t>第三卷</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_Toc13946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3FA8AD1D">
      <w:pPr>
        <w:pStyle w:val="15"/>
        <w:tabs>
          <w:tab w:val="right" w:leader="dot" w:pos="8640"/>
        </w:tabs>
        <w:rPr>
          <w:rFonts w:hint="eastAsia" w:ascii="宋体" w:hAnsi="宋体" w:cs="宋体"/>
          <w:color w:val="auto"/>
          <w:highlight w:val="none"/>
        </w:rPr>
      </w:pPr>
      <w:r>
        <w:rPr>
          <w:color w:val="auto"/>
          <w:highlight w:val="none"/>
        </w:rPr>
        <w:fldChar w:fldCharType="begin"/>
      </w:r>
      <w:r>
        <w:rPr>
          <w:color w:val="auto"/>
          <w:highlight w:val="none"/>
        </w:rPr>
        <w:instrText xml:space="preserve"> HYPERLINK \l "_Toc2864" </w:instrText>
      </w:r>
      <w:r>
        <w:rPr>
          <w:color w:val="auto"/>
          <w:highlight w:val="none"/>
        </w:rPr>
        <w:fldChar w:fldCharType="separate"/>
      </w:r>
      <w:r>
        <w:rPr>
          <w:rFonts w:hint="eastAsia" w:ascii="宋体" w:hAnsi="宋体" w:cs="宋体"/>
          <w:color w:val="auto"/>
          <w:highlight w:val="none"/>
        </w:rPr>
        <w:t>第六章 投标文件格式</w:t>
      </w:r>
      <w:r>
        <w:rPr>
          <w:rFonts w:hint="eastAsia" w:ascii="宋体" w:hAnsi="宋体" w:cs="宋体"/>
          <w:color w:val="auto"/>
          <w:highlight w:val="none"/>
        </w:rPr>
        <w:tab/>
      </w:r>
      <w:r>
        <w:rPr>
          <w:rFonts w:hint="eastAsia" w:ascii="宋体" w:hAnsi="宋体" w:cs="宋体"/>
          <w:color w:val="auto"/>
          <w:highlight w:val="none"/>
        </w:rPr>
        <w:fldChar w:fldCharType="begin"/>
      </w:r>
      <w:r>
        <w:rPr>
          <w:rFonts w:hint="eastAsia" w:ascii="宋体" w:hAnsi="宋体" w:cs="宋体"/>
          <w:color w:val="auto"/>
          <w:highlight w:val="none"/>
        </w:rPr>
        <w:instrText xml:space="preserve"> PAGEREF _Toc2864 \h </w:instrText>
      </w:r>
      <w:r>
        <w:rPr>
          <w:rFonts w:hint="eastAsia" w:ascii="宋体" w:hAnsi="宋体" w:cs="宋体"/>
          <w:color w:val="auto"/>
          <w:highlight w:val="none"/>
        </w:rPr>
        <w:fldChar w:fldCharType="separate"/>
      </w:r>
      <w:r>
        <w:rPr>
          <w:rFonts w:hint="eastAsia" w:ascii="宋体" w:hAnsi="宋体" w:cs="宋体"/>
          <w:color w:val="auto"/>
          <w:highlight w:val="none"/>
        </w:rPr>
        <w:t>45</w:t>
      </w:r>
      <w:r>
        <w:rPr>
          <w:rFonts w:hint="eastAsia" w:ascii="宋体" w:hAnsi="宋体" w:cs="宋体"/>
          <w:color w:val="auto"/>
          <w:highlight w:val="none"/>
        </w:rPr>
        <w:fldChar w:fldCharType="end"/>
      </w:r>
      <w:r>
        <w:rPr>
          <w:rFonts w:hint="eastAsia" w:ascii="宋体" w:hAnsi="宋体" w:cs="宋体"/>
          <w:color w:val="auto"/>
          <w:highlight w:val="none"/>
        </w:rPr>
        <w:fldChar w:fldCharType="end"/>
      </w:r>
    </w:p>
    <w:p w14:paraId="51CBB204">
      <w:pPr>
        <w:rPr>
          <w:rFonts w:hint="eastAsia" w:ascii="宋体" w:hAnsi="宋体" w:cs="宋体"/>
          <w:color w:val="auto"/>
          <w:highlight w:val="none"/>
        </w:rPr>
        <w:sectPr>
          <w:footerReference r:id="rId3" w:type="default"/>
          <w:pgSz w:w="12240" w:h="15840"/>
          <w:pgMar w:top="1440" w:right="1800" w:bottom="1440" w:left="1800" w:header="720" w:footer="720" w:gutter="0"/>
          <w:pgNumType w:start="1"/>
          <w:cols w:space="720" w:num="1"/>
          <w:docGrid w:linePitch="285" w:charSpace="0"/>
        </w:sectPr>
      </w:pPr>
      <w:r>
        <w:rPr>
          <w:rFonts w:hint="eastAsia" w:ascii="宋体" w:hAnsi="宋体" w:cs="宋体"/>
          <w:color w:val="auto"/>
          <w:highlight w:val="none"/>
        </w:rPr>
        <w:fldChar w:fldCharType="end"/>
      </w:r>
    </w:p>
    <w:p w14:paraId="0B0CE234">
      <w:pPr>
        <w:pStyle w:val="2"/>
        <w:keepNext w:val="0"/>
        <w:keepLines w:val="0"/>
        <w:spacing w:line="560" w:lineRule="exact"/>
        <w:jc w:val="center"/>
        <w:rPr>
          <w:rFonts w:hint="eastAsia" w:ascii="宋体" w:hAnsi="宋体" w:cs="宋体"/>
          <w:color w:val="auto"/>
          <w:highlight w:val="none"/>
        </w:rPr>
      </w:pPr>
      <w:bookmarkStart w:id="4" w:name="_Toc511557024"/>
      <w:bookmarkStart w:id="5" w:name="_Toc4819"/>
      <w:r>
        <w:rPr>
          <w:rFonts w:hint="eastAsia" w:ascii="宋体" w:hAnsi="宋体" w:cs="宋体"/>
          <w:color w:val="auto"/>
          <w:highlight w:val="none"/>
        </w:rPr>
        <w:t>第</w:t>
      </w:r>
      <w:bookmarkEnd w:id="1"/>
      <w:bookmarkEnd w:id="2"/>
      <w:bookmarkEnd w:id="3"/>
      <w:bookmarkEnd w:id="4"/>
      <w:r>
        <w:rPr>
          <w:rFonts w:hint="eastAsia" w:ascii="宋体" w:hAnsi="宋体" w:cs="宋体"/>
          <w:color w:val="auto"/>
          <w:highlight w:val="none"/>
        </w:rPr>
        <w:t>一卷</w:t>
      </w:r>
      <w:bookmarkEnd w:id="5"/>
    </w:p>
    <w:p w14:paraId="64010F34">
      <w:pPr>
        <w:pStyle w:val="2"/>
        <w:keepNext w:val="0"/>
        <w:keepLines w:val="0"/>
        <w:spacing w:line="560" w:lineRule="exact"/>
        <w:jc w:val="center"/>
        <w:rPr>
          <w:rFonts w:hint="eastAsia" w:ascii="宋体" w:hAnsi="宋体" w:cs="宋体"/>
          <w:color w:val="auto"/>
          <w:highlight w:val="none"/>
        </w:rPr>
      </w:pPr>
      <w:bookmarkStart w:id="6" w:name="_Toc12835"/>
      <w:r>
        <w:rPr>
          <w:rFonts w:hint="eastAsia" w:ascii="宋体" w:hAnsi="宋体" w:cs="宋体"/>
          <w:color w:val="auto"/>
          <w:highlight w:val="none"/>
        </w:rPr>
        <w:t>第一章招标公告</w:t>
      </w:r>
      <w:bookmarkEnd w:id="6"/>
    </w:p>
    <w:p w14:paraId="08E7809F">
      <w:pPr>
        <w:adjustRightInd w:val="0"/>
        <w:snapToGrid w:val="0"/>
        <w:spacing w:line="360" w:lineRule="auto"/>
        <w:jc w:val="center"/>
        <w:rPr>
          <w:rFonts w:hint="eastAsia" w:ascii="宋体" w:hAnsi="宋体" w:cs="宋体"/>
          <w:color w:val="auto"/>
          <w:highlight w:val="none"/>
        </w:rPr>
      </w:pPr>
      <w:r>
        <w:rPr>
          <w:rFonts w:hint="eastAsia" w:ascii="宋体" w:hAnsi="宋体" w:cs="宋体"/>
          <w:b/>
          <w:color w:val="auto"/>
          <w:sz w:val="36"/>
          <w:szCs w:val="36"/>
          <w:highlight w:val="none"/>
        </w:rPr>
        <w:t>（另册）</w:t>
      </w:r>
    </w:p>
    <w:p w14:paraId="77B4617C">
      <w:pPr>
        <w:rPr>
          <w:rFonts w:hint="eastAsia" w:ascii="宋体" w:hAnsi="宋体" w:cs="宋体"/>
          <w:color w:val="auto"/>
          <w:highlight w:val="none"/>
        </w:rPr>
      </w:pPr>
    </w:p>
    <w:p w14:paraId="76D51B34">
      <w:pPr>
        <w:adjustRightInd w:val="0"/>
        <w:snapToGrid w:val="0"/>
        <w:spacing w:line="360" w:lineRule="auto"/>
        <w:ind w:firstLine="420" w:firstLineChars="200"/>
        <w:jc w:val="right"/>
        <w:rPr>
          <w:rFonts w:hint="eastAsia" w:ascii="宋体" w:hAnsi="宋体" w:cs="宋体"/>
          <w:color w:val="auto"/>
          <w:highlight w:val="none"/>
        </w:rPr>
      </w:pPr>
      <w:r>
        <w:rPr>
          <w:rFonts w:hint="eastAsia" w:ascii="宋体" w:hAnsi="宋体" w:cs="宋体"/>
          <w:color w:val="auto"/>
          <w:highlight w:val="none"/>
        </w:rPr>
        <w:br w:type="page"/>
      </w:r>
    </w:p>
    <w:p w14:paraId="5BAA4F0E">
      <w:pPr>
        <w:pStyle w:val="2"/>
        <w:keepNext w:val="0"/>
        <w:keepLines w:val="0"/>
        <w:spacing w:before="100" w:after="100" w:line="360" w:lineRule="auto"/>
        <w:jc w:val="center"/>
        <w:rPr>
          <w:rFonts w:hint="eastAsia" w:ascii="宋体" w:hAnsi="宋体" w:cs="宋体"/>
          <w:color w:val="auto"/>
          <w:highlight w:val="none"/>
        </w:rPr>
      </w:pPr>
      <w:bookmarkStart w:id="7" w:name="_Toc4437"/>
      <w:r>
        <w:rPr>
          <w:rFonts w:hint="eastAsia" w:ascii="宋体" w:hAnsi="宋体" w:cs="宋体"/>
          <w:color w:val="auto"/>
          <w:highlight w:val="none"/>
        </w:rPr>
        <w:t>第二章投标人须知</w:t>
      </w:r>
      <w:bookmarkEnd w:id="7"/>
    </w:p>
    <w:p w14:paraId="697660F1">
      <w:pPr>
        <w:pStyle w:val="3"/>
        <w:keepNext w:val="0"/>
        <w:keepLines w:val="0"/>
        <w:spacing w:before="20" w:after="0" w:line="360" w:lineRule="auto"/>
        <w:jc w:val="center"/>
        <w:rPr>
          <w:rFonts w:hint="eastAsia" w:ascii="宋体" w:hAnsi="宋体" w:eastAsia="宋体" w:cs="宋体"/>
          <w:color w:val="auto"/>
          <w:highlight w:val="none"/>
        </w:rPr>
      </w:pPr>
      <w:bookmarkStart w:id="8" w:name="_Toc17485"/>
      <w:bookmarkStart w:id="9" w:name="_Toc2856"/>
      <w:r>
        <w:rPr>
          <w:rFonts w:hint="eastAsia" w:ascii="宋体" w:hAnsi="宋体" w:eastAsia="宋体" w:cs="宋体"/>
          <w:color w:val="auto"/>
          <w:highlight w:val="none"/>
        </w:rPr>
        <w:t>投标人须知前附表</w:t>
      </w:r>
      <w:bookmarkEnd w:id="8"/>
      <w:bookmarkEnd w:id="9"/>
    </w:p>
    <w:tbl>
      <w:tblPr>
        <w:tblStyle w:val="19"/>
        <w:tblW w:w="9691"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178"/>
        <w:gridCol w:w="1650"/>
        <w:gridCol w:w="6863"/>
      </w:tblGrid>
      <w:tr w14:paraId="2E3A33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blHeader/>
        </w:trPr>
        <w:tc>
          <w:tcPr>
            <w:tcW w:w="1178" w:type="dxa"/>
            <w:vAlign w:val="center"/>
          </w:tcPr>
          <w:p w14:paraId="1C98645F">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650" w:type="dxa"/>
            <w:vAlign w:val="center"/>
          </w:tcPr>
          <w:p w14:paraId="1D82371C">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条款名称</w:t>
            </w:r>
          </w:p>
        </w:tc>
        <w:tc>
          <w:tcPr>
            <w:tcW w:w="6863" w:type="dxa"/>
            <w:vAlign w:val="center"/>
          </w:tcPr>
          <w:p w14:paraId="62B699EB">
            <w:pPr>
              <w:snapToGrid w:val="0"/>
              <w:spacing w:line="360" w:lineRule="auto"/>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67F7EF3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0705EBA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1.1.2</w:t>
            </w:r>
          </w:p>
        </w:tc>
        <w:tc>
          <w:tcPr>
            <w:tcW w:w="1650" w:type="dxa"/>
            <w:vAlign w:val="center"/>
          </w:tcPr>
          <w:p w14:paraId="28A9B58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招标人</w:t>
            </w:r>
          </w:p>
        </w:tc>
        <w:tc>
          <w:tcPr>
            <w:tcW w:w="6863" w:type="dxa"/>
            <w:vAlign w:val="center"/>
          </w:tcPr>
          <w:p w14:paraId="684AA3C6">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名称：</w:t>
            </w:r>
            <w:r>
              <w:rPr>
                <w:rFonts w:hint="eastAsia" w:ascii="宋体" w:hAnsi="宋体" w:eastAsia="宋体" w:cs="宋体"/>
                <w:color w:val="auto"/>
                <w:sz w:val="21"/>
                <w:szCs w:val="21"/>
                <w:highlight w:val="none"/>
                <w:u w:val="single"/>
                <w:lang w:eastAsia="zh-CN"/>
              </w:rPr>
              <w:t>广州市番禺区人民政府大石街道办事处</w:t>
            </w:r>
          </w:p>
          <w:p w14:paraId="485777EB">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地址：</w:t>
            </w:r>
            <w:r>
              <w:rPr>
                <w:rFonts w:hint="eastAsia" w:ascii="宋体" w:hAnsi="宋体" w:eastAsia="宋体" w:cs="宋体"/>
                <w:color w:val="auto"/>
                <w:sz w:val="21"/>
                <w:szCs w:val="21"/>
                <w:highlight w:val="none"/>
                <w:u w:val="single"/>
                <w:lang w:eastAsia="zh-CN"/>
              </w:rPr>
              <w:t>广州市番禺区大石街朝阳西路51号</w:t>
            </w:r>
          </w:p>
          <w:p w14:paraId="0D39D4C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联系人：</w:t>
            </w:r>
            <w:r>
              <w:rPr>
                <w:rFonts w:hint="eastAsia" w:ascii="宋体" w:hAnsi="宋体" w:cs="宋体"/>
                <w:color w:val="auto"/>
                <w:szCs w:val="21"/>
                <w:highlight w:val="none"/>
                <w:u w:val="single"/>
                <w:lang w:val="en-US" w:eastAsia="zh-CN"/>
              </w:rPr>
              <w:t>谭</w:t>
            </w:r>
            <w:r>
              <w:rPr>
                <w:rFonts w:hint="eastAsia" w:ascii="宋体" w:hAnsi="宋体" w:cs="宋体"/>
                <w:color w:val="auto"/>
                <w:szCs w:val="21"/>
                <w:highlight w:val="none"/>
                <w:u w:val="single"/>
              </w:rPr>
              <w:t>工</w:t>
            </w:r>
          </w:p>
          <w:p w14:paraId="77EF9EB7">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电话：</w:t>
            </w:r>
            <w:r>
              <w:rPr>
                <w:rFonts w:hint="eastAsia" w:ascii="宋体" w:hAnsi="宋体" w:eastAsia="宋体" w:cs="宋体"/>
                <w:color w:val="auto"/>
                <w:sz w:val="21"/>
                <w:szCs w:val="21"/>
                <w:highlight w:val="none"/>
                <w:u w:val="single"/>
                <w:lang w:val="en-US" w:eastAsia="zh-CN"/>
              </w:rPr>
              <w:t>020-</w:t>
            </w:r>
            <w:r>
              <w:rPr>
                <w:rFonts w:hint="eastAsia" w:ascii="宋体" w:hAnsi="宋体" w:eastAsia="宋体" w:cs="宋体"/>
                <w:color w:val="auto"/>
                <w:sz w:val="21"/>
                <w:szCs w:val="21"/>
                <w:highlight w:val="none"/>
                <w:u w:val="single"/>
                <w:lang w:eastAsia="zh-CN"/>
              </w:rPr>
              <w:t>84783728</w:t>
            </w:r>
          </w:p>
        </w:tc>
      </w:tr>
      <w:tr w14:paraId="4E9DAF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31" w:hRule="atLeast"/>
        </w:trPr>
        <w:tc>
          <w:tcPr>
            <w:tcW w:w="1178" w:type="dxa"/>
            <w:vAlign w:val="center"/>
          </w:tcPr>
          <w:p w14:paraId="30DEF2B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1.1.3</w:t>
            </w:r>
          </w:p>
        </w:tc>
        <w:tc>
          <w:tcPr>
            <w:tcW w:w="1650" w:type="dxa"/>
            <w:vAlign w:val="center"/>
          </w:tcPr>
          <w:p w14:paraId="7B59686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招标代理机构</w:t>
            </w:r>
          </w:p>
        </w:tc>
        <w:tc>
          <w:tcPr>
            <w:tcW w:w="6863" w:type="dxa"/>
            <w:vAlign w:val="center"/>
          </w:tcPr>
          <w:p w14:paraId="6628BB7D">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名称：</w:t>
            </w:r>
            <w:r>
              <w:rPr>
                <w:rFonts w:hint="eastAsia" w:ascii="宋体" w:hAnsi="宋体" w:eastAsia="宋体" w:cs="宋体"/>
                <w:color w:val="auto"/>
                <w:sz w:val="21"/>
                <w:szCs w:val="21"/>
                <w:highlight w:val="none"/>
                <w:u w:val="single"/>
                <w:lang w:eastAsia="zh-CN"/>
              </w:rPr>
              <w:t>广东省广大工程顾问有限公司</w:t>
            </w:r>
          </w:p>
          <w:p w14:paraId="769961E4">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地址：</w:t>
            </w:r>
            <w:r>
              <w:rPr>
                <w:rFonts w:hint="eastAsia" w:ascii="宋体" w:hAnsi="宋体" w:eastAsia="宋体" w:cs="宋体"/>
                <w:color w:val="auto"/>
                <w:sz w:val="21"/>
                <w:szCs w:val="21"/>
                <w:highlight w:val="none"/>
                <w:u w:val="single"/>
                <w:lang w:eastAsia="zh-CN"/>
              </w:rPr>
              <w:t>广州市番禺区东环街文坡路8号8楼</w:t>
            </w:r>
          </w:p>
          <w:p w14:paraId="73EC0321">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联系人：</w:t>
            </w:r>
            <w:r>
              <w:rPr>
                <w:rFonts w:hint="eastAsia" w:ascii="宋体" w:hAnsi="宋体" w:eastAsia="宋体" w:cs="宋体"/>
                <w:color w:val="auto"/>
                <w:sz w:val="21"/>
                <w:szCs w:val="21"/>
                <w:highlight w:val="none"/>
                <w:u w:val="single"/>
                <w:lang w:val="en-US" w:eastAsia="zh-CN"/>
              </w:rPr>
              <w:t>冼</w:t>
            </w:r>
            <w:r>
              <w:rPr>
                <w:rFonts w:hint="eastAsia" w:ascii="宋体" w:hAnsi="宋体" w:eastAsia="宋体" w:cs="宋体"/>
                <w:color w:val="auto"/>
                <w:sz w:val="21"/>
                <w:szCs w:val="21"/>
                <w:highlight w:val="none"/>
                <w:u w:val="single"/>
              </w:rPr>
              <w:t>工</w:t>
            </w:r>
          </w:p>
          <w:p w14:paraId="085B93AE">
            <w:pPr>
              <w:snapToGrid w:val="0"/>
              <w:spacing w:line="360" w:lineRule="auto"/>
              <w:jc w:val="left"/>
              <w:rPr>
                <w:rFonts w:hint="eastAsia" w:ascii="宋体" w:hAnsi="宋体" w:cs="宋体"/>
                <w:color w:val="auto"/>
                <w:szCs w:val="21"/>
                <w:highlight w:val="none"/>
                <w:u w:val="single"/>
              </w:rPr>
            </w:pPr>
            <w:r>
              <w:rPr>
                <w:rFonts w:hint="eastAsia" w:ascii="宋体" w:hAnsi="宋体" w:cs="宋体"/>
                <w:color w:val="auto"/>
                <w:szCs w:val="21"/>
                <w:highlight w:val="none"/>
                <w:u w:val="single"/>
              </w:rPr>
              <w:t>电话：</w:t>
            </w:r>
            <w:r>
              <w:rPr>
                <w:rFonts w:hint="eastAsia" w:ascii="宋体" w:hAnsi="宋体" w:eastAsia="宋体" w:cs="宋体"/>
                <w:color w:val="auto"/>
                <w:sz w:val="21"/>
                <w:szCs w:val="21"/>
                <w:highlight w:val="none"/>
                <w:u w:val="single"/>
                <w:lang w:eastAsia="zh-CN"/>
              </w:rPr>
              <w:t>13924033628</w:t>
            </w:r>
          </w:p>
        </w:tc>
      </w:tr>
      <w:tr w14:paraId="31C519F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207BF55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1.1.4</w:t>
            </w:r>
          </w:p>
        </w:tc>
        <w:tc>
          <w:tcPr>
            <w:tcW w:w="1650" w:type="dxa"/>
            <w:vAlign w:val="center"/>
          </w:tcPr>
          <w:p w14:paraId="39E0271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招标项目名称</w:t>
            </w:r>
          </w:p>
        </w:tc>
        <w:tc>
          <w:tcPr>
            <w:tcW w:w="6863" w:type="dxa"/>
            <w:vAlign w:val="center"/>
          </w:tcPr>
          <w:p w14:paraId="099EBDE0">
            <w:pPr>
              <w:spacing w:line="360" w:lineRule="auto"/>
              <w:jc w:val="left"/>
              <w:rPr>
                <w:rFonts w:hint="eastAsia" w:ascii="宋体" w:hAnsi="宋体" w:cs="宋体"/>
                <w:color w:val="auto"/>
                <w:szCs w:val="21"/>
                <w:highlight w:val="none"/>
              </w:rPr>
            </w:pPr>
            <w:r>
              <w:rPr>
                <w:rFonts w:hint="eastAsia" w:ascii="宋体" w:hAnsi="宋体" w:eastAsia="宋体" w:cs="宋体"/>
                <w:b w:val="0"/>
                <w:bCs w:val="0"/>
                <w:color w:val="auto"/>
                <w:sz w:val="21"/>
                <w:szCs w:val="21"/>
                <w:highlight w:val="none"/>
                <w:u w:val="single"/>
                <w:lang w:eastAsia="zh-CN"/>
              </w:rPr>
              <w:t>番禺区经济技术开发区万博西片区大石宾至路等4条道路改建项目施工阶段全过程造价咨询</w:t>
            </w:r>
            <w:r>
              <w:rPr>
                <w:rFonts w:hint="eastAsia" w:ascii="宋体" w:hAnsi="宋体" w:eastAsia="宋体" w:cs="宋体"/>
                <w:color w:val="auto"/>
                <w:sz w:val="21"/>
                <w:szCs w:val="21"/>
                <w:highlight w:val="none"/>
                <w:u w:val="single"/>
              </w:rPr>
              <w:t>服务</w:t>
            </w:r>
          </w:p>
        </w:tc>
      </w:tr>
      <w:tr w14:paraId="771D93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181571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1.1.5</w:t>
            </w:r>
          </w:p>
        </w:tc>
        <w:tc>
          <w:tcPr>
            <w:tcW w:w="1650" w:type="dxa"/>
            <w:vAlign w:val="center"/>
          </w:tcPr>
          <w:p w14:paraId="5A1FF1E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项目建设地点</w:t>
            </w:r>
          </w:p>
        </w:tc>
        <w:tc>
          <w:tcPr>
            <w:tcW w:w="6863" w:type="dxa"/>
            <w:vAlign w:val="center"/>
          </w:tcPr>
          <w:p w14:paraId="5C6C2719">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74BB6AB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096E435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1.1.6</w:t>
            </w:r>
          </w:p>
        </w:tc>
        <w:tc>
          <w:tcPr>
            <w:tcW w:w="1650" w:type="dxa"/>
            <w:vAlign w:val="center"/>
          </w:tcPr>
          <w:p w14:paraId="46847FD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项目建设规模</w:t>
            </w:r>
          </w:p>
        </w:tc>
        <w:tc>
          <w:tcPr>
            <w:tcW w:w="6863" w:type="dxa"/>
          </w:tcPr>
          <w:p w14:paraId="1D84CD49">
            <w:pPr>
              <w:snapToGrid w:val="0"/>
              <w:spacing w:line="360" w:lineRule="auto"/>
              <w:ind w:right="106"/>
              <w:jc w:val="left"/>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32ED7CC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4EF887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1.1.7</w:t>
            </w:r>
          </w:p>
        </w:tc>
        <w:tc>
          <w:tcPr>
            <w:tcW w:w="1650" w:type="dxa"/>
            <w:vAlign w:val="center"/>
          </w:tcPr>
          <w:p w14:paraId="3900509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工程项目施工预计开工日期和建设周期</w:t>
            </w:r>
          </w:p>
        </w:tc>
        <w:tc>
          <w:tcPr>
            <w:tcW w:w="6863" w:type="dxa"/>
            <w:vAlign w:val="center"/>
          </w:tcPr>
          <w:p w14:paraId="65451241">
            <w:pPr>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年  月</w:t>
            </w:r>
            <w:r>
              <w:rPr>
                <w:rFonts w:hint="eastAsia" w:ascii="宋体" w:hAnsi="宋体" w:cs="宋体"/>
                <w:color w:val="auto"/>
                <w:szCs w:val="21"/>
                <w:highlight w:val="none"/>
              </w:rPr>
              <w:t>计划开工</w:t>
            </w:r>
          </w:p>
        </w:tc>
      </w:tr>
      <w:tr w14:paraId="1638AA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173B6D97">
            <w:pPr>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1.1.8</w:t>
            </w:r>
          </w:p>
        </w:tc>
        <w:tc>
          <w:tcPr>
            <w:tcW w:w="1650" w:type="dxa"/>
            <w:vAlign w:val="center"/>
          </w:tcPr>
          <w:p w14:paraId="1CAC4BF8">
            <w:pPr>
              <w:snapToGrid w:val="0"/>
              <w:spacing w:line="360" w:lineRule="auto"/>
              <w:jc w:val="left"/>
              <w:rPr>
                <w:rFonts w:hint="eastAsia" w:ascii="宋体" w:hAnsi="宋体" w:cs="宋体"/>
                <w:color w:val="auto"/>
                <w:kern w:val="0"/>
                <w:sz w:val="18"/>
                <w:szCs w:val="18"/>
                <w:highlight w:val="none"/>
              </w:rPr>
            </w:pPr>
            <w:r>
              <w:rPr>
                <w:rFonts w:hint="eastAsia" w:ascii="宋体" w:hAnsi="宋体" w:cs="宋体"/>
                <w:color w:val="auto"/>
                <w:kern w:val="0"/>
                <w:sz w:val="18"/>
                <w:szCs w:val="18"/>
                <w:highlight w:val="none"/>
              </w:rPr>
              <w:t>建筑安装工程费/工程</w:t>
            </w:r>
            <w:r>
              <w:rPr>
                <w:rFonts w:hint="eastAsia" w:ascii="宋体" w:hAnsi="宋体" w:cs="宋体"/>
                <w:color w:val="auto"/>
                <w:kern w:val="0"/>
                <w:sz w:val="18"/>
                <w:szCs w:val="18"/>
                <w:highlight w:val="none"/>
                <w:lang w:eastAsia="zh-CN"/>
              </w:rPr>
              <w:t>总投资</w:t>
            </w:r>
          </w:p>
        </w:tc>
        <w:tc>
          <w:tcPr>
            <w:tcW w:w="6863" w:type="dxa"/>
            <w:vAlign w:val="center"/>
          </w:tcPr>
          <w:p w14:paraId="247EE08B">
            <w:pPr>
              <w:snapToGrid w:val="0"/>
              <w:spacing w:line="360" w:lineRule="auto"/>
              <w:jc w:val="left"/>
              <w:rPr>
                <w:rFonts w:hint="eastAsia" w:ascii="宋体" w:hAnsi="宋体" w:cs="宋体"/>
                <w:color w:val="auto"/>
                <w:kern w:val="0"/>
                <w:sz w:val="18"/>
                <w:szCs w:val="18"/>
                <w:highlight w:val="none"/>
                <w:u w:val="single"/>
              </w:rPr>
            </w:pPr>
            <w:r>
              <w:rPr>
                <w:rFonts w:hint="eastAsia" w:ascii="宋体" w:hAnsi="宋体" w:cs="宋体"/>
                <w:color w:val="auto"/>
                <w:sz w:val="21"/>
                <w:szCs w:val="21"/>
                <w:highlight w:val="none"/>
                <w:u w:val="single"/>
              </w:rPr>
              <w:t>详见本工程招标公告。</w:t>
            </w:r>
          </w:p>
        </w:tc>
      </w:tr>
      <w:tr w14:paraId="046A96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13" w:hRule="atLeast"/>
        </w:trPr>
        <w:tc>
          <w:tcPr>
            <w:tcW w:w="1178" w:type="dxa"/>
            <w:vAlign w:val="center"/>
          </w:tcPr>
          <w:p w14:paraId="17C2D71F">
            <w:pPr>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1.2.1</w:t>
            </w:r>
          </w:p>
        </w:tc>
        <w:tc>
          <w:tcPr>
            <w:tcW w:w="1650" w:type="dxa"/>
            <w:vAlign w:val="center"/>
          </w:tcPr>
          <w:p w14:paraId="79ECA280">
            <w:pPr>
              <w:snapToGrid w:val="0"/>
              <w:spacing w:line="360" w:lineRule="auto"/>
              <w:jc w:val="center"/>
              <w:rPr>
                <w:rFonts w:hint="eastAsia" w:ascii="宋体" w:hAnsi="宋体" w:cs="宋体"/>
                <w:color w:val="auto"/>
                <w:sz w:val="18"/>
                <w:szCs w:val="18"/>
                <w:highlight w:val="none"/>
              </w:rPr>
            </w:pPr>
            <w:r>
              <w:rPr>
                <w:rFonts w:hint="eastAsia" w:ascii="宋体" w:hAnsi="宋体" w:cs="宋体"/>
                <w:color w:val="auto"/>
                <w:sz w:val="18"/>
                <w:szCs w:val="18"/>
                <w:highlight w:val="none"/>
              </w:rPr>
              <w:t>资金来源及比例</w:t>
            </w:r>
          </w:p>
        </w:tc>
        <w:tc>
          <w:tcPr>
            <w:tcW w:w="6863" w:type="dxa"/>
            <w:vAlign w:val="center"/>
          </w:tcPr>
          <w:p w14:paraId="2B9B3944">
            <w:pPr>
              <w:snapToGrid w:val="0"/>
              <w:spacing w:line="360" w:lineRule="auto"/>
              <w:jc w:val="left"/>
              <w:rPr>
                <w:rFonts w:hint="eastAsia" w:ascii="宋体" w:hAnsi="宋体" w:cs="宋体"/>
                <w:color w:val="auto"/>
                <w:sz w:val="18"/>
                <w:szCs w:val="18"/>
                <w:highlight w:val="none"/>
                <w:u w:val="single"/>
              </w:rPr>
            </w:pPr>
            <w:r>
              <w:rPr>
                <w:rFonts w:hint="eastAsia" w:ascii="宋体" w:hAnsi="宋体" w:cs="宋体"/>
                <w:color w:val="auto"/>
                <w:sz w:val="21"/>
                <w:szCs w:val="21"/>
                <w:highlight w:val="none"/>
                <w:u w:val="single"/>
              </w:rPr>
              <w:t>详见本工程招标公告。</w:t>
            </w:r>
          </w:p>
        </w:tc>
      </w:tr>
      <w:tr w14:paraId="0F4E8A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DC64F3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1.2.2</w:t>
            </w:r>
          </w:p>
        </w:tc>
        <w:tc>
          <w:tcPr>
            <w:tcW w:w="1650" w:type="dxa"/>
            <w:vAlign w:val="center"/>
          </w:tcPr>
          <w:p w14:paraId="4588744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资金落实情况</w:t>
            </w:r>
          </w:p>
        </w:tc>
        <w:tc>
          <w:tcPr>
            <w:tcW w:w="6863" w:type="dxa"/>
            <w:vAlign w:val="center"/>
          </w:tcPr>
          <w:p w14:paraId="38B8C3AA">
            <w:p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已落实</w:t>
            </w:r>
          </w:p>
        </w:tc>
      </w:tr>
      <w:tr w14:paraId="76809D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4" w:hRule="atLeast"/>
        </w:trPr>
        <w:tc>
          <w:tcPr>
            <w:tcW w:w="1178" w:type="dxa"/>
            <w:vAlign w:val="center"/>
          </w:tcPr>
          <w:p w14:paraId="2C129A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1.3.1</w:t>
            </w:r>
          </w:p>
        </w:tc>
        <w:tc>
          <w:tcPr>
            <w:tcW w:w="1650" w:type="dxa"/>
            <w:vAlign w:val="center"/>
          </w:tcPr>
          <w:p w14:paraId="58FBB4D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招标范围</w:t>
            </w:r>
          </w:p>
        </w:tc>
        <w:tc>
          <w:tcPr>
            <w:tcW w:w="6863" w:type="dxa"/>
          </w:tcPr>
          <w:p w14:paraId="09801984">
            <w:pPr>
              <w:snapToGrid w:val="0"/>
              <w:spacing w:line="360" w:lineRule="auto"/>
              <w:ind w:right="106"/>
              <w:jc w:val="left"/>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10FE92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28" w:hRule="atLeast"/>
        </w:trPr>
        <w:tc>
          <w:tcPr>
            <w:tcW w:w="1178" w:type="dxa"/>
            <w:vAlign w:val="center"/>
          </w:tcPr>
          <w:p w14:paraId="241FFCE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1.3.2</w:t>
            </w:r>
          </w:p>
        </w:tc>
        <w:tc>
          <w:tcPr>
            <w:tcW w:w="1650" w:type="dxa"/>
            <w:vAlign w:val="center"/>
          </w:tcPr>
          <w:p w14:paraId="451EFAA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6863" w:type="dxa"/>
          </w:tcPr>
          <w:p w14:paraId="3DEB9B3E">
            <w:pPr>
              <w:snapToGrid w:val="0"/>
              <w:spacing w:line="360" w:lineRule="auto"/>
              <w:ind w:right="106"/>
              <w:jc w:val="left"/>
              <w:rPr>
                <w:rFonts w:hint="eastAsia" w:ascii="宋体" w:hAnsi="宋体" w:cs="宋体"/>
                <w:color w:val="auto"/>
                <w:szCs w:val="21"/>
                <w:highlight w:val="none"/>
              </w:rPr>
            </w:pPr>
            <w:r>
              <w:rPr>
                <w:rFonts w:hint="eastAsia" w:ascii="宋体" w:hAnsi="宋体" w:cs="宋体"/>
                <w:color w:val="auto"/>
                <w:szCs w:val="21"/>
                <w:highlight w:val="none"/>
              </w:rPr>
              <w:t>详见本工程招标公告。</w:t>
            </w:r>
          </w:p>
        </w:tc>
      </w:tr>
      <w:tr w14:paraId="660571D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2" w:hRule="atLeast"/>
        </w:trPr>
        <w:tc>
          <w:tcPr>
            <w:tcW w:w="1178" w:type="dxa"/>
            <w:vAlign w:val="center"/>
          </w:tcPr>
          <w:p w14:paraId="7EFA931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1.3.3</w:t>
            </w:r>
          </w:p>
        </w:tc>
        <w:tc>
          <w:tcPr>
            <w:tcW w:w="1650" w:type="dxa"/>
            <w:vAlign w:val="center"/>
          </w:tcPr>
          <w:p w14:paraId="12F2DD1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6863" w:type="dxa"/>
            <w:vAlign w:val="center"/>
          </w:tcPr>
          <w:p w14:paraId="583AA0E0">
            <w:pPr>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w:t>
            </w:r>
          </w:p>
        </w:tc>
      </w:tr>
      <w:tr w14:paraId="313FD43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BD2CD1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1.4.1</w:t>
            </w:r>
          </w:p>
        </w:tc>
        <w:tc>
          <w:tcPr>
            <w:tcW w:w="1650" w:type="dxa"/>
            <w:vAlign w:val="center"/>
          </w:tcPr>
          <w:p w14:paraId="075FCF8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投标人资质条件、能力、信誉</w:t>
            </w:r>
          </w:p>
        </w:tc>
        <w:tc>
          <w:tcPr>
            <w:tcW w:w="6863" w:type="dxa"/>
            <w:vAlign w:val="center"/>
          </w:tcPr>
          <w:p w14:paraId="0A88DC62">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详见招标公告第3点要求</w:t>
            </w:r>
          </w:p>
        </w:tc>
      </w:tr>
      <w:tr w14:paraId="026CB02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4E3F0E6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1.4.2</w:t>
            </w:r>
          </w:p>
        </w:tc>
        <w:tc>
          <w:tcPr>
            <w:tcW w:w="1650" w:type="dxa"/>
            <w:vAlign w:val="center"/>
          </w:tcPr>
          <w:p w14:paraId="6739C8E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是否接受联合体投标</w:t>
            </w:r>
          </w:p>
        </w:tc>
        <w:tc>
          <w:tcPr>
            <w:tcW w:w="6863" w:type="dxa"/>
            <w:vAlign w:val="center"/>
          </w:tcPr>
          <w:p w14:paraId="0FBD09D0">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■不接受 </w:t>
            </w:r>
          </w:p>
          <w:p w14:paraId="242C164A">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□接受，应满足下列要求：</w:t>
            </w:r>
            <w:r>
              <w:rPr>
                <w:rFonts w:hint="eastAsia" w:ascii="宋体" w:hAnsi="宋体" w:cs="宋体"/>
                <w:color w:val="auto"/>
                <w:szCs w:val="21"/>
                <w:highlight w:val="none"/>
                <w:u w:val="single"/>
              </w:rPr>
              <w:t xml:space="preserve"> /。</w:t>
            </w:r>
          </w:p>
        </w:tc>
      </w:tr>
      <w:tr w14:paraId="777121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167FB84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1.4.3</w:t>
            </w:r>
          </w:p>
        </w:tc>
        <w:tc>
          <w:tcPr>
            <w:tcW w:w="1650" w:type="dxa"/>
            <w:vAlign w:val="center"/>
          </w:tcPr>
          <w:p w14:paraId="24335EB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投标人不得存在的其他情形</w:t>
            </w:r>
          </w:p>
        </w:tc>
        <w:tc>
          <w:tcPr>
            <w:tcW w:w="6863" w:type="dxa"/>
            <w:vAlign w:val="center"/>
          </w:tcPr>
          <w:p w14:paraId="4D2B40F8">
            <w:pPr>
              <w:topLinePunct/>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tc>
      </w:tr>
      <w:tr w14:paraId="02556B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F2DE27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1.9.1</w:t>
            </w:r>
          </w:p>
        </w:tc>
        <w:tc>
          <w:tcPr>
            <w:tcW w:w="1650" w:type="dxa"/>
            <w:vAlign w:val="center"/>
          </w:tcPr>
          <w:p w14:paraId="1D4573E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踏勘现场</w:t>
            </w:r>
          </w:p>
        </w:tc>
        <w:tc>
          <w:tcPr>
            <w:tcW w:w="6863" w:type="dxa"/>
            <w:vAlign w:val="center"/>
          </w:tcPr>
          <w:p w14:paraId="62532ED8">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■不组织</w:t>
            </w:r>
          </w:p>
          <w:p w14:paraId="273FBA24">
            <w:pPr>
              <w:pStyle w:val="8"/>
              <w:topLinePunct/>
              <w:snapToGrid w:val="0"/>
              <w:spacing w:line="360" w:lineRule="auto"/>
              <w:rPr>
                <w:rFonts w:hint="eastAsia"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组织，踏勘时间：</w:t>
            </w:r>
            <w:r>
              <w:rPr>
                <w:rFonts w:hint="eastAsia" w:hAnsi="宋体" w:cs="宋体"/>
                <w:color w:val="auto"/>
                <w:sz w:val="21"/>
                <w:szCs w:val="21"/>
                <w:highlight w:val="none"/>
                <w:u w:val="single"/>
              </w:rPr>
              <w:t xml:space="preserve"> / </w:t>
            </w:r>
          </w:p>
          <w:p w14:paraId="1586638D">
            <w:pPr>
              <w:pStyle w:val="8"/>
              <w:topLinePunct/>
              <w:snapToGrid w:val="0"/>
              <w:spacing w:line="360" w:lineRule="auto"/>
              <w:ind w:firstLine="840" w:firstLineChars="400"/>
              <w:rPr>
                <w:rFonts w:hint="eastAsia" w:hAnsi="宋体" w:cs="宋体"/>
                <w:color w:val="auto"/>
                <w:sz w:val="21"/>
                <w:szCs w:val="21"/>
                <w:highlight w:val="none"/>
              </w:rPr>
            </w:pPr>
            <w:r>
              <w:rPr>
                <w:rFonts w:hint="eastAsia" w:hAnsi="宋体" w:cs="宋体"/>
                <w:color w:val="auto"/>
                <w:sz w:val="21"/>
                <w:szCs w:val="21"/>
                <w:highlight w:val="none"/>
              </w:rPr>
              <w:t>踏勘集中地点：</w:t>
            </w:r>
            <w:r>
              <w:rPr>
                <w:rFonts w:hint="eastAsia" w:hAnsi="宋体" w:cs="宋体"/>
                <w:color w:val="auto"/>
                <w:sz w:val="21"/>
                <w:szCs w:val="21"/>
                <w:highlight w:val="none"/>
                <w:u w:val="single"/>
              </w:rPr>
              <w:t xml:space="preserve"> / </w:t>
            </w:r>
          </w:p>
        </w:tc>
      </w:tr>
      <w:tr w14:paraId="6F8BB46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4035E51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1.10.1</w:t>
            </w:r>
          </w:p>
        </w:tc>
        <w:tc>
          <w:tcPr>
            <w:tcW w:w="1650" w:type="dxa"/>
            <w:vAlign w:val="center"/>
          </w:tcPr>
          <w:p w14:paraId="4B3E26E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投标预备会</w:t>
            </w:r>
          </w:p>
        </w:tc>
        <w:tc>
          <w:tcPr>
            <w:tcW w:w="6863" w:type="dxa"/>
            <w:vAlign w:val="center"/>
          </w:tcPr>
          <w:p w14:paraId="4995EF98">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■不召开</w:t>
            </w:r>
          </w:p>
          <w:p w14:paraId="2513EA14">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□召开，召开时间：</w:t>
            </w:r>
            <w:r>
              <w:rPr>
                <w:rFonts w:hint="eastAsia" w:ascii="宋体" w:hAnsi="宋体" w:cs="宋体"/>
                <w:color w:val="auto"/>
                <w:szCs w:val="21"/>
                <w:highlight w:val="none"/>
                <w:u w:val="single"/>
              </w:rPr>
              <w:t xml:space="preserve"> / </w:t>
            </w:r>
          </w:p>
          <w:p w14:paraId="5D8F58B1">
            <w:pPr>
              <w:snapToGrid w:val="0"/>
              <w:spacing w:line="360" w:lineRule="auto"/>
              <w:ind w:firstLine="840" w:firstLineChars="400"/>
              <w:rPr>
                <w:rFonts w:hint="eastAsia" w:ascii="宋体" w:hAnsi="宋体" w:cs="宋体"/>
                <w:color w:val="auto"/>
                <w:szCs w:val="21"/>
                <w:highlight w:val="none"/>
              </w:rPr>
            </w:pPr>
            <w:r>
              <w:rPr>
                <w:rFonts w:hint="eastAsia" w:ascii="宋体" w:hAnsi="宋体" w:cs="宋体"/>
                <w:color w:val="auto"/>
                <w:szCs w:val="21"/>
                <w:highlight w:val="none"/>
              </w:rPr>
              <w:t>召开地点：</w:t>
            </w:r>
            <w:r>
              <w:rPr>
                <w:rFonts w:hint="eastAsia" w:ascii="宋体" w:hAnsi="宋体" w:cs="宋体"/>
                <w:color w:val="auto"/>
                <w:szCs w:val="21"/>
                <w:highlight w:val="none"/>
                <w:u w:val="single"/>
              </w:rPr>
              <w:t xml:space="preserve"> / </w:t>
            </w:r>
          </w:p>
        </w:tc>
      </w:tr>
      <w:tr w14:paraId="17DDCA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Merge w:val="restart"/>
            <w:vAlign w:val="center"/>
          </w:tcPr>
          <w:p w14:paraId="38F36C0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1.10.2</w:t>
            </w:r>
          </w:p>
        </w:tc>
        <w:tc>
          <w:tcPr>
            <w:tcW w:w="1650" w:type="dxa"/>
            <w:vMerge w:val="restart"/>
            <w:vAlign w:val="center"/>
          </w:tcPr>
          <w:p w14:paraId="73EB31D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投标人在投标预备会前提出问题</w:t>
            </w:r>
          </w:p>
        </w:tc>
        <w:tc>
          <w:tcPr>
            <w:tcW w:w="6863" w:type="dxa"/>
            <w:vAlign w:val="center"/>
          </w:tcPr>
          <w:p w14:paraId="578E892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时间：</w:t>
            </w:r>
            <w:r>
              <w:rPr>
                <w:rFonts w:hint="eastAsia" w:ascii="宋体" w:hAnsi="宋体" w:cs="宋体"/>
                <w:color w:val="auto"/>
                <w:szCs w:val="21"/>
                <w:highlight w:val="none"/>
                <w:u w:val="single"/>
              </w:rPr>
              <w:t xml:space="preserve"> / </w:t>
            </w:r>
          </w:p>
        </w:tc>
      </w:tr>
      <w:tr w14:paraId="2531DC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Merge w:val="continue"/>
            <w:vAlign w:val="center"/>
          </w:tcPr>
          <w:p w14:paraId="3FF527C5">
            <w:pPr>
              <w:snapToGrid w:val="0"/>
              <w:spacing w:line="360" w:lineRule="auto"/>
              <w:jc w:val="center"/>
              <w:rPr>
                <w:rFonts w:hint="eastAsia" w:ascii="宋体" w:hAnsi="宋体" w:cs="宋体"/>
                <w:color w:val="auto"/>
                <w:szCs w:val="21"/>
                <w:highlight w:val="none"/>
              </w:rPr>
            </w:pPr>
          </w:p>
        </w:tc>
        <w:tc>
          <w:tcPr>
            <w:tcW w:w="1650" w:type="dxa"/>
            <w:vMerge w:val="continue"/>
            <w:vAlign w:val="center"/>
          </w:tcPr>
          <w:p w14:paraId="1D44C6E1">
            <w:pPr>
              <w:snapToGrid w:val="0"/>
              <w:spacing w:line="360" w:lineRule="auto"/>
              <w:jc w:val="center"/>
              <w:rPr>
                <w:rFonts w:hint="eastAsia" w:ascii="宋体" w:hAnsi="宋体" w:cs="宋体"/>
                <w:color w:val="auto"/>
                <w:szCs w:val="21"/>
                <w:highlight w:val="none"/>
              </w:rPr>
            </w:pPr>
          </w:p>
        </w:tc>
        <w:tc>
          <w:tcPr>
            <w:tcW w:w="6863" w:type="dxa"/>
            <w:vAlign w:val="center"/>
          </w:tcPr>
          <w:p w14:paraId="204B1F5D">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形式：</w:t>
            </w:r>
            <w:r>
              <w:rPr>
                <w:rFonts w:hint="eastAsia" w:ascii="宋体" w:hAnsi="宋体" w:cs="宋体"/>
                <w:color w:val="auto"/>
                <w:szCs w:val="21"/>
                <w:highlight w:val="none"/>
                <w:u w:val="single"/>
              </w:rPr>
              <w:t xml:space="preserve"> / </w:t>
            </w:r>
          </w:p>
        </w:tc>
      </w:tr>
      <w:tr w14:paraId="2C14FA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50AA717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1.10.3</w:t>
            </w:r>
          </w:p>
        </w:tc>
        <w:tc>
          <w:tcPr>
            <w:tcW w:w="1650" w:type="dxa"/>
            <w:vAlign w:val="center"/>
          </w:tcPr>
          <w:p w14:paraId="5733F23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863" w:type="dxa"/>
            <w:vAlign w:val="center"/>
          </w:tcPr>
          <w:p w14:paraId="3864B027">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在广州交易集团有限公司（广州公共资源交易中心）网站“招标答疑”专区发布。</w:t>
            </w:r>
          </w:p>
        </w:tc>
      </w:tr>
      <w:tr w14:paraId="03BA285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4349EA9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1.12.1</w:t>
            </w:r>
          </w:p>
        </w:tc>
        <w:tc>
          <w:tcPr>
            <w:tcW w:w="1650" w:type="dxa"/>
            <w:vAlign w:val="center"/>
          </w:tcPr>
          <w:p w14:paraId="3BF06D2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实质性要求和条件</w:t>
            </w:r>
          </w:p>
        </w:tc>
        <w:tc>
          <w:tcPr>
            <w:tcW w:w="6863" w:type="dxa"/>
            <w:vAlign w:val="center"/>
          </w:tcPr>
          <w:p w14:paraId="747CB86C">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u w:val="single"/>
              </w:rPr>
              <w:t>详见评标办法前附表中2.1.1、2.1.2、2.1.3的评审标准。</w:t>
            </w:r>
          </w:p>
        </w:tc>
      </w:tr>
      <w:tr w14:paraId="70F34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7FC2D6F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1.12.3</w:t>
            </w:r>
          </w:p>
        </w:tc>
        <w:tc>
          <w:tcPr>
            <w:tcW w:w="1650" w:type="dxa"/>
            <w:vAlign w:val="center"/>
          </w:tcPr>
          <w:p w14:paraId="7D3F26F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偏差</w:t>
            </w:r>
          </w:p>
        </w:tc>
        <w:tc>
          <w:tcPr>
            <w:tcW w:w="6863" w:type="dxa"/>
          </w:tcPr>
          <w:p w14:paraId="4130D02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■不允许</w:t>
            </w:r>
          </w:p>
          <w:p w14:paraId="795B876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□允许，偏差范围：</w:t>
            </w:r>
            <w:r>
              <w:rPr>
                <w:rFonts w:hint="eastAsia" w:ascii="宋体" w:hAnsi="宋体" w:cs="宋体"/>
                <w:color w:val="auto"/>
                <w:szCs w:val="21"/>
                <w:highlight w:val="none"/>
                <w:u w:val="single"/>
              </w:rPr>
              <w:t xml:space="preserve"> / </w:t>
            </w:r>
          </w:p>
          <w:p w14:paraId="0540243D">
            <w:pPr>
              <w:pStyle w:val="8"/>
              <w:topLinePunct/>
              <w:snapToGrid w:val="0"/>
              <w:spacing w:line="360" w:lineRule="auto"/>
              <w:ind w:firstLine="840" w:firstLineChars="400"/>
              <w:rPr>
                <w:rFonts w:hint="eastAsia" w:hAnsi="宋体" w:cs="宋体"/>
                <w:color w:val="auto"/>
                <w:sz w:val="21"/>
                <w:szCs w:val="21"/>
                <w:highlight w:val="none"/>
              </w:rPr>
            </w:pPr>
            <w:r>
              <w:rPr>
                <w:rFonts w:hint="eastAsia" w:hAnsi="宋体" w:cs="宋体"/>
                <w:color w:val="auto"/>
                <w:sz w:val="21"/>
                <w:szCs w:val="21"/>
                <w:highlight w:val="none"/>
              </w:rPr>
              <w:t>偏差幅度：</w:t>
            </w:r>
            <w:r>
              <w:rPr>
                <w:rFonts w:hint="eastAsia" w:hAnsi="宋体" w:cs="宋体"/>
                <w:color w:val="auto"/>
                <w:sz w:val="21"/>
                <w:szCs w:val="21"/>
                <w:highlight w:val="none"/>
                <w:u w:val="single"/>
              </w:rPr>
              <w:t xml:space="preserve"> / </w:t>
            </w:r>
          </w:p>
        </w:tc>
      </w:tr>
      <w:tr w14:paraId="46EFB2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00A01B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2.1</w:t>
            </w:r>
          </w:p>
        </w:tc>
        <w:tc>
          <w:tcPr>
            <w:tcW w:w="1650" w:type="dxa"/>
            <w:vAlign w:val="center"/>
          </w:tcPr>
          <w:p w14:paraId="7B6F27B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构成招标文件的其他资料</w:t>
            </w:r>
          </w:p>
        </w:tc>
        <w:tc>
          <w:tcPr>
            <w:tcW w:w="6863" w:type="dxa"/>
            <w:vAlign w:val="center"/>
          </w:tcPr>
          <w:p w14:paraId="6F5EA3D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56CDD77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4" w:hRule="atLeast"/>
        </w:trPr>
        <w:tc>
          <w:tcPr>
            <w:tcW w:w="1178" w:type="dxa"/>
            <w:vMerge w:val="restart"/>
            <w:vAlign w:val="center"/>
          </w:tcPr>
          <w:p w14:paraId="2B0FD34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650" w:type="dxa"/>
            <w:vMerge w:val="restart"/>
            <w:vAlign w:val="center"/>
          </w:tcPr>
          <w:p w14:paraId="27F8E9B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投标人要求澄清招标文件</w:t>
            </w:r>
          </w:p>
        </w:tc>
        <w:tc>
          <w:tcPr>
            <w:tcW w:w="6863" w:type="dxa"/>
            <w:tcBorders>
              <w:bottom w:val="single" w:color="auto" w:sz="4" w:space="0"/>
            </w:tcBorders>
            <w:vAlign w:val="center"/>
          </w:tcPr>
          <w:p w14:paraId="3F71FAA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时间：以广州交易集团有限公司（广州公共资源交易中心）网站公布的时间为准</w:t>
            </w:r>
          </w:p>
        </w:tc>
      </w:tr>
      <w:tr w14:paraId="2BE6C1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47" w:hRule="atLeast"/>
        </w:trPr>
        <w:tc>
          <w:tcPr>
            <w:tcW w:w="1178" w:type="dxa"/>
            <w:vMerge w:val="continue"/>
            <w:vAlign w:val="center"/>
          </w:tcPr>
          <w:p w14:paraId="1BE825C8">
            <w:pPr>
              <w:snapToGrid w:val="0"/>
              <w:spacing w:line="360" w:lineRule="auto"/>
              <w:jc w:val="center"/>
              <w:rPr>
                <w:rFonts w:hint="eastAsia" w:ascii="宋体" w:hAnsi="宋体" w:cs="宋体"/>
                <w:color w:val="auto"/>
                <w:szCs w:val="21"/>
                <w:highlight w:val="none"/>
              </w:rPr>
            </w:pPr>
          </w:p>
        </w:tc>
        <w:tc>
          <w:tcPr>
            <w:tcW w:w="1650" w:type="dxa"/>
            <w:vMerge w:val="continue"/>
            <w:vAlign w:val="center"/>
          </w:tcPr>
          <w:p w14:paraId="54FC1E4F">
            <w:pPr>
              <w:snapToGrid w:val="0"/>
              <w:spacing w:line="360" w:lineRule="auto"/>
              <w:jc w:val="center"/>
              <w:rPr>
                <w:rFonts w:hint="eastAsia" w:ascii="宋体" w:hAnsi="宋体" w:cs="宋体"/>
                <w:color w:val="auto"/>
                <w:szCs w:val="21"/>
                <w:highlight w:val="none"/>
              </w:rPr>
            </w:pPr>
          </w:p>
        </w:tc>
        <w:tc>
          <w:tcPr>
            <w:tcW w:w="6863" w:type="dxa"/>
            <w:tcBorders>
              <w:top w:val="single" w:color="auto" w:sz="4" w:space="0"/>
            </w:tcBorders>
            <w:vAlign w:val="center"/>
          </w:tcPr>
          <w:p w14:paraId="2CEDFBD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形式：投标人的疑问通过广州交易集团有限公司（广州公共资源交易中心）交易平台提交。具体要求：操作详见广州交易集团有限公司（广州公共资源交易中心）网站发布的《房屋建筑和市政基础设施工程全流程电子化项目专章》。提问一律不得署名。</w:t>
            </w:r>
          </w:p>
        </w:tc>
      </w:tr>
      <w:tr w14:paraId="19C460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179B6B7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650" w:type="dxa"/>
            <w:vAlign w:val="center"/>
          </w:tcPr>
          <w:p w14:paraId="496819A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招标文件澄清发出的形式</w:t>
            </w:r>
          </w:p>
        </w:tc>
        <w:tc>
          <w:tcPr>
            <w:tcW w:w="6863" w:type="dxa"/>
            <w:vAlign w:val="center"/>
          </w:tcPr>
          <w:p w14:paraId="0BAC3395">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在递交投标文件截止时间15天前；在广州交易集团有限公司（广州公共资源交易中心）网站通过项目答疑专区公开发布。</w:t>
            </w:r>
          </w:p>
        </w:tc>
      </w:tr>
      <w:tr w14:paraId="7D4D79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86" w:hRule="atLeast"/>
        </w:trPr>
        <w:tc>
          <w:tcPr>
            <w:tcW w:w="1178" w:type="dxa"/>
            <w:vAlign w:val="center"/>
          </w:tcPr>
          <w:p w14:paraId="0752277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650" w:type="dxa"/>
            <w:vAlign w:val="center"/>
          </w:tcPr>
          <w:p w14:paraId="2A4199B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投标人确认收到招标文件澄清</w:t>
            </w:r>
          </w:p>
        </w:tc>
        <w:tc>
          <w:tcPr>
            <w:tcW w:w="6863" w:type="dxa"/>
            <w:vAlign w:val="center"/>
          </w:tcPr>
          <w:p w14:paraId="1A4E7DC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从招标文件澄清及答疑文件发布之日起即视为投标人已确认收到。招标文件澄清（招标答疑纪要）一经在广州交易集团有限公司（广州公共资源交易中心）网站发布，视作已发放给所有投标人。</w:t>
            </w:r>
          </w:p>
        </w:tc>
      </w:tr>
      <w:tr w14:paraId="609011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4A452A7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2.3.1</w:t>
            </w:r>
          </w:p>
        </w:tc>
        <w:tc>
          <w:tcPr>
            <w:tcW w:w="1650" w:type="dxa"/>
            <w:vAlign w:val="center"/>
          </w:tcPr>
          <w:p w14:paraId="673F0FB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招标文件修改发出的形式</w:t>
            </w:r>
          </w:p>
        </w:tc>
        <w:tc>
          <w:tcPr>
            <w:tcW w:w="6863" w:type="dxa"/>
            <w:vAlign w:val="center"/>
          </w:tcPr>
          <w:p w14:paraId="19E24917">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以补充公告或项目答疑澄清的方式在广州交易集团有限公司（广州公共资源交易中心）网站公开发布。</w:t>
            </w:r>
          </w:p>
        </w:tc>
      </w:tr>
      <w:tr w14:paraId="106D2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7E60FA7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2.3.2</w:t>
            </w:r>
          </w:p>
        </w:tc>
        <w:tc>
          <w:tcPr>
            <w:tcW w:w="1650" w:type="dxa"/>
            <w:vAlign w:val="center"/>
          </w:tcPr>
          <w:p w14:paraId="1FFEFF6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投标人确认收到招标文件修改</w:t>
            </w:r>
          </w:p>
        </w:tc>
        <w:tc>
          <w:tcPr>
            <w:tcW w:w="6863" w:type="dxa"/>
            <w:vAlign w:val="center"/>
          </w:tcPr>
          <w:p w14:paraId="16D7417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招标文件修改一经在广州交易集团有限公司（广州公共资源交易中心）网站发布，视作已发放给所有投标人，无需确认。潜在投标人应自行关注招标公告公布的网站公告，投标人因自身贻误行为导致投标失败的，责任自负。</w:t>
            </w:r>
          </w:p>
        </w:tc>
      </w:tr>
      <w:tr w14:paraId="6EAD473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7DA58D3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3.1.1</w:t>
            </w:r>
          </w:p>
        </w:tc>
        <w:tc>
          <w:tcPr>
            <w:tcW w:w="1650" w:type="dxa"/>
            <w:vAlign w:val="center"/>
          </w:tcPr>
          <w:p w14:paraId="21A4992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构成投标文件的其他资料</w:t>
            </w:r>
          </w:p>
        </w:tc>
        <w:tc>
          <w:tcPr>
            <w:tcW w:w="6863" w:type="dxa"/>
            <w:vAlign w:val="center"/>
          </w:tcPr>
          <w:p w14:paraId="0DDAA1D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655515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039473A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3.2.1</w:t>
            </w:r>
          </w:p>
        </w:tc>
        <w:tc>
          <w:tcPr>
            <w:tcW w:w="1650" w:type="dxa"/>
            <w:vAlign w:val="center"/>
          </w:tcPr>
          <w:p w14:paraId="6D07A86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增值税税金的计算方法</w:t>
            </w:r>
          </w:p>
        </w:tc>
        <w:tc>
          <w:tcPr>
            <w:tcW w:w="6863" w:type="dxa"/>
            <w:vAlign w:val="center"/>
          </w:tcPr>
          <w:p w14:paraId="1AA8D5F3">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7BA099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178" w:type="dxa"/>
            <w:vAlign w:val="center"/>
          </w:tcPr>
          <w:p w14:paraId="5043A4D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1650" w:type="dxa"/>
            <w:vAlign w:val="center"/>
          </w:tcPr>
          <w:p w14:paraId="42F4AC3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报价方式</w:t>
            </w:r>
          </w:p>
        </w:tc>
        <w:tc>
          <w:tcPr>
            <w:tcW w:w="6863" w:type="dxa"/>
            <w:vAlign w:val="center"/>
          </w:tcPr>
          <w:p w14:paraId="7FECBF95">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zh-CN"/>
              </w:rPr>
              <w:t>投标人结合招标文件规定自行报价</w:t>
            </w:r>
            <w:r>
              <w:rPr>
                <w:rFonts w:hint="eastAsia" w:ascii="宋体" w:hAnsi="宋体" w:cs="宋体"/>
                <w:color w:val="auto"/>
                <w:szCs w:val="21"/>
                <w:highlight w:val="none"/>
              </w:rPr>
              <w:t>，</w:t>
            </w:r>
            <w:r>
              <w:rPr>
                <w:rFonts w:hint="eastAsia" w:ascii="宋体" w:hAnsi="宋体" w:cs="宋体"/>
                <w:color w:val="auto"/>
                <w:szCs w:val="21"/>
                <w:highlight w:val="none"/>
                <w:lang w:val="zh-CN"/>
              </w:rPr>
              <w:t>以“元”为单位（小数点后保留二位有效数字，第三位小数四舍五入）。</w:t>
            </w:r>
            <w:r>
              <w:rPr>
                <w:rFonts w:hint="eastAsia" w:ascii="宋体" w:hAnsi="宋体" w:cs="宋体"/>
                <w:color w:val="auto"/>
                <w:szCs w:val="21"/>
                <w:highlight w:val="none"/>
              </w:rPr>
              <w:t>投标报价</w:t>
            </w:r>
            <w:r>
              <w:rPr>
                <w:rFonts w:hint="eastAsia" w:ascii="宋体" w:hAnsi="宋体" w:cs="宋体"/>
                <w:color w:val="auto"/>
                <w:szCs w:val="21"/>
                <w:highlight w:val="none"/>
                <w:lang w:val="zh-CN"/>
              </w:rPr>
              <w:t>不得超过最高投标限价，否则将否决其投标。</w:t>
            </w:r>
          </w:p>
        </w:tc>
      </w:tr>
      <w:tr w14:paraId="13F04B8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59AC400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3.2.4</w:t>
            </w:r>
          </w:p>
        </w:tc>
        <w:tc>
          <w:tcPr>
            <w:tcW w:w="1650" w:type="dxa"/>
            <w:vAlign w:val="center"/>
          </w:tcPr>
          <w:p w14:paraId="1A487CA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最高投标限价</w:t>
            </w:r>
          </w:p>
        </w:tc>
        <w:tc>
          <w:tcPr>
            <w:tcW w:w="6863" w:type="dxa"/>
            <w:vAlign w:val="center"/>
          </w:tcPr>
          <w:p w14:paraId="65988740">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□无</w:t>
            </w:r>
          </w:p>
          <w:p w14:paraId="4C5B7847">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■有，最高投标限价：</w:t>
            </w:r>
            <w:r>
              <w:rPr>
                <w:rFonts w:hint="eastAsia" w:ascii="宋体" w:hAnsi="宋体" w:cs="宋体"/>
                <w:color w:val="auto"/>
                <w:sz w:val="21"/>
                <w:szCs w:val="21"/>
                <w:highlight w:val="none"/>
                <w:u w:val="single"/>
                <w:lang w:val="en-US" w:eastAsia="zh-CN"/>
              </w:rPr>
              <w:t>1257000.00</w:t>
            </w:r>
            <w:r>
              <w:rPr>
                <w:rFonts w:hint="eastAsia" w:ascii="宋体" w:hAnsi="宋体" w:cs="宋体"/>
                <w:color w:val="auto"/>
                <w:sz w:val="21"/>
                <w:szCs w:val="21"/>
                <w:highlight w:val="none"/>
                <w:u w:val="single"/>
              </w:rPr>
              <w:t>元</w:t>
            </w:r>
            <w:r>
              <w:rPr>
                <w:rFonts w:hint="eastAsia" w:ascii="宋体" w:hAnsi="宋体" w:cs="宋体"/>
                <w:color w:val="auto"/>
                <w:sz w:val="21"/>
                <w:szCs w:val="21"/>
                <w:highlight w:val="none"/>
              </w:rPr>
              <w:t>。</w:t>
            </w:r>
          </w:p>
        </w:tc>
      </w:tr>
      <w:tr w14:paraId="4CF6A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512347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3.2.5</w:t>
            </w:r>
          </w:p>
        </w:tc>
        <w:tc>
          <w:tcPr>
            <w:tcW w:w="1650" w:type="dxa"/>
            <w:vAlign w:val="center"/>
          </w:tcPr>
          <w:p w14:paraId="1755E1A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投标报价的其他要求</w:t>
            </w:r>
          </w:p>
        </w:tc>
        <w:tc>
          <w:tcPr>
            <w:tcW w:w="6863" w:type="dxa"/>
            <w:vAlign w:val="center"/>
          </w:tcPr>
          <w:p w14:paraId="1A863D2B">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p>
        </w:tc>
      </w:tr>
      <w:tr w14:paraId="369A2C6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7FF51D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3.3.1</w:t>
            </w:r>
          </w:p>
        </w:tc>
        <w:tc>
          <w:tcPr>
            <w:tcW w:w="1650" w:type="dxa"/>
            <w:vAlign w:val="center"/>
          </w:tcPr>
          <w:p w14:paraId="6C9429B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6863" w:type="dxa"/>
            <w:vAlign w:val="center"/>
          </w:tcPr>
          <w:p w14:paraId="3255E027">
            <w:pPr>
              <w:snapToGrid w:val="0"/>
              <w:spacing w:line="360" w:lineRule="auto"/>
              <w:rPr>
                <w:rFonts w:hint="eastAsia" w:ascii="宋体" w:hAnsi="宋体" w:cs="宋体"/>
                <w:color w:val="auto"/>
                <w:szCs w:val="21"/>
                <w:highlight w:val="none"/>
              </w:rPr>
            </w:pPr>
            <w:bookmarkStart w:id="10" w:name="_Toc384308207"/>
            <w:bookmarkStart w:id="11" w:name="_Toc352691470"/>
            <w:bookmarkStart w:id="12" w:name="_Toc369531512"/>
            <w:bookmarkStart w:id="13" w:name="_Toc361508582"/>
            <w:bookmarkStart w:id="14" w:name="_Toc1789"/>
            <w:bookmarkStart w:id="15" w:name="_Toc300834946"/>
            <w:r>
              <w:rPr>
                <w:rFonts w:hint="eastAsia" w:ascii="宋体" w:hAnsi="宋体" w:cs="宋体"/>
                <w:color w:val="auto"/>
                <w:szCs w:val="21"/>
                <w:highlight w:val="none"/>
                <w:u w:val="single"/>
              </w:rPr>
              <w:t>90</w:t>
            </w:r>
            <w:r>
              <w:rPr>
                <w:rFonts w:hint="eastAsia" w:ascii="宋体" w:hAnsi="宋体" w:cs="宋体"/>
                <w:color w:val="auto"/>
                <w:szCs w:val="21"/>
                <w:highlight w:val="none"/>
              </w:rPr>
              <w:t>日历天（从投标截止之日算起）。</w:t>
            </w:r>
          </w:p>
        </w:tc>
      </w:tr>
      <w:bookmarkEnd w:id="10"/>
      <w:bookmarkEnd w:id="11"/>
      <w:bookmarkEnd w:id="12"/>
      <w:bookmarkEnd w:id="13"/>
      <w:bookmarkEnd w:id="14"/>
      <w:bookmarkEnd w:id="15"/>
      <w:tr w14:paraId="02876D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5388AB5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3.4.1</w:t>
            </w:r>
          </w:p>
        </w:tc>
        <w:tc>
          <w:tcPr>
            <w:tcW w:w="1650" w:type="dxa"/>
            <w:vAlign w:val="center"/>
          </w:tcPr>
          <w:p w14:paraId="049292C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6863" w:type="dxa"/>
            <w:vAlign w:val="center"/>
          </w:tcPr>
          <w:p w14:paraId="3E4C0DB6">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1、提供《关于投标保证金的承诺》（格式见第六章 投标文件格式）。</w:t>
            </w:r>
          </w:p>
          <w:p w14:paraId="2BBF8381">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2、对于投标人已提供《关于投标保证金的承诺》，若投标人存在3.4.3条款所列情形，投标人应按照招标人的要求在发现存在3.4.3条款所列情形之日起5个工作日内补交人民币</w:t>
            </w:r>
            <w:r>
              <w:rPr>
                <w:rFonts w:hint="eastAsia" w:hAnsi="宋体" w:cs="宋体"/>
                <w:color w:val="auto"/>
                <w:sz w:val="21"/>
                <w:szCs w:val="21"/>
                <w:highlight w:val="none"/>
                <w:u w:val="single"/>
                <w:lang w:val="en-US" w:eastAsia="zh-CN"/>
              </w:rPr>
              <w:t>5</w:t>
            </w:r>
            <w:r>
              <w:rPr>
                <w:rFonts w:hint="eastAsia" w:hAnsi="宋体" w:cs="宋体"/>
                <w:color w:val="auto"/>
                <w:sz w:val="21"/>
                <w:szCs w:val="21"/>
                <w:highlight w:val="none"/>
              </w:rPr>
              <w:t>万元投标保证金；若未按要求补交投标保证金的，将暂停其参与招标人后续工程投标，直至完成补交手续为止。</w:t>
            </w:r>
          </w:p>
        </w:tc>
      </w:tr>
      <w:tr w14:paraId="7EF79F7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6A75EB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3.4.4</w:t>
            </w:r>
          </w:p>
        </w:tc>
        <w:tc>
          <w:tcPr>
            <w:tcW w:w="1650" w:type="dxa"/>
            <w:vAlign w:val="center"/>
          </w:tcPr>
          <w:p w14:paraId="112F3DC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其他可以不予退还投标保证金的情形</w:t>
            </w:r>
          </w:p>
        </w:tc>
        <w:tc>
          <w:tcPr>
            <w:tcW w:w="6863" w:type="dxa"/>
            <w:vAlign w:val="center"/>
          </w:tcPr>
          <w:p w14:paraId="4D533A56">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（4）存在串通投标、围标情况的；</w:t>
            </w:r>
          </w:p>
          <w:p w14:paraId="008834B7">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（5）投标人以他人名义投标或者允许他人挂靠投标或借用本公司名义投标的；</w:t>
            </w:r>
          </w:p>
          <w:p w14:paraId="7F4319A9">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（6）提供虚假投标文件、虚假证明、虚假承诺/声明/保证或者以其他方式弄虚作假的；</w:t>
            </w:r>
          </w:p>
          <w:p w14:paraId="29A924E8">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（7）法律或者本招标文件规定的其他情形。</w:t>
            </w:r>
          </w:p>
        </w:tc>
      </w:tr>
      <w:tr w14:paraId="09F938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F82459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w:t>
            </w:r>
          </w:p>
        </w:tc>
        <w:tc>
          <w:tcPr>
            <w:tcW w:w="1650" w:type="dxa"/>
            <w:vAlign w:val="center"/>
          </w:tcPr>
          <w:p w14:paraId="2C9CD7E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资格审查资料的特殊要求</w:t>
            </w:r>
          </w:p>
        </w:tc>
        <w:tc>
          <w:tcPr>
            <w:tcW w:w="6863" w:type="dxa"/>
            <w:vAlign w:val="center"/>
          </w:tcPr>
          <w:p w14:paraId="588AA447">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■无</w:t>
            </w:r>
          </w:p>
          <w:p w14:paraId="11EDC079">
            <w:pPr>
              <w:pStyle w:val="8"/>
              <w:topLinePunct/>
              <w:snapToGrid w:val="0"/>
              <w:spacing w:line="360" w:lineRule="auto"/>
              <w:rPr>
                <w:rFonts w:hint="eastAsia"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有，具体要求：</w:t>
            </w:r>
          </w:p>
        </w:tc>
      </w:tr>
      <w:tr w14:paraId="7E189C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27DD839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3.5.2</w:t>
            </w:r>
          </w:p>
        </w:tc>
        <w:tc>
          <w:tcPr>
            <w:tcW w:w="1650" w:type="dxa"/>
            <w:vAlign w:val="center"/>
          </w:tcPr>
          <w:p w14:paraId="3C4AA04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近年财务状况的年份要求</w:t>
            </w:r>
          </w:p>
        </w:tc>
        <w:tc>
          <w:tcPr>
            <w:tcW w:w="6863" w:type="dxa"/>
            <w:vAlign w:val="center"/>
          </w:tcPr>
          <w:p w14:paraId="78C2F0FF">
            <w:pPr>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年至</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p>
        </w:tc>
      </w:tr>
      <w:tr w14:paraId="114F28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CFFB918">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3.5.3</w:t>
            </w:r>
          </w:p>
        </w:tc>
        <w:tc>
          <w:tcPr>
            <w:tcW w:w="1650" w:type="dxa"/>
            <w:vAlign w:val="center"/>
          </w:tcPr>
          <w:p w14:paraId="2028E0B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近年完成的类似项目情况的时间要求</w:t>
            </w:r>
          </w:p>
        </w:tc>
        <w:tc>
          <w:tcPr>
            <w:tcW w:w="6863" w:type="dxa"/>
            <w:vAlign w:val="center"/>
          </w:tcPr>
          <w:p w14:paraId="262CDA87">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rPr>
              <w:t>年</w:t>
            </w:r>
            <w:r>
              <w:rPr>
                <w:rFonts w:hint="eastAsia" w:ascii="宋体" w:hAnsi="宋体" w:cs="宋体"/>
                <w:color w:val="auto"/>
                <w:szCs w:val="21"/>
                <w:highlight w:val="none"/>
                <w:u w:val="single"/>
              </w:rPr>
              <w:t>/</w:t>
            </w:r>
            <w:r>
              <w:rPr>
                <w:rFonts w:hint="eastAsia" w:ascii="宋体" w:hAnsi="宋体" w:cs="宋体"/>
                <w:color w:val="auto"/>
                <w:szCs w:val="21"/>
                <w:highlight w:val="none"/>
              </w:rPr>
              <w:t>月</w:t>
            </w:r>
            <w:r>
              <w:rPr>
                <w:rFonts w:hint="eastAsia" w:ascii="宋体" w:hAnsi="宋体" w:cs="宋体"/>
                <w:color w:val="auto"/>
                <w:szCs w:val="21"/>
                <w:highlight w:val="none"/>
                <w:u w:val="single"/>
              </w:rPr>
              <w:t>/</w:t>
            </w:r>
            <w:r>
              <w:rPr>
                <w:rFonts w:hint="eastAsia" w:ascii="宋体" w:hAnsi="宋体" w:cs="宋体"/>
                <w:color w:val="auto"/>
                <w:szCs w:val="21"/>
                <w:highlight w:val="none"/>
              </w:rPr>
              <w:t>日</w:t>
            </w:r>
          </w:p>
        </w:tc>
      </w:tr>
      <w:tr w14:paraId="2B723B7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59BB016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3.5.5</w:t>
            </w:r>
          </w:p>
        </w:tc>
        <w:tc>
          <w:tcPr>
            <w:tcW w:w="1650" w:type="dxa"/>
            <w:vAlign w:val="center"/>
          </w:tcPr>
          <w:p w14:paraId="53FF374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近年发生的诉讼及仲裁情况的时间要求</w:t>
            </w:r>
          </w:p>
        </w:tc>
        <w:tc>
          <w:tcPr>
            <w:tcW w:w="6863" w:type="dxa"/>
            <w:vAlign w:val="center"/>
          </w:tcPr>
          <w:p w14:paraId="0EF01FEE">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日至</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日</w:t>
            </w:r>
          </w:p>
        </w:tc>
      </w:tr>
      <w:tr w14:paraId="04B4F1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7142415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3.6.1</w:t>
            </w:r>
          </w:p>
        </w:tc>
        <w:tc>
          <w:tcPr>
            <w:tcW w:w="1650" w:type="dxa"/>
            <w:vAlign w:val="center"/>
          </w:tcPr>
          <w:p w14:paraId="0377E61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是否允许递交备选投标方案</w:t>
            </w:r>
          </w:p>
        </w:tc>
        <w:tc>
          <w:tcPr>
            <w:tcW w:w="6863" w:type="dxa"/>
            <w:vAlign w:val="center"/>
          </w:tcPr>
          <w:p w14:paraId="0334B389">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■不允许</w:t>
            </w:r>
          </w:p>
          <w:p w14:paraId="19F08FA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□允许</w:t>
            </w:r>
          </w:p>
        </w:tc>
      </w:tr>
      <w:tr w14:paraId="43529E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06542B5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3.7.3A（2）</w:t>
            </w:r>
          </w:p>
        </w:tc>
        <w:tc>
          <w:tcPr>
            <w:tcW w:w="1650" w:type="dxa"/>
            <w:vAlign w:val="center"/>
          </w:tcPr>
          <w:p w14:paraId="297CE93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投标文件份数</w:t>
            </w:r>
          </w:p>
        </w:tc>
        <w:tc>
          <w:tcPr>
            <w:tcW w:w="6863" w:type="dxa"/>
            <w:vAlign w:val="center"/>
          </w:tcPr>
          <w:p w14:paraId="2F68E9F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2A3CDBB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14:paraId="4677965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3.7.3A（3）</w:t>
            </w:r>
          </w:p>
        </w:tc>
        <w:tc>
          <w:tcPr>
            <w:tcW w:w="1650" w:type="dxa"/>
            <w:vAlign w:val="center"/>
          </w:tcPr>
          <w:p w14:paraId="720CD3E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投标文件是否需分册装订</w:t>
            </w:r>
          </w:p>
        </w:tc>
        <w:tc>
          <w:tcPr>
            <w:tcW w:w="6863" w:type="dxa"/>
            <w:vAlign w:val="center"/>
          </w:tcPr>
          <w:p w14:paraId="65718BE9">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本项目不适用。</w:t>
            </w:r>
          </w:p>
        </w:tc>
      </w:tr>
      <w:tr w14:paraId="7BA01EB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4D183F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1650" w:type="dxa"/>
            <w:vAlign w:val="center"/>
          </w:tcPr>
          <w:p w14:paraId="39DDEF4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投标文件所附证书证件要求</w:t>
            </w:r>
          </w:p>
        </w:tc>
        <w:tc>
          <w:tcPr>
            <w:tcW w:w="6863" w:type="dxa"/>
            <w:vAlign w:val="center"/>
          </w:tcPr>
          <w:p w14:paraId="184BC206">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证书证件需为清晰扫描件，并采用单位数字证书，按照招标文件要求在相应位置加盖电子印章。</w:t>
            </w:r>
          </w:p>
        </w:tc>
      </w:tr>
      <w:tr w14:paraId="79F7B0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03B4A2B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3.7.3（B）</w:t>
            </w:r>
          </w:p>
        </w:tc>
        <w:tc>
          <w:tcPr>
            <w:tcW w:w="1650" w:type="dxa"/>
            <w:vAlign w:val="center"/>
          </w:tcPr>
          <w:p w14:paraId="4ED263F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投标文件签字或盖章要求</w:t>
            </w:r>
          </w:p>
        </w:tc>
        <w:tc>
          <w:tcPr>
            <w:tcW w:w="6863" w:type="dxa"/>
            <w:vAlign w:val="center"/>
          </w:tcPr>
          <w:p w14:paraId="371B7A06">
            <w:pPr>
              <w:pStyle w:val="8"/>
              <w:topLinePunct/>
              <w:snapToGrid w:val="0"/>
              <w:spacing w:line="360" w:lineRule="auto"/>
              <w:rPr>
                <w:rFonts w:hint="eastAsia" w:hAnsi="宋体" w:cs="宋体"/>
                <w:color w:val="auto"/>
                <w:sz w:val="21"/>
                <w:szCs w:val="21"/>
                <w:highlight w:val="none"/>
                <w:u w:val="single"/>
              </w:rPr>
            </w:pPr>
            <w:r>
              <w:rPr>
                <w:rFonts w:hint="eastAsia" w:hAnsi="宋体" w:cs="宋体"/>
                <w:color w:val="auto"/>
                <w:sz w:val="21"/>
                <w:szCs w:val="21"/>
                <w:highlight w:val="none"/>
                <w:u w:val="single"/>
              </w:rPr>
              <w:t>投标文件全部采用电子文档，投标文件所附证书证件均为扫描件，并采用单位数字证书，按招标文件要求在相应位置加盖电子印章。投标文件中需个人签字或盖章的，应加盖个人电子印章或在线下完成后扫描上传。具体操作详见附件《房屋建筑和市政基础设施工程全流程电子化项目专章》。</w:t>
            </w:r>
            <w:r>
              <w:rPr>
                <w:rFonts w:hint="eastAsia" w:hAnsi="宋体" w:cs="宋体"/>
                <w:bCs/>
                <w:color w:val="auto"/>
                <w:kern w:val="0"/>
                <w:sz w:val="21"/>
                <w:szCs w:val="21"/>
                <w:highlight w:val="none"/>
                <w:u w:val="single"/>
              </w:rPr>
              <w:t>注：投标文件电子文档需要投标人单位盖章的材料，投标人加盖电子印章即可，不得将投标人未对电子文档加盖实物印章作为否决投标的情形。</w:t>
            </w:r>
          </w:p>
        </w:tc>
      </w:tr>
      <w:tr w14:paraId="00D639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121BB38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4.1.1（B）</w:t>
            </w:r>
          </w:p>
        </w:tc>
        <w:tc>
          <w:tcPr>
            <w:tcW w:w="1650" w:type="dxa"/>
            <w:vAlign w:val="center"/>
          </w:tcPr>
          <w:p w14:paraId="2163141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投标文件加密要求</w:t>
            </w:r>
          </w:p>
        </w:tc>
        <w:tc>
          <w:tcPr>
            <w:tcW w:w="6863" w:type="dxa"/>
            <w:vAlign w:val="center"/>
          </w:tcPr>
          <w:p w14:paraId="503EE0E4">
            <w:pPr>
              <w:pStyle w:val="8"/>
              <w:topLinePunct/>
              <w:snapToGrid w:val="0"/>
              <w:spacing w:line="360" w:lineRule="auto"/>
              <w:rPr>
                <w:rFonts w:hint="eastAsia" w:hAnsi="宋体" w:cs="宋体"/>
                <w:color w:val="auto"/>
                <w:szCs w:val="21"/>
                <w:highlight w:val="none"/>
                <w:u w:val="single"/>
              </w:rPr>
            </w:pPr>
            <w:r>
              <w:rPr>
                <w:rFonts w:hint="eastAsia" w:hAnsi="宋体" w:cs="宋体"/>
                <w:color w:val="auto"/>
                <w:sz w:val="21"/>
                <w:szCs w:val="21"/>
                <w:highlight w:val="none"/>
              </w:rPr>
              <w:t>网上递交的电子投标文件须进行加密。具体操作详见广州交易集团有限公司（广州公共资源交易中心）发布的最新版本《房屋建筑和市政基础设施工程全流程电子化项目专章》</w:t>
            </w:r>
          </w:p>
        </w:tc>
      </w:tr>
      <w:tr w14:paraId="7CCE43E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0D53711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4.1.2</w:t>
            </w:r>
          </w:p>
        </w:tc>
        <w:tc>
          <w:tcPr>
            <w:tcW w:w="1650" w:type="dxa"/>
            <w:vAlign w:val="center"/>
          </w:tcPr>
          <w:p w14:paraId="07DEAD24">
            <w:pPr>
              <w:snapToGrid w:val="0"/>
              <w:spacing w:line="360" w:lineRule="auto"/>
              <w:jc w:val="center"/>
              <w:rPr>
                <w:rFonts w:hint="eastAsia" w:ascii="宋体" w:hAnsi="宋体" w:cs="宋体"/>
                <w:color w:val="auto"/>
                <w:szCs w:val="21"/>
                <w:highlight w:val="none"/>
                <w:shd w:val="clear" w:color="FFFFFF" w:fill="D9D9D9"/>
              </w:rPr>
            </w:pPr>
            <w:r>
              <w:rPr>
                <w:rFonts w:hint="eastAsia" w:ascii="宋体" w:hAnsi="宋体" w:cs="宋体"/>
                <w:color w:val="auto"/>
                <w:szCs w:val="21"/>
                <w:highlight w:val="none"/>
              </w:rPr>
              <w:t>投标文件的包封、密封和标志</w:t>
            </w:r>
          </w:p>
        </w:tc>
        <w:tc>
          <w:tcPr>
            <w:tcW w:w="6863" w:type="dxa"/>
            <w:vAlign w:val="center"/>
          </w:tcPr>
          <w:p w14:paraId="08C1CD2F">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招标人名称：</w:t>
            </w:r>
          </w:p>
          <w:p w14:paraId="25BCA82C">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招标人地址：</w:t>
            </w:r>
          </w:p>
          <w:p w14:paraId="05820EFF">
            <w:pPr>
              <w:pStyle w:val="8"/>
              <w:topLinePunct/>
              <w:snapToGrid w:val="0"/>
              <w:spacing w:line="360" w:lineRule="auto"/>
              <w:rPr>
                <w:rFonts w:hint="eastAsia" w:hAnsi="宋体" w:cs="宋体"/>
                <w:color w:val="auto"/>
                <w:sz w:val="21"/>
                <w:szCs w:val="21"/>
                <w:highlight w:val="none"/>
                <w:u w:val="single"/>
              </w:rPr>
            </w:pPr>
            <w:r>
              <w:rPr>
                <w:rFonts w:hint="eastAsia" w:ascii="宋体" w:hAnsi="宋体" w:eastAsia="宋体" w:cs="宋体"/>
                <w:b w:val="0"/>
                <w:bCs w:val="0"/>
                <w:color w:val="auto"/>
                <w:sz w:val="21"/>
                <w:szCs w:val="21"/>
                <w:highlight w:val="none"/>
                <w:u w:val="single"/>
                <w:lang w:eastAsia="zh-CN"/>
              </w:rPr>
              <w:t>番禺区经济技术开发区万博西片区大石宾至路等4条道路改建项目施工阶段全过程造价咨询</w:t>
            </w:r>
            <w:r>
              <w:rPr>
                <w:rFonts w:hint="eastAsia" w:ascii="宋体" w:hAnsi="宋体" w:eastAsia="宋体" w:cs="宋体"/>
                <w:color w:val="auto"/>
                <w:sz w:val="21"/>
                <w:szCs w:val="21"/>
                <w:highlight w:val="none"/>
                <w:u w:val="single"/>
              </w:rPr>
              <w:t>服务</w:t>
            </w:r>
          </w:p>
          <w:p w14:paraId="13948D62">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 xml:space="preserve">招标项目编号：              </w:t>
            </w:r>
          </w:p>
          <w:p w14:paraId="254C206A">
            <w:pPr>
              <w:pStyle w:val="8"/>
              <w:topLinePunct/>
              <w:snapToGrid w:val="0"/>
              <w:spacing w:line="360" w:lineRule="auto"/>
              <w:rPr>
                <w:rFonts w:hint="eastAsia" w:hAnsi="宋体" w:cs="宋体"/>
                <w:color w:val="auto"/>
                <w:szCs w:val="21"/>
                <w:highlight w:val="none"/>
              </w:rPr>
            </w:pPr>
            <w:r>
              <w:rPr>
                <w:rFonts w:hint="eastAsia" w:hAnsi="宋体" w:cs="宋体"/>
                <w:color w:val="auto"/>
                <w:sz w:val="21"/>
                <w:szCs w:val="21"/>
                <w:highlight w:val="none"/>
              </w:rPr>
              <w:t>在</w:t>
            </w:r>
            <w:r>
              <w:rPr>
                <w:rFonts w:hint="eastAsia" w:hAnsi="宋体" w:cs="宋体"/>
                <w:color w:val="auto"/>
                <w:sz w:val="21"/>
                <w:szCs w:val="21"/>
                <w:highlight w:val="none"/>
                <w:u w:val="single"/>
              </w:rPr>
              <w:t xml:space="preserve">   年   月   日  时</w:t>
            </w:r>
            <w:r>
              <w:rPr>
                <w:rFonts w:hint="eastAsia" w:hAnsi="宋体" w:cs="宋体"/>
                <w:color w:val="auto"/>
                <w:sz w:val="21"/>
                <w:szCs w:val="21"/>
                <w:highlight w:val="none"/>
              </w:rPr>
              <w:t>前不得开启</w:t>
            </w:r>
          </w:p>
        </w:tc>
      </w:tr>
      <w:tr w14:paraId="19091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70784A7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4.2.1</w:t>
            </w:r>
          </w:p>
        </w:tc>
        <w:tc>
          <w:tcPr>
            <w:tcW w:w="1650" w:type="dxa"/>
            <w:vAlign w:val="center"/>
          </w:tcPr>
          <w:p w14:paraId="09ACBFB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投标截止时间</w:t>
            </w:r>
          </w:p>
        </w:tc>
        <w:tc>
          <w:tcPr>
            <w:tcW w:w="6863" w:type="dxa"/>
            <w:vAlign w:val="center"/>
          </w:tcPr>
          <w:p w14:paraId="0674E73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2025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tc>
      </w:tr>
      <w:tr w14:paraId="23958FC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9B49FC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4.2.2（A）</w:t>
            </w:r>
          </w:p>
        </w:tc>
        <w:tc>
          <w:tcPr>
            <w:tcW w:w="1650" w:type="dxa"/>
            <w:vAlign w:val="center"/>
          </w:tcPr>
          <w:p w14:paraId="6AE8618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递交投标文件时间和地点</w:t>
            </w:r>
          </w:p>
        </w:tc>
        <w:tc>
          <w:tcPr>
            <w:tcW w:w="6863" w:type="dxa"/>
            <w:vAlign w:val="center"/>
          </w:tcPr>
          <w:p w14:paraId="2D4D09CC">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递交方式：网上递交投标文件</w:t>
            </w:r>
          </w:p>
          <w:p w14:paraId="1E1AE2EA">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文件的递交截止时间：同投标截止时间。</w:t>
            </w:r>
          </w:p>
          <w:p w14:paraId="0A59AB25">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地点：</w:t>
            </w:r>
            <w:r>
              <w:rPr>
                <w:rFonts w:hint="eastAsia" w:ascii="宋体" w:hAnsi="宋体" w:cs="宋体"/>
                <w:color w:val="auto"/>
                <w:szCs w:val="21"/>
                <w:highlight w:val="none"/>
                <w:u w:val="single"/>
              </w:rPr>
              <w:t>广州交易集团有限公司（广州公共资源交易中心）</w:t>
            </w:r>
            <w:r>
              <w:rPr>
                <w:rFonts w:hint="eastAsia" w:ascii="宋体" w:hAnsi="宋体" w:cs="宋体"/>
                <w:color w:val="auto"/>
                <w:szCs w:val="21"/>
                <w:highlight w:val="none"/>
              </w:rPr>
              <w:t>网站</w:t>
            </w:r>
          </w:p>
          <w:p w14:paraId="44F3D24A">
            <w:pPr>
              <w:numPr>
                <w:ilvl w:val="0"/>
                <w:numId w:val="1"/>
              </w:numPr>
              <w:snapToGrid w:val="0"/>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u w:val="single"/>
              </w:rPr>
              <w:t>上述时间及地点是否有改变，请密切留意答疑澄清或补充公告（如有）中的相关信息，具体时间及场地安排请各投标人密切留意广州交易集团有限公司（广州公共资源交易中心）公布本项目的日程安排，投标人也可登录广州公共资源交易中心网站首页，点击“项目查询（日程安排、答疑纪要）”专栏中的“项目查询”，输入项目编号或项目名称查询最新信息</w:t>
            </w:r>
            <w:r>
              <w:rPr>
                <w:rFonts w:hint="eastAsia" w:ascii="宋体" w:hAnsi="宋体" w:cs="宋体"/>
                <w:color w:val="auto"/>
                <w:szCs w:val="21"/>
                <w:highlight w:val="none"/>
              </w:rPr>
              <w:t>。</w:t>
            </w:r>
          </w:p>
        </w:tc>
      </w:tr>
      <w:tr w14:paraId="40A7187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71A0A13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4.2.3</w:t>
            </w:r>
          </w:p>
        </w:tc>
        <w:tc>
          <w:tcPr>
            <w:tcW w:w="1650" w:type="dxa"/>
            <w:vAlign w:val="center"/>
          </w:tcPr>
          <w:p w14:paraId="57397560">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投标文件是否退还</w:t>
            </w:r>
          </w:p>
        </w:tc>
        <w:tc>
          <w:tcPr>
            <w:tcW w:w="6863" w:type="dxa"/>
            <w:vAlign w:val="center"/>
          </w:tcPr>
          <w:p w14:paraId="4C40ED82">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■否</w:t>
            </w:r>
          </w:p>
          <w:p w14:paraId="715085CF">
            <w:pPr>
              <w:pStyle w:val="8"/>
              <w:topLinePunct/>
              <w:snapToGrid w:val="0"/>
              <w:spacing w:line="360" w:lineRule="auto"/>
              <w:rPr>
                <w:rFonts w:hint="eastAsia"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是，退还时间：</w:t>
            </w:r>
            <w:r>
              <w:rPr>
                <w:rFonts w:hint="eastAsia" w:hAnsi="宋体" w:cs="宋体"/>
                <w:color w:val="auto"/>
                <w:sz w:val="21"/>
                <w:szCs w:val="21"/>
                <w:highlight w:val="none"/>
                <w:u w:val="single"/>
              </w:rPr>
              <w:t xml:space="preserve"> / </w:t>
            </w:r>
          </w:p>
        </w:tc>
      </w:tr>
      <w:tr w14:paraId="668FFA3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3DC9951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5.1（B）</w:t>
            </w:r>
          </w:p>
        </w:tc>
        <w:tc>
          <w:tcPr>
            <w:tcW w:w="1650" w:type="dxa"/>
            <w:vAlign w:val="center"/>
          </w:tcPr>
          <w:p w14:paraId="275092C4">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开标时间和地点</w:t>
            </w:r>
          </w:p>
        </w:tc>
        <w:tc>
          <w:tcPr>
            <w:tcW w:w="6863" w:type="dxa"/>
            <w:vAlign w:val="center"/>
          </w:tcPr>
          <w:p w14:paraId="30842137">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本电子招投标项目在本章4.2.1项规定的投标截止时间（开标时间），在广州交易集团有限公司（广州公共资源交易中心）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tc>
      </w:tr>
      <w:tr w14:paraId="1488C9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6CB3497">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5.2（B）</w:t>
            </w:r>
          </w:p>
        </w:tc>
        <w:tc>
          <w:tcPr>
            <w:tcW w:w="1650" w:type="dxa"/>
            <w:vAlign w:val="center"/>
          </w:tcPr>
          <w:p w14:paraId="2D631F9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开标程序</w:t>
            </w:r>
          </w:p>
        </w:tc>
        <w:tc>
          <w:tcPr>
            <w:tcW w:w="6863" w:type="dxa"/>
            <w:vAlign w:val="center"/>
          </w:tcPr>
          <w:p w14:paraId="4CD17800">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电子招投标项目开标按下列程序进行：</w:t>
            </w:r>
          </w:p>
          <w:p w14:paraId="476AF402">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5.2.1主持人按下列程序进行开标：</w:t>
            </w:r>
          </w:p>
          <w:p w14:paraId="75409990">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（1）宣布开标纪律；</w:t>
            </w:r>
          </w:p>
          <w:p w14:paraId="445CC488">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（2）公布在投标截止时间前递交投标文件的投标人名称；</w:t>
            </w:r>
          </w:p>
          <w:p w14:paraId="2E3E65EB">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（3）宣布开标人、唱标人、记录人、监标人等有关人员姓名；</w:t>
            </w:r>
          </w:p>
          <w:p w14:paraId="7C73A5BE">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（4）（B）投标人通过电子招标投标交易平台对已递交的电子投标文件进行解密，公布招标项目名称、投标人名称、</w:t>
            </w:r>
            <w:r>
              <w:rPr>
                <w:rFonts w:hint="eastAsia" w:hAnsi="宋体" w:cs="宋体"/>
                <w:strike/>
                <w:color w:val="auto"/>
                <w:sz w:val="21"/>
                <w:szCs w:val="21"/>
                <w:highlight w:val="none"/>
              </w:rPr>
              <w:t>投标保证金的递交情况、</w:t>
            </w:r>
            <w:r>
              <w:rPr>
                <w:rFonts w:hint="eastAsia" w:hAnsi="宋体" w:cs="宋体"/>
                <w:color w:val="auto"/>
                <w:sz w:val="21"/>
                <w:szCs w:val="21"/>
                <w:highlight w:val="none"/>
              </w:rPr>
              <w:t>投标报价、服务期限及其他内容，并记录在案；</w:t>
            </w:r>
          </w:p>
          <w:p w14:paraId="2EA5B847">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（5）（B）投标人代表、招标人代表、监标人、记录人等有关人员在开标记录上签字确认；若有关人员不签字的，不影响开标程序默认开标结果；</w:t>
            </w:r>
          </w:p>
          <w:p w14:paraId="5D1FF192">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（6）开标结束。</w:t>
            </w:r>
          </w:p>
          <w:p w14:paraId="2D39A8C8">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5.2.2投标截止时间前未完成投标文件传输的或因投标人之外的原因造成投标文件未解密</w:t>
            </w:r>
            <w:r>
              <w:rPr>
                <w:rFonts w:hint="eastAsia" w:hAnsi="宋体" w:cs="宋体"/>
                <w:color w:val="auto"/>
                <w:sz w:val="21"/>
                <w:szCs w:val="21"/>
                <w:highlight w:val="none"/>
                <w:lang w:eastAsia="zh-CN"/>
              </w:rPr>
              <w:t>且未递交备用光盘</w:t>
            </w:r>
            <w:r>
              <w:rPr>
                <w:rFonts w:hint="eastAsia" w:hAnsi="宋体" w:cs="宋体"/>
                <w:color w:val="auto"/>
                <w:sz w:val="21"/>
                <w:szCs w:val="21"/>
                <w:highlight w:val="none"/>
              </w:rPr>
              <w:t>的，视为投标人其撤回投标文件。因投标人原因造成投标文件未解密的或未在投标截止时间后一小时解密的，视为撤销其投标文件。</w:t>
            </w:r>
          </w:p>
          <w:p w14:paraId="3F2D0536">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5.2.3开标时，两个（含两个）以上的投标人加密打包投标文件电脑机器特征码一致的，不参与下一程序，并由评标委员会否决其投标。</w:t>
            </w:r>
          </w:p>
        </w:tc>
      </w:tr>
      <w:tr w14:paraId="3597E8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178" w:type="dxa"/>
            <w:vAlign w:val="center"/>
          </w:tcPr>
          <w:p w14:paraId="6454BE5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6.1.1</w:t>
            </w:r>
          </w:p>
        </w:tc>
        <w:tc>
          <w:tcPr>
            <w:tcW w:w="1650" w:type="dxa"/>
            <w:vAlign w:val="center"/>
          </w:tcPr>
          <w:p w14:paraId="033672BA">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评标委员会的组建</w:t>
            </w:r>
          </w:p>
        </w:tc>
        <w:tc>
          <w:tcPr>
            <w:tcW w:w="6863" w:type="dxa"/>
            <w:vAlign w:val="center"/>
          </w:tcPr>
          <w:p w14:paraId="7C971CB1">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评标委员会由招标人依法组建。</w:t>
            </w:r>
          </w:p>
        </w:tc>
      </w:tr>
      <w:tr w14:paraId="1CBFBF8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6AF2D12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6.3.2</w:t>
            </w:r>
          </w:p>
        </w:tc>
        <w:tc>
          <w:tcPr>
            <w:tcW w:w="1650" w:type="dxa"/>
            <w:vAlign w:val="center"/>
          </w:tcPr>
          <w:p w14:paraId="68949C56">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评标委员会推荐中标候选人的人数</w:t>
            </w:r>
          </w:p>
        </w:tc>
        <w:tc>
          <w:tcPr>
            <w:tcW w:w="6863" w:type="dxa"/>
            <w:vAlign w:val="center"/>
          </w:tcPr>
          <w:p w14:paraId="17504056">
            <w:pPr>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推荐中标候选人：</w:t>
            </w:r>
            <w:r>
              <w:rPr>
                <w:rFonts w:hint="eastAsia" w:ascii="宋体" w:hAnsi="宋体" w:cs="宋体"/>
                <w:color w:val="auto"/>
                <w:szCs w:val="21"/>
                <w:highlight w:val="none"/>
                <w:u w:val="single"/>
              </w:rPr>
              <w:t xml:space="preserve"> 3 </w:t>
            </w:r>
            <w:r>
              <w:rPr>
                <w:rFonts w:hint="eastAsia" w:ascii="宋体" w:hAnsi="宋体" w:cs="宋体"/>
                <w:color w:val="auto"/>
                <w:szCs w:val="21"/>
                <w:highlight w:val="none"/>
              </w:rPr>
              <w:t>名</w:t>
            </w:r>
          </w:p>
        </w:tc>
      </w:tr>
      <w:tr w14:paraId="3E61C14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2DF8A25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7.1</w:t>
            </w:r>
          </w:p>
        </w:tc>
        <w:tc>
          <w:tcPr>
            <w:tcW w:w="1650" w:type="dxa"/>
            <w:vAlign w:val="center"/>
          </w:tcPr>
          <w:p w14:paraId="0D66C703">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中标候选人公示媒介及期限</w:t>
            </w:r>
          </w:p>
        </w:tc>
        <w:tc>
          <w:tcPr>
            <w:tcW w:w="6863" w:type="dxa"/>
            <w:vAlign w:val="center"/>
          </w:tcPr>
          <w:p w14:paraId="2A755F7D">
            <w:pPr>
              <w:adjustRightInd w:val="0"/>
              <w:snapToGrid w:val="0"/>
              <w:spacing w:line="360" w:lineRule="auto"/>
              <w:rPr>
                <w:rFonts w:hint="eastAsia" w:ascii="宋体" w:hAnsi="宋体" w:cs="宋体"/>
                <w:color w:val="auto"/>
                <w:highlight w:val="none"/>
              </w:rPr>
            </w:pPr>
            <w:r>
              <w:rPr>
                <w:rFonts w:hint="eastAsia" w:ascii="宋体" w:hAnsi="宋体" w:cs="宋体"/>
                <w:color w:val="auto"/>
                <w:szCs w:val="21"/>
                <w:highlight w:val="none"/>
              </w:rPr>
              <w:t>公示媒介：</w:t>
            </w:r>
            <w:r>
              <w:rPr>
                <w:rFonts w:hint="eastAsia" w:ascii="宋体" w:hAnsi="宋体" w:cs="宋体"/>
                <w:color w:val="auto"/>
                <w:highlight w:val="none"/>
              </w:rPr>
              <w:t>中国招标投标公共服务平台、广东省招标投标监管网、广州交易集团有限公司（广州公共资源交易中心）网</w:t>
            </w:r>
          </w:p>
          <w:p w14:paraId="6BE67C79">
            <w:pPr>
              <w:adjustRightInd w:val="0"/>
              <w:snapToGrid w:val="0"/>
              <w:spacing w:line="360" w:lineRule="auto"/>
              <w:rPr>
                <w:rFonts w:hint="eastAsia" w:ascii="宋体" w:hAnsi="宋体" w:cs="宋体"/>
                <w:color w:val="auto"/>
                <w:highlight w:val="none"/>
              </w:rPr>
            </w:pPr>
            <w:r>
              <w:rPr>
                <w:rFonts w:hint="eastAsia" w:ascii="宋体" w:hAnsi="宋体" w:cs="宋体"/>
                <w:color w:val="auto"/>
                <w:highlight w:val="none"/>
              </w:rPr>
              <w:t>公示期限：3 日</w:t>
            </w:r>
          </w:p>
          <w:p w14:paraId="7934B916">
            <w:pPr>
              <w:snapToGrid w:val="0"/>
              <w:spacing w:line="360" w:lineRule="auto"/>
              <w:jc w:val="left"/>
              <w:rPr>
                <w:rFonts w:hint="eastAsia" w:ascii="宋体" w:hAnsi="宋体" w:cs="宋体"/>
                <w:color w:val="auto"/>
                <w:highlight w:val="none"/>
              </w:rPr>
            </w:pPr>
            <w:r>
              <w:rPr>
                <w:rFonts w:hint="eastAsia" w:ascii="宋体" w:hAnsi="宋体" w:cs="宋体"/>
                <w:color w:val="auto"/>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014C5E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178" w:type="dxa"/>
            <w:vAlign w:val="center"/>
          </w:tcPr>
          <w:p w14:paraId="2346232B">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7.4</w:t>
            </w:r>
          </w:p>
        </w:tc>
        <w:tc>
          <w:tcPr>
            <w:tcW w:w="1650" w:type="dxa"/>
            <w:vAlign w:val="center"/>
          </w:tcPr>
          <w:p w14:paraId="2ECCED2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是否授权评标委员会确定中标人</w:t>
            </w:r>
          </w:p>
        </w:tc>
        <w:tc>
          <w:tcPr>
            <w:tcW w:w="6863" w:type="dxa"/>
            <w:vAlign w:val="center"/>
          </w:tcPr>
          <w:p w14:paraId="4C0FFE5D">
            <w:pPr>
              <w:snapToGrid w:val="0"/>
              <w:spacing w:line="360" w:lineRule="auto"/>
              <w:ind w:left="108" w:right="106"/>
              <w:rPr>
                <w:rFonts w:hint="eastAsia" w:ascii="宋体" w:hAnsi="宋体" w:cs="宋体"/>
                <w:color w:val="auto"/>
                <w:highlight w:val="none"/>
              </w:rPr>
            </w:pPr>
            <w:r>
              <w:rPr>
                <w:rFonts w:hint="eastAsia" w:ascii="宋体" w:hAnsi="宋体" w:cs="宋体"/>
                <w:color w:val="auto"/>
                <w:szCs w:val="21"/>
                <w:highlight w:val="none"/>
              </w:rPr>
              <w:t>□</w:t>
            </w:r>
            <w:r>
              <w:rPr>
                <w:rFonts w:hint="eastAsia" w:ascii="宋体" w:hAnsi="宋体" w:cs="宋体"/>
                <w:color w:val="auto"/>
                <w:highlight w:val="none"/>
              </w:rPr>
              <w:t>是</w:t>
            </w:r>
          </w:p>
          <w:p w14:paraId="01AD3DD6">
            <w:pPr>
              <w:snapToGrid w:val="0"/>
              <w:spacing w:line="360" w:lineRule="auto"/>
              <w:ind w:left="108" w:right="106"/>
              <w:rPr>
                <w:rFonts w:hint="eastAsia" w:ascii="宋体" w:hAnsi="宋体" w:cs="宋体"/>
                <w:color w:val="auto"/>
                <w:highlight w:val="none"/>
              </w:rPr>
            </w:pPr>
            <w:r>
              <w:rPr>
                <w:rFonts w:hint="eastAsia" w:ascii="宋体" w:hAnsi="宋体" w:cs="宋体"/>
                <w:color w:val="auto"/>
                <w:highlight w:val="none"/>
              </w:rPr>
              <w:t>■否</w:t>
            </w:r>
          </w:p>
        </w:tc>
      </w:tr>
      <w:tr w14:paraId="161034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4EF587A9">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7.6.1</w:t>
            </w:r>
          </w:p>
        </w:tc>
        <w:tc>
          <w:tcPr>
            <w:tcW w:w="1650" w:type="dxa"/>
            <w:vAlign w:val="center"/>
          </w:tcPr>
          <w:p w14:paraId="4945A02C">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履约保证金</w:t>
            </w:r>
          </w:p>
        </w:tc>
        <w:tc>
          <w:tcPr>
            <w:tcW w:w="6863" w:type="dxa"/>
            <w:vAlign w:val="center"/>
          </w:tcPr>
          <w:p w14:paraId="3188B804">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是否要求中标人提交履约保证金：</w:t>
            </w:r>
          </w:p>
          <w:p w14:paraId="094401FB">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要求，中标人提供的履约担保为</w:t>
            </w:r>
            <w:r>
              <w:rPr>
                <w:rFonts w:hint="eastAsia" w:ascii="宋体" w:hAnsi="宋体" w:cs="宋体"/>
                <w:color w:val="auto"/>
                <w:szCs w:val="21"/>
                <w:highlight w:val="none"/>
                <w:u w:val="single"/>
              </w:rPr>
              <w:t>合同价的10% 。</w:t>
            </w:r>
          </w:p>
          <w:p w14:paraId="07E1B141">
            <w:pPr>
              <w:pStyle w:val="8"/>
              <w:topLinePunct/>
              <w:spacing w:line="360" w:lineRule="auto"/>
              <w:rPr>
                <w:rFonts w:hint="eastAsia" w:hAnsi="宋体" w:cs="宋体"/>
                <w:color w:val="auto"/>
                <w:szCs w:val="21"/>
                <w:highlight w:val="none"/>
              </w:rPr>
            </w:pPr>
            <w:r>
              <w:rPr>
                <w:rFonts w:hint="eastAsia" w:hAnsi="宋体" w:cs="宋体"/>
                <w:color w:val="auto"/>
                <w:sz w:val="21"/>
                <w:szCs w:val="21"/>
                <w:highlight w:val="none"/>
              </w:rPr>
              <w:t>若在中标通知书发放后</w:t>
            </w:r>
            <w:r>
              <w:rPr>
                <w:rFonts w:hint="eastAsia" w:hAnsi="宋体" w:cs="宋体"/>
                <w:color w:val="auto"/>
                <w:sz w:val="21"/>
                <w:szCs w:val="21"/>
                <w:highlight w:val="none"/>
                <w:u w:val="single"/>
              </w:rPr>
              <w:t>15日历天内</w:t>
            </w:r>
            <w:r>
              <w:rPr>
                <w:rFonts w:hint="eastAsia" w:hAnsi="宋体" w:cs="宋体"/>
                <w:color w:val="auto"/>
                <w:sz w:val="21"/>
                <w:szCs w:val="21"/>
                <w:highlight w:val="none"/>
              </w:rPr>
              <w:t>，中标人未提交履约担保且未征得招标人同意延期缴交的，招标人有权取消其中标资格并没收其投标保证金，并由其他中标候选人顺次序替补。</w:t>
            </w:r>
          </w:p>
          <w:p w14:paraId="43AB5FA6">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□不要求</w:t>
            </w:r>
          </w:p>
        </w:tc>
      </w:tr>
      <w:tr w14:paraId="2E2FFB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47A0D5C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9</w:t>
            </w:r>
          </w:p>
        </w:tc>
        <w:tc>
          <w:tcPr>
            <w:tcW w:w="1650" w:type="dxa"/>
            <w:vAlign w:val="center"/>
          </w:tcPr>
          <w:p w14:paraId="4574FBE2">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是否采用电子招标投标</w:t>
            </w:r>
          </w:p>
        </w:tc>
        <w:tc>
          <w:tcPr>
            <w:tcW w:w="6863" w:type="dxa"/>
            <w:vAlign w:val="center"/>
          </w:tcPr>
          <w:p w14:paraId="62FFE653">
            <w:pPr>
              <w:pStyle w:val="8"/>
              <w:topLinePunct/>
              <w:snapToGrid w:val="0"/>
              <w:spacing w:line="360" w:lineRule="auto"/>
              <w:rPr>
                <w:rFonts w:hint="eastAsia" w:hAnsi="宋体" w:cs="宋体"/>
                <w:color w:val="auto"/>
                <w:sz w:val="21"/>
                <w:szCs w:val="21"/>
                <w:highlight w:val="none"/>
              </w:rPr>
            </w:pPr>
            <w:r>
              <w:rPr>
                <w:rFonts w:hint="eastAsia" w:hAnsi="宋体" w:cs="宋体"/>
                <w:color w:val="auto"/>
                <w:szCs w:val="21"/>
                <w:highlight w:val="none"/>
              </w:rPr>
              <w:t>□</w:t>
            </w:r>
            <w:r>
              <w:rPr>
                <w:rFonts w:hint="eastAsia" w:hAnsi="宋体" w:cs="宋体"/>
                <w:color w:val="auto"/>
                <w:sz w:val="21"/>
                <w:szCs w:val="21"/>
                <w:highlight w:val="none"/>
              </w:rPr>
              <w:t>否</w:t>
            </w:r>
          </w:p>
          <w:p w14:paraId="47E8E89A">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■是，具体要求：1、具体操作详见广州交易集团有限公司（广州公共资源交易中心）发布的最新版本《房屋建筑和市政基础设施工程全流程电子化项目专章》。</w:t>
            </w:r>
          </w:p>
          <w:p w14:paraId="2A292BC7">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2、提交投标文件光盘备用</w:t>
            </w:r>
          </w:p>
          <w:p w14:paraId="1F86EE84">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投标人将按广州交易集团有限公司（广州公共资源交易中心）发布的最新版本《房屋建筑和市政基础设施工程全流程电子化项目专章》的操作方法制作的非加密的电子投标文件刻入光盘（1份），在</w:t>
            </w:r>
            <w:r>
              <w:rPr>
                <w:rFonts w:hint="eastAsia" w:hAnsi="宋体" w:cs="宋体"/>
                <w:b/>
                <w:bCs/>
                <w:color w:val="auto"/>
                <w:sz w:val="21"/>
                <w:szCs w:val="21"/>
                <w:highlight w:val="none"/>
              </w:rPr>
              <w:t>开标现场（投标截止时间前15分钟）</w:t>
            </w:r>
            <w:r>
              <w:rPr>
                <w:rFonts w:hint="eastAsia" w:hAnsi="宋体" w:cs="宋体"/>
                <w:color w:val="auto"/>
                <w:sz w:val="21"/>
                <w:szCs w:val="21"/>
                <w:highlight w:val="none"/>
              </w:rPr>
              <w:t>提交备用。刻录好的投标文件光盘密封在密封袋中，并在封口处加盖投标人单位公章。密封袋上应写明的内容见投标人须知前附表要求4.1.2。现场递交的投标文件（光盘）不得加密。光盘（投标文件）无法读取或导入的，则视为未提交备用投标文件光盘。如果投标人没有按规定通过交易平台网上递交电子投标文件的，不再接受现场提交的光盘。投标人也可不提交投标文件光盘（备用）。</w:t>
            </w:r>
          </w:p>
          <w:p w14:paraId="0AC42EC9">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3、补救方案</w:t>
            </w:r>
          </w:p>
          <w:p w14:paraId="5B99FF2F">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（1）投标文件解密失败的补救方案：</w:t>
            </w:r>
          </w:p>
          <w:p w14:paraId="240B5CB5">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737B77D2">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（2）评标时突发情况的补救方案</w:t>
            </w:r>
          </w:p>
          <w:p w14:paraId="2BEE6344">
            <w:pPr>
              <w:pStyle w:val="8"/>
              <w:topLinePunct/>
              <w:snapToGrid w:val="0"/>
              <w:spacing w:line="360" w:lineRule="auto"/>
              <w:rPr>
                <w:rFonts w:hint="eastAsia" w:hAnsi="宋体" w:cs="宋体"/>
                <w:color w:val="auto"/>
                <w:sz w:val="21"/>
                <w:szCs w:val="21"/>
                <w:highlight w:val="none"/>
              </w:rPr>
            </w:pPr>
            <w:r>
              <w:rPr>
                <w:rFonts w:hint="eastAsia" w:hAnsi="宋体" w:cs="宋体"/>
                <w:color w:val="auto"/>
                <w:sz w:val="21"/>
                <w:szCs w:val="21"/>
                <w:highlight w:val="none"/>
              </w:rPr>
              <w:t>若遇不可抗力发生（如：网络瘫痪、服务器损坏、交易系统故障短期无法恢复等因素），由评标委员会开启现场递交的全部投标文件光盘，并按光盘内容进行评审。</w:t>
            </w:r>
          </w:p>
          <w:p w14:paraId="387A642D">
            <w:pPr>
              <w:pStyle w:val="8"/>
              <w:topLinePunct/>
              <w:snapToGrid w:val="0"/>
              <w:spacing w:line="360" w:lineRule="auto"/>
              <w:rPr>
                <w:rFonts w:hint="eastAsia" w:hAnsi="宋体" w:cs="宋体"/>
                <w:color w:val="auto"/>
                <w:szCs w:val="21"/>
                <w:highlight w:val="none"/>
              </w:rPr>
            </w:pPr>
            <w:r>
              <w:rPr>
                <w:rFonts w:hint="eastAsia" w:hAnsi="宋体" w:cs="宋体"/>
                <w:color w:val="auto"/>
                <w:sz w:val="21"/>
                <w:szCs w:val="21"/>
                <w:highlight w:val="none"/>
              </w:rPr>
              <w:t>（3）除发生上述情况外，开标评标均以投标人通过交易平台网上递交的电子投标文件为准。</w:t>
            </w:r>
          </w:p>
        </w:tc>
      </w:tr>
      <w:tr w14:paraId="7828373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541C44C1">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w:t>
            </w:r>
          </w:p>
        </w:tc>
        <w:tc>
          <w:tcPr>
            <w:tcW w:w="1650" w:type="dxa"/>
            <w:vAlign w:val="center"/>
          </w:tcPr>
          <w:p w14:paraId="48C07C9D">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需要补充的其他内容</w:t>
            </w:r>
          </w:p>
        </w:tc>
        <w:tc>
          <w:tcPr>
            <w:tcW w:w="6863" w:type="dxa"/>
            <w:vAlign w:val="center"/>
          </w:tcPr>
          <w:p w14:paraId="65D718F0">
            <w:pPr>
              <w:snapToGrid w:val="0"/>
              <w:spacing w:line="360" w:lineRule="auto"/>
              <w:rPr>
                <w:rFonts w:hint="eastAsia" w:ascii="宋体" w:hAnsi="宋体" w:cs="宋体"/>
                <w:color w:val="auto"/>
                <w:szCs w:val="21"/>
                <w:highlight w:val="none"/>
              </w:rPr>
            </w:pPr>
            <w:r>
              <w:rPr>
                <w:rFonts w:hint="eastAsia" w:ascii="宋体" w:hAnsi="宋体" w:cs="宋体"/>
                <w:color w:val="auto"/>
                <w:kern w:val="0"/>
                <w:szCs w:val="21"/>
                <w:highlight w:val="none"/>
              </w:rPr>
              <w:t>/</w:t>
            </w:r>
          </w:p>
        </w:tc>
      </w:tr>
      <w:tr w14:paraId="59FF1E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 w:hRule="atLeast"/>
        </w:trPr>
        <w:tc>
          <w:tcPr>
            <w:tcW w:w="1178" w:type="dxa"/>
            <w:vAlign w:val="center"/>
          </w:tcPr>
          <w:p w14:paraId="5A4FCA0E">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10.1</w:t>
            </w:r>
          </w:p>
        </w:tc>
        <w:tc>
          <w:tcPr>
            <w:tcW w:w="1650" w:type="dxa"/>
            <w:vAlign w:val="center"/>
          </w:tcPr>
          <w:p w14:paraId="06D5229F">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其他费用</w:t>
            </w:r>
          </w:p>
        </w:tc>
        <w:tc>
          <w:tcPr>
            <w:tcW w:w="6863" w:type="dxa"/>
            <w:vAlign w:val="center"/>
          </w:tcPr>
          <w:p w14:paraId="5F2C4975">
            <w:pPr>
              <w:snapToGrid w:val="0"/>
              <w:spacing w:line="360" w:lineRule="auto"/>
              <w:jc w:val="left"/>
              <w:rPr>
                <w:rFonts w:hint="eastAsia" w:ascii="宋体" w:hAnsi="宋体" w:eastAsia="宋体" w:cs="宋体"/>
                <w:color w:val="auto"/>
                <w:szCs w:val="21"/>
                <w:highlight w:val="none"/>
                <w:u w:val="single"/>
              </w:rPr>
            </w:pPr>
            <w:r>
              <w:rPr>
                <w:rFonts w:hint="eastAsia" w:ascii="宋体" w:hAnsi="宋体" w:cs="宋体"/>
                <w:color w:val="auto"/>
                <w:kern w:val="2"/>
                <w:sz w:val="21"/>
                <w:szCs w:val="21"/>
                <w:highlight w:val="none"/>
                <w:u w:val="single"/>
              </w:rPr>
              <w:t>交易服务费：</w:t>
            </w:r>
            <w:r>
              <w:rPr>
                <w:rFonts w:hint="eastAsia" w:ascii="宋体" w:hAnsi="宋体" w:cs="宋体"/>
                <w:color w:val="auto"/>
                <w:szCs w:val="21"/>
                <w:highlight w:val="none"/>
                <w:u w:val="single"/>
              </w:rPr>
              <w:t>中标人向广州交易集团有限公司代缴交易服务费，交易服务费的金额为中标总金额的0.9‰，其费用包含在中标人投标报价中，招标人不另行支付，由广州交易集团有限公司向中标人开具增值税发票。</w:t>
            </w:r>
          </w:p>
        </w:tc>
      </w:tr>
      <w:tr w14:paraId="3C606A3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1178" w:type="dxa"/>
            <w:vAlign w:val="center"/>
          </w:tcPr>
          <w:p w14:paraId="4A46A2F5">
            <w:pPr>
              <w:snapToGrid w:val="0"/>
              <w:spacing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10.2</w:t>
            </w:r>
          </w:p>
        </w:tc>
        <w:tc>
          <w:tcPr>
            <w:tcW w:w="1650" w:type="dxa"/>
            <w:shd w:val="clear" w:color="auto" w:fill="auto"/>
            <w:vAlign w:val="center"/>
          </w:tcPr>
          <w:p w14:paraId="085C7B78">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u w:val="single"/>
              </w:rPr>
              <w:t>补交纸质投标文件</w:t>
            </w:r>
          </w:p>
        </w:tc>
        <w:tc>
          <w:tcPr>
            <w:tcW w:w="6863" w:type="dxa"/>
            <w:shd w:val="clear" w:color="auto" w:fill="auto"/>
            <w:vAlign w:val="center"/>
          </w:tcPr>
          <w:p w14:paraId="7EADBC00">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u w:val="single"/>
              </w:rPr>
              <w:t>中标单位领取中标通知书时，补送</w:t>
            </w:r>
            <w:r>
              <w:rPr>
                <w:rFonts w:hint="eastAsia" w:ascii="宋体" w:hAnsi="宋体" w:cs="宋体"/>
                <w:b/>
                <w:color w:val="auto"/>
                <w:szCs w:val="21"/>
                <w:highlight w:val="none"/>
                <w:u w:val="single"/>
              </w:rPr>
              <w:t>一正两副</w:t>
            </w:r>
            <w:r>
              <w:rPr>
                <w:rFonts w:hint="eastAsia" w:ascii="宋体" w:hAnsi="宋体" w:cs="宋体"/>
                <w:color w:val="auto"/>
                <w:szCs w:val="21"/>
                <w:highlight w:val="none"/>
                <w:u w:val="single"/>
              </w:rPr>
              <w:t>与广州交易集团有限公司（广州公共资源交易中心）交易平台网上递交的电子投标文件一致的</w:t>
            </w:r>
            <w:r>
              <w:rPr>
                <w:rFonts w:hint="eastAsia" w:ascii="宋体" w:hAnsi="宋体" w:cs="宋体"/>
                <w:b/>
                <w:color w:val="auto"/>
                <w:szCs w:val="21"/>
                <w:highlight w:val="none"/>
                <w:u w:val="single"/>
              </w:rPr>
              <w:t>书面投标文件（加盖公章）</w:t>
            </w:r>
            <w:r>
              <w:rPr>
                <w:rFonts w:hint="eastAsia" w:ascii="宋体" w:hAnsi="宋体" w:cs="宋体"/>
                <w:color w:val="auto"/>
                <w:szCs w:val="21"/>
                <w:highlight w:val="none"/>
                <w:u w:val="single"/>
              </w:rPr>
              <w:t>及一份与书面投标文件一致的用“Microsoft Word ”或“PDF”格式制作的电子文件（光盘）给招标人。</w:t>
            </w:r>
          </w:p>
        </w:tc>
      </w:tr>
      <w:tr w14:paraId="1C8CE9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 w:hRule="atLeast"/>
        </w:trPr>
        <w:tc>
          <w:tcPr>
            <w:tcW w:w="1178" w:type="dxa"/>
            <w:vAlign w:val="center"/>
          </w:tcPr>
          <w:p w14:paraId="72772D57">
            <w:pPr>
              <w:snapToGrid w:val="0"/>
              <w:spacing w:line="360" w:lineRule="auto"/>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10.3</w:t>
            </w:r>
          </w:p>
        </w:tc>
        <w:tc>
          <w:tcPr>
            <w:tcW w:w="1650" w:type="dxa"/>
            <w:shd w:val="clear" w:color="auto" w:fill="auto"/>
            <w:vAlign w:val="center"/>
          </w:tcPr>
          <w:p w14:paraId="42CA27D7">
            <w:pPr>
              <w:spacing w:line="360" w:lineRule="auto"/>
              <w:jc w:val="center"/>
              <w:rPr>
                <w:rFonts w:hint="eastAsia" w:ascii="宋体" w:hAnsi="宋体" w:cs="宋体"/>
                <w:color w:val="auto"/>
                <w:szCs w:val="21"/>
                <w:highlight w:val="none"/>
                <w:u w:val="single"/>
              </w:rPr>
            </w:pPr>
            <w:r>
              <w:rPr>
                <w:rFonts w:hint="eastAsia" w:ascii="宋体" w:hAnsi="宋体" w:cs="宋体"/>
                <w:color w:val="auto"/>
                <w:szCs w:val="21"/>
                <w:highlight w:val="none"/>
              </w:rPr>
              <w:t>其他费用</w:t>
            </w:r>
          </w:p>
        </w:tc>
        <w:tc>
          <w:tcPr>
            <w:tcW w:w="6863" w:type="dxa"/>
            <w:shd w:val="clear" w:color="auto" w:fill="auto"/>
            <w:vAlign w:val="center"/>
          </w:tcPr>
          <w:p w14:paraId="71299EE1">
            <w:pPr>
              <w:spacing w:line="360" w:lineRule="auto"/>
              <w:rPr>
                <w:rFonts w:hint="eastAsia" w:ascii="宋体" w:hAnsi="宋体" w:cs="宋体"/>
                <w:color w:val="auto"/>
                <w:szCs w:val="21"/>
                <w:highlight w:val="none"/>
                <w:u w:val="single"/>
              </w:rPr>
            </w:pPr>
            <w:r>
              <w:rPr>
                <w:rFonts w:hint="eastAsia" w:ascii="宋体" w:hAnsi="宋体" w:eastAsia="宋体" w:cs="宋体"/>
                <w:color w:val="auto"/>
                <w:sz w:val="21"/>
                <w:szCs w:val="21"/>
                <w:highlight w:val="none"/>
                <w:u w:val="single"/>
                <w:lang w:val="en-US" w:eastAsia="zh-CN"/>
              </w:rPr>
              <w:t>招标代理费：</w:t>
            </w:r>
            <w:r>
              <w:rPr>
                <w:rFonts w:hint="eastAsia" w:ascii="宋体" w:hAnsi="宋体" w:eastAsia="宋体" w:cs="宋体"/>
                <w:b w:val="0"/>
                <w:bCs w:val="0"/>
                <w:color w:val="auto"/>
                <w:spacing w:val="0"/>
                <w:sz w:val="21"/>
                <w:szCs w:val="21"/>
                <w:highlight w:val="none"/>
                <w:u w:val="single"/>
                <w:lang w:val="en-US" w:eastAsia="zh-CN"/>
              </w:rPr>
              <w:t>代理费结算价依据国家计委关于印发《招标代理服务收费管理暂行办法》的通知（计价格[2002]1980号）计算，以最终实际中标价为计费依据计取。上述费用由中标单位支付，</w:t>
            </w:r>
            <w:r>
              <w:rPr>
                <w:rFonts w:hint="eastAsia" w:ascii="宋体" w:hAnsi="宋体" w:eastAsia="宋体" w:cs="宋体"/>
                <w:b w:val="0"/>
                <w:bCs w:val="0"/>
                <w:color w:val="auto"/>
                <w:spacing w:val="0"/>
                <w:sz w:val="21"/>
                <w:szCs w:val="21"/>
                <w:highlight w:val="none"/>
                <w:u w:val="single"/>
              </w:rPr>
              <w:t>中标</w:t>
            </w:r>
            <w:r>
              <w:rPr>
                <w:rFonts w:hint="eastAsia" w:ascii="宋体" w:hAnsi="宋体" w:eastAsia="宋体" w:cs="宋体"/>
                <w:b w:val="0"/>
                <w:bCs w:val="0"/>
                <w:color w:val="auto"/>
                <w:spacing w:val="0"/>
                <w:sz w:val="21"/>
                <w:szCs w:val="21"/>
                <w:highlight w:val="none"/>
                <w:u w:val="single"/>
                <w:lang w:val="en-US" w:eastAsia="zh-CN"/>
              </w:rPr>
              <w:t>人</w:t>
            </w:r>
            <w:r>
              <w:rPr>
                <w:rFonts w:hint="eastAsia" w:ascii="宋体" w:hAnsi="宋体" w:eastAsia="宋体" w:cs="宋体"/>
                <w:b w:val="0"/>
                <w:bCs w:val="0"/>
                <w:color w:val="auto"/>
                <w:spacing w:val="0"/>
                <w:sz w:val="21"/>
                <w:szCs w:val="21"/>
                <w:highlight w:val="none"/>
                <w:u w:val="single"/>
              </w:rPr>
              <w:t>在收到中标通知书三日内向将本合同约定的全部委托代理报酬一次性支付给受托人。</w:t>
            </w:r>
          </w:p>
        </w:tc>
      </w:tr>
    </w:tbl>
    <w:p w14:paraId="7C3524E8">
      <w:pPr>
        <w:pStyle w:val="3"/>
        <w:spacing w:line="360" w:lineRule="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br w:type="page"/>
      </w:r>
      <w:bookmarkStart w:id="16" w:name="_Toc25071"/>
      <w:bookmarkStart w:id="17" w:name="_Toc32578"/>
      <w:bookmarkStart w:id="18" w:name="_Toc527028850"/>
      <w:bookmarkStart w:id="19" w:name="_Toc527028679"/>
      <w:bookmarkStart w:id="20" w:name="_Toc520310853"/>
      <w:bookmarkStart w:id="21" w:name="_Toc527028502"/>
      <w:r>
        <w:rPr>
          <w:rFonts w:hint="eastAsia" w:ascii="宋体" w:hAnsi="宋体" w:eastAsia="宋体" w:cs="宋体"/>
          <w:color w:val="auto"/>
          <w:sz w:val="28"/>
          <w:szCs w:val="28"/>
          <w:highlight w:val="none"/>
        </w:rPr>
        <w:t>1. 总则</w:t>
      </w:r>
      <w:bookmarkEnd w:id="16"/>
      <w:bookmarkEnd w:id="17"/>
    </w:p>
    <w:p w14:paraId="2337A872">
      <w:pPr>
        <w:pStyle w:val="4"/>
        <w:spacing w:line="360" w:lineRule="auto"/>
        <w:ind w:firstLine="0" w:firstLineChars="0"/>
        <w:rPr>
          <w:rFonts w:hint="eastAsia" w:ascii="宋体" w:hAnsi="宋体" w:eastAsia="宋体" w:cs="宋体"/>
          <w:color w:val="auto"/>
          <w:szCs w:val="24"/>
          <w:highlight w:val="none"/>
        </w:rPr>
      </w:pPr>
      <w:bookmarkStart w:id="22" w:name="_Toc492300565"/>
      <w:bookmarkStart w:id="23" w:name="_Toc22496"/>
      <w:bookmarkStart w:id="24" w:name="_Toc17110"/>
      <w:bookmarkStart w:id="25" w:name="_Toc21695"/>
      <w:bookmarkStart w:id="26" w:name="_Toc7221"/>
      <w:bookmarkStart w:id="27" w:name="_Toc14769"/>
      <w:bookmarkStart w:id="28" w:name="_Toc11648"/>
      <w:bookmarkStart w:id="29" w:name="_Toc11481"/>
      <w:r>
        <w:rPr>
          <w:rFonts w:hint="eastAsia" w:ascii="宋体" w:hAnsi="宋体" w:eastAsia="宋体" w:cs="宋体"/>
          <w:bCs/>
          <w:color w:val="auto"/>
          <w:szCs w:val="24"/>
          <w:highlight w:val="none"/>
        </w:rPr>
        <w:t>1.1 招标项目概况</w:t>
      </w:r>
      <w:bookmarkEnd w:id="22"/>
      <w:bookmarkEnd w:id="23"/>
      <w:bookmarkEnd w:id="24"/>
      <w:bookmarkEnd w:id="25"/>
      <w:bookmarkEnd w:id="26"/>
      <w:bookmarkEnd w:id="27"/>
      <w:bookmarkEnd w:id="28"/>
      <w:bookmarkEnd w:id="29"/>
    </w:p>
    <w:p w14:paraId="1C9E660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1.1.1根据《中华人民共和国招标投标法》、《中华人民共和国招标投标法实施条例》等有关法律、法规和规章的规定，本招标项目已具备招标条件，现对</w:t>
      </w:r>
      <w:r>
        <w:rPr>
          <w:rFonts w:hint="eastAsia" w:ascii="宋体" w:hAnsi="宋体" w:cs="宋体"/>
          <w:color w:val="auto"/>
          <w:sz w:val="24"/>
          <w:szCs w:val="24"/>
          <w:highlight w:val="none"/>
          <w:lang w:val="en-US" w:eastAsia="zh-CN"/>
        </w:rPr>
        <w:t>施工阶段</w:t>
      </w:r>
      <w:r>
        <w:rPr>
          <w:rFonts w:hint="eastAsia" w:ascii="宋体" w:hAnsi="宋体" w:cs="宋体"/>
          <w:color w:val="auto"/>
          <w:sz w:val="24"/>
          <w:szCs w:val="24"/>
          <w:highlight w:val="none"/>
        </w:rPr>
        <w:t>全过程造价咨询进行招标。</w:t>
      </w:r>
    </w:p>
    <w:p w14:paraId="2F10FCA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1.1.2招标人：见投标人须知前附表。</w:t>
      </w:r>
    </w:p>
    <w:p w14:paraId="2B014B9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1.1.3招标代理机构：见投标人须知前附表。</w:t>
      </w:r>
    </w:p>
    <w:p w14:paraId="01BDD78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1.1.4招标项目名称：见投标人须知前附表。</w:t>
      </w:r>
    </w:p>
    <w:p w14:paraId="07ECBAC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1.1.5项目建设地点：见投标人须知前附表。</w:t>
      </w:r>
    </w:p>
    <w:p w14:paraId="00D63F2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1.1.6项目建设规模：见投标人须知前附表。</w:t>
      </w:r>
    </w:p>
    <w:p w14:paraId="6BE480A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1.1.7工程项目施工预计开工日期和建设周期：见投标人须知前附表。</w:t>
      </w:r>
    </w:p>
    <w:p w14:paraId="3D1BD7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1.1.8建筑安装工程费/工程</w:t>
      </w:r>
      <w:r>
        <w:rPr>
          <w:rFonts w:hint="eastAsia" w:ascii="宋体" w:hAnsi="宋体" w:cs="宋体"/>
          <w:color w:val="auto"/>
          <w:sz w:val="24"/>
          <w:szCs w:val="24"/>
          <w:highlight w:val="none"/>
          <w:lang w:eastAsia="zh-CN"/>
        </w:rPr>
        <w:t>总投资</w:t>
      </w:r>
      <w:r>
        <w:rPr>
          <w:rFonts w:hint="eastAsia" w:ascii="宋体" w:hAnsi="宋体" w:cs="宋体"/>
          <w:color w:val="auto"/>
          <w:sz w:val="24"/>
          <w:szCs w:val="24"/>
          <w:highlight w:val="none"/>
        </w:rPr>
        <w:t>：见投标人须知前附表。</w:t>
      </w:r>
    </w:p>
    <w:p w14:paraId="5D569CA0">
      <w:pPr>
        <w:pStyle w:val="4"/>
        <w:spacing w:line="360" w:lineRule="auto"/>
        <w:ind w:firstLine="0" w:firstLineChars="0"/>
        <w:rPr>
          <w:rFonts w:hint="eastAsia" w:ascii="宋体" w:hAnsi="宋体" w:eastAsia="宋体" w:cs="宋体"/>
          <w:color w:val="auto"/>
          <w:szCs w:val="24"/>
          <w:highlight w:val="none"/>
        </w:rPr>
      </w:pPr>
      <w:bookmarkStart w:id="30" w:name="_Toc4038"/>
      <w:bookmarkStart w:id="31" w:name="_Toc20295"/>
      <w:bookmarkStart w:id="32" w:name="_Toc492300566"/>
      <w:bookmarkStart w:id="33" w:name="_Toc29508"/>
      <w:bookmarkStart w:id="34" w:name="_Toc19038"/>
      <w:bookmarkStart w:id="35" w:name="_Toc26231"/>
      <w:bookmarkStart w:id="36" w:name="_Toc8474"/>
      <w:bookmarkStart w:id="37" w:name="_Toc32712"/>
      <w:r>
        <w:rPr>
          <w:rFonts w:hint="eastAsia" w:ascii="宋体" w:hAnsi="宋体" w:eastAsia="宋体" w:cs="宋体"/>
          <w:color w:val="auto"/>
          <w:szCs w:val="24"/>
          <w:highlight w:val="none"/>
        </w:rPr>
        <w:t>1.2 招标项目的资金来源和落实情况</w:t>
      </w:r>
      <w:bookmarkEnd w:id="30"/>
      <w:bookmarkEnd w:id="31"/>
      <w:bookmarkEnd w:id="32"/>
      <w:bookmarkEnd w:id="33"/>
      <w:bookmarkEnd w:id="34"/>
      <w:bookmarkEnd w:id="35"/>
      <w:bookmarkEnd w:id="36"/>
      <w:bookmarkEnd w:id="37"/>
    </w:p>
    <w:p w14:paraId="643FBC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1.2.1 资金来源及比例：见投标人须知前附表。</w:t>
      </w:r>
    </w:p>
    <w:p w14:paraId="4D3BA8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1.2.2 资金落实情况：见投标人须知前附表。</w:t>
      </w:r>
    </w:p>
    <w:p w14:paraId="3F369C1C">
      <w:pPr>
        <w:pStyle w:val="4"/>
        <w:spacing w:line="360" w:lineRule="auto"/>
        <w:ind w:firstLine="0" w:firstLineChars="0"/>
        <w:rPr>
          <w:rFonts w:hint="eastAsia" w:ascii="宋体" w:hAnsi="宋体" w:eastAsia="宋体" w:cs="宋体"/>
          <w:color w:val="auto"/>
          <w:szCs w:val="24"/>
          <w:highlight w:val="none"/>
        </w:rPr>
      </w:pPr>
      <w:bookmarkStart w:id="38" w:name="_Toc25003"/>
      <w:bookmarkStart w:id="39" w:name="_Toc25902"/>
      <w:bookmarkStart w:id="40" w:name="_Toc26261"/>
      <w:bookmarkStart w:id="41" w:name="_Toc977"/>
      <w:bookmarkStart w:id="42" w:name="_Toc31220"/>
      <w:bookmarkStart w:id="43" w:name="_Toc492300567"/>
      <w:bookmarkStart w:id="44" w:name="_Toc10849"/>
      <w:bookmarkStart w:id="45" w:name="_Toc30529"/>
      <w:r>
        <w:rPr>
          <w:rFonts w:hint="eastAsia" w:ascii="宋体" w:hAnsi="宋体" w:eastAsia="宋体" w:cs="宋体"/>
          <w:color w:val="auto"/>
          <w:szCs w:val="24"/>
          <w:highlight w:val="none"/>
        </w:rPr>
        <w:t>1.3招标范围、服务期限和质量标准</w:t>
      </w:r>
      <w:bookmarkEnd w:id="38"/>
      <w:bookmarkEnd w:id="39"/>
      <w:bookmarkEnd w:id="40"/>
      <w:bookmarkEnd w:id="41"/>
      <w:bookmarkEnd w:id="42"/>
      <w:bookmarkEnd w:id="43"/>
      <w:bookmarkEnd w:id="44"/>
      <w:bookmarkEnd w:id="45"/>
    </w:p>
    <w:p w14:paraId="2C435B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1.3.1 招标范围：见投标人须知前附表。</w:t>
      </w:r>
    </w:p>
    <w:p w14:paraId="539CA7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1.3.2 服务期限：见投标人须知前附表。</w:t>
      </w:r>
    </w:p>
    <w:p w14:paraId="54B0B91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1.3.3 质量标准：见投标人须知前附表。</w:t>
      </w:r>
    </w:p>
    <w:p w14:paraId="13F6EADD">
      <w:pPr>
        <w:pStyle w:val="4"/>
        <w:spacing w:line="360" w:lineRule="auto"/>
        <w:ind w:firstLine="0" w:firstLineChars="0"/>
        <w:rPr>
          <w:rFonts w:hint="eastAsia" w:ascii="宋体" w:hAnsi="宋体" w:eastAsia="宋体" w:cs="宋体"/>
          <w:color w:val="auto"/>
          <w:szCs w:val="24"/>
          <w:highlight w:val="none"/>
        </w:rPr>
      </w:pPr>
      <w:bookmarkStart w:id="46" w:name="_Toc3452"/>
      <w:bookmarkStart w:id="47" w:name="_Toc2674"/>
      <w:bookmarkStart w:id="48" w:name="_Toc19855"/>
      <w:bookmarkStart w:id="49" w:name="_Toc24309"/>
      <w:bookmarkStart w:id="50" w:name="_Toc492300568"/>
      <w:bookmarkStart w:id="51" w:name="_Toc2550"/>
      <w:bookmarkStart w:id="52" w:name="_Toc10416"/>
      <w:bookmarkStart w:id="53" w:name="_Toc31590"/>
      <w:r>
        <w:rPr>
          <w:rFonts w:hint="eastAsia" w:ascii="宋体" w:hAnsi="宋体" w:eastAsia="宋体" w:cs="宋体"/>
          <w:color w:val="auto"/>
          <w:szCs w:val="24"/>
          <w:highlight w:val="none"/>
        </w:rPr>
        <w:t>1.4投标人资格要求</w:t>
      </w:r>
      <w:bookmarkEnd w:id="46"/>
      <w:bookmarkEnd w:id="47"/>
      <w:bookmarkEnd w:id="48"/>
      <w:bookmarkEnd w:id="49"/>
      <w:bookmarkEnd w:id="50"/>
      <w:bookmarkEnd w:id="51"/>
      <w:bookmarkEnd w:id="52"/>
      <w:bookmarkEnd w:id="53"/>
    </w:p>
    <w:p w14:paraId="790606F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1.4.1 投标人应具备承担本招标项目资质条件、能力和信誉：</w:t>
      </w:r>
    </w:p>
    <w:p w14:paraId="6E6826B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（1）资质要求：见投标人须知前附表；</w:t>
      </w:r>
    </w:p>
    <w:p w14:paraId="17C11BA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（2）财务要求：见投标人须知前附表；</w:t>
      </w:r>
    </w:p>
    <w:p w14:paraId="431BED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（3）业绩要求：见投标人须知前附表；</w:t>
      </w:r>
    </w:p>
    <w:p w14:paraId="2F620DE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（4）信誉要求：见投标人须知前附表；</w:t>
      </w:r>
    </w:p>
    <w:p w14:paraId="2346740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（5）项目负责人的资格要求：见投标人须知前附表；</w:t>
      </w:r>
    </w:p>
    <w:p w14:paraId="5F26BC1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（6）其他主要人员要求：见投标人须知前附表。</w:t>
      </w:r>
    </w:p>
    <w:p w14:paraId="66B90D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（7）试验检测仪器设备要求：见投标人须知前附表。</w:t>
      </w:r>
    </w:p>
    <w:p w14:paraId="303E95B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（8）其他要求：见投标人须知前附表。</w:t>
      </w:r>
    </w:p>
    <w:p w14:paraId="14A7A82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需要提交的相关证明材料见本章第3.5款的规定。</w:t>
      </w:r>
    </w:p>
    <w:p w14:paraId="0A01EC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1.4.2投标人须知前附表规定接受联合体投标的，联合体除应符合本章第1.4.1项和投标人须知前附表的要求外，还应遵守以下规定：</w:t>
      </w:r>
    </w:p>
    <w:p w14:paraId="7619069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（1）联合体各方应按招标文件提供的格式签订联合体协议书，明确联合体牵头人和各方权利义务，并承诺就中标项目向招标人承担连带责任；</w:t>
      </w:r>
    </w:p>
    <w:p w14:paraId="3DDF973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（2）由同一专业的单位组成的联合体，按照资质等级较低的单位确定资质等级；</w:t>
      </w:r>
    </w:p>
    <w:p w14:paraId="0D2A2C6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（3）联合体各方不得再以自己名义单独或参加其他联合体在本招标项目中投标，否则各相关投标均无效。</w:t>
      </w:r>
    </w:p>
    <w:p w14:paraId="0429BF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1.4.3 投标人不得存在下列情形之一：</w:t>
      </w:r>
    </w:p>
    <w:p w14:paraId="4DDAE3A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（1）为招标人不具有独立法人资格的附属机构（单位）；</w:t>
      </w:r>
    </w:p>
    <w:p w14:paraId="325CA81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（2）与招标人存在利害关系且可能影响招标公正性；</w:t>
      </w:r>
    </w:p>
    <w:p w14:paraId="557C93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（3）与本招标项目的其他投标人为同一个单位负责人；</w:t>
      </w:r>
    </w:p>
    <w:p w14:paraId="13FFC6B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（4）与本招标项目的其他投标人存在控股、管理关系；</w:t>
      </w:r>
    </w:p>
    <w:p w14:paraId="507D09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（5）为本招标项目的代建人；</w:t>
      </w:r>
    </w:p>
    <w:p w14:paraId="778FC4F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（6）为本招标项目的招标代理机构；为本招标项目的前期服务单位</w:t>
      </w:r>
      <w:r>
        <w:rPr>
          <w:rFonts w:hint="eastAsia" w:ascii="宋体" w:hAnsi="宋体" w:cs="宋体"/>
          <w:color w:val="auto"/>
          <w:sz w:val="24"/>
          <w:szCs w:val="24"/>
          <w:highlight w:val="none"/>
          <w:u w:val="none"/>
        </w:rPr>
        <w:t>（勘察、设计单位（如有））；</w:t>
      </w:r>
    </w:p>
    <w:p w14:paraId="7116BD2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（7）与本招标项目的代建人或招标代理机构同为一个法定代表人；</w:t>
      </w:r>
    </w:p>
    <w:p w14:paraId="267FA99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（8）与本招标项目的代建人或招标代理机构存在控股或参股关系；</w:t>
      </w:r>
    </w:p>
    <w:p w14:paraId="28CF048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（9）与本招标项目的施工承包人以及建筑材料、建筑构配件和设备供应商有隶属关系或者其他利害关系；</w:t>
      </w:r>
    </w:p>
    <w:p w14:paraId="0FA8426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10）被依法暂停或者取消投标资格；（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BEB153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（11）被责令停产停业、暂扣或者吊销许可证、暂扣或者吊销执照（本项事实应当以根据《中华人民共和国行政处罚法》依法作出并已经生效的行政处罚决定为认定依据）；</w:t>
      </w:r>
    </w:p>
    <w:p w14:paraId="7B3E55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（12）进入清算程序，或被宣告破产，或其他丧失履约能力的情形；</w:t>
      </w:r>
    </w:p>
    <w:p w14:paraId="3EF2586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13）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DFBC1E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position w:val="-1"/>
          <w:sz w:val="24"/>
          <w:szCs w:val="24"/>
          <w:highlight w:val="none"/>
        </w:rPr>
        <w:t>（14）法律法规或投标人须知前附表规定的其他情形。</w:t>
      </w:r>
    </w:p>
    <w:p w14:paraId="1D99AEA2">
      <w:pPr>
        <w:pStyle w:val="4"/>
        <w:spacing w:line="360" w:lineRule="auto"/>
        <w:ind w:firstLine="0" w:firstLineChars="0"/>
        <w:rPr>
          <w:rFonts w:hint="eastAsia" w:ascii="宋体" w:hAnsi="宋体" w:eastAsia="宋体" w:cs="宋体"/>
          <w:color w:val="auto"/>
          <w:szCs w:val="24"/>
          <w:highlight w:val="none"/>
        </w:rPr>
      </w:pPr>
      <w:bookmarkStart w:id="54" w:name="_Toc21274"/>
      <w:bookmarkStart w:id="55" w:name="_Toc17400"/>
      <w:bookmarkStart w:id="56" w:name="_Toc12621"/>
      <w:bookmarkStart w:id="57" w:name="_Toc6163"/>
      <w:bookmarkStart w:id="58" w:name="_Toc7015"/>
      <w:bookmarkStart w:id="59" w:name="_Toc24418"/>
      <w:bookmarkStart w:id="60" w:name="_Toc872"/>
      <w:bookmarkStart w:id="61" w:name="_Toc492300569"/>
      <w:r>
        <w:rPr>
          <w:rFonts w:hint="eastAsia" w:ascii="宋体" w:hAnsi="宋体" w:eastAsia="宋体" w:cs="宋体"/>
          <w:color w:val="auto"/>
          <w:szCs w:val="24"/>
          <w:highlight w:val="none"/>
        </w:rPr>
        <w:t>1.5 费用承担</w:t>
      </w:r>
      <w:bookmarkEnd w:id="54"/>
      <w:bookmarkEnd w:id="55"/>
      <w:bookmarkEnd w:id="56"/>
      <w:bookmarkEnd w:id="57"/>
      <w:bookmarkEnd w:id="58"/>
      <w:bookmarkEnd w:id="59"/>
      <w:bookmarkEnd w:id="60"/>
      <w:bookmarkEnd w:id="61"/>
    </w:p>
    <w:p w14:paraId="607A192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投标人准备和参加投标活动发生的费用自理。</w:t>
      </w:r>
    </w:p>
    <w:p w14:paraId="52C19C15">
      <w:pPr>
        <w:pStyle w:val="4"/>
        <w:spacing w:line="360" w:lineRule="auto"/>
        <w:ind w:firstLine="0" w:firstLineChars="0"/>
        <w:rPr>
          <w:rFonts w:hint="eastAsia" w:ascii="宋体" w:hAnsi="宋体" w:eastAsia="宋体" w:cs="宋体"/>
          <w:color w:val="auto"/>
          <w:szCs w:val="24"/>
          <w:highlight w:val="none"/>
        </w:rPr>
      </w:pPr>
      <w:bookmarkStart w:id="62" w:name="_Toc12237"/>
      <w:bookmarkStart w:id="63" w:name="_Toc9215"/>
      <w:bookmarkStart w:id="64" w:name="_Toc10184"/>
      <w:bookmarkStart w:id="65" w:name="_Toc29749"/>
      <w:bookmarkStart w:id="66" w:name="_Toc6809"/>
      <w:bookmarkStart w:id="67" w:name="_Toc27939"/>
      <w:bookmarkStart w:id="68" w:name="_Toc4949"/>
      <w:bookmarkStart w:id="69" w:name="_Toc492300570"/>
      <w:r>
        <w:rPr>
          <w:rFonts w:hint="eastAsia" w:ascii="宋体" w:hAnsi="宋体" w:eastAsia="宋体" w:cs="宋体"/>
          <w:color w:val="auto"/>
          <w:szCs w:val="24"/>
          <w:highlight w:val="none"/>
        </w:rPr>
        <w:t>1.6 保密</w:t>
      </w:r>
      <w:bookmarkEnd w:id="62"/>
      <w:bookmarkEnd w:id="63"/>
      <w:bookmarkEnd w:id="64"/>
      <w:bookmarkEnd w:id="65"/>
      <w:bookmarkEnd w:id="66"/>
      <w:bookmarkEnd w:id="67"/>
      <w:bookmarkEnd w:id="68"/>
      <w:bookmarkEnd w:id="69"/>
    </w:p>
    <w:p w14:paraId="0CD262A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参与招标投标活动的各方应对招标文件和投标文件中</w:t>
      </w:r>
      <w:bookmarkStart w:id="70" w:name="_Toc361508589"/>
      <w:bookmarkStart w:id="71" w:name="_Toc352691477"/>
      <w:bookmarkStart w:id="72" w:name="_Toc369531519"/>
      <w:bookmarkStart w:id="73" w:name="_Toc5326"/>
      <w:bookmarkStart w:id="74" w:name="_Toc384308214"/>
      <w:r>
        <w:rPr>
          <w:rFonts w:hint="eastAsia" w:ascii="宋体" w:hAnsi="宋体" w:cs="宋体"/>
          <w:color w:val="auto"/>
          <w:sz w:val="24"/>
          <w:szCs w:val="24"/>
          <w:highlight w:val="none"/>
        </w:rPr>
        <w:t>的商业和技术等秘密保密</w:t>
      </w:r>
      <w:bookmarkEnd w:id="70"/>
      <w:bookmarkEnd w:id="71"/>
      <w:bookmarkEnd w:id="72"/>
      <w:bookmarkEnd w:id="73"/>
      <w:bookmarkEnd w:id="74"/>
      <w:r>
        <w:rPr>
          <w:rFonts w:hint="eastAsia" w:ascii="宋体" w:hAnsi="宋体" w:cs="宋体"/>
          <w:color w:val="auto"/>
          <w:sz w:val="24"/>
          <w:szCs w:val="24"/>
          <w:highlight w:val="none"/>
        </w:rPr>
        <w:t>，否则应承担相应的法律责任。</w:t>
      </w:r>
    </w:p>
    <w:p w14:paraId="0C29CF7C">
      <w:pPr>
        <w:pStyle w:val="4"/>
        <w:spacing w:line="360" w:lineRule="auto"/>
        <w:ind w:firstLine="0" w:firstLineChars="0"/>
        <w:rPr>
          <w:rFonts w:hint="eastAsia" w:ascii="宋体" w:hAnsi="宋体" w:eastAsia="宋体" w:cs="宋体"/>
          <w:color w:val="auto"/>
          <w:szCs w:val="24"/>
          <w:highlight w:val="none"/>
        </w:rPr>
      </w:pPr>
      <w:bookmarkStart w:id="75" w:name="_Toc6779"/>
      <w:bookmarkStart w:id="76" w:name="_Toc32094"/>
      <w:bookmarkStart w:id="77" w:name="_Toc25860"/>
      <w:bookmarkStart w:id="78" w:name="_Toc19298"/>
      <w:bookmarkStart w:id="79" w:name="_Toc12300"/>
      <w:bookmarkStart w:id="80" w:name="_Toc492300571"/>
      <w:bookmarkStart w:id="81" w:name="_Toc657"/>
      <w:bookmarkStart w:id="82" w:name="_Toc24881"/>
      <w:r>
        <w:rPr>
          <w:rFonts w:hint="eastAsia" w:ascii="宋体" w:hAnsi="宋体" w:eastAsia="宋体" w:cs="宋体"/>
          <w:color w:val="auto"/>
          <w:szCs w:val="24"/>
          <w:highlight w:val="none"/>
        </w:rPr>
        <w:t>1.7 语言文字</w:t>
      </w:r>
      <w:bookmarkEnd w:id="75"/>
      <w:bookmarkEnd w:id="76"/>
      <w:bookmarkEnd w:id="77"/>
      <w:bookmarkEnd w:id="78"/>
      <w:bookmarkEnd w:id="79"/>
      <w:bookmarkEnd w:id="80"/>
      <w:bookmarkEnd w:id="81"/>
      <w:bookmarkEnd w:id="82"/>
    </w:p>
    <w:p w14:paraId="3F866EA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招标投标文件使用的语言文字为中文。专用术语使用外文的，应附有中文注释。</w:t>
      </w:r>
    </w:p>
    <w:p w14:paraId="33CC3A9B">
      <w:pPr>
        <w:pStyle w:val="4"/>
        <w:spacing w:line="360" w:lineRule="auto"/>
        <w:ind w:firstLine="0" w:firstLineChars="0"/>
        <w:rPr>
          <w:rFonts w:hint="eastAsia" w:ascii="宋体" w:hAnsi="宋体" w:eastAsia="宋体" w:cs="宋体"/>
          <w:color w:val="auto"/>
          <w:szCs w:val="24"/>
          <w:highlight w:val="none"/>
        </w:rPr>
      </w:pPr>
      <w:bookmarkStart w:id="83" w:name="_Toc10804"/>
      <w:bookmarkStart w:id="84" w:name="_Toc26419"/>
      <w:bookmarkStart w:id="85" w:name="_Toc492300572"/>
      <w:bookmarkStart w:id="86" w:name="_Toc10746"/>
      <w:bookmarkStart w:id="87" w:name="_Toc3529"/>
      <w:bookmarkStart w:id="88" w:name="_Toc20276"/>
      <w:bookmarkStart w:id="89" w:name="_Toc11561"/>
      <w:bookmarkStart w:id="90" w:name="_Toc27121"/>
      <w:r>
        <w:rPr>
          <w:rFonts w:hint="eastAsia" w:ascii="宋体" w:hAnsi="宋体" w:eastAsia="宋体" w:cs="宋体"/>
          <w:color w:val="auto"/>
          <w:szCs w:val="24"/>
          <w:highlight w:val="none"/>
        </w:rPr>
        <w:t>1.8 计量单位</w:t>
      </w:r>
      <w:bookmarkEnd w:id="83"/>
      <w:bookmarkEnd w:id="84"/>
      <w:bookmarkEnd w:id="85"/>
      <w:bookmarkEnd w:id="86"/>
      <w:bookmarkEnd w:id="87"/>
      <w:bookmarkEnd w:id="88"/>
      <w:bookmarkEnd w:id="89"/>
      <w:bookmarkEnd w:id="90"/>
    </w:p>
    <w:p w14:paraId="282BC19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所有计量均采用中华人民共和国法定计量单位。</w:t>
      </w:r>
    </w:p>
    <w:p w14:paraId="33EE7630">
      <w:pPr>
        <w:pStyle w:val="4"/>
        <w:spacing w:line="360" w:lineRule="auto"/>
        <w:ind w:firstLine="0" w:firstLineChars="0"/>
        <w:rPr>
          <w:rFonts w:hint="eastAsia" w:ascii="宋体" w:hAnsi="宋体" w:eastAsia="宋体" w:cs="宋体"/>
          <w:color w:val="auto"/>
          <w:szCs w:val="24"/>
          <w:highlight w:val="none"/>
        </w:rPr>
      </w:pPr>
      <w:bookmarkStart w:id="91" w:name="_Toc11659"/>
      <w:bookmarkStart w:id="92" w:name="_Toc482188480"/>
      <w:bookmarkStart w:id="93" w:name="_Toc20483"/>
      <w:bookmarkStart w:id="94" w:name="_Toc384308219"/>
      <w:bookmarkStart w:id="95" w:name="_Toc247527563"/>
      <w:bookmarkStart w:id="96" w:name="_Toc21883"/>
      <w:bookmarkStart w:id="97" w:name="_Toc29990"/>
      <w:bookmarkStart w:id="98" w:name="_Toc152042315"/>
      <w:bookmarkStart w:id="99" w:name="_Toc361508594"/>
      <w:bookmarkStart w:id="100" w:name="_Toc5474"/>
      <w:bookmarkStart w:id="101" w:name="_Toc144974507"/>
      <w:bookmarkStart w:id="102" w:name="_Toc492300573"/>
      <w:bookmarkStart w:id="103" w:name="_Toc391393967"/>
      <w:bookmarkStart w:id="104" w:name="_Toc152045539"/>
      <w:bookmarkStart w:id="105" w:name="_Toc300834959"/>
      <w:bookmarkStart w:id="106" w:name="_Toc10088"/>
      <w:bookmarkStart w:id="107" w:name="_Toc247513962"/>
      <w:bookmarkStart w:id="108" w:name="_Toc370676289"/>
      <w:bookmarkStart w:id="109" w:name="_Toc16766"/>
      <w:r>
        <w:rPr>
          <w:rFonts w:hint="eastAsia" w:ascii="宋体" w:hAnsi="宋体" w:eastAsia="宋体" w:cs="宋体"/>
          <w:color w:val="auto"/>
          <w:szCs w:val="24"/>
          <w:highlight w:val="none"/>
        </w:rPr>
        <w:t>1.9 踏勘现场</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14:paraId="710211E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1.9.1 </w:t>
      </w:r>
      <w:r>
        <w:rPr>
          <w:rFonts w:hint="eastAsia" w:ascii="宋体" w:hAnsi="宋体" w:cs="宋体"/>
          <w:color w:val="auto"/>
          <w:sz w:val="24"/>
          <w:szCs w:val="24"/>
          <w:highlight w:val="none"/>
          <w:u w:val="single"/>
        </w:rPr>
        <w:t>招标人不组织，不安排统一勘察现场，由投标人自行考察。</w:t>
      </w:r>
    </w:p>
    <w:p w14:paraId="6ED49BD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1.9.2 投标人踏勘现场发生的费用自理。</w:t>
      </w:r>
    </w:p>
    <w:p w14:paraId="38C8183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1.9.3 除招标人的原因外，投标人自行负责在踏勘现场中所发生的人员伤亡和财产损失。</w:t>
      </w:r>
    </w:p>
    <w:p w14:paraId="7ECBDC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1.9.4 招标人在踏勘现场中介绍的工程场地和相关的周边环境情况，供投标人在编制投标文件时参考，招标人不对投标人据此作出的判断和决策负责。</w:t>
      </w:r>
    </w:p>
    <w:p w14:paraId="452DB6C8">
      <w:pPr>
        <w:pStyle w:val="4"/>
        <w:spacing w:line="360" w:lineRule="auto"/>
        <w:ind w:firstLine="0" w:firstLineChars="0"/>
        <w:rPr>
          <w:rFonts w:hint="eastAsia" w:ascii="宋体" w:hAnsi="宋体" w:eastAsia="宋体" w:cs="宋体"/>
          <w:color w:val="auto"/>
          <w:szCs w:val="24"/>
          <w:highlight w:val="none"/>
        </w:rPr>
      </w:pPr>
      <w:bookmarkStart w:id="110" w:name="_Toc21847"/>
      <w:bookmarkStart w:id="111" w:name="_Toc10652"/>
      <w:bookmarkStart w:id="112" w:name="_Toc492300574"/>
      <w:bookmarkStart w:id="113" w:name="_Toc3908"/>
      <w:bookmarkStart w:id="114" w:name="_Toc11535"/>
      <w:bookmarkStart w:id="115" w:name="_Toc11420"/>
      <w:bookmarkStart w:id="116" w:name="_Toc19565"/>
      <w:bookmarkStart w:id="117" w:name="_Toc9856"/>
      <w:r>
        <w:rPr>
          <w:rFonts w:hint="eastAsia" w:ascii="宋体" w:hAnsi="宋体" w:eastAsia="宋体" w:cs="宋体"/>
          <w:color w:val="auto"/>
          <w:szCs w:val="24"/>
          <w:highlight w:val="none"/>
        </w:rPr>
        <w:t>1.10 投标预备会</w:t>
      </w:r>
      <w:bookmarkEnd w:id="110"/>
      <w:bookmarkEnd w:id="111"/>
      <w:bookmarkEnd w:id="112"/>
      <w:bookmarkEnd w:id="113"/>
      <w:bookmarkEnd w:id="114"/>
      <w:bookmarkEnd w:id="115"/>
      <w:bookmarkEnd w:id="116"/>
      <w:bookmarkEnd w:id="117"/>
    </w:p>
    <w:p w14:paraId="2E84042B">
      <w:pPr>
        <w:pStyle w:val="4"/>
        <w:spacing w:line="360" w:lineRule="auto"/>
        <w:ind w:firstLine="0" w:firstLineChars="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1.10.1 </w:t>
      </w:r>
      <w:bookmarkStart w:id="118" w:name="_Toc21594"/>
      <w:bookmarkStart w:id="119" w:name="_Toc7636"/>
      <w:bookmarkStart w:id="120" w:name="_Toc25550"/>
      <w:bookmarkStart w:id="121" w:name="_Toc19968"/>
      <w:bookmarkStart w:id="122" w:name="_Toc6848"/>
      <w:bookmarkStart w:id="123" w:name="_Toc492300575"/>
      <w:bookmarkStart w:id="124" w:name="_Toc16569"/>
      <w:bookmarkStart w:id="125" w:name="_Toc11055"/>
      <w:r>
        <w:rPr>
          <w:rFonts w:hint="eastAsia" w:ascii="宋体" w:hAnsi="宋体" w:eastAsia="宋体" w:cs="宋体"/>
          <w:color w:val="auto"/>
          <w:sz w:val="24"/>
          <w:szCs w:val="24"/>
          <w:highlight w:val="none"/>
          <w:u w:val="single"/>
        </w:rPr>
        <w:t>招标人不组织投标预备会。</w:t>
      </w:r>
    </w:p>
    <w:p w14:paraId="0806A17B">
      <w:pPr>
        <w:pStyle w:val="4"/>
        <w:spacing w:line="360" w:lineRule="auto"/>
        <w:ind w:firstLine="0" w:firstLineChars="0"/>
        <w:rPr>
          <w:rFonts w:hint="eastAsia" w:ascii="宋体" w:hAnsi="宋体" w:eastAsia="宋体" w:cs="宋体"/>
          <w:color w:val="auto"/>
          <w:szCs w:val="24"/>
          <w:highlight w:val="none"/>
        </w:rPr>
      </w:pPr>
      <w:r>
        <w:rPr>
          <w:rFonts w:hint="eastAsia" w:ascii="宋体" w:hAnsi="宋体" w:eastAsia="宋体" w:cs="宋体"/>
          <w:color w:val="auto"/>
          <w:szCs w:val="24"/>
          <w:highlight w:val="none"/>
        </w:rPr>
        <w:t>1.11 分包</w:t>
      </w:r>
      <w:bookmarkEnd w:id="118"/>
      <w:bookmarkEnd w:id="119"/>
      <w:bookmarkEnd w:id="120"/>
      <w:bookmarkEnd w:id="121"/>
      <w:bookmarkEnd w:id="122"/>
      <w:bookmarkEnd w:id="123"/>
      <w:bookmarkEnd w:id="124"/>
      <w:bookmarkEnd w:id="125"/>
    </w:p>
    <w:p w14:paraId="509BBCC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本项目严禁分包。</w:t>
      </w:r>
    </w:p>
    <w:p w14:paraId="3166C93D">
      <w:pPr>
        <w:pStyle w:val="4"/>
        <w:spacing w:line="360" w:lineRule="auto"/>
        <w:ind w:firstLine="0" w:firstLineChars="0"/>
        <w:rPr>
          <w:rFonts w:hint="eastAsia" w:ascii="宋体" w:hAnsi="宋体" w:eastAsia="宋体" w:cs="宋体"/>
          <w:color w:val="auto"/>
          <w:szCs w:val="24"/>
          <w:highlight w:val="none"/>
        </w:rPr>
      </w:pPr>
      <w:bookmarkStart w:id="126" w:name="_Toc492300576"/>
      <w:bookmarkStart w:id="127" w:name="_Toc16032"/>
      <w:bookmarkStart w:id="128" w:name="_Toc29564"/>
      <w:bookmarkStart w:id="129" w:name="_Toc9275"/>
      <w:bookmarkStart w:id="130" w:name="_Toc15584"/>
      <w:bookmarkStart w:id="131" w:name="_Toc32619"/>
      <w:bookmarkStart w:id="132" w:name="_Toc7090"/>
      <w:bookmarkStart w:id="133" w:name="_Toc23487"/>
      <w:r>
        <w:rPr>
          <w:rFonts w:hint="eastAsia" w:ascii="宋体" w:hAnsi="宋体" w:eastAsia="宋体" w:cs="宋体"/>
          <w:color w:val="auto"/>
          <w:szCs w:val="24"/>
          <w:highlight w:val="none"/>
        </w:rPr>
        <w:t>1.12响应和偏差</w:t>
      </w:r>
      <w:bookmarkEnd w:id="126"/>
      <w:bookmarkEnd w:id="127"/>
      <w:bookmarkEnd w:id="128"/>
      <w:bookmarkEnd w:id="129"/>
      <w:bookmarkEnd w:id="130"/>
      <w:bookmarkEnd w:id="131"/>
      <w:bookmarkEnd w:id="132"/>
      <w:bookmarkEnd w:id="133"/>
    </w:p>
    <w:p w14:paraId="171911C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1.12.1投标文件应当对招标文件的实质性要求和条件作出满足性或更有利于招标人的响应，否则，投标人的投标将被否决。实质性要求和条件见投标人须知前附表。</w:t>
      </w:r>
    </w:p>
    <w:p w14:paraId="16B9922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1.12.2 投标人应根据招标文件的要求提供投标</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方案等内容以对招标文件作出响应。</w:t>
      </w:r>
    </w:p>
    <w:p w14:paraId="291B8DB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1.12.3投标人须知前附表允许投标文件偏离招标文件某些要求的，偏差应当符合招标文件规定的偏差范围和幅度。</w:t>
      </w:r>
    </w:p>
    <w:p w14:paraId="547543CD">
      <w:pPr>
        <w:pStyle w:val="3"/>
        <w:spacing w:line="360" w:lineRule="auto"/>
        <w:rPr>
          <w:rFonts w:hint="eastAsia" w:ascii="宋体" w:hAnsi="宋体" w:eastAsia="宋体" w:cs="宋体"/>
          <w:color w:val="auto"/>
          <w:sz w:val="28"/>
          <w:szCs w:val="28"/>
          <w:highlight w:val="none"/>
        </w:rPr>
      </w:pPr>
      <w:bookmarkStart w:id="134" w:name="_Toc3361"/>
      <w:bookmarkStart w:id="135" w:name="_Toc32110"/>
      <w:bookmarkStart w:id="136" w:name="_Toc492300577"/>
      <w:bookmarkStart w:id="137" w:name="_Toc4157"/>
      <w:bookmarkStart w:id="138" w:name="_Toc4355"/>
      <w:bookmarkStart w:id="139" w:name="_Toc2551"/>
      <w:bookmarkStart w:id="140" w:name="_Toc12512"/>
      <w:bookmarkStart w:id="141" w:name="_Toc30626"/>
      <w:r>
        <w:rPr>
          <w:rFonts w:hint="eastAsia" w:ascii="宋体" w:hAnsi="宋体" w:eastAsia="宋体" w:cs="宋体"/>
          <w:color w:val="auto"/>
          <w:sz w:val="28"/>
          <w:szCs w:val="28"/>
          <w:highlight w:val="none"/>
        </w:rPr>
        <w:t>2. 招标文件</w:t>
      </w:r>
      <w:bookmarkEnd w:id="134"/>
      <w:bookmarkEnd w:id="135"/>
      <w:bookmarkEnd w:id="136"/>
      <w:bookmarkEnd w:id="137"/>
      <w:bookmarkEnd w:id="138"/>
      <w:bookmarkEnd w:id="139"/>
      <w:bookmarkEnd w:id="140"/>
      <w:bookmarkEnd w:id="141"/>
    </w:p>
    <w:p w14:paraId="3DE246A7">
      <w:pPr>
        <w:pStyle w:val="4"/>
        <w:spacing w:line="360" w:lineRule="auto"/>
        <w:ind w:firstLine="0" w:firstLineChars="0"/>
        <w:rPr>
          <w:rFonts w:hint="eastAsia" w:ascii="宋体" w:hAnsi="宋体" w:eastAsia="宋体" w:cs="宋体"/>
          <w:color w:val="auto"/>
          <w:szCs w:val="24"/>
          <w:highlight w:val="none"/>
        </w:rPr>
      </w:pPr>
      <w:bookmarkStart w:id="142" w:name="_Toc28644"/>
      <w:bookmarkStart w:id="143" w:name="_Toc492300578"/>
      <w:bookmarkStart w:id="144" w:name="_Toc29609"/>
      <w:bookmarkStart w:id="145" w:name="_Toc32308"/>
      <w:bookmarkStart w:id="146" w:name="_Toc1039"/>
      <w:bookmarkStart w:id="147" w:name="_Toc7923"/>
      <w:bookmarkStart w:id="148" w:name="_Toc21412"/>
      <w:bookmarkStart w:id="149" w:name="_Toc21453"/>
      <w:r>
        <w:rPr>
          <w:rFonts w:hint="eastAsia" w:ascii="宋体" w:hAnsi="宋体" w:eastAsia="宋体" w:cs="宋体"/>
          <w:color w:val="auto"/>
          <w:szCs w:val="24"/>
          <w:highlight w:val="none"/>
        </w:rPr>
        <w:t>2.1 招标文件的组成</w:t>
      </w:r>
      <w:bookmarkEnd w:id="142"/>
      <w:bookmarkEnd w:id="143"/>
      <w:bookmarkEnd w:id="144"/>
      <w:bookmarkEnd w:id="145"/>
      <w:bookmarkEnd w:id="146"/>
      <w:bookmarkEnd w:id="147"/>
      <w:bookmarkEnd w:id="148"/>
      <w:bookmarkEnd w:id="149"/>
    </w:p>
    <w:p w14:paraId="177214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本招标文件包括：</w:t>
      </w:r>
    </w:p>
    <w:p w14:paraId="1D7798F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（1）招标公告；</w:t>
      </w:r>
    </w:p>
    <w:p w14:paraId="55ADD05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（2）投标人须知；</w:t>
      </w:r>
    </w:p>
    <w:p w14:paraId="13682A3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（3）评标办法；</w:t>
      </w:r>
    </w:p>
    <w:p w14:paraId="20434FD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（4）合同条款及格式；</w:t>
      </w:r>
    </w:p>
    <w:p w14:paraId="324D72F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（5）委托人要求；</w:t>
      </w:r>
    </w:p>
    <w:p w14:paraId="1338E2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（6）投标文件格式；</w:t>
      </w:r>
    </w:p>
    <w:p w14:paraId="7E8157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（7）投标人须知前附表规定的其他资料。</w:t>
      </w:r>
    </w:p>
    <w:p w14:paraId="4F7C35E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根据本章第1.10款、第2.2款和第2.3款对招标文件所作的澄清、修改，构成招标文件的组成部分。</w:t>
      </w:r>
    </w:p>
    <w:p w14:paraId="2FC240C2">
      <w:pPr>
        <w:pStyle w:val="4"/>
        <w:spacing w:line="360" w:lineRule="auto"/>
        <w:ind w:firstLine="0" w:firstLineChars="0"/>
        <w:rPr>
          <w:rFonts w:hint="eastAsia" w:ascii="宋体" w:hAnsi="宋体" w:eastAsia="宋体" w:cs="宋体"/>
          <w:color w:val="auto"/>
          <w:szCs w:val="24"/>
          <w:highlight w:val="none"/>
        </w:rPr>
      </w:pPr>
      <w:bookmarkStart w:id="150" w:name="_Toc20512"/>
      <w:bookmarkStart w:id="151" w:name="_Toc492300579"/>
      <w:bookmarkStart w:id="152" w:name="_Toc27084"/>
      <w:bookmarkStart w:id="153" w:name="_Toc17542"/>
      <w:bookmarkStart w:id="154" w:name="_Toc30224"/>
      <w:bookmarkStart w:id="155" w:name="_Toc20370"/>
      <w:bookmarkStart w:id="156" w:name="_Toc32400"/>
      <w:bookmarkStart w:id="157" w:name="_Toc31226"/>
      <w:r>
        <w:rPr>
          <w:rFonts w:hint="eastAsia" w:ascii="宋体" w:hAnsi="宋体" w:eastAsia="宋体" w:cs="宋体"/>
          <w:color w:val="auto"/>
          <w:szCs w:val="24"/>
          <w:highlight w:val="none"/>
        </w:rPr>
        <w:t>2.2 招标文件的澄清</w:t>
      </w:r>
      <w:bookmarkEnd w:id="150"/>
      <w:bookmarkEnd w:id="151"/>
      <w:bookmarkEnd w:id="152"/>
      <w:bookmarkEnd w:id="153"/>
      <w:bookmarkEnd w:id="154"/>
      <w:bookmarkEnd w:id="155"/>
      <w:bookmarkEnd w:id="156"/>
      <w:bookmarkEnd w:id="157"/>
    </w:p>
    <w:p w14:paraId="68BC09F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20E729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招标文件的澄清以投标人须知前附表规定的形式发给所有投标人，但不指明澄清问题的来源。澄清发出的时间距本章第4.2.1项规定的投标截止时间不足15日的，并且澄清内容可能影响投标文件编制的，将相应延长投标截止时间。</w:t>
      </w:r>
    </w:p>
    <w:p w14:paraId="1FE4F4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 投标人在收到澄清后，应按投标人须知前附表规定的时间和形式通知招标人，确认已收到该澄清。</w:t>
      </w:r>
    </w:p>
    <w:p w14:paraId="124977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 除非招标人认为确有必要答复，否则，招标人有权拒绝回复投标人在本章第2.2.1项规定的时间后的任何澄清要求。</w:t>
      </w:r>
    </w:p>
    <w:p w14:paraId="6F4582D7">
      <w:pPr>
        <w:pStyle w:val="4"/>
        <w:spacing w:line="360" w:lineRule="auto"/>
        <w:ind w:firstLine="0" w:firstLineChars="0"/>
        <w:rPr>
          <w:rFonts w:hint="eastAsia" w:ascii="宋体" w:hAnsi="宋体" w:eastAsia="宋体" w:cs="宋体"/>
          <w:color w:val="auto"/>
          <w:szCs w:val="24"/>
          <w:highlight w:val="none"/>
        </w:rPr>
      </w:pPr>
      <w:bookmarkStart w:id="158" w:name="_Toc19220"/>
      <w:bookmarkStart w:id="159" w:name="_Toc21906"/>
      <w:bookmarkStart w:id="160" w:name="_Toc6375"/>
      <w:bookmarkStart w:id="161" w:name="_Toc11529"/>
      <w:bookmarkStart w:id="162" w:name="_Toc16341"/>
      <w:bookmarkStart w:id="163" w:name="_Toc3354"/>
      <w:bookmarkStart w:id="164" w:name="_Toc492300580"/>
      <w:bookmarkStart w:id="165" w:name="_Toc7145"/>
      <w:bookmarkStart w:id="166" w:name="_Toc352691479"/>
      <w:r>
        <w:rPr>
          <w:rFonts w:hint="eastAsia" w:ascii="宋体" w:hAnsi="宋体" w:eastAsia="宋体" w:cs="宋体"/>
          <w:color w:val="auto"/>
          <w:szCs w:val="24"/>
          <w:highlight w:val="none"/>
        </w:rPr>
        <w:t>2.3 招标文件的修</w:t>
      </w:r>
      <w:bookmarkStart w:id="167" w:name="_Toc369531521"/>
      <w:bookmarkStart w:id="168" w:name="_Toc16514"/>
      <w:r>
        <w:rPr>
          <w:rFonts w:hint="eastAsia" w:ascii="宋体" w:hAnsi="宋体" w:eastAsia="宋体" w:cs="宋体"/>
          <w:color w:val="auto"/>
          <w:szCs w:val="24"/>
          <w:highlight w:val="none"/>
        </w:rPr>
        <w:t>改</w:t>
      </w:r>
      <w:bookmarkEnd w:id="158"/>
      <w:bookmarkEnd w:id="159"/>
      <w:bookmarkEnd w:id="160"/>
      <w:bookmarkEnd w:id="161"/>
      <w:bookmarkEnd w:id="162"/>
      <w:bookmarkEnd w:id="163"/>
      <w:bookmarkEnd w:id="164"/>
      <w:bookmarkEnd w:id="165"/>
    </w:p>
    <w:p w14:paraId="61EB8E7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招标人以投标人须知前附表规定的形式修改招标文件，并通知所有投标人。修改招标文件的时间距本章第4.2.1项规定的投标截止时间不足15日的，并且修改内容可能影响投标文件编制的，将相应延长投标截止时间。</w:t>
      </w:r>
    </w:p>
    <w:bookmarkEnd w:id="166"/>
    <w:bookmarkEnd w:id="167"/>
    <w:bookmarkEnd w:id="168"/>
    <w:p w14:paraId="7E3376D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2.3.2 投标人收到修改内容</w:t>
      </w:r>
      <w:bookmarkStart w:id="169" w:name="_Toc384308218"/>
      <w:bookmarkStart w:id="170" w:name="_Toc247527562"/>
      <w:bookmarkStart w:id="171" w:name="_Toc300834958"/>
      <w:bookmarkStart w:id="172" w:name="_Toc352691482"/>
      <w:bookmarkStart w:id="173" w:name="_Toc369531524"/>
      <w:bookmarkStart w:id="174" w:name="_Toc152042314"/>
      <w:bookmarkStart w:id="175" w:name="_Toc247513961"/>
      <w:bookmarkStart w:id="176" w:name="_Toc144974506"/>
      <w:bookmarkStart w:id="177" w:name="_Toc24632"/>
      <w:bookmarkStart w:id="178" w:name="_Toc361508593"/>
      <w:bookmarkStart w:id="179" w:name="_Toc152045538"/>
      <w:r>
        <w:rPr>
          <w:rFonts w:hint="eastAsia" w:ascii="宋体" w:hAnsi="宋体" w:cs="宋体"/>
          <w:color w:val="auto"/>
          <w:sz w:val="24"/>
          <w:szCs w:val="24"/>
          <w:highlight w:val="none"/>
        </w:rPr>
        <w:t>后，</w:t>
      </w:r>
      <w:bookmarkEnd w:id="169"/>
      <w:bookmarkEnd w:id="170"/>
      <w:bookmarkEnd w:id="171"/>
      <w:bookmarkEnd w:id="172"/>
      <w:bookmarkEnd w:id="173"/>
      <w:bookmarkEnd w:id="174"/>
      <w:bookmarkEnd w:id="175"/>
      <w:bookmarkEnd w:id="176"/>
      <w:bookmarkEnd w:id="177"/>
      <w:bookmarkEnd w:id="178"/>
      <w:bookmarkEnd w:id="179"/>
      <w:bookmarkStart w:id="180" w:name="_Toc361508595"/>
      <w:bookmarkStart w:id="181" w:name="_Toc152042316"/>
      <w:bookmarkStart w:id="182" w:name="_Toc384308220"/>
      <w:bookmarkStart w:id="183" w:name="_Toc16623"/>
      <w:bookmarkStart w:id="184" w:name="_Toc247527564"/>
      <w:bookmarkStart w:id="185" w:name="_Toc352691484"/>
      <w:bookmarkStart w:id="186" w:name="_Toc300834960"/>
      <w:bookmarkStart w:id="187" w:name="_Toc247513963"/>
      <w:bookmarkStart w:id="188" w:name="_Toc369531526"/>
      <w:bookmarkStart w:id="189" w:name="_Toc144974508"/>
      <w:bookmarkStart w:id="190" w:name="_Toc152045540"/>
      <w:r>
        <w:rPr>
          <w:rFonts w:hint="eastAsia" w:ascii="宋体" w:hAnsi="宋体" w:cs="宋体"/>
          <w:color w:val="auto"/>
          <w:sz w:val="24"/>
          <w:szCs w:val="24"/>
          <w:highlight w:val="none"/>
        </w:rPr>
        <w:t>应按投标人须知前附表规定的时间和形式通知招标人，确认已收到该修改。</w:t>
      </w:r>
    </w:p>
    <w:p w14:paraId="2F8F5253">
      <w:pPr>
        <w:pStyle w:val="4"/>
        <w:spacing w:line="360" w:lineRule="auto"/>
        <w:ind w:firstLine="0" w:firstLineChars="0"/>
        <w:rPr>
          <w:rFonts w:hint="eastAsia" w:ascii="宋体" w:hAnsi="宋体" w:eastAsia="宋体" w:cs="宋体"/>
          <w:color w:val="auto"/>
          <w:szCs w:val="24"/>
          <w:highlight w:val="none"/>
        </w:rPr>
      </w:pPr>
      <w:bookmarkStart w:id="191" w:name="_Toc32698"/>
      <w:bookmarkStart w:id="192" w:name="_Toc9879"/>
      <w:bookmarkStart w:id="193" w:name="_Toc30063"/>
      <w:bookmarkStart w:id="194" w:name="_Toc11612"/>
      <w:bookmarkStart w:id="195" w:name="_Toc30892"/>
      <w:bookmarkStart w:id="196" w:name="_Toc492300581"/>
      <w:bookmarkStart w:id="197" w:name="_Toc333"/>
      <w:bookmarkStart w:id="198" w:name="_Toc12303"/>
      <w:r>
        <w:rPr>
          <w:rFonts w:hint="eastAsia" w:ascii="宋体" w:hAnsi="宋体" w:eastAsia="宋体" w:cs="宋体"/>
          <w:color w:val="auto"/>
          <w:szCs w:val="24"/>
          <w:highlight w:val="none"/>
        </w:rPr>
        <w:t>2.</w:t>
      </w:r>
      <w:bookmarkEnd w:id="180"/>
      <w:bookmarkEnd w:id="181"/>
      <w:bookmarkEnd w:id="182"/>
      <w:bookmarkEnd w:id="183"/>
      <w:bookmarkEnd w:id="184"/>
      <w:bookmarkEnd w:id="185"/>
      <w:bookmarkEnd w:id="186"/>
      <w:bookmarkEnd w:id="187"/>
      <w:bookmarkEnd w:id="188"/>
      <w:bookmarkEnd w:id="189"/>
      <w:bookmarkEnd w:id="190"/>
      <w:r>
        <w:rPr>
          <w:rFonts w:hint="eastAsia" w:ascii="宋体" w:hAnsi="宋体" w:eastAsia="宋体" w:cs="宋体"/>
          <w:color w:val="auto"/>
          <w:szCs w:val="24"/>
          <w:highlight w:val="none"/>
        </w:rPr>
        <w:t>4 招标文件的异议</w:t>
      </w:r>
      <w:bookmarkEnd w:id="191"/>
      <w:bookmarkEnd w:id="192"/>
      <w:bookmarkEnd w:id="193"/>
      <w:bookmarkEnd w:id="194"/>
      <w:bookmarkEnd w:id="195"/>
      <w:bookmarkEnd w:id="196"/>
      <w:bookmarkEnd w:id="197"/>
      <w:bookmarkEnd w:id="198"/>
    </w:p>
    <w:p w14:paraId="5C72FC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投标人或者其他利害关系人对招标文件有异议的，应当在投标截止时间10日前以书面形式提出。招标人将在收到异议之日起3日内作出答复；作出答复前，将暂停招标投标活动。</w:t>
      </w:r>
    </w:p>
    <w:p w14:paraId="1FF5C973">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投标人或利害关系人可以通过线下或线上的形式提出异议。线上提出异议的，应通过交易平台提交，招标人也应通过交易平台答复线上提出的异议。具体按照广州交易集团有限公司（广州公共资源交易中心）交易平台相关指南进行操作。</w:t>
      </w:r>
    </w:p>
    <w:p w14:paraId="314A4474">
      <w:pPr>
        <w:pStyle w:val="3"/>
        <w:spacing w:line="360" w:lineRule="auto"/>
        <w:rPr>
          <w:rFonts w:hint="eastAsia" w:ascii="宋体" w:hAnsi="宋体" w:eastAsia="宋体" w:cs="宋体"/>
          <w:color w:val="auto"/>
          <w:sz w:val="28"/>
          <w:szCs w:val="28"/>
          <w:highlight w:val="none"/>
        </w:rPr>
      </w:pPr>
      <w:bookmarkStart w:id="199" w:name="_Toc27522"/>
      <w:bookmarkStart w:id="200" w:name="_Toc492300582"/>
      <w:bookmarkStart w:id="201" w:name="_Toc27869"/>
      <w:bookmarkStart w:id="202" w:name="_Toc11693"/>
      <w:bookmarkStart w:id="203" w:name="_Toc32598"/>
      <w:bookmarkStart w:id="204" w:name="_Toc18605"/>
      <w:bookmarkStart w:id="205" w:name="_Toc8793"/>
      <w:bookmarkStart w:id="206" w:name="_Toc18998"/>
      <w:r>
        <w:rPr>
          <w:rFonts w:hint="eastAsia" w:ascii="宋体" w:hAnsi="宋体" w:eastAsia="宋体" w:cs="宋体"/>
          <w:color w:val="auto"/>
          <w:sz w:val="28"/>
          <w:szCs w:val="28"/>
          <w:highlight w:val="none"/>
        </w:rPr>
        <w:t>3. 投标文件</w:t>
      </w:r>
      <w:bookmarkEnd w:id="199"/>
      <w:bookmarkEnd w:id="200"/>
      <w:bookmarkEnd w:id="201"/>
      <w:bookmarkEnd w:id="202"/>
      <w:bookmarkEnd w:id="203"/>
      <w:bookmarkEnd w:id="204"/>
      <w:bookmarkEnd w:id="205"/>
      <w:bookmarkEnd w:id="206"/>
    </w:p>
    <w:p w14:paraId="00B4BDB7">
      <w:pPr>
        <w:pStyle w:val="4"/>
        <w:spacing w:line="360" w:lineRule="auto"/>
        <w:ind w:firstLine="0" w:firstLineChars="0"/>
        <w:rPr>
          <w:rFonts w:hint="eastAsia" w:ascii="宋体" w:hAnsi="宋体" w:eastAsia="宋体" w:cs="宋体"/>
          <w:color w:val="auto"/>
          <w:szCs w:val="24"/>
          <w:highlight w:val="none"/>
        </w:rPr>
      </w:pPr>
      <w:bookmarkStart w:id="207" w:name="_Toc14035"/>
      <w:bookmarkStart w:id="208" w:name="_Toc26587"/>
      <w:bookmarkStart w:id="209" w:name="_Toc31064"/>
      <w:bookmarkStart w:id="210" w:name="_Toc22448"/>
      <w:bookmarkStart w:id="211" w:name="_Toc8333"/>
      <w:bookmarkStart w:id="212" w:name="_Toc26287"/>
      <w:bookmarkStart w:id="213" w:name="_Toc492300583"/>
      <w:bookmarkStart w:id="214" w:name="_Toc16439"/>
      <w:r>
        <w:rPr>
          <w:rFonts w:hint="eastAsia" w:ascii="宋体" w:hAnsi="宋体" w:eastAsia="宋体" w:cs="宋体"/>
          <w:color w:val="auto"/>
          <w:szCs w:val="24"/>
          <w:highlight w:val="none"/>
        </w:rPr>
        <w:t>3.1 投标文件的组成</w:t>
      </w:r>
      <w:bookmarkEnd w:id="207"/>
      <w:bookmarkEnd w:id="208"/>
      <w:bookmarkEnd w:id="209"/>
      <w:bookmarkEnd w:id="210"/>
      <w:bookmarkEnd w:id="211"/>
      <w:bookmarkEnd w:id="212"/>
      <w:bookmarkEnd w:id="213"/>
      <w:bookmarkEnd w:id="214"/>
    </w:p>
    <w:p w14:paraId="61A02FE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 投标文件应包括下列内容：</w:t>
      </w:r>
    </w:p>
    <w:p w14:paraId="075639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033A18C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14:paraId="6DAA8AC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（3）投标报价表；</w:t>
      </w:r>
    </w:p>
    <w:p w14:paraId="69EF590A">
      <w:pPr>
        <w:spacing w:line="360" w:lineRule="auto"/>
        <w:ind w:firstLine="480" w:firstLineChars="200"/>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4）</w:t>
      </w:r>
      <w:r>
        <w:rPr>
          <w:rFonts w:hint="eastAsia" w:ascii="宋体" w:hAnsi="宋体" w:eastAsia="宋体" w:cs="宋体"/>
          <w:color w:val="auto"/>
          <w:highlight w:val="none"/>
        </w:rPr>
        <w:t>关于投标保证金的承诺</w:t>
      </w:r>
    </w:p>
    <w:p w14:paraId="5B27343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）资格审查资料；</w:t>
      </w:r>
    </w:p>
    <w:p w14:paraId="60E40C1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方案；</w:t>
      </w:r>
    </w:p>
    <w:p w14:paraId="01E2757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）其他资料。</w:t>
      </w:r>
    </w:p>
    <w:p w14:paraId="0AF540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投标人在评标过程中作出的符合法律法规和招标文件规定的澄清确认，构成投标文件的组成部分。</w:t>
      </w:r>
    </w:p>
    <w:p w14:paraId="15DC5CB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3.1.2 投标人须知前附表规定不接受联合体投标的，或投标人没有组成联合体的，投标文件不包括本章第3.1.1（3）目所指的联合体协议书。</w:t>
      </w:r>
    </w:p>
    <w:p w14:paraId="088670F0">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3.1.3 投标人须知前附表未要求提交投标保证金的，投标文件不包括本章第3.1.1（4）目所指的投标保证金。</w:t>
      </w:r>
    </w:p>
    <w:p w14:paraId="50547140">
      <w:pPr>
        <w:pStyle w:val="4"/>
        <w:spacing w:line="360" w:lineRule="auto"/>
        <w:ind w:firstLine="0" w:firstLineChars="0"/>
        <w:rPr>
          <w:rFonts w:hint="eastAsia" w:ascii="宋体" w:hAnsi="宋体" w:eastAsia="宋体" w:cs="宋体"/>
          <w:color w:val="auto"/>
          <w:szCs w:val="24"/>
          <w:highlight w:val="none"/>
        </w:rPr>
      </w:pPr>
      <w:bookmarkStart w:id="215" w:name="_Toc4291"/>
      <w:bookmarkStart w:id="216" w:name="_Toc32515"/>
      <w:bookmarkStart w:id="217" w:name="_Toc15851"/>
      <w:bookmarkStart w:id="218" w:name="_Toc27272"/>
      <w:bookmarkStart w:id="219" w:name="_Toc13408"/>
      <w:bookmarkStart w:id="220" w:name="_Toc27845"/>
      <w:bookmarkStart w:id="221" w:name="_Toc28363"/>
      <w:bookmarkStart w:id="222" w:name="_Toc492300584"/>
      <w:r>
        <w:rPr>
          <w:rFonts w:hint="eastAsia" w:ascii="宋体" w:hAnsi="宋体" w:eastAsia="宋体" w:cs="宋体"/>
          <w:color w:val="auto"/>
          <w:szCs w:val="24"/>
          <w:highlight w:val="none"/>
        </w:rPr>
        <w:t>3.2 投标报价</w:t>
      </w:r>
      <w:bookmarkEnd w:id="215"/>
      <w:bookmarkEnd w:id="216"/>
      <w:bookmarkEnd w:id="217"/>
      <w:bookmarkEnd w:id="218"/>
      <w:bookmarkEnd w:id="219"/>
      <w:bookmarkEnd w:id="220"/>
      <w:bookmarkEnd w:id="221"/>
      <w:bookmarkEnd w:id="222"/>
    </w:p>
    <w:p w14:paraId="387DF7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3.2.1投标报价应包括国家规定的增值税税金，除投标人须知前附表另有规定外，增值税税金按一般计税方法计算。投标人应按第六章“投标文件格式”的要求在投标函中进行报价并填写投标报价表。</w:t>
      </w:r>
    </w:p>
    <w:p w14:paraId="4B1BC8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 投标人应充分了解该项目的总体情况以及影响投标报价的其他要素。</w:t>
      </w:r>
    </w:p>
    <w:p w14:paraId="72EDD0C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w:t>
      </w:r>
      <w:bookmarkStart w:id="223" w:name="_Toc247513967"/>
      <w:bookmarkEnd w:id="223"/>
      <w:bookmarkStart w:id="224" w:name="_Toc152045543"/>
      <w:bookmarkEnd w:id="224"/>
      <w:bookmarkStart w:id="225" w:name="_Toc300834964"/>
      <w:bookmarkEnd w:id="225"/>
      <w:bookmarkStart w:id="226" w:name="_Toc15242"/>
      <w:bookmarkEnd w:id="226"/>
      <w:bookmarkStart w:id="227" w:name="_Toc384308224"/>
      <w:bookmarkEnd w:id="227"/>
      <w:bookmarkStart w:id="228" w:name="_Toc352691487"/>
      <w:bookmarkEnd w:id="228"/>
      <w:bookmarkStart w:id="229" w:name="_Toc361508599"/>
      <w:bookmarkEnd w:id="229"/>
      <w:bookmarkStart w:id="230" w:name="_Toc152042319"/>
      <w:bookmarkEnd w:id="230"/>
      <w:bookmarkStart w:id="231" w:name="_Toc247527568"/>
      <w:bookmarkEnd w:id="231"/>
      <w:bookmarkStart w:id="232" w:name="_Toc369531530"/>
      <w:bookmarkEnd w:id="232"/>
      <w:bookmarkStart w:id="233" w:name="_Toc144974511"/>
      <w:bookmarkEnd w:id="233"/>
      <w:r>
        <w:rPr>
          <w:rFonts w:hint="eastAsia" w:ascii="宋体" w:hAnsi="宋体" w:cs="宋体"/>
          <w:color w:val="auto"/>
          <w:sz w:val="24"/>
          <w:szCs w:val="24"/>
          <w:highlight w:val="none"/>
        </w:rPr>
        <w:t xml:space="preserve"> 本项目的报价方式见投标人须知前附表。投标人在投标截止时间前修改投标函中的投标报价总额，应同时修改投标文件“投标报价表”中的相应报价。此修改须符合本章第4.3款的有关要求。</w:t>
      </w:r>
    </w:p>
    <w:p w14:paraId="627A46E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3.2.4招标人设有最高投标限价的，投标人的投标报价不得超过最高投标限价，最高投标限价在投标</w:t>
      </w:r>
      <w:bookmarkStart w:id="234" w:name="_Toc369531531"/>
      <w:bookmarkStart w:id="235" w:name="_Toc300834965"/>
      <w:bookmarkStart w:id="236" w:name="_Toc352691488"/>
      <w:bookmarkStart w:id="237" w:name="_Toc152042320"/>
      <w:bookmarkStart w:id="238" w:name="_Toc144974512"/>
      <w:bookmarkStart w:id="239" w:name="_Toc247513968"/>
      <w:bookmarkStart w:id="240" w:name="_Toc152045544"/>
      <w:bookmarkStart w:id="241" w:name="_Toc247527569"/>
      <w:bookmarkStart w:id="242" w:name="_Toc10429"/>
      <w:bookmarkStart w:id="243" w:name="_Toc361508600"/>
      <w:bookmarkStart w:id="244" w:name="_Toc384308225"/>
      <w:r>
        <w:rPr>
          <w:rFonts w:hint="eastAsia" w:ascii="宋体" w:hAnsi="宋体" w:cs="宋体"/>
          <w:color w:val="auto"/>
          <w:sz w:val="24"/>
          <w:szCs w:val="24"/>
          <w:highlight w:val="none"/>
        </w:rPr>
        <w:t>人须知前附表中载明。</w:t>
      </w:r>
      <w:bookmarkEnd w:id="234"/>
      <w:bookmarkEnd w:id="235"/>
      <w:bookmarkEnd w:id="236"/>
      <w:bookmarkEnd w:id="237"/>
      <w:bookmarkEnd w:id="238"/>
      <w:bookmarkEnd w:id="239"/>
      <w:bookmarkEnd w:id="240"/>
      <w:bookmarkEnd w:id="241"/>
      <w:bookmarkEnd w:id="242"/>
      <w:bookmarkEnd w:id="243"/>
      <w:bookmarkEnd w:id="244"/>
    </w:p>
    <w:p w14:paraId="35CB19F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3.2.5 投标报价的其他要求见投标人须知前附表。</w:t>
      </w:r>
    </w:p>
    <w:p w14:paraId="6C455F36">
      <w:pPr>
        <w:pStyle w:val="4"/>
        <w:spacing w:line="360" w:lineRule="auto"/>
        <w:ind w:firstLine="0" w:firstLineChars="0"/>
        <w:rPr>
          <w:rFonts w:hint="eastAsia" w:ascii="宋体" w:hAnsi="宋体" w:eastAsia="宋体" w:cs="宋体"/>
          <w:color w:val="auto"/>
          <w:szCs w:val="24"/>
          <w:highlight w:val="none"/>
        </w:rPr>
      </w:pPr>
      <w:bookmarkStart w:id="245" w:name="_Toc2810"/>
      <w:bookmarkStart w:id="246" w:name="_Toc27035"/>
      <w:bookmarkStart w:id="247" w:name="_Toc24303"/>
      <w:bookmarkStart w:id="248" w:name="_Toc20912"/>
      <w:bookmarkStart w:id="249" w:name="_Toc10185"/>
      <w:bookmarkStart w:id="250" w:name="_Toc25774"/>
      <w:bookmarkStart w:id="251" w:name="_Toc4335"/>
      <w:bookmarkStart w:id="252" w:name="_Toc492300585"/>
      <w:r>
        <w:rPr>
          <w:rFonts w:hint="eastAsia" w:ascii="宋体" w:hAnsi="宋体" w:eastAsia="宋体" w:cs="宋体"/>
          <w:color w:val="auto"/>
          <w:szCs w:val="24"/>
          <w:highlight w:val="none"/>
        </w:rPr>
        <w:t>3.3 投标有效期</w:t>
      </w:r>
      <w:bookmarkEnd w:id="245"/>
      <w:bookmarkEnd w:id="246"/>
      <w:bookmarkEnd w:id="247"/>
      <w:bookmarkEnd w:id="248"/>
      <w:bookmarkEnd w:id="249"/>
      <w:bookmarkEnd w:id="250"/>
      <w:bookmarkEnd w:id="251"/>
      <w:bookmarkEnd w:id="252"/>
    </w:p>
    <w:p w14:paraId="74212A6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除投标人须知前附表另有规定外，投标有效期为90天。</w:t>
      </w:r>
    </w:p>
    <w:p w14:paraId="74D5DF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在投标有效期内，投标人撤销投标文件的，应承担招标文件和法律规定的责任。</w:t>
      </w:r>
    </w:p>
    <w:p w14:paraId="1A64511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出现特殊情况需要延长投标有效期的，招标人以书面形式通知所有投标人延长投标有效期。投标人应予以书面答复，同意延长的，</w:t>
      </w:r>
      <w:r>
        <w:rPr>
          <w:rFonts w:hint="eastAsia" w:ascii="宋体" w:hAnsi="宋体" w:cs="宋体"/>
          <w:strike/>
          <w:color w:val="auto"/>
          <w:sz w:val="24"/>
          <w:szCs w:val="24"/>
          <w:highlight w:val="none"/>
        </w:rPr>
        <w:t>应相应延长其投标保证金的有效期，</w:t>
      </w:r>
      <w:r>
        <w:rPr>
          <w:rFonts w:hint="eastAsia" w:ascii="宋体" w:hAnsi="宋体" w:cs="宋体"/>
          <w:color w:val="auto"/>
          <w:sz w:val="24"/>
          <w:szCs w:val="24"/>
          <w:highlight w:val="none"/>
        </w:rPr>
        <w:t>但不得要求或被允许修改其投标文件；投标人拒绝延长的，其投标失效</w:t>
      </w:r>
      <w:r>
        <w:rPr>
          <w:rFonts w:hint="eastAsia" w:ascii="宋体" w:hAnsi="宋体" w:cs="宋体"/>
          <w:strike/>
          <w:color w:val="auto"/>
          <w:sz w:val="24"/>
          <w:szCs w:val="24"/>
          <w:highlight w:val="none"/>
        </w:rPr>
        <w:t>，但投标人有权收回其投标保证金及以现金或者支票形式递交的投标保证金的银行同期存款利息</w:t>
      </w:r>
      <w:r>
        <w:rPr>
          <w:rFonts w:hint="eastAsia" w:ascii="宋体" w:hAnsi="宋体" w:cs="宋体"/>
          <w:color w:val="auto"/>
          <w:sz w:val="24"/>
          <w:szCs w:val="24"/>
          <w:highlight w:val="none"/>
        </w:rPr>
        <w:t>。</w:t>
      </w:r>
    </w:p>
    <w:p w14:paraId="666EE420">
      <w:pPr>
        <w:pStyle w:val="4"/>
        <w:spacing w:line="360" w:lineRule="auto"/>
        <w:ind w:firstLine="0" w:firstLineChars="0"/>
        <w:rPr>
          <w:rFonts w:hint="eastAsia" w:ascii="宋体" w:hAnsi="宋体" w:eastAsia="宋体" w:cs="宋体"/>
          <w:color w:val="auto"/>
          <w:szCs w:val="24"/>
          <w:highlight w:val="none"/>
        </w:rPr>
      </w:pPr>
      <w:bookmarkStart w:id="253" w:name="_Toc26401"/>
      <w:bookmarkStart w:id="254" w:name="_Toc29543"/>
      <w:bookmarkStart w:id="255" w:name="_Toc30597"/>
      <w:bookmarkStart w:id="256" w:name="_Toc12714"/>
      <w:bookmarkStart w:id="257" w:name="_Toc16740"/>
      <w:bookmarkStart w:id="258" w:name="_Toc5522"/>
      <w:bookmarkStart w:id="259" w:name="_Toc27738"/>
      <w:bookmarkStart w:id="260" w:name="_Toc492300586"/>
      <w:r>
        <w:rPr>
          <w:rFonts w:hint="eastAsia" w:ascii="宋体" w:hAnsi="宋体" w:eastAsia="宋体" w:cs="宋体"/>
          <w:color w:val="auto"/>
          <w:szCs w:val="24"/>
          <w:highlight w:val="none"/>
        </w:rPr>
        <w:t>3.4 投标保证金</w:t>
      </w:r>
      <w:bookmarkEnd w:id="253"/>
      <w:bookmarkEnd w:id="254"/>
      <w:bookmarkEnd w:id="255"/>
      <w:bookmarkEnd w:id="256"/>
      <w:bookmarkEnd w:id="257"/>
      <w:bookmarkEnd w:id="258"/>
      <w:bookmarkEnd w:id="259"/>
      <w:bookmarkEnd w:id="260"/>
    </w:p>
    <w:p w14:paraId="4F07E58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 本项目免收投标保证金，投标人需提供《关于投标保证金的承诺》（格式见第六章 投标文件格式）。</w:t>
      </w:r>
    </w:p>
    <w:p w14:paraId="5A81903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3.4.2若投标人存在3.4.3条款所列不予退还投标保证金情形的，需按照招标人的要求，在发现存在3.4.3条款所列情形之日起5个工作日内向招标人足额补交投标保证金。</w:t>
      </w:r>
    </w:p>
    <w:p w14:paraId="4B48924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3.4.3不予退还投标保证金情形：</w:t>
      </w:r>
    </w:p>
    <w:p w14:paraId="0B6BC96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（1）投标人在投标有效期内撤回投标标书；</w:t>
      </w:r>
    </w:p>
    <w:p w14:paraId="2EA1C8E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（2）中标人在收到中标通知书后，无正当理由不与招标人订立合同，在签订合同时向招标人提出附加条件，或者不按照招标文件要求提交履约保证金；</w:t>
      </w:r>
    </w:p>
    <w:p w14:paraId="05CE2FB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（3）发生投标人须知前附表规定的其他可以不予退还投标保证金的情形。</w:t>
      </w:r>
    </w:p>
    <w:p w14:paraId="49BCA5F5">
      <w:pPr>
        <w:pStyle w:val="4"/>
        <w:spacing w:line="360" w:lineRule="auto"/>
        <w:ind w:firstLine="0" w:firstLineChars="0"/>
        <w:rPr>
          <w:rFonts w:hint="eastAsia" w:ascii="宋体" w:hAnsi="宋体" w:eastAsia="宋体" w:cs="宋体"/>
          <w:color w:val="auto"/>
          <w:szCs w:val="24"/>
          <w:highlight w:val="none"/>
        </w:rPr>
      </w:pPr>
      <w:bookmarkStart w:id="261" w:name="_Toc15036"/>
      <w:bookmarkStart w:id="262" w:name="_Toc492300588"/>
      <w:bookmarkStart w:id="263" w:name="_Toc11489"/>
      <w:bookmarkStart w:id="264" w:name="_Toc5941"/>
      <w:bookmarkStart w:id="265" w:name="_Toc24524"/>
      <w:bookmarkStart w:id="266" w:name="_Toc30937"/>
      <w:bookmarkStart w:id="267" w:name="_Toc7646"/>
      <w:bookmarkStart w:id="268" w:name="_Toc5639"/>
      <w:r>
        <w:rPr>
          <w:rFonts w:hint="eastAsia" w:ascii="宋体" w:hAnsi="宋体" w:eastAsia="宋体" w:cs="宋体"/>
          <w:color w:val="auto"/>
          <w:szCs w:val="24"/>
          <w:highlight w:val="none"/>
        </w:rPr>
        <w:t>3.5 资格审查资料（适用于未进行资格预审的）</w:t>
      </w:r>
      <w:bookmarkEnd w:id="261"/>
      <w:bookmarkEnd w:id="262"/>
      <w:bookmarkEnd w:id="263"/>
      <w:bookmarkEnd w:id="264"/>
      <w:bookmarkEnd w:id="265"/>
      <w:bookmarkEnd w:id="266"/>
      <w:bookmarkEnd w:id="267"/>
      <w:bookmarkEnd w:id="268"/>
    </w:p>
    <w:p w14:paraId="513A2BD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除投标人须知前附表另有规定外，投标人应按下列规定提供资格审查资料，以证明其满足本章第1.4款规定的资质、财务、业绩、信誉等要求。</w:t>
      </w:r>
    </w:p>
    <w:p w14:paraId="09E6A5E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详见招标公告。</w:t>
      </w:r>
    </w:p>
    <w:p w14:paraId="49048BF0">
      <w:pPr>
        <w:pStyle w:val="4"/>
        <w:spacing w:line="360" w:lineRule="auto"/>
        <w:ind w:firstLine="0" w:firstLineChars="0"/>
        <w:rPr>
          <w:rFonts w:hint="eastAsia" w:ascii="宋体" w:hAnsi="宋体" w:eastAsia="宋体" w:cs="宋体"/>
          <w:color w:val="auto"/>
          <w:szCs w:val="24"/>
          <w:highlight w:val="none"/>
        </w:rPr>
      </w:pPr>
      <w:bookmarkStart w:id="269" w:name="_Toc19100"/>
      <w:bookmarkStart w:id="270" w:name="_Toc8890"/>
      <w:bookmarkStart w:id="271" w:name="_Toc15775"/>
      <w:bookmarkStart w:id="272" w:name="_Toc22361"/>
      <w:bookmarkStart w:id="273" w:name="_Toc14983"/>
      <w:bookmarkStart w:id="274" w:name="_Toc21646"/>
      <w:bookmarkStart w:id="275" w:name="_Toc24690"/>
      <w:bookmarkStart w:id="276" w:name="_Toc492300589"/>
      <w:r>
        <w:rPr>
          <w:rFonts w:hint="eastAsia" w:ascii="宋体" w:hAnsi="宋体" w:eastAsia="宋体" w:cs="宋体"/>
          <w:color w:val="auto"/>
          <w:szCs w:val="24"/>
          <w:highlight w:val="none"/>
        </w:rPr>
        <w:t>3.6 备选投标方案</w:t>
      </w:r>
      <w:bookmarkEnd w:id="269"/>
      <w:bookmarkEnd w:id="270"/>
      <w:bookmarkEnd w:id="271"/>
      <w:bookmarkEnd w:id="272"/>
      <w:bookmarkEnd w:id="273"/>
      <w:bookmarkEnd w:id="274"/>
      <w:bookmarkEnd w:id="275"/>
      <w:bookmarkEnd w:id="276"/>
    </w:p>
    <w:p w14:paraId="665B135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3.6.1 除投标人须知前附表规定允许外，投标人不得递交备选投标方案，否则其投标将被否决。</w:t>
      </w:r>
    </w:p>
    <w:p w14:paraId="0E0DE4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011C821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3.6.3 投标人提供两个或两个以上投标报价，或者在投标文件中提供一个报价，但同时提供两个或两个以上</w:t>
      </w:r>
      <w:bookmarkStart w:id="277" w:name="_Toc247527575"/>
      <w:bookmarkStart w:id="278" w:name="_Toc29902"/>
      <w:bookmarkStart w:id="279" w:name="_Toc352691495"/>
      <w:bookmarkStart w:id="280" w:name="_Toc144974518"/>
      <w:bookmarkStart w:id="281" w:name="_Toc369531538"/>
      <w:bookmarkStart w:id="282" w:name="_Toc300834971"/>
      <w:bookmarkStart w:id="283" w:name="_Toc152042326"/>
      <w:bookmarkStart w:id="284" w:name="_Toc361508607"/>
      <w:bookmarkStart w:id="285" w:name="_Toc152045550"/>
      <w:bookmarkStart w:id="286" w:name="_Toc384308232"/>
      <w:bookmarkStart w:id="287" w:name="_Toc247513974"/>
      <w:r>
        <w:rPr>
          <w:rFonts w:hint="eastAsia" w:ascii="宋体" w:hAnsi="宋体" w:cs="宋体"/>
          <w:color w:val="auto"/>
          <w:sz w:val="24"/>
          <w:szCs w:val="24"/>
          <w:highlight w:val="none"/>
        </w:rPr>
        <w:t>方案的</w:t>
      </w:r>
      <w:bookmarkEnd w:id="277"/>
      <w:bookmarkEnd w:id="278"/>
      <w:bookmarkEnd w:id="279"/>
      <w:bookmarkEnd w:id="280"/>
      <w:bookmarkEnd w:id="281"/>
      <w:bookmarkEnd w:id="282"/>
      <w:bookmarkEnd w:id="283"/>
      <w:bookmarkEnd w:id="284"/>
      <w:bookmarkEnd w:id="285"/>
      <w:bookmarkEnd w:id="286"/>
      <w:bookmarkEnd w:id="287"/>
      <w:r>
        <w:rPr>
          <w:rFonts w:hint="eastAsia" w:ascii="宋体" w:hAnsi="宋体" w:cs="宋体"/>
          <w:color w:val="auto"/>
          <w:sz w:val="24"/>
          <w:szCs w:val="24"/>
          <w:highlight w:val="none"/>
        </w:rPr>
        <w:t>，视为提供备选方案。</w:t>
      </w:r>
    </w:p>
    <w:p w14:paraId="60AA1307">
      <w:pPr>
        <w:pStyle w:val="4"/>
        <w:spacing w:line="360" w:lineRule="auto"/>
        <w:ind w:firstLine="0" w:firstLineChars="0"/>
        <w:rPr>
          <w:rFonts w:hint="eastAsia" w:ascii="宋体" w:hAnsi="宋体" w:eastAsia="宋体" w:cs="宋体"/>
          <w:color w:val="auto"/>
          <w:szCs w:val="24"/>
          <w:highlight w:val="none"/>
        </w:rPr>
      </w:pPr>
      <w:bookmarkStart w:id="288" w:name="_Toc28209"/>
      <w:bookmarkStart w:id="289" w:name="_Toc18836"/>
      <w:bookmarkStart w:id="290" w:name="_Toc15838"/>
      <w:bookmarkStart w:id="291" w:name="_Toc6577"/>
      <w:bookmarkStart w:id="292" w:name="_Toc21879"/>
      <w:bookmarkStart w:id="293" w:name="_Toc12491"/>
      <w:bookmarkStart w:id="294" w:name="_Toc19725"/>
      <w:bookmarkStart w:id="295" w:name="_Toc492300590"/>
      <w:r>
        <w:rPr>
          <w:rFonts w:hint="eastAsia" w:ascii="宋体" w:hAnsi="宋体" w:eastAsia="宋体" w:cs="宋体"/>
          <w:color w:val="auto"/>
          <w:szCs w:val="24"/>
          <w:highlight w:val="none"/>
        </w:rPr>
        <w:t>3.7 投标文件的编制</w:t>
      </w:r>
      <w:bookmarkEnd w:id="288"/>
      <w:bookmarkEnd w:id="289"/>
      <w:bookmarkEnd w:id="290"/>
      <w:bookmarkEnd w:id="291"/>
      <w:bookmarkEnd w:id="292"/>
      <w:bookmarkEnd w:id="293"/>
      <w:bookmarkEnd w:id="294"/>
      <w:bookmarkEnd w:id="295"/>
    </w:p>
    <w:p w14:paraId="0C74530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36AE674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3.7.2 投标文件应当对招标文件有关服务期限、投标有效期、委托人要求、招标范围等实质性内容作出响应。</w:t>
      </w:r>
    </w:p>
    <w:p w14:paraId="165EC2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3.7.3（B）投标文件全部采用电子文档，除投标人须知前附表另有规定外，投标文件所附证书证件均为清晰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14:paraId="1F5986DB">
      <w:pPr>
        <w:pStyle w:val="3"/>
        <w:spacing w:line="360" w:lineRule="auto"/>
        <w:rPr>
          <w:rFonts w:hint="eastAsia" w:ascii="宋体" w:hAnsi="宋体" w:eastAsia="宋体" w:cs="宋体"/>
          <w:color w:val="auto"/>
          <w:sz w:val="28"/>
          <w:szCs w:val="28"/>
          <w:highlight w:val="none"/>
        </w:rPr>
      </w:pPr>
      <w:bookmarkStart w:id="296" w:name="_Toc492300591"/>
      <w:bookmarkStart w:id="297" w:name="_Toc1464"/>
      <w:bookmarkStart w:id="298" w:name="_Toc5182"/>
      <w:bookmarkStart w:id="299" w:name="_Toc10003"/>
      <w:bookmarkStart w:id="300" w:name="_Toc10101"/>
      <w:bookmarkStart w:id="301" w:name="_Toc21771"/>
      <w:bookmarkStart w:id="302" w:name="_Toc31476"/>
      <w:bookmarkStart w:id="303" w:name="_Toc26591"/>
      <w:r>
        <w:rPr>
          <w:rFonts w:hint="eastAsia" w:ascii="宋体" w:hAnsi="宋体" w:eastAsia="宋体" w:cs="宋体"/>
          <w:color w:val="auto"/>
          <w:sz w:val="28"/>
          <w:szCs w:val="28"/>
          <w:highlight w:val="none"/>
        </w:rPr>
        <w:t>4. 投标</w:t>
      </w:r>
      <w:bookmarkEnd w:id="296"/>
      <w:bookmarkEnd w:id="297"/>
      <w:bookmarkEnd w:id="298"/>
      <w:bookmarkEnd w:id="299"/>
      <w:bookmarkEnd w:id="300"/>
      <w:bookmarkEnd w:id="301"/>
      <w:bookmarkEnd w:id="302"/>
      <w:bookmarkEnd w:id="303"/>
    </w:p>
    <w:p w14:paraId="372B76E5">
      <w:pPr>
        <w:pStyle w:val="4"/>
        <w:spacing w:line="360" w:lineRule="auto"/>
        <w:ind w:firstLine="0" w:firstLineChars="0"/>
        <w:rPr>
          <w:rFonts w:hint="eastAsia" w:ascii="宋体" w:hAnsi="宋体" w:eastAsia="宋体" w:cs="宋体"/>
          <w:color w:val="auto"/>
          <w:szCs w:val="24"/>
          <w:highlight w:val="none"/>
        </w:rPr>
      </w:pPr>
      <w:bookmarkStart w:id="304" w:name="_Toc21559"/>
      <w:bookmarkStart w:id="305" w:name="_Toc26160"/>
      <w:bookmarkStart w:id="306" w:name="_Toc20798"/>
      <w:bookmarkStart w:id="307" w:name="_Toc16071"/>
      <w:bookmarkStart w:id="308" w:name="_Toc31527"/>
      <w:bookmarkStart w:id="309" w:name="_Toc492300592"/>
      <w:bookmarkStart w:id="310" w:name="_Toc13412"/>
      <w:bookmarkStart w:id="311" w:name="_Toc1661"/>
      <w:r>
        <w:rPr>
          <w:rFonts w:hint="eastAsia" w:ascii="宋体" w:hAnsi="宋体" w:eastAsia="宋体" w:cs="宋体"/>
          <w:color w:val="auto"/>
          <w:szCs w:val="24"/>
          <w:highlight w:val="none"/>
        </w:rPr>
        <w:t>4.1 投标文件的密封和标记</w:t>
      </w:r>
      <w:bookmarkEnd w:id="304"/>
      <w:bookmarkEnd w:id="305"/>
      <w:bookmarkEnd w:id="306"/>
      <w:bookmarkEnd w:id="307"/>
      <w:bookmarkEnd w:id="308"/>
      <w:bookmarkEnd w:id="309"/>
      <w:bookmarkEnd w:id="310"/>
      <w:bookmarkEnd w:id="311"/>
    </w:p>
    <w:p w14:paraId="6258A8E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 （B）投标人应当按照招标文件和电子招标投标交易平台的要求加密投标文件，具体要求见投标人须知前附表。</w:t>
      </w:r>
    </w:p>
    <w:p w14:paraId="237804A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 投标文件封套上应写明的内容见投标人须知前附表。</w:t>
      </w:r>
    </w:p>
    <w:p w14:paraId="608DE61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 未按本章第4.1.1项要求密封的投标文件，招标人将予以拒收。</w:t>
      </w:r>
    </w:p>
    <w:p w14:paraId="721F69C7">
      <w:pPr>
        <w:pStyle w:val="4"/>
        <w:spacing w:line="360" w:lineRule="auto"/>
        <w:ind w:firstLine="0" w:firstLineChars="0"/>
        <w:rPr>
          <w:rFonts w:hint="eastAsia" w:ascii="宋体" w:hAnsi="宋体" w:eastAsia="宋体" w:cs="宋体"/>
          <w:color w:val="auto"/>
          <w:szCs w:val="24"/>
          <w:highlight w:val="none"/>
        </w:rPr>
      </w:pPr>
      <w:bookmarkStart w:id="312" w:name="_Toc767"/>
      <w:bookmarkStart w:id="313" w:name="_Toc492300593"/>
      <w:bookmarkStart w:id="314" w:name="_Toc8542"/>
      <w:bookmarkStart w:id="315" w:name="_Toc29912"/>
      <w:bookmarkStart w:id="316" w:name="_Toc28965"/>
      <w:bookmarkStart w:id="317" w:name="_Toc18806"/>
      <w:bookmarkStart w:id="318" w:name="_Toc22506"/>
      <w:bookmarkStart w:id="319" w:name="_Toc21455"/>
      <w:r>
        <w:rPr>
          <w:rFonts w:hint="eastAsia" w:ascii="宋体" w:hAnsi="宋体" w:eastAsia="宋体" w:cs="宋体"/>
          <w:color w:val="auto"/>
          <w:szCs w:val="24"/>
          <w:highlight w:val="none"/>
        </w:rPr>
        <w:t>4.2 投标文件的递交</w:t>
      </w:r>
      <w:bookmarkEnd w:id="312"/>
      <w:bookmarkEnd w:id="313"/>
      <w:bookmarkEnd w:id="314"/>
      <w:bookmarkEnd w:id="315"/>
      <w:bookmarkEnd w:id="316"/>
      <w:bookmarkEnd w:id="317"/>
      <w:bookmarkEnd w:id="318"/>
      <w:bookmarkEnd w:id="319"/>
    </w:p>
    <w:p w14:paraId="3D9631B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4.2.1 投标人应在投标人须知前附表规定的投标截止时间前递交投标文件。</w:t>
      </w:r>
    </w:p>
    <w:p w14:paraId="67FB205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4.2.2 （B）</w:t>
      </w:r>
      <w:r>
        <w:rPr>
          <w:rFonts w:hint="eastAsia" w:ascii="宋体" w:hAnsi="宋体" w:cs="宋体"/>
          <w:bCs/>
          <w:iCs/>
          <w:color w:val="auto"/>
          <w:sz w:val="24"/>
          <w:szCs w:val="24"/>
          <w:highlight w:val="none"/>
        </w:rPr>
        <w:t>投标人通过下载招标文件的电子招标投标交易平台递交电子投标文件。</w:t>
      </w:r>
    </w:p>
    <w:p w14:paraId="5FAB56C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4.2.3 除投标人须知前附表另有规定外，投标人所递交的投标文件不予退还。</w:t>
      </w:r>
    </w:p>
    <w:p w14:paraId="23EDFD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4.2.4 （B）投标人完成电子投标文件上传后，</w:t>
      </w:r>
      <w:r>
        <w:rPr>
          <w:rFonts w:hint="eastAsia" w:ascii="宋体" w:hAnsi="宋体" w:cs="宋体"/>
          <w:bCs/>
          <w:iCs/>
          <w:color w:val="auto"/>
          <w:sz w:val="24"/>
          <w:szCs w:val="24"/>
          <w:highlight w:val="none"/>
        </w:rPr>
        <w:t>电子招标投标交易平台</w:t>
      </w:r>
      <w:r>
        <w:rPr>
          <w:rFonts w:hint="eastAsia" w:ascii="宋体" w:hAnsi="宋体" w:cs="宋体"/>
          <w:color w:val="auto"/>
          <w:sz w:val="24"/>
          <w:szCs w:val="24"/>
          <w:highlight w:val="none"/>
        </w:rPr>
        <w:t>即时向投标人发出递交回执通知。递交时间以递交回执通知载明的传输完成时间为准。</w:t>
      </w:r>
    </w:p>
    <w:p w14:paraId="55AA509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4.2.5 （B）逾期送达的投标文件，电子招标投标交易平台将予以拒收。</w:t>
      </w:r>
    </w:p>
    <w:p w14:paraId="350FE6C3">
      <w:pPr>
        <w:spacing w:line="360" w:lineRule="auto"/>
        <w:ind w:firstLine="480" w:firstLineChars="200"/>
        <w:rPr>
          <w:rFonts w:hint="eastAsia" w:ascii="宋体" w:hAnsi="宋体" w:cs="宋体"/>
          <w:color w:val="auto"/>
          <w:sz w:val="24"/>
          <w:szCs w:val="24"/>
          <w:highlight w:val="none"/>
        </w:rPr>
      </w:pPr>
    </w:p>
    <w:p w14:paraId="67A2C925">
      <w:pPr>
        <w:pStyle w:val="4"/>
        <w:spacing w:line="360" w:lineRule="auto"/>
        <w:ind w:firstLine="0" w:firstLineChars="0"/>
        <w:rPr>
          <w:rFonts w:hint="eastAsia" w:ascii="宋体" w:hAnsi="宋体" w:eastAsia="宋体" w:cs="宋体"/>
          <w:color w:val="auto"/>
          <w:szCs w:val="24"/>
          <w:highlight w:val="none"/>
        </w:rPr>
      </w:pPr>
      <w:bookmarkStart w:id="320" w:name="_Toc26387"/>
      <w:bookmarkStart w:id="321" w:name="_Toc4752"/>
      <w:bookmarkStart w:id="322" w:name="_Toc492300594"/>
      <w:bookmarkStart w:id="323" w:name="_Toc15299"/>
      <w:bookmarkStart w:id="324" w:name="_Toc526"/>
      <w:bookmarkStart w:id="325" w:name="_Toc1607"/>
      <w:bookmarkStart w:id="326" w:name="_Toc23826"/>
      <w:bookmarkStart w:id="327" w:name="_Toc16381"/>
      <w:r>
        <w:rPr>
          <w:rFonts w:hint="eastAsia" w:ascii="宋体" w:hAnsi="宋体" w:eastAsia="宋体" w:cs="宋体"/>
          <w:color w:val="auto"/>
          <w:szCs w:val="24"/>
          <w:highlight w:val="none"/>
        </w:rPr>
        <w:t>4.3 投标文件的修改与撤回</w:t>
      </w:r>
      <w:bookmarkEnd w:id="320"/>
      <w:bookmarkEnd w:id="321"/>
      <w:bookmarkEnd w:id="322"/>
      <w:bookmarkEnd w:id="323"/>
      <w:bookmarkEnd w:id="324"/>
      <w:bookmarkEnd w:id="325"/>
      <w:bookmarkEnd w:id="326"/>
      <w:bookmarkEnd w:id="327"/>
    </w:p>
    <w:p w14:paraId="28052AA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4.3.1 在本章第4.2.1项规定的投标截止时间前，投标人可以修改或撤回已递交的投标文件，但应以书面形式通知招标人。</w:t>
      </w:r>
    </w:p>
    <w:p w14:paraId="3055484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4.3.2 （B）投标人修改或撤回已递交投标文件的通知，应按照本章第3.7.3（B）项的要求加盖电子印章。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14:paraId="370E6918">
      <w:pPr>
        <w:spacing w:line="360" w:lineRule="auto"/>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4.3.3 投标人撤回投标文件的，招标人自收到投标人书面撤回通知之日起5日内退还已收取的投标保证金。</w:t>
      </w:r>
    </w:p>
    <w:p w14:paraId="3C0545E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4.3.</w:t>
      </w:r>
      <w:bookmarkStart w:id="328" w:name="_Toc352691497"/>
      <w:bookmarkStart w:id="329" w:name="_Toc247513977"/>
      <w:bookmarkStart w:id="330" w:name="_Toc300834974"/>
      <w:bookmarkStart w:id="331" w:name="_Toc152045553"/>
      <w:bookmarkStart w:id="332" w:name="_Toc152042329"/>
      <w:bookmarkStart w:id="333" w:name="_Toc19203"/>
      <w:bookmarkStart w:id="334" w:name="_Toc384308235"/>
      <w:bookmarkStart w:id="335" w:name="_Toc369531541"/>
      <w:bookmarkStart w:id="336" w:name="_Toc247527578"/>
      <w:bookmarkStart w:id="337" w:name="_Toc361508610"/>
      <w:bookmarkStart w:id="338" w:name="_Toc144974521"/>
      <w:r>
        <w:rPr>
          <w:rFonts w:hint="eastAsia" w:ascii="宋体" w:hAnsi="宋体" w:cs="宋体"/>
          <w:color w:val="auto"/>
          <w:sz w:val="24"/>
          <w:szCs w:val="24"/>
          <w:highlight w:val="none"/>
        </w:rPr>
        <w:t>4 修改的内容为投标</w:t>
      </w:r>
      <w:bookmarkEnd w:id="328"/>
      <w:bookmarkEnd w:id="329"/>
      <w:bookmarkEnd w:id="330"/>
      <w:bookmarkEnd w:id="331"/>
      <w:bookmarkEnd w:id="332"/>
      <w:bookmarkEnd w:id="333"/>
      <w:bookmarkEnd w:id="334"/>
      <w:bookmarkEnd w:id="335"/>
      <w:bookmarkEnd w:id="336"/>
      <w:bookmarkEnd w:id="337"/>
      <w:bookmarkEnd w:id="338"/>
      <w:r>
        <w:rPr>
          <w:rFonts w:hint="eastAsia" w:ascii="宋体" w:hAnsi="宋体" w:cs="宋体"/>
          <w:color w:val="auto"/>
          <w:sz w:val="24"/>
          <w:szCs w:val="24"/>
          <w:highlight w:val="none"/>
        </w:rPr>
        <w:t>文件的组成部分。修改的投标文件应按照本章第3条、第4条的规定进行编制、密封、标记和递交，并标明“修改”字样。</w:t>
      </w:r>
    </w:p>
    <w:p w14:paraId="4DB69B97">
      <w:pPr>
        <w:pStyle w:val="3"/>
        <w:spacing w:line="360" w:lineRule="auto"/>
        <w:rPr>
          <w:rFonts w:hint="eastAsia" w:ascii="宋体" w:hAnsi="宋体" w:eastAsia="宋体" w:cs="宋体"/>
          <w:color w:val="auto"/>
          <w:sz w:val="28"/>
          <w:szCs w:val="28"/>
          <w:highlight w:val="none"/>
        </w:rPr>
      </w:pPr>
      <w:bookmarkStart w:id="339" w:name="_Toc453"/>
      <w:bookmarkStart w:id="340" w:name="_Toc24926"/>
      <w:bookmarkStart w:id="341" w:name="_Toc17579"/>
      <w:bookmarkStart w:id="342" w:name="_Toc20390"/>
      <w:bookmarkStart w:id="343" w:name="_Toc492300595"/>
      <w:bookmarkStart w:id="344" w:name="_Toc16835"/>
      <w:bookmarkStart w:id="345" w:name="_Toc266"/>
      <w:bookmarkStart w:id="346" w:name="_Toc23409"/>
      <w:r>
        <w:rPr>
          <w:rFonts w:hint="eastAsia" w:ascii="宋体" w:hAnsi="宋体" w:eastAsia="宋体" w:cs="宋体"/>
          <w:color w:val="auto"/>
          <w:sz w:val="28"/>
          <w:szCs w:val="28"/>
          <w:highlight w:val="none"/>
        </w:rPr>
        <w:t>5. 开标</w:t>
      </w:r>
      <w:bookmarkEnd w:id="339"/>
      <w:bookmarkEnd w:id="340"/>
      <w:bookmarkEnd w:id="341"/>
      <w:bookmarkEnd w:id="342"/>
      <w:bookmarkEnd w:id="343"/>
      <w:bookmarkEnd w:id="344"/>
      <w:bookmarkEnd w:id="345"/>
      <w:bookmarkEnd w:id="346"/>
    </w:p>
    <w:p w14:paraId="59E8D195">
      <w:pPr>
        <w:pStyle w:val="4"/>
        <w:spacing w:line="360" w:lineRule="auto"/>
        <w:ind w:firstLine="0" w:firstLineChars="0"/>
        <w:rPr>
          <w:rFonts w:hint="eastAsia" w:ascii="宋体" w:hAnsi="宋体" w:eastAsia="宋体" w:cs="宋体"/>
          <w:color w:val="auto"/>
          <w:szCs w:val="24"/>
          <w:highlight w:val="none"/>
        </w:rPr>
      </w:pPr>
      <w:bookmarkStart w:id="347" w:name="_Toc7772"/>
      <w:bookmarkStart w:id="348" w:name="_Toc20139"/>
      <w:bookmarkStart w:id="349" w:name="_Toc27378"/>
      <w:bookmarkStart w:id="350" w:name="_Toc7349"/>
      <w:bookmarkStart w:id="351" w:name="_Toc492300597"/>
      <w:bookmarkStart w:id="352" w:name="_Toc24094"/>
      <w:bookmarkStart w:id="353" w:name="_Toc27321"/>
      <w:bookmarkStart w:id="354" w:name="_Toc23813"/>
      <w:r>
        <w:rPr>
          <w:rFonts w:hint="eastAsia" w:ascii="宋体" w:hAnsi="宋体" w:eastAsia="宋体" w:cs="宋体"/>
          <w:color w:val="auto"/>
          <w:szCs w:val="24"/>
          <w:highlight w:val="none"/>
        </w:rPr>
        <w:t>5.1 开标时间和地点（B）</w:t>
      </w:r>
      <w:bookmarkEnd w:id="347"/>
      <w:bookmarkEnd w:id="348"/>
      <w:bookmarkEnd w:id="349"/>
      <w:bookmarkEnd w:id="350"/>
      <w:bookmarkEnd w:id="351"/>
      <w:bookmarkEnd w:id="352"/>
      <w:bookmarkEnd w:id="353"/>
      <w:bookmarkEnd w:id="354"/>
    </w:p>
    <w:p w14:paraId="15CB68C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招标人在本章第4.2.1项规定的投标截止时间（开标时间）,通过电子招标投标交易平台公开开标，</w:t>
      </w:r>
      <w:r>
        <w:rPr>
          <w:rFonts w:hint="eastAsia" w:ascii="宋体" w:hAnsi="宋体" w:cs="宋体"/>
          <w:color w:val="auto"/>
          <w:sz w:val="24"/>
          <w:szCs w:val="24"/>
          <w:highlight w:val="none"/>
          <w:u w:val="single"/>
        </w:rPr>
        <w:t>开标时，投标人代表有权出席开标会，也可以自主决定不参加开标会。</w:t>
      </w:r>
    </w:p>
    <w:p w14:paraId="0A681F7D">
      <w:pPr>
        <w:pStyle w:val="4"/>
        <w:spacing w:line="360" w:lineRule="auto"/>
        <w:ind w:firstLine="0" w:firstLineChars="0"/>
        <w:rPr>
          <w:rFonts w:hint="eastAsia" w:ascii="宋体" w:hAnsi="宋体" w:eastAsia="宋体" w:cs="宋体"/>
          <w:color w:val="auto"/>
          <w:szCs w:val="24"/>
          <w:highlight w:val="none"/>
        </w:rPr>
      </w:pPr>
      <w:bookmarkStart w:id="355" w:name="_Toc25527"/>
      <w:bookmarkStart w:id="356" w:name="_Toc492300598"/>
      <w:bookmarkStart w:id="357" w:name="_Toc1229"/>
      <w:bookmarkStart w:id="358" w:name="_Toc2757"/>
      <w:bookmarkStart w:id="359" w:name="_Toc25404"/>
      <w:bookmarkStart w:id="360" w:name="_Toc1756"/>
      <w:bookmarkStart w:id="361" w:name="_Toc6316"/>
      <w:bookmarkStart w:id="362" w:name="_Toc24429"/>
      <w:r>
        <w:rPr>
          <w:rFonts w:hint="eastAsia" w:ascii="宋体" w:hAnsi="宋体" w:eastAsia="宋体" w:cs="宋体"/>
          <w:color w:val="auto"/>
          <w:szCs w:val="24"/>
          <w:highlight w:val="none"/>
        </w:rPr>
        <w:t>5.2 开标程序</w:t>
      </w:r>
      <w:bookmarkEnd w:id="355"/>
      <w:bookmarkEnd w:id="356"/>
      <w:bookmarkEnd w:id="357"/>
      <w:bookmarkEnd w:id="358"/>
      <w:bookmarkEnd w:id="359"/>
      <w:bookmarkEnd w:id="360"/>
      <w:bookmarkEnd w:id="361"/>
      <w:bookmarkEnd w:id="362"/>
    </w:p>
    <w:p w14:paraId="67BC88C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主持人按下列程序进行开标：</w:t>
      </w:r>
    </w:p>
    <w:p w14:paraId="3EBA4B7A">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（1）宣布开标纪律；</w:t>
      </w:r>
    </w:p>
    <w:p w14:paraId="09AF6D7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（2）公布在投标截止时间前递交投标文件的投标人名称；</w:t>
      </w:r>
    </w:p>
    <w:p w14:paraId="1E8FB29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（3）宣布</w:t>
      </w:r>
      <w:bookmarkStart w:id="363" w:name="_Toc352691498"/>
      <w:bookmarkStart w:id="364" w:name="_Toc369531542"/>
      <w:bookmarkStart w:id="365" w:name="_Toc247527579"/>
      <w:bookmarkStart w:id="366" w:name="_Toc300834975"/>
      <w:bookmarkStart w:id="367" w:name="_Toc152045554"/>
      <w:bookmarkStart w:id="368" w:name="_Toc361508611"/>
      <w:bookmarkStart w:id="369" w:name="_Toc144974522"/>
      <w:bookmarkStart w:id="370" w:name="_Toc384308236"/>
      <w:bookmarkStart w:id="371" w:name="_Toc152042330"/>
      <w:bookmarkStart w:id="372" w:name="_Toc22119"/>
      <w:bookmarkStart w:id="373" w:name="_Toc247513978"/>
      <w:r>
        <w:rPr>
          <w:rFonts w:hint="eastAsia" w:ascii="宋体" w:hAnsi="宋体" w:cs="宋体"/>
          <w:color w:val="auto"/>
          <w:sz w:val="24"/>
          <w:szCs w:val="24"/>
          <w:highlight w:val="none"/>
        </w:rPr>
        <w:t>开标人、唱标人、记录人</w:t>
      </w:r>
      <w:bookmarkEnd w:id="363"/>
      <w:bookmarkEnd w:id="364"/>
      <w:bookmarkEnd w:id="365"/>
      <w:bookmarkEnd w:id="366"/>
      <w:bookmarkEnd w:id="367"/>
      <w:bookmarkEnd w:id="368"/>
      <w:bookmarkEnd w:id="369"/>
      <w:bookmarkEnd w:id="370"/>
      <w:bookmarkEnd w:id="371"/>
      <w:bookmarkEnd w:id="372"/>
      <w:bookmarkEnd w:id="373"/>
      <w:r>
        <w:rPr>
          <w:rFonts w:hint="eastAsia" w:ascii="宋体" w:hAnsi="宋体" w:cs="宋体"/>
          <w:color w:val="auto"/>
          <w:sz w:val="24"/>
          <w:szCs w:val="24"/>
          <w:highlight w:val="none"/>
        </w:rPr>
        <w:t>、监标人等有关人员姓名；</w:t>
      </w:r>
    </w:p>
    <w:p w14:paraId="02F9DA7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（4）（B）投标人通过电子招标投标交易平台对已递交的电子投标文件进行解密，公布招标项目名称、投标人名称、</w:t>
      </w:r>
      <w:r>
        <w:rPr>
          <w:rFonts w:hint="eastAsia" w:ascii="宋体" w:hAnsi="宋体" w:cs="宋体"/>
          <w:strike/>
          <w:color w:val="auto"/>
          <w:sz w:val="24"/>
          <w:szCs w:val="24"/>
          <w:highlight w:val="none"/>
        </w:rPr>
        <w:t>投标保证金的递交情况、</w:t>
      </w:r>
      <w:r>
        <w:rPr>
          <w:rFonts w:hint="eastAsia" w:ascii="宋体" w:hAnsi="宋体" w:cs="宋体"/>
          <w:color w:val="auto"/>
          <w:sz w:val="24"/>
          <w:szCs w:val="24"/>
          <w:highlight w:val="none"/>
        </w:rPr>
        <w:t>投标报价、服务期限及其他内容，并记录在案；</w:t>
      </w:r>
    </w:p>
    <w:p w14:paraId="5D56BCB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（5）（A）投标人代表、招标人代表、监标人、记录人等有关人员在开标记录上签字确认；</w:t>
      </w:r>
      <w:r>
        <w:rPr>
          <w:rFonts w:hint="eastAsia" w:ascii="宋体" w:hAnsi="宋体" w:cs="宋体"/>
          <w:color w:val="auto"/>
          <w:sz w:val="24"/>
          <w:szCs w:val="24"/>
          <w:highlight w:val="none"/>
          <w:u w:val="single"/>
        </w:rPr>
        <w:t>若有关人员不签字的，不影响开标程序；</w:t>
      </w:r>
    </w:p>
    <w:p w14:paraId="66666264">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（6）开标结束。</w:t>
      </w:r>
    </w:p>
    <w:p w14:paraId="213190DB">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5.2.2投标截止时间前未完成投标文件传输的或因投标人之外的原因造成投标文件未解密且未递交备用光盘（或U盘）的，视为投标人其撤回投标文件。因投标人原因造成投标文件未解密的或未在投标截止时间后一小时解密的，视为撤销其投标文件。</w:t>
      </w:r>
    </w:p>
    <w:p w14:paraId="0ABD0E8C">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5.2.3开标时，两个（含两个）以上的投标人加密打包投标文件电脑机器特征码一致的，不参与下一程序，并由评标委员会否决其投标。</w:t>
      </w:r>
    </w:p>
    <w:p w14:paraId="2A24BA32">
      <w:pPr>
        <w:spacing w:line="360" w:lineRule="auto"/>
        <w:ind w:firstLine="480" w:firstLineChars="200"/>
        <w:rPr>
          <w:rFonts w:hint="eastAsia" w:ascii="宋体" w:hAnsi="宋体" w:cs="宋体"/>
          <w:color w:val="auto"/>
          <w:sz w:val="24"/>
          <w:szCs w:val="24"/>
          <w:highlight w:val="none"/>
        </w:rPr>
      </w:pPr>
    </w:p>
    <w:p w14:paraId="732B9C67">
      <w:pPr>
        <w:pStyle w:val="4"/>
        <w:spacing w:line="360" w:lineRule="auto"/>
        <w:ind w:firstLine="0" w:firstLineChars="0"/>
        <w:rPr>
          <w:rFonts w:hint="eastAsia" w:ascii="宋体" w:hAnsi="宋体" w:eastAsia="宋体" w:cs="宋体"/>
          <w:color w:val="auto"/>
          <w:szCs w:val="24"/>
          <w:highlight w:val="none"/>
        </w:rPr>
      </w:pPr>
      <w:bookmarkStart w:id="374" w:name="_Toc492300599"/>
      <w:bookmarkStart w:id="375" w:name="_Toc18357"/>
      <w:bookmarkStart w:id="376" w:name="_Toc27376"/>
      <w:bookmarkStart w:id="377" w:name="_Toc8923"/>
      <w:bookmarkStart w:id="378" w:name="_Toc22136"/>
      <w:bookmarkStart w:id="379" w:name="_Toc18956"/>
      <w:bookmarkStart w:id="380" w:name="_Toc18350"/>
      <w:bookmarkStart w:id="381" w:name="_Toc17039"/>
      <w:r>
        <w:rPr>
          <w:rFonts w:hint="eastAsia" w:ascii="宋体" w:hAnsi="宋体" w:eastAsia="宋体" w:cs="宋体"/>
          <w:color w:val="auto"/>
          <w:szCs w:val="24"/>
          <w:highlight w:val="none"/>
        </w:rPr>
        <w:t>5.3 开标异议</w:t>
      </w:r>
      <w:bookmarkEnd w:id="374"/>
      <w:bookmarkEnd w:id="375"/>
      <w:bookmarkEnd w:id="376"/>
      <w:bookmarkEnd w:id="377"/>
      <w:bookmarkEnd w:id="378"/>
      <w:bookmarkEnd w:id="379"/>
      <w:bookmarkEnd w:id="380"/>
      <w:bookmarkEnd w:id="381"/>
    </w:p>
    <w:p w14:paraId="1D8C89A1">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投标人对开标有异议的，应当在开标现场提出，招标人当场作出答复，并制作记录。</w:t>
      </w:r>
    </w:p>
    <w:p w14:paraId="0F5AB2C7">
      <w:pPr>
        <w:pStyle w:val="3"/>
        <w:spacing w:line="360" w:lineRule="auto"/>
        <w:rPr>
          <w:rFonts w:hint="eastAsia" w:ascii="宋体" w:hAnsi="宋体" w:eastAsia="宋体" w:cs="宋体"/>
          <w:color w:val="auto"/>
          <w:sz w:val="28"/>
          <w:szCs w:val="28"/>
          <w:highlight w:val="none"/>
        </w:rPr>
      </w:pPr>
      <w:bookmarkStart w:id="382" w:name="_Toc3701"/>
      <w:bookmarkStart w:id="383" w:name="_Toc9100"/>
      <w:bookmarkStart w:id="384" w:name="_Toc492300600"/>
      <w:bookmarkStart w:id="385" w:name="_Toc3417"/>
      <w:bookmarkStart w:id="386" w:name="_Toc21275"/>
      <w:bookmarkStart w:id="387" w:name="_Toc21251"/>
      <w:bookmarkStart w:id="388" w:name="_Toc598"/>
      <w:bookmarkStart w:id="389" w:name="_Toc4522"/>
      <w:r>
        <w:rPr>
          <w:rFonts w:hint="eastAsia" w:ascii="宋体" w:hAnsi="宋体" w:eastAsia="宋体" w:cs="宋体"/>
          <w:color w:val="auto"/>
          <w:sz w:val="28"/>
          <w:szCs w:val="28"/>
          <w:highlight w:val="none"/>
        </w:rPr>
        <w:t>6. 评标</w:t>
      </w:r>
      <w:bookmarkEnd w:id="382"/>
      <w:bookmarkEnd w:id="383"/>
      <w:bookmarkEnd w:id="384"/>
      <w:bookmarkEnd w:id="385"/>
      <w:bookmarkEnd w:id="386"/>
      <w:bookmarkEnd w:id="387"/>
      <w:bookmarkEnd w:id="388"/>
      <w:bookmarkEnd w:id="389"/>
    </w:p>
    <w:p w14:paraId="15B99F23">
      <w:pPr>
        <w:pStyle w:val="4"/>
        <w:spacing w:line="360" w:lineRule="auto"/>
        <w:ind w:firstLine="0" w:firstLineChars="0"/>
        <w:rPr>
          <w:rFonts w:hint="eastAsia" w:ascii="宋体" w:hAnsi="宋体" w:eastAsia="宋体" w:cs="宋体"/>
          <w:color w:val="auto"/>
          <w:szCs w:val="24"/>
          <w:highlight w:val="none"/>
        </w:rPr>
      </w:pPr>
      <w:bookmarkStart w:id="390" w:name="_Toc29125"/>
      <w:bookmarkStart w:id="391" w:name="_Toc20498"/>
      <w:bookmarkStart w:id="392" w:name="_Toc15424"/>
      <w:bookmarkStart w:id="393" w:name="_Toc6806"/>
      <w:bookmarkStart w:id="394" w:name="_Toc492300601"/>
      <w:bookmarkStart w:id="395" w:name="_Toc9698"/>
      <w:bookmarkStart w:id="396" w:name="_Toc349"/>
      <w:bookmarkStart w:id="397" w:name="_Toc1011"/>
      <w:r>
        <w:rPr>
          <w:rFonts w:hint="eastAsia" w:ascii="宋体" w:hAnsi="宋体" w:eastAsia="宋体" w:cs="宋体"/>
          <w:color w:val="auto"/>
          <w:szCs w:val="24"/>
          <w:highlight w:val="none"/>
        </w:rPr>
        <w:t>6.1 评标委员会</w:t>
      </w:r>
      <w:bookmarkEnd w:id="390"/>
      <w:bookmarkEnd w:id="391"/>
      <w:bookmarkEnd w:id="392"/>
      <w:bookmarkEnd w:id="393"/>
      <w:bookmarkEnd w:id="394"/>
      <w:bookmarkEnd w:id="395"/>
      <w:bookmarkEnd w:id="396"/>
      <w:bookmarkEnd w:id="397"/>
    </w:p>
    <w:p w14:paraId="495676A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6.1.1 评标由招标人依法组建的评标委员会负责。评标委员会由</w:t>
      </w:r>
      <w:r>
        <w:rPr>
          <w:rFonts w:hint="eastAsia" w:ascii="宋体" w:hAnsi="宋体" w:eastAsia="宋体" w:cs="宋体"/>
          <w:color w:val="auto"/>
          <w:sz w:val="24"/>
          <w:szCs w:val="24"/>
          <w:highlight w:val="none"/>
          <w:lang w:eastAsia="zh-CN"/>
        </w:rPr>
        <w:t>招标人代表及</w:t>
      </w:r>
      <w:r>
        <w:rPr>
          <w:rFonts w:hint="eastAsia" w:ascii="宋体" w:hAnsi="宋体" w:cs="宋体"/>
          <w:color w:val="auto"/>
          <w:sz w:val="24"/>
          <w:szCs w:val="24"/>
          <w:highlight w:val="none"/>
        </w:rPr>
        <w:t>有关技术、经济等方面的专家组成。评标委员会成员人数以及技术、经济等方面专家的确定方式见投标人须知前附表。</w:t>
      </w:r>
    </w:p>
    <w:p w14:paraId="537A897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6.1.2 评标委员会成员有下列情形之一的，应当回避：</w:t>
      </w:r>
    </w:p>
    <w:p w14:paraId="352E056F">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（1）投标人或投标人主要负责人的近亲属；</w:t>
      </w:r>
    </w:p>
    <w:p w14:paraId="4E75718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（2）项目主管部门或者行政监督部门的人员；</w:t>
      </w:r>
    </w:p>
    <w:p w14:paraId="5E0CD88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（3）与投标人有经济利益关系，可能影响对投标公正评审的；</w:t>
      </w:r>
    </w:p>
    <w:p w14:paraId="156CC54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（4）曾因在招标、评</w:t>
      </w:r>
      <w:bookmarkStart w:id="398" w:name="_Toc6230"/>
      <w:bookmarkStart w:id="399" w:name="_Toc152045555"/>
      <w:bookmarkStart w:id="400" w:name="_Toc247513979"/>
      <w:bookmarkStart w:id="401" w:name="_Toc361508612"/>
      <w:bookmarkStart w:id="402" w:name="_Toc384308237"/>
      <w:bookmarkStart w:id="403" w:name="_Toc352691499"/>
      <w:bookmarkStart w:id="404" w:name="_Toc369531543"/>
      <w:bookmarkStart w:id="405" w:name="_Toc300834976"/>
      <w:bookmarkStart w:id="406" w:name="_Toc247527580"/>
      <w:bookmarkStart w:id="407" w:name="_Toc152042331"/>
      <w:bookmarkStart w:id="408" w:name="_Toc144974523"/>
      <w:r>
        <w:rPr>
          <w:rFonts w:hint="eastAsia" w:ascii="宋体" w:hAnsi="宋体" w:cs="宋体"/>
          <w:color w:val="auto"/>
          <w:sz w:val="24"/>
          <w:szCs w:val="24"/>
          <w:highlight w:val="none"/>
        </w:rPr>
        <w:t>标以及其他</w:t>
      </w:r>
      <w:bookmarkEnd w:id="398"/>
      <w:bookmarkEnd w:id="399"/>
      <w:bookmarkEnd w:id="400"/>
      <w:bookmarkEnd w:id="401"/>
      <w:bookmarkEnd w:id="402"/>
      <w:bookmarkEnd w:id="403"/>
      <w:bookmarkEnd w:id="404"/>
      <w:bookmarkEnd w:id="405"/>
      <w:bookmarkEnd w:id="406"/>
      <w:bookmarkEnd w:id="407"/>
      <w:bookmarkEnd w:id="408"/>
      <w:r>
        <w:rPr>
          <w:rFonts w:hint="eastAsia" w:ascii="宋体" w:hAnsi="宋体" w:cs="宋体"/>
          <w:color w:val="auto"/>
          <w:sz w:val="24"/>
          <w:szCs w:val="24"/>
          <w:highlight w:val="none"/>
        </w:rPr>
        <w:t>与</w:t>
      </w:r>
      <w:bookmarkStart w:id="409" w:name="_Toc361508613"/>
      <w:bookmarkStart w:id="410" w:name="_Toc369531544"/>
      <w:bookmarkStart w:id="411" w:name="_Toc300834977"/>
      <w:bookmarkStart w:id="412" w:name="_Toc247513980"/>
      <w:bookmarkStart w:id="413" w:name="_Toc144974524"/>
      <w:bookmarkStart w:id="414" w:name="_Toc152042332"/>
      <w:bookmarkStart w:id="415" w:name="_Toc384308238"/>
      <w:bookmarkStart w:id="416" w:name="_Toc352691500"/>
      <w:bookmarkStart w:id="417" w:name="_Toc152045556"/>
      <w:bookmarkStart w:id="418" w:name="_Toc17703"/>
      <w:bookmarkStart w:id="419" w:name="_Toc247527581"/>
      <w:r>
        <w:rPr>
          <w:rFonts w:hint="eastAsia" w:ascii="宋体" w:hAnsi="宋体" w:cs="宋体"/>
          <w:color w:val="auto"/>
          <w:sz w:val="24"/>
          <w:szCs w:val="24"/>
          <w:highlight w:val="none"/>
        </w:rPr>
        <w:t>招标投标有关活动中从事违法行</w:t>
      </w:r>
      <w:bookmarkEnd w:id="409"/>
      <w:bookmarkEnd w:id="410"/>
      <w:bookmarkEnd w:id="411"/>
      <w:bookmarkEnd w:id="412"/>
      <w:bookmarkEnd w:id="413"/>
      <w:bookmarkEnd w:id="414"/>
      <w:bookmarkEnd w:id="415"/>
      <w:bookmarkEnd w:id="416"/>
      <w:bookmarkEnd w:id="417"/>
      <w:bookmarkEnd w:id="418"/>
      <w:bookmarkEnd w:id="419"/>
      <w:r>
        <w:rPr>
          <w:rFonts w:hint="eastAsia" w:ascii="宋体" w:hAnsi="宋体" w:cs="宋体"/>
          <w:color w:val="auto"/>
          <w:sz w:val="24"/>
          <w:szCs w:val="24"/>
          <w:highlight w:val="none"/>
        </w:rPr>
        <w:t>为而受过行政处罚或刑事处罚的；</w:t>
      </w:r>
    </w:p>
    <w:p w14:paraId="42DE99D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（5）与投标人有其他利害关系。</w:t>
      </w:r>
    </w:p>
    <w:p w14:paraId="162B8804">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 xml:space="preserve">6.1.3 </w:t>
      </w:r>
      <w:r>
        <w:rPr>
          <w:rFonts w:hint="eastAsia" w:ascii="宋体" w:hAnsi="宋体" w:cs="宋体"/>
          <w:color w:val="auto"/>
          <w:sz w:val="24"/>
          <w:szCs w:val="24"/>
          <w:highlight w:val="none"/>
          <w:u w:val="single"/>
        </w:rPr>
        <w:t>评标委员会在开始评标前，应了解评标专家的职责及守则，认真阅读附件二《评标委员会成员声明》的内容并签名，签字后方可进行评标。</w:t>
      </w:r>
    </w:p>
    <w:p w14:paraId="3BE29C8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6.1.4评标过程中，评标委员会成员有回避事由、擅离职守或者因健康等原因不能继续评标的，招标人有权更换。被更换的评标委员会成员作出的评审结论无效，由更换后的评标委员会成员重新进行评审。</w:t>
      </w:r>
    </w:p>
    <w:p w14:paraId="6F8FD07E">
      <w:pPr>
        <w:pStyle w:val="4"/>
        <w:spacing w:line="360" w:lineRule="auto"/>
        <w:ind w:firstLine="0" w:firstLineChars="0"/>
        <w:rPr>
          <w:rFonts w:hint="eastAsia" w:ascii="宋体" w:hAnsi="宋体" w:eastAsia="宋体" w:cs="宋体"/>
          <w:color w:val="auto"/>
          <w:szCs w:val="24"/>
          <w:highlight w:val="none"/>
        </w:rPr>
      </w:pPr>
      <w:bookmarkStart w:id="420" w:name="_Toc492300602"/>
      <w:bookmarkStart w:id="421" w:name="_Toc7627"/>
      <w:bookmarkStart w:id="422" w:name="_Toc31284"/>
      <w:bookmarkStart w:id="423" w:name="_Toc1118"/>
      <w:bookmarkStart w:id="424" w:name="_Toc19021"/>
      <w:bookmarkStart w:id="425" w:name="_Toc32590"/>
      <w:bookmarkStart w:id="426" w:name="_Toc419"/>
      <w:bookmarkStart w:id="427" w:name="_Toc11730"/>
      <w:r>
        <w:rPr>
          <w:rFonts w:hint="eastAsia" w:ascii="宋体" w:hAnsi="宋体" w:eastAsia="宋体" w:cs="宋体"/>
          <w:color w:val="auto"/>
          <w:szCs w:val="24"/>
          <w:highlight w:val="none"/>
        </w:rPr>
        <w:t>6.2 评标原则</w:t>
      </w:r>
      <w:bookmarkEnd w:id="420"/>
      <w:bookmarkEnd w:id="421"/>
      <w:bookmarkEnd w:id="422"/>
      <w:bookmarkEnd w:id="423"/>
      <w:bookmarkEnd w:id="424"/>
      <w:bookmarkEnd w:id="425"/>
      <w:bookmarkEnd w:id="426"/>
      <w:bookmarkEnd w:id="427"/>
    </w:p>
    <w:p w14:paraId="58D01FD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评标活动遵循公平、公正、科学和择优的原</w:t>
      </w:r>
      <w:bookmarkStart w:id="428" w:name="_Toc144974525"/>
      <w:bookmarkStart w:id="429" w:name="_Toc300834978"/>
      <w:bookmarkStart w:id="430" w:name="_Toc247527582"/>
      <w:bookmarkStart w:id="431" w:name="_Toc152042333"/>
      <w:bookmarkStart w:id="432" w:name="_Toc384308239"/>
      <w:bookmarkStart w:id="433" w:name="_Toc152045557"/>
      <w:bookmarkStart w:id="434" w:name="_Toc369531545"/>
      <w:bookmarkStart w:id="435" w:name="_Toc361508614"/>
      <w:bookmarkStart w:id="436" w:name="_Toc18949"/>
      <w:bookmarkStart w:id="437" w:name="_Toc352691501"/>
      <w:bookmarkStart w:id="438" w:name="_Toc247513981"/>
      <w:r>
        <w:rPr>
          <w:rFonts w:hint="eastAsia" w:ascii="宋体" w:hAnsi="宋体" w:cs="宋体"/>
          <w:color w:val="auto"/>
          <w:sz w:val="24"/>
          <w:szCs w:val="24"/>
          <w:highlight w:val="none"/>
        </w:rPr>
        <w:t>则。</w:t>
      </w:r>
    </w:p>
    <w:p w14:paraId="6EEA64CC">
      <w:pPr>
        <w:pStyle w:val="4"/>
        <w:spacing w:line="360" w:lineRule="auto"/>
        <w:ind w:firstLine="0" w:firstLineChars="0"/>
        <w:rPr>
          <w:rFonts w:hint="eastAsia" w:ascii="宋体" w:hAnsi="宋体" w:eastAsia="宋体" w:cs="宋体"/>
          <w:color w:val="auto"/>
          <w:szCs w:val="24"/>
          <w:highlight w:val="none"/>
        </w:rPr>
      </w:pPr>
      <w:bookmarkStart w:id="439" w:name="_Toc2802"/>
      <w:bookmarkStart w:id="440" w:name="_Toc26119"/>
      <w:bookmarkStart w:id="441" w:name="_Toc30279"/>
      <w:bookmarkStart w:id="442" w:name="_Toc8640"/>
      <w:bookmarkStart w:id="443" w:name="_Toc29486"/>
      <w:bookmarkStart w:id="444" w:name="_Toc10558"/>
      <w:bookmarkStart w:id="445" w:name="_Toc492300603"/>
      <w:bookmarkStart w:id="446" w:name="_Toc8776"/>
      <w:r>
        <w:rPr>
          <w:rFonts w:hint="eastAsia" w:ascii="宋体" w:hAnsi="宋体" w:eastAsia="宋体" w:cs="宋体"/>
          <w:color w:val="auto"/>
          <w:szCs w:val="24"/>
          <w:highlight w:val="none"/>
        </w:rPr>
        <w:t>6.3 评标</w:t>
      </w:r>
      <w:bookmarkEnd w:id="439"/>
      <w:bookmarkEnd w:id="440"/>
      <w:bookmarkEnd w:id="441"/>
      <w:bookmarkEnd w:id="442"/>
      <w:bookmarkEnd w:id="443"/>
      <w:bookmarkEnd w:id="444"/>
      <w:bookmarkEnd w:id="445"/>
      <w:bookmarkEnd w:id="446"/>
    </w:p>
    <w:p w14:paraId="3D83D39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w:t>
      </w:r>
      <w:bookmarkEnd w:id="428"/>
      <w:bookmarkEnd w:id="429"/>
      <w:bookmarkEnd w:id="430"/>
      <w:bookmarkEnd w:id="431"/>
      <w:bookmarkEnd w:id="432"/>
      <w:bookmarkEnd w:id="433"/>
      <w:bookmarkEnd w:id="434"/>
      <w:bookmarkEnd w:id="435"/>
      <w:bookmarkEnd w:id="436"/>
      <w:bookmarkEnd w:id="437"/>
      <w:bookmarkEnd w:id="438"/>
      <w:r>
        <w:rPr>
          <w:rFonts w:hint="eastAsia" w:ascii="宋体" w:hAnsi="宋体" w:cs="宋体"/>
          <w:color w:val="auto"/>
          <w:sz w:val="24"/>
          <w:szCs w:val="24"/>
          <w:highlight w:val="none"/>
        </w:rPr>
        <w:t>.3.1评标委员会按照第三章“评标办法”规定的方法、评审因素、标准和程序对投标文件进行评审。第三章“评标办法”没有规定的方法、评审因素和标准，不作为评标依据。</w:t>
      </w:r>
    </w:p>
    <w:p w14:paraId="6FE8202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6.3.2评标完成后，评标委员会应当向招标人提交书面评标报告和中标候选人名单。评标委员会推荐中标</w:t>
      </w:r>
      <w:bookmarkStart w:id="447" w:name="_Toc247527583"/>
      <w:bookmarkStart w:id="448" w:name="_Toc369531546"/>
      <w:bookmarkStart w:id="449" w:name="_Toc247513982"/>
      <w:bookmarkStart w:id="450" w:name="_Toc361508615"/>
      <w:bookmarkStart w:id="451" w:name="_Toc352691502"/>
      <w:bookmarkStart w:id="452" w:name="_Toc152042334"/>
      <w:bookmarkStart w:id="453" w:name="_Toc12259"/>
      <w:bookmarkStart w:id="454" w:name="_Toc300834979"/>
      <w:bookmarkStart w:id="455" w:name="_Toc384308240"/>
      <w:bookmarkStart w:id="456" w:name="_Toc152045558"/>
      <w:bookmarkStart w:id="457" w:name="_Toc144974526"/>
      <w:r>
        <w:rPr>
          <w:rFonts w:hint="eastAsia" w:ascii="宋体" w:hAnsi="宋体" w:cs="宋体"/>
          <w:color w:val="auto"/>
          <w:sz w:val="24"/>
          <w:szCs w:val="24"/>
          <w:highlight w:val="none"/>
        </w:rPr>
        <w:t>候选人的人数见投标人须知前附</w:t>
      </w:r>
      <w:bookmarkEnd w:id="447"/>
      <w:bookmarkEnd w:id="448"/>
      <w:bookmarkEnd w:id="449"/>
      <w:bookmarkEnd w:id="450"/>
      <w:bookmarkEnd w:id="451"/>
      <w:bookmarkEnd w:id="452"/>
      <w:bookmarkEnd w:id="453"/>
      <w:bookmarkEnd w:id="454"/>
      <w:bookmarkEnd w:id="455"/>
      <w:bookmarkEnd w:id="456"/>
      <w:bookmarkEnd w:id="457"/>
      <w:r>
        <w:rPr>
          <w:rFonts w:hint="eastAsia" w:ascii="宋体" w:hAnsi="宋体" w:cs="宋体"/>
          <w:color w:val="auto"/>
          <w:sz w:val="24"/>
          <w:szCs w:val="24"/>
          <w:highlight w:val="none"/>
        </w:rPr>
        <w:t>表。</w:t>
      </w:r>
    </w:p>
    <w:p w14:paraId="50F6047A">
      <w:pPr>
        <w:pStyle w:val="3"/>
        <w:spacing w:line="360" w:lineRule="auto"/>
        <w:rPr>
          <w:rFonts w:hint="eastAsia" w:ascii="宋体" w:hAnsi="宋体" w:eastAsia="宋体" w:cs="宋体"/>
          <w:color w:val="auto"/>
          <w:sz w:val="28"/>
          <w:szCs w:val="28"/>
          <w:highlight w:val="none"/>
        </w:rPr>
      </w:pPr>
      <w:bookmarkStart w:id="458" w:name="_Toc28355"/>
      <w:bookmarkStart w:id="459" w:name="_Toc492300604"/>
      <w:bookmarkStart w:id="460" w:name="_Toc15386"/>
      <w:bookmarkStart w:id="461" w:name="_Toc22635"/>
      <w:bookmarkStart w:id="462" w:name="_Toc10110"/>
      <w:bookmarkStart w:id="463" w:name="_Toc25633"/>
      <w:bookmarkStart w:id="464" w:name="_Toc5657"/>
      <w:bookmarkStart w:id="465" w:name="_Toc7020"/>
      <w:r>
        <w:rPr>
          <w:rFonts w:hint="eastAsia" w:ascii="宋体" w:hAnsi="宋体" w:eastAsia="宋体" w:cs="宋体"/>
          <w:color w:val="auto"/>
          <w:sz w:val="28"/>
          <w:szCs w:val="28"/>
          <w:highlight w:val="none"/>
        </w:rPr>
        <w:t>7. 合同授予</w:t>
      </w:r>
      <w:bookmarkEnd w:id="458"/>
      <w:bookmarkEnd w:id="459"/>
      <w:bookmarkEnd w:id="460"/>
      <w:bookmarkEnd w:id="461"/>
      <w:bookmarkEnd w:id="462"/>
      <w:bookmarkEnd w:id="463"/>
      <w:bookmarkEnd w:id="464"/>
      <w:bookmarkEnd w:id="465"/>
    </w:p>
    <w:p w14:paraId="5545D2F2">
      <w:pPr>
        <w:pStyle w:val="4"/>
        <w:spacing w:line="360" w:lineRule="auto"/>
        <w:ind w:firstLine="0" w:firstLineChars="0"/>
        <w:rPr>
          <w:rFonts w:hint="eastAsia" w:ascii="宋体" w:hAnsi="宋体" w:eastAsia="宋体" w:cs="宋体"/>
          <w:color w:val="auto"/>
          <w:szCs w:val="24"/>
          <w:highlight w:val="none"/>
        </w:rPr>
      </w:pPr>
      <w:bookmarkStart w:id="466" w:name="_Toc3854"/>
      <w:bookmarkStart w:id="467" w:name="_Toc9013"/>
      <w:bookmarkStart w:id="468" w:name="_Toc492300605"/>
      <w:bookmarkStart w:id="469" w:name="_Toc16687"/>
      <w:bookmarkStart w:id="470" w:name="_Toc30180"/>
      <w:bookmarkStart w:id="471" w:name="_Toc958"/>
      <w:bookmarkStart w:id="472" w:name="_Toc9762"/>
      <w:bookmarkStart w:id="473" w:name="_Toc1924"/>
      <w:r>
        <w:rPr>
          <w:rFonts w:hint="eastAsia" w:ascii="宋体" w:hAnsi="宋体" w:eastAsia="宋体" w:cs="宋体"/>
          <w:color w:val="auto"/>
          <w:szCs w:val="24"/>
          <w:highlight w:val="none"/>
        </w:rPr>
        <w:t>7.1 中标候选人公示</w:t>
      </w:r>
      <w:bookmarkEnd w:id="466"/>
      <w:bookmarkEnd w:id="467"/>
      <w:bookmarkEnd w:id="468"/>
      <w:bookmarkEnd w:id="469"/>
      <w:bookmarkEnd w:id="470"/>
      <w:bookmarkEnd w:id="471"/>
      <w:bookmarkEnd w:id="472"/>
      <w:bookmarkEnd w:id="473"/>
    </w:p>
    <w:p w14:paraId="382756D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招标人在收到评标报告之日起3日内，按照投标人须知前附表规定的公示媒介和期限公示中标候选人，公示期不得少于3天。</w:t>
      </w:r>
    </w:p>
    <w:p w14:paraId="37EDE6B6">
      <w:pPr>
        <w:pStyle w:val="4"/>
        <w:spacing w:line="360" w:lineRule="auto"/>
        <w:ind w:firstLine="0" w:firstLineChars="0"/>
        <w:rPr>
          <w:rFonts w:hint="eastAsia" w:ascii="宋体" w:hAnsi="宋体" w:eastAsia="宋体" w:cs="宋体"/>
          <w:color w:val="auto"/>
          <w:szCs w:val="24"/>
          <w:highlight w:val="none"/>
        </w:rPr>
      </w:pPr>
      <w:bookmarkStart w:id="474" w:name="_Toc16494"/>
      <w:bookmarkStart w:id="475" w:name="_Toc19700"/>
      <w:bookmarkStart w:id="476" w:name="_Toc26910"/>
      <w:bookmarkStart w:id="477" w:name="_Toc492300606"/>
      <w:bookmarkStart w:id="478" w:name="_Toc1246"/>
      <w:bookmarkStart w:id="479" w:name="_Toc11891"/>
      <w:bookmarkStart w:id="480" w:name="_Toc15404"/>
      <w:bookmarkStart w:id="481" w:name="_Toc19277"/>
      <w:r>
        <w:rPr>
          <w:rFonts w:hint="eastAsia" w:ascii="宋体" w:hAnsi="宋体" w:eastAsia="宋体" w:cs="宋体"/>
          <w:color w:val="auto"/>
          <w:szCs w:val="24"/>
          <w:highlight w:val="none"/>
        </w:rPr>
        <w:t>7.2 评标结果异议</w:t>
      </w:r>
      <w:bookmarkEnd w:id="474"/>
      <w:bookmarkEnd w:id="475"/>
      <w:bookmarkEnd w:id="476"/>
      <w:bookmarkEnd w:id="477"/>
      <w:bookmarkEnd w:id="478"/>
      <w:bookmarkEnd w:id="479"/>
      <w:bookmarkEnd w:id="480"/>
      <w:bookmarkEnd w:id="481"/>
    </w:p>
    <w:p w14:paraId="2767996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投标人或者其他利</w:t>
      </w:r>
      <w:bookmarkStart w:id="482" w:name="_Toc247527586"/>
      <w:bookmarkStart w:id="483" w:name="_Toc300834982"/>
      <w:bookmarkStart w:id="484" w:name="_Toc247513985"/>
      <w:bookmarkStart w:id="485" w:name="_Toc384308243"/>
      <w:bookmarkStart w:id="486" w:name="_Toc361508618"/>
      <w:bookmarkStart w:id="487" w:name="_Toc30095"/>
      <w:bookmarkStart w:id="488" w:name="_Toc152042337"/>
      <w:bookmarkStart w:id="489" w:name="_Toc144974529"/>
      <w:bookmarkStart w:id="490" w:name="_Toc352691505"/>
      <w:bookmarkStart w:id="491" w:name="_Toc152045561"/>
      <w:bookmarkStart w:id="492" w:name="_Toc369531549"/>
      <w:r>
        <w:rPr>
          <w:rFonts w:hint="eastAsia" w:ascii="宋体" w:hAnsi="宋体" w:cs="宋体"/>
          <w:color w:val="auto"/>
          <w:sz w:val="24"/>
          <w:szCs w:val="24"/>
          <w:highlight w:val="none"/>
        </w:rPr>
        <w:t>害关系人对评标结</w:t>
      </w:r>
      <w:bookmarkEnd w:id="482"/>
      <w:bookmarkEnd w:id="483"/>
      <w:bookmarkEnd w:id="484"/>
      <w:bookmarkEnd w:id="485"/>
      <w:bookmarkEnd w:id="486"/>
      <w:bookmarkEnd w:id="487"/>
      <w:bookmarkEnd w:id="488"/>
      <w:bookmarkEnd w:id="489"/>
      <w:bookmarkEnd w:id="490"/>
      <w:bookmarkEnd w:id="491"/>
      <w:bookmarkEnd w:id="492"/>
      <w:r>
        <w:rPr>
          <w:rFonts w:hint="eastAsia" w:ascii="宋体" w:hAnsi="宋体" w:cs="宋体"/>
          <w:color w:val="auto"/>
          <w:sz w:val="24"/>
          <w:szCs w:val="24"/>
          <w:highlight w:val="none"/>
        </w:rPr>
        <w:t>果有异议的，应当在中标候选人公示期间提出。招标人将在收到异议之日起3日内作出答复；作出答复前，将暂停招标投标活动。</w:t>
      </w:r>
    </w:p>
    <w:p w14:paraId="26B2EB09">
      <w:pPr>
        <w:spacing w:line="360" w:lineRule="auto"/>
        <w:ind w:firstLine="480" w:firstLineChars="200"/>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w:t>
      </w:r>
    </w:p>
    <w:p w14:paraId="6E9E004D">
      <w:pPr>
        <w:pStyle w:val="4"/>
        <w:spacing w:line="360" w:lineRule="auto"/>
        <w:ind w:firstLine="0" w:firstLineChars="0"/>
        <w:rPr>
          <w:rFonts w:hint="eastAsia" w:ascii="宋体" w:hAnsi="宋体" w:eastAsia="宋体" w:cs="宋体"/>
          <w:color w:val="auto"/>
          <w:szCs w:val="24"/>
          <w:highlight w:val="none"/>
        </w:rPr>
      </w:pPr>
      <w:bookmarkStart w:id="493" w:name="_Toc8456"/>
      <w:bookmarkStart w:id="494" w:name="_Toc24306"/>
      <w:bookmarkStart w:id="495" w:name="_Toc4223"/>
      <w:bookmarkStart w:id="496" w:name="_Toc10747"/>
      <w:bookmarkStart w:id="497" w:name="_Toc7255"/>
      <w:bookmarkStart w:id="498" w:name="_Toc11242"/>
      <w:bookmarkStart w:id="499" w:name="_Toc12436"/>
      <w:bookmarkStart w:id="500" w:name="_Toc492300607"/>
      <w:r>
        <w:rPr>
          <w:rFonts w:hint="eastAsia" w:ascii="宋体" w:hAnsi="宋体" w:eastAsia="宋体" w:cs="宋体"/>
          <w:color w:val="auto"/>
          <w:szCs w:val="24"/>
          <w:highlight w:val="none"/>
        </w:rPr>
        <w:t>7.3 中标候选人履约能力审查</w:t>
      </w:r>
      <w:bookmarkEnd w:id="493"/>
      <w:bookmarkEnd w:id="494"/>
      <w:bookmarkEnd w:id="495"/>
      <w:bookmarkEnd w:id="496"/>
      <w:bookmarkEnd w:id="497"/>
      <w:bookmarkEnd w:id="498"/>
      <w:bookmarkEnd w:id="499"/>
      <w:bookmarkEnd w:id="500"/>
    </w:p>
    <w:p w14:paraId="35AF08E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5C10C42D">
      <w:pPr>
        <w:pStyle w:val="4"/>
        <w:spacing w:line="360" w:lineRule="auto"/>
        <w:ind w:firstLine="0" w:firstLineChars="0"/>
        <w:rPr>
          <w:rFonts w:hint="eastAsia" w:ascii="宋体" w:hAnsi="宋体" w:eastAsia="宋体" w:cs="宋体"/>
          <w:color w:val="auto"/>
          <w:szCs w:val="24"/>
          <w:highlight w:val="none"/>
        </w:rPr>
      </w:pPr>
      <w:bookmarkStart w:id="501" w:name="_Toc20037"/>
      <w:bookmarkStart w:id="502" w:name="_Toc492300608"/>
      <w:bookmarkStart w:id="503" w:name="_Toc13911"/>
      <w:bookmarkStart w:id="504" w:name="_Toc18639"/>
      <w:bookmarkStart w:id="505" w:name="_Toc16645"/>
      <w:bookmarkStart w:id="506" w:name="_Toc9704"/>
      <w:bookmarkStart w:id="507" w:name="_Toc25871"/>
      <w:bookmarkStart w:id="508" w:name="_Toc24755"/>
      <w:r>
        <w:rPr>
          <w:rFonts w:hint="eastAsia" w:ascii="宋体" w:hAnsi="宋体" w:eastAsia="宋体" w:cs="宋体"/>
          <w:color w:val="auto"/>
          <w:szCs w:val="24"/>
          <w:highlight w:val="none"/>
        </w:rPr>
        <w:t>7.4 定标</w:t>
      </w:r>
      <w:bookmarkEnd w:id="501"/>
      <w:bookmarkEnd w:id="502"/>
      <w:bookmarkEnd w:id="503"/>
      <w:bookmarkEnd w:id="504"/>
      <w:bookmarkEnd w:id="505"/>
      <w:bookmarkEnd w:id="506"/>
      <w:bookmarkEnd w:id="507"/>
      <w:bookmarkEnd w:id="508"/>
    </w:p>
    <w:p w14:paraId="5A82050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按照投标人须知前附表的规定，招标人或招标人授权的评标委员会依法确定中标人。</w:t>
      </w:r>
    </w:p>
    <w:p w14:paraId="0BD5F55F">
      <w:pPr>
        <w:pStyle w:val="4"/>
        <w:spacing w:line="360" w:lineRule="auto"/>
        <w:ind w:firstLine="0" w:firstLineChars="0"/>
        <w:rPr>
          <w:rFonts w:hint="eastAsia" w:ascii="宋体" w:hAnsi="宋体" w:eastAsia="宋体" w:cs="宋体"/>
          <w:color w:val="auto"/>
          <w:szCs w:val="24"/>
          <w:highlight w:val="none"/>
        </w:rPr>
      </w:pPr>
      <w:bookmarkStart w:id="509" w:name="_Toc22074"/>
      <w:bookmarkStart w:id="510" w:name="_Toc492300609"/>
      <w:bookmarkStart w:id="511" w:name="_Toc20477"/>
      <w:bookmarkStart w:id="512" w:name="_Toc2936"/>
      <w:bookmarkStart w:id="513" w:name="_Toc9845"/>
      <w:bookmarkStart w:id="514" w:name="_Toc31128"/>
      <w:bookmarkStart w:id="515" w:name="_Toc9194"/>
      <w:bookmarkStart w:id="516" w:name="_Toc12343"/>
      <w:r>
        <w:rPr>
          <w:rFonts w:hint="eastAsia" w:ascii="宋体" w:hAnsi="宋体" w:eastAsia="宋体" w:cs="宋体"/>
          <w:color w:val="auto"/>
          <w:szCs w:val="24"/>
          <w:highlight w:val="none"/>
        </w:rPr>
        <w:t>7.5 中标通知</w:t>
      </w:r>
      <w:bookmarkEnd w:id="509"/>
      <w:bookmarkEnd w:id="510"/>
      <w:bookmarkEnd w:id="511"/>
      <w:bookmarkEnd w:id="512"/>
      <w:bookmarkEnd w:id="513"/>
      <w:bookmarkEnd w:id="514"/>
      <w:bookmarkEnd w:id="515"/>
      <w:bookmarkEnd w:id="516"/>
    </w:p>
    <w:p w14:paraId="60E80408">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在本章第3.3款规定的投标有效期内，招标人以书面形式向中标人发出中标</w:t>
      </w:r>
      <w:bookmarkStart w:id="517" w:name="_Toc352691506"/>
      <w:bookmarkStart w:id="518" w:name="_Toc384308244"/>
      <w:bookmarkStart w:id="519" w:name="_Toc300834983"/>
      <w:bookmarkStart w:id="520" w:name="_Toc5668"/>
      <w:bookmarkStart w:id="521" w:name="_Toc361508619"/>
      <w:bookmarkStart w:id="522" w:name="_Toc369531550"/>
      <w:r>
        <w:rPr>
          <w:rFonts w:hint="eastAsia" w:ascii="宋体" w:hAnsi="宋体" w:cs="宋体"/>
          <w:color w:val="auto"/>
          <w:sz w:val="24"/>
          <w:szCs w:val="24"/>
          <w:highlight w:val="none"/>
        </w:rPr>
        <w:t>通知书，同时将中</w:t>
      </w:r>
      <w:bookmarkEnd w:id="517"/>
      <w:bookmarkEnd w:id="518"/>
      <w:bookmarkEnd w:id="519"/>
      <w:bookmarkEnd w:id="520"/>
      <w:bookmarkEnd w:id="521"/>
      <w:bookmarkEnd w:id="522"/>
      <w:r>
        <w:rPr>
          <w:rFonts w:hint="eastAsia" w:ascii="宋体" w:hAnsi="宋体" w:cs="宋体"/>
          <w:color w:val="auto"/>
          <w:sz w:val="24"/>
          <w:szCs w:val="24"/>
          <w:highlight w:val="none"/>
        </w:rPr>
        <w:t>标结果通知未中标的投标人。</w:t>
      </w:r>
    </w:p>
    <w:p w14:paraId="64F00BC8">
      <w:pPr>
        <w:pStyle w:val="4"/>
        <w:spacing w:line="360" w:lineRule="auto"/>
        <w:ind w:firstLine="0" w:firstLineChars="0"/>
        <w:rPr>
          <w:rFonts w:hint="eastAsia" w:ascii="宋体" w:hAnsi="宋体" w:eastAsia="宋体" w:cs="宋体"/>
          <w:color w:val="auto"/>
          <w:szCs w:val="24"/>
          <w:highlight w:val="none"/>
        </w:rPr>
      </w:pPr>
      <w:bookmarkStart w:id="523" w:name="_Toc10579"/>
      <w:bookmarkStart w:id="524" w:name="_Toc492300610"/>
      <w:bookmarkStart w:id="525" w:name="_Toc7444"/>
      <w:bookmarkStart w:id="526" w:name="_Toc8209"/>
      <w:bookmarkStart w:id="527" w:name="_Toc14148"/>
      <w:bookmarkStart w:id="528" w:name="_Toc29460"/>
      <w:bookmarkStart w:id="529" w:name="_Toc11461"/>
      <w:bookmarkStart w:id="530" w:name="_Toc28838"/>
      <w:r>
        <w:rPr>
          <w:rFonts w:hint="eastAsia" w:ascii="宋体" w:hAnsi="宋体" w:eastAsia="宋体" w:cs="宋体"/>
          <w:color w:val="auto"/>
          <w:szCs w:val="24"/>
          <w:highlight w:val="none"/>
        </w:rPr>
        <w:t>7.6 履约保证金</w:t>
      </w:r>
      <w:bookmarkEnd w:id="523"/>
      <w:bookmarkEnd w:id="524"/>
      <w:bookmarkEnd w:id="525"/>
      <w:bookmarkEnd w:id="526"/>
      <w:bookmarkEnd w:id="527"/>
      <w:bookmarkEnd w:id="528"/>
      <w:bookmarkEnd w:id="529"/>
      <w:bookmarkEnd w:id="530"/>
    </w:p>
    <w:p w14:paraId="26D9EDD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牵头人的名义提交。</w:t>
      </w:r>
    </w:p>
    <w:p w14:paraId="69D27E5C">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7.6.2 中标人不能按本章第7.6.1项要求提交履约保证金的，视为放弃中标，其</w:t>
      </w:r>
      <w:r>
        <w:rPr>
          <w:rFonts w:hint="eastAsia" w:ascii="宋体" w:hAnsi="宋体" w:cs="宋体"/>
          <w:color w:val="auto"/>
          <w:sz w:val="24"/>
          <w:szCs w:val="24"/>
          <w:highlight w:val="none"/>
          <w:lang w:eastAsia="zh-CN"/>
        </w:rPr>
        <w:t>补交的</w:t>
      </w:r>
      <w:r>
        <w:rPr>
          <w:rFonts w:hint="eastAsia" w:ascii="宋体" w:hAnsi="宋体" w:cs="宋体"/>
          <w:color w:val="auto"/>
          <w:sz w:val="24"/>
          <w:szCs w:val="24"/>
          <w:highlight w:val="none"/>
        </w:rPr>
        <w:t>投标保证金不予退还，给招标人造成的损失超过投标保证金数额的，中标人还应当对超过部分予以赔偿。</w:t>
      </w:r>
    </w:p>
    <w:p w14:paraId="2AF383D9">
      <w:pPr>
        <w:pStyle w:val="4"/>
        <w:spacing w:line="360" w:lineRule="auto"/>
        <w:ind w:firstLine="0" w:firstLineChars="0"/>
        <w:rPr>
          <w:rFonts w:hint="eastAsia" w:ascii="宋体" w:hAnsi="宋体" w:eastAsia="宋体" w:cs="宋体"/>
          <w:color w:val="auto"/>
          <w:szCs w:val="24"/>
          <w:highlight w:val="none"/>
        </w:rPr>
      </w:pPr>
      <w:bookmarkStart w:id="531" w:name="_Toc28497"/>
      <w:bookmarkStart w:id="532" w:name="_Toc21668"/>
      <w:bookmarkStart w:id="533" w:name="_Toc492300611"/>
      <w:bookmarkStart w:id="534" w:name="_Toc22239"/>
      <w:bookmarkStart w:id="535" w:name="_Toc25308"/>
      <w:bookmarkStart w:id="536" w:name="_Toc4249"/>
      <w:bookmarkStart w:id="537" w:name="_Toc25434"/>
      <w:bookmarkStart w:id="538" w:name="_Toc6210"/>
      <w:r>
        <w:rPr>
          <w:rFonts w:hint="eastAsia" w:ascii="宋体" w:hAnsi="宋体" w:eastAsia="宋体" w:cs="宋体"/>
          <w:color w:val="auto"/>
          <w:szCs w:val="24"/>
          <w:highlight w:val="none"/>
        </w:rPr>
        <w:t>7.7 签订合同</w:t>
      </w:r>
      <w:bookmarkEnd w:id="531"/>
      <w:bookmarkEnd w:id="532"/>
      <w:bookmarkEnd w:id="533"/>
      <w:bookmarkEnd w:id="534"/>
      <w:bookmarkEnd w:id="535"/>
      <w:bookmarkEnd w:id="536"/>
      <w:bookmarkEnd w:id="537"/>
      <w:bookmarkEnd w:id="538"/>
    </w:p>
    <w:p w14:paraId="59B3A4B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7.7.1 招标人和中标人应当在中标通知书发出之日起30日内，根据招标文件和中标人的投标文件订立书面合同。中标人无正当理由拒签合同，在签订合同时向招标人提出附加条件，或者不按照招标文件要求提交履约保证金的，招标人有权取消其中标资格，</w:t>
      </w:r>
      <w:r>
        <w:rPr>
          <w:rFonts w:hint="eastAsia" w:ascii="宋体" w:hAnsi="宋体" w:cs="宋体"/>
          <w:color w:val="auto"/>
          <w:sz w:val="24"/>
          <w:szCs w:val="24"/>
          <w:highlight w:val="none"/>
          <w:u w:val="single"/>
        </w:rPr>
        <w:t>招标人有权根据《关于投标保证金的承诺》，要求投标人足额补交投标保证金，其补交的投标保证金不予退还</w:t>
      </w:r>
      <w:r>
        <w:rPr>
          <w:rFonts w:hint="eastAsia" w:ascii="宋体" w:hAnsi="宋体" w:cs="宋体"/>
          <w:color w:val="auto"/>
          <w:sz w:val="24"/>
          <w:szCs w:val="24"/>
          <w:highlight w:val="none"/>
        </w:rPr>
        <w:t>。给招标人造成的损失超过投标保证金数额的，中标人还应当对超过部分予以赔偿。</w:t>
      </w:r>
    </w:p>
    <w:p w14:paraId="177198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1F38E41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7.7.3联合体中标的，联合体各方应当共同与招标人签订合同，就中标项目向招标人承担连带责任。</w:t>
      </w:r>
    </w:p>
    <w:p w14:paraId="71A10D8F">
      <w:pPr>
        <w:pStyle w:val="3"/>
        <w:spacing w:line="360" w:lineRule="auto"/>
        <w:rPr>
          <w:rFonts w:hint="eastAsia" w:ascii="宋体" w:hAnsi="宋体" w:eastAsia="宋体" w:cs="宋体"/>
          <w:color w:val="auto"/>
          <w:sz w:val="28"/>
          <w:szCs w:val="28"/>
          <w:highlight w:val="none"/>
        </w:rPr>
      </w:pPr>
      <w:bookmarkStart w:id="539" w:name="_Toc384308252"/>
      <w:bookmarkStart w:id="540" w:name="_Toc361508627"/>
      <w:bookmarkStart w:id="541" w:name="_Toc24067"/>
      <w:bookmarkStart w:id="542" w:name="_Toc31097"/>
      <w:bookmarkStart w:id="543" w:name="_Toc492300612"/>
      <w:bookmarkStart w:id="544" w:name="_Toc12616"/>
      <w:bookmarkStart w:id="545" w:name="_Toc5631"/>
      <w:bookmarkStart w:id="546" w:name="_Toc15061"/>
      <w:bookmarkStart w:id="547" w:name="_Toc642"/>
      <w:bookmarkStart w:id="548" w:name="_Toc16626"/>
      <w:bookmarkStart w:id="549" w:name="_Toc5519"/>
      <w:bookmarkStart w:id="550" w:name="_Toc152045568"/>
      <w:bookmarkStart w:id="551" w:name="_Toc247513992"/>
      <w:bookmarkStart w:id="552" w:name="_Toc152042344"/>
      <w:bookmarkStart w:id="553" w:name="_Toc300834991"/>
      <w:bookmarkStart w:id="554" w:name="_Toc247527593"/>
      <w:bookmarkStart w:id="555" w:name="_Toc144974536"/>
      <w:r>
        <w:rPr>
          <w:rFonts w:hint="eastAsia" w:ascii="宋体" w:hAnsi="宋体" w:eastAsia="宋体" w:cs="宋体"/>
          <w:color w:val="auto"/>
          <w:sz w:val="28"/>
          <w:szCs w:val="28"/>
          <w:highlight w:val="none"/>
        </w:rPr>
        <w:t>8.</w:t>
      </w:r>
      <w:bookmarkEnd w:id="539"/>
      <w:bookmarkEnd w:id="540"/>
      <w:bookmarkEnd w:id="541"/>
      <w:r>
        <w:rPr>
          <w:rFonts w:hint="eastAsia" w:ascii="宋体" w:hAnsi="宋体" w:eastAsia="宋体" w:cs="宋体"/>
          <w:color w:val="auto"/>
          <w:sz w:val="28"/>
          <w:szCs w:val="28"/>
          <w:highlight w:val="none"/>
        </w:rPr>
        <w:t>纪律和监督</w:t>
      </w:r>
      <w:bookmarkEnd w:id="542"/>
      <w:bookmarkEnd w:id="543"/>
      <w:bookmarkEnd w:id="544"/>
      <w:bookmarkEnd w:id="545"/>
      <w:bookmarkEnd w:id="546"/>
      <w:bookmarkEnd w:id="547"/>
      <w:bookmarkEnd w:id="548"/>
      <w:bookmarkEnd w:id="549"/>
    </w:p>
    <w:p w14:paraId="22692333">
      <w:pPr>
        <w:pStyle w:val="4"/>
        <w:spacing w:line="360" w:lineRule="auto"/>
        <w:ind w:firstLine="0" w:firstLineChars="0"/>
        <w:rPr>
          <w:rFonts w:hint="eastAsia" w:ascii="宋体" w:hAnsi="宋体" w:eastAsia="宋体" w:cs="宋体"/>
          <w:color w:val="auto"/>
          <w:szCs w:val="24"/>
          <w:highlight w:val="none"/>
        </w:rPr>
      </w:pPr>
      <w:bookmarkStart w:id="556" w:name="_Toc492300613"/>
      <w:bookmarkStart w:id="557" w:name="_Toc32544"/>
      <w:bookmarkStart w:id="558" w:name="_Toc9299"/>
      <w:bookmarkStart w:id="559" w:name="_Toc15883"/>
      <w:bookmarkStart w:id="560" w:name="_Toc21921"/>
      <w:bookmarkStart w:id="561" w:name="_Toc4178"/>
      <w:bookmarkStart w:id="562" w:name="_Toc18110"/>
      <w:bookmarkStart w:id="563" w:name="_Toc23120"/>
      <w:r>
        <w:rPr>
          <w:rFonts w:hint="eastAsia" w:ascii="宋体" w:hAnsi="宋体" w:eastAsia="宋体" w:cs="宋体"/>
          <w:color w:val="auto"/>
          <w:szCs w:val="24"/>
          <w:highlight w:val="none"/>
        </w:rPr>
        <w:t>8.1 对招标人的纪律要求</w:t>
      </w:r>
      <w:bookmarkEnd w:id="556"/>
      <w:bookmarkEnd w:id="557"/>
      <w:bookmarkEnd w:id="558"/>
      <w:bookmarkEnd w:id="559"/>
      <w:bookmarkEnd w:id="560"/>
      <w:bookmarkEnd w:id="561"/>
      <w:bookmarkEnd w:id="562"/>
      <w:bookmarkEnd w:id="563"/>
    </w:p>
    <w:p w14:paraId="6E42290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招标人不得泄露招标投标活动中应当保密的情况和资料，不得与投标人串通损害国家利益、社会公共利益或者他人合法权益。</w:t>
      </w:r>
    </w:p>
    <w:p w14:paraId="2A30CCA2">
      <w:pPr>
        <w:pStyle w:val="4"/>
        <w:spacing w:line="360" w:lineRule="auto"/>
        <w:ind w:firstLine="0" w:firstLineChars="0"/>
        <w:rPr>
          <w:rFonts w:hint="eastAsia" w:ascii="宋体" w:hAnsi="宋体" w:eastAsia="宋体" w:cs="宋体"/>
          <w:color w:val="auto"/>
          <w:szCs w:val="24"/>
          <w:highlight w:val="none"/>
        </w:rPr>
      </w:pPr>
      <w:bookmarkStart w:id="564" w:name="_Toc32615"/>
      <w:bookmarkStart w:id="565" w:name="_Toc8183"/>
      <w:bookmarkStart w:id="566" w:name="_Toc7748"/>
      <w:bookmarkStart w:id="567" w:name="_Toc23526"/>
      <w:bookmarkStart w:id="568" w:name="_Toc492300614"/>
      <w:bookmarkStart w:id="569" w:name="_Toc14517"/>
      <w:bookmarkStart w:id="570" w:name="_Toc6541"/>
      <w:bookmarkStart w:id="571" w:name="_Toc31887"/>
      <w:r>
        <w:rPr>
          <w:rFonts w:hint="eastAsia" w:ascii="宋体" w:hAnsi="宋体" w:eastAsia="宋体" w:cs="宋体"/>
          <w:color w:val="auto"/>
          <w:szCs w:val="24"/>
          <w:highlight w:val="none"/>
        </w:rPr>
        <w:t>8.2 对投标人的纪律要求</w:t>
      </w:r>
      <w:bookmarkEnd w:id="564"/>
      <w:bookmarkEnd w:id="565"/>
      <w:bookmarkEnd w:id="566"/>
      <w:bookmarkEnd w:id="567"/>
      <w:bookmarkEnd w:id="568"/>
      <w:bookmarkEnd w:id="569"/>
      <w:bookmarkEnd w:id="570"/>
      <w:bookmarkEnd w:id="571"/>
    </w:p>
    <w:p w14:paraId="11EC99C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1E463C03">
      <w:pPr>
        <w:pStyle w:val="4"/>
        <w:spacing w:line="360" w:lineRule="auto"/>
        <w:ind w:firstLine="0" w:firstLineChars="0"/>
        <w:rPr>
          <w:rFonts w:hint="eastAsia" w:ascii="宋体" w:hAnsi="宋体" w:eastAsia="宋体" w:cs="宋体"/>
          <w:color w:val="auto"/>
          <w:szCs w:val="24"/>
          <w:highlight w:val="none"/>
        </w:rPr>
      </w:pPr>
      <w:bookmarkStart w:id="572" w:name="_Toc1865"/>
      <w:bookmarkStart w:id="573" w:name="_Toc25078"/>
      <w:bookmarkStart w:id="574" w:name="_Toc28223"/>
      <w:bookmarkStart w:id="575" w:name="_Toc30851"/>
      <w:bookmarkStart w:id="576" w:name="_Toc6527"/>
      <w:bookmarkStart w:id="577" w:name="_Toc10298"/>
      <w:bookmarkStart w:id="578" w:name="_Toc492300615"/>
      <w:bookmarkStart w:id="579" w:name="_Toc7612"/>
      <w:r>
        <w:rPr>
          <w:rFonts w:hint="eastAsia" w:ascii="宋体" w:hAnsi="宋体" w:eastAsia="宋体" w:cs="宋体"/>
          <w:color w:val="auto"/>
          <w:szCs w:val="24"/>
          <w:highlight w:val="none"/>
        </w:rPr>
        <w:t>8.3 对评标委员会成员的纪律要求</w:t>
      </w:r>
      <w:bookmarkEnd w:id="572"/>
      <w:bookmarkEnd w:id="573"/>
      <w:bookmarkEnd w:id="574"/>
      <w:bookmarkEnd w:id="575"/>
      <w:bookmarkEnd w:id="576"/>
      <w:bookmarkEnd w:id="577"/>
      <w:bookmarkEnd w:id="578"/>
      <w:bookmarkEnd w:id="579"/>
    </w:p>
    <w:p w14:paraId="0ACA03E5">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评标委员会成员不得收受他人的财物或者其他好处，不得向他人透露对投标文件的评审</w:t>
      </w:r>
      <w:bookmarkStart w:id="580" w:name="_Toc13644"/>
      <w:bookmarkStart w:id="581" w:name="_Toc369531559"/>
      <w:bookmarkStart w:id="582" w:name="_Toc384308253"/>
      <w:bookmarkStart w:id="583" w:name="_Toc361508628"/>
      <w:bookmarkStart w:id="584" w:name="_Toc352691515"/>
      <w:r>
        <w:rPr>
          <w:rFonts w:hint="eastAsia" w:ascii="宋体" w:hAnsi="宋体" w:cs="宋体"/>
          <w:color w:val="auto"/>
          <w:sz w:val="24"/>
          <w:szCs w:val="24"/>
          <w:highlight w:val="none"/>
        </w:rPr>
        <w:t>和比较、中标候选人</w:t>
      </w:r>
      <w:bookmarkEnd w:id="550"/>
      <w:bookmarkEnd w:id="551"/>
      <w:bookmarkEnd w:id="552"/>
      <w:bookmarkEnd w:id="553"/>
      <w:bookmarkEnd w:id="554"/>
      <w:bookmarkEnd w:id="555"/>
      <w:bookmarkEnd w:id="580"/>
      <w:bookmarkEnd w:id="581"/>
      <w:bookmarkEnd w:id="582"/>
      <w:bookmarkEnd w:id="583"/>
      <w:bookmarkEnd w:id="584"/>
      <w:r>
        <w:rPr>
          <w:rFonts w:hint="eastAsia" w:ascii="宋体" w:hAnsi="宋体" w:cs="宋体"/>
          <w:color w:val="auto"/>
          <w:sz w:val="24"/>
          <w:szCs w:val="24"/>
          <w:highlight w:val="none"/>
        </w:rPr>
        <w:t>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4CC258C1">
      <w:pPr>
        <w:pStyle w:val="4"/>
        <w:spacing w:line="360" w:lineRule="auto"/>
        <w:ind w:firstLine="0" w:firstLineChars="0"/>
        <w:rPr>
          <w:rFonts w:hint="eastAsia" w:ascii="宋体" w:hAnsi="宋体" w:eastAsia="宋体" w:cs="宋体"/>
          <w:color w:val="auto"/>
          <w:szCs w:val="24"/>
          <w:highlight w:val="none"/>
        </w:rPr>
      </w:pPr>
      <w:bookmarkStart w:id="585" w:name="_Toc27753"/>
      <w:bookmarkStart w:id="586" w:name="_Toc282"/>
      <w:bookmarkStart w:id="587" w:name="_Toc492300616"/>
      <w:bookmarkStart w:id="588" w:name="_Toc28320"/>
      <w:bookmarkStart w:id="589" w:name="_Toc22625"/>
      <w:bookmarkStart w:id="590" w:name="_Toc684"/>
      <w:bookmarkStart w:id="591" w:name="_Toc3593"/>
      <w:bookmarkStart w:id="592" w:name="_Toc5380"/>
      <w:r>
        <w:rPr>
          <w:rFonts w:hint="eastAsia" w:ascii="宋体" w:hAnsi="宋体" w:eastAsia="宋体" w:cs="宋体"/>
          <w:color w:val="auto"/>
          <w:szCs w:val="24"/>
          <w:highlight w:val="none"/>
        </w:rPr>
        <w:t>8.4 对与评标活动有关的工作人员的纪律要求</w:t>
      </w:r>
      <w:bookmarkEnd w:id="585"/>
      <w:bookmarkEnd w:id="586"/>
      <w:bookmarkEnd w:id="587"/>
      <w:bookmarkEnd w:id="588"/>
      <w:bookmarkEnd w:id="589"/>
      <w:bookmarkEnd w:id="590"/>
      <w:bookmarkEnd w:id="591"/>
      <w:bookmarkEnd w:id="592"/>
    </w:p>
    <w:p w14:paraId="28525861">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与评标活动有关的工作人员不得收受他人的财物或者其他好处，不得向他人透露对投标文件</w:t>
      </w:r>
      <w:bookmarkStart w:id="593" w:name="_Toc361508629"/>
      <w:bookmarkStart w:id="594" w:name="_Toc300834992"/>
      <w:bookmarkStart w:id="595" w:name="_Toc152042345"/>
      <w:bookmarkStart w:id="596" w:name="_Toc247513993"/>
      <w:bookmarkStart w:id="597" w:name="_Toc144974537"/>
      <w:bookmarkStart w:id="598" w:name="_Toc369531560"/>
      <w:bookmarkStart w:id="599" w:name="_Toc247527594"/>
      <w:bookmarkStart w:id="600" w:name="_Toc384308254"/>
      <w:bookmarkStart w:id="601" w:name="_Toc152045569"/>
      <w:bookmarkStart w:id="602" w:name="_Toc19429"/>
      <w:bookmarkStart w:id="603" w:name="_Toc352691516"/>
      <w:r>
        <w:rPr>
          <w:rFonts w:hint="eastAsia" w:ascii="宋体" w:hAnsi="宋体" w:cs="宋体"/>
          <w:color w:val="auto"/>
          <w:sz w:val="24"/>
          <w:szCs w:val="24"/>
          <w:highlight w:val="none"/>
        </w:rPr>
        <w:t>的评审和比较、中标</w:t>
      </w:r>
      <w:bookmarkEnd w:id="593"/>
      <w:bookmarkEnd w:id="594"/>
      <w:bookmarkEnd w:id="595"/>
      <w:bookmarkEnd w:id="596"/>
      <w:bookmarkEnd w:id="597"/>
      <w:bookmarkEnd w:id="598"/>
      <w:bookmarkEnd w:id="599"/>
      <w:bookmarkEnd w:id="600"/>
      <w:bookmarkEnd w:id="601"/>
      <w:bookmarkEnd w:id="602"/>
      <w:bookmarkEnd w:id="603"/>
      <w:r>
        <w:rPr>
          <w:rFonts w:hint="eastAsia" w:ascii="宋体" w:hAnsi="宋体" w:cs="宋体"/>
          <w:color w:val="auto"/>
          <w:sz w:val="24"/>
          <w:szCs w:val="24"/>
          <w:highlight w:val="none"/>
        </w:rPr>
        <w:t>候选人的推荐情况以及评标有关的其他情况。在评标活动中，与评标活动有关的工作人员不得擅离职守，影响评标程序正常进行。</w:t>
      </w:r>
    </w:p>
    <w:p w14:paraId="62288036">
      <w:pPr>
        <w:pStyle w:val="4"/>
        <w:spacing w:line="360" w:lineRule="auto"/>
        <w:ind w:firstLine="0" w:firstLineChars="0"/>
        <w:rPr>
          <w:rFonts w:hint="eastAsia" w:ascii="宋体" w:hAnsi="宋体" w:eastAsia="宋体" w:cs="宋体"/>
          <w:color w:val="auto"/>
          <w:szCs w:val="24"/>
          <w:highlight w:val="none"/>
        </w:rPr>
      </w:pPr>
      <w:bookmarkStart w:id="604" w:name="_Toc27306"/>
      <w:bookmarkStart w:id="605" w:name="_Toc24577"/>
      <w:bookmarkStart w:id="606" w:name="_Toc15494"/>
      <w:bookmarkStart w:id="607" w:name="_Toc19832"/>
      <w:bookmarkStart w:id="608" w:name="_Toc14715"/>
      <w:bookmarkStart w:id="609" w:name="_Toc2142"/>
      <w:bookmarkStart w:id="610" w:name="_Toc492300617"/>
      <w:bookmarkStart w:id="611" w:name="_Toc1751"/>
      <w:r>
        <w:rPr>
          <w:rFonts w:hint="eastAsia" w:ascii="宋体" w:hAnsi="宋体" w:eastAsia="宋体" w:cs="宋体"/>
          <w:color w:val="auto"/>
          <w:szCs w:val="24"/>
          <w:highlight w:val="none"/>
        </w:rPr>
        <w:t>8.5 投诉</w:t>
      </w:r>
      <w:bookmarkEnd w:id="604"/>
      <w:bookmarkEnd w:id="605"/>
      <w:bookmarkEnd w:id="606"/>
      <w:bookmarkEnd w:id="607"/>
      <w:bookmarkEnd w:id="608"/>
      <w:bookmarkEnd w:id="609"/>
      <w:bookmarkEnd w:id="610"/>
      <w:bookmarkEnd w:id="611"/>
    </w:p>
    <w:p w14:paraId="27B34CE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0EE9345E">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8.5.2 投标人或者其他利害关系人对招标文件、开标和评标结果提出投诉的，应当按照投标人须知第2.4款、第5.3款和第7.2款的规定先向招标人提出异议。异议答复期间</w:t>
      </w:r>
      <w:bookmarkStart w:id="612" w:name="_Toc152045570"/>
      <w:bookmarkStart w:id="613" w:name="_Toc300834993"/>
      <w:bookmarkStart w:id="614" w:name="_Toc152042346"/>
      <w:bookmarkStart w:id="615" w:name="_Toc361508630"/>
      <w:bookmarkStart w:id="616" w:name="_Toc144974538"/>
      <w:bookmarkStart w:id="617" w:name="_Toc247527595"/>
      <w:bookmarkStart w:id="618" w:name="_Toc12776"/>
      <w:bookmarkStart w:id="619" w:name="_Toc352691517"/>
      <w:bookmarkStart w:id="620" w:name="_Toc384308255"/>
      <w:bookmarkStart w:id="621" w:name="_Toc369531561"/>
      <w:bookmarkStart w:id="622" w:name="_Toc247513994"/>
      <w:r>
        <w:rPr>
          <w:rFonts w:hint="eastAsia" w:ascii="宋体" w:hAnsi="宋体" w:cs="宋体"/>
          <w:color w:val="auto"/>
          <w:sz w:val="24"/>
          <w:szCs w:val="24"/>
          <w:highlight w:val="none"/>
        </w:rPr>
        <w:t>不计算在第8.5.</w:t>
      </w:r>
      <w:bookmarkEnd w:id="612"/>
      <w:bookmarkEnd w:id="613"/>
      <w:bookmarkEnd w:id="614"/>
      <w:bookmarkEnd w:id="615"/>
      <w:bookmarkEnd w:id="616"/>
      <w:bookmarkEnd w:id="617"/>
      <w:bookmarkEnd w:id="618"/>
      <w:bookmarkEnd w:id="619"/>
      <w:bookmarkEnd w:id="620"/>
      <w:bookmarkEnd w:id="621"/>
      <w:bookmarkEnd w:id="622"/>
      <w:r>
        <w:rPr>
          <w:rFonts w:hint="eastAsia" w:ascii="宋体" w:hAnsi="宋体" w:cs="宋体"/>
          <w:color w:val="auto"/>
          <w:sz w:val="24"/>
          <w:szCs w:val="24"/>
          <w:highlight w:val="none"/>
        </w:rPr>
        <w:t>1项规定的期限内。</w:t>
      </w:r>
    </w:p>
    <w:p w14:paraId="04CA3F08">
      <w:pPr>
        <w:pStyle w:val="3"/>
        <w:spacing w:line="360" w:lineRule="auto"/>
        <w:rPr>
          <w:rFonts w:hint="eastAsia" w:ascii="宋体" w:hAnsi="宋体" w:eastAsia="宋体" w:cs="宋体"/>
          <w:color w:val="auto"/>
          <w:sz w:val="28"/>
          <w:szCs w:val="28"/>
          <w:highlight w:val="none"/>
        </w:rPr>
      </w:pPr>
      <w:bookmarkStart w:id="623" w:name="_Toc492300618"/>
      <w:bookmarkStart w:id="624" w:name="_Toc8988"/>
      <w:bookmarkStart w:id="625" w:name="_Toc21121"/>
      <w:bookmarkStart w:id="626" w:name="_Toc477134992"/>
      <w:bookmarkStart w:id="627" w:name="_Toc12204"/>
      <w:bookmarkStart w:id="628" w:name="_Toc9137"/>
      <w:bookmarkStart w:id="629" w:name="_Toc17880"/>
      <w:bookmarkStart w:id="630" w:name="_Toc21761"/>
      <w:bookmarkStart w:id="631" w:name="_Toc6758"/>
      <w:r>
        <w:rPr>
          <w:rFonts w:hint="eastAsia" w:ascii="宋体" w:hAnsi="宋体" w:eastAsia="宋体" w:cs="宋体"/>
          <w:color w:val="auto"/>
          <w:sz w:val="28"/>
          <w:szCs w:val="28"/>
          <w:highlight w:val="none"/>
        </w:rPr>
        <w:t>9. 是否采用电子招标投标</w:t>
      </w:r>
      <w:bookmarkEnd w:id="623"/>
      <w:bookmarkEnd w:id="624"/>
      <w:bookmarkEnd w:id="625"/>
      <w:bookmarkEnd w:id="626"/>
      <w:bookmarkEnd w:id="627"/>
      <w:bookmarkEnd w:id="628"/>
      <w:bookmarkEnd w:id="629"/>
      <w:bookmarkEnd w:id="630"/>
      <w:bookmarkEnd w:id="631"/>
    </w:p>
    <w:p w14:paraId="6DD77830">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本招标项目是否采用电子招标投标方式，见投标人须知前附表。</w:t>
      </w:r>
    </w:p>
    <w:p w14:paraId="1413B7CA">
      <w:pPr>
        <w:pStyle w:val="3"/>
        <w:spacing w:line="360" w:lineRule="auto"/>
        <w:rPr>
          <w:rFonts w:hint="eastAsia" w:ascii="宋体" w:hAnsi="宋体" w:eastAsia="宋体" w:cs="宋体"/>
          <w:color w:val="auto"/>
          <w:sz w:val="28"/>
          <w:szCs w:val="28"/>
          <w:highlight w:val="none"/>
        </w:rPr>
      </w:pPr>
      <w:bookmarkStart w:id="632" w:name="_Toc17964"/>
      <w:bookmarkStart w:id="633" w:name="_Toc492300619"/>
      <w:bookmarkStart w:id="634" w:name="_Toc21051"/>
      <w:bookmarkStart w:id="635" w:name="_Toc30975"/>
      <w:bookmarkStart w:id="636" w:name="_Toc1446"/>
      <w:bookmarkStart w:id="637" w:name="_Toc12439"/>
      <w:bookmarkStart w:id="638" w:name="_Toc9413"/>
      <w:bookmarkStart w:id="639" w:name="_Toc21221"/>
      <w:r>
        <w:rPr>
          <w:rFonts w:hint="eastAsia" w:ascii="宋体" w:hAnsi="宋体" w:eastAsia="宋体" w:cs="宋体"/>
          <w:color w:val="auto"/>
          <w:sz w:val="28"/>
          <w:szCs w:val="28"/>
          <w:highlight w:val="none"/>
        </w:rPr>
        <w:t>10. 需要补充的其他内容</w:t>
      </w:r>
      <w:bookmarkEnd w:id="632"/>
      <w:bookmarkEnd w:id="633"/>
      <w:bookmarkEnd w:id="634"/>
      <w:bookmarkEnd w:id="635"/>
      <w:bookmarkEnd w:id="636"/>
      <w:bookmarkEnd w:id="637"/>
      <w:bookmarkEnd w:id="638"/>
      <w:bookmarkEnd w:id="639"/>
    </w:p>
    <w:p w14:paraId="4DD6C127">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需要补充的其他内容：见投标人须知前附表。</w:t>
      </w:r>
    </w:p>
    <w:p w14:paraId="1DF6C256">
      <w:pPr>
        <w:pStyle w:val="3"/>
        <w:keepNext w:val="0"/>
        <w:keepLines w:val="0"/>
        <w:spacing w:before="0" w:after="0" w:line="460" w:lineRule="exact"/>
        <w:rPr>
          <w:rFonts w:hint="eastAsia" w:ascii="宋体" w:hAnsi="宋体" w:eastAsia="宋体" w:cs="宋体"/>
          <w:color w:val="auto"/>
          <w:sz w:val="24"/>
          <w:szCs w:val="24"/>
          <w:highlight w:val="none"/>
        </w:rPr>
      </w:pPr>
    </w:p>
    <w:bookmarkEnd w:id="18"/>
    <w:bookmarkEnd w:id="19"/>
    <w:bookmarkEnd w:id="20"/>
    <w:bookmarkEnd w:id="21"/>
    <w:p w14:paraId="1CC87849">
      <w:pPr>
        <w:rPr>
          <w:rFonts w:hint="eastAsia" w:ascii="宋体" w:hAnsi="宋体" w:cs="宋体"/>
          <w:color w:val="auto"/>
          <w:highlight w:val="none"/>
        </w:rPr>
      </w:pPr>
    </w:p>
    <w:p w14:paraId="198355FF">
      <w:pPr>
        <w:pStyle w:val="4"/>
        <w:keepNext w:val="0"/>
        <w:keepLines w:val="0"/>
        <w:ind w:firstLine="137"/>
        <w:rPr>
          <w:rFonts w:hint="eastAsia" w:ascii="宋体" w:hAnsi="宋体" w:eastAsia="宋体" w:cs="宋体"/>
          <w:color w:val="auto"/>
          <w:highlight w:val="none"/>
        </w:rPr>
      </w:pPr>
      <w:bookmarkStart w:id="640" w:name="_Toc527028503"/>
      <w:r>
        <w:rPr>
          <w:rFonts w:hint="eastAsia" w:ascii="宋体" w:hAnsi="宋体" w:eastAsia="宋体" w:cs="宋体"/>
          <w:color w:val="auto"/>
          <w:highlight w:val="none"/>
        </w:rPr>
        <w:br w:type="page"/>
      </w:r>
      <w:bookmarkStart w:id="641" w:name="_Toc23876"/>
      <w:bookmarkStart w:id="642" w:name="_Toc13243"/>
      <w:r>
        <w:rPr>
          <w:rFonts w:hint="eastAsia" w:ascii="宋体" w:hAnsi="宋体" w:eastAsia="宋体" w:cs="宋体"/>
          <w:color w:val="auto"/>
          <w:highlight w:val="none"/>
        </w:rPr>
        <w:t>附件一：开标记录表</w:t>
      </w:r>
      <w:bookmarkEnd w:id="640"/>
      <w:bookmarkEnd w:id="641"/>
      <w:bookmarkEnd w:id="642"/>
    </w:p>
    <w:p w14:paraId="2F9060AD">
      <w:pPr>
        <w:pStyle w:val="4"/>
        <w:spacing w:line="440" w:lineRule="exact"/>
        <w:ind w:firstLine="0" w:firstLineChars="0"/>
        <w:jc w:val="center"/>
        <w:rPr>
          <w:rFonts w:hint="eastAsia" w:ascii="宋体" w:hAnsi="宋体" w:eastAsia="宋体" w:cs="宋体"/>
          <w:color w:val="auto"/>
          <w:highlight w:val="none"/>
        </w:rPr>
      </w:pPr>
      <w:r>
        <w:rPr>
          <w:rFonts w:hint="eastAsia" w:ascii="宋体" w:hAnsi="宋体" w:eastAsia="宋体" w:cs="宋体"/>
          <w:color w:val="auto"/>
          <w:highlight w:val="none"/>
        </w:rPr>
        <w:t>开标记录表</w:t>
      </w:r>
    </w:p>
    <w:p w14:paraId="1C45AA70">
      <w:pPr>
        <w:spacing w:before="120" w:beforeLines="50" w:after="120" w:afterLines="50" w:line="400" w:lineRule="exact"/>
        <w:ind w:right="420"/>
        <w:jc w:val="right"/>
        <w:rPr>
          <w:rFonts w:hint="eastAsia" w:ascii="宋体" w:hAnsi="宋体" w:cs="宋体"/>
          <w:color w:val="auto"/>
          <w:highlight w:val="none"/>
        </w:rPr>
      </w:pPr>
      <w:r>
        <w:rPr>
          <w:rFonts w:hint="eastAsia" w:ascii="宋体" w:hAnsi="宋体" w:cs="宋体"/>
          <w:color w:val="auto"/>
          <w:highlight w:val="none"/>
        </w:rPr>
        <w:t>开标时间：</w:t>
      </w: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r>
        <w:rPr>
          <w:rFonts w:hint="eastAsia" w:ascii="宋体" w:hAnsi="宋体" w:cs="宋体"/>
          <w:color w:val="auto"/>
          <w:highlight w:val="none"/>
          <w:u w:val="single"/>
        </w:rPr>
        <w:t xml:space="preserve">         </w:t>
      </w:r>
      <w:r>
        <w:rPr>
          <w:rFonts w:hint="eastAsia" w:ascii="宋体" w:hAnsi="宋体" w:cs="宋体"/>
          <w:color w:val="auto"/>
          <w:highlight w:val="none"/>
        </w:rPr>
        <w:t>时</w:t>
      </w:r>
      <w:r>
        <w:rPr>
          <w:rFonts w:hint="eastAsia" w:ascii="宋体" w:hAnsi="宋体" w:cs="宋体"/>
          <w:color w:val="auto"/>
          <w:highlight w:val="none"/>
          <w:u w:val="single"/>
        </w:rPr>
        <w:t xml:space="preserve">         </w:t>
      </w:r>
      <w:r>
        <w:rPr>
          <w:rFonts w:hint="eastAsia" w:ascii="宋体" w:hAnsi="宋体" w:cs="宋体"/>
          <w:color w:val="auto"/>
          <w:highlight w:val="none"/>
        </w:rPr>
        <w:t>分</w:t>
      </w:r>
    </w:p>
    <w:tbl>
      <w:tblPr>
        <w:tblStyle w:val="19"/>
        <w:tblW w:w="0" w:type="auto"/>
        <w:tblInd w:w="0" w:type="dxa"/>
        <w:tblLayout w:type="fixed"/>
        <w:tblCellMar>
          <w:top w:w="0" w:type="dxa"/>
          <w:left w:w="108" w:type="dxa"/>
          <w:bottom w:w="0" w:type="dxa"/>
          <w:right w:w="108" w:type="dxa"/>
        </w:tblCellMar>
      </w:tblPr>
      <w:tblGrid>
        <w:gridCol w:w="649"/>
        <w:gridCol w:w="1019"/>
        <w:gridCol w:w="992"/>
        <w:gridCol w:w="1194"/>
        <w:gridCol w:w="1275"/>
        <w:gridCol w:w="1025"/>
        <w:gridCol w:w="1042"/>
        <w:gridCol w:w="758"/>
        <w:gridCol w:w="1167"/>
      </w:tblGrid>
      <w:tr w14:paraId="350CFA17">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vAlign w:val="center"/>
          </w:tcPr>
          <w:p w14:paraId="16E4CC2F">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序号</w:t>
            </w:r>
          </w:p>
        </w:tc>
        <w:tc>
          <w:tcPr>
            <w:tcW w:w="1019" w:type="dxa"/>
            <w:tcBorders>
              <w:top w:val="single" w:color="auto" w:sz="4" w:space="0"/>
              <w:left w:val="single" w:color="auto" w:sz="4" w:space="0"/>
              <w:bottom w:val="single" w:color="auto" w:sz="4" w:space="0"/>
              <w:right w:val="single" w:color="auto" w:sz="4" w:space="0"/>
            </w:tcBorders>
            <w:vAlign w:val="center"/>
          </w:tcPr>
          <w:p w14:paraId="54505407">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投标人</w:t>
            </w:r>
          </w:p>
        </w:tc>
        <w:tc>
          <w:tcPr>
            <w:tcW w:w="992" w:type="dxa"/>
            <w:tcBorders>
              <w:top w:val="single" w:color="auto" w:sz="4" w:space="0"/>
              <w:left w:val="single" w:color="auto" w:sz="4" w:space="0"/>
              <w:bottom w:val="single" w:color="auto" w:sz="4" w:space="0"/>
              <w:right w:val="single" w:color="auto" w:sz="4" w:space="0"/>
            </w:tcBorders>
            <w:vAlign w:val="center"/>
          </w:tcPr>
          <w:p w14:paraId="0BF2928E">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解密情况</w:t>
            </w:r>
          </w:p>
        </w:tc>
        <w:tc>
          <w:tcPr>
            <w:tcW w:w="1194" w:type="dxa"/>
            <w:tcBorders>
              <w:top w:val="single" w:color="auto" w:sz="4" w:space="0"/>
              <w:left w:val="single" w:color="auto" w:sz="4" w:space="0"/>
              <w:bottom w:val="single" w:color="auto" w:sz="4" w:space="0"/>
              <w:right w:val="single" w:color="auto" w:sz="4" w:space="0"/>
            </w:tcBorders>
            <w:vAlign w:val="center"/>
          </w:tcPr>
          <w:p w14:paraId="76C196A5">
            <w:pPr>
              <w:spacing w:line="500" w:lineRule="exact"/>
              <w:jc w:val="center"/>
              <w:rPr>
                <w:rFonts w:hint="eastAsia" w:ascii="宋体" w:hAnsi="宋体" w:cs="宋体"/>
                <w:color w:val="auto"/>
                <w:sz w:val="18"/>
                <w:highlight w:val="none"/>
              </w:rPr>
            </w:pPr>
            <w:r>
              <w:rPr>
                <w:rFonts w:hint="eastAsia" w:ascii="宋体" w:hAnsi="宋体" w:cs="宋体"/>
                <w:strike/>
                <w:color w:val="auto"/>
                <w:sz w:val="18"/>
                <w:highlight w:val="none"/>
              </w:rPr>
              <w:t>投标保证金</w:t>
            </w:r>
          </w:p>
        </w:tc>
        <w:tc>
          <w:tcPr>
            <w:tcW w:w="1275" w:type="dxa"/>
            <w:tcBorders>
              <w:top w:val="single" w:color="auto" w:sz="4" w:space="0"/>
              <w:left w:val="single" w:color="auto" w:sz="4" w:space="0"/>
              <w:bottom w:val="single" w:color="auto" w:sz="4" w:space="0"/>
              <w:right w:val="single" w:color="auto" w:sz="4" w:space="0"/>
            </w:tcBorders>
            <w:vAlign w:val="center"/>
          </w:tcPr>
          <w:p w14:paraId="6EB94450">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投标报价</w:t>
            </w:r>
          </w:p>
          <w:p w14:paraId="2F60C948">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（元）</w:t>
            </w:r>
          </w:p>
        </w:tc>
        <w:tc>
          <w:tcPr>
            <w:tcW w:w="1025" w:type="dxa"/>
            <w:tcBorders>
              <w:top w:val="single" w:color="auto" w:sz="4" w:space="0"/>
              <w:left w:val="single" w:color="auto" w:sz="4" w:space="0"/>
              <w:bottom w:val="single" w:color="auto" w:sz="4" w:space="0"/>
              <w:right w:val="single" w:color="auto" w:sz="4" w:space="0"/>
            </w:tcBorders>
            <w:vAlign w:val="center"/>
          </w:tcPr>
          <w:p w14:paraId="705F5D81">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项目负责人</w:t>
            </w:r>
          </w:p>
        </w:tc>
        <w:tc>
          <w:tcPr>
            <w:tcW w:w="1042" w:type="dxa"/>
            <w:tcBorders>
              <w:top w:val="single" w:color="auto" w:sz="4" w:space="0"/>
              <w:left w:val="single" w:color="auto" w:sz="4" w:space="0"/>
              <w:bottom w:val="single" w:color="auto" w:sz="4" w:space="0"/>
              <w:right w:val="single" w:color="auto" w:sz="4" w:space="0"/>
            </w:tcBorders>
            <w:vAlign w:val="center"/>
          </w:tcPr>
          <w:p w14:paraId="3EAD920A">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服务期限</w:t>
            </w:r>
          </w:p>
        </w:tc>
        <w:tc>
          <w:tcPr>
            <w:tcW w:w="758" w:type="dxa"/>
            <w:tcBorders>
              <w:top w:val="single" w:color="auto" w:sz="4" w:space="0"/>
              <w:left w:val="single" w:color="auto" w:sz="4" w:space="0"/>
              <w:bottom w:val="single" w:color="auto" w:sz="4" w:space="0"/>
              <w:right w:val="single" w:color="auto" w:sz="4" w:space="0"/>
            </w:tcBorders>
            <w:vAlign w:val="center"/>
          </w:tcPr>
          <w:p w14:paraId="5785C859">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备注</w:t>
            </w:r>
          </w:p>
        </w:tc>
        <w:tc>
          <w:tcPr>
            <w:tcW w:w="1167" w:type="dxa"/>
            <w:tcBorders>
              <w:top w:val="single" w:color="auto" w:sz="4" w:space="0"/>
              <w:left w:val="single" w:color="auto" w:sz="4" w:space="0"/>
              <w:bottom w:val="single" w:color="auto" w:sz="4" w:space="0"/>
              <w:right w:val="single" w:color="auto" w:sz="4" w:space="0"/>
            </w:tcBorders>
            <w:vAlign w:val="center"/>
          </w:tcPr>
          <w:p w14:paraId="69716664">
            <w:pPr>
              <w:spacing w:line="500" w:lineRule="exact"/>
              <w:jc w:val="center"/>
              <w:rPr>
                <w:rFonts w:hint="eastAsia" w:ascii="宋体" w:hAnsi="宋体" w:cs="宋体"/>
                <w:color w:val="auto"/>
                <w:sz w:val="18"/>
                <w:highlight w:val="none"/>
              </w:rPr>
            </w:pPr>
            <w:r>
              <w:rPr>
                <w:rFonts w:hint="eastAsia" w:ascii="宋体" w:hAnsi="宋体" w:cs="宋体"/>
                <w:color w:val="auto"/>
                <w:sz w:val="18"/>
                <w:highlight w:val="none"/>
              </w:rPr>
              <w:t>投标人代表签名</w:t>
            </w:r>
          </w:p>
        </w:tc>
      </w:tr>
      <w:tr w14:paraId="40091297">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5EBCD9BD">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72D21572">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2B7CFA0">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711C84AB">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E5171BE">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220455F3">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1E70BEBF">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41000400">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21274978">
            <w:pPr>
              <w:spacing w:line="500" w:lineRule="exact"/>
              <w:jc w:val="left"/>
              <w:rPr>
                <w:rFonts w:hint="eastAsia" w:ascii="宋体" w:hAnsi="宋体" w:cs="宋体"/>
                <w:color w:val="auto"/>
                <w:highlight w:val="none"/>
              </w:rPr>
            </w:pPr>
          </w:p>
        </w:tc>
      </w:tr>
      <w:tr w14:paraId="775FB23F">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44C2975F">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0F6B1349">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9596441">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515A7C82">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C2C948B">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7531DD3B">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2325F757">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0E32C2DE">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21F60A59">
            <w:pPr>
              <w:spacing w:line="500" w:lineRule="exact"/>
              <w:jc w:val="left"/>
              <w:rPr>
                <w:rFonts w:hint="eastAsia" w:ascii="宋体" w:hAnsi="宋体" w:cs="宋体"/>
                <w:color w:val="auto"/>
                <w:highlight w:val="none"/>
              </w:rPr>
            </w:pPr>
          </w:p>
        </w:tc>
      </w:tr>
      <w:tr w14:paraId="39676B78">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01291888">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720D3DBD">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2F406073">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5DC8FD1D">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09FED9DA">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40AEE0C4">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65D9AAF9">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77EB57BD">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22BE4F09">
            <w:pPr>
              <w:spacing w:line="500" w:lineRule="exact"/>
              <w:jc w:val="left"/>
              <w:rPr>
                <w:rFonts w:hint="eastAsia" w:ascii="宋体" w:hAnsi="宋体" w:cs="宋体"/>
                <w:color w:val="auto"/>
                <w:highlight w:val="none"/>
              </w:rPr>
            </w:pPr>
          </w:p>
        </w:tc>
      </w:tr>
      <w:tr w14:paraId="4EFA8DAA">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6D78D04D">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53ECCEA4">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066EEDC">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71F22225">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40E6C450">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142CFCC0">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0C7AD19A">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00B7202B">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4411CC6E">
            <w:pPr>
              <w:spacing w:line="500" w:lineRule="exact"/>
              <w:jc w:val="left"/>
              <w:rPr>
                <w:rFonts w:hint="eastAsia" w:ascii="宋体" w:hAnsi="宋体" w:cs="宋体"/>
                <w:color w:val="auto"/>
                <w:highlight w:val="none"/>
              </w:rPr>
            </w:pPr>
          </w:p>
        </w:tc>
      </w:tr>
      <w:tr w14:paraId="436CC297">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35645042">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7EF5786C">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C333B5A">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22A1FC52">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72D4B093">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569C56E2">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69907EE3">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312DD299">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2A328485">
            <w:pPr>
              <w:spacing w:line="500" w:lineRule="exact"/>
              <w:jc w:val="left"/>
              <w:rPr>
                <w:rFonts w:hint="eastAsia" w:ascii="宋体" w:hAnsi="宋体" w:cs="宋体"/>
                <w:color w:val="auto"/>
                <w:highlight w:val="none"/>
              </w:rPr>
            </w:pPr>
          </w:p>
        </w:tc>
      </w:tr>
      <w:tr w14:paraId="65BCD982">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0FAA1017">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438604E4">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52A29663">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08515FE7">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66CA6E1D">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6DFCED8B">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3E2815C3">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54C258C3">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5A5B0F2D">
            <w:pPr>
              <w:spacing w:line="500" w:lineRule="exact"/>
              <w:jc w:val="left"/>
              <w:rPr>
                <w:rFonts w:hint="eastAsia" w:ascii="宋体" w:hAnsi="宋体" w:cs="宋体"/>
                <w:color w:val="auto"/>
                <w:highlight w:val="none"/>
              </w:rPr>
            </w:pPr>
          </w:p>
        </w:tc>
      </w:tr>
      <w:tr w14:paraId="54C38FB1">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4D0C60C3">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63D7030D">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8A32BC7">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1AE5A9F6">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3F2551B">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2D51D32B">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43E9093E">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19C3E45F">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4D918D76">
            <w:pPr>
              <w:spacing w:line="500" w:lineRule="exact"/>
              <w:jc w:val="left"/>
              <w:rPr>
                <w:rFonts w:hint="eastAsia" w:ascii="宋体" w:hAnsi="宋体" w:cs="宋体"/>
                <w:color w:val="auto"/>
                <w:highlight w:val="none"/>
              </w:rPr>
            </w:pPr>
          </w:p>
        </w:tc>
      </w:tr>
      <w:tr w14:paraId="5C8417EB">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27BBF7F7">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0166E158">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00A03A78">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48E9D7A8">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14D6FB90">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6E125972">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34B8EF19">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2EDC8687">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29E6C9B6">
            <w:pPr>
              <w:spacing w:line="500" w:lineRule="exact"/>
              <w:jc w:val="left"/>
              <w:rPr>
                <w:rFonts w:hint="eastAsia" w:ascii="宋体" w:hAnsi="宋体" w:cs="宋体"/>
                <w:color w:val="auto"/>
                <w:highlight w:val="none"/>
              </w:rPr>
            </w:pPr>
          </w:p>
        </w:tc>
      </w:tr>
      <w:tr w14:paraId="4BE3CAA1">
        <w:tblPrEx>
          <w:tblCellMar>
            <w:top w:w="0" w:type="dxa"/>
            <w:left w:w="108" w:type="dxa"/>
            <w:bottom w:w="0" w:type="dxa"/>
            <w:right w:w="108" w:type="dxa"/>
          </w:tblCellMar>
        </w:tblPrEx>
        <w:trPr>
          <w:trHeight w:val="502" w:hRule="atLeast"/>
        </w:trPr>
        <w:tc>
          <w:tcPr>
            <w:tcW w:w="649" w:type="dxa"/>
            <w:tcBorders>
              <w:top w:val="single" w:color="auto" w:sz="4" w:space="0"/>
              <w:left w:val="single" w:color="auto" w:sz="4" w:space="0"/>
              <w:bottom w:val="single" w:color="auto" w:sz="4" w:space="0"/>
              <w:right w:val="single" w:color="auto" w:sz="4" w:space="0"/>
            </w:tcBorders>
          </w:tcPr>
          <w:p w14:paraId="75ED204B">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04D1041F">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48F1CD06">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0A93B384">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5644CE96">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62C0133F">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1D333447">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549FA979">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0F81B49C">
            <w:pPr>
              <w:spacing w:line="500" w:lineRule="exact"/>
              <w:jc w:val="left"/>
              <w:rPr>
                <w:rFonts w:hint="eastAsia" w:ascii="宋体" w:hAnsi="宋体" w:cs="宋体"/>
                <w:color w:val="auto"/>
                <w:highlight w:val="none"/>
              </w:rPr>
            </w:pPr>
          </w:p>
        </w:tc>
      </w:tr>
      <w:tr w14:paraId="0720A30C">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68D0754D">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2077883E">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3448AA43">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23ACDF85">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3A1C6AAD">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158E7172">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1ED6D819">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4117C786">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068991C8">
            <w:pPr>
              <w:spacing w:line="500" w:lineRule="exact"/>
              <w:jc w:val="left"/>
              <w:rPr>
                <w:rFonts w:hint="eastAsia" w:ascii="宋体" w:hAnsi="宋体" w:cs="宋体"/>
                <w:color w:val="auto"/>
                <w:highlight w:val="none"/>
              </w:rPr>
            </w:pPr>
            <w:bookmarkStart w:id="643" w:name="_Toc17638"/>
          </w:p>
        </w:tc>
      </w:tr>
      <w:tr w14:paraId="75622260">
        <w:tblPrEx>
          <w:tblCellMar>
            <w:top w:w="0" w:type="dxa"/>
            <w:left w:w="108" w:type="dxa"/>
            <w:bottom w:w="0" w:type="dxa"/>
            <w:right w:w="108" w:type="dxa"/>
          </w:tblCellMar>
        </w:tblPrEx>
        <w:tc>
          <w:tcPr>
            <w:tcW w:w="649" w:type="dxa"/>
            <w:tcBorders>
              <w:top w:val="single" w:color="auto" w:sz="4" w:space="0"/>
              <w:left w:val="single" w:color="auto" w:sz="4" w:space="0"/>
              <w:bottom w:val="single" w:color="auto" w:sz="4" w:space="0"/>
              <w:right w:val="single" w:color="auto" w:sz="4" w:space="0"/>
            </w:tcBorders>
          </w:tcPr>
          <w:p w14:paraId="49E929AE">
            <w:pPr>
              <w:spacing w:line="500" w:lineRule="exact"/>
              <w:jc w:val="left"/>
              <w:rPr>
                <w:rFonts w:hint="eastAsia" w:ascii="宋体" w:hAnsi="宋体" w:cs="宋体"/>
                <w:color w:val="auto"/>
                <w:highlight w:val="none"/>
              </w:rPr>
            </w:pPr>
          </w:p>
        </w:tc>
        <w:tc>
          <w:tcPr>
            <w:tcW w:w="1019" w:type="dxa"/>
            <w:tcBorders>
              <w:top w:val="single" w:color="auto" w:sz="4" w:space="0"/>
              <w:left w:val="single" w:color="auto" w:sz="4" w:space="0"/>
              <w:bottom w:val="single" w:color="auto" w:sz="4" w:space="0"/>
              <w:right w:val="single" w:color="auto" w:sz="4" w:space="0"/>
            </w:tcBorders>
          </w:tcPr>
          <w:p w14:paraId="447026E4">
            <w:pPr>
              <w:spacing w:line="500" w:lineRule="exact"/>
              <w:jc w:val="left"/>
              <w:rPr>
                <w:rFonts w:hint="eastAsia" w:ascii="宋体" w:hAnsi="宋体" w:cs="宋体"/>
                <w:color w:val="auto"/>
                <w:highlight w:val="none"/>
              </w:rPr>
            </w:pPr>
          </w:p>
        </w:tc>
        <w:tc>
          <w:tcPr>
            <w:tcW w:w="992" w:type="dxa"/>
            <w:tcBorders>
              <w:top w:val="single" w:color="auto" w:sz="4" w:space="0"/>
              <w:left w:val="single" w:color="auto" w:sz="4" w:space="0"/>
              <w:bottom w:val="single" w:color="auto" w:sz="4" w:space="0"/>
              <w:right w:val="single" w:color="auto" w:sz="4" w:space="0"/>
            </w:tcBorders>
          </w:tcPr>
          <w:p w14:paraId="1085A295">
            <w:pPr>
              <w:spacing w:line="500" w:lineRule="exact"/>
              <w:jc w:val="left"/>
              <w:rPr>
                <w:rFonts w:hint="eastAsia" w:ascii="宋体" w:hAnsi="宋体" w:cs="宋体"/>
                <w:color w:val="auto"/>
                <w:highlight w:val="none"/>
              </w:rPr>
            </w:pPr>
          </w:p>
        </w:tc>
        <w:tc>
          <w:tcPr>
            <w:tcW w:w="1194" w:type="dxa"/>
            <w:tcBorders>
              <w:top w:val="single" w:color="auto" w:sz="4" w:space="0"/>
              <w:left w:val="single" w:color="auto" w:sz="4" w:space="0"/>
              <w:bottom w:val="single" w:color="auto" w:sz="4" w:space="0"/>
              <w:right w:val="single" w:color="auto" w:sz="4" w:space="0"/>
            </w:tcBorders>
          </w:tcPr>
          <w:p w14:paraId="02C7B398">
            <w:pPr>
              <w:spacing w:line="500" w:lineRule="exact"/>
              <w:jc w:val="left"/>
              <w:rPr>
                <w:rFonts w:hint="eastAsia" w:ascii="宋体" w:hAnsi="宋体" w:cs="宋体"/>
                <w:color w:val="auto"/>
                <w:highlight w:val="none"/>
              </w:rPr>
            </w:pPr>
          </w:p>
        </w:tc>
        <w:tc>
          <w:tcPr>
            <w:tcW w:w="1275" w:type="dxa"/>
            <w:tcBorders>
              <w:top w:val="single" w:color="auto" w:sz="4" w:space="0"/>
              <w:left w:val="single" w:color="auto" w:sz="4" w:space="0"/>
              <w:bottom w:val="single" w:color="auto" w:sz="4" w:space="0"/>
              <w:right w:val="single" w:color="auto" w:sz="4" w:space="0"/>
            </w:tcBorders>
          </w:tcPr>
          <w:p w14:paraId="262AA921">
            <w:pPr>
              <w:spacing w:line="500" w:lineRule="exact"/>
              <w:jc w:val="left"/>
              <w:rPr>
                <w:rFonts w:hint="eastAsia" w:ascii="宋体" w:hAnsi="宋体" w:cs="宋体"/>
                <w:color w:val="auto"/>
                <w:highlight w:val="none"/>
              </w:rPr>
            </w:pPr>
          </w:p>
        </w:tc>
        <w:tc>
          <w:tcPr>
            <w:tcW w:w="1025" w:type="dxa"/>
            <w:tcBorders>
              <w:top w:val="single" w:color="auto" w:sz="4" w:space="0"/>
              <w:left w:val="single" w:color="auto" w:sz="4" w:space="0"/>
              <w:bottom w:val="single" w:color="auto" w:sz="4" w:space="0"/>
              <w:right w:val="single" w:color="auto" w:sz="4" w:space="0"/>
            </w:tcBorders>
          </w:tcPr>
          <w:p w14:paraId="1091C833">
            <w:pPr>
              <w:spacing w:line="500" w:lineRule="exact"/>
              <w:jc w:val="left"/>
              <w:rPr>
                <w:rFonts w:hint="eastAsia" w:ascii="宋体" w:hAnsi="宋体" w:cs="宋体"/>
                <w:color w:val="auto"/>
                <w:highlight w:val="none"/>
              </w:rPr>
            </w:pPr>
          </w:p>
        </w:tc>
        <w:tc>
          <w:tcPr>
            <w:tcW w:w="1042" w:type="dxa"/>
            <w:tcBorders>
              <w:top w:val="single" w:color="auto" w:sz="4" w:space="0"/>
              <w:left w:val="single" w:color="auto" w:sz="4" w:space="0"/>
              <w:bottom w:val="single" w:color="auto" w:sz="4" w:space="0"/>
              <w:right w:val="single" w:color="auto" w:sz="4" w:space="0"/>
            </w:tcBorders>
          </w:tcPr>
          <w:p w14:paraId="4BAD406C">
            <w:pPr>
              <w:spacing w:line="500" w:lineRule="exact"/>
              <w:jc w:val="left"/>
              <w:rPr>
                <w:rFonts w:hint="eastAsia" w:ascii="宋体" w:hAnsi="宋体" w:cs="宋体"/>
                <w:color w:val="auto"/>
                <w:highlight w:val="none"/>
              </w:rPr>
            </w:pPr>
          </w:p>
        </w:tc>
        <w:tc>
          <w:tcPr>
            <w:tcW w:w="758" w:type="dxa"/>
            <w:tcBorders>
              <w:top w:val="single" w:color="auto" w:sz="4" w:space="0"/>
              <w:left w:val="single" w:color="auto" w:sz="4" w:space="0"/>
              <w:bottom w:val="single" w:color="auto" w:sz="4" w:space="0"/>
              <w:right w:val="single" w:color="auto" w:sz="4" w:space="0"/>
            </w:tcBorders>
          </w:tcPr>
          <w:p w14:paraId="2570844A">
            <w:pPr>
              <w:spacing w:line="500" w:lineRule="exact"/>
              <w:jc w:val="left"/>
              <w:rPr>
                <w:rFonts w:hint="eastAsia" w:ascii="宋体" w:hAnsi="宋体" w:cs="宋体"/>
                <w:color w:val="auto"/>
                <w:highlight w:val="none"/>
              </w:rPr>
            </w:pPr>
          </w:p>
        </w:tc>
        <w:tc>
          <w:tcPr>
            <w:tcW w:w="1167" w:type="dxa"/>
            <w:tcBorders>
              <w:top w:val="single" w:color="auto" w:sz="4" w:space="0"/>
              <w:left w:val="single" w:color="auto" w:sz="4" w:space="0"/>
              <w:bottom w:val="single" w:color="auto" w:sz="4" w:space="0"/>
              <w:right w:val="single" w:color="auto" w:sz="4" w:space="0"/>
            </w:tcBorders>
          </w:tcPr>
          <w:p w14:paraId="19BDF5D4">
            <w:pPr>
              <w:spacing w:line="500" w:lineRule="exact"/>
              <w:jc w:val="left"/>
              <w:rPr>
                <w:rFonts w:hint="eastAsia" w:ascii="宋体" w:hAnsi="宋体" w:cs="宋体"/>
                <w:color w:val="auto"/>
                <w:highlight w:val="none"/>
              </w:rPr>
            </w:pPr>
          </w:p>
        </w:tc>
      </w:tr>
      <w:bookmarkEnd w:id="643"/>
      <w:tr w14:paraId="4B66EC63">
        <w:tblPrEx>
          <w:tblCellMar>
            <w:top w:w="0" w:type="dxa"/>
            <w:left w:w="108" w:type="dxa"/>
            <w:bottom w:w="0" w:type="dxa"/>
            <w:right w:w="108" w:type="dxa"/>
          </w:tblCellMar>
        </w:tblPrEx>
        <w:tc>
          <w:tcPr>
            <w:tcW w:w="2660" w:type="dxa"/>
            <w:gridSpan w:val="3"/>
            <w:tcBorders>
              <w:top w:val="single" w:color="auto" w:sz="4" w:space="0"/>
              <w:left w:val="single" w:color="auto" w:sz="4" w:space="0"/>
              <w:bottom w:val="single" w:color="auto" w:sz="4" w:space="0"/>
              <w:right w:val="single" w:color="auto" w:sz="4" w:space="0"/>
            </w:tcBorders>
          </w:tcPr>
          <w:p w14:paraId="6BBBBE86">
            <w:pPr>
              <w:spacing w:line="500" w:lineRule="exact"/>
              <w:jc w:val="left"/>
              <w:rPr>
                <w:rFonts w:hint="eastAsia" w:ascii="宋体" w:hAnsi="宋体" w:cs="宋体"/>
                <w:color w:val="auto"/>
                <w:highlight w:val="none"/>
              </w:rPr>
            </w:pPr>
            <w:r>
              <w:rPr>
                <w:rFonts w:hint="eastAsia" w:ascii="宋体" w:hAnsi="宋体" w:cs="宋体"/>
                <w:color w:val="auto"/>
                <w:highlight w:val="none"/>
              </w:rPr>
              <w:t>最高投标限价：</w:t>
            </w:r>
          </w:p>
        </w:tc>
        <w:tc>
          <w:tcPr>
            <w:tcW w:w="6461" w:type="dxa"/>
            <w:gridSpan w:val="6"/>
            <w:tcBorders>
              <w:top w:val="single" w:color="auto" w:sz="4" w:space="0"/>
              <w:left w:val="single" w:color="auto" w:sz="4" w:space="0"/>
              <w:bottom w:val="single" w:color="auto" w:sz="4" w:space="0"/>
              <w:right w:val="single" w:color="auto" w:sz="4" w:space="0"/>
            </w:tcBorders>
          </w:tcPr>
          <w:p w14:paraId="1D7EEC44">
            <w:pPr>
              <w:spacing w:line="500" w:lineRule="exact"/>
              <w:jc w:val="left"/>
              <w:rPr>
                <w:rFonts w:hint="eastAsia" w:ascii="宋体" w:hAnsi="宋体" w:cs="宋体"/>
                <w:color w:val="auto"/>
                <w:highlight w:val="none"/>
              </w:rPr>
            </w:pPr>
          </w:p>
        </w:tc>
      </w:tr>
    </w:tbl>
    <w:p w14:paraId="652FCF9B">
      <w:pPr>
        <w:spacing w:line="440" w:lineRule="exact"/>
        <w:rPr>
          <w:rFonts w:hint="eastAsia" w:ascii="宋体" w:hAnsi="宋体" w:cs="宋体"/>
          <w:color w:val="auto"/>
          <w:highlight w:val="none"/>
        </w:rPr>
      </w:pPr>
      <w:r>
        <w:rPr>
          <w:rFonts w:hint="eastAsia" w:ascii="宋体" w:hAnsi="宋体" w:cs="宋体"/>
          <w:color w:val="auto"/>
          <w:highlight w:val="none"/>
        </w:rPr>
        <w:t>　　　</w:t>
      </w:r>
    </w:p>
    <w:p w14:paraId="69318375">
      <w:pPr>
        <w:spacing w:line="620" w:lineRule="exact"/>
        <w:rPr>
          <w:rFonts w:hint="eastAsia" w:ascii="宋体" w:hAnsi="宋体" w:cs="宋体"/>
          <w:color w:val="auto"/>
          <w:highlight w:val="none"/>
        </w:rPr>
      </w:pPr>
      <w:r>
        <w:rPr>
          <w:rFonts w:hint="eastAsia" w:ascii="宋体" w:hAnsi="宋体" w:cs="宋体"/>
          <w:color w:val="auto"/>
          <w:highlight w:val="none"/>
        </w:rPr>
        <w:t>招标人代表：</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记录人：</w:t>
      </w:r>
      <w:r>
        <w:rPr>
          <w:rFonts w:hint="eastAsia" w:ascii="宋体" w:hAnsi="宋体" w:cs="宋体"/>
          <w:color w:val="auto"/>
          <w:highlight w:val="none"/>
          <w:u w:val="single"/>
        </w:rPr>
        <w:t xml:space="preserve">       </w:t>
      </w:r>
      <w:r>
        <w:rPr>
          <w:rFonts w:hint="eastAsia" w:ascii="宋体" w:hAnsi="宋体" w:cs="宋体"/>
          <w:color w:val="auto"/>
          <w:highlight w:val="none"/>
        </w:rPr>
        <w:t xml:space="preserve">       监标人：</w:t>
      </w:r>
      <w:r>
        <w:rPr>
          <w:rFonts w:hint="eastAsia" w:ascii="宋体" w:hAnsi="宋体" w:cs="宋体"/>
          <w:color w:val="auto"/>
          <w:highlight w:val="none"/>
          <w:u w:val="single"/>
        </w:rPr>
        <w:t xml:space="preserve">       </w:t>
      </w:r>
    </w:p>
    <w:p w14:paraId="736B8EF0">
      <w:pPr>
        <w:spacing w:line="620" w:lineRule="exact"/>
        <w:jc w:val="right"/>
        <w:rPr>
          <w:rFonts w:hint="eastAsia" w:ascii="宋体" w:hAnsi="宋体" w:cs="宋体"/>
          <w:color w:val="auto"/>
          <w:sz w:val="20"/>
          <w:highlight w:val="none"/>
        </w:rPr>
      </w:pPr>
      <w:r>
        <w:rPr>
          <w:rFonts w:hint="eastAsia" w:ascii="宋体" w:hAnsi="宋体" w:cs="宋体"/>
          <w:color w:val="auto"/>
          <w:highlight w:val="none"/>
          <w:u w:val="single"/>
        </w:rPr>
        <w:t xml:space="preserve">       </w:t>
      </w:r>
      <w:r>
        <w:rPr>
          <w:rFonts w:hint="eastAsia" w:ascii="宋体" w:hAnsi="宋体" w:cs="宋体"/>
          <w:color w:val="auto"/>
          <w:highlight w:val="none"/>
        </w:rPr>
        <w:t>年</w:t>
      </w:r>
      <w:r>
        <w:rPr>
          <w:rFonts w:hint="eastAsia" w:ascii="宋体" w:hAnsi="宋体" w:cs="宋体"/>
          <w:color w:val="auto"/>
          <w:highlight w:val="none"/>
          <w:u w:val="single"/>
        </w:rPr>
        <w:t xml:space="preserve">       </w:t>
      </w:r>
      <w:r>
        <w:rPr>
          <w:rFonts w:hint="eastAsia" w:ascii="宋体" w:hAnsi="宋体" w:cs="宋体"/>
          <w:color w:val="auto"/>
          <w:highlight w:val="none"/>
        </w:rPr>
        <w:t>月</w:t>
      </w:r>
      <w:r>
        <w:rPr>
          <w:rFonts w:hint="eastAsia" w:ascii="宋体" w:hAnsi="宋体" w:cs="宋体"/>
          <w:color w:val="auto"/>
          <w:highlight w:val="none"/>
          <w:u w:val="single"/>
        </w:rPr>
        <w:t xml:space="preserve">       </w:t>
      </w:r>
      <w:r>
        <w:rPr>
          <w:rFonts w:hint="eastAsia" w:ascii="宋体" w:hAnsi="宋体" w:cs="宋体"/>
          <w:color w:val="auto"/>
          <w:highlight w:val="none"/>
        </w:rPr>
        <w:t>日</w:t>
      </w:r>
    </w:p>
    <w:p w14:paraId="7480B7BA">
      <w:pPr>
        <w:spacing w:line="440" w:lineRule="exact"/>
        <w:rPr>
          <w:rFonts w:hint="eastAsia" w:ascii="宋体" w:hAnsi="宋体" w:cs="宋体"/>
          <w:color w:val="auto"/>
          <w:highlight w:val="none"/>
        </w:rPr>
      </w:pPr>
    </w:p>
    <w:p w14:paraId="4E60285C">
      <w:pPr>
        <w:spacing w:line="360" w:lineRule="auto"/>
        <w:rPr>
          <w:rFonts w:hint="eastAsia" w:ascii="宋体" w:hAnsi="宋体" w:cs="宋体"/>
          <w:color w:val="auto"/>
          <w:highlight w:val="none"/>
          <w:u w:val="single"/>
        </w:rPr>
      </w:pPr>
      <w:r>
        <w:rPr>
          <w:rFonts w:hint="eastAsia" w:ascii="宋体" w:hAnsi="宋体" w:cs="宋体"/>
          <w:color w:val="auto"/>
          <w:highlight w:val="none"/>
          <w:u w:val="single"/>
        </w:rPr>
        <w:t>本表仅供参考，具体以开标时的开标记录表为准。</w:t>
      </w:r>
    </w:p>
    <w:p w14:paraId="420A1610">
      <w:pPr>
        <w:spacing w:line="440" w:lineRule="exact"/>
        <w:rPr>
          <w:rFonts w:hint="eastAsia" w:ascii="宋体" w:hAnsi="宋体" w:cs="宋体"/>
          <w:color w:val="auto"/>
          <w:highlight w:val="none"/>
        </w:rPr>
      </w:pPr>
    </w:p>
    <w:p w14:paraId="6341A754">
      <w:pPr>
        <w:pStyle w:val="4"/>
        <w:ind w:firstLine="0" w:firstLineChars="0"/>
        <w:jc w:val="left"/>
        <w:rPr>
          <w:rFonts w:hint="eastAsia" w:ascii="宋体" w:hAnsi="宋体" w:eastAsia="宋体" w:cs="宋体"/>
          <w:color w:val="auto"/>
          <w:highlight w:val="none"/>
        </w:rPr>
      </w:pPr>
      <w:bookmarkStart w:id="644" w:name="_Toc2916"/>
      <w:bookmarkStart w:id="645" w:name="_Toc29985"/>
      <w:bookmarkStart w:id="646" w:name="_Toc527028504"/>
      <w:r>
        <w:rPr>
          <w:rFonts w:hint="eastAsia" w:ascii="宋体" w:hAnsi="宋体" w:eastAsia="宋体" w:cs="宋体"/>
          <w:color w:val="auto"/>
          <w:highlight w:val="none"/>
        </w:rPr>
        <w:t>附件二：</w:t>
      </w:r>
    </w:p>
    <w:p w14:paraId="0E2D7A40">
      <w:pPr>
        <w:ind w:firstLine="640" w:firstLineChars="200"/>
        <w:jc w:val="center"/>
        <w:rPr>
          <w:rFonts w:hint="eastAsia" w:ascii="宋体" w:hAnsi="宋体" w:cs="宋体"/>
          <w:color w:val="auto"/>
          <w:sz w:val="32"/>
          <w:szCs w:val="32"/>
          <w:highlight w:val="none"/>
        </w:rPr>
      </w:pPr>
      <w:r>
        <w:rPr>
          <w:rFonts w:hint="eastAsia" w:ascii="宋体" w:hAnsi="宋体" w:cs="宋体"/>
          <w:color w:val="auto"/>
          <w:sz w:val="32"/>
          <w:szCs w:val="32"/>
          <w:highlight w:val="none"/>
        </w:rPr>
        <w:t>评标委员会成员声明</w:t>
      </w:r>
    </w:p>
    <w:p w14:paraId="4D03461B">
      <w:pPr>
        <w:spacing w:line="440" w:lineRule="exact"/>
        <w:rPr>
          <w:rFonts w:hint="eastAsia" w:ascii="宋体" w:hAnsi="宋体" w:cs="宋体"/>
          <w:color w:val="auto"/>
          <w:sz w:val="22"/>
          <w:highlight w:val="none"/>
        </w:rPr>
      </w:pPr>
      <w:r>
        <w:rPr>
          <w:rFonts w:hint="eastAsia" w:ascii="宋体" w:hAnsi="宋体" w:cs="宋体"/>
          <w:color w:val="auto"/>
          <w:sz w:val="22"/>
          <w:highlight w:val="none"/>
          <w:u w:val="single"/>
        </w:rPr>
        <w:t xml:space="preserve">   本项目招标人  </w:t>
      </w:r>
      <w:r>
        <w:rPr>
          <w:rFonts w:hint="eastAsia" w:ascii="宋体" w:hAnsi="宋体" w:cs="宋体"/>
          <w:color w:val="auto"/>
          <w:sz w:val="22"/>
          <w:highlight w:val="none"/>
        </w:rPr>
        <w:t>：</w:t>
      </w:r>
    </w:p>
    <w:p w14:paraId="78C1F9B9">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本人就参与</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项目的评标工作，作出郑重声明：</w:t>
      </w:r>
    </w:p>
    <w:p w14:paraId="7E250393">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361784E7">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二、在本项目评标开始前，本人不存在以下需要向招标人提出回避的情形：（一）接收到任何单位或者个人授意本人倾向或者排斥本项目特定投标人的电话、短信、微信等；（二）私下接触本项目投标人；（三）收受本项目投标人、中介人、其他利害关系人的财物或者其他好处；（四）法律法规等规定的回避情形。</w:t>
      </w:r>
    </w:p>
    <w:p w14:paraId="6EBD0E2A">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三、本人将按照本项目招标文件规定的评标标准和方法，客观、公正地对投标文件提出评审意见，不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59257DDB">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09CC2AEA">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五、招标监督机构依法处理本项目投诉、信访或者举报时，经调查后确认本人存在评审错误的，本人接受招标人不支付本项目评审酬劳、将本人列入招标人评标专家回避名单等相关处理措施，本人也接受本项目招标监督机构依法对本人进行的处理。</w:t>
      </w:r>
    </w:p>
    <w:p w14:paraId="59B73D56">
      <w:pPr>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 xml:space="preserve">如果本人违反上述声明内容，造成的后果由本人自行承担。 </w:t>
      </w:r>
    </w:p>
    <w:p w14:paraId="48B06EB9">
      <w:pPr>
        <w:spacing w:line="440" w:lineRule="exact"/>
        <w:ind w:firstLine="5060" w:firstLineChars="2300"/>
        <w:rPr>
          <w:rFonts w:hint="eastAsia" w:ascii="宋体" w:hAnsi="宋体" w:cs="宋体"/>
          <w:color w:val="auto"/>
          <w:sz w:val="22"/>
          <w:highlight w:val="none"/>
        </w:rPr>
      </w:pPr>
      <w:r>
        <w:rPr>
          <w:rFonts w:hint="eastAsia" w:ascii="宋体" w:hAnsi="宋体" w:cs="宋体"/>
          <w:color w:val="auto"/>
          <w:sz w:val="22"/>
          <w:highlight w:val="none"/>
        </w:rPr>
        <w:t>声明人：</w:t>
      </w:r>
      <w:r>
        <w:rPr>
          <w:rFonts w:hint="eastAsia" w:ascii="宋体" w:hAnsi="宋体" w:cs="宋体"/>
          <w:color w:val="auto"/>
          <w:sz w:val="22"/>
          <w:highlight w:val="none"/>
          <w:u w:val="single"/>
        </w:rPr>
        <w:t xml:space="preserve">（签名）  </w:t>
      </w:r>
    </w:p>
    <w:p w14:paraId="70F91DBB">
      <w:pPr>
        <w:pStyle w:val="4"/>
        <w:keepNext w:val="0"/>
        <w:keepLines w:val="0"/>
        <w:ind w:firstLine="137"/>
        <w:rPr>
          <w:rFonts w:hint="eastAsia" w:ascii="宋体" w:hAnsi="宋体" w:eastAsia="宋体" w:cs="宋体"/>
          <w:color w:val="auto"/>
          <w:highlight w:val="none"/>
        </w:rPr>
      </w:pPr>
      <w:r>
        <w:rPr>
          <w:rFonts w:hint="eastAsia" w:ascii="宋体" w:hAnsi="宋体" w:eastAsia="宋体" w:cs="宋体"/>
          <w:color w:val="auto"/>
          <w:highlight w:val="none"/>
        </w:rPr>
        <w:t>附件三：问题澄清通知</w:t>
      </w:r>
      <w:bookmarkEnd w:id="644"/>
      <w:bookmarkEnd w:id="645"/>
      <w:bookmarkEnd w:id="646"/>
    </w:p>
    <w:p w14:paraId="2307AE17">
      <w:pPr>
        <w:spacing w:line="440" w:lineRule="exact"/>
        <w:jc w:val="center"/>
        <w:rPr>
          <w:rFonts w:hint="eastAsia" w:ascii="宋体" w:hAnsi="宋体" w:cs="宋体"/>
          <w:color w:val="auto"/>
          <w:highlight w:val="none"/>
        </w:rPr>
      </w:pPr>
    </w:p>
    <w:p w14:paraId="28F0F781">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问题澄清通知</w:t>
      </w:r>
    </w:p>
    <w:p w14:paraId="73998EC1">
      <w:pPr>
        <w:spacing w:line="360" w:lineRule="auto"/>
        <w:jc w:val="center"/>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u w:val="single"/>
        </w:rPr>
        <w:t>（按广州交易集团有限公司（广州公共资源交易中心）的版式为准）</w:t>
      </w:r>
    </w:p>
    <w:p w14:paraId="4EE6C9B7">
      <w:pPr>
        <w:rPr>
          <w:rFonts w:hint="eastAsia" w:ascii="宋体" w:hAnsi="宋体" w:cs="宋体"/>
          <w:color w:val="auto"/>
          <w:highlight w:val="none"/>
        </w:rPr>
      </w:pPr>
      <w:bookmarkStart w:id="647" w:name="_Toc152042355"/>
      <w:bookmarkStart w:id="648" w:name="_Toc144974546"/>
    </w:p>
    <w:p w14:paraId="24352B57">
      <w:pPr>
        <w:pStyle w:val="4"/>
        <w:keepNext w:val="0"/>
        <w:keepLines w:val="0"/>
        <w:ind w:firstLine="0" w:firstLineChars="0"/>
        <w:rPr>
          <w:rFonts w:hint="eastAsia" w:ascii="宋体" w:hAnsi="宋体" w:eastAsia="宋体" w:cs="宋体"/>
          <w:color w:val="auto"/>
          <w:highlight w:val="none"/>
        </w:rPr>
      </w:pPr>
    </w:p>
    <w:p w14:paraId="25DB4450">
      <w:pPr>
        <w:pStyle w:val="4"/>
        <w:keepNext w:val="0"/>
        <w:keepLines w:val="0"/>
        <w:ind w:firstLine="0" w:firstLineChars="0"/>
        <w:rPr>
          <w:rFonts w:hint="eastAsia" w:ascii="宋体" w:hAnsi="宋体" w:eastAsia="宋体" w:cs="宋体"/>
          <w:color w:val="auto"/>
          <w:highlight w:val="none"/>
        </w:rPr>
      </w:pPr>
      <w:bookmarkStart w:id="649" w:name="_Toc527028505"/>
      <w:bookmarkStart w:id="650" w:name="_Toc2491"/>
      <w:bookmarkStart w:id="651" w:name="_Toc31467"/>
      <w:r>
        <w:rPr>
          <w:rFonts w:hint="eastAsia" w:ascii="宋体" w:hAnsi="宋体" w:eastAsia="宋体" w:cs="宋体"/>
          <w:color w:val="auto"/>
          <w:highlight w:val="none"/>
        </w:rPr>
        <w:t>附件四：问题的澄清</w:t>
      </w:r>
      <w:bookmarkEnd w:id="649"/>
      <w:bookmarkEnd w:id="650"/>
      <w:bookmarkEnd w:id="651"/>
    </w:p>
    <w:p w14:paraId="7DCD86DD">
      <w:pPr>
        <w:spacing w:line="400" w:lineRule="exact"/>
        <w:jc w:val="center"/>
        <w:rPr>
          <w:rFonts w:hint="eastAsia" w:ascii="宋体" w:hAnsi="宋体" w:cs="宋体"/>
          <w:color w:val="auto"/>
          <w:sz w:val="28"/>
          <w:highlight w:val="none"/>
        </w:rPr>
      </w:pPr>
    </w:p>
    <w:p w14:paraId="50CA3BC3">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问</w:t>
      </w:r>
      <w:bookmarkEnd w:id="647"/>
      <w:r>
        <w:rPr>
          <w:rFonts w:hint="eastAsia" w:ascii="宋体" w:hAnsi="宋体" w:cs="宋体"/>
          <w:b/>
          <w:color w:val="auto"/>
          <w:sz w:val="32"/>
          <w:szCs w:val="32"/>
          <w:highlight w:val="none"/>
        </w:rPr>
        <w:t>题</w:t>
      </w:r>
      <w:bookmarkStart w:id="652" w:name="_Toc152045579"/>
      <w:bookmarkStart w:id="653" w:name="_Toc352691524"/>
      <w:bookmarkStart w:id="654" w:name="_Toc300834999"/>
      <w:bookmarkStart w:id="655" w:name="_Toc384308263"/>
      <w:bookmarkStart w:id="656" w:name="_Toc247527604"/>
      <w:bookmarkStart w:id="657" w:name="_Toc369531568"/>
      <w:bookmarkStart w:id="658" w:name="_Toc247514003"/>
      <w:bookmarkStart w:id="659" w:name="_Toc152042356"/>
      <w:bookmarkStart w:id="660" w:name="_Toc3622"/>
      <w:bookmarkStart w:id="661" w:name="_Toc361508637"/>
      <w:r>
        <w:rPr>
          <w:rFonts w:hint="eastAsia" w:ascii="宋体" w:hAnsi="宋体" w:cs="宋体"/>
          <w:b/>
          <w:color w:val="auto"/>
          <w:sz w:val="32"/>
          <w:szCs w:val="32"/>
          <w:highlight w:val="none"/>
        </w:rPr>
        <w:t>的澄清</w:t>
      </w:r>
    </w:p>
    <w:p w14:paraId="5AA56216">
      <w:pPr>
        <w:spacing w:line="360" w:lineRule="auto"/>
        <w:jc w:val="center"/>
        <w:rPr>
          <w:rFonts w:hint="eastAsia" w:ascii="宋体" w:hAnsi="宋体" w:cs="宋体"/>
          <w:b/>
          <w:color w:val="auto"/>
          <w:sz w:val="32"/>
          <w:szCs w:val="32"/>
          <w:highlight w:val="none"/>
          <w:u w:val="single"/>
        </w:rPr>
      </w:pPr>
      <w:r>
        <w:rPr>
          <w:rFonts w:hint="eastAsia" w:ascii="宋体" w:hAnsi="宋体" w:cs="宋体"/>
          <w:b/>
          <w:color w:val="auto"/>
          <w:sz w:val="32"/>
          <w:szCs w:val="32"/>
          <w:highlight w:val="none"/>
          <w:u w:val="single"/>
        </w:rPr>
        <w:t>（按广州交易集团有限公司（广州公共资源交易中心）的版式为准）</w:t>
      </w:r>
    </w:p>
    <w:bookmarkEnd w:id="648"/>
    <w:bookmarkEnd w:id="652"/>
    <w:bookmarkEnd w:id="653"/>
    <w:bookmarkEnd w:id="654"/>
    <w:bookmarkEnd w:id="655"/>
    <w:bookmarkEnd w:id="656"/>
    <w:bookmarkEnd w:id="657"/>
    <w:bookmarkEnd w:id="658"/>
    <w:bookmarkEnd w:id="659"/>
    <w:bookmarkEnd w:id="660"/>
    <w:bookmarkEnd w:id="661"/>
    <w:p w14:paraId="3A4979BA">
      <w:pPr>
        <w:pStyle w:val="3"/>
        <w:rPr>
          <w:rFonts w:hint="eastAsia" w:ascii="宋体" w:hAnsi="宋体" w:eastAsia="宋体" w:cs="宋体"/>
          <w:color w:val="auto"/>
          <w:highlight w:val="none"/>
        </w:rPr>
      </w:pPr>
    </w:p>
    <w:p w14:paraId="4AFF22F2">
      <w:pPr>
        <w:pStyle w:val="3"/>
        <w:rPr>
          <w:rFonts w:hint="eastAsia" w:ascii="宋体" w:hAnsi="宋体" w:eastAsia="宋体" w:cs="宋体"/>
          <w:color w:val="auto"/>
          <w:highlight w:val="none"/>
        </w:rPr>
      </w:pPr>
      <w:bookmarkStart w:id="662" w:name="_Toc17609"/>
      <w:bookmarkStart w:id="663" w:name="_Toc527028506"/>
      <w:bookmarkStart w:id="664" w:name="_Toc17658"/>
      <w:r>
        <w:rPr>
          <w:rFonts w:hint="eastAsia" w:ascii="宋体" w:hAnsi="宋体" w:eastAsia="宋体" w:cs="宋体"/>
          <w:b w:val="0"/>
          <w:color w:val="auto"/>
          <w:sz w:val="28"/>
          <w:highlight w:val="none"/>
        </w:rPr>
        <w:t>附件五：中标通知书</w:t>
      </w:r>
    </w:p>
    <w:p w14:paraId="6526789E">
      <w:pPr>
        <w:spacing w:line="360" w:lineRule="auto"/>
        <w:jc w:val="center"/>
        <w:rPr>
          <w:rFonts w:hint="eastAsia" w:ascii="宋体" w:hAnsi="宋体" w:cs="宋体"/>
          <w:b/>
          <w:color w:val="auto"/>
          <w:sz w:val="32"/>
          <w:szCs w:val="32"/>
          <w:highlight w:val="none"/>
        </w:rPr>
      </w:pPr>
      <w:r>
        <w:rPr>
          <w:rFonts w:hint="eastAsia" w:ascii="宋体" w:hAnsi="宋体" w:cs="宋体"/>
          <w:b/>
          <w:color w:val="auto"/>
          <w:sz w:val="32"/>
          <w:szCs w:val="32"/>
          <w:highlight w:val="none"/>
        </w:rPr>
        <w:t>中标通知书</w:t>
      </w:r>
    </w:p>
    <w:p w14:paraId="413B5AAF">
      <w:pPr>
        <w:spacing w:line="360" w:lineRule="auto"/>
        <w:jc w:val="center"/>
        <w:rPr>
          <w:rFonts w:hint="eastAsia" w:ascii="宋体" w:hAnsi="宋体" w:cs="宋体"/>
          <w:color w:val="auto"/>
          <w:highlight w:val="none"/>
          <w:u w:val="single"/>
        </w:rPr>
      </w:pPr>
      <w:r>
        <w:rPr>
          <w:rFonts w:hint="eastAsia" w:ascii="宋体" w:hAnsi="宋体" w:cs="宋体"/>
          <w:b/>
          <w:color w:val="auto"/>
          <w:sz w:val="32"/>
          <w:szCs w:val="32"/>
          <w:highlight w:val="none"/>
          <w:u w:val="single"/>
        </w:rPr>
        <w:t>（按广州交易集团有限公司（广州公共资源交易中心）的版式为准）</w:t>
      </w:r>
    </w:p>
    <w:bookmarkEnd w:id="662"/>
    <w:bookmarkEnd w:id="663"/>
    <w:bookmarkEnd w:id="664"/>
    <w:p w14:paraId="5FE31A54">
      <w:pPr>
        <w:spacing w:line="440" w:lineRule="exact"/>
        <w:ind w:firstLine="105" w:firstLineChars="50"/>
        <w:jc w:val="right"/>
        <w:rPr>
          <w:rFonts w:hint="eastAsia" w:ascii="宋体" w:hAnsi="宋体" w:cs="宋体"/>
          <w:color w:val="auto"/>
          <w:highlight w:val="none"/>
        </w:rPr>
      </w:pPr>
    </w:p>
    <w:p w14:paraId="4D302989">
      <w:pPr>
        <w:rPr>
          <w:rFonts w:hint="eastAsia" w:ascii="宋体" w:hAnsi="宋体" w:cs="宋体"/>
          <w:color w:val="auto"/>
          <w:highlight w:val="none"/>
        </w:rPr>
      </w:pPr>
    </w:p>
    <w:p w14:paraId="19E4CBB3">
      <w:pPr>
        <w:rPr>
          <w:rFonts w:hint="eastAsia" w:ascii="宋体" w:hAnsi="宋体" w:cs="宋体"/>
          <w:color w:val="auto"/>
          <w:highlight w:val="none"/>
        </w:rPr>
      </w:pPr>
    </w:p>
    <w:p w14:paraId="5E730BE1">
      <w:pPr>
        <w:rPr>
          <w:rFonts w:hint="eastAsia" w:ascii="宋体" w:hAnsi="宋体" w:cs="宋体"/>
          <w:color w:val="auto"/>
          <w:highlight w:val="none"/>
        </w:rPr>
      </w:pPr>
    </w:p>
    <w:p w14:paraId="714D5205">
      <w:pPr>
        <w:pStyle w:val="2"/>
        <w:keepNext w:val="0"/>
        <w:keepLines w:val="0"/>
        <w:spacing w:line="460" w:lineRule="exact"/>
        <w:jc w:val="center"/>
        <w:rPr>
          <w:rFonts w:hint="eastAsia" w:ascii="宋体" w:hAnsi="宋体" w:cs="宋体"/>
          <w:color w:val="auto"/>
          <w:highlight w:val="none"/>
        </w:rPr>
      </w:pPr>
      <w:r>
        <w:rPr>
          <w:rFonts w:hint="eastAsia" w:ascii="宋体" w:hAnsi="宋体" w:cs="宋体"/>
          <w:color w:val="auto"/>
          <w:highlight w:val="none"/>
        </w:rPr>
        <w:br w:type="page"/>
      </w:r>
      <w:bookmarkStart w:id="665" w:name="_Toc27120"/>
      <w:r>
        <w:rPr>
          <w:rFonts w:hint="eastAsia" w:ascii="宋体" w:hAnsi="宋体" w:cs="宋体"/>
          <w:color w:val="auto"/>
          <w:highlight w:val="none"/>
        </w:rPr>
        <w:t>第三章评标办法（综合评估法）</w:t>
      </w:r>
      <w:bookmarkEnd w:id="665"/>
    </w:p>
    <w:p w14:paraId="016E3AE2">
      <w:pPr>
        <w:pStyle w:val="2"/>
        <w:keepNext w:val="0"/>
        <w:keepLines w:val="0"/>
        <w:spacing w:before="0" w:after="0" w:line="240" w:lineRule="auto"/>
        <w:jc w:val="center"/>
        <w:rPr>
          <w:rFonts w:hint="eastAsia" w:ascii="宋体" w:hAnsi="宋体" w:cs="宋体"/>
          <w:color w:val="auto"/>
          <w:highlight w:val="none"/>
        </w:rPr>
      </w:pPr>
      <w:bookmarkStart w:id="666" w:name="_Toc29928"/>
      <w:r>
        <w:rPr>
          <w:rFonts w:hint="eastAsia" w:ascii="宋体" w:hAnsi="宋体" w:cs="宋体"/>
          <w:color w:val="auto"/>
          <w:highlight w:val="none"/>
        </w:rPr>
        <w:t>评标办法前附表</w:t>
      </w:r>
      <w:bookmarkEnd w:id="666"/>
    </w:p>
    <w:tbl>
      <w:tblPr>
        <w:tblStyle w:val="19"/>
        <w:tblW w:w="9784"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6"/>
        <w:gridCol w:w="102"/>
        <w:gridCol w:w="1169"/>
        <w:gridCol w:w="1701"/>
        <w:gridCol w:w="5956"/>
      </w:tblGrid>
      <w:tr w14:paraId="0E3E7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gridSpan w:val="3"/>
            <w:tcBorders>
              <w:top w:val="single" w:color="auto" w:sz="4" w:space="0"/>
              <w:bottom w:val="single" w:color="auto" w:sz="4" w:space="0"/>
              <w:right w:val="single" w:color="auto" w:sz="4" w:space="0"/>
            </w:tcBorders>
            <w:vAlign w:val="center"/>
          </w:tcPr>
          <w:p w14:paraId="54FACB43">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701" w:type="dxa"/>
            <w:tcBorders>
              <w:top w:val="single" w:color="auto" w:sz="4" w:space="0"/>
              <w:left w:val="single" w:color="auto" w:sz="4" w:space="0"/>
              <w:bottom w:val="single" w:color="auto" w:sz="4" w:space="0"/>
              <w:right w:val="single" w:color="auto" w:sz="4" w:space="0"/>
            </w:tcBorders>
            <w:vAlign w:val="center"/>
          </w:tcPr>
          <w:p w14:paraId="79338FD7">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评审因素</w:t>
            </w:r>
          </w:p>
        </w:tc>
        <w:tc>
          <w:tcPr>
            <w:tcW w:w="5956" w:type="dxa"/>
            <w:tcBorders>
              <w:top w:val="single" w:color="auto" w:sz="4" w:space="0"/>
              <w:left w:val="single" w:color="auto" w:sz="4" w:space="0"/>
              <w:bottom w:val="single" w:color="auto" w:sz="4" w:space="0"/>
              <w:right w:val="single" w:color="auto" w:sz="4" w:space="0"/>
            </w:tcBorders>
            <w:vAlign w:val="center"/>
          </w:tcPr>
          <w:p w14:paraId="04FFE414">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评审标准</w:t>
            </w:r>
          </w:p>
        </w:tc>
      </w:tr>
      <w:tr w14:paraId="10D827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48" w:hRule="atLeast"/>
        </w:trPr>
        <w:tc>
          <w:tcPr>
            <w:tcW w:w="856" w:type="dxa"/>
            <w:tcBorders>
              <w:top w:val="single" w:color="auto" w:sz="4" w:space="0"/>
              <w:left w:val="single" w:color="auto" w:sz="4" w:space="0"/>
              <w:bottom w:val="single" w:color="auto" w:sz="4" w:space="0"/>
              <w:right w:val="single" w:color="auto" w:sz="4" w:space="0"/>
            </w:tcBorders>
            <w:vAlign w:val="center"/>
          </w:tcPr>
          <w:p w14:paraId="394574E8">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1271" w:type="dxa"/>
            <w:gridSpan w:val="2"/>
            <w:tcBorders>
              <w:top w:val="single" w:color="auto" w:sz="4" w:space="0"/>
              <w:left w:val="single" w:color="auto" w:sz="4" w:space="0"/>
              <w:bottom w:val="single" w:color="auto" w:sz="4" w:space="0"/>
              <w:right w:val="single" w:color="auto" w:sz="4" w:space="0"/>
            </w:tcBorders>
            <w:vAlign w:val="center"/>
          </w:tcPr>
          <w:p w14:paraId="28C84A8E">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评标方法</w:t>
            </w:r>
          </w:p>
        </w:tc>
        <w:tc>
          <w:tcPr>
            <w:tcW w:w="1701" w:type="dxa"/>
            <w:tcBorders>
              <w:top w:val="single" w:color="auto" w:sz="4" w:space="0"/>
              <w:left w:val="single" w:color="auto" w:sz="4" w:space="0"/>
              <w:bottom w:val="single" w:color="auto" w:sz="4" w:space="0"/>
              <w:right w:val="single" w:color="auto" w:sz="4" w:space="0"/>
            </w:tcBorders>
            <w:vAlign w:val="center"/>
          </w:tcPr>
          <w:p w14:paraId="7C7E6DD5">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中标候选人</w:t>
            </w:r>
          </w:p>
          <w:p w14:paraId="0D748E6E">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排序方法</w:t>
            </w:r>
          </w:p>
        </w:tc>
        <w:tc>
          <w:tcPr>
            <w:tcW w:w="5956" w:type="dxa"/>
            <w:tcBorders>
              <w:top w:val="single" w:color="auto" w:sz="4" w:space="0"/>
              <w:left w:val="single" w:color="auto" w:sz="4" w:space="0"/>
              <w:bottom w:val="single" w:color="auto" w:sz="4" w:space="0"/>
              <w:right w:val="single" w:color="auto" w:sz="4" w:space="0"/>
            </w:tcBorders>
            <w:vAlign w:val="center"/>
          </w:tcPr>
          <w:p w14:paraId="495FCCB4">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本次评标采用综合评估法。评标委员会对满足招标文件实质性要求的投标文件，按照本章第2.2款规定的评分标准进行打分，并按综合得分由高到低顺序推荐前三名作为中标候选人。如果综合得分相等时，以投标报价低的优先；投标报价也相等的，以资信业绩部分得分高的优先；如仍存在相同情况，由评标委员会采用记名投票方式（不得弃权），以得票多的优先，最终确定中标候选人的排序。</w:t>
            </w:r>
          </w:p>
        </w:tc>
      </w:tr>
      <w:tr w14:paraId="636A8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restart"/>
            <w:tcBorders>
              <w:top w:val="single" w:color="auto" w:sz="4" w:space="0"/>
              <w:right w:val="single" w:color="auto" w:sz="4" w:space="0"/>
            </w:tcBorders>
            <w:vAlign w:val="center"/>
          </w:tcPr>
          <w:p w14:paraId="127E77A0">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2.1.1</w:t>
            </w:r>
          </w:p>
        </w:tc>
        <w:tc>
          <w:tcPr>
            <w:tcW w:w="1271" w:type="dxa"/>
            <w:gridSpan w:val="2"/>
            <w:vMerge w:val="restart"/>
            <w:tcBorders>
              <w:top w:val="single" w:color="auto" w:sz="4" w:space="0"/>
              <w:right w:val="single" w:color="auto" w:sz="4" w:space="0"/>
            </w:tcBorders>
            <w:vAlign w:val="center"/>
          </w:tcPr>
          <w:p w14:paraId="70BA5089">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形式评审标准</w:t>
            </w:r>
          </w:p>
        </w:tc>
        <w:tc>
          <w:tcPr>
            <w:tcW w:w="1701" w:type="dxa"/>
            <w:tcBorders>
              <w:top w:val="single" w:color="auto" w:sz="4" w:space="0"/>
              <w:left w:val="single" w:color="auto" w:sz="4" w:space="0"/>
              <w:bottom w:val="single" w:color="auto" w:sz="4" w:space="0"/>
              <w:right w:val="single" w:color="auto" w:sz="4" w:space="0"/>
            </w:tcBorders>
            <w:vAlign w:val="center"/>
          </w:tcPr>
          <w:p w14:paraId="3F25CA91">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投标人名称</w:t>
            </w:r>
          </w:p>
        </w:tc>
        <w:tc>
          <w:tcPr>
            <w:tcW w:w="5956" w:type="dxa"/>
            <w:tcBorders>
              <w:top w:val="single" w:color="auto" w:sz="4" w:space="0"/>
              <w:left w:val="single" w:color="auto" w:sz="4" w:space="0"/>
              <w:bottom w:val="single" w:color="auto" w:sz="4" w:space="0"/>
              <w:right w:val="single" w:color="auto" w:sz="4" w:space="0"/>
            </w:tcBorders>
            <w:vAlign w:val="center"/>
          </w:tcPr>
          <w:p w14:paraId="1EC29504">
            <w:pPr>
              <w:adjustRightInd w:val="0"/>
              <w:snapToGrid w:val="0"/>
              <w:spacing w:line="400" w:lineRule="exact"/>
              <w:rPr>
                <w:rFonts w:hint="eastAsia" w:ascii="宋体" w:hAnsi="宋体" w:cs="宋体"/>
                <w:color w:val="auto"/>
                <w:szCs w:val="21"/>
                <w:highlight w:val="none"/>
              </w:rPr>
            </w:pPr>
            <w:r>
              <w:rPr>
                <w:rFonts w:hint="eastAsia"/>
                <w:color w:val="auto"/>
                <w:highlight w:val="none"/>
              </w:rPr>
              <w:t>与营业执照</w:t>
            </w:r>
            <w:r>
              <w:rPr>
                <w:rFonts w:hint="eastAsia"/>
                <w:color w:val="auto"/>
                <w:highlight w:val="none"/>
                <w:u w:val="single"/>
              </w:rPr>
              <w:t>或事业单位法人证书或香港进行商业登记的证明文书</w:t>
            </w:r>
            <w:r>
              <w:rPr>
                <w:rFonts w:hint="eastAsia"/>
                <w:color w:val="auto"/>
                <w:highlight w:val="none"/>
              </w:rPr>
              <w:t>一致</w:t>
            </w:r>
            <w:r>
              <w:rPr>
                <w:rFonts w:hint="eastAsia" w:ascii="宋体" w:hAnsi="宋体" w:cs="宋体"/>
                <w:color w:val="auto"/>
                <w:szCs w:val="21"/>
                <w:highlight w:val="none"/>
              </w:rPr>
              <w:t>；</w:t>
            </w:r>
          </w:p>
        </w:tc>
      </w:tr>
      <w:tr w14:paraId="47B084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604274A9">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right w:val="single" w:color="auto" w:sz="4" w:space="0"/>
            </w:tcBorders>
            <w:vAlign w:val="center"/>
          </w:tcPr>
          <w:p w14:paraId="7C06E784">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6E720758">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投标函及投标函附录签字盖章</w:t>
            </w:r>
          </w:p>
        </w:tc>
        <w:tc>
          <w:tcPr>
            <w:tcW w:w="5956" w:type="dxa"/>
            <w:tcBorders>
              <w:top w:val="single" w:color="auto" w:sz="4" w:space="0"/>
              <w:left w:val="single" w:color="auto" w:sz="4" w:space="0"/>
              <w:bottom w:val="single" w:color="auto" w:sz="4" w:space="0"/>
              <w:right w:val="single" w:color="auto" w:sz="4" w:space="0"/>
            </w:tcBorders>
            <w:vAlign w:val="center"/>
          </w:tcPr>
          <w:p w14:paraId="77232F3C">
            <w:pPr>
              <w:adjustRightInd w:val="0"/>
              <w:snapToGrid w:val="0"/>
              <w:spacing w:line="400" w:lineRule="exact"/>
              <w:rPr>
                <w:rFonts w:hint="eastAsia" w:ascii="宋体" w:hAnsi="宋体" w:cs="宋体"/>
                <w:color w:val="auto"/>
                <w:szCs w:val="21"/>
                <w:highlight w:val="none"/>
              </w:rPr>
            </w:pPr>
            <w:r>
              <w:rPr>
                <w:rFonts w:hint="eastAsia" w:ascii="宋体" w:hAnsi="宋体" w:cs="宋体"/>
                <w:szCs w:val="21"/>
              </w:rPr>
              <w:t>有法定代表人或其委托代理人签字或加盖单位章。由法定代表人签字的，应附法定代表人身份证明，由代理人签字的，应附授权委托书，身份证明或授权委托书应符合第六章“投标文件格式”的规定；</w:t>
            </w:r>
          </w:p>
        </w:tc>
      </w:tr>
      <w:tr w14:paraId="1BA236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43DAC207">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right w:val="single" w:color="auto" w:sz="4" w:space="0"/>
            </w:tcBorders>
            <w:vAlign w:val="center"/>
          </w:tcPr>
          <w:p w14:paraId="4AA7E7F4">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A0E3492">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投标文件格式</w:t>
            </w:r>
          </w:p>
        </w:tc>
        <w:tc>
          <w:tcPr>
            <w:tcW w:w="5956" w:type="dxa"/>
            <w:tcBorders>
              <w:top w:val="single" w:color="auto" w:sz="4" w:space="0"/>
              <w:left w:val="single" w:color="auto" w:sz="4" w:space="0"/>
              <w:bottom w:val="single" w:color="auto" w:sz="4" w:space="0"/>
              <w:right w:val="single" w:color="auto" w:sz="4" w:space="0"/>
            </w:tcBorders>
            <w:vAlign w:val="center"/>
          </w:tcPr>
          <w:p w14:paraId="27F39DA3">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符合第六章“投标文件格式”的规定；</w:t>
            </w:r>
          </w:p>
        </w:tc>
      </w:tr>
      <w:tr w14:paraId="33CD9D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715EBD4B">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right w:val="single" w:color="auto" w:sz="4" w:space="0"/>
            </w:tcBorders>
            <w:vAlign w:val="center"/>
          </w:tcPr>
          <w:p w14:paraId="7CE1359C">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6054B29">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联合体投标人</w:t>
            </w:r>
          </w:p>
        </w:tc>
        <w:tc>
          <w:tcPr>
            <w:tcW w:w="5956" w:type="dxa"/>
            <w:tcBorders>
              <w:top w:val="single" w:color="auto" w:sz="4" w:space="0"/>
              <w:left w:val="single" w:color="auto" w:sz="4" w:space="0"/>
              <w:bottom w:val="single" w:color="auto" w:sz="4" w:space="0"/>
              <w:right w:val="single" w:color="auto" w:sz="4" w:space="0"/>
            </w:tcBorders>
            <w:vAlign w:val="center"/>
          </w:tcPr>
          <w:p w14:paraId="01087FF9">
            <w:pPr>
              <w:adjustRightInd w:val="0"/>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不接受</w:t>
            </w:r>
            <w:r>
              <w:rPr>
                <w:rFonts w:hint="eastAsia" w:ascii="宋体" w:hAnsi="宋体" w:cs="宋体"/>
                <w:color w:val="auto"/>
                <w:szCs w:val="21"/>
                <w:highlight w:val="none"/>
                <w:lang w:eastAsia="zh-CN"/>
              </w:rPr>
              <w:t>；</w:t>
            </w:r>
          </w:p>
        </w:tc>
      </w:tr>
      <w:tr w14:paraId="5C498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2017AFC5">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right w:val="single" w:color="auto" w:sz="4" w:space="0"/>
            </w:tcBorders>
            <w:vAlign w:val="center"/>
          </w:tcPr>
          <w:p w14:paraId="01C8FB38">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8767ECD">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备选投标方案</w:t>
            </w:r>
          </w:p>
        </w:tc>
        <w:tc>
          <w:tcPr>
            <w:tcW w:w="5956" w:type="dxa"/>
            <w:tcBorders>
              <w:top w:val="single" w:color="auto" w:sz="4" w:space="0"/>
              <w:left w:val="single" w:color="auto" w:sz="4" w:space="0"/>
              <w:bottom w:val="single" w:color="auto" w:sz="4" w:space="0"/>
              <w:right w:val="single" w:color="auto" w:sz="4" w:space="0"/>
            </w:tcBorders>
            <w:vAlign w:val="center"/>
          </w:tcPr>
          <w:p w14:paraId="0FE1E83E">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不允许。</w:t>
            </w:r>
          </w:p>
        </w:tc>
      </w:tr>
      <w:tr w14:paraId="1AF227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bottom w:val="single" w:color="auto" w:sz="4" w:space="0"/>
              <w:right w:val="single" w:color="auto" w:sz="4" w:space="0"/>
            </w:tcBorders>
            <w:vAlign w:val="center"/>
          </w:tcPr>
          <w:p w14:paraId="06E42CB6">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right w:val="single" w:color="auto" w:sz="4" w:space="0"/>
            </w:tcBorders>
            <w:vAlign w:val="center"/>
          </w:tcPr>
          <w:p w14:paraId="7AEBBEFC">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6728219">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投标人机器码</w:t>
            </w:r>
          </w:p>
        </w:tc>
        <w:tc>
          <w:tcPr>
            <w:tcW w:w="5956" w:type="dxa"/>
            <w:tcBorders>
              <w:top w:val="single" w:color="auto" w:sz="4" w:space="0"/>
              <w:left w:val="single" w:color="auto" w:sz="4" w:space="0"/>
              <w:bottom w:val="single" w:color="auto" w:sz="4" w:space="0"/>
              <w:right w:val="single" w:color="auto" w:sz="4" w:space="0"/>
            </w:tcBorders>
          </w:tcPr>
          <w:p w14:paraId="765B58BB">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投标人与其他投标人加密打包投标文件电脑特征码一致的（以广州公共资源交易中心评标系统的检索信息为准）将被否决。</w:t>
            </w:r>
          </w:p>
        </w:tc>
      </w:tr>
      <w:tr w14:paraId="6EC0A6F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restart"/>
            <w:tcBorders>
              <w:top w:val="single" w:color="auto" w:sz="4" w:space="0"/>
              <w:bottom w:val="single" w:color="auto" w:sz="4" w:space="0"/>
              <w:right w:val="single" w:color="auto" w:sz="4" w:space="0"/>
            </w:tcBorders>
            <w:vAlign w:val="center"/>
          </w:tcPr>
          <w:p w14:paraId="1AB73299">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2.1.2</w:t>
            </w:r>
          </w:p>
        </w:tc>
        <w:tc>
          <w:tcPr>
            <w:tcW w:w="1271" w:type="dxa"/>
            <w:gridSpan w:val="2"/>
            <w:vMerge w:val="restart"/>
            <w:tcBorders>
              <w:top w:val="single" w:color="auto" w:sz="4" w:space="0"/>
              <w:left w:val="single" w:color="auto" w:sz="4" w:space="0"/>
              <w:bottom w:val="single" w:color="auto" w:sz="4" w:space="0"/>
              <w:right w:val="single" w:color="auto" w:sz="4" w:space="0"/>
            </w:tcBorders>
            <w:vAlign w:val="center"/>
          </w:tcPr>
          <w:p w14:paraId="355631E6">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资格评审标准</w:t>
            </w:r>
          </w:p>
        </w:tc>
        <w:tc>
          <w:tcPr>
            <w:tcW w:w="1701" w:type="dxa"/>
            <w:tcBorders>
              <w:top w:val="single" w:color="auto" w:sz="4" w:space="0"/>
              <w:left w:val="single" w:color="auto" w:sz="4" w:space="0"/>
              <w:bottom w:val="single" w:color="auto" w:sz="4" w:space="0"/>
              <w:right w:val="single" w:color="auto" w:sz="4" w:space="0"/>
            </w:tcBorders>
            <w:vAlign w:val="center"/>
          </w:tcPr>
          <w:p w14:paraId="774F4817">
            <w:pPr>
              <w:adjustRightInd w:val="0"/>
              <w:snapToGrid w:val="0"/>
              <w:spacing w:line="400" w:lineRule="exact"/>
              <w:jc w:val="center"/>
              <w:rPr>
                <w:rFonts w:hint="eastAsia" w:ascii="宋体" w:hAnsi="宋体" w:cs="宋体"/>
                <w:color w:val="auto"/>
                <w:szCs w:val="21"/>
                <w:highlight w:val="none"/>
              </w:rPr>
            </w:pPr>
            <w:r>
              <w:rPr>
                <w:rFonts w:hint="eastAsia"/>
                <w:color w:val="auto"/>
                <w:highlight w:val="none"/>
              </w:rPr>
              <w:t>营业执照</w:t>
            </w:r>
            <w:r>
              <w:rPr>
                <w:rFonts w:hint="eastAsia"/>
                <w:color w:val="auto"/>
                <w:highlight w:val="none"/>
                <w:u w:val="single"/>
              </w:rPr>
              <w:t>或事业单位法人证书或香港进行商业登记的证明文书</w:t>
            </w:r>
          </w:p>
        </w:tc>
        <w:tc>
          <w:tcPr>
            <w:tcW w:w="5956" w:type="dxa"/>
            <w:tcBorders>
              <w:top w:val="single" w:color="auto" w:sz="4" w:space="0"/>
              <w:left w:val="single" w:color="auto" w:sz="4" w:space="0"/>
              <w:bottom w:val="single" w:color="auto" w:sz="4" w:space="0"/>
              <w:right w:val="single" w:color="auto" w:sz="4" w:space="0"/>
            </w:tcBorders>
            <w:vAlign w:val="center"/>
          </w:tcPr>
          <w:p w14:paraId="460F1118">
            <w:pPr>
              <w:adjustRightInd w:val="0"/>
              <w:snapToGrid w:val="0"/>
              <w:spacing w:line="400" w:lineRule="exact"/>
              <w:rPr>
                <w:rFonts w:hint="eastAsia" w:ascii="宋体" w:hAnsi="宋体" w:cs="宋体"/>
                <w:color w:val="auto"/>
                <w:szCs w:val="21"/>
                <w:highlight w:val="none"/>
              </w:rPr>
            </w:pPr>
            <w:r>
              <w:rPr>
                <w:rFonts w:hint="eastAsia"/>
                <w:color w:val="auto"/>
                <w:highlight w:val="none"/>
              </w:rPr>
              <w:t>符合第二章“投标人须知”第1.4.1项规定</w:t>
            </w:r>
          </w:p>
        </w:tc>
      </w:tr>
      <w:tr w14:paraId="2A0964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5AFD252B">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631321C6">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45D62CD">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资质要求</w:t>
            </w:r>
          </w:p>
        </w:tc>
        <w:tc>
          <w:tcPr>
            <w:tcW w:w="5956" w:type="dxa"/>
            <w:tcBorders>
              <w:top w:val="single" w:color="auto" w:sz="4" w:space="0"/>
              <w:left w:val="single" w:color="auto" w:sz="4" w:space="0"/>
              <w:bottom w:val="single" w:color="auto" w:sz="4" w:space="0"/>
              <w:right w:val="single" w:color="auto" w:sz="4" w:space="0"/>
            </w:tcBorders>
            <w:vAlign w:val="center"/>
          </w:tcPr>
          <w:p w14:paraId="762F81EE">
            <w:pPr>
              <w:adjustRightInd w:val="0"/>
              <w:snapToGrid w:val="0"/>
              <w:spacing w:line="400" w:lineRule="exact"/>
              <w:rPr>
                <w:rFonts w:hint="eastAsia" w:ascii="宋体" w:hAnsi="宋体" w:cs="宋体"/>
                <w:color w:val="auto"/>
                <w:szCs w:val="21"/>
                <w:highlight w:val="none"/>
              </w:rPr>
            </w:pPr>
            <w:r>
              <w:rPr>
                <w:rFonts w:hint="eastAsia" w:ascii="宋体" w:hAnsi="宋体" w:cs="楷体"/>
                <w:color w:val="auto"/>
                <w:highlight w:val="none"/>
              </w:rPr>
              <w:t>/</w:t>
            </w:r>
          </w:p>
        </w:tc>
      </w:tr>
      <w:tr w14:paraId="20A84E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3B3428BE">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33CD9E1B">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15F53D1">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财务要求</w:t>
            </w:r>
          </w:p>
        </w:tc>
        <w:tc>
          <w:tcPr>
            <w:tcW w:w="5956" w:type="dxa"/>
            <w:tcBorders>
              <w:top w:val="single" w:color="auto" w:sz="4" w:space="0"/>
              <w:left w:val="single" w:color="auto" w:sz="4" w:space="0"/>
              <w:bottom w:val="single" w:color="auto" w:sz="4" w:space="0"/>
              <w:right w:val="single" w:color="auto" w:sz="4" w:space="0"/>
            </w:tcBorders>
            <w:vAlign w:val="center"/>
          </w:tcPr>
          <w:p w14:paraId="1EE391A4">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670390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0ECD9D23">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4F6E0398">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94DBC80">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业绩要求</w:t>
            </w:r>
          </w:p>
        </w:tc>
        <w:tc>
          <w:tcPr>
            <w:tcW w:w="5956" w:type="dxa"/>
            <w:tcBorders>
              <w:top w:val="single" w:color="auto" w:sz="4" w:space="0"/>
              <w:left w:val="single" w:color="auto" w:sz="4" w:space="0"/>
              <w:bottom w:val="single" w:color="auto" w:sz="4" w:space="0"/>
              <w:right w:val="single" w:color="auto" w:sz="4" w:space="0"/>
            </w:tcBorders>
            <w:vAlign w:val="center"/>
          </w:tcPr>
          <w:p w14:paraId="651B45BF">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3101B7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39A85954">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277B997F">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0ED90C0">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信誉要求</w:t>
            </w:r>
          </w:p>
        </w:tc>
        <w:tc>
          <w:tcPr>
            <w:tcW w:w="5956" w:type="dxa"/>
            <w:tcBorders>
              <w:top w:val="single" w:color="auto" w:sz="4" w:space="0"/>
              <w:left w:val="single" w:color="auto" w:sz="4" w:space="0"/>
              <w:bottom w:val="single" w:color="auto" w:sz="4" w:space="0"/>
              <w:right w:val="single" w:color="auto" w:sz="4" w:space="0"/>
            </w:tcBorders>
            <w:vAlign w:val="center"/>
          </w:tcPr>
          <w:p w14:paraId="4174F413">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313F3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324A7B45">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112E747B">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D55594F">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项目负责人</w:t>
            </w:r>
          </w:p>
        </w:tc>
        <w:tc>
          <w:tcPr>
            <w:tcW w:w="5956" w:type="dxa"/>
            <w:tcBorders>
              <w:top w:val="single" w:color="auto" w:sz="4" w:space="0"/>
              <w:left w:val="single" w:color="auto" w:sz="4" w:space="0"/>
              <w:bottom w:val="single" w:color="auto" w:sz="4" w:space="0"/>
              <w:right w:val="single" w:color="auto" w:sz="4" w:space="0"/>
            </w:tcBorders>
            <w:vAlign w:val="center"/>
          </w:tcPr>
          <w:p w14:paraId="658A9AE0">
            <w:pPr>
              <w:adjustRightInd w:val="0"/>
              <w:snapToGrid w:val="0"/>
              <w:spacing w:line="400" w:lineRule="exact"/>
              <w:rPr>
                <w:rFonts w:hint="eastAsia" w:ascii="宋体" w:hAnsi="宋体" w:cs="宋体"/>
                <w:color w:val="auto"/>
                <w:szCs w:val="21"/>
                <w:highlight w:val="none"/>
              </w:rPr>
            </w:pPr>
            <w:r>
              <w:rPr>
                <w:rFonts w:hint="eastAsia" w:ascii="宋体" w:hAnsi="宋体" w:cs="楷体"/>
                <w:color w:val="auto"/>
                <w:highlight w:val="none"/>
              </w:rPr>
              <w:t>符合第二章“投标人须知”第1.4.1项规定</w:t>
            </w:r>
            <w:r>
              <w:rPr>
                <w:rFonts w:hint="eastAsia" w:ascii="宋体" w:hAnsi="宋体"/>
                <w:color w:val="auto"/>
                <w:szCs w:val="20"/>
                <w:highlight w:val="none"/>
              </w:rPr>
              <w:t>。</w:t>
            </w:r>
          </w:p>
        </w:tc>
      </w:tr>
      <w:tr w14:paraId="0516FC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2ECC2244">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5D32B46D">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BCD934F">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其他主要人员</w:t>
            </w:r>
          </w:p>
        </w:tc>
        <w:tc>
          <w:tcPr>
            <w:tcW w:w="5956" w:type="dxa"/>
            <w:tcBorders>
              <w:top w:val="single" w:color="auto" w:sz="4" w:space="0"/>
              <w:left w:val="single" w:color="auto" w:sz="4" w:space="0"/>
              <w:bottom w:val="single" w:color="auto" w:sz="4" w:space="0"/>
              <w:right w:val="single" w:color="auto" w:sz="4" w:space="0"/>
            </w:tcBorders>
            <w:vAlign w:val="center"/>
          </w:tcPr>
          <w:p w14:paraId="1555EDC8">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3FAA8C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435F5ED1">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682F80E7">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7E10688">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仪器设备</w:t>
            </w:r>
          </w:p>
        </w:tc>
        <w:tc>
          <w:tcPr>
            <w:tcW w:w="5956" w:type="dxa"/>
            <w:tcBorders>
              <w:top w:val="single" w:color="auto" w:sz="4" w:space="0"/>
              <w:left w:val="single" w:color="auto" w:sz="4" w:space="0"/>
              <w:bottom w:val="single" w:color="auto" w:sz="4" w:space="0"/>
              <w:right w:val="single" w:color="auto" w:sz="4" w:space="0"/>
            </w:tcBorders>
            <w:vAlign w:val="center"/>
          </w:tcPr>
          <w:p w14:paraId="3FF00955">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w:t>
            </w:r>
          </w:p>
        </w:tc>
      </w:tr>
      <w:tr w14:paraId="45FA17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455C4C98">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78419F4A">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D07AB34">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其他要求</w:t>
            </w:r>
          </w:p>
        </w:tc>
        <w:tc>
          <w:tcPr>
            <w:tcW w:w="5956" w:type="dxa"/>
            <w:tcBorders>
              <w:top w:val="single" w:color="auto" w:sz="4" w:space="0"/>
              <w:left w:val="single" w:color="auto" w:sz="4" w:space="0"/>
              <w:bottom w:val="single" w:color="auto" w:sz="4" w:space="0"/>
              <w:right w:val="single" w:color="auto" w:sz="4" w:space="0"/>
            </w:tcBorders>
            <w:vAlign w:val="center"/>
          </w:tcPr>
          <w:p w14:paraId="3DADBFBF">
            <w:pPr>
              <w:adjustRightInd w:val="0"/>
              <w:snapToGrid w:val="0"/>
              <w:spacing w:line="400" w:lineRule="exact"/>
              <w:rPr>
                <w:rFonts w:hint="eastAsia" w:ascii="宋体" w:hAnsi="宋体" w:cs="宋体"/>
                <w:color w:val="auto"/>
                <w:szCs w:val="21"/>
                <w:highlight w:val="none"/>
              </w:rPr>
            </w:pPr>
            <w:r>
              <w:rPr>
                <w:rFonts w:hint="eastAsia" w:ascii="宋体" w:hAnsi="宋体" w:cs="楷体"/>
                <w:color w:val="auto"/>
                <w:highlight w:val="none"/>
              </w:rPr>
              <w:t>符合第二章“投标人须知”第1.4.1项规定</w:t>
            </w:r>
            <w:r>
              <w:rPr>
                <w:rFonts w:hint="eastAsia" w:ascii="宋体" w:hAnsi="宋体"/>
                <w:color w:val="auto"/>
                <w:szCs w:val="20"/>
                <w:highlight w:val="none"/>
              </w:rPr>
              <w:t>。</w:t>
            </w:r>
          </w:p>
        </w:tc>
      </w:tr>
      <w:tr w14:paraId="79E4F9E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328EC8DD">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4FF9EFB0">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59B746C0">
            <w:pPr>
              <w:adjustRightInd w:val="0"/>
              <w:snapToGrid w:val="0"/>
              <w:spacing w:line="400" w:lineRule="exact"/>
              <w:jc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未被列入拖欠农民工工资失信联合惩戒对象名单</w:t>
            </w:r>
          </w:p>
        </w:tc>
        <w:tc>
          <w:tcPr>
            <w:tcW w:w="5956" w:type="dxa"/>
            <w:tcBorders>
              <w:top w:val="single" w:color="auto" w:sz="4" w:space="0"/>
              <w:left w:val="single" w:color="auto" w:sz="4" w:space="0"/>
              <w:bottom w:val="single" w:color="auto" w:sz="4" w:space="0"/>
              <w:right w:val="single" w:color="auto" w:sz="4" w:space="0"/>
            </w:tcBorders>
            <w:vAlign w:val="center"/>
          </w:tcPr>
          <w:p w14:paraId="7515DB67">
            <w:pPr>
              <w:adjustRightInd w:val="0"/>
              <w:snapToGrid w:val="0"/>
              <w:spacing w:line="400" w:lineRule="exact"/>
              <w:rPr>
                <w:rFonts w:hint="eastAsia" w:ascii="宋体" w:hAnsi="宋体" w:cs="楷体"/>
                <w:color w:val="auto"/>
                <w:highlight w:val="none"/>
              </w:rPr>
            </w:pPr>
            <w:r>
              <w:rPr>
                <w:rFonts w:hint="eastAsia" w:ascii="宋体" w:hAnsi="宋体" w:eastAsia="宋体" w:cs="楷体"/>
                <w:color w:val="auto"/>
                <w:sz w:val="21"/>
                <w:highlight w:val="none"/>
                <w:u w:val="none"/>
              </w:rPr>
              <w:t>本项投标人无需提供资料，按</w:t>
            </w:r>
            <w:r>
              <w:rPr>
                <w:rFonts w:hint="eastAsia" w:ascii="宋体" w:hAnsi="宋体" w:eastAsia="宋体" w:cs="楷体"/>
                <w:color w:val="auto"/>
                <w:highlight w:val="none"/>
                <w:u w:val="none"/>
              </w:rPr>
              <w:t>广州交易集团有限公司（广州公共资源交易中心）</w:t>
            </w:r>
            <w:r>
              <w:rPr>
                <w:rFonts w:hint="eastAsia" w:ascii="宋体" w:hAnsi="宋体" w:eastAsia="宋体" w:cs="楷体"/>
                <w:color w:val="auto"/>
                <w:sz w:val="21"/>
                <w:highlight w:val="none"/>
                <w:u w:val="none"/>
              </w:rPr>
              <w:t>交易系统比对结果进行评审。</w:t>
            </w:r>
          </w:p>
        </w:tc>
      </w:tr>
      <w:tr w14:paraId="5E6B60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top w:val="single" w:color="auto" w:sz="4" w:space="0"/>
              <w:bottom w:val="single" w:color="auto" w:sz="4" w:space="0"/>
              <w:right w:val="single" w:color="auto" w:sz="4" w:space="0"/>
            </w:tcBorders>
            <w:vAlign w:val="center"/>
          </w:tcPr>
          <w:p w14:paraId="1DBEBC33">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top w:val="single" w:color="auto" w:sz="4" w:space="0"/>
              <w:left w:val="single" w:color="auto" w:sz="4" w:space="0"/>
              <w:bottom w:val="single" w:color="auto" w:sz="4" w:space="0"/>
              <w:right w:val="single" w:color="auto" w:sz="4" w:space="0"/>
            </w:tcBorders>
            <w:vAlign w:val="center"/>
          </w:tcPr>
          <w:p w14:paraId="0A070669">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133B0437">
            <w:pPr>
              <w:adjustRightInd w:val="0"/>
              <w:snapToGrid w:val="0"/>
              <w:spacing w:line="400" w:lineRule="exact"/>
              <w:jc w:val="center"/>
              <w:rPr>
                <w:rFonts w:hint="eastAsia" w:ascii="宋体" w:hAnsi="宋体" w:cs="宋体"/>
                <w:color w:val="auto"/>
                <w:szCs w:val="21"/>
                <w:highlight w:val="none"/>
              </w:rPr>
            </w:pPr>
            <w:r>
              <w:rPr>
                <w:rFonts w:hint="eastAsia" w:ascii="宋体" w:hAnsi="宋体" w:cs="Calibri"/>
                <w:color w:val="auto"/>
                <w:szCs w:val="21"/>
                <w:highlight w:val="none"/>
              </w:rPr>
              <w:t>不存在禁止投标的情形</w:t>
            </w:r>
          </w:p>
        </w:tc>
        <w:tc>
          <w:tcPr>
            <w:tcW w:w="5956" w:type="dxa"/>
            <w:tcBorders>
              <w:top w:val="single" w:color="auto" w:sz="4" w:space="0"/>
              <w:left w:val="single" w:color="auto" w:sz="4" w:space="0"/>
              <w:bottom w:val="single" w:color="auto" w:sz="4" w:space="0"/>
              <w:right w:val="single" w:color="auto" w:sz="4" w:space="0"/>
            </w:tcBorders>
            <w:vAlign w:val="center"/>
          </w:tcPr>
          <w:p w14:paraId="668F303E">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不存在第二章“投标人须知”第1.4.3项规定的任何一种情形（以投标人声明为评审依据）</w:t>
            </w:r>
          </w:p>
        </w:tc>
      </w:tr>
      <w:tr w14:paraId="1A79D5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restart"/>
            <w:tcBorders>
              <w:top w:val="single" w:color="auto" w:sz="4" w:space="0"/>
              <w:right w:val="single" w:color="auto" w:sz="4" w:space="0"/>
            </w:tcBorders>
            <w:vAlign w:val="center"/>
          </w:tcPr>
          <w:p w14:paraId="3AAD4F64">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2.1.3</w:t>
            </w:r>
          </w:p>
        </w:tc>
        <w:tc>
          <w:tcPr>
            <w:tcW w:w="1271" w:type="dxa"/>
            <w:gridSpan w:val="2"/>
            <w:vMerge w:val="restart"/>
            <w:tcBorders>
              <w:top w:val="single" w:color="auto" w:sz="4" w:space="0"/>
              <w:left w:val="single" w:color="auto" w:sz="4" w:space="0"/>
              <w:right w:val="single" w:color="auto" w:sz="4" w:space="0"/>
            </w:tcBorders>
            <w:vAlign w:val="center"/>
          </w:tcPr>
          <w:p w14:paraId="4621E117">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响应性评审标准</w:t>
            </w:r>
          </w:p>
        </w:tc>
        <w:tc>
          <w:tcPr>
            <w:tcW w:w="1701" w:type="dxa"/>
            <w:tcBorders>
              <w:top w:val="single" w:color="auto" w:sz="4" w:space="0"/>
              <w:left w:val="single" w:color="auto" w:sz="4" w:space="0"/>
              <w:right w:val="single" w:color="auto" w:sz="4" w:space="0"/>
            </w:tcBorders>
            <w:vAlign w:val="center"/>
          </w:tcPr>
          <w:p w14:paraId="0475C17E">
            <w:pPr>
              <w:adjustRightInd w:val="0"/>
              <w:snapToGrid w:val="0"/>
              <w:spacing w:line="400" w:lineRule="exact"/>
              <w:jc w:val="center"/>
              <w:rPr>
                <w:rFonts w:hint="eastAsia" w:ascii="宋体" w:hAnsi="宋体" w:cs="宋体"/>
                <w:strike/>
                <w:color w:val="auto"/>
                <w:szCs w:val="21"/>
                <w:highlight w:val="none"/>
              </w:rPr>
            </w:pPr>
            <w:r>
              <w:rPr>
                <w:rFonts w:hint="eastAsia" w:ascii="宋体" w:hAnsi="宋体" w:cs="宋体"/>
                <w:color w:val="auto"/>
                <w:szCs w:val="21"/>
                <w:highlight w:val="none"/>
              </w:rPr>
              <w:t>投标报价</w:t>
            </w:r>
          </w:p>
        </w:tc>
        <w:tc>
          <w:tcPr>
            <w:tcW w:w="5956" w:type="dxa"/>
            <w:tcBorders>
              <w:top w:val="single" w:color="auto" w:sz="4" w:space="0"/>
              <w:left w:val="single" w:color="auto" w:sz="4" w:space="0"/>
            </w:tcBorders>
            <w:vAlign w:val="center"/>
          </w:tcPr>
          <w:p w14:paraId="7245D6ED">
            <w:pPr>
              <w:adjustRightInd w:val="0"/>
              <w:snapToGrid w:val="0"/>
              <w:spacing w:line="400" w:lineRule="exact"/>
              <w:rPr>
                <w:rFonts w:hint="eastAsia" w:ascii="宋体" w:hAnsi="宋体" w:cs="宋体"/>
                <w:strike/>
                <w:color w:val="auto"/>
                <w:szCs w:val="21"/>
                <w:highlight w:val="none"/>
              </w:rPr>
            </w:pPr>
            <w:r>
              <w:rPr>
                <w:rFonts w:ascii="宋体" w:hAnsi="宋体" w:cs="Calibri"/>
                <w:color w:val="auto"/>
                <w:szCs w:val="21"/>
                <w:highlight w:val="none"/>
              </w:rPr>
              <w:t>符合第二章“投标人须知”第3.2款规定</w:t>
            </w:r>
            <w:r>
              <w:rPr>
                <w:rFonts w:hint="eastAsia" w:ascii="宋体" w:hAnsi="宋体" w:cs="Calibri"/>
                <w:color w:val="auto"/>
                <w:szCs w:val="21"/>
                <w:highlight w:val="none"/>
              </w:rPr>
              <w:t>进行投标报价的；对同一招标项目没有出现两个或以上的投标报价，且修正无依据</w:t>
            </w:r>
            <w:r>
              <w:rPr>
                <w:rFonts w:hint="eastAsia" w:ascii="宋体" w:hAnsi="宋体" w:cs="宋体"/>
                <w:color w:val="auto"/>
                <w:szCs w:val="21"/>
                <w:highlight w:val="none"/>
              </w:rPr>
              <w:t>；</w:t>
            </w:r>
          </w:p>
        </w:tc>
      </w:tr>
      <w:tr w14:paraId="4444C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67E78EE9">
            <w:pPr>
              <w:adjustRightInd w:val="0"/>
              <w:snapToGrid w:val="0"/>
              <w:spacing w:line="400" w:lineRule="exact"/>
              <w:jc w:val="center"/>
              <w:rPr>
                <w:rFonts w:hint="eastAsia" w:ascii="宋体" w:hAnsi="宋体" w:cs="宋体"/>
                <w:color w:val="auto"/>
                <w:szCs w:val="21"/>
                <w:highlight w:val="none"/>
              </w:rPr>
            </w:pPr>
          </w:p>
        </w:tc>
        <w:tc>
          <w:tcPr>
            <w:tcW w:w="1271" w:type="dxa"/>
            <w:gridSpan w:val="2"/>
            <w:vMerge w:val="continue"/>
            <w:tcBorders>
              <w:left w:val="single" w:color="auto" w:sz="4" w:space="0"/>
              <w:right w:val="single" w:color="auto" w:sz="4" w:space="0"/>
            </w:tcBorders>
            <w:vAlign w:val="center"/>
          </w:tcPr>
          <w:p w14:paraId="4996FC4F">
            <w:pPr>
              <w:adjustRightInd w:val="0"/>
              <w:snapToGrid w:val="0"/>
              <w:spacing w:line="400" w:lineRule="exact"/>
              <w:jc w:val="center"/>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E52C2C9">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投标内容</w:t>
            </w:r>
          </w:p>
        </w:tc>
        <w:tc>
          <w:tcPr>
            <w:tcW w:w="5956" w:type="dxa"/>
            <w:tcBorders>
              <w:top w:val="single" w:color="auto" w:sz="4" w:space="0"/>
              <w:left w:val="single" w:color="auto" w:sz="4" w:space="0"/>
              <w:bottom w:val="single" w:color="auto" w:sz="4" w:space="0"/>
            </w:tcBorders>
            <w:vAlign w:val="center"/>
          </w:tcPr>
          <w:p w14:paraId="345FEAEC">
            <w:pPr>
              <w:adjustRightInd w:val="0"/>
              <w:snapToGrid w:val="0"/>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符合第二章“投标人须知”第1.3.1 项规定</w:t>
            </w:r>
          </w:p>
        </w:tc>
      </w:tr>
      <w:tr w14:paraId="313A11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78902371">
            <w:pPr>
              <w:adjustRightInd w:val="0"/>
              <w:snapToGrid w:val="0"/>
              <w:spacing w:line="400" w:lineRule="exact"/>
              <w:jc w:val="center"/>
              <w:rPr>
                <w:rFonts w:hint="eastAsia" w:ascii="宋体" w:hAnsi="宋体" w:cs="宋体"/>
                <w:color w:val="auto"/>
                <w:szCs w:val="21"/>
                <w:highlight w:val="none"/>
              </w:rPr>
            </w:pPr>
          </w:p>
        </w:tc>
        <w:tc>
          <w:tcPr>
            <w:tcW w:w="1271" w:type="dxa"/>
            <w:gridSpan w:val="2"/>
            <w:vMerge w:val="continue"/>
            <w:tcBorders>
              <w:left w:val="single" w:color="auto" w:sz="4" w:space="0"/>
              <w:right w:val="single" w:color="auto" w:sz="4" w:space="0"/>
            </w:tcBorders>
            <w:vAlign w:val="center"/>
          </w:tcPr>
          <w:p w14:paraId="10DB8246">
            <w:pPr>
              <w:adjustRightInd w:val="0"/>
              <w:snapToGrid w:val="0"/>
              <w:spacing w:line="400" w:lineRule="exact"/>
              <w:jc w:val="center"/>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FB12225">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服务期限</w:t>
            </w:r>
          </w:p>
        </w:tc>
        <w:tc>
          <w:tcPr>
            <w:tcW w:w="5956" w:type="dxa"/>
            <w:tcBorders>
              <w:top w:val="single" w:color="auto" w:sz="4" w:space="0"/>
              <w:left w:val="single" w:color="auto" w:sz="4" w:space="0"/>
              <w:bottom w:val="single" w:color="auto" w:sz="4" w:space="0"/>
            </w:tcBorders>
            <w:vAlign w:val="center"/>
          </w:tcPr>
          <w:p w14:paraId="1667E543">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符合第二章“投标人须知”第1.3.2 项规定</w:t>
            </w:r>
          </w:p>
        </w:tc>
      </w:tr>
      <w:tr w14:paraId="03A830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705B026C">
            <w:pPr>
              <w:adjustRightInd w:val="0"/>
              <w:snapToGrid w:val="0"/>
              <w:spacing w:line="400" w:lineRule="exact"/>
              <w:jc w:val="center"/>
              <w:rPr>
                <w:rFonts w:hint="eastAsia" w:ascii="宋体" w:hAnsi="宋体" w:cs="宋体"/>
                <w:color w:val="auto"/>
                <w:szCs w:val="21"/>
                <w:highlight w:val="none"/>
              </w:rPr>
            </w:pPr>
          </w:p>
        </w:tc>
        <w:tc>
          <w:tcPr>
            <w:tcW w:w="1271" w:type="dxa"/>
            <w:gridSpan w:val="2"/>
            <w:vMerge w:val="continue"/>
            <w:tcBorders>
              <w:left w:val="single" w:color="auto" w:sz="4" w:space="0"/>
              <w:right w:val="single" w:color="auto" w:sz="4" w:space="0"/>
            </w:tcBorders>
            <w:vAlign w:val="center"/>
          </w:tcPr>
          <w:p w14:paraId="5C298AC2">
            <w:pPr>
              <w:adjustRightInd w:val="0"/>
              <w:snapToGrid w:val="0"/>
              <w:spacing w:line="400" w:lineRule="exact"/>
              <w:jc w:val="center"/>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66E1C1E">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质量标准</w:t>
            </w:r>
          </w:p>
        </w:tc>
        <w:tc>
          <w:tcPr>
            <w:tcW w:w="5956" w:type="dxa"/>
            <w:tcBorders>
              <w:top w:val="single" w:color="auto" w:sz="4" w:space="0"/>
              <w:left w:val="single" w:color="auto" w:sz="4" w:space="0"/>
              <w:bottom w:val="single" w:color="auto" w:sz="4" w:space="0"/>
            </w:tcBorders>
            <w:vAlign w:val="center"/>
          </w:tcPr>
          <w:p w14:paraId="66B86C4C">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符合第二章“投标人须知”第1.3.3 项规定</w:t>
            </w:r>
          </w:p>
        </w:tc>
      </w:tr>
      <w:tr w14:paraId="3734E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072324B2">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left w:val="single" w:color="auto" w:sz="4" w:space="0"/>
              <w:right w:val="single" w:color="auto" w:sz="4" w:space="0"/>
            </w:tcBorders>
            <w:vAlign w:val="center"/>
          </w:tcPr>
          <w:p w14:paraId="0852A19B">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26B5AC0">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投标有效期</w:t>
            </w:r>
          </w:p>
        </w:tc>
        <w:tc>
          <w:tcPr>
            <w:tcW w:w="5956" w:type="dxa"/>
            <w:tcBorders>
              <w:top w:val="single" w:color="auto" w:sz="4" w:space="0"/>
              <w:left w:val="single" w:color="auto" w:sz="4" w:space="0"/>
              <w:bottom w:val="single" w:color="auto" w:sz="4" w:space="0"/>
            </w:tcBorders>
            <w:vAlign w:val="center"/>
          </w:tcPr>
          <w:p w14:paraId="19A23522">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 3.3.1 项规定</w:t>
            </w:r>
          </w:p>
        </w:tc>
      </w:tr>
      <w:tr w14:paraId="0F3A31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856" w:type="dxa"/>
            <w:vMerge w:val="continue"/>
            <w:tcBorders>
              <w:right w:val="single" w:color="auto" w:sz="4" w:space="0"/>
            </w:tcBorders>
            <w:vAlign w:val="center"/>
          </w:tcPr>
          <w:p w14:paraId="02217DC5">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left w:val="single" w:color="auto" w:sz="4" w:space="0"/>
              <w:right w:val="single" w:color="auto" w:sz="4" w:space="0"/>
            </w:tcBorders>
            <w:vAlign w:val="center"/>
          </w:tcPr>
          <w:p w14:paraId="295D8B19">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0D088C4">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投标保证金</w:t>
            </w:r>
          </w:p>
        </w:tc>
        <w:tc>
          <w:tcPr>
            <w:tcW w:w="5956" w:type="dxa"/>
            <w:tcBorders>
              <w:top w:val="single" w:color="auto" w:sz="4" w:space="0"/>
              <w:left w:val="single" w:color="auto" w:sz="4" w:space="0"/>
              <w:bottom w:val="single" w:color="auto" w:sz="4" w:space="0"/>
            </w:tcBorders>
          </w:tcPr>
          <w:p w14:paraId="0833F5A1">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符合第二章“投标人须知”第 3.4.1 项规定</w:t>
            </w:r>
          </w:p>
        </w:tc>
      </w:tr>
      <w:tr w14:paraId="7A1BB9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56" w:type="dxa"/>
            <w:vMerge w:val="continue"/>
            <w:tcBorders>
              <w:right w:val="single" w:color="auto" w:sz="4" w:space="0"/>
            </w:tcBorders>
            <w:vAlign w:val="center"/>
          </w:tcPr>
          <w:p w14:paraId="740B7BEA">
            <w:pPr>
              <w:adjustRightInd w:val="0"/>
              <w:snapToGrid w:val="0"/>
              <w:spacing w:line="400" w:lineRule="exact"/>
              <w:rPr>
                <w:rFonts w:hint="eastAsia" w:ascii="宋体" w:hAnsi="宋体" w:cs="宋体"/>
                <w:color w:val="auto"/>
                <w:szCs w:val="21"/>
                <w:highlight w:val="none"/>
              </w:rPr>
            </w:pPr>
          </w:p>
        </w:tc>
        <w:tc>
          <w:tcPr>
            <w:tcW w:w="1271" w:type="dxa"/>
            <w:gridSpan w:val="2"/>
            <w:vMerge w:val="continue"/>
            <w:tcBorders>
              <w:left w:val="single" w:color="auto" w:sz="4" w:space="0"/>
              <w:right w:val="single" w:color="auto" w:sz="4" w:space="0"/>
            </w:tcBorders>
            <w:vAlign w:val="center"/>
          </w:tcPr>
          <w:p w14:paraId="1DC2AF20">
            <w:pPr>
              <w:adjustRightInd w:val="0"/>
              <w:snapToGrid w:val="0"/>
              <w:spacing w:line="400" w:lineRule="exact"/>
              <w:rPr>
                <w:rFonts w:hint="eastAsia" w:ascii="宋体" w:hAnsi="宋体" w:cs="宋体"/>
                <w:color w:val="auto"/>
                <w:szCs w:val="21"/>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45D52EF9">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串通投标情形</w:t>
            </w:r>
          </w:p>
        </w:tc>
        <w:tc>
          <w:tcPr>
            <w:tcW w:w="5956" w:type="dxa"/>
            <w:tcBorders>
              <w:top w:val="single" w:color="auto" w:sz="4" w:space="0"/>
              <w:left w:val="single" w:color="auto" w:sz="4" w:space="0"/>
              <w:bottom w:val="single" w:color="auto" w:sz="4" w:space="0"/>
            </w:tcBorders>
          </w:tcPr>
          <w:p w14:paraId="6645008A">
            <w:pPr>
              <w:adjustRightInd w:val="0"/>
              <w:snapToGrid w:val="0"/>
              <w:spacing w:line="400" w:lineRule="exact"/>
              <w:rPr>
                <w:rFonts w:hint="eastAsia" w:ascii="宋体" w:hAnsi="宋体" w:cs="宋体"/>
                <w:color w:val="auto"/>
                <w:szCs w:val="21"/>
                <w:highlight w:val="none"/>
              </w:rPr>
            </w:pPr>
            <w:r>
              <w:rPr>
                <w:rFonts w:ascii="宋体" w:hAnsi="宋体" w:cs="Calibri"/>
                <w:color w:val="auto"/>
                <w:szCs w:val="21"/>
                <w:highlight w:val="none"/>
              </w:rPr>
              <w:t>不存在串通投标情形（串通投标情形以《中华人民共和国招标投标法实施条例》的规定为准）；</w:t>
            </w:r>
          </w:p>
        </w:tc>
      </w:tr>
      <w:tr w14:paraId="24E1F5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2127" w:type="dxa"/>
            <w:gridSpan w:val="3"/>
            <w:tcBorders>
              <w:top w:val="single" w:color="auto" w:sz="4" w:space="0"/>
              <w:bottom w:val="single" w:color="auto" w:sz="4" w:space="0"/>
              <w:right w:val="single" w:color="auto" w:sz="4" w:space="0"/>
            </w:tcBorders>
            <w:vAlign w:val="center"/>
          </w:tcPr>
          <w:p w14:paraId="622B9473">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条款号</w:t>
            </w:r>
          </w:p>
        </w:tc>
        <w:tc>
          <w:tcPr>
            <w:tcW w:w="1701" w:type="dxa"/>
            <w:tcBorders>
              <w:top w:val="single" w:color="auto" w:sz="4" w:space="0"/>
              <w:left w:val="single" w:color="auto" w:sz="4" w:space="0"/>
              <w:bottom w:val="single" w:color="auto" w:sz="4" w:space="0"/>
              <w:right w:val="single" w:color="auto" w:sz="4" w:space="0"/>
            </w:tcBorders>
            <w:vAlign w:val="center"/>
          </w:tcPr>
          <w:p w14:paraId="4FC86D56">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条款内容</w:t>
            </w:r>
          </w:p>
        </w:tc>
        <w:tc>
          <w:tcPr>
            <w:tcW w:w="5956" w:type="dxa"/>
            <w:tcBorders>
              <w:top w:val="single" w:color="auto" w:sz="4" w:space="0"/>
              <w:left w:val="single" w:color="auto" w:sz="4" w:space="0"/>
              <w:bottom w:val="single" w:color="auto" w:sz="4" w:space="0"/>
              <w:right w:val="single" w:color="auto" w:sz="4" w:space="0"/>
            </w:tcBorders>
            <w:vAlign w:val="center"/>
          </w:tcPr>
          <w:p w14:paraId="74CF324C">
            <w:pPr>
              <w:adjustRightInd w:val="0"/>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编列内容</w:t>
            </w:r>
          </w:p>
        </w:tc>
      </w:tr>
      <w:tr w14:paraId="045AFE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10" w:hRule="atLeast"/>
        </w:trPr>
        <w:tc>
          <w:tcPr>
            <w:tcW w:w="2127" w:type="dxa"/>
            <w:gridSpan w:val="3"/>
            <w:tcBorders>
              <w:bottom w:val="single" w:color="auto" w:sz="4" w:space="0"/>
              <w:right w:val="single" w:color="auto" w:sz="4" w:space="0"/>
            </w:tcBorders>
            <w:vAlign w:val="center"/>
          </w:tcPr>
          <w:p w14:paraId="63D5E05D">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2.2.1</w:t>
            </w:r>
          </w:p>
        </w:tc>
        <w:tc>
          <w:tcPr>
            <w:tcW w:w="1701" w:type="dxa"/>
            <w:tcBorders>
              <w:top w:val="single" w:color="auto" w:sz="4" w:space="0"/>
              <w:left w:val="single" w:color="auto" w:sz="4" w:space="0"/>
              <w:bottom w:val="single" w:color="auto" w:sz="4" w:space="0"/>
              <w:right w:val="single" w:color="auto" w:sz="4" w:space="0"/>
            </w:tcBorders>
            <w:vAlign w:val="center"/>
          </w:tcPr>
          <w:p w14:paraId="7490879A">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分值构成</w:t>
            </w:r>
          </w:p>
          <w:p w14:paraId="7BAC34F7">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(总分100分)</w:t>
            </w:r>
          </w:p>
        </w:tc>
        <w:tc>
          <w:tcPr>
            <w:tcW w:w="5956" w:type="dxa"/>
            <w:tcBorders>
              <w:top w:val="single" w:color="auto" w:sz="4" w:space="0"/>
              <w:left w:val="single" w:color="auto" w:sz="4" w:space="0"/>
              <w:bottom w:val="single" w:color="auto" w:sz="4" w:space="0"/>
              <w:right w:val="single" w:color="auto" w:sz="4" w:space="0"/>
            </w:tcBorders>
            <w:vAlign w:val="center"/>
          </w:tcPr>
          <w:p w14:paraId="07260A94">
            <w:pPr>
              <w:adjustRightInd w:val="0"/>
              <w:snapToGrid w:val="0"/>
              <w:spacing w:line="400" w:lineRule="exact"/>
              <w:rPr>
                <w:rFonts w:hint="eastAsia" w:ascii="宋体" w:hAnsi="宋体" w:cs="宋体"/>
                <w:color w:val="auto"/>
                <w:kern w:val="0"/>
                <w:szCs w:val="21"/>
                <w:highlight w:val="none"/>
                <w:u w:val="single"/>
              </w:rPr>
            </w:pPr>
            <w:r>
              <w:rPr>
                <w:rFonts w:hint="eastAsia" w:ascii="宋体" w:hAnsi="宋体"/>
                <w:color w:val="auto"/>
                <w:szCs w:val="21"/>
                <w:highlight w:val="none"/>
              </w:rPr>
              <w:t>资信</w:t>
            </w:r>
            <w:r>
              <w:rPr>
                <w:rFonts w:ascii="宋体" w:hAnsi="宋体"/>
                <w:color w:val="auto"/>
                <w:szCs w:val="21"/>
                <w:highlight w:val="none"/>
              </w:rPr>
              <w:t>业绩</w:t>
            </w:r>
            <w:r>
              <w:rPr>
                <w:rFonts w:hint="eastAsia" w:ascii="宋体" w:hAnsi="宋体" w:cs="宋体"/>
                <w:color w:val="auto"/>
                <w:szCs w:val="21"/>
                <w:highlight w:val="none"/>
              </w:rPr>
              <w:t>：</w:t>
            </w:r>
            <w:r>
              <w:rPr>
                <w:rFonts w:hint="eastAsia" w:ascii="宋体" w:hAnsi="宋体" w:cs="宋体"/>
                <w:color w:val="auto"/>
                <w:kern w:val="0"/>
                <w:szCs w:val="21"/>
                <w:highlight w:val="none"/>
                <w:u w:val="single"/>
              </w:rPr>
              <w:t>7</w:t>
            </w:r>
            <w:r>
              <w:rPr>
                <w:rFonts w:ascii="宋体" w:hAnsi="宋体" w:cs="宋体"/>
                <w:color w:val="auto"/>
                <w:kern w:val="0"/>
                <w:szCs w:val="21"/>
                <w:highlight w:val="none"/>
                <w:u w:val="single"/>
              </w:rPr>
              <w:t>0</w:t>
            </w:r>
            <w:r>
              <w:rPr>
                <w:rFonts w:hint="eastAsia" w:ascii="宋体" w:hAnsi="宋体" w:cs="宋体"/>
                <w:color w:val="auto"/>
                <w:kern w:val="0"/>
                <w:szCs w:val="21"/>
                <w:highlight w:val="none"/>
                <w:u w:val="single"/>
              </w:rPr>
              <w:t>分；</w:t>
            </w:r>
          </w:p>
          <w:p w14:paraId="446D3000">
            <w:pPr>
              <w:adjustRightInd w:val="0"/>
              <w:snapToGrid w:val="0"/>
              <w:spacing w:line="400" w:lineRule="exact"/>
              <w:rPr>
                <w:rFonts w:hint="eastAsia" w:ascii="宋体" w:hAnsi="宋体" w:cs="宋体"/>
                <w:color w:val="auto"/>
                <w:szCs w:val="21"/>
                <w:highlight w:val="none"/>
              </w:rPr>
            </w:pPr>
            <w:r>
              <w:rPr>
                <w:rFonts w:hint="eastAsia" w:ascii="宋体" w:hAnsi="宋体"/>
                <w:color w:val="auto"/>
                <w:szCs w:val="21"/>
                <w:highlight w:val="none"/>
              </w:rPr>
              <w:t>服务方案</w:t>
            </w:r>
            <w:r>
              <w:rPr>
                <w:rFonts w:hint="eastAsia" w:ascii="宋体" w:hAnsi="宋体" w:cs="宋体"/>
                <w:color w:val="auto"/>
                <w:szCs w:val="21"/>
                <w:highlight w:val="none"/>
              </w:rPr>
              <w:t>：</w:t>
            </w:r>
            <w:r>
              <w:rPr>
                <w:rFonts w:ascii="宋体" w:hAnsi="宋体" w:cs="宋体"/>
                <w:color w:val="auto"/>
                <w:kern w:val="0"/>
                <w:szCs w:val="21"/>
                <w:highlight w:val="none"/>
                <w:u w:val="single"/>
              </w:rPr>
              <w:t>20</w:t>
            </w:r>
            <w:r>
              <w:rPr>
                <w:rFonts w:hint="eastAsia" w:ascii="宋体" w:hAnsi="宋体" w:cs="宋体"/>
                <w:color w:val="auto"/>
                <w:kern w:val="0"/>
                <w:szCs w:val="21"/>
                <w:highlight w:val="none"/>
                <w:u w:val="single"/>
              </w:rPr>
              <w:t>分；</w:t>
            </w:r>
          </w:p>
          <w:p w14:paraId="3CF4843E">
            <w:pPr>
              <w:adjustRightInd w:val="0"/>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报价得分：</w:t>
            </w:r>
            <w:r>
              <w:rPr>
                <w:rFonts w:hint="eastAsia" w:ascii="宋体" w:hAnsi="宋体" w:cs="宋体"/>
                <w:color w:val="auto"/>
                <w:szCs w:val="21"/>
                <w:highlight w:val="none"/>
                <w:u w:val="single"/>
              </w:rPr>
              <w:t>10分；</w:t>
            </w:r>
          </w:p>
          <w:p w14:paraId="35E2D6E1">
            <w:pPr>
              <w:adjustRightInd w:val="0"/>
              <w:snapToGrid w:val="0"/>
              <w:spacing w:line="400" w:lineRule="exact"/>
              <w:rPr>
                <w:rFonts w:hint="eastAsia" w:ascii="宋体" w:hAnsi="宋体" w:cs="宋体"/>
                <w:b/>
                <w:color w:val="auto"/>
                <w:szCs w:val="21"/>
                <w:highlight w:val="none"/>
              </w:rPr>
            </w:pPr>
            <w:r>
              <w:rPr>
                <w:rFonts w:hint="eastAsia" w:ascii="宋体" w:hAnsi="宋体" w:cs="宋体"/>
                <w:color w:val="auto"/>
                <w:szCs w:val="21"/>
                <w:highlight w:val="none"/>
              </w:rPr>
              <w:t>投标人综合评分=</w:t>
            </w:r>
            <w:r>
              <w:rPr>
                <w:rFonts w:hint="eastAsia" w:ascii="宋体" w:hAnsi="宋体"/>
                <w:color w:val="auto"/>
                <w:szCs w:val="21"/>
                <w:highlight w:val="none"/>
              </w:rPr>
              <w:t>资信</w:t>
            </w:r>
            <w:r>
              <w:rPr>
                <w:rFonts w:ascii="宋体" w:hAnsi="宋体"/>
                <w:color w:val="auto"/>
                <w:szCs w:val="21"/>
                <w:highlight w:val="none"/>
              </w:rPr>
              <w:t>业绩</w:t>
            </w:r>
            <w:r>
              <w:rPr>
                <w:rFonts w:hint="eastAsia" w:ascii="宋体" w:hAnsi="宋体" w:cs="宋体"/>
                <w:color w:val="auto"/>
                <w:szCs w:val="21"/>
                <w:highlight w:val="none"/>
              </w:rPr>
              <w:t>得分+服务方案得分+报价得分</w:t>
            </w:r>
          </w:p>
        </w:tc>
      </w:tr>
      <w:tr w14:paraId="6DE848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127" w:type="dxa"/>
            <w:gridSpan w:val="3"/>
            <w:tcBorders>
              <w:top w:val="single" w:color="auto" w:sz="4" w:space="0"/>
              <w:bottom w:val="single" w:color="auto" w:sz="4" w:space="0"/>
              <w:right w:val="single" w:color="auto" w:sz="4" w:space="0"/>
            </w:tcBorders>
            <w:vAlign w:val="center"/>
          </w:tcPr>
          <w:p w14:paraId="54C62FFC">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2.2.2</w:t>
            </w:r>
          </w:p>
        </w:tc>
        <w:tc>
          <w:tcPr>
            <w:tcW w:w="1701" w:type="dxa"/>
            <w:tcBorders>
              <w:top w:val="single" w:color="auto" w:sz="4" w:space="0"/>
              <w:left w:val="single" w:color="auto" w:sz="4" w:space="0"/>
              <w:bottom w:val="single" w:color="auto" w:sz="4" w:space="0"/>
              <w:right w:val="single" w:color="auto" w:sz="4" w:space="0"/>
            </w:tcBorders>
            <w:vAlign w:val="center"/>
          </w:tcPr>
          <w:p w14:paraId="1BD29898">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评标基准价</w:t>
            </w:r>
          </w:p>
          <w:p w14:paraId="51FCC90D">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计算方法</w:t>
            </w:r>
          </w:p>
        </w:tc>
        <w:tc>
          <w:tcPr>
            <w:tcW w:w="5956" w:type="dxa"/>
            <w:tcBorders>
              <w:top w:val="single" w:color="auto" w:sz="4" w:space="0"/>
              <w:left w:val="single" w:color="auto" w:sz="4" w:space="0"/>
              <w:bottom w:val="single" w:color="auto" w:sz="4" w:space="0"/>
              <w:right w:val="single" w:color="auto" w:sz="4" w:space="0"/>
            </w:tcBorders>
            <w:vAlign w:val="center"/>
          </w:tcPr>
          <w:p w14:paraId="53DD170C">
            <w:pPr>
              <w:adjustRightInd w:val="0"/>
              <w:snapToGrid w:val="0"/>
              <w:spacing w:line="400" w:lineRule="exact"/>
              <w:jc w:val="left"/>
              <w:rPr>
                <w:rFonts w:ascii="宋体" w:hAnsi="宋体" w:cs="宋体"/>
                <w:b/>
                <w:bCs/>
                <w:szCs w:val="21"/>
                <w:u w:val="single"/>
              </w:rPr>
            </w:pPr>
            <w:r>
              <w:rPr>
                <w:rFonts w:hint="eastAsia" w:ascii="宋体" w:hAnsi="宋体" w:cs="宋体"/>
                <w:b/>
                <w:bCs/>
                <w:szCs w:val="21"/>
                <w:u w:val="single"/>
              </w:rPr>
              <w:t>评标基准价计算方法如下：</w:t>
            </w:r>
          </w:p>
          <w:p w14:paraId="13C3D3C7">
            <w:pPr>
              <w:adjustRightInd w:val="0"/>
              <w:snapToGrid w:val="0"/>
              <w:spacing w:line="400" w:lineRule="exact"/>
              <w:jc w:val="left"/>
              <w:rPr>
                <w:rFonts w:hint="eastAsia" w:ascii="宋体" w:hAnsi="宋体" w:cs="宋体"/>
                <w:color w:val="auto"/>
                <w:szCs w:val="21"/>
                <w:highlight w:val="none"/>
              </w:rPr>
            </w:pPr>
            <w:r>
              <w:rPr>
                <w:rFonts w:hint="eastAsia" w:ascii="宋体" w:hAnsi="宋体"/>
                <w:szCs w:val="21"/>
              </w:rPr>
              <w:t>当通过初步评审在位于</w:t>
            </w:r>
            <w:r>
              <w:rPr>
                <w:rFonts w:ascii="宋体" w:hAnsi="宋体"/>
                <w:szCs w:val="21"/>
              </w:rPr>
              <w:t>[</w:t>
            </w:r>
            <w:r>
              <w:rPr>
                <w:rFonts w:hint="eastAsia" w:ascii="宋体" w:hAnsi="宋体"/>
                <w:szCs w:val="21"/>
              </w:rPr>
              <w:t>最高投标限价×9</w:t>
            </w:r>
            <w:r>
              <w:rPr>
                <w:rFonts w:ascii="宋体" w:hAnsi="宋体"/>
                <w:szCs w:val="21"/>
              </w:rPr>
              <w:t>0%</w:t>
            </w:r>
            <w:r>
              <w:rPr>
                <w:rFonts w:hint="eastAsia" w:ascii="宋体" w:hAnsi="宋体"/>
                <w:szCs w:val="21"/>
              </w:rPr>
              <w:t>，最高投标限价</w:t>
            </w:r>
            <w:r>
              <w:rPr>
                <w:rFonts w:ascii="宋体" w:hAnsi="宋体"/>
                <w:szCs w:val="21"/>
              </w:rPr>
              <w:t>]</w:t>
            </w:r>
            <w:r>
              <w:rPr>
                <w:rFonts w:hint="eastAsia" w:ascii="宋体" w:hAnsi="宋体"/>
                <w:szCs w:val="21"/>
              </w:rPr>
              <w:t>区间的投标价中的有效投标人大于或等于</w:t>
            </w:r>
            <w:r>
              <w:rPr>
                <w:rFonts w:ascii="宋体" w:hAnsi="宋体"/>
                <w:szCs w:val="21"/>
              </w:rPr>
              <w:t>5</w:t>
            </w:r>
            <w:r>
              <w:rPr>
                <w:rFonts w:hint="eastAsia" w:ascii="宋体" w:hAnsi="宋体"/>
                <w:szCs w:val="21"/>
              </w:rPr>
              <w:t>名时，所有入围的有效投标价中去掉一个最高价和一个最低价，取余下有效投标价的算术平均值的作为评标基准价。当通过初步评审在位于</w:t>
            </w:r>
            <w:r>
              <w:rPr>
                <w:rFonts w:ascii="宋体" w:hAnsi="宋体"/>
                <w:szCs w:val="21"/>
              </w:rPr>
              <w:t>[</w:t>
            </w:r>
            <w:r>
              <w:rPr>
                <w:rFonts w:hint="eastAsia" w:ascii="宋体" w:hAnsi="宋体"/>
                <w:szCs w:val="21"/>
              </w:rPr>
              <w:t>最高投标限价×9</w:t>
            </w:r>
            <w:r>
              <w:rPr>
                <w:rFonts w:ascii="宋体" w:hAnsi="宋体"/>
                <w:szCs w:val="21"/>
              </w:rPr>
              <w:t>0%</w:t>
            </w:r>
            <w:r>
              <w:rPr>
                <w:rFonts w:hint="eastAsia" w:ascii="宋体" w:hAnsi="宋体"/>
                <w:szCs w:val="21"/>
              </w:rPr>
              <w:t>，最高投标限价</w:t>
            </w:r>
            <w:r>
              <w:rPr>
                <w:rFonts w:ascii="宋体" w:hAnsi="宋体"/>
                <w:szCs w:val="21"/>
              </w:rPr>
              <w:t>]</w:t>
            </w:r>
            <w:r>
              <w:rPr>
                <w:rFonts w:hint="eastAsia" w:ascii="宋体" w:hAnsi="宋体"/>
                <w:szCs w:val="21"/>
              </w:rPr>
              <w:t>区间的投标价中的有效投标人小于</w:t>
            </w:r>
            <w:r>
              <w:rPr>
                <w:rFonts w:ascii="宋体" w:hAnsi="宋体"/>
                <w:szCs w:val="21"/>
              </w:rPr>
              <w:t>5</w:t>
            </w:r>
            <w:r>
              <w:rPr>
                <w:rFonts w:hint="eastAsia" w:ascii="宋体" w:hAnsi="宋体"/>
                <w:szCs w:val="21"/>
              </w:rPr>
              <w:t>名时，取所有入围的有效投标价的算术平均值的作为评标基准价。若当通过初步评审没有投标价位于</w:t>
            </w:r>
            <w:r>
              <w:rPr>
                <w:rFonts w:ascii="宋体" w:hAnsi="宋体"/>
                <w:szCs w:val="21"/>
              </w:rPr>
              <w:t>[</w:t>
            </w:r>
            <w:r>
              <w:rPr>
                <w:rFonts w:hint="eastAsia" w:ascii="宋体" w:hAnsi="宋体"/>
                <w:szCs w:val="21"/>
              </w:rPr>
              <w:t>最高投标限价×9</w:t>
            </w:r>
            <w:r>
              <w:rPr>
                <w:rFonts w:ascii="宋体" w:hAnsi="宋体"/>
                <w:szCs w:val="21"/>
              </w:rPr>
              <w:t>0%</w:t>
            </w:r>
            <w:r>
              <w:rPr>
                <w:rFonts w:hint="eastAsia" w:ascii="宋体" w:hAnsi="宋体"/>
                <w:szCs w:val="21"/>
              </w:rPr>
              <w:t>，最高投标限价</w:t>
            </w:r>
            <w:r>
              <w:rPr>
                <w:rFonts w:ascii="宋体" w:hAnsi="宋体"/>
                <w:szCs w:val="21"/>
              </w:rPr>
              <w:t>]</w:t>
            </w:r>
            <w:r>
              <w:rPr>
                <w:rFonts w:hint="eastAsia" w:ascii="宋体" w:hAnsi="宋体"/>
                <w:szCs w:val="21"/>
              </w:rPr>
              <w:t>区间的有效投标人，所有投标人的报价得分为</w:t>
            </w:r>
            <w:r>
              <w:rPr>
                <w:rFonts w:ascii="宋体" w:hAnsi="宋体"/>
                <w:szCs w:val="21"/>
              </w:rPr>
              <w:t>0</w:t>
            </w:r>
            <w:r>
              <w:rPr>
                <w:rFonts w:hint="eastAsia" w:ascii="宋体" w:hAnsi="宋体"/>
                <w:szCs w:val="21"/>
              </w:rPr>
              <w:t>分。</w:t>
            </w:r>
          </w:p>
        </w:tc>
      </w:tr>
      <w:tr w14:paraId="7E8113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3" w:hRule="atLeast"/>
        </w:trPr>
        <w:tc>
          <w:tcPr>
            <w:tcW w:w="2127" w:type="dxa"/>
            <w:gridSpan w:val="3"/>
            <w:tcBorders>
              <w:top w:val="single" w:color="auto" w:sz="4" w:space="0"/>
              <w:bottom w:val="single" w:color="auto" w:sz="4" w:space="0"/>
              <w:right w:val="single" w:color="auto" w:sz="4" w:space="0"/>
            </w:tcBorders>
            <w:vAlign w:val="center"/>
          </w:tcPr>
          <w:p w14:paraId="095DF13D">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2.2.3</w:t>
            </w:r>
          </w:p>
        </w:tc>
        <w:tc>
          <w:tcPr>
            <w:tcW w:w="1701" w:type="dxa"/>
            <w:tcBorders>
              <w:top w:val="single" w:color="auto" w:sz="4" w:space="0"/>
              <w:left w:val="single" w:color="auto" w:sz="4" w:space="0"/>
              <w:bottom w:val="single" w:color="auto" w:sz="4" w:space="0"/>
              <w:right w:val="single" w:color="auto" w:sz="4" w:space="0"/>
            </w:tcBorders>
            <w:vAlign w:val="center"/>
          </w:tcPr>
          <w:p w14:paraId="642114AE">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投标报价的</w:t>
            </w:r>
          </w:p>
          <w:p w14:paraId="16066676">
            <w:pPr>
              <w:adjustRightInd w:val="0"/>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偏差率计算公式</w:t>
            </w:r>
          </w:p>
        </w:tc>
        <w:tc>
          <w:tcPr>
            <w:tcW w:w="5956" w:type="dxa"/>
            <w:tcBorders>
              <w:top w:val="single" w:color="auto" w:sz="4" w:space="0"/>
              <w:left w:val="single" w:color="auto" w:sz="4" w:space="0"/>
              <w:bottom w:val="single" w:color="auto" w:sz="4" w:space="0"/>
              <w:right w:val="single" w:color="auto" w:sz="4" w:space="0"/>
            </w:tcBorders>
            <w:vAlign w:val="center"/>
          </w:tcPr>
          <w:p w14:paraId="35EEA07F">
            <w:pPr>
              <w:adjustRightInd w:val="0"/>
              <w:snapToGrid w:val="0"/>
              <w:spacing w:line="400" w:lineRule="exact"/>
              <w:jc w:val="left"/>
              <w:rPr>
                <w:rFonts w:hint="eastAsia" w:ascii="宋体" w:hAnsi="宋体" w:cs="宋体"/>
                <w:color w:val="auto"/>
                <w:szCs w:val="21"/>
                <w:highlight w:val="none"/>
              </w:rPr>
            </w:pPr>
            <w:r>
              <w:rPr>
                <w:rFonts w:hint="eastAsia" w:ascii="宋体" w:hAnsi="宋体"/>
                <w:szCs w:val="21"/>
              </w:rPr>
              <w:t>偏差率＝∣投标报价—评标基准价∣/评标基准价×100% ，（偏差率四舍五入保留2位小数，报价偏差率不足1%的，按直线内插法计算投标报价得分）</w:t>
            </w:r>
          </w:p>
        </w:tc>
      </w:tr>
      <w:tr w14:paraId="378D29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shd w:val="clear" w:color="auto" w:fill="FFFFFF"/>
          <w:tblCellMar>
            <w:top w:w="0" w:type="dxa"/>
            <w:left w:w="0" w:type="dxa"/>
            <w:bottom w:w="0" w:type="dxa"/>
            <w:right w:w="0" w:type="dxa"/>
          </w:tblCellMar>
        </w:tblPrEx>
        <w:trPr>
          <w:trHeight w:val="454" w:hRule="atLeast"/>
        </w:trPr>
        <w:tc>
          <w:tcPr>
            <w:tcW w:w="2127" w:type="dxa"/>
            <w:gridSpan w:val="3"/>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7AB5E0D">
            <w:pPr>
              <w:widowControl/>
              <w:adjustRightInd w:val="0"/>
              <w:snapToGrid w:val="0"/>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条款号</w:t>
            </w:r>
          </w:p>
        </w:tc>
        <w:tc>
          <w:tcPr>
            <w:tcW w:w="1701"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A05487">
            <w:pPr>
              <w:widowControl/>
              <w:adjustRightInd w:val="0"/>
              <w:snapToGrid w:val="0"/>
              <w:spacing w:line="400" w:lineRule="exact"/>
              <w:jc w:val="center"/>
              <w:rPr>
                <w:rFonts w:hint="eastAsia" w:ascii="宋体" w:hAnsi="宋体" w:cs="宋体"/>
                <w:b/>
                <w:bCs/>
                <w:color w:val="auto"/>
                <w:szCs w:val="21"/>
                <w:highlight w:val="none"/>
              </w:rPr>
            </w:pPr>
            <w:r>
              <w:rPr>
                <w:rFonts w:hint="eastAsia" w:ascii="宋体" w:hAnsi="宋体" w:cs="宋体"/>
                <w:b/>
                <w:bCs/>
                <w:color w:val="auto"/>
                <w:szCs w:val="21"/>
                <w:highlight w:val="none"/>
              </w:rPr>
              <w:t>评分因素</w:t>
            </w:r>
          </w:p>
          <w:p w14:paraId="7FA446A6">
            <w:pPr>
              <w:widowControl/>
              <w:adjustRightInd w:val="0"/>
              <w:snapToGrid w:val="0"/>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（偏差率）</w:t>
            </w:r>
          </w:p>
        </w:tc>
        <w:tc>
          <w:tcPr>
            <w:tcW w:w="5956"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60879770">
            <w:pPr>
              <w:widowControl/>
              <w:adjustRightInd w:val="0"/>
              <w:snapToGrid w:val="0"/>
              <w:spacing w:line="400" w:lineRule="exact"/>
              <w:jc w:val="center"/>
              <w:rPr>
                <w:rFonts w:hint="eastAsia" w:ascii="宋体" w:hAnsi="宋体" w:cs="宋体"/>
                <w:color w:val="auto"/>
                <w:szCs w:val="21"/>
                <w:highlight w:val="none"/>
              </w:rPr>
            </w:pPr>
            <w:r>
              <w:rPr>
                <w:rFonts w:hint="eastAsia" w:ascii="宋体" w:hAnsi="宋体" w:cs="宋体"/>
                <w:b/>
                <w:bCs/>
                <w:color w:val="auto"/>
                <w:szCs w:val="21"/>
                <w:highlight w:val="none"/>
              </w:rPr>
              <w:t>评分标准</w:t>
            </w:r>
          </w:p>
        </w:tc>
      </w:tr>
      <w:tr w14:paraId="0A54B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958" w:type="dxa"/>
            <w:gridSpan w:val="2"/>
            <w:vMerge w:val="restart"/>
            <w:vAlign w:val="center"/>
          </w:tcPr>
          <w:p w14:paraId="694EE32C">
            <w:pPr>
              <w:spacing w:line="360" w:lineRule="auto"/>
              <w:rPr>
                <w:rFonts w:hint="eastAsia" w:ascii="宋体" w:hAnsi="宋体" w:cs="Calibri"/>
                <w:color w:val="auto"/>
                <w:szCs w:val="21"/>
                <w:highlight w:val="none"/>
              </w:rPr>
            </w:pPr>
            <w:r>
              <w:rPr>
                <w:rFonts w:hint="eastAsia" w:ascii="宋体" w:hAnsi="宋体" w:cs="Calibri"/>
                <w:color w:val="auto"/>
                <w:szCs w:val="21"/>
                <w:highlight w:val="none"/>
              </w:rPr>
              <w:t>2.2.4（1）</w:t>
            </w:r>
          </w:p>
        </w:tc>
        <w:tc>
          <w:tcPr>
            <w:tcW w:w="1169" w:type="dxa"/>
            <w:vMerge w:val="restart"/>
            <w:vAlign w:val="center"/>
          </w:tcPr>
          <w:p w14:paraId="302913BD">
            <w:pPr>
              <w:spacing w:line="360" w:lineRule="auto"/>
              <w:rPr>
                <w:rFonts w:hint="eastAsia" w:ascii="宋体" w:hAnsi="宋体" w:cs="Calibri"/>
                <w:color w:val="auto"/>
                <w:szCs w:val="21"/>
                <w:highlight w:val="none"/>
              </w:rPr>
            </w:pPr>
            <w:r>
              <w:rPr>
                <w:rFonts w:hint="eastAsia" w:ascii="宋体" w:hAnsi="宋体"/>
                <w:color w:val="auto"/>
                <w:szCs w:val="21"/>
                <w:highlight w:val="none"/>
              </w:rPr>
              <w:t>资信</w:t>
            </w:r>
            <w:r>
              <w:rPr>
                <w:rFonts w:ascii="宋体" w:hAnsi="宋体"/>
                <w:color w:val="auto"/>
                <w:szCs w:val="21"/>
                <w:highlight w:val="none"/>
              </w:rPr>
              <w:t>业绩评分标准</w:t>
            </w:r>
            <w:r>
              <w:rPr>
                <w:rFonts w:hint="eastAsia" w:ascii="宋体" w:hAnsi="宋体" w:cs="宋体"/>
                <w:color w:val="auto"/>
                <w:szCs w:val="21"/>
                <w:highlight w:val="none"/>
              </w:rPr>
              <w:t>【7</w:t>
            </w:r>
            <w:r>
              <w:rPr>
                <w:rFonts w:ascii="宋体" w:hAnsi="宋体" w:cs="宋体"/>
                <w:color w:val="auto"/>
                <w:szCs w:val="21"/>
                <w:highlight w:val="none"/>
              </w:rPr>
              <w:t>0</w:t>
            </w:r>
            <w:r>
              <w:rPr>
                <w:rFonts w:hint="eastAsia" w:ascii="宋体" w:hAnsi="宋体" w:cs="宋体"/>
                <w:color w:val="auto"/>
                <w:szCs w:val="21"/>
                <w:highlight w:val="none"/>
              </w:rPr>
              <w:t>分】</w:t>
            </w:r>
          </w:p>
        </w:tc>
        <w:tc>
          <w:tcPr>
            <w:tcW w:w="1701" w:type="dxa"/>
            <w:vMerge w:val="restart"/>
            <w:vAlign w:val="center"/>
          </w:tcPr>
          <w:p w14:paraId="1F64B4E7">
            <w:pPr>
              <w:spacing w:line="360" w:lineRule="auto"/>
              <w:jc w:val="center"/>
              <w:rPr>
                <w:rFonts w:hint="eastAsia" w:ascii="宋体" w:hAnsi="宋体" w:cs="Calibri"/>
                <w:color w:val="auto"/>
                <w:szCs w:val="21"/>
                <w:highlight w:val="none"/>
              </w:rPr>
            </w:pPr>
            <w:r>
              <w:rPr>
                <w:rFonts w:hint="eastAsia" w:ascii="宋体" w:hAnsi="宋体" w:cs="Calibri"/>
                <w:color w:val="auto"/>
                <w:szCs w:val="21"/>
                <w:highlight w:val="none"/>
              </w:rPr>
              <w:t>投标人信誉</w:t>
            </w:r>
          </w:p>
          <w:p w14:paraId="2C9DC8C2">
            <w:pPr>
              <w:spacing w:line="360" w:lineRule="auto"/>
              <w:jc w:val="center"/>
              <w:rPr>
                <w:rFonts w:hint="eastAsia" w:ascii="宋体" w:hAnsi="宋体" w:cs="Calibri"/>
                <w:color w:val="auto"/>
                <w:szCs w:val="21"/>
                <w:highlight w:val="none"/>
              </w:rPr>
            </w:pPr>
            <w:r>
              <w:rPr>
                <w:rFonts w:hint="eastAsia" w:ascii="宋体" w:hAnsi="宋体" w:cs="Calibri"/>
                <w:color w:val="auto"/>
                <w:szCs w:val="21"/>
                <w:highlight w:val="none"/>
              </w:rPr>
              <w:t>（</w:t>
            </w:r>
            <w:r>
              <w:rPr>
                <w:rFonts w:hint="eastAsia" w:ascii="宋体" w:hAnsi="宋体" w:cs="Calibri"/>
                <w:color w:val="auto"/>
                <w:szCs w:val="21"/>
                <w:highlight w:val="none"/>
                <w:lang w:val="en-US" w:eastAsia="zh-CN"/>
              </w:rPr>
              <w:t>20</w:t>
            </w:r>
            <w:r>
              <w:rPr>
                <w:rFonts w:hint="eastAsia" w:ascii="宋体" w:hAnsi="宋体" w:cs="Calibri"/>
                <w:color w:val="auto"/>
                <w:szCs w:val="21"/>
                <w:highlight w:val="none"/>
              </w:rPr>
              <w:t>分）</w:t>
            </w:r>
          </w:p>
        </w:tc>
        <w:tc>
          <w:tcPr>
            <w:tcW w:w="5956" w:type="dxa"/>
            <w:vAlign w:val="center"/>
          </w:tcPr>
          <w:p w14:paraId="0676AFB5">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投标人具备质量管理体系、职业健康安全管理体系认证、环境管理体系认证、工程造价咨询体系认证、合规管理体系认证证书且在有效期内的，每项得2分，本项最高得10分。</w:t>
            </w:r>
          </w:p>
          <w:p w14:paraId="54C03122">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注：投标人需提供证书扫描件并加盖投标单位电子印章。</w:t>
            </w:r>
          </w:p>
        </w:tc>
      </w:tr>
      <w:tr w14:paraId="6D1BE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1" w:hRule="atLeast"/>
        </w:trPr>
        <w:tc>
          <w:tcPr>
            <w:tcW w:w="958" w:type="dxa"/>
            <w:gridSpan w:val="2"/>
            <w:vMerge w:val="continue"/>
            <w:vAlign w:val="center"/>
          </w:tcPr>
          <w:p w14:paraId="63ED77EA">
            <w:pPr>
              <w:spacing w:line="360" w:lineRule="auto"/>
              <w:rPr>
                <w:rFonts w:hint="eastAsia" w:ascii="宋体" w:hAnsi="宋体" w:cs="Calibri"/>
                <w:color w:val="auto"/>
                <w:szCs w:val="21"/>
                <w:highlight w:val="none"/>
              </w:rPr>
            </w:pPr>
          </w:p>
        </w:tc>
        <w:tc>
          <w:tcPr>
            <w:tcW w:w="1169" w:type="dxa"/>
            <w:vMerge w:val="continue"/>
            <w:vAlign w:val="center"/>
          </w:tcPr>
          <w:p w14:paraId="3B79CFC0">
            <w:pPr>
              <w:spacing w:line="360" w:lineRule="auto"/>
              <w:rPr>
                <w:rFonts w:hint="eastAsia" w:ascii="宋体" w:hAnsi="宋体" w:cs="Calibri"/>
                <w:color w:val="auto"/>
                <w:szCs w:val="21"/>
                <w:highlight w:val="none"/>
              </w:rPr>
            </w:pPr>
          </w:p>
        </w:tc>
        <w:tc>
          <w:tcPr>
            <w:tcW w:w="1701" w:type="dxa"/>
            <w:vMerge w:val="continue"/>
          </w:tcPr>
          <w:p w14:paraId="169D2883">
            <w:pPr>
              <w:spacing w:line="360" w:lineRule="auto"/>
              <w:jc w:val="center"/>
              <w:rPr>
                <w:rFonts w:hint="eastAsia" w:ascii="宋体" w:hAnsi="宋体" w:cs="Calibri"/>
                <w:color w:val="auto"/>
                <w:szCs w:val="21"/>
                <w:highlight w:val="none"/>
              </w:rPr>
            </w:pPr>
          </w:p>
        </w:tc>
        <w:tc>
          <w:tcPr>
            <w:tcW w:w="5956" w:type="dxa"/>
            <w:vAlign w:val="center"/>
          </w:tcPr>
          <w:p w14:paraId="7BAF5B13">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投标人(不含分支机构)至今：</w:t>
            </w:r>
          </w:p>
          <w:p w14:paraId="7D457096">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1、连续获得10年或以上被国家税务主管部门评为年度纳税信用A级或以上等级的，得10分；</w:t>
            </w:r>
          </w:p>
          <w:p w14:paraId="5FFC1B1F">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2、连续获得9年被国家税务主管部门评为年度纳税信用A级或以上等级的，得6分；</w:t>
            </w:r>
          </w:p>
          <w:p w14:paraId="5D4C497C">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3、连续获得8年被国家税务主管部门评为年度纳税信用A级或以上等级的，得3分；</w:t>
            </w:r>
          </w:p>
          <w:p w14:paraId="25CEF976">
            <w:pPr>
              <w:widowControl/>
              <w:spacing w:line="360" w:lineRule="auto"/>
              <w:jc w:val="left"/>
              <w:rPr>
                <w:rFonts w:hint="eastAsia" w:ascii="宋体" w:hAnsi="宋体" w:cs="宋体"/>
                <w:color w:val="auto"/>
                <w:szCs w:val="21"/>
                <w:highlight w:val="none"/>
              </w:rPr>
            </w:pPr>
            <w:r>
              <w:rPr>
                <w:rFonts w:hint="eastAsia" w:ascii="宋体" w:hAnsi="宋体" w:cs="宋体"/>
                <w:color w:val="auto"/>
                <w:szCs w:val="21"/>
                <w:highlight w:val="none"/>
              </w:rPr>
              <w:t>4、连续获得7年或以下被国家税务主管部门评为年度纳税信用A级或以上等级的，得1分。没有的不得分。</w:t>
            </w:r>
          </w:p>
          <w:p w14:paraId="278DA6CC">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注：符合多项情况的，按最高档次只计取一次得分；需提供税务部门官网查询截图或相关证书扫描件。提供证书扫描件的需加盖投标单位电子印章。本项最高得10分。</w:t>
            </w:r>
          </w:p>
        </w:tc>
      </w:tr>
      <w:tr w14:paraId="22716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958" w:type="dxa"/>
            <w:gridSpan w:val="2"/>
            <w:vMerge w:val="continue"/>
            <w:vAlign w:val="center"/>
          </w:tcPr>
          <w:p w14:paraId="50CF14E6">
            <w:pPr>
              <w:spacing w:line="360" w:lineRule="auto"/>
              <w:rPr>
                <w:rFonts w:hint="eastAsia" w:ascii="宋体" w:hAnsi="宋体" w:cs="Calibri"/>
                <w:color w:val="auto"/>
                <w:szCs w:val="21"/>
                <w:highlight w:val="none"/>
              </w:rPr>
            </w:pPr>
          </w:p>
        </w:tc>
        <w:tc>
          <w:tcPr>
            <w:tcW w:w="1169" w:type="dxa"/>
            <w:vMerge w:val="continue"/>
            <w:vAlign w:val="center"/>
          </w:tcPr>
          <w:p w14:paraId="31C3C074">
            <w:pPr>
              <w:spacing w:line="360" w:lineRule="auto"/>
              <w:rPr>
                <w:rFonts w:hint="eastAsia" w:ascii="宋体" w:hAnsi="宋体" w:cs="Calibri"/>
                <w:color w:val="auto"/>
                <w:szCs w:val="21"/>
                <w:highlight w:val="none"/>
              </w:rPr>
            </w:pPr>
          </w:p>
        </w:tc>
        <w:tc>
          <w:tcPr>
            <w:tcW w:w="1701" w:type="dxa"/>
            <w:vAlign w:val="center"/>
          </w:tcPr>
          <w:p w14:paraId="4FA81123">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000000"/>
                <w:szCs w:val="21"/>
                <w:lang w:val="zh-CN"/>
              </w:rPr>
              <w:t>工程造价咨询业绩</w:t>
            </w:r>
            <w:r>
              <w:rPr>
                <w:rFonts w:hint="eastAsia" w:ascii="宋体" w:hAnsi="宋体" w:eastAsia="宋体" w:cs="宋体"/>
                <w:szCs w:val="21"/>
              </w:rPr>
              <w:t>（10分）</w:t>
            </w:r>
          </w:p>
        </w:tc>
        <w:tc>
          <w:tcPr>
            <w:tcW w:w="5956" w:type="dxa"/>
            <w:vAlign w:val="center"/>
          </w:tcPr>
          <w:p w14:paraId="29C65851">
            <w:pPr>
              <w:adjustRightInd w:val="0"/>
              <w:snapToGrid w:val="0"/>
              <w:spacing w:line="360" w:lineRule="auto"/>
              <w:ind w:left="42" w:leftChars="20" w:right="42" w:rightChars="20"/>
              <w:rPr>
                <w:rFonts w:hint="eastAsia" w:ascii="宋体" w:hAnsi="宋体" w:eastAsia="宋体" w:cs="宋体"/>
                <w:color w:val="auto"/>
                <w:kern w:val="0"/>
                <w:szCs w:val="21"/>
              </w:rPr>
            </w:pPr>
            <w:r>
              <w:rPr>
                <w:rFonts w:hint="eastAsia" w:ascii="宋体" w:hAnsi="宋体" w:eastAsia="宋体" w:cs="宋体"/>
                <w:color w:val="auto"/>
                <w:szCs w:val="21"/>
              </w:rPr>
              <w:t>投标人在2021年1月1日至今承接单项市政工程项目全过程工程造</w:t>
            </w:r>
            <w:r>
              <w:rPr>
                <w:rFonts w:hint="eastAsia" w:ascii="宋体" w:hAnsi="宋体" w:eastAsia="宋体" w:cs="宋体"/>
                <w:color w:val="auto"/>
                <w:kern w:val="0"/>
                <w:szCs w:val="21"/>
              </w:rPr>
              <w:t>价咨询服务业绩：</w:t>
            </w:r>
          </w:p>
          <w:p w14:paraId="747A1FE3">
            <w:pPr>
              <w:adjustRightInd w:val="0"/>
              <w:snapToGrid w:val="0"/>
              <w:spacing w:line="360" w:lineRule="auto"/>
              <w:ind w:left="42" w:leftChars="20" w:right="42" w:rightChars="20"/>
              <w:rPr>
                <w:rFonts w:hint="eastAsia" w:ascii="宋体" w:hAnsi="宋体" w:eastAsia="宋体" w:cs="宋体"/>
                <w:color w:val="auto"/>
                <w:kern w:val="0"/>
                <w:szCs w:val="21"/>
              </w:rPr>
            </w:pPr>
            <w:r>
              <w:rPr>
                <w:rFonts w:hint="eastAsia" w:ascii="宋体" w:hAnsi="宋体" w:eastAsia="宋体" w:cs="宋体"/>
                <w:color w:val="auto"/>
                <w:kern w:val="0"/>
                <w:szCs w:val="21"/>
              </w:rPr>
              <w:t>工程投资额≥1亿元的，每项得2分；最高得10分。</w:t>
            </w:r>
          </w:p>
          <w:p w14:paraId="7AB03D6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rPr>
              <w:t>【证明文件：</w:t>
            </w:r>
            <w:r>
              <w:rPr>
                <w:rFonts w:hint="eastAsia" w:ascii="宋体" w:hAnsi="宋体" w:eastAsia="宋体" w:cs="宋体"/>
                <w:color w:val="auto"/>
                <w:kern w:val="0"/>
                <w:szCs w:val="21"/>
              </w:rPr>
              <w:t>本项业绩需提供合同复印件（必有，合同委托方必须为建设方或政府部门）、中标通知书（必有）复印件及成果证明文件（如有）。成果证明文件可以是经建设方或相关政府监管部门确认的咨询报告或定案表或建设方评价意见表</w:t>
            </w:r>
            <w:r>
              <w:rPr>
                <w:rFonts w:hint="eastAsia" w:ascii="宋体" w:hAnsi="宋体" w:eastAsia="宋体" w:cs="宋体"/>
                <w:color w:val="auto"/>
                <w:szCs w:val="21"/>
              </w:rPr>
              <w:t>。】</w:t>
            </w:r>
          </w:p>
        </w:tc>
      </w:tr>
      <w:tr w14:paraId="614B1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958" w:type="dxa"/>
            <w:gridSpan w:val="2"/>
            <w:vMerge w:val="continue"/>
            <w:vAlign w:val="center"/>
          </w:tcPr>
          <w:p w14:paraId="53FB9220">
            <w:pPr>
              <w:spacing w:line="360" w:lineRule="auto"/>
              <w:rPr>
                <w:rFonts w:hint="eastAsia" w:ascii="宋体" w:hAnsi="宋体" w:cs="Calibri"/>
                <w:color w:val="auto"/>
                <w:szCs w:val="21"/>
                <w:highlight w:val="none"/>
              </w:rPr>
            </w:pPr>
          </w:p>
        </w:tc>
        <w:tc>
          <w:tcPr>
            <w:tcW w:w="1169" w:type="dxa"/>
            <w:vMerge w:val="continue"/>
            <w:vAlign w:val="center"/>
          </w:tcPr>
          <w:p w14:paraId="1B0E38A5">
            <w:pPr>
              <w:spacing w:line="360" w:lineRule="auto"/>
              <w:rPr>
                <w:rFonts w:hint="eastAsia" w:ascii="宋体" w:hAnsi="宋体" w:cs="Calibri"/>
                <w:color w:val="auto"/>
                <w:szCs w:val="21"/>
                <w:highlight w:val="none"/>
              </w:rPr>
            </w:pPr>
          </w:p>
        </w:tc>
        <w:tc>
          <w:tcPr>
            <w:tcW w:w="1701" w:type="dxa"/>
            <w:vAlign w:val="center"/>
          </w:tcPr>
          <w:p w14:paraId="1FFFE4B8">
            <w:pPr>
              <w:spacing w:line="360" w:lineRule="auto"/>
              <w:jc w:val="center"/>
              <w:rPr>
                <w:rFonts w:hint="eastAsia" w:ascii="宋体" w:hAnsi="宋体" w:eastAsia="宋体" w:cs="宋体"/>
                <w:color w:val="000000"/>
                <w:szCs w:val="21"/>
                <w:lang w:val="zh-CN"/>
              </w:rPr>
            </w:pPr>
            <w:r>
              <w:rPr>
                <w:rFonts w:hint="eastAsia" w:ascii="宋体" w:hAnsi="宋体" w:eastAsia="宋体" w:cs="宋体"/>
                <w:color w:val="000000"/>
                <w:szCs w:val="21"/>
                <w:lang w:val="zh-CN"/>
              </w:rPr>
              <w:t>项目获奖情况</w:t>
            </w:r>
          </w:p>
          <w:p w14:paraId="517B3CEB">
            <w:pPr>
              <w:spacing w:line="360" w:lineRule="auto"/>
              <w:jc w:val="center"/>
              <w:rPr>
                <w:rFonts w:hint="eastAsia" w:ascii="宋体" w:hAnsi="宋体" w:eastAsia="宋体" w:cs="宋体"/>
                <w:color w:val="auto"/>
                <w:szCs w:val="21"/>
                <w:highlight w:val="none"/>
                <w:lang w:val="zh-CN"/>
              </w:rPr>
            </w:pPr>
            <w:r>
              <w:rPr>
                <w:rFonts w:hint="eastAsia" w:ascii="宋体" w:hAnsi="宋体" w:eastAsia="宋体" w:cs="宋体"/>
                <w:color w:val="000000"/>
                <w:szCs w:val="21"/>
                <w:lang w:val="zh-CN"/>
              </w:rPr>
              <w:t>（10分）</w:t>
            </w:r>
          </w:p>
        </w:tc>
        <w:tc>
          <w:tcPr>
            <w:tcW w:w="5956" w:type="dxa"/>
            <w:vAlign w:val="center"/>
          </w:tcPr>
          <w:p w14:paraId="2923FC1B">
            <w:pPr>
              <w:spacing w:line="360" w:lineRule="auto"/>
              <w:rPr>
                <w:rFonts w:hint="eastAsia" w:ascii="宋体" w:hAnsi="宋体" w:eastAsia="宋体" w:cs="宋体"/>
                <w:color w:val="auto"/>
                <w:szCs w:val="21"/>
              </w:rPr>
            </w:pPr>
            <w:r>
              <w:rPr>
                <w:rFonts w:hint="eastAsia" w:ascii="宋体" w:hAnsi="宋体" w:eastAsia="宋体" w:cs="宋体"/>
                <w:color w:val="auto"/>
                <w:szCs w:val="21"/>
              </w:rPr>
              <w:t>2021年1月 1 日至今投标人承接过的造价咨询服务项目：</w:t>
            </w:r>
          </w:p>
          <w:p w14:paraId="616584D9">
            <w:pPr>
              <w:spacing w:line="360" w:lineRule="auto"/>
              <w:ind w:left="-4" w:leftChars="-2"/>
              <w:rPr>
                <w:rFonts w:hint="eastAsia" w:ascii="宋体" w:hAnsi="宋体" w:eastAsia="宋体" w:cs="宋体"/>
                <w:color w:val="auto"/>
                <w:kern w:val="0"/>
                <w:szCs w:val="21"/>
              </w:rPr>
            </w:pPr>
            <w:r>
              <w:rPr>
                <w:rFonts w:hint="eastAsia" w:ascii="宋体" w:hAnsi="宋体" w:eastAsia="宋体" w:cs="宋体"/>
                <w:color w:val="auto"/>
                <w:szCs w:val="21"/>
              </w:rPr>
              <w:t>获得省级（含副省级）或以上的政府部门或相关造价行业协会颁发的工程造价优秀成果奖（或优秀成果奖）的每项得2分，</w:t>
            </w:r>
            <w:r>
              <w:rPr>
                <w:rFonts w:hint="eastAsia" w:ascii="宋体" w:hAnsi="宋体" w:eastAsia="宋体" w:cs="宋体"/>
                <w:color w:val="auto"/>
                <w:kern w:val="0"/>
                <w:szCs w:val="21"/>
              </w:rPr>
              <w:t>本项最高得10分。</w:t>
            </w:r>
          </w:p>
          <w:p w14:paraId="0B53AD6C">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rPr>
              <w:t>注:提供相关证书原件扫描件加盖投标人电子公章。 以国家、 省政府或行业行政主管部门或经民政部门批准成立的相 关行业协会颁发的获奖证书或获奖正式文件为准，如提供相 关行业协会颁发的获奖证书或获奖正式文件，则须同时提供 该行业协会在“全国社会组织信用信息公示平台 ”的登记信 息查询结果截图。副省级包含北京市、上海市、广州市、深圳市、重庆市、武汉市、成都市、杭州市、南京市、济南市、青岛市、宁波市、大连市、西安市、厦门市、长春市、沈阳市、哈尔滨市、合肥市。</w:t>
            </w:r>
          </w:p>
        </w:tc>
      </w:tr>
      <w:tr w14:paraId="605D7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8" w:type="dxa"/>
            <w:gridSpan w:val="2"/>
            <w:vMerge w:val="continue"/>
            <w:vAlign w:val="center"/>
          </w:tcPr>
          <w:p w14:paraId="764287A7">
            <w:pPr>
              <w:spacing w:line="360" w:lineRule="auto"/>
              <w:rPr>
                <w:rFonts w:hint="eastAsia" w:ascii="宋体" w:hAnsi="宋体" w:cs="Calibri"/>
                <w:color w:val="auto"/>
                <w:szCs w:val="21"/>
                <w:highlight w:val="none"/>
              </w:rPr>
            </w:pPr>
          </w:p>
        </w:tc>
        <w:tc>
          <w:tcPr>
            <w:tcW w:w="1169" w:type="dxa"/>
            <w:vMerge w:val="continue"/>
            <w:vAlign w:val="center"/>
          </w:tcPr>
          <w:p w14:paraId="03338B55">
            <w:pPr>
              <w:spacing w:line="360" w:lineRule="auto"/>
              <w:rPr>
                <w:rFonts w:hint="eastAsia" w:ascii="宋体" w:hAnsi="宋体" w:cs="Calibri"/>
                <w:color w:val="auto"/>
                <w:szCs w:val="21"/>
                <w:highlight w:val="none"/>
              </w:rPr>
            </w:pPr>
          </w:p>
        </w:tc>
        <w:tc>
          <w:tcPr>
            <w:tcW w:w="1701" w:type="dxa"/>
            <w:vAlign w:val="center"/>
          </w:tcPr>
          <w:p w14:paraId="35D65009">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000000"/>
                <w:szCs w:val="21"/>
              </w:rPr>
              <w:t>项目负责人水平（5分）</w:t>
            </w:r>
          </w:p>
        </w:tc>
        <w:tc>
          <w:tcPr>
            <w:tcW w:w="5956" w:type="dxa"/>
            <w:vAlign w:val="center"/>
          </w:tcPr>
          <w:p w14:paraId="5622AE60">
            <w:pPr>
              <w:snapToGrid w:val="0"/>
              <w:spacing w:line="360" w:lineRule="auto"/>
              <w:ind w:right="59" w:rightChars="28"/>
              <w:rPr>
                <w:rFonts w:hint="eastAsia" w:ascii="宋体" w:hAnsi="宋体" w:eastAsia="宋体" w:cs="宋体"/>
                <w:color w:val="auto"/>
                <w:szCs w:val="21"/>
              </w:rPr>
            </w:pPr>
            <w:r>
              <w:rPr>
                <w:rFonts w:hint="eastAsia" w:ascii="宋体" w:hAnsi="宋体" w:eastAsia="宋体" w:cs="宋体"/>
                <w:color w:val="auto"/>
                <w:szCs w:val="21"/>
              </w:rPr>
              <w:t>1、具有造价类专业高级工程师或以上技术职称的得2分；具有造价类专业中级工程师技术职称的得1分；其他不得分；本小项最高得2分。</w:t>
            </w:r>
          </w:p>
          <w:p w14:paraId="60E04109">
            <w:pPr>
              <w:snapToGrid w:val="0"/>
              <w:spacing w:line="360" w:lineRule="auto"/>
              <w:ind w:right="59" w:rightChars="28"/>
              <w:rPr>
                <w:rFonts w:hint="eastAsia" w:ascii="宋体" w:hAnsi="宋体" w:eastAsia="宋体" w:cs="宋体"/>
                <w:color w:val="auto"/>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rPr>
              <w:t>项目负责人具有全过程工程项目管理师（高级）的得3分。</w:t>
            </w:r>
          </w:p>
          <w:p w14:paraId="71973011">
            <w:pPr>
              <w:spacing w:line="360" w:lineRule="auto"/>
              <w:ind w:right="59" w:rightChars="28"/>
              <w:rPr>
                <w:rFonts w:hint="eastAsia" w:ascii="宋体" w:hAnsi="宋体" w:eastAsia="宋体" w:cs="宋体"/>
                <w:color w:val="auto"/>
                <w:szCs w:val="21"/>
                <w:highlight w:val="none"/>
              </w:rPr>
            </w:pPr>
            <w:r>
              <w:rPr>
                <w:rFonts w:hint="eastAsia" w:ascii="宋体" w:hAnsi="宋体" w:eastAsia="宋体" w:cs="宋体"/>
                <w:color w:val="auto"/>
                <w:szCs w:val="21"/>
              </w:rPr>
              <w:t>注：1.投标人需提供项目负责人的职称证书、注册造价工程师注册证、执业资格证书、全过程工程项目管理师证书扫描件并加盖投标单位电子印章；并提供近1个月（即2025年</w:t>
            </w:r>
            <w:r>
              <w:rPr>
                <w:rFonts w:hint="eastAsia" w:ascii="宋体" w:hAnsi="宋体" w:cs="宋体"/>
                <w:color w:val="auto"/>
                <w:szCs w:val="21"/>
                <w:lang w:val="en-US" w:eastAsia="zh-CN"/>
              </w:rPr>
              <w:t>6</w:t>
            </w:r>
            <w:r>
              <w:rPr>
                <w:rFonts w:hint="eastAsia" w:ascii="宋体" w:hAnsi="宋体" w:eastAsia="宋体" w:cs="宋体"/>
                <w:color w:val="auto"/>
                <w:szCs w:val="21"/>
              </w:rPr>
              <w:t>月）投标人单位为其购买的社保行政主管部门出具的社保证明。</w:t>
            </w:r>
          </w:p>
        </w:tc>
      </w:tr>
      <w:tr w14:paraId="76CB6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958" w:type="dxa"/>
            <w:gridSpan w:val="2"/>
            <w:vMerge w:val="continue"/>
            <w:vAlign w:val="center"/>
          </w:tcPr>
          <w:p w14:paraId="15D0A3BF">
            <w:pPr>
              <w:spacing w:line="360" w:lineRule="auto"/>
              <w:rPr>
                <w:rFonts w:hint="eastAsia" w:ascii="宋体" w:hAnsi="宋体" w:cs="Calibri"/>
                <w:color w:val="auto"/>
                <w:szCs w:val="21"/>
                <w:highlight w:val="none"/>
              </w:rPr>
            </w:pPr>
          </w:p>
        </w:tc>
        <w:tc>
          <w:tcPr>
            <w:tcW w:w="1169" w:type="dxa"/>
            <w:vMerge w:val="continue"/>
            <w:vAlign w:val="center"/>
          </w:tcPr>
          <w:p w14:paraId="27D01CCA">
            <w:pPr>
              <w:spacing w:line="360" w:lineRule="auto"/>
              <w:rPr>
                <w:rFonts w:hint="eastAsia" w:ascii="宋体" w:hAnsi="宋体" w:cs="Calibri"/>
                <w:color w:val="auto"/>
                <w:szCs w:val="21"/>
                <w:highlight w:val="none"/>
              </w:rPr>
            </w:pPr>
          </w:p>
        </w:tc>
        <w:tc>
          <w:tcPr>
            <w:tcW w:w="1701" w:type="dxa"/>
            <w:vAlign w:val="center"/>
          </w:tcPr>
          <w:p w14:paraId="502454A5">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000000"/>
                <w:szCs w:val="21"/>
              </w:rPr>
              <w:t>其它拟投入人员（25分）</w:t>
            </w:r>
          </w:p>
        </w:tc>
        <w:tc>
          <w:tcPr>
            <w:tcW w:w="5956" w:type="dxa"/>
            <w:vAlign w:val="center"/>
          </w:tcPr>
          <w:p w14:paraId="5C097A06">
            <w:pPr>
              <w:snapToGrid w:val="0"/>
              <w:spacing w:line="360" w:lineRule="auto"/>
              <w:ind w:right="59" w:rightChars="28"/>
              <w:jc w:val="left"/>
              <w:rPr>
                <w:rFonts w:hint="eastAsia" w:ascii="宋体" w:hAnsi="宋体" w:eastAsia="宋体" w:cs="宋体"/>
                <w:color w:val="auto"/>
                <w:szCs w:val="21"/>
              </w:rPr>
            </w:pPr>
            <w:r>
              <w:rPr>
                <w:rFonts w:hint="eastAsia" w:ascii="宋体" w:hAnsi="宋体" w:eastAsia="宋体" w:cs="宋体"/>
                <w:color w:val="auto"/>
                <w:szCs w:val="21"/>
              </w:rPr>
              <w:t>1、满足《投标人投入主要人员基本要求表》（见附件）要求的，得7分，不满足本项不得分。</w:t>
            </w:r>
          </w:p>
          <w:p w14:paraId="4C172A1B">
            <w:pPr>
              <w:snapToGrid w:val="0"/>
              <w:spacing w:line="360" w:lineRule="auto"/>
              <w:ind w:right="59" w:rightChars="28"/>
              <w:jc w:val="left"/>
              <w:rPr>
                <w:rFonts w:hint="eastAsia" w:ascii="宋体" w:hAnsi="宋体" w:eastAsia="宋体" w:cs="宋体"/>
                <w:color w:val="auto"/>
                <w:szCs w:val="21"/>
                <w:lang w:eastAsia="zh-CN"/>
              </w:rPr>
            </w:pPr>
            <w:r>
              <w:rPr>
                <w:rFonts w:hint="eastAsia" w:ascii="宋体" w:hAnsi="宋体" w:eastAsia="宋体" w:cs="宋体"/>
                <w:color w:val="auto"/>
                <w:szCs w:val="21"/>
              </w:rPr>
              <w:t>2、在满足《投标人投入主要人员基本要求表》（见附件）要求的基础上，每增加一名土建专业一级注册造价工程师得1分，本小项最多得4分</w:t>
            </w:r>
            <w:r>
              <w:rPr>
                <w:rFonts w:hint="eastAsia" w:ascii="宋体" w:hAnsi="宋体" w:cs="宋体"/>
                <w:color w:val="auto"/>
                <w:szCs w:val="21"/>
                <w:lang w:eastAsia="zh-CN"/>
              </w:rPr>
              <w:t>。</w:t>
            </w:r>
          </w:p>
          <w:p w14:paraId="1DA977AE">
            <w:pPr>
              <w:snapToGrid w:val="0"/>
              <w:spacing w:line="360" w:lineRule="auto"/>
              <w:ind w:right="59" w:rightChars="28"/>
              <w:jc w:val="left"/>
              <w:rPr>
                <w:rFonts w:hint="eastAsia" w:ascii="宋体" w:hAnsi="宋体" w:eastAsia="宋体" w:cs="宋体"/>
                <w:color w:val="auto"/>
                <w:szCs w:val="21"/>
              </w:rPr>
            </w:pPr>
            <w:r>
              <w:rPr>
                <w:rFonts w:hint="eastAsia" w:ascii="宋体" w:hAnsi="宋体" w:eastAsia="宋体" w:cs="宋体"/>
                <w:color w:val="auto"/>
                <w:szCs w:val="21"/>
              </w:rPr>
              <w:t>3、在满足《投标人投入主要人员基本要求表》（见附件）要求的基础上，每增加一名安装专业一级注册造价工程师得1分，本小项最多得4分。</w:t>
            </w:r>
          </w:p>
          <w:p w14:paraId="7D697A8B">
            <w:pPr>
              <w:snapToGrid w:val="0"/>
              <w:spacing w:line="360" w:lineRule="auto"/>
              <w:ind w:right="59" w:rightChars="28"/>
              <w:jc w:val="left"/>
              <w:rPr>
                <w:rFonts w:hint="eastAsia" w:ascii="宋体" w:hAnsi="宋体" w:eastAsia="宋体" w:cs="宋体"/>
                <w:color w:val="auto"/>
                <w:szCs w:val="21"/>
              </w:rPr>
            </w:pPr>
            <w:r>
              <w:rPr>
                <w:rFonts w:hint="eastAsia" w:ascii="宋体" w:hAnsi="宋体" w:eastAsia="宋体" w:cs="宋体"/>
                <w:color w:val="auto"/>
                <w:szCs w:val="21"/>
              </w:rPr>
              <w:t>4、在满足《投标人投入主要人员基本要求表》（见附件）要求的基础上，每增加一名同时具备工程类教授级（或正高级）工程师及注册造价工程师或一级注册造价工程师执业资格的，得2分，本小项最多得6分。</w:t>
            </w:r>
          </w:p>
          <w:p w14:paraId="25E5BDD0">
            <w:pPr>
              <w:snapToGrid w:val="0"/>
              <w:spacing w:line="360" w:lineRule="auto"/>
              <w:ind w:right="59" w:rightChars="28"/>
              <w:jc w:val="left"/>
              <w:rPr>
                <w:rFonts w:hint="eastAsia" w:ascii="宋体" w:hAnsi="宋体" w:eastAsia="宋体" w:cs="宋体"/>
                <w:color w:val="auto"/>
                <w:szCs w:val="21"/>
                <w:lang w:eastAsia="zh-CN"/>
              </w:rPr>
            </w:pPr>
            <w:r>
              <w:rPr>
                <w:rFonts w:hint="eastAsia" w:ascii="宋体" w:hAnsi="宋体" w:eastAsia="宋体" w:cs="宋体"/>
                <w:color w:val="auto"/>
                <w:szCs w:val="21"/>
              </w:rPr>
              <w:t>5、以上人员曾获得过省级或以上政府相关部门颁发的荣誉证书的，得4分；曾获得过市级政府相关部门颁发的荣誉证书的，得2分；其他不得分。本小项各等级得分不累计，最多得4分</w:t>
            </w:r>
            <w:r>
              <w:rPr>
                <w:rFonts w:hint="eastAsia" w:ascii="宋体" w:hAnsi="宋体" w:cs="宋体"/>
                <w:color w:val="auto"/>
                <w:szCs w:val="21"/>
                <w:lang w:eastAsia="zh-CN"/>
              </w:rPr>
              <w:t>。</w:t>
            </w:r>
          </w:p>
          <w:p w14:paraId="64E841C2">
            <w:pPr>
              <w:spacing w:line="360" w:lineRule="auto"/>
              <w:ind w:right="59" w:rightChars="28"/>
              <w:rPr>
                <w:rFonts w:hint="eastAsia" w:ascii="宋体" w:hAnsi="宋体" w:eastAsia="宋体" w:cs="宋体"/>
                <w:color w:val="auto"/>
                <w:szCs w:val="21"/>
              </w:rPr>
            </w:pPr>
            <w:r>
              <w:rPr>
                <w:rFonts w:hint="eastAsia" w:ascii="宋体" w:hAnsi="宋体" w:eastAsia="宋体" w:cs="宋体"/>
                <w:color w:val="auto"/>
                <w:szCs w:val="21"/>
              </w:rPr>
              <w:t>注：1）须提供造价工程师注册证、执业资格证、职称证（如有）扫描件并加盖投标单位电子印章，注册造价工程师证的注册单位须为投标人。未实行分级的注册造价工程师自动划分为一级注册造价工程师。未提供或提供不全或提供不符合要求的不予认可。</w:t>
            </w:r>
          </w:p>
          <w:p w14:paraId="010B1E56">
            <w:pPr>
              <w:spacing w:line="360" w:lineRule="auto"/>
              <w:ind w:right="59" w:rightChars="28"/>
              <w:rPr>
                <w:rFonts w:hint="eastAsia" w:ascii="宋体" w:hAnsi="宋体" w:eastAsia="宋体" w:cs="宋体"/>
                <w:color w:val="auto"/>
                <w:szCs w:val="21"/>
                <w:highlight w:val="none"/>
              </w:rPr>
            </w:pPr>
            <w:r>
              <w:rPr>
                <w:rFonts w:hint="eastAsia" w:ascii="宋体" w:hAnsi="宋体" w:eastAsia="宋体" w:cs="宋体"/>
                <w:color w:val="auto"/>
                <w:szCs w:val="21"/>
              </w:rPr>
              <w:t>2）以上人员均须提供近1个月（即2025年</w:t>
            </w:r>
            <w:r>
              <w:rPr>
                <w:rFonts w:hint="eastAsia" w:ascii="宋体" w:hAnsi="宋体" w:cs="宋体"/>
                <w:color w:val="auto"/>
                <w:szCs w:val="21"/>
                <w:lang w:val="en-US" w:eastAsia="zh-CN"/>
              </w:rPr>
              <w:t>6</w:t>
            </w:r>
            <w:r>
              <w:rPr>
                <w:rFonts w:hint="eastAsia" w:ascii="宋体" w:hAnsi="宋体" w:eastAsia="宋体" w:cs="宋体"/>
                <w:color w:val="auto"/>
                <w:szCs w:val="21"/>
              </w:rPr>
              <w:t>月）投标人单位为其购买的社保行政主管部门出具的社保证明，没有提供不得分。3）上述人员不得兼任。</w:t>
            </w:r>
          </w:p>
        </w:tc>
      </w:tr>
      <w:tr w14:paraId="35F41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6" w:hRule="atLeast"/>
        </w:trPr>
        <w:tc>
          <w:tcPr>
            <w:tcW w:w="958" w:type="dxa"/>
            <w:gridSpan w:val="2"/>
            <w:vMerge w:val="restart"/>
            <w:vAlign w:val="center"/>
          </w:tcPr>
          <w:p w14:paraId="224C43C8">
            <w:pPr>
              <w:spacing w:line="360" w:lineRule="auto"/>
              <w:rPr>
                <w:rFonts w:hint="eastAsia" w:ascii="宋体" w:hAnsi="宋体" w:cs="Calibri"/>
                <w:color w:val="auto"/>
                <w:szCs w:val="21"/>
                <w:highlight w:val="none"/>
              </w:rPr>
            </w:pPr>
            <w:r>
              <w:rPr>
                <w:rFonts w:hint="eastAsia" w:ascii="宋体" w:hAnsi="宋体" w:cs="Calibri"/>
                <w:color w:val="auto"/>
                <w:szCs w:val="21"/>
                <w:highlight w:val="none"/>
              </w:rPr>
              <w:t>2.2.4（2）</w:t>
            </w:r>
          </w:p>
        </w:tc>
        <w:tc>
          <w:tcPr>
            <w:tcW w:w="1169" w:type="dxa"/>
            <w:vMerge w:val="restart"/>
            <w:vAlign w:val="center"/>
          </w:tcPr>
          <w:p w14:paraId="51DA620D">
            <w:pPr>
              <w:spacing w:line="360" w:lineRule="auto"/>
              <w:rPr>
                <w:rFonts w:hint="eastAsia" w:ascii="宋体" w:hAnsi="宋体" w:cs="Calibri"/>
                <w:color w:val="auto"/>
                <w:szCs w:val="21"/>
                <w:highlight w:val="none"/>
              </w:rPr>
            </w:pPr>
            <w:r>
              <w:rPr>
                <w:rFonts w:hint="eastAsia" w:ascii="宋体" w:hAnsi="宋体"/>
                <w:color w:val="auto"/>
                <w:szCs w:val="21"/>
                <w:highlight w:val="none"/>
              </w:rPr>
              <w:t>服务方案</w:t>
            </w:r>
            <w:r>
              <w:rPr>
                <w:rFonts w:ascii="宋体" w:hAnsi="宋体"/>
                <w:color w:val="auto"/>
                <w:szCs w:val="21"/>
                <w:highlight w:val="none"/>
              </w:rPr>
              <w:t>评分标准</w:t>
            </w:r>
            <w:r>
              <w:rPr>
                <w:rFonts w:hint="eastAsia" w:ascii="宋体" w:hAnsi="宋体" w:cs="宋体"/>
                <w:color w:val="auto"/>
                <w:szCs w:val="21"/>
                <w:highlight w:val="none"/>
              </w:rPr>
              <w:t>【</w:t>
            </w:r>
            <w:r>
              <w:rPr>
                <w:rFonts w:ascii="宋体" w:hAnsi="宋体" w:cs="宋体"/>
                <w:color w:val="auto"/>
                <w:szCs w:val="21"/>
                <w:highlight w:val="none"/>
              </w:rPr>
              <w:t>20</w:t>
            </w:r>
            <w:r>
              <w:rPr>
                <w:rFonts w:hint="eastAsia" w:ascii="宋体" w:hAnsi="宋体" w:cs="宋体"/>
                <w:color w:val="auto"/>
                <w:szCs w:val="21"/>
                <w:highlight w:val="none"/>
              </w:rPr>
              <w:t>分】</w:t>
            </w:r>
          </w:p>
        </w:tc>
        <w:tc>
          <w:tcPr>
            <w:tcW w:w="1701" w:type="dxa"/>
            <w:vAlign w:val="center"/>
          </w:tcPr>
          <w:p w14:paraId="3B3C10FC">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000000"/>
                <w:szCs w:val="21"/>
              </w:rPr>
              <w:t>造价管理团队评价（5分）</w:t>
            </w:r>
          </w:p>
        </w:tc>
        <w:tc>
          <w:tcPr>
            <w:tcW w:w="5956" w:type="dxa"/>
            <w:vAlign w:val="center"/>
          </w:tcPr>
          <w:p w14:paraId="0EE90F78">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1、造价管理团队组建合理，各专业人员齐全，职责分工明确评为优：(4,5]分；</w:t>
            </w:r>
          </w:p>
          <w:p w14:paraId="01492904">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2、造价管理团队组建较合理，各专业人员基本齐全，职责分工基本明确评为良：(2,4]分；</w:t>
            </w:r>
          </w:p>
          <w:p w14:paraId="336E1992">
            <w:pPr>
              <w:spacing w:line="360" w:lineRule="auto"/>
              <w:jc w:val="left"/>
              <w:rPr>
                <w:rFonts w:hint="eastAsia" w:ascii="宋体" w:hAnsi="宋体" w:eastAsia="宋体" w:cs="宋体"/>
                <w:color w:val="auto"/>
                <w:szCs w:val="21"/>
              </w:rPr>
            </w:pPr>
            <w:r>
              <w:rPr>
                <w:rFonts w:hint="eastAsia" w:ascii="宋体" w:hAnsi="宋体" w:eastAsia="宋体" w:cs="宋体"/>
                <w:color w:val="auto"/>
                <w:szCs w:val="21"/>
              </w:rPr>
              <w:t>3、造价管理团队组建不合理，各专业人员不齐全，职责分工不明确评为差：(0,2]分。</w:t>
            </w:r>
          </w:p>
          <w:p w14:paraId="5D8C73DA">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rPr>
              <w:t>没有提供的不得分。</w:t>
            </w:r>
          </w:p>
        </w:tc>
      </w:tr>
      <w:tr w14:paraId="5D8A4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958" w:type="dxa"/>
            <w:gridSpan w:val="2"/>
            <w:vMerge w:val="continue"/>
            <w:vAlign w:val="center"/>
          </w:tcPr>
          <w:p w14:paraId="437306E8">
            <w:pPr>
              <w:spacing w:line="360" w:lineRule="auto"/>
              <w:rPr>
                <w:rFonts w:hint="eastAsia" w:ascii="宋体" w:hAnsi="宋体" w:cs="Calibri"/>
                <w:color w:val="auto"/>
                <w:szCs w:val="21"/>
                <w:highlight w:val="none"/>
              </w:rPr>
            </w:pPr>
          </w:p>
        </w:tc>
        <w:tc>
          <w:tcPr>
            <w:tcW w:w="1169" w:type="dxa"/>
            <w:vMerge w:val="continue"/>
            <w:vAlign w:val="center"/>
          </w:tcPr>
          <w:p w14:paraId="6091C12F">
            <w:pPr>
              <w:spacing w:line="360" w:lineRule="auto"/>
              <w:rPr>
                <w:rFonts w:hint="eastAsia" w:ascii="宋体" w:hAnsi="宋体" w:cs="Calibri"/>
                <w:color w:val="auto"/>
                <w:szCs w:val="21"/>
                <w:highlight w:val="none"/>
              </w:rPr>
            </w:pPr>
          </w:p>
        </w:tc>
        <w:tc>
          <w:tcPr>
            <w:tcW w:w="1701" w:type="dxa"/>
            <w:vAlign w:val="center"/>
          </w:tcPr>
          <w:p w14:paraId="524464B6">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造价咨询工作质量保证措施</w:t>
            </w:r>
          </w:p>
          <w:p w14:paraId="75CE9C77">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000000"/>
                <w:szCs w:val="21"/>
              </w:rPr>
              <w:t>（5分）</w:t>
            </w:r>
          </w:p>
        </w:tc>
        <w:tc>
          <w:tcPr>
            <w:tcW w:w="5956" w:type="dxa"/>
            <w:vAlign w:val="center"/>
          </w:tcPr>
          <w:p w14:paraId="51380B45">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1、服务的质量、方法及措施完善，组织协调能力强，的工作方案思路清晰，操作性强，有严格承诺严格遵守本次招标人对工程造价咨询的各项要求和规定评为优：(4,5]分；</w:t>
            </w:r>
          </w:p>
          <w:p w14:paraId="1E47F77B">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2、服务的质量、方法及措施较完善，组织协调能力较强，工作方案思路比较清晰，操作性较强评为良，有一般承诺严格遵守本次招标人对工程造价咨询的各项要求和规定评为良：(2,4]分；</w:t>
            </w:r>
          </w:p>
          <w:p w14:paraId="442A1C21">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3、服务的质量、方法及措施一般，组织协调能力一般，工作方案思路清晰度及操作性一般，有承诺但不明确的或无承诺的定评为差：(0,2]分。</w:t>
            </w:r>
          </w:p>
          <w:p w14:paraId="48EA1813">
            <w:pPr>
              <w:spacing w:line="360" w:lineRule="auto"/>
              <w:rPr>
                <w:rFonts w:hint="eastAsia" w:ascii="宋体" w:hAnsi="宋体" w:eastAsia="宋体" w:cs="宋体"/>
                <w:color w:val="auto"/>
                <w:szCs w:val="21"/>
                <w:highlight w:val="none"/>
              </w:rPr>
            </w:pPr>
            <w:r>
              <w:rPr>
                <w:rFonts w:hint="eastAsia" w:ascii="宋体" w:hAnsi="宋体" w:eastAsia="宋体" w:cs="宋体"/>
                <w:color w:val="000000"/>
                <w:szCs w:val="21"/>
              </w:rPr>
              <w:t>没有提供的不得分。</w:t>
            </w:r>
          </w:p>
        </w:tc>
      </w:tr>
      <w:tr w14:paraId="66645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958" w:type="dxa"/>
            <w:gridSpan w:val="2"/>
            <w:vMerge w:val="continue"/>
            <w:vAlign w:val="center"/>
          </w:tcPr>
          <w:p w14:paraId="3D7A4E2E">
            <w:pPr>
              <w:spacing w:line="360" w:lineRule="auto"/>
              <w:rPr>
                <w:rFonts w:hint="eastAsia" w:ascii="宋体" w:hAnsi="宋体" w:cs="Calibri"/>
                <w:color w:val="auto"/>
                <w:szCs w:val="21"/>
                <w:highlight w:val="none"/>
              </w:rPr>
            </w:pPr>
          </w:p>
        </w:tc>
        <w:tc>
          <w:tcPr>
            <w:tcW w:w="1169" w:type="dxa"/>
            <w:vMerge w:val="continue"/>
            <w:vAlign w:val="center"/>
          </w:tcPr>
          <w:p w14:paraId="608824CF">
            <w:pPr>
              <w:spacing w:line="360" w:lineRule="auto"/>
              <w:rPr>
                <w:rFonts w:hint="eastAsia" w:ascii="宋体" w:hAnsi="宋体" w:cs="Calibri"/>
                <w:color w:val="auto"/>
                <w:szCs w:val="21"/>
                <w:highlight w:val="none"/>
              </w:rPr>
            </w:pPr>
          </w:p>
        </w:tc>
        <w:tc>
          <w:tcPr>
            <w:tcW w:w="1701" w:type="dxa"/>
            <w:vAlign w:val="center"/>
          </w:tcPr>
          <w:p w14:paraId="554CBB58">
            <w:pPr>
              <w:spacing w:line="360" w:lineRule="auto"/>
              <w:jc w:val="center"/>
              <w:rPr>
                <w:rFonts w:hint="eastAsia" w:ascii="宋体" w:hAnsi="宋体" w:eastAsia="宋体" w:cs="宋体"/>
                <w:color w:val="000000"/>
                <w:szCs w:val="21"/>
              </w:rPr>
            </w:pPr>
            <w:r>
              <w:rPr>
                <w:rFonts w:hint="eastAsia" w:ascii="宋体" w:hAnsi="宋体" w:eastAsia="宋体" w:cs="宋体"/>
                <w:color w:val="000000"/>
                <w:szCs w:val="21"/>
              </w:rPr>
              <w:t>对项目造价控制的重点、难点的理解及分析</w:t>
            </w:r>
          </w:p>
          <w:p w14:paraId="057B7516">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000000"/>
                <w:szCs w:val="21"/>
              </w:rPr>
              <w:t>（5分）</w:t>
            </w:r>
          </w:p>
        </w:tc>
        <w:tc>
          <w:tcPr>
            <w:tcW w:w="5956" w:type="dxa"/>
            <w:vAlign w:val="center"/>
          </w:tcPr>
          <w:p w14:paraId="76E7F46E">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1、针对本项目的工程特点，对本项目造价咨询服务各阶段的造价控制的重点难点剖析到位；造价控制技术性合理化切实可行评为优：(4,5]分；</w:t>
            </w:r>
          </w:p>
          <w:p w14:paraId="1ECD3D42">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2、对本项目的造价咨询服务管理重点难点分析一般，合理化建议有一定的可行性评为良：(2,4]分；</w:t>
            </w:r>
          </w:p>
          <w:p w14:paraId="06418D34">
            <w:pPr>
              <w:spacing w:line="360" w:lineRule="auto"/>
              <w:jc w:val="left"/>
              <w:rPr>
                <w:rFonts w:hint="eastAsia" w:ascii="宋体" w:hAnsi="宋体" w:eastAsia="宋体" w:cs="宋体"/>
                <w:color w:val="000000"/>
                <w:szCs w:val="21"/>
              </w:rPr>
            </w:pPr>
            <w:r>
              <w:rPr>
                <w:rFonts w:hint="eastAsia" w:ascii="宋体" w:hAnsi="宋体" w:eastAsia="宋体" w:cs="宋体"/>
                <w:color w:val="000000"/>
                <w:szCs w:val="21"/>
              </w:rPr>
              <w:t>3、对本项目的造价咨询服务管理重点难点有基本认识，无合理化建议或建议不可行评为差：(0,2]分。</w:t>
            </w:r>
          </w:p>
          <w:p w14:paraId="788F98E0">
            <w:pPr>
              <w:spacing w:line="360" w:lineRule="auto"/>
              <w:rPr>
                <w:rFonts w:hint="eastAsia" w:ascii="宋体" w:hAnsi="宋体" w:eastAsia="宋体" w:cs="宋体"/>
                <w:color w:val="auto"/>
                <w:szCs w:val="21"/>
                <w:highlight w:val="none"/>
              </w:rPr>
            </w:pPr>
            <w:r>
              <w:rPr>
                <w:rFonts w:hint="eastAsia" w:ascii="宋体" w:hAnsi="宋体" w:eastAsia="宋体" w:cs="宋体"/>
                <w:color w:val="000000"/>
                <w:szCs w:val="21"/>
              </w:rPr>
              <w:t>没有提供的不得分。</w:t>
            </w:r>
          </w:p>
        </w:tc>
      </w:tr>
      <w:tr w14:paraId="16565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4" w:hRule="atLeast"/>
        </w:trPr>
        <w:tc>
          <w:tcPr>
            <w:tcW w:w="958" w:type="dxa"/>
            <w:gridSpan w:val="2"/>
            <w:vMerge w:val="continue"/>
            <w:vAlign w:val="center"/>
          </w:tcPr>
          <w:p w14:paraId="53723DE5">
            <w:pPr>
              <w:spacing w:line="360" w:lineRule="auto"/>
              <w:rPr>
                <w:rFonts w:hint="eastAsia" w:ascii="宋体" w:hAnsi="宋体" w:cs="Calibri"/>
                <w:color w:val="auto"/>
                <w:szCs w:val="21"/>
                <w:highlight w:val="none"/>
              </w:rPr>
            </w:pPr>
          </w:p>
        </w:tc>
        <w:tc>
          <w:tcPr>
            <w:tcW w:w="1169" w:type="dxa"/>
            <w:vMerge w:val="continue"/>
            <w:vAlign w:val="center"/>
          </w:tcPr>
          <w:p w14:paraId="04B77CEA">
            <w:pPr>
              <w:spacing w:line="360" w:lineRule="auto"/>
              <w:rPr>
                <w:rFonts w:hint="eastAsia" w:ascii="宋体" w:hAnsi="宋体" w:cs="Calibri"/>
                <w:color w:val="auto"/>
                <w:szCs w:val="21"/>
                <w:highlight w:val="none"/>
              </w:rPr>
            </w:pPr>
          </w:p>
        </w:tc>
        <w:tc>
          <w:tcPr>
            <w:tcW w:w="1701" w:type="dxa"/>
            <w:shd w:val="clear" w:color="auto" w:fill="auto"/>
            <w:vAlign w:val="center"/>
          </w:tcPr>
          <w:p w14:paraId="7F7252E5">
            <w:pPr>
              <w:spacing w:line="36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Cs w:val="21"/>
              </w:rPr>
              <w:t>企业管理制度及承诺（5分）</w:t>
            </w:r>
          </w:p>
        </w:tc>
        <w:tc>
          <w:tcPr>
            <w:tcW w:w="5956" w:type="dxa"/>
            <w:shd w:val="clear" w:color="auto" w:fill="auto"/>
            <w:vAlign w:val="center"/>
          </w:tcPr>
          <w:p w14:paraId="6463E1D5">
            <w:pPr>
              <w:spacing w:line="360" w:lineRule="auto"/>
              <w:rPr>
                <w:rFonts w:hint="eastAsia" w:ascii="宋体" w:hAnsi="宋体" w:eastAsia="宋体" w:cs="宋体"/>
                <w:color w:val="000000"/>
                <w:szCs w:val="21"/>
              </w:rPr>
            </w:pPr>
            <w:r>
              <w:rPr>
                <w:rFonts w:hint="eastAsia" w:ascii="宋体" w:hAnsi="宋体" w:eastAsia="宋体" w:cs="宋体"/>
                <w:color w:val="000000"/>
                <w:szCs w:val="21"/>
              </w:rPr>
              <w:t>1、企业规章制度完善并承诺在本项目造价咨询中贯彻执行，对本项目造价控制的服务质量保证和承诺充分合理，有人力、物力资源保证承诺，质量保证承诺，公正诚信服务承诺，造价咨询工作质量保证措施承诺，工作进度保证措施承诺，服务响应承诺，违约责任、经济赔偿大小的承诺，保密承诺，评为优：(4,5]分；</w:t>
            </w:r>
          </w:p>
          <w:p w14:paraId="3A2C9024">
            <w:pPr>
              <w:spacing w:line="360" w:lineRule="auto"/>
              <w:rPr>
                <w:rFonts w:hint="eastAsia" w:ascii="宋体" w:hAnsi="宋体" w:eastAsia="宋体" w:cs="宋体"/>
                <w:color w:val="000000"/>
                <w:szCs w:val="21"/>
              </w:rPr>
            </w:pPr>
            <w:r>
              <w:rPr>
                <w:rFonts w:hint="eastAsia" w:ascii="宋体" w:hAnsi="宋体" w:eastAsia="宋体" w:cs="宋体"/>
                <w:color w:val="000000"/>
                <w:szCs w:val="21"/>
              </w:rPr>
              <w:t>2、企业规章制度较完善，对本项目造价控制的服务质量保证和承诺较充分，有关于保证明按时按质按量完成委托的咨询业务，对咨询服务的真实性、准确性负责，违约责任，经济赔偿大小的承诺书评为良：(2,4]分；</w:t>
            </w:r>
          </w:p>
          <w:p w14:paraId="222B7DC9">
            <w:pPr>
              <w:spacing w:line="360" w:lineRule="auto"/>
              <w:rPr>
                <w:rFonts w:hint="eastAsia" w:ascii="宋体" w:hAnsi="宋体" w:eastAsia="宋体" w:cs="宋体"/>
                <w:color w:val="000000"/>
                <w:szCs w:val="21"/>
              </w:rPr>
            </w:pPr>
            <w:r>
              <w:rPr>
                <w:rFonts w:hint="eastAsia" w:ascii="宋体" w:hAnsi="宋体" w:eastAsia="宋体" w:cs="宋体"/>
                <w:color w:val="000000"/>
                <w:szCs w:val="21"/>
              </w:rPr>
              <w:t>3、企业规章制度不完善，没有对本项目造价控制的服务质量保证和承诺书或承诺书的阐述不明确、不符合招标文件要求的评为差：(0,2]分。</w:t>
            </w:r>
          </w:p>
          <w:p w14:paraId="6E5BEF6C">
            <w:pPr>
              <w:spacing w:line="36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000000"/>
                <w:szCs w:val="21"/>
              </w:rPr>
              <w:t>没有提供的不得分。</w:t>
            </w:r>
          </w:p>
        </w:tc>
      </w:tr>
      <w:tr w14:paraId="44870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58" w:type="dxa"/>
            <w:gridSpan w:val="2"/>
            <w:vAlign w:val="center"/>
          </w:tcPr>
          <w:p w14:paraId="38D0EC14">
            <w:pPr>
              <w:spacing w:line="360" w:lineRule="auto"/>
              <w:rPr>
                <w:rFonts w:hint="eastAsia" w:ascii="宋体" w:hAnsi="宋体" w:cs="Calibri"/>
                <w:color w:val="auto"/>
                <w:szCs w:val="21"/>
                <w:highlight w:val="none"/>
              </w:rPr>
            </w:pPr>
            <w:r>
              <w:rPr>
                <w:rFonts w:hint="eastAsia" w:ascii="宋体" w:hAnsi="宋体" w:cs="Calibri"/>
                <w:color w:val="auto"/>
                <w:szCs w:val="21"/>
                <w:highlight w:val="none"/>
              </w:rPr>
              <w:t>2.2.4（3）</w:t>
            </w:r>
          </w:p>
        </w:tc>
        <w:tc>
          <w:tcPr>
            <w:tcW w:w="1169" w:type="dxa"/>
            <w:vAlign w:val="center"/>
          </w:tcPr>
          <w:p w14:paraId="0EEA4C9D">
            <w:pPr>
              <w:spacing w:line="360" w:lineRule="auto"/>
              <w:rPr>
                <w:rFonts w:hint="eastAsia" w:ascii="宋体" w:hAnsi="宋体" w:cs="Calibri"/>
                <w:color w:val="auto"/>
                <w:szCs w:val="21"/>
                <w:highlight w:val="none"/>
              </w:rPr>
            </w:pPr>
            <w:r>
              <w:rPr>
                <w:rFonts w:ascii="宋体" w:hAnsi="宋体"/>
                <w:color w:val="auto"/>
                <w:szCs w:val="21"/>
                <w:highlight w:val="none"/>
              </w:rPr>
              <w:t>投标报价评分标准</w:t>
            </w:r>
            <w:r>
              <w:rPr>
                <w:rFonts w:hint="eastAsia" w:ascii="宋体" w:hAnsi="宋体" w:cs="宋体"/>
                <w:color w:val="auto"/>
                <w:szCs w:val="21"/>
                <w:highlight w:val="none"/>
              </w:rPr>
              <w:t>【10分】</w:t>
            </w:r>
          </w:p>
        </w:tc>
        <w:tc>
          <w:tcPr>
            <w:tcW w:w="1701" w:type="dxa"/>
            <w:vAlign w:val="center"/>
          </w:tcPr>
          <w:p w14:paraId="2C30B966">
            <w:pPr>
              <w:spacing w:line="360" w:lineRule="auto"/>
              <w:jc w:val="center"/>
              <w:rPr>
                <w:rFonts w:hint="eastAsia" w:ascii="宋体" w:hAnsi="宋体" w:eastAsia="宋体" w:cs="宋体"/>
                <w:szCs w:val="21"/>
              </w:rPr>
            </w:pPr>
            <w:r>
              <w:rPr>
                <w:rFonts w:hint="eastAsia" w:ascii="宋体" w:hAnsi="宋体" w:eastAsia="宋体" w:cs="宋体"/>
                <w:szCs w:val="21"/>
              </w:rPr>
              <w:t>投标报价</w:t>
            </w:r>
          </w:p>
          <w:p w14:paraId="53C79E08">
            <w:pPr>
              <w:spacing w:line="360" w:lineRule="auto"/>
              <w:jc w:val="center"/>
              <w:rPr>
                <w:rFonts w:hint="eastAsia" w:ascii="宋体" w:hAnsi="宋体" w:eastAsia="宋体" w:cs="宋体"/>
                <w:color w:val="auto"/>
                <w:szCs w:val="21"/>
                <w:highlight w:val="none"/>
              </w:rPr>
            </w:pPr>
            <w:r>
              <w:rPr>
                <w:rFonts w:hint="eastAsia" w:ascii="宋体" w:hAnsi="宋体" w:eastAsia="宋体" w:cs="宋体"/>
                <w:szCs w:val="21"/>
              </w:rPr>
              <w:t>（10分）</w:t>
            </w:r>
          </w:p>
        </w:tc>
        <w:tc>
          <w:tcPr>
            <w:tcW w:w="5956" w:type="dxa"/>
            <w:vAlign w:val="center"/>
          </w:tcPr>
          <w:p w14:paraId="341B7927">
            <w:pPr>
              <w:spacing w:line="360" w:lineRule="auto"/>
              <w:rPr>
                <w:rFonts w:hint="eastAsia" w:ascii="宋体" w:hAnsi="宋体" w:eastAsia="宋体" w:cs="宋体"/>
                <w:color w:val="auto"/>
                <w:szCs w:val="21"/>
                <w:highlight w:val="none"/>
              </w:rPr>
            </w:pPr>
            <w:r>
              <w:rPr>
                <w:rFonts w:hint="eastAsia" w:ascii="宋体" w:hAnsi="宋体" w:eastAsia="宋体" w:cs="宋体"/>
                <w:szCs w:val="21"/>
              </w:rPr>
              <w:t>投标报价得分以评标基准价作为计算各有效投标报价得分的基础，当有效投标报价等于评标基准价时得10分；有效投标报价每高出评标参考价1%扣0.4分，每低于评标参考价1%扣0.1分，不足1%时按直线内插法计算，最多扣至0分止，计算出报价得分。报价得分四舍五入保留2位小数。</w:t>
            </w:r>
          </w:p>
        </w:tc>
      </w:tr>
    </w:tbl>
    <w:p w14:paraId="53214DFC">
      <w:pPr>
        <w:pStyle w:val="2"/>
        <w:keepNext w:val="0"/>
        <w:keepLines w:val="0"/>
        <w:spacing w:before="0" w:after="0" w:line="240" w:lineRule="auto"/>
        <w:jc w:val="center"/>
        <w:rPr>
          <w:rFonts w:hint="eastAsia" w:ascii="宋体" w:hAnsi="宋体" w:cs="宋体"/>
          <w:color w:val="auto"/>
          <w:highlight w:val="none"/>
        </w:rPr>
      </w:pPr>
    </w:p>
    <w:p w14:paraId="2C1428C7">
      <w:pPr>
        <w:tabs>
          <w:tab w:val="left" w:pos="993"/>
        </w:tabs>
        <w:spacing w:line="360" w:lineRule="auto"/>
        <w:rPr>
          <w:rFonts w:hint="eastAsia" w:ascii="宋体" w:hAnsi="宋体"/>
          <w:color w:val="auto"/>
          <w:szCs w:val="21"/>
          <w:highlight w:val="none"/>
        </w:rPr>
      </w:pPr>
      <w:r>
        <w:rPr>
          <w:rFonts w:hint="eastAsia" w:ascii="宋体" w:hAnsi="宋体" w:cs="宋体"/>
          <w:color w:val="auto"/>
          <w:szCs w:val="21"/>
          <w:highlight w:val="none"/>
        </w:rPr>
        <w:t>说明</w:t>
      </w:r>
      <w:r>
        <w:rPr>
          <w:rFonts w:hint="eastAsia" w:ascii="宋体" w:hAnsi="宋体"/>
          <w:color w:val="auto"/>
          <w:szCs w:val="21"/>
          <w:highlight w:val="none"/>
        </w:rPr>
        <w:t>：</w:t>
      </w:r>
    </w:p>
    <w:p w14:paraId="79AFD45F">
      <w:pPr>
        <w:adjustRightInd w:val="0"/>
        <w:snapToGrid w:val="0"/>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1.</w:t>
      </w:r>
      <w:r>
        <w:rPr>
          <w:rFonts w:hint="eastAsia" w:ascii="宋体" w:hAnsi="宋体"/>
          <w:szCs w:val="21"/>
        </w:rPr>
        <w:t>评分如出现小数点，则保留小数点后两位，第三位四舍五入。</w:t>
      </w:r>
    </w:p>
    <w:p w14:paraId="6B828148">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color w:val="auto"/>
          <w:szCs w:val="21"/>
          <w:highlight w:val="none"/>
        </w:rPr>
        <w:t>2.</w:t>
      </w:r>
      <w:r>
        <w:rPr>
          <w:rFonts w:hint="eastAsia" w:ascii="宋体" w:hAnsi="宋体"/>
          <w:bCs/>
          <w:szCs w:val="21"/>
        </w:rPr>
        <w:t>投标人的综合得分为将各评委的评分去掉一个最高分和去掉一个最低分后取算术平均分（分数出现小数点时，保留小数点后二位，第三位小数四舍五入）。</w:t>
      </w:r>
    </w:p>
    <w:p w14:paraId="51B21B8C">
      <w:pPr>
        <w:adjustRightInd w:val="0"/>
        <w:snapToGrid w:val="0"/>
        <w:spacing w:line="360" w:lineRule="auto"/>
        <w:ind w:firstLine="420" w:firstLineChars="200"/>
        <w:rPr>
          <w:rFonts w:hint="eastAsia" w:ascii="宋体" w:hAnsi="宋体"/>
          <w:bCs/>
          <w:color w:val="auto"/>
          <w:szCs w:val="21"/>
          <w:highlight w:val="none"/>
        </w:rPr>
      </w:pPr>
      <w:r>
        <w:rPr>
          <w:rFonts w:hint="eastAsia" w:ascii="宋体" w:hAnsi="宋体"/>
          <w:bCs/>
          <w:color w:val="auto"/>
          <w:szCs w:val="21"/>
          <w:highlight w:val="none"/>
        </w:rPr>
        <w:t>3.</w:t>
      </w:r>
      <w:r>
        <w:rPr>
          <w:rFonts w:hint="eastAsia" w:ascii="宋体" w:hAnsi="宋体"/>
          <w:bCs/>
          <w:szCs w:val="21"/>
        </w:rPr>
        <w:t>所有人员须提供近</w:t>
      </w:r>
      <w:r>
        <w:rPr>
          <w:rFonts w:ascii="宋体" w:hAnsi="宋体"/>
          <w:bCs/>
          <w:szCs w:val="21"/>
        </w:rPr>
        <w:t>1</w:t>
      </w:r>
      <w:r>
        <w:rPr>
          <w:rFonts w:hint="eastAsia" w:ascii="宋体" w:hAnsi="宋体"/>
          <w:bCs/>
          <w:szCs w:val="21"/>
        </w:rPr>
        <w:t>个月（即2025年</w:t>
      </w:r>
      <w:r>
        <w:rPr>
          <w:rFonts w:hint="eastAsia" w:ascii="宋体" w:hAnsi="宋体"/>
          <w:bCs/>
          <w:szCs w:val="21"/>
          <w:lang w:val="en-US" w:eastAsia="zh-CN"/>
        </w:rPr>
        <w:t>6</w:t>
      </w:r>
      <w:r>
        <w:rPr>
          <w:rFonts w:hint="eastAsia" w:ascii="宋体" w:hAnsi="宋体"/>
          <w:bCs/>
          <w:szCs w:val="21"/>
        </w:rPr>
        <w:t>月）由社保行政主管部门出具的社保证明资料扫描件，否则不计分。</w:t>
      </w:r>
    </w:p>
    <w:p w14:paraId="42889A54">
      <w:pPr>
        <w:spacing w:line="360" w:lineRule="auto"/>
        <w:ind w:left="55" w:leftChars="26" w:firstLine="315" w:firstLineChars="15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szCs w:val="21"/>
        </w:rPr>
        <w:t>关于高级或以上职称证书认定的相关说明：投标人应提供由人社部门核发的职称证书，若职称证书不是由人社部门核发，则应提供核发机构（或该机构职称评审委员会）获得人社部门授权或核准备案证明其具有职称评审权的证明文件复印件，或该人员在人社部门职称管理系统登记的获得该职称的信息记录网页或截图打印件。</w:t>
      </w:r>
    </w:p>
    <w:p w14:paraId="39BA392A">
      <w:pPr>
        <w:spacing w:line="360" w:lineRule="auto"/>
        <w:ind w:left="55" w:leftChars="26" w:firstLine="315" w:firstLineChars="1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5、注册一级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注册一级造价工程师。香港专业人士的备案业务范围依据《广东省住房和城乡建设厅关于印发香港工程建设咨询企业和专业人士在粤港澳大湾区内地城市开业执业试点管理暂行办法的通知》（粤建规范〔2020〕1号）确定。</w:t>
      </w:r>
    </w:p>
    <w:p w14:paraId="385BFAEB">
      <w:pPr>
        <w:spacing w:line="360" w:lineRule="auto"/>
        <w:ind w:left="55" w:leftChars="26" w:firstLine="315" w:firstLineChars="150"/>
        <w:rPr>
          <w:rFonts w:hint="eastAsia" w:ascii="宋体" w:hAnsi="宋体" w:cs="宋体"/>
          <w:color w:val="auto"/>
          <w:szCs w:val="21"/>
          <w:highlight w:val="none"/>
          <w:lang w:val="en-US" w:eastAsia="zh-CN"/>
        </w:rPr>
      </w:pPr>
    </w:p>
    <w:p w14:paraId="63B27AB2">
      <w:pPr>
        <w:pStyle w:val="3"/>
        <w:spacing w:line="360" w:lineRule="auto"/>
        <w:rPr>
          <w:rFonts w:hint="eastAsia" w:ascii="宋体" w:hAnsi="宋体"/>
          <w:color w:val="auto"/>
          <w:szCs w:val="21"/>
          <w:highlight w:val="none"/>
        </w:rPr>
      </w:pPr>
      <w:r>
        <w:rPr>
          <w:rFonts w:hint="eastAsia" w:ascii="宋体" w:hAnsi="宋体"/>
          <w:color w:val="auto"/>
          <w:szCs w:val="21"/>
          <w:highlight w:val="none"/>
        </w:rPr>
        <w:t>附件：</w:t>
      </w:r>
    </w:p>
    <w:p w14:paraId="3104BE86">
      <w:pPr>
        <w:jc w:val="center"/>
        <w:rPr>
          <w:rFonts w:ascii="宋体" w:hAnsi="宋体"/>
          <w:b/>
          <w:sz w:val="30"/>
          <w:szCs w:val="30"/>
        </w:rPr>
      </w:pPr>
      <w:bookmarkStart w:id="667" w:name="_Toc7335"/>
      <w:r>
        <w:rPr>
          <w:rFonts w:hint="eastAsia" w:ascii="宋体" w:hAnsi="宋体"/>
          <w:b/>
          <w:sz w:val="30"/>
          <w:szCs w:val="30"/>
        </w:rPr>
        <w:t>《投标人投入主要人员基本要求表》</w:t>
      </w:r>
    </w:p>
    <w:p w14:paraId="7B249347">
      <w:pPr>
        <w:spacing w:line="256" w:lineRule="exact"/>
        <w:jc w:val="center"/>
        <w:rPr>
          <w:rFonts w:ascii="宋体" w:hAnsi="宋体"/>
          <w:b/>
        </w:rPr>
      </w:pP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1057"/>
        <w:gridCol w:w="3913"/>
        <w:gridCol w:w="3300"/>
      </w:tblGrid>
      <w:tr w14:paraId="51788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627" w:type="pct"/>
            <w:vAlign w:val="center"/>
          </w:tcPr>
          <w:p w14:paraId="10644146">
            <w:pPr>
              <w:widowControl/>
              <w:spacing w:line="256" w:lineRule="exact"/>
              <w:jc w:val="center"/>
              <w:rPr>
                <w:rFonts w:ascii="宋体" w:hAnsi="宋体" w:cs="宋体"/>
                <w:b/>
                <w:kern w:val="0"/>
                <w:szCs w:val="21"/>
              </w:rPr>
            </w:pPr>
            <w:r>
              <w:rPr>
                <w:rFonts w:hint="eastAsia" w:ascii="宋体" w:hAnsi="宋体" w:cs="宋体"/>
                <w:b/>
                <w:kern w:val="0"/>
                <w:szCs w:val="21"/>
              </w:rPr>
              <w:t>项目管理团队</w:t>
            </w:r>
          </w:p>
        </w:tc>
        <w:tc>
          <w:tcPr>
            <w:tcW w:w="559" w:type="pct"/>
            <w:vAlign w:val="center"/>
          </w:tcPr>
          <w:p w14:paraId="3DA7C11E">
            <w:pPr>
              <w:widowControl/>
              <w:spacing w:line="256" w:lineRule="exact"/>
              <w:jc w:val="center"/>
              <w:rPr>
                <w:rFonts w:ascii="宋体" w:hAnsi="宋体" w:cs="宋体"/>
                <w:b/>
                <w:kern w:val="0"/>
                <w:szCs w:val="21"/>
              </w:rPr>
            </w:pPr>
            <w:r>
              <w:rPr>
                <w:rFonts w:hint="eastAsia" w:ascii="宋体" w:hAnsi="宋体" w:cs="宋体"/>
                <w:b/>
                <w:kern w:val="0"/>
                <w:szCs w:val="21"/>
              </w:rPr>
              <w:t>数量(名)</w:t>
            </w:r>
          </w:p>
        </w:tc>
        <w:tc>
          <w:tcPr>
            <w:tcW w:w="2069" w:type="pct"/>
            <w:vAlign w:val="center"/>
          </w:tcPr>
          <w:p w14:paraId="03CE068D">
            <w:pPr>
              <w:widowControl/>
              <w:spacing w:line="256" w:lineRule="exact"/>
              <w:jc w:val="center"/>
              <w:rPr>
                <w:rFonts w:ascii="宋体" w:hAnsi="宋体" w:cs="宋体"/>
                <w:b/>
                <w:kern w:val="0"/>
                <w:szCs w:val="21"/>
              </w:rPr>
            </w:pPr>
            <w:r>
              <w:rPr>
                <w:rFonts w:hint="eastAsia" w:ascii="宋体" w:hAnsi="宋体" w:cs="宋体"/>
                <w:b/>
                <w:kern w:val="0"/>
                <w:szCs w:val="21"/>
              </w:rPr>
              <w:t>基本要求</w:t>
            </w:r>
          </w:p>
        </w:tc>
        <w:tc>
          <w:tcPr>
            <w:tcW w:w="1745" w:type="pct"/>
            <w:vAlign w:val="center"/>
          </w:tcPr>
          <w:p w14:paraId="70CA1E1F">
            <w:pPr>
              <w:widowControl/>
              <w:spacing w:line="256" w:lineRule="exact"/>
              <w:jc w:val="center"/>
              <w:rPr>
                <w:rFonts w:ascii="宋体" w:hAnsi="宋体" w:cs="宋体"/>
                <w:b/>
                <w:kern w:val="0"/>
                <w:szCs w:val="21"/>
              </w:rPr>
            </w:pPr>
            <w:r>
              <w:rPr>
                <w:rFonts w:hint="eastAsia" w:ascii="宋体" w:hAnsi="宋体" w:cs="宋体"/>
                <w:b/>
                <w:kern w:val="0"/>
                <w:szCs w:val="21"/>
              </w:rPr>
              <w:t>备注</w:t>
            </w:r>
          </w:p>
        </w:tc>
      </w:tr>
      <w:tr w14:paraId="62A37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627" w:type="pct"/>
            <w:vAlign w:val="center"/>
          </w:tcPr>
          <w:p w14:paraId="3A0DEBBB">
            <w:pPr>
              <w:widowControl/>
              <w:spacing w:line="256" w:lineRule="exact"/>
              <w:ind w:left="-48" w:leftChars="-23"/>
              <w:jc w:val="center"/>
              <w:rPr>
                <w:rFonts w:ascii="宋体" w:hAnsi="宋体" w:cs="宋体"/>
                <w:kern w:val="0"/>
                <w:szCs w:val="21"/>
              </w:rPr>
            </w:pPr>
            <w:r>
              <w:rPr>
                <w:rFonts w:hint="eastAsia" w:ascii="宋体" w:hAnsi="宋体" w:cs="宋体"/>
                <w:kern w:val="0"/>
                <w:szCs w:val="21"/>
              </w:rPr>
              <w:t>项目负责人</w:t>
            </w:r>
          </w:p>
        </w:tc>
        <w:tc>
          <w:tcPr>
            <w:tcW w:w="559" w:type="pct"/>
            <w:vAlign w:val="center"/>
          </w:tcPr>
          <w:p w14:paraId="570AC870">
            <w:pPr>
              <w:widowControl/>
              <w:spacing w:line="256" w:lineRule="exact"/>
              <w:ind w:left="-48" w:leftChars="-23"/>
              <w:jc w:val="center"/>
              <w:rPr>
                <w:rFonts w:ascii="宋体" w:hAnsi="宋体" w:cs="宋体"/>
                <w:kern w:val="0"/>
                <w:szCs w:val="21"/>
              </w:rPr>
            </w:pPr>
            <w:r>
              <w:rPr>
                <w:rFonts w:hint="eastAsia" w:ascii="宋体" w:hAnsi="宋体" w:cs="宋体"/>
                <w:kern w:val="0"/>
                <w:szCs w:val="21"/>
              </w:rPr>
              <w:t>1</w:t>
            </w:r>
          </w:p>
        </w:tc>
        <w:tc>
          <w:tcPr>
            <w:tcW w:w="2069" w:type="pct"/>
            <w:vAlign w:val="center"/>
          </w:tcPr>
          <w:p w14:paraId="46528275">
            <w:pPr>
              <w:widowControl/>
              <w:spacing w:line="256" w:lineRule="exact"/>
              <w:ind w:left="-48" w:leftChars="-23"/>
              <w:rPr>
                <w:rFonts w:ascii="宋体" w:hAnsi="宋体" w:cs="宋体"/>
                <w:kern w:val="0"/>
                <w:szCs w:val="21"/>
              </w:rPr>
            </w:pPr>
            <w:r>
              <w:rPr>
                <w:rFonts w:hint="eastAsia" w:ascii="宋体" w:hAnsi="宋体" w:cs="宋体"/>
                <w:kern w:val="0"/>
                <w:szCs w:val="21"/>
              </w:rPr>
              <w:t>按招标公告要求</w:t>
            </w:r>
          </w:p>
        </w:tc>
        <w:tc>
          <w:tcPr>
            <w:tcW w:w="1745" w:type="pct"/>
            <w:vAlign w:val="center"/>
          </w:tcPr>
          <w:p w14:paraId="61004DA0">
            <w:pPr>
              <w:rPr>
                <w:szCs w:val="21"/>
              </w:rPr>
            </w:pPr>
          </w:p>
        </w:tc>
      </w:tr>
      <w:tr w14:paraId="49311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27" w:type="pct"/>
            <w:vAlign w:val="center"/>
          </w:tcPr>
          <w:p w14:paraId="61F2C04B">
            <w:pPr>
              <w:widowControl/>
              <w:spacing w:line="256" w:lineRule="exact"/>
              <w:ind w:left="-48" w:leftChars="-23"/>
              <w:jc w:val="center"/>
              <w:rPr>
                <w:rFonts w:ascii="宋体" w:hAnsi="宋体" w:cs="宋体"/>
                <w:kern w:val="0"/>
                <w:szCs w:val="21"/>
              </w:rPr>
            </w:pPr>
            <w:r>
              <w:rPr>
                <w:rFonts w:hint="eastAsia" w:ascii="宋体" w:hAnsi="宋体" w:cs="宋体"/>
                <w:kern w:val="0"/>
                <w:szCs w:val="21"/>
              </w:rPr>
              <w:t>一级注册造价工程师</w:t>
            </w:r>
          </w:p>
        </w:tc>
        <w:tc>
          <w:tcPr>
            <w:tcW w:w="559" w:type="pct"/>
            <w:vAlign w:val="center"/>
          </w:tcPr>
          <w:p w14:paraId="4A666130">
            <w:pPr>
              <w:widowControl/>
              <w:spacing w:line="256" w:lineRule="exact"/>
              <w:ind w:left="-48" w:leftChars="-23"/>
              <w:jc w:val="center"/>
              <w:rPr>
                <w:rFonts w:ascii="宋体" w:hAnsi="宋体" w:cs="宋体"/>
                <w:kern w:val="0"/>
                <w:szCs w:val="21"/>
              </w:rPr>
            </w:pPr>
            <w:r>
              <w:rPr>
                <w:rFonts w:hint="eastAsia" w:ascii="宋体" w:hAnsi="宋体" w:cs="宋体"/>
                <w:kern w:val="0"/>
                <w:szCs w:val="21"/>
              </w:rPr>
              <w:t>3</w:t>
            </w:r>
          </w:p>
        </w:tc>
        <w:tc>
          <w:tcPr>
            <w:tcW w:w="2069" w:type="pct"/>
            <w:vAlign w:val="center"/>
          </w:tcPr>
          <w:p w14:paraId="46A31607">
            <w:pPr>
              <w:widowControl/>
              <w:spacing w:line="256" w:lineRule="exact"/>
              <w:ind w:left="-48" w:leftChars="-23"/>
              <w:rPr>
                <w:rFonts w:ascii="宋体" w:hAnsi="宋体" w:cs="宋体"/>
                <w:kern w:val="0"/>
                <w:szCs w:val="21"/>
              </w:rPr>
            </w:pPr>
            <w:r>
              <w:rPr>
                <w:rFonts w:hint="eastAsia" w:ascii="宋体" w:hAnsi="宋体" w:cs="宋体"/>
                <w:kern w:val="0"/>
                <w:szCs w:val="21"/>
              </w:rPr>
              <w:t>具备一级注册造价工程师执业资格（注册专业为土建专业）</w:t>
            </w:r>
          </w:p>
        </w:tc>
        <w:tc>
          <w:tcPr>
            <w:tcW w:w="1745" w:type="pct"/>
            <w:vAlign w:val="center"/>
          </w:tcPr>
          <w:p w14:paraId="7E033685">
            <w:pPr>
              <w:widowControl/>
              <w:spacing w:line="256" w:lineRule="exact"/>
              <w:rPr>
                <w:rFonts w:ascii="宋体" w:hAnsi="宋体" w:cs="宋体"/>
                <w:kern w:val="0"/>
                <w:szCs w:val="21"/>
              </w:rPr>
            </w:pPr>
            <w:r>
              <w:rPr>
                <w:rFonts w:hint="eastAsia" w:ascii="宋体" w:hAnsi="宋体" w:cs="宋体"/>
                <w:kern w:val="0"/>
                <w:szCs w:val="21"/>
              </w:rPr>
              <w:t>须提供</w:t>
            </w:r>
            <w:r>
              <w:rPr>
                <w:rFonts w:hint="eastAsia" w:ascii="宋体" w:hAnsi="宋体" w:cs="宋体"/>
                <w:color w:val="000000"/>
                <w:szCs w:val="21"/>
              </w:rPr>
              <w:t>造价工程师注册证、执业资格证，注册造价工程师证的注册单位须为投标人。</w:t>
            </w:r>
          </w:p>
        </w:tc>
      </w:tr>
      <w:tr w14:paraId="171FC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27" w:type="pct"/>
            <w:vAlign w:val="center"/>
          </w:tcPr>
          <w:p w14:paraId="0BB15606">
            <w:pPr>
              <w:widowControl/>
              <w:spacing w:line="256" w:lineRule="exact"/>
              <w:ind w:left="-48" w:leftChars="-23"/>
              <w:jc w:val="center"/>
              <w:rPr>
                <w:rFonts w:ascii="宋体" w:hAnsi="宋体" w:cs="宋体"/>
                <w:kern w:val="0"/>
                <w:szCs w:val="21"/>
              </w:rPr>
            </w:pPr>
            <w:r>
              <w:rPr>
                <w:rFonts w:hint="eastAsia" w:ascii="宋体" w:hAnsi="宋体" w:cs="宋体"/>
                <w:kern w:val="0"/>
                <w:szCs w:val="21"/>
              </w:rPr>
              <w:t>一级注册造价工程师</w:t>
            </w:r>
          </w:p>
        </w:tc>
        <w:tc>
          <w:tcPr>
            <w:tcW w:w="559" w:type="pct"/>
            <w:vAlign w:val="center"/>
          </w:tcPr>
          <w:p w14:paraId="4D5A053B">
            <w:pPr>
              <w:widowControl/>
              <w:spacing w:line="256" w:lineRule="exact"/>
              <w:ind w:left="-48" w:leftChars="-23"/>
              <w:jc w:val="center"/>
              <w:rPr>
                <w:rFonts w:ascii="宋体" w:hAnsi="宋体" w:cs="宋体"/>
                <w:kern w:val="0"/>
                <w:szCs w:val="21"/>
              </w:rPr>
            </w:pPr>
            <w:r>
              <w:rPr>
                <w:rFonts w:hint="eastAsia" w:ascii="宋体" w:hAnsi="宋体" w:cs="宋体"/>
                <w:kern w:val="0"/>
                <w:szCs w:val="21"/>
              </w:rPr>
              <w:t>3</w:t>
            </w:r>
          </w:p>
        </w:tc>
        <w:tc>
          <w:tcPr>
            <w:tcW w:w="2069" w:type="pct"/>
            <w:vAlign w:val="center"/>
          </w:tcPr>
          <w:p w14:paraId="410E881F">
            <w:pPr>
              <w:widowControl/>
              <w:spacing w:line="256" w:lineRule="exact"/>
              <w:ind w:left="-48" w:leftChars="-23"/>
              <w:rPr>
                <w:rFonts w:ascii="宋体" w:hAnsi="宋体" w:cs="宋体"/>
                <w:kern w:val="0"/>
                <w:szCs w:val="21"/>
              </w:rPr>
            </w:pPr>
            <w:r>
              <w:rPr>
                <w:rFonts w:hint="eastAsia" w:ascii="宋体" w:hAnsi="宋体" w:cs="宋体"/>
                <w:kern w:val="0"/>
                <w:szCs w:val="21"/>
              </w:rPr>
              <w:t>具备一级注册造价工程师执业资格（注册专业为安装专业）</w:t>
            </w:r>
          </w:p>
        </w:tc>
        <w:tc>
          <w:tcPr>
            <w:tcW w:w="1745" w:type="pct"/>
            <w:vAlign w:val="center"/>
          </w:tcPr>
          <w:p w14:paraId="4A6517AB">
            <w:pPr>
              <w:widowControl/>
              <w:spacing w:line="256" w:lineRule="exact"/>
              <w:rPr>
                <w:rFonts w:ascii="宋体" w:hAnsi="宋体" w:cs="宋体"/>
                <w:kern w:val="0"/>
                <w:szCs w:val="21"/>
              </w:rPr>
            </w:pPr>
            <w:r>
              <w:rPr>
                <w:rFonts w:hint="eastAsia" w:ascii="宋体" w:hAnsi="宋体" w:cs="宋体"/>
                <w:kern w:val="0"/>
                <w:szCs w:val="21"/>
              </w:rPr>
              <w:t>须提供</w:t>
            </w:r>
            <w:r>
              <w:rPr>
                <w:rFonts w:hint="eastAsia" w:ascii="宋体" w:hAnsi="宋体" w:cs="宋体"/>
                <w:color w:val="000000"/>
                <w:szCs w:val="21"/>
              </w:rPr>
              <w:t>造价工程师注册证、执业资格证，注册造价工程师证的注册单位须为投标人。</w:t>
            </w:r>
          </w:p>
        </w:tc>
      </w:tr>
      <w:tr w14:paraId="5BE9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27" w:type="pct"/>
            <w:vAlign w:val="center"/>
          </w:tcPr>
          <w:p w14:paraId="2225CBFF">
            <w:pPr>
              <w:widowControl/>
              <w:spacing w:line="256" w:lineRule="exact"/>
              <w:ind w:left="-48" w:leftChars="-23"/>
              <w:jc w:val="center"/>
              <w:rPr>
                <w:rFonts w:ascii="宋体" w:hAnsi="宋体" w:cs="宋体"/>
                <w:kern w:val="0"/>
                <w:szCs w:val="21"/>
              </w:rPr>
            </w:pPr>
            <w:r>
              <w:rPr>
                <w:rFonts w:hint="eastAsia" w:ascii="宋体" w:hAnsi="宋体"/>
                <w:szCs w:val="21"/>
              </w:rPr>
              <w:t>建筑专业造价人员</w:t>
            </w:r>
          </w:p>
        </w:tc>
        <w:tc>
          <w:tcPr>
            <w:tcW w:w="559" w:type="pct"/>
            <w:vAlign w:val="center"/>
          </w:tcPr>
          <w:p w14:paraId="76450184">
            <w:pPr>
              <w:widowControl/>
              <w:spacing w:line="256" w:lineRule="exact"/>
              <w:ind w:left="-48" w:leftChars="-23"/>
              <w:jc w:val="center"/>
              <w:rPr>
                <w:rFonts w:ascii="宋体" w:hAnsi="宋体" w:cs="宋体"/>
                <w:kern w:val="0"/>
                <w:szCs w:val="21"/>
              </w:rPr>
            </w:pPr>
            <w:r>
              <w:rPr>
                <w:rFonts w:hint="eastAsia" w:ascii="宋体" w:hAnsi="宋体" w:cs="宋体"/>
                <w:kern w:val="0"/>
                <w:szCs w:val="21"/>
              </w:rPr>
              <w:t>1</w:t>
            </w:r>
          </w:p>
        </w:tc>
        <w:tc>
          <w:tcPr>
            <w:tcW w:w="2069" w:type="pct"/>
            <w:vAlign w:val="center"/>
          </w:tcPr>
          <w:p w14:paraId="40456E49">
            <w:pPr>
              <w:widowControl/>
              <w:spacing w:line="256" w:lineRule="exact"/>
              <w:ind w:left="-48" w:leftChars="-23"/>
              <w:rPr>
                <w:rFonts w:ascii="宋体" w:hAnsi="宋体" w:cs="宋体"/>
                <w:kern w:val="0"/>
                <w:szCs w:val="21"/>
              </w:rPr>
            </w:pPr>
            <w:r>
              <w:rPr>
                <w:rFonts w:hint="eastAsia" w:ascii="宋体" w:hAnsi="宋体"/>
                <w:szCs w:val="21"/>
              </w:rPr>
              <w:t>具备建筑类专业中级工程师或以上技术职称</w:t>
            </w:r>
          </w:p>
        </w:tc>
        <w:tc>
          <w:tcPr>
            <w:tcW w:w="1745" w:type="pct"/>
            <w:vAlign w:val="center"/>
          </w:tcPr>
          <w:p w14:paraId="77A78772">
            <w:pPr>
              <w:widowControl/>
              <w:spacing w:line="256" w:lineRule="exact"/>
              <w:ind w:left="-48" w:leftChars="-23"/>
              <w:rPr>
                <w:rFonts w:ascii="宋体" w:hAnsi="宋体" w:cs="宋体"/>
                <w:kern w:val="0"/>
                <w:szCs w:val="21"/>
              </w:rPr>
            </w:pPr>
            <w:r>
              <w:rPr>
                <w:rFonts w:hint="eastAsia" w:ascii="宋体" w:hAnsi="宋体" w:cs="宋体"/>
                <w:kern w:val="0"/>
                <w:szCs w:val="21"/>
              </w:rPr>
              <w:t>须提供</w:t>
            </w:r>
            <w:r>
              <w:rPr>
                <w:rFonts w:hint="eastAsia" w:ascii="宋体" w:hAnsi="宋体"/>
                <w:szCs w:val="21"/>
              </w:rPr>
              <w:t>专业技术职称证书。</w:t>
            </w:r>
          </w:p>
        </w:tc>
      </w:tr>
      <w:tr w14:paraId="322D8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27" w:type="pct"/>
            <w:vAlign w:val="center"/>
          </w:tcPr>
          <w:p w14:paraId="7EAB610B">
            <w:pPr>
              <w:widowControl/>
              <w:spacing w:line="256" w:lineRule="exact"/>
              <w:ind w:left="-48" w:leftChars="-23"/>
              <w:jc w:val="center"/>
              <w:rPr>
                <w:rFonts w:ascii="宋体" w:hAnsi="宋体"/>
                <w:szCs w:val="21"/>
              </w:rPr>
            </w:pPr>
            <w:r>
              <w:rPr>
                <w:rFonts w:hint="eastAsia" w:ascii="宋体" w:hAnsi="宋体"/>
                <w:szCs w:val="21"/>
              </w:rPr>
              <w:t>安装专业造价人员</w:t>
            </w:r>
          </w:p>
        </w:tc>
        <w:tc>
          <w:tcPr>
            <w:tcW w:w="559" w:type="pct"/>
            <w:vAlign w:val="center"/>
          </w:tcPr>
          <w:p w14:paraId="3624EBF8">
            <w:pPr>
              <w:widowControl/>
              <w:spacing w:line="256" w:lineRule="exact"/>
              <w:ind w:left="-48" w:leftChars="-23"/>
              <w:jc w:val="center"/>
              <w:rPr>
                <w:rFonts w:ascii="宋体" w:hAnsi="宋体" w:cs="宋体"/>
                <w:kern w:val="0"/>
                <w:szCs w:val="21"/>
              </w:rPr>
            </w:pPr>
            <w:r>
              <w:rPr>
                <w:rFonts w:hint="eastAsia" w:ascii="宋体" w:hAnsi="宋体" w:cs="宋体"/>
                <w:kern w:val="0"/>
                <w:szCs w:val="21"/>
              </w:rPr>
              <w:t>1</w:t>
            </w:r>
          </w:p>
        </w:tc>
        <w:tc>
          <w:tcPr>
            <w:tcW w:w="2069" w:type="pct"/>
            <w:vAlign w:val="center"/>
          </w:tcPr>
          <w:p w14:paraId="59C41A1E">
            <w:pPr>
              <w:widowControl/>
              <w:spacing w:line="256" w:lineRule="exact"/>
              <w:ind w:left="-48" w:leftChars="-23"/>
              <w:rPr>
                <w:rFonts w:ascii="宋体" w:hAnsi="宋体"/>
                <w:szCs w:val="21"/>
              </w:rPr>
            </w:pPr>
            <w:r>
              <w:rPr>
                <w:rFonts w:hint="eastAsia" w:ascii="宋体" w:hAnsi="宋体"/>
                <w:szCs w:val="21"/>
              </w:rPr>
              <w:t>具备安装类专业中级工程师或以上技术职称</w:t>
            </w:r>
          </w:p>
        </w:tc>
        <w:tc>
          <w:tcPr>
            <w:tcW w:w="1745" w:type="pct"/>
            <w:vAlign w:val="center"/>
          </w:tcPr>
          <w:p w14:paraId="6CB6E4C2">
            <w:pPr>
              <w:widowControl/>
              <w:spacing w:line="256" w:lineRule="exact"/>
              <w:ind w:left="-48" w:leftChars="-23"/>
              <w:rPr>
                <w:rFonts w:ascii="宋体" w:hAnsi="宋体" w:cs="宋体"/>
                <w:kern w:val="0"/>
                <w:szCs w:val="21"/>
              </w:rPr>
            </w:pPr>
            <w:r>
              <w:rPr>
                <w:rFonts w:hint="eastAsia" w:ascii="宋体" w:hAnsi="宋体" w:cs="宋体"/>
                <w:kern w:val="0"/>
                <w:szCs w:val="21"/>
              </w:rPr>
              <w:t>须提供</w:t>
            </w:r>
            <w:r>
              <w:rPr>
                <w:rFonts w:hint="eastAsia" w:ascii="宋体" w:hAnsi="宋体"/>
                <w:szCs w:val="21"/>
              </w:rPr>
              <w:t>专业技术职称证书。</w:t>
            </w:r>
          </w:p>
        </w:tc>
      </w:tr>
      <w:tr w14:paraId="6B503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27" w:type="pct"/>
            <w:vAlign w:val="center"/>
          </w:tcPr>
          <w:p w14:paraId="63F7F33B">
            <w:pPr>
              <w:rPr>
                <w:rFonts w:ascii="宋体" w:hAnsi="宋体" w:cs="宋体"/>
                <w:kern w:val="0"/>
                <w:szCs w:val="21"/>
              </w:rPr>
            </w:pPr>
            <w:r>
              <w:rPr>
                <w:rFonts w:hint="eastAsia" w:ascii="宋体" w:hAnsi="宋体" w:cs="宋体"/>
                <w:kern w:val="0"/>
                <w:szCs w:val="21"/>
              </w:rPr>
              <w:t>资料员、信息联络员</w:t>
            </w:r>
          </w:p>
        </w:tc>
        <w:tc>
          <w:tcPr>
            <w:tcW w:w="559" w:type="pct"/>
            <w:vAlign w:val="center"/>
          </w:tcPr>
          <w:p w14:paraId="23BF0CE2">
            <w:pPr>
              <w:jc w:val="center"/>
              <w:rPr>
                <w:rFonts w:ascii="宋体" w:hAnsi="宋体" w:cs="宋体"/>
                <w:kern w:val="0"/>
                <w:szCs w:val="21"/>
              </w:rPr>
            </w:pPr>
            <w:r>
              <w:rPr>
                <w:rFonts w:hint="eastAsia" w:ascii="宋体" w:hAnsi="宋体" w:cs="宋体"/>
                <w:kern w:val="0"/>
                <w:szCs w:val="21"/>
              </w:rPr>
              <w:t>1</w:t>
            </w:r>
          </w:p>
        </w:tc>
        <w:tc>
          <w:tcPr>
            <w:tcW w:w="2069" w:type="pct"/>
            <w:vAlign w:val="center"/>
          </w:tcPr>
          <w:p w14:paraId="29899C17">
            <w:pPr>
              <w:rPr>
                <w:rFonts w:ascii="宋体" w:hAnsi="宋体" w:cs="宋体"/>
                <w:kern w:val="0"/>
                <w:szCs w:val="21"/>
              </w:rPr>
            </w:pPr>
            <w:r>
              <w:rPr>
                <w:rFonts w:hint="eastAsia" w:ascii="宋体" w:hAnsi="宋体" w:cs="宋体"/>
                <w:kern w:val="0"/>
                <w:szCs w:val="21"/>
              </w:rPr>
              <w:t>中专或以上学历，熟悉应用各类日常办公软件。</w:t>
            </w:r>
          </w:p>
        </w:tc>
        <w:tc>
          <w:tcPr>
            <w:tcW w:w="1745" w:type="pct"/>
            <w:vAlign w:val="center"/>
          </w:tcPr>
          <w:p w14:paraId="3F29B643">
            <w:pPr>
              <w:rPr>
                <w:rFonts w:ascii="宋体" w:hAnsi="宋体" w:cs="宋体"/>
                <w:kern w:val="0"/>
                <w:szCs w:val="21"/>
              </w:rPr>
            </w:pPr>
            <w:r>
              <w:rPr>
                <w:rFonts w:hint="eastAsia" w:ascii="宋体" w:hAnsi="宋体" w:cs="宋体"/>
                <w:kern w:val="0"/>
                <w:szCs w:val="21"/>
              </w:rPr>
              <w:t>毕业证、</w:t>
            </w:r>
            <w:r>
              <w:rPr>
                <w:rFonts w:ascii="宋体" w:hAnsi="宋体" w:cs="宋体"/>
                <w:kern w:val="0"/>
                <w:szCs w:val="21"/>
              </w:rPr>
              <w:t>资料员证</w:t>
            </w:r>
          </w:p>
        </w:tc>
      </w:tr>
      <w:tr w14:paraId="50296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27" w:type="pct"/>
            <w:vAlign w:val="center"/>
          </w:tcPr>
          <w:p w14:paraId="6EE1C5DE">
            <w:pPr>
              <w:widowControl/>
              <w:spacing w:line="256" w:lineRule="exact"/>
              <w:ind w:left="-48" w:leftChars="-23"/>
              <w:jc w:val="center"/>
              <w:rPr>
                <w:rFonts w:ascii="宋体" w:hAnsi="宋体" w:cs="宋体"/>
                <w:kern w:val="0"/>
                <w:szCs w:val="21"/>
              </w:rPr>
            </w:pPr>
            <w:r>
              <w:rPr>
                <w:rFonts w:hint="eastAsia" w:ascii="宋体" w:hAnsi="宋体" w:cs="宋体"/>
                <w:kern w:val="0"/>
                <w:szCs w:val="21"/>
              </w:rPr>
              <w:t>合计</w:t>
            </w:r>
          </w:p>
        </w:tc>
        <w:tc>
          <w:tcPr>
            <w:tcW w:w="559" w:type="pct"/>
            <w:vAlign w:val="center"/>
          </w:tcPr>
          <w:p w14:paraId="1FE92258">
            <w:pPr>
              <w:widowControl/>
              <w:spacing w:line="256" w:lineRule="exact"/>
              <w:ind w:left="-48" w:leftChars="-23"/>
              <w:jc w:val="center"/>
              <w:rPr>
                <w:rFonts w:ascii="宋体" w:hAnsi="宋体" w:cs="宋体"/>
                <w:kern w:val="0"/>
                <w:szCs w:val="21"/>
              </w:rPr>
            </w:pPr>
            <w:r>
              <w:rPr>
                <w:rFonts w:hint="eastAsia" w:ascii="宋体" w:hAnsi="宋体" w:cs="宋体"/>
                <w:kern w:val="0"/>
                <w:szCs w:val="21"/>
              </w:rPr>
              <w:t>10</w:t>
            </w:r>
          </w:p>
        </w:tc>
        <w:tc>
          <w:tcPr>
            <w:tcW w:w="3814" w:type="pct"/>
            <w:gridSpan w:val="2"/>
            <w:vAlign w:val="center"/>
          </w:tcPr>
          <w:p w14:paraId="46ABFB9D">
            <w:pPr>
              <w:widowControl/>
              <w:spacing w:line="256" w:lineRule="exact"/>
              <w:jc w:val="center"/>
              <w:rPr>
                <w:rFonts w:ascii="宋体" w:hAnsi="宋体" w:cs="宋体"/>
                <w:kern w:val="0"/>
                <w:szCs w:val="21"/>
              </w:rPr>
            </w:pPr>
            <w:r>
              <w:rPr>
                <w:rFonts w:hint="eastAsia" w:ascii="宋体" w:hAnsi="宋体" w:cs="宋体"/>
                <w:kern w:val="0"/>
                <w:szCs w:val="21"/>
              </w:rPr>
              <w:t>/</w:t>
            </w:r>
          </w:p>
        </w:tc>
      </w:tr>
    </w:tbl>
    <w:p w14:paraId="0CC00216">
      <w:pPr>
        <w:spacing w:line="256" w:lineRule="exact"/>
        <w:jc w:val="center"/>
        <w:rPr>
          <w:rFonts w:ascii="宋体" w:hAnsi="宋体"/>
          <w:b/>
        </w:rPr>
      </w:pPr>
    </w:p>
    <w:p w14:paraId="19227436">
      <w:pPr>
        <w:spacing w:line="240" w:lineRule="auto"/>
        <w:jc w:val="left"/>
        <w:rPr>
          <w:rFonts w:hint="eastAsia" w:ascii="宋体" w:hAnsi="宋体" w:eastAsia="宋体" w:cs="宋体"/>
          <w:b/>
          <w:sz w:val="24"/>
          <w:szCs w:val="24"/>
        </w:rPr>
      </w:pPr>
      <w:r>
        <w:rPr>
          <w:rFonts w:hint="eastAsia" w:ascii="宋体" w:hAnsi="宋体" w:cs="宋体"/>
          <w:sz w:val="24"/>
        </w:rPr>
        <w:t>注：未实行分级的注册造价工程师自动划分为一级注册造价工程师。</w:t>
      </w:r>
    </w:p>
    <w:p w14:paraId="73EFDAAF">
      <w:pPr>
        <w:pStyle w:val="3"/>
        <w:keepNext w:val="0"/>
        <w:keepLines w:val="0"/>
        <w:spacing w:before="200" w:after="100" w:line="360" w:lineRule="auto"/>
        <w:rPr>
          <w:rFonts w:hint="eastAsia" w:ascii="宋体" w:hAnsi="宋体" w:eastAsia="宋体" w:cs="宋体"/>
          <w:color w:val="auto"/>
          <w:highlight w:val="none"/>
        </w:rPr>
      </w:pPr>
      <w:r>
        <w:rPr>
          <w:rFonts w:hint="eastAsia" w:ascii="宋体" w:hAnsi="宋体" w:eastAsia="宋体" w:cs="宋体"/>
          <w:color w:val="auto"/>
          <w:highlight w:val="none"/>
        </w:rPr>
        <w:t>1. 评标方法</w:t>
      </w:r>
      <w:bookmarkEnd w:id="667"/>
    </w:p>
    <w:p w14:paraId="6677330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评标采用综合评估法。评标委员会对满足招标文件实质性要求的投标文件，按照本章第2.2款规定的评分标准进行打分，并按综合得分由高到低顺序推荐前三名作为中标候选人。如果综合得分相等时，以投标报价低的优先；投标报价也相等的，以资信业绩部分得分高的优先；如仍存在相同情况，由评标委员会采用记名投票方式（不得弃权），以得票多的优先，最终确定中标候选人的排序。</w:t>
      </w:r>
    </w:p>
    <w:p w14:paraId="14E22623">
      <w:pPr>
        <w:pStyle w:val="3"/>
        <w:keepNext w:val="0"/>
        <w:keepLines w:val="0"/>
        <w:spacing w:line="260" w:lineRule="exact"/>
        <w:rPr>
          <w:rFonts w:hint="eastAsia" w:ascii="宋体" w:hAnsi="宋体" w:eastAsia="宋体" w:cs="宋体"/>
          <w:color w:val="auto"/>
          <w:highlight w:val="none"/>
        </w:rPr>
      </w:pPr>
      <w:bookmarkStart w:id="668" w:name="_Toc25506"/>
      <w:r>
        <w:rPr>
          <w:rFonts w:hint="eastAsia" w:ascii="宋体" w:hAnsi="宋体" w:eastAsia="宋体" w:cs="宋体"/>
          <w:color w:val="auto"/>
          <w:highlight w:val="none"/>
        </w:rPr>
        <w:t>2. 评审标准</w:t>
      </w:r>
      <w:bookmarkEnd w:id="668"/>
    </w:p>
    <w:p w14:paraId="5537EC85">
      <w:pPr>
        <w:pStyle w:val="4"/>
        <w:keepNext w:val="0"/>
        <w:keepLines w:val="0"/>
        <w:spacing w:line="240" w:lineRule="auto"/>
        <w:ind w:firstLine="137"/>
        <w:rPr>
          <w:rFonts w:hint="eastAsia" w:ascii="宋体" w:hAnsi="宋体" w:eastAsia="宋体" w:cs="宋体"/>
          <w:color w:val="auto"/>
          <w:highlight w:val="none"/>
        </w:rPr>
      </w:pPr>
      <w:bookmarkStart w:id="669" w:name="_Toc19323"/>
      <w:r>
        <w:rPr>
          <w:rFonts w:hint="eastAsia" w:ascii="宋体" w:hAnsi="宋体" w:eastAsia="宋体" w:cs="宋体"/>
          <w:color w:val="auto"/>
          <w:highlight w:val="none"/>
        </w:rPr>
        <w:t>2.1 初步评审标准</w:t>
      </w:r>
      <w:bookmarkEnd w:id="669"/>
    </w:p>
    <w:p w14:paraId="581F0CF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2.1.1 形式评审标准：见评标办法前附表。</w:t>
      </w:r>
    </w:p>
    <w:p w14:paraId="5BDBA8D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2.1.2 资格评审标准：见评标办法前附表。</w:t>
      </w:r>
    </w:p>
    <w:p w14:paraId="431168D4">
      <w:pPr>
        <w:spacing w:line="400" w:lineRule="exact"/>
        <w:ind w:firstLine="480" w:firstLineChars="200"/>
        <w:rPr>
          <w:rFonts w:hint="eastAsia" w:ascii="宋体" w:hAnsi="宋体" w:cs="宋体"/>
          <w:color w:val="auto"/>
          <w:highlight w:val="none"/>
        </w:rPr>
      </w:pPr>
      <w:r>
        <w:rPr>
          <w:rFonts w:hint="eastAsia" w:ascii="宋体" w:hAnsi="宋体" w:cs="宋体"/>
          <w:color w:val="auto"/>
          <w:sz w:val="24"/>
          <w:szCs w:val="24"/>
          <w:highlight w:val="none"/>
        </w:rPr>
        <w:t>2.1.3 响应性评审标准：见评标办法前附表。</w:t>
      </w:r>
    </w:p>
    <w:p w14:paraId="70F9F2A1">
      <w:pPr>
        <w:pStyle w:val="4"/>
        <w:keepNext w:val="0"/>
        <w:keepLines w:val="0"/>
        <w:spacing w:line="240" w:lineRule="auto"/>
        <w:ind w:firstLine="137"/>
        <w:rPr>
          <w:rFonts w:hint="eastAsia" w:ascii="宋体" w:hAnsi="宋体" w:eastAsia="宋体" w:cs="宋体"/>
          <w:color w:val="auto"/>
          <w:highlight w:val="none"/>
        </w:rPr>
      </w:pPr>
      <w:bookmarkStart w:id="670" w:name="_Toc14146"/>
      <w:r>
        <w:rPr>
          <w:rFonts w:hint="eastAsia" w:ascii="宋体" w:hAnsi="宋体" w:eastAsia="宋体" w:cs="宋体"/>
          <w:color w:val="auto"/>
          <w:highlight w:val="none"/>
        </w:rPr>
        <w:t>2.2 分值构成与评分标准</w:t>
      </w:r>
      <w:bookmarkEnd w:id="670"/>
    </w:p>
    <w:p w14:paraId="16798EF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2.2.1 分值构成</w:t>
      </w:r>
    </w:p>
    <w:p w14:paraId="6272E80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（1）资信业绩部分：见评标办法前附表；</w:t>
      </w:r>
    </w:p>
    <w:p w14:paraId="7F71DC3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（2）服务方案部分：见评标办法前附表；</w:t>
      </w:r>
    </w:p>
    <w:p w14:paraId="568690F5">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（3）投标报价：见评标办法前附表；</w:t>
      </w:r>
    </w:p>
    <w:p w14:paraId="37E7624F">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（4）其他因素：见评标办法前附表；</w:t>
      </w:r>
    </w:p>
    <w:p w14:paraId="33FBF7C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 评标基准价计算</w:t>
      </w:r>
    </w:p>
    <w:p w14:paraId="6928C1E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评标基准价计算方法：见评标办法前附表。</w:t>
      </w:r>
    </w:p>
    <w:p w14:paraId="75BA4FE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 投标报价的偏差率计算</w:t>
      </w:r>
    </w:p>
    <w:p w14:paraId="597F07D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投标报价的偏差率计算公式：见评标办法前附表。</w:t>
      </w:r>
    </w:p>
    <w:p w14:paraId="516501ED">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 评分标准</w:t>
      </w:r>
    </w:p>
    <w:p w14:paraId="2C0340A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（1）资信业绩评分标准：见评标办法前附表；</w:t>
      </w:r>
    </w:p>
    <w:p w14:paraId="61CC85B6">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（2）服务方案评分标准：见评标办法前附表；</w:t>
      </w:r>
    </w:p>
    <w:p w14:paraId="48B5A74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（3）投标报价评分标准：见评标办法前附表；</w:t>
      </w:r>
    </w:p>
    <w:p w14:paraId="498299C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（4）其他因素评分标准：见评标办法前附表；</w:t>
      </w:r>
    </w:p>
    <w:p w14:paraId="65EF1427">
      <w:pPr>
        <w:pStyle w:val="3"/>
        <w:keepNext w:val="0"/>
        <w:keepLines w:val="0"/>
        <w:spacing w:line="260" w:lineRule="exact"/>
        <w:rPr>
          <w:rFonts w:hint="eastAsia" w:ascii="宋体" w:hAnsi="宋体" w:eastAsia="宋体" w:cs="宋体"/>
          <w:color w:val="auto"/>
          <w:highlight w:val="none"/>
        </w:rPr>
      </w:pPr>
      <w:bookmarkStart w:id="671" w:name="_Toc15596"/>
      <w:r>
        <w:rPr>
          <w:rFonts w:hint="eastAsia" w:ascii="宋体" w:hAnsi="宋体" w:eastAsia="宋体" w:cs="宋体"/>
          <w:color w:val="auto"/>
          <w:highlight w:val="none"/>
        </w:rPr>
        <w:t>3. 评标程序</w:t>
      </w:r>
      <w:bookmarkEnd w:id="671"/>
    </w:p>
    <w:p w14:paraId="1B9C7ED4">
      <w:pPr>
        <w:pStyle w:val="4"/>
        <w:keepNext w:val="0"/>
        <w:keepLines w:val="0"/>
        <w:spacing w:line="240" w:lineRule="auto"/>
        <w:ind w:firstLine="137"/>
        <w:rPr>
          <w:rFonts w:hint="eastAsia" w:ascii="宋体" w:hAnsi="宋体" w:eastAsia="宋体" w:cs="宋体"/>
          <w:color w:val="auto"/>
          <w:highlight w:val="none"/>
        </w:rPr>
      </w:pPr>
      <w:bookmarkStart w:id="672" w:name="_Toc11370"/>
      <w:r>
        <w:rPr>
          <w:rFonts w:hint="eastAsia" w:ascii="宋体" w:hAnsi="宋体" w:eastAsia="宋体" w:cs="宋体"/>
          <w:color w:val="auto"/>
          <w:highlight w:val="none"/>
        </w:rPr>
        <w:t>3.1 初步评审</w:t>
      </w:r>
      <w:bookmarkEnd w:id="672"/>
    </w:p>
    <w:p w14:paraId="6E1ECC5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r>
        <w:rPr>
          <w:rFonts w:hint="eastAsia" w:ascii="宋体" w:hAnsi="宋体" w:cs="宋体"/>
          <w:color w:val="auto"/>
          <w:sz w:val="24"/>
          <w:szCs w:val="24"/>
          <w:highlight w:val="none"/>
          <w:u w:val="single"/>
        </w:rPr>
        <w:t>评委发现投标文件中含义不明确、对同类问题表述不一致、有明显文字和计算错误的，应当要求投标人作必要的澄清、说明后再判定投标人是否通过初步评审，不得直接认定其不通过初步评审。</w:t>
      </w:r>
    </w:p>
    <w:p w14:paraId="53B3AA2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3.1.2 投标人有以下情形之一的，评标委员会应当否决其投标：</w:t>
      </w:r>
    </w:p>
    <w:p w14:paraId="19D3FAE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（1）投标文件没有对招标文件的实质性要求和条件作出响应，或者对招标文件的偏差超出招标文件规定的偏差范围或最高项数；</w:t>
      </w:r>
    </w:p>
    <w:p w14:paraId="01916A9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（2）有串通投标、弄虚作假、行贿等违法行为。</w:t>
      </w:r>
    </w:p>
    <w:p w14:paraId="029FC68B">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3.1.3 投标报价有算术错误及其他错误的，评标委员会按以下原则要求投标人对投标报价进</w:t>
      </w:r>
      <w:bookmarkStart w:id="673" w:name="_Toc369531582"/>
      <w:bookmarkStart w:id="674" w:name="_Toc247527628"/>
      <w:bookmarkStart w:id="675" w:name="_Toc361508651"/>
      <w:bookmarkStart w:id="676" w:name="_Toc384308277"/>
      <w:bookmarkStart w:id="677" w:name="_Toc352691538"/>
      <w:bookmarkStart w:id="678" w:name="_Toc144974570"/>
      <w:bookmarkStart w:id="679" w:name="_Toc152042380"/>
      <w:bookmarkStart w:id="680" w:name="_Toc152045603"/>
      <w:bookmarkStart w:id="681" w:name="_Toc2907"/>
      <w:bookmarkStart w:id="682" w:name="_Toc300835013"/>
      <w:bookmarkStart w:id="683" w:name="_Toc247514027"/>
      <w:r>
        <w:rPr>
          <w:rFonts w:hint="eastAsia" w:ascii="宋体" w:hAnsi="宋体" w:cs="宋体"/>
          <w:color w:val="auto"/>
          <w:sz w:val="24"/>
          <w:szCs w:val="24"/>
          <w:highlight w:val="none"/>
        </w:rPr>
        <w:t>行修正，并要求投标人书面澄清确认。</w:t>
      </w:r>
      <w:bookmarkEnd w:id="673"/>
      <w:bookmarkEnd w:id="674"/>
      <w:bookmarkEnd w:id="675"/>
      <w:bookmarkEnd w:id="676"/>
      <w:bookmarkEnd w:id="677"/>
      <w:bookmarkEnd w:id="678"/>
      <w:bookmarkEnd w:id="679"/>
      <w:bookmarkEnd w:id="680"/>
      <w:bookmarkEnd w:id="681"/>
      <w:bookmarkEnd w:id="682"/>
      <w:bookmarkEnd w:id="683"/>
      <w:r>
        <w:rPr>
          <w:rFonts w:hint="eastAsia" w:ascii="宋体" w:hAnsi="宋体" w:cs="宋体"/>
          <w:color w:val="auto"/>
          <w:sz w:val="24"/>
          <w:szCs w:val="24"/>
          <w:highlight w:val="none"/>
        </w:rPr>
        <w:t>投标人拒不澄清确认的，评标委员会应当否决其投标：</w:t>
      </w:r>
    </w:p>
    <w:p w14:paraId="50A2C54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（1）投标文件中的大写金额与小写金额不一致的，以大写金额为准；</w:t>
      </w:r>
    </w:p>
    <w:p w14:paraId="54B59022">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（2）总价金额与单价金额不一致的，以单价金额为准，但单价金额小数点有明显错误的除外。</w:t>
      </w:r>
    </w:p>
    <w:p w14:paraId="21FEC1B3">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3.1.4 评标委员会发现投标文件中含义不明确、对同类问题表述不一致、有明显文字和计算错误、投标报价可能低于成本影响履约的，应当要求投标人作必要的澄清、说明后再判定投标人是否通过初步评审，不得直接否决投标。</w:t>
      </w:r>
    </w:p>
    <w:p w14:paraId="24AC8043">
      <w:pPr>
        <w:spacing w:line="400" w:lineRule="exact"/>
        <w:ind w:firstLine="480" w:firstLineChars="200"/>
        <w:rPr>
          <w:rFonts w:hint="eastAsia" w:ascii="宋体" w:hAnsi="宋体" w:cs="宋体"/>
          <w:color w:val="auto"/>
          <w:sz w:val="24"/>
          <w:szCs w:val="24"/>
          <w:highlight w:val="none"/>
        </w:rPr>
      </w:pPr>
    </w:p>
    <w:p w14:paraId="40FB62C0">
      <w:pPr>
        <w:pStyle w:val="4"/>
        <w:keepNext w:val="0"/>
        <w:keepLines w:val="0"/>
        <w:spacing w:line="260" w:lineRule="exact"/>
        <w:ind w:firstLine="137"/>
        <w:rPr>
          <w:rFonts w:hint="eastAsia" w:ascii="宋体" w:hAnsi="宋体" w:eastAsia="宋体" w:cs="宋体"/>
          <w:color w:val="auto"/>
          <w:highlight w:val="none"/>
        </w:rPr>
      </w:pPr>
      <w:bookmarkStart w:id="684" w:name="_Toc16019"/>
      <w:r>
        <w:rPr>
          <w:rFonts w:hint="eastAsia" w:ascii="宋体" w:hAnsi="宋体" w:eastAsia="宋体" w:cs="宋体"/>
          <w:color w:val="auto"/>
          <w:highlight w:val="none"/>
        </w:rPr>
        <w:t>3.2 详细评审</w:t>
      </w:r>
      <w:bookmarkEnd w:id="684"/>
    </w:p>
    <w:p w14:paraId="43A8C314">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3.2.1 评标委员会按本章第2.2款规定的量化因素和分值进行打分，并计算出综合评估得分。</w:t>
      </w:r>
    </w:p>
    <w:p w14:paraId="5E1AB04E">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（1）按本章第2.2.4（1）目规定的评审因素和分值对资信业绩部分计算出得分A；</w:t>
      </w:r>
    </w:p>
    <w:p w14:paraId="06991E3A">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（2）按本章第2.2.4（2）目规定的评审因素和分值对</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方案部分计算出得分B；</w:t>
      </w:r>
    </w:p>
    <w:p w14:paraId="3DB7C1C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（3）按本章第2.2.4（3）目规定的评审因素和</w:t>
      </w:r>
      <w:bookmarkStart w:id="685" w:name="_Toc352691539"/>
      <w:bookmarkStart w:id="686" w:name="_Toc144974571"/>
      <w:bookmarkStart w:id="687" w:name="_Toc24330"/>
      <w:bookmarkStart w:id="688" w:name="_Toc384308278"/>
      <w:bookmarkStart w:id="689" w:name="_Toc152042381"/>
      <w:bookmarkStart w:id="690" w:name="_Toc247514028"/>
      <w:bookmarkStart w:id="691" w:name="_Toc361508652"/>
      <w:bookmarkStart w:id="692" w:name="_Toc369531583"/>
      <w:bookmarkStart w:id="693" w:name="_Toc247527629"/>
      <w:bookmarkStart w:id="694" w:name="_Toc300835014"/>
      <w:bookmarkStart w:id="695" w:name="_Toc152045604"/>
      <w:r>
        <w:rPr>
          <w:rFonts w:hint="eastAsia" w:ascii="宋体" w:hAnsi="宋体" w:cs="宋体"/>
          <w:color w:val="auto"/>
          <w:sz w:val="24"/>
          <w:szCs w:val="24"/>
          <w:highlight w:val="none"/>
        </w:rPr>
        <w:t>分值对投标报价</w:t>
      </w:r>
      <w:bookmarkEnd w:id="685"/>
      <w:bookmarkEnd w:id="686"/>
      <w:bookmarkEnd w:id="687"/>
      <w:bookmarkEnd w:id="688"/>
      <w:bookmarkEnd w:id="689"/>
      <w:bookmarkEnd w:id="690"/>
      <w:bookmarkEnd w:id="691"/>
      <w:bookmarkEnd w:id="692"/>
      <w:bookmarkEnd w:id="693"/>
      <w:bookmarkEnd w:id="694"/>
      <w:bookmarkEnd w:id="695"/>
      <w:r>
        <w:rPr>
          <w:rFonts w:hint="eastAsia" w:ascii="宋体" w:hAnsi="宋体" w:cs="宋体"/>
          <w:color w:val="auto"/>
          <w:sz w:val="24"/>
          <w:szCs w:val="24"/>
          <w:highlight w:val="none"/>
        </w:rPr>
        <w:t>计</w:t>
      </w:r>
      <w:bookmarkStart w:id="696" w:name="_Toc361508653"/>
      <w:bookmarkStart w:id="697" w:name="_Toc384308279"/>
      <w:bookmarkStart w:id="698" w:name="_Toc300835015"/>
      <w:bookmarkStart w:id="699" w:name="_Toc144974572"/>
      <w:bookmarkStart w:id="700" w:name="_Toc152045605"/>
      <w:bookmarkStart w:id="701" w:name="_Toc247514029"/>
      <w:bookmarkStart w:id="702" w:name="_Toc247527630"/>
      <w:bookmarkStart w:id="703" w:name="_Toc352691540"/>
      <w:bookmarkStart w:id="704" w:name="_Toc369531584"/>
      <w:bookmarkStart w:id="705" w:name="_Toc152042382"/>
      <w:bookmarkStart w:id="706" w:name="_Toc18141"/>
      <w:r>
        <w:rPr>
          <w:rFonts w:hint="eastAsia" w:ascii="宋体" w:hAnsi="宋体" w:cs="宋体"/>
          <w:color w:val="auto"/>
          <w:sz w:val="24"/>
          <w:szCs w:val="24"/>
          <w:highlight w:val="none"/>
        </w:rPr>
        <w:t>算出得分C；</w:t>
      </w:r>
    </w:p>
    <w:p w14:paraId="4A7FB5D9">
      <w:pPr>
        <w:spacing w:line="400" w:lineRule="exact"/>
        <w:ind w:firstLine="480" w:firstLineChars="200"/>
        <w:rPr>
          <w:rFonts w:hint="eastAsia" w:ascii="宋体" w:hAnsi="宋体" w:cs="宋体"/>
          <w:strike/>
          <w:color w:val="auto"/>
          <w:sz w:val="24"/>
          <w:szCs w:val="24"/>
          <w:highlight w:val="none"/>
        </w:rPr>
      </w:pPr>
      <w:r>
        <w:rPr>
          <w:rFonts w:hint="eastAsia" w:ascii="宋体" w:hAnsi="宋体" w:cs="宋体"/>
          <w:strike/>
          <w:color w:val="auto"/>
          <w:sz w:val="24"/>
          <w:szCs w:val="24"/>
          <w:highlight w:val="none"/>
        </w:rPr>
        <w:t>（4）按本章第 2.2.4（4）目规定的评审因素和分值对综合诚信评价排名得分计算出得分D；</w:t>
      </w:r>
    </w:p>
    <w:bookmarkEnd w:id="696"/>
    <w:bookmarkEnd w:id="697"/>
    <w:bookmarkEnd w:id="698"/>
    <w:bookmarkEnd w:id="699"/>
    <w:bookmarkEnd w:id="700"/>
    <w:bookmarkEnd w:id="701"/>
    <w:bookmarkEnd w:id="702"/>
    <w:bookmarkEnd w:id="703"/>
    <w:bookmarkEnd w:id="704"/>
    <w:bookmarkEnd w:id="705"/>
    <w:bookmarkEnd w:id="706"/>
    <w:p w14:paraId="715F9471">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3.2.2 评分分值计算保留小数点后两位，小数点后第三位“四舍五入”。</w:t>
      </w:r>
    </w:p>
    <w:p w14:paraId="3FC2D3F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3.2.3 投标人得分=A+B+C</w:t>
      </w:r>
      <w:r>
        <w:rPr>
          <w:rFonts w:hint="eastAsia" w:ascii="宋体" w:hAnsi="宋体" w:cs="宋体"/>
          <w:strike/>
          <w:color w:val="auto"/>
          <w:sz w:val="24"/>
          <w:szCs w:val="24"/>
          <w:highlight w:val="none"/>
        </w:rPr>
        <w:t>+D</w:t>
      </w:r>
      <w:r>
        <w:rPr>
          <w:rFonts w:hint="eastAsia" w:ascii="宋体" w:hAnsi="宋体" w:cs="宋体"/>
          <w:color w:val="auto"/>
          <w:sz w:val="24"/>
          <w:szCs w:val="24"/>
          <w:highlight w:val="none"/>
        </w:rPr>
        <w:t>。</w:t>
      </w:r>
    </w:p>
    <w:p w14:paraId="6B54B339">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78ADAB7F">
      <w:pPr>
        <w:pStyle w:val="4"/>
        <w:keepNext w:val="0"/>
        <w:keepLines w:val="0"/>
        <w:spacing w:line="240" w:lineRule="auto"/>
        <w:ind w:firstLine="137"/>
        <w:rPr>
          <w:rFonts w:hint="eastAsia" w:ascii="宋体" w:hAnsi="宋体" w:eastAsia="宋体" w:cs="宋体"/>
          <w:color w:val="auto"/>
          <w:highlight w:val="none"/>
        </w:rPr>
      </w:pPr>
      <w:bookmarkStart w:id="707" w:name="_Toc6364"/>
      <w:r>
        <w:rPr>
          <w:rFonts w:hint="eastAsia" w:ascii="宋体" w:hAnsi="宋体" w:eastAsia="宋体" w:cs="宋体"/>
          <w:color w:val="auto"/>
          <w:highlight w:val="none"/>
        </w:rPr>
        <w:t>3.3 投标文件的澄清</w:t>
      </w:r>
      <w:bookmarkEnd w:id="707"/>
    </w:p>
    <w:p w14:paraId="31028760">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3.3.1 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14:paraId="02F0F45C">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3.3.2 澄清、说明或补正不得超出投标文件的范围且不得改变投标文件的实质性内容，并构成投标文件的组成部分。</w:t>
      </w:r>
    </w:p>
    <w:p w14:paraId="1B5648D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3.3.3 评标委员会对投标人提交的澄清、说明或补正有疑问的，可以要求投标人进一步澄清、说明或补正，直至满足评标委员会的要求。</w:t>
      </w:r>
    </w:p>
    <w:p w14:paraId="73833356">
      <w:pPr>
        <w:pStyle w:val="4"/>
        <w:keepNext w:val="0"/>
        <w:keepLines w:val="0"/>
        <w:spacing w:line="240" w:lineRule="auto"/>
        <w:ind w:firstLine="137"/>
        <w:rPr>
          <w:rFonts w:hint="eastAsia" w:ascii="宋体" w:hAnsi="宋体" w:eastAsia="宋体" w:cs="宋体"/>
          <w:color w:val="auto"/>
          <w:highlight w:val="none"/>
        </w:rPr>
      </w:pPr>
      <w:bookmarkStart w:id="708" w:name="_Toc15845"/>
      <w:r>
        <w:rPr>
          <w:rFonts w:hint="eastAsia" w:ascii="宋体" w:hAnsi="宋体" w:eastAsia="宋体" w:cs="宋体"/>
          <w:color w:val="auto"/>
          <w:highlight w:val="none"/>
        </w:rPr>
        <w:t>3.4 评标结果</w:t>
      </w:r>
      <w:bookmarkEnd w:id="708"/>
    </w:p>
    <w:p w14:paraId="08094435">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3.4.1 除第二章“投标人须知”前附表授权直接确定中标人外，评标委员会按照得分由高到低的顺序推荐中标候选人，并标明排序。</w:t>
      </w:r>
    </w:p>
    <w:p w14:paraId="198BF838">
      <w:pPr>
        <w:spacing w:line="40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3.4.2 评标委员会完成评标后，应当向招标人提交书面评标报告和中标候选人名单。</w:t>
      </w:r>
    </w:p>
    <w:p w14:paraId="2E0F6C85">
      <w:pPr>
        <w:rPr>
          <w:rFonts w:hint="eastAsia" w:ascii="宋体" w:hAnsi="宋体" w:cs="宋体"/>
          <w:b/>
          <w:color w:val="auto"/>
          <w:kern w:val="44"/>
          <w:sz w:val="44"/>
          <w:szCs w:val="20"/>
          <w:highlight w:val="none"/>
        </w:rPr>
      </w:pPr>
    </w:p>
    <w:p w14:paraId="24B76F5A">
      <w:pPr>
        <w:rPr>
          <w:rFonts w:hint="eastAsia" w:ascii="宋体" w:hAnsi="宋体" w:cs="宋体"/>
          <w:color w:val="auto"/>
          <w:highlight w:val="none"/>
        </w:rPr>
      </w:pPr>
    </w:p>
    <w:p w14:paraId="65A92BDC">
      <w:pPr>
        <w:rPr>
          <w:rFonts w:hint="eastAsia" w:ascii="宋体" w:hAnsi="宋体" w:cs="宋体"/>
          <w:color w:val="auto"/>
          <w:highlight w:val="none"/>
        </w:rPr>
      </w:pPr>
    </w:p>
    <w:p w14:paraId="7719837F">
      <w:pPr>
        <w:rPr>
          <w:rFonts w:hint="eastAsia" w:ascii="宋体" w:hAnsi="宋体" w:cs="宋体"/>
          <w:color w:val="auto"/>
          <w:highlight w:val="none"/>
        </w:rPr>
      </w:pPr>
    </w:p>
    <w:p w14:paraId="0612E0CF">
      <w:pPr>
        <w:rPr>
          <w:rFonts w:hint="eastAsia" w:ascii="宋体" w:hAnsi="宋体" w:cs="宋体"/>
          <w:color w:val="auto"/>
          <w:highlight w:val="none"/>
        </w:rPr>
      </w:pPr>
    </w:p>
    <w:p w14:paraId="1E6D6A76">
      <w:pPr>
        <w:pStyle w:val="2"/>
        <w:keepNext w:val="0"/>
        <w:keepLines w:val="0"/>
        <w:jc w:val="center"/>
        <w:rPr>
          <w:rFonts w:hint="eastAsia" w:ascii="宋体" w:hAnsi="宋体" w:cs="宋体"/>
          <w:color w:val="auto"/>
          <w:highlight w:val="none"/>
        </w:rPr>
      </w:pPr>
      <w:r>
        <w:rPr>
          <w:rFonts w:hint="eastAsia" w:ascii="宋体" w:hAnsi="宋体" w:cs="宋体"/>
          <w:color w:val="auto"/>
          <w:highlight w:val="none"/>
        </w:rPr>
        <w:br w:type="page"/>
      </w:r>
      <w:bookmarkStart w:id="709" w:name="_Toc16524"/>
      <w:r>
        <w:rPr>
          <w:rFonts w:hint="eastAsia" w:ascii="宋体" w:hAnsi="宋体" w:cs="宋体"/>
          <w:color w:val="auto"/>
          <w:highlight w:val="none"/>
        </w:rPr>
        <w:t>第四章合同条款及格式</w:t>
      </w:r>
      <w:bookmarkEnd w:id="709"/>
    </w:p>
    <w:p w14:paraId="33950D66">
      <w:pPr>
        <w:pStyle w:val="27"/>
        <w:spacing w:line="640" w:lineRule="exact"/>
        <w:jc w:val="center"/>
        <w:rPr>
          <w:rFonts w:hint="eastAsia" w:ascii="宋体" w:hAnsi="宋体" w:cs="宋体"/>
          <w:color w:val="auto"/>
          <w:highlight w:val="none"/>
        </w:rPr>
      </w:pPr>
      <w:r>
        <w:rPr>
          <w:rFonts w:hint="eastAsia" w:ascii="宋体" w:hAnsi="宋体" w:cs="宋体"/>
          <w:color w:val="auto"/>
          <w:highlight w:val="none"/>
        </w:rPr>
        <w:t>（合同另册）。</w:t>
      </w:r>
    </w:p>
    <w:p w14:paraId="5BC6E755">
      <w:pPr>
        <w:pStyle w:val="10"/>
        <w:snapToGrid w:val="0"/>
        <w:spacing w:line="400" w:lineRule="atLeast"/>
        <w:ind w:left="0" w:leftChars="0" w:firstLine="420" w:firstLineChars="200"/>
        <w:rPr>
          <w:rFonts w:hint="eastAsia" w:ascii="宋体" w:hAnsi="宋体" w:cs="宋体"/>
          <w:color w:val="auto"/>
          <w:szCs w:val="21"/>
          <w:highlight w:val="none"/>
        </w:rPr>
      </w:pPr>
    </w:p>
    <w:p w14:paraId="3B60303E">
      <w:pPr>
        <w:rPr>
          <w:rFonts w:hint="eastAsia" w:ascii="宋体" w:hAnsi="宋体" w:cs="宋体"/>
          <w:color w:val="auto"/>
          <w:highlight w:val="none"/>
        </w:rPr>
      </w:pPr>
    </w:p>
    <w:p w14:paraId="3BCD2862">
      <w:pPr>
        <w:rPr>
          <w:rFonts w:hint="eastAsia" w:ascii="宋体" w:hAnsi="宋体" w:cs="宋体"/>
          <w:b/>
          <w:color w:val="auto"/>
          <w:kern w:val="44"/>
          <w:sz w:val="44"/>
          <w:szCs w:val="20"/>
          <w:highlight w:val="none"/>
        </w:rPr>
      </w:pPr>
      <w:bookmarkStart w:id="710" w:name="_Toc246997081"/>
      <w:bookmarkStart w:id="711" w:name="_Toc247085853"/>
      <w:bookmarkStart w:id="712" w:name="_Toc246996338"/>
      <w:bookmarkStart w:id="713" w:name="_Toc179632787"/>
      <w:bookmarkStart w:id="714" w:name="_Toc247527798"/>
      <w:bookmarkStart w:id="715" w:name="_Toc144974578"/>
      <w:bookmarkStart w:id="716" w:name="_Toc152042549"/>
      <w:bookmarkStart w:id="717" w:name="_Toc247514197"/>
      <w:bookmarkStart w:id="718" w:name="_Toc300835199"/>
      <w:bookmarkStart w:id="719" w:name="_Toc144974829"/>
      <w:bookmarkStart w:id="720" w:name="_Toc152042388"/>
      <w:bookmarkStart w:id="721" w:name="_Toc184635122"/>
      <w:bookmarkStart w:id="722" w:name="_Toc152045610"/>
    </w:p>
    <w:p w14:paraId="23B6194C">
      <w:pPr>
        <w:rPr>
          <w:rFonts w:hint="eastAsia" w:ascii="宋体" w:hAnsi="宋体" w:cs="宋体"/>
          <w:b/>
          <w:color w:val="auto"/>
          <w:kern w:val="44"/>
          <w:sz w:val="44"/>
          <w:szCs w:val="20"/>
          <w:highlight w:val="none"/>
        </w:rPr>
      </w:pPr>
    </w:p>
    <w:p w14:paraId="6F4298E7">
      <w:pPr>
        <w:rPr>
          <w:rFonts w:hint="eastAsia" w:ascii="宋体" w:hAnsi="宋体" w:cs="宋体"/>
          <w:b/>
          <w:color w:val="auto"/>
          <w:kern w:val="44"/>
          <w:sz w:val="44"/>
          <w:szCs w:val="20"/>
          <w:highlight w:val="none"/>
        </w:rPr>
      </w:pPr>
    </w:p>
    <w:p w14:paraId="31DBB2EC">
      <w:pPr>
        <w:rPr>
          <w:rFonts w:hint="eastAsia" w:ascii="宋体" w:hAnsi="宋体" w:cs="宋体"/>
          <w:b/>
          <w:color w:val="auto"/>
          <w:kern w:val="44"/>
          <w:sz w:val="44"/>
          <w:szCs w:val="20"/>
          <w:highlight w:val="none"/>
        </w:rPr>
      </w:pPr>
    </w:p>
    <w:p w14:paraId="0719683A">
      <w:pPr>
        <w:rPr>
          <w:rFonts w:hint="eastAsia" w:ascii="宋体" w:hAnsi="宋体" w:cs="宋体"/>
          <w:b/>
          <w:color w:val="auto"/>
          <w:kern w:val="44"/>
          <w:sz w:val="44"/>
          <w:szCs w:val="20"/>
          <w:highlight w:val="none"/>
        </w:rPr>
      </w:pPr>
    </w:p>
    <w:p w14:paraId="789C9212">
      <w:pPr>
        <w:rPr>
          <w:rFonts w:hint="eastAsia" w:ascii="宋体" w:hAnsi="宋体" w:cs="宋体"/>
          <w:b/>
          <w:color w:val="auto"/>
          <w:kern w:val="44"/>
          <w:sz w:val="44"/>
          <w:szCs w:val="20"/>
          <w:highlight w:val="none"/>
        </w:rPr>
      </w:pPr>
    </w:p>
    <w:p w14:paraId="54D9D269">
      <w:pPr>
        <w:rPr>
          <w:rFonts w:hint="eastAsia" w:ascii="宋体" w:hAnsi="宋体" w:cs="宋体"/>
          <w:b/>
          <w:color w:val="auto"/>
          <w:kern w:val="44"/>
          <w:sz w:val="44"/>
          <w:szCs w:val="20"/>
          <w:highlight w:val="none"/>
        </w:rPr>
      </w:pPr>
    </w:p>
    <w:p w14:paraId="368AE52D">
      <w:pPr>
        <w:rPr>
          <w:rFonts w:hint="eastAsia" w:ascii="宋体" w:hAnsi="宋体" w:cs="宋体"/>
          <w:b/>
          <w:color w:val="auto"/>
          <w:kern w:val="44"/>
          <w:sz w:val="44"/>
          <w:szCs w:val="20"/>
          <w:highlight w:val="none"/>
        </w:rPr>
      </w:pPr>
    </w:p>
    <w:p w14:paraId="0CBD7EF6">
      <w:pPr>
        <w:rPr>
          <w:rFonts w:hint="eastAsia" w:ascii="宋体" w:hAnsi="宋体" w:cs="宋体"/>
          <w:b/>
          <w:color w:val="auto"/>
          <w:kern w:val="44"/>
          <w:sz w:val="44"/>
          <w:szCs w:val="20"/>
          <w:highlight w:val="none"/>
        </w:rPr>
      </w:pPr>
    </w:p>
    <w:p w14:paraId="0FB73E3D">
      <w:pPr>
        <w:rPr>
          <w:rFonts w:hint="eastAsia" w:ascii="宋体" w:hAnsi="宋体" w:cs="宋体"/>
          <w:b/>
          <w:color w:val="auto"/>
          <w:kern w:val="44"/>
          <w:sz w:val="44"/>
          <w:szCs w:val="20"/>
          <w:highlight w:val="none"/>
        </w:rPr>
      </w:pPr>
    </w:p>
    <w:p w14:paraId="240483F8">
      <w:pPr>
        <w:rPr>
          <w:rFonts w:hint="eastAsia" w:ascii="宋体" w:hAnsi="宋体" w:cs="宋体"/>
          <w:b/>
          <w:color w:val="auto"/>
          <w:kern w:val="44"/>
          <w:sz w:val="44"/>
          <w:szCs w:val="20"/>
          <w:highlight w:val="none"/>
        </w:rPr>
      </w:pPr>
    </w:p>
    <w:p w14:paraId="34B90C80">
      <w:pPr>
        <w:rPr>
          <w:rFonts w:hint="eastAsia" w:ascii="宋体" w:hAnsi="宋体" w:cs="宋体"/>
          <w:b/>
          <w:color w:val="auto"/>
          <w:kern w:val="44"/>
          <w:sz w:val="44"/>
          <w:szCs w:val="20"/>
          <w:highlight w:val="none"/>
        </w:rPr>
      </w:pPr>
    </w:p>
    <w:p w14:paraId="69C89BE2">
      <w:pPr>
        <w:rPr>
          <w:rFonts w:hint="eastAsia" w:ascii="宋体" w:hAnsi="宋体" w:cs="宋体"/>
          <w:b/>
          <w:color w:val="auto"/>
          <w:kern w:val="44"/>
          <w:sz w:val="44"/>
          <w:szCs w:val="20"/>
          <w:highlight w:val="none"/>
        </w:rPr>
      </w:pPr>
    </w:p>
    <w:p w14:paraId="25C7D6F1">
      <w:pPr>
        <w:rPr>
          <w:rFonts w:hint="eastAsia" w:ascii="宋体" w:hAnsi="宋体" w:cs="宋体"/>
          <w:b/>
          <w:color w:val="auto"/>
          <w:kern w:val="44"/>
          <w:sz w:val="44"/>
          <w:szCs w:val="20"/>
          <w:highlight w:val="none"/>
        </w:rPr>
      </w:pPr>
    </w:p>
    <w:p w14:paraId="6BFAAA48">
      <w:pPr>
        <w:rPr>
          <w:rFonts w:hint="eastAsia" w:ascii="宋体" w:hAnsi="宋体" w:cs="宋体"/>
          <w:b/>
          <w:color w:val="auto"/>
          <w:kern w:val="44"/>
          <w:sz w:val="44"/>
          <w:szCs w:val="20"/>
          <w:highlight w:val="none"/>
        </w:rPr>
      </w:pPr>
    </w:p>
    <w:p w14:paraId="461FCDBC">
      <w:pPr>
        <w:rPr>
          <w:rFonts w:hint="eastAsia" w:ascii="宋体" w:hAnsi="宋体" w:cs="宋体"/>
          <w:b/>
          <w:color w:val="auto"/>
          <w:kern w:val="44"/>
          <w:sz w:val="44"/>
          <w:szCs w:val="20"/>
          <w:highlight w:val="none"/>
        </w:rPr>
      </w:pPr>
    </w:p>
    <w:p w14:paraId="60ED9968">
      <w:pPr>
        <w:pStyle w:val="2"/>
        <w:keepNext w:val="0"/>
        <w:keepLines w:val="0"/>
        <w:spacing w:line="440" w:lineRule="exact"/>
        <w:jc w:val="center"/>
        <w:rPr>
          <w:rFonts w:hint="eastAsia" w:ascii="宋体" w:hAnsi="宋体" w:cs="宋体"/>
          <w:color w:val="auto"/>
          <w:highlight w:val="none"/>
        </w:rPr>
      </w:pPr>
      <w:bookmarkStart w:id="723" w:name="_Toc31490"/>
      <w:r>
        <w:rPr>
          <w:rFonts w:hint="eastAsia" w:ascii="宋体" w:hAnsi="宋体" w:cs="宋体"/>
          <w:color w:val="auto"/>
          <w:highlight w:val="none"/>
        </w:rPr>
        <w:t>第二卷</w:t>
      </w:r>
      <w:bookmarkEnd w:id="723"/>
    </w:p>
    <w:p w14:paraId="1D0CCE25">
      <w:pPr>
        <w:jc w:val="center"/>
        <w:rPr>
          <w:rFonts w:hint="eastAsia" w:ascii="宋体" w:hAnsi="宋体" w:cs="宋体"/>
          <w:b/>
          <w:bCs/>
          <w:color w:val="auto"/>
          <w:sz w:val="44"/>
          <w:szCs w:val="44"/>
          <w:highlight w:val="none"/>
        </w:rPr>
      </w:pPr>
      <w:bookmarkStart w:id="724" w:name="_Toc32081"/>
      <w:r>
        <w:rPr>
          <w:rFonts w:hint="eastAsia" w:ascii="宋体" w:hAnsi="宋体" w:cs="宋体"/>
          <w:b/>
          <w:bCs/>
          <w:color w:val="auto"/>
          <w:sz w:val="44"/>
          <w:szCs w:val="44"/>
          <w:highlight w:val="none"/>
        </w:rPr>
        <w:t>第五章委托人要求</w:t>
      </w:r>
      <w:bookmarkEnd w:id="710"/>
      <w:bookmarkEnd w:id="711"/>
      <w:bookmarkEnd w:id="712"/>
      <w:bookmarkEnd w:id="713"/>
      <w:bookmarkEnd w:id="724"/>
    </w:p>
    <w:p w14:paraId="4AF96856">
      <w:pPr>
        <w:rPr>
          <w:rFonts w:hint="eastAsia" w:ascii="宋体" w:hAnsi="宋体" w:cs="宋体"/>
          <w:color w:val="auto"/>
          <w:highlight w:val="none"/>
        </w:rPr>
      </w:pPr>
    </w:p>
    <w:p w14:paraId="41881D0E">
      <w:pPr>
        <w:keepNext/>
        <w:keepLines/>
        <w:spacing w:line="360" w:lineRule="auto"/>
        <w:outlineLvl w:val="2"/>
        <w:rPr>
          <w:rFonts w:hint="eastAsia" w:ascii="宋体" w:hAnsi="宋体" w:cs="宋体"/>
          <w:b/>
          <w:bCs/>
          <w:color w:val="auto"/>
          <w:kern w:val="0"/>
          <w:sz w:val="24"/>
          <w:szCs w:val="24"/>
          <w:highlight w:val="none"/>
        </w:rPr>
      </w:pPr>
      <w:bookmarkStart w:id="725" w:name="_Toc68169477"/>
      <w:r>
        <w:rPr>
          <w:rFonts w:hint="eastAsia" w:ascii="宋体" w:hAnsi="宋体" w:cs="宋体"/>
          <w:b/>
          <w:bCs/>
          <w:color w:val="auto"/>
          <w:kern w:val="0"/>
          <w:sz w:val="24"/>
          <w:szCs w:val="24"/>
          <w:highlight w:val="none"/>
        </w:rPr>
        <w:t>一、项目概况</w:t>
      </w:r>
      <w:bookmarkEnd w:id="725"/>
      <w:r>
        <w:rPr>
          <w:rFonts w:hint="eastAsia" w:ascii="宋体" w:hAnsi="宋体" w:cs="宋体"/>
          <w:b/>
          <w:bCs/>
          <w:color w:val="auto"/>
          <w:kern w:val="0"/>
          <w:sz w:val="24"/>
          <w:szCs w:val="24"/>
          <w:highlight w:val="none"/>
        </w:rPr>
        <w:t>与招标范围</w:t>
      </w:r>
    </w:p>
    <w:p w14:paraId="5A682709">
      <w:pPr>
        <w:spacing w:line="360" w:lineRule="auto"/>
        <w:ind w:firstLine="480" w:firstLineChars="200"/>
        <w:jc w:val="left"/>
        <w:rPr>
          <w:rFonts w:hint="eastAsia" w:ascii="宋体" w:hAnsi="宋体" w:cs="宋体"/>
          <w:color w:val="auto"/>
          <w:sz w:val="24"/>
          <w:highlight w:val="none"/>
          <w:u w:val="single"/>
        </w:rPr>
      </w:pPr>
      <w:r>
        <w:rPr>
          <w:rFonts w:hint="eastAsia" w:ascii="宋体" w:hAnsi="宋体" w:cs="宋体"/>
          <w:color w:val="auto"/>
          <w:sz w:val="24"/>
          <w:szCs w:val="24"/>
          <w:highlight w:val="none"/>
        </w:rPr>
        <w:t>1.1项目名称：</w:t>
      </w:r>
      <w:r>
        <w:rPr>
          <w:rFonts w:hint="eastAsia" w:ascii="宋体" w:hAnsi="宋体" w:eastAsia="宋体" w:cs="宋体"/>
          <w:b w:val="0"/>
          <w:bCs w:val="0"/>
          <w:color w:val="auto"/>
          <w:sz w:val="24"/>
          <w:szCs w:val="24"/>
          <w:highlight w:val="none"/>
          <w:u w:val="single"/>
          <w:lang w:eastAsia="zh-CN"/>
        </w:rPr>
        <w:t>番禺区经济技术开发区万博西片区大石宾至路等4条道路改建项目施工阶段全过程造价咨询</w:t>
      </w:r>
      <w:r>
        <w:rPr>
          <w:rFonts w:hint="eastAsia" w:ascii="宋体" w:hAnsi="宋体" w:eastAsia="宋体" w:cs="宋体"/>
          <w:color w:val="auto"/>
          <w:sz w:val="24"/>
          <w:szCs w:val="24"/>
          <w:highlight w:val="none"/>
          <w:u w:val="single"/>
        </w:rPr>
        <w:t>服务</w:t>
      </w:r>
    </w:p>
    <w:p w14:paraId="1979FEAE">
      <w:pPr>
        <w:spacing w:line="360" w:lineRule="auto"/>
        <w:ind w:firstLine="480" w:firstLineChars="200"/>
        <w:jc w:val="left"/>
        <w:rPr>
          <w:rFonts w:hint="eastAsia" w:ascii="宋体" w:hAnsi="宋体" w:cs="宋体"/>
          <w:color w:val="auto"/>
          <w:kern w:val="0"/>
          <w:sz w:val="24"/>
          <w:highlight w:val="none"/>
          <w:u w:val="single"/>
        </w:rPr>
      </w:pPr>
      <w:r>
        <w:rPr>
          <w:rFonts w:hint="eastAsia" w:ascii="宋体" w:hAnsi="宋体" w:cs="宋体"/>
          <w:color w:val="auto"/>
          <w:sz w:val="24"/>
          <w:szCs w:val="24"/>
          <w:highlight w:val="none"/>
        </w:rPr>
        <w:t>1.2 建设地点：</w:t>
      </w:r>
      <w:r>
        <w:rPr>
          <w:rFonts w:hint="eastAsia" w:ascii="宋体" w:hAnsi="宋体" w:eastAsia="宋体" w:cs="宋体"/>
          <w:color w:val="auto"/>
          <w:sz w:val="24"/>
          <w:szCs w:val="24"/>
          <w:highlight w:val="none"/>
          <w:u w:val="single"/>
        </w:rPr>
        <w:t>广州市番禺区</w:t>
      </w:r>
      <w:r>
        <w:rPr>
          <w:rFonts w:hint="eastAsia" w:ascii="宋体" w:hAnsi="宋体" w:eastAsia="宋体" w:cs="宋体"/>
          <w:color w:val="auto"/>
          <w:sz w:val="24"/>
          <w:szCs w:val="24"/>
          <w:highlight w:val="none"/>
          <w:u w:val="single"/>
          <w:lang w:eastAsia="zh-CN"/>
        </w:rPr>
        <w:t>大石街</w:t>
      </w:r>
      <w:r>
        <w:rPr>
          <w:rFonts w:hint="eastAsia" w:ascii="宋体" w:hAnsi="宋体" w:eastAsia="宋体" w:cs="宋体"/>
          <w:color w:val="auto"/>
          <w:sz w:val="24"/>
          <w:szCs w:val="24"/>
          <w:highlight w:val="none"/>
          <w:u w:val="single"/>
        </w:rPr>
        <w:t>。</w:t>
      </w:r>
    </w:p>
    <w:p w14:paraId="33F92905">
      <w:pPr>
        <w:spacing w:line="360" w:lineRule="auto"/>
        <w:ind w:firstLine="480" w:firstLineChars="200"/>
        <w:jc w:val="left"/>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1.3项目规模和标段划分</w:t>
      </w:r>
    </w:p>
    <w:p w14:paraId="25DBD5C1">
      <w:pPr>
        <w:pStyle w:val="27"/>
        <w:spacing w:line="360" w:lineRule="auto"/>
        <w:ind w:firstLine="480" w:firstLineChars="200"/>
        <w:rPr>
          <w:rFonts w:hint="eastAsia" w:ascii="宋体" w:hAnsi="宋体" w:eastAsia="宋体" w:cs="宋体"/>
          <w:strike w:val="0"/>
          <w:dstrike w:val="0"/>
          <w:color w:val="auto"/>
          <w:kern w:val="2"/>
          <w:sz w:val="24"/>
          <w:szCs w:val="24"/>
          <w:highlight w:val="none"/>
          <w:u w:val="single"/>
          <w:lang w:val="en-US" w:eastAsia="zh-CN" w:bidi="ar-SA"/>
        </w:rPr>
      </w:pPr>
      <w:r>
        <w:rPr>
          <w:rFonts w:hint="eastAsia" w:ascii="宋体" w:hAnsi="宋体" w:cs="宋体"/>
          <w:color w:val="auto"/>
          <w:highlight w:val="none"/>
        </w:rPr>
        <w:t>（1）建设规模：</w:t>
      </w:r>
      <w:r>
        <w:rPr>
          <w:rFonts w:hint="eastAsia" w:ascii="宋体" w:hAnsi="宋体" w:eastAsia="宋体" w:cs="宋体"/>
          <w:color w:val="auto"/>
          <w:kern w:val="2"/>
          <w:sz w:val="24"/>
          <w:szCs w:val="24"/>
          <w:highlight w:val="none"/>
          <w:u w:val="single"/>
        </w:rPr>
        <w:t>该项目计划对番禺区经济技术开发区万博西片区大石宾至路、石中二路-石南路、沿江路-海堤路、岗西路等4条道路进行改造，总长度约9831.7米，总改造面积约186949平方米：宾至路为城市支路，总长960米，宽10米，路面改造规模约22457平方米。设计速度30km/h，双向两车道。改造提升工程包括拓宽机动车道、新增停车位、翻新人行道、增加栏杆、提升管井、增加树池、绿化修复、新建路灯、新增排水工程等；石中二路-石南路属于城市支路，其中石中二路总长908.3米、宽12.5米，路面改造规模约 12671 平方米，石南路总长1841.2米、宽12.5-18米，路面改造规模约29315平方米，设计速度 20km/h，为双向两车道。改造提升工程包括翻新机动车道、拓宽部分路面、翻新人行道、增加栏杆、增加树池、提升管井、增加及更换路灯、新增排水工程等；沿江路属于城市次干路，总长2355.8米，宽12.5-20米，路面改造规模约75480平方米，设计速度 40km/h，双向两车道及双向四车道；海堤路为城市支路，总长2516.42米，宽9米，路面改造规模约23707平方米，设计速度 30km/h，双向两车道。改造提升工程包括翻新机动车道、拓宽部分路面、翻新人行道、大石文化广场地面改造、增加护栏、提升管井、绿化修复、增加及更换路灯、新增排水工程等等；岗西路为城市支路，总长1250米，宽5-20米，路面改造规模约23319平方米。设计速度30km/h，双向两车道。改造提升工程包括脱空板注浆、翻新机动车道、翻新人行道、增加栏杆、提升管井、新建路灯等。具体工程需符合有关规定和要求。项目估算总投资约:15585.34万元，其中工程费用13281.11万元，工程建设其他费1562.07万元，基本预备费742.16 万元。</w:t>
      </w:r>
      <w:r>
        <w:rPr>
          <w:rFonts w:hint="eastAsia" w:ascii="宋体" w:hAnsi="宋体" w:eastAsia="宋体" w:cs="宋体"/>
          <w:color w:val="auto"/>
          <w:kern w:val="2"/>
          <w:sz w:val="24"/>
          <w:szCs w:val="24"/>
          <w:highlight w:val="none"/>
          <w:u w:val="single"/>
          <w:lang w:eastAsia="zh-CN"/>
        </w:rPr>
        <w:t>最终以政府批复文件为准。</w:t>
      </w:r>
    </w:p>
    <w:p w14:paraId="226FB064">
      <w:pPr>
        <w:pStyle w:val="27"/>
        <w:spacing w:line="360" w:lineRule="auto"/>
        <w:ind w:firstLine="240" w:firstLineChars="100"/>
        <w:jc w:val="left"/>
        <w:rPr>
          <w:rFonts w:hint="eastAsia" w:ascii="宋体" w:hAnsi="宋体" w:cs="宋体"/>
          <w:bCs/>
          <w:color w:val="auto"/>
          <w:sz w:val="24"/>
          <w:szCs w:val="24"/>
          <w:highlight w:val="none"/>
          <w:u w:val="single"/>
        </w:rPr>
      </w:pPr>
      <w:r>
        <w:rPr>
          <w:rFonts w:hint="eastAsia" w:ascii="宋体" w:hAnsi="宋体" w:cs="宋体"/>
          <w:color w:val="auto"/>
          <w:sz w:val="24"/>
          <w:szCs w:val="24"/>
          <w:highlight w:val="none"/>
        </w:rPr>
        <w:t>（2）</w:t>
      </w:r>
      <w:r>
        <w:rPr>
          <w:rFonts w:hint="eastAsia" w:ascii="宋体" w:hAnsi="宋体" w:cs="宋体"/>
          <w:bCs/>
          <w:color w:val="auto"/>
          <w:sz w:val="24"/>
          <w:szCs w:val="24"/>
          <w:highlight w:val="none"/>
        </w:rPr>
        <w:t>标段划分：</w:t>
      </w:r>
      <w:r>
        <w:rPr>
          <w:rFonts w:hint="eastAsia" w:ascii="宋体" w:hAnsi="宋体" w:cs="宋体"/>
          <w:bCs/>
          <w:color w:val="auto"/>
          <w:sz w:val="24"/>
          <w:szCs w:val="24"/>
          <w:highlight w:val="none"/>
          <w:u w:val="single"/>
        </w:rPr>
        <w:t>本项目划分1个标段。</w:t>
      </w:r>
    </w:p>
    <w:p w14:paraId="51893743">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1.4招标范围：</w:t>
      </w:r>
    </w:p>
    <w:p w14:paraId="124152B8">
      <w:pPr>
        <w:spacing w:line="360" w:lineRule="auto"/>
        <w:ind w:firstLine="480" w:firstLineChars="200"/>
        <w:jc w:val="left"/>
        <w:rPr>
          <w:rFonts w:hint="eastAsia" w:ascii="宋体" w:hAnsi="宋体"/>
          <w:color w:val="auto"/>
          <w:sz w:val="24"/>
          <w:highlight w:val="none"/>
          <w:u w:val="single"/>
        </w:rPr>
      </w:pPr>
      <w:r>
        <w:rPr>
          <w:rFonts w:hint="eastAsia" w:ascii="宋体" w:hAnsi="宋体" w:cs="宋体"/>
          <w:color w:val="auto"/>
          <w:sz w:val="24"/>
          <w:highlight w:val="none"/>
          <w:u w:val="single"/>
        </w:rPr>
        <w:t>1.4.1</w:t>
      </w:r>
      <w:r>
        <w:rPr>
          <w:rFonts w:hint="eastAsia" w:ascii="宋体" w:hAnsi="宋体"/>
          <w:color w:val="auto"/>
          <w:sz w:val="24"/>
          <w:highlight w:val="none"/>
          <w:u w:val="single"/>
        </w:rPr>
        <w:t>包括但不限于本项目</w:t>
      </w:r>
      <w:r>
        <w:rPr>
          <w:rFonts w:hint="eastAsia"/>
          <w:color w:val="auto"/>
          <w:sz w:val="24"/>
          <w:szCs w:val="24"/>
          <w:highlight w:val="none"/>
          <w:u w:val="single"/>
          <w:lang w:eastAsia="zh-CN"/>
        </w:rPr>
        <w:t>估算阶段、</w:t>
      </w:r>
      <w:r>
        <w:rPr>
          <w:rFonts w:hint="eastAsia" w:ascii="宋体" w:hAnsi="宋体"/>
          <w:color w:val="auto"/>
          <w:sz w:val="24"/>
          <w:highlight w:val="none"/>
          <w:u w:val="single"/>
        </w:rPr>
        <w:t>设计阶段、施工阶段、结算阶段</w:t>
      </w:r>
      <w:r>
        <w:rPr>
          <w:rFonts w:hint="eastAsia"/>
          <w:color w:val="auto"/>
          <w:sz w:val="24"/>
          <w:szCs w:val="24"/>
          <w:highlight w:val="none"/>
          <w:u w:val="single"/>
          <w:lang w:eastAsia="zh-CN"/>
        </w:rPr>
        <w:t>、决算阶段</w:t>
      </w:r>
      <w:r>
        <w:rPr>
          <w:rFonts w:hint="eastAsia" w:ascii="宋体" w:hAnsi="宋体"/>
          <w:color w:val="auto"/>
          <w:sz w:val="24"/>
          <w:highlight w:val="none"/>
          <w:u w:val="single"/>
        </w:rPr>
        <w:t>及其他阶段等造价咨询服务（造价咨询服务包括但不限于下表内容）：</w:t>
      </w:r>
    </w:p>
    <w:tbl>
      <w:tblPr>
        <w:tblStyle w:val="19"/>
        <w:tblW w:w="0" w:type="auto"/>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117"/>
        <w:gridCol w:w="6940"/>
      </w:tblGrid>
      <w:tr w14:paraId="55DD75E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8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5A5B8237">
            <w:pPr>
              <w:widowControl/>
              <w:shd w:val="solid" w:color="FFFFFF" w:fill="auto"/>
              <w:autoSpaceDN w:val="0"/>
              <w:snapToGrid w:val="0"/>
              <w:spacing w:line="360" w:lineRule="auto"/>
              <w:rPr>
                <w:rFonts w:ascii="宋体" w:hAnsi="宋体"/>
                <w:color w:val="auto"/>
                <w:szCs w:val="21"/>
                <w:highlight w:val="none"/>
              </w:rPr>
            </w:pPr>
            <w:r>
              <w:rPr>
                <w:rFonts w:ascii="宋体" w:hAnsi="宋体"/>
                <w:color w:val="auto"/>
                <w:kern w:val="0"/>
                <w:szCs w:val="21"/>
                <w:highlight w:val="none"/>
              </w:rPr>
              <w:t>序号</w:t>
            </w:r>
          </w:p>
        </w:tc>
        <w:tc>
          <w:tcPr>
            <w:tcW w:w="111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61CDBF3D">
            <w:pPr>
              <w:widowControl/>
              <w:shd w:val="solid" w:color="FFFFFF" w:fill="auto"/>
              <w:autoSpaceDN w:val="0"/>
              <w:snapToGrid w:val="0"/>
              <w:spacing w:line="360" w:lineRule="auto"/>
              <w:jc w:val="center"/>
              <w:rPr>
                <w:rFonts w:ascii="宋体" w:hAnsi="宋体"/>
                <w:color w:val="auto"/>
                <w:szCs w:val="21"/>
                <w:highlight w:val="none"/>
              </w:rPr>
            </w:pPr>
            <w:r>
              <w:rPr>
                <w:rFonts w:ascii="宋体" w:hAnsi="宋体"/>
                <w:color w:val="auto"/>
                <w:kern w:val="0"/>
                <w:szCs w:val="21"/>
                <w:highlight w:val="none"/>
              </w:rPr>
              <w:t>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45980A02">
            <w:pPr>
              <w:widowControl/>
              <w:shd w:val="solid" w:color="FFFFFF" w:fill="auto"/>
              <w:autoSpaceDN w:val="0"/>
              <w:snapToGrid w:val="0"/>
              <w:spacing w:line="360" w:lineRule="auto"/>
              <w:jc w:val="center"/>
              <w:rPr>
                <w:rFonts w:ascii="宋体" w:hAnsi="宋体"/>
                <w:color w:val="auto"/>
                <w:szCs w:val="21"/>
                <w:highlight w:val="none"/>
              </w:rPr>
            </w:pPr>
            <w:r>
              <w:rPr>
                <w:rFonts w:ascii="宋体" w:hAnsi="宋体"/>
                <w:color w:val="auto"/>
                <w:kern w:val="0"/>
                <w:szCs w:val="21"/>
                <w:highlight w:val="none"/>
              </w:rPr>
              <w:t>工作内容</w:t>
            </w:r>
          </w:p>
        </w:tc>
      </w:tr>
      <w:tr w14:paraId="16C8017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612F97D3">
            <w:pPr>
              <w:widowControl/>
              <w:shd w:val="solid" w:color="FFFFFF" w:fill="auto"/>
              <w:autoSpaceDN w:val="0"/>
              <w:snapToGrid w:val="0"/>
              <w:spacing w:line="360" w:lineRule="auto"/>
              <w:jc w:val="center"/>
              <w:rPr>
                <w:rFonts w:hint="eastAsia" w:ascii="宋体" w:hAnsi="宋体" w:eastAsia="宋体"/>
                <w:color w:val="auto"/>
                <w:kern w:val="0"/>
                <w:szCs w:val="21"/>
                <w:highlight w:val="none"/>
                <w:lang w:val="en-US" w:eastAsia="zh-CN"/>
              </w:rPr>
            </w:pPr>
            <w:r>
              <w:rPr>
                <w:rFonts w:hint="eastAsia" w:ascii="宋体" w:hAnsi="宋体"/>
                <w:color w:val="auto"/>
                <w:kern w:val="0"/>
                <w:szCs w:val="21"/>
                <w:highlight w:val="none"/>
                <w:lang w:val="en-US" w:eastAsia="zh-CN"/>
              </w:rPr>
              <w:t>1</w:t>
            </w: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7D68A3DA">
            <w:pPr>
              <w:jc w:val="left"/>
              <w:rPr>
                <w:rFonts w:hint="eastAsia" w:ascii="宋体" w:hAnsi="宋体" w:cs="仿宋"/>
                <w:color w:val="auto"/>
                <w:kern w:val="2"/>
                <w:sz w:val="21"/>
                <w:szCs w:val="21"/>
                <w:highlight w:val="none"/>
                <w:lang w:val="en-US" w:eastAsia="zh-CN" w:bidi="ar-SA"/>
              </w:rPr>
            </w:pPr>
            <w:r>
              <w:rPr>
                <w:rFonts w:hint="eastAsia" w:ascii="宋体" w:hAnsi="宋体" w:cs="仿宋"/>
                <w:color w:val="auto"/>
                <w:szCs w:val="21"/>
                <w:highlight w:val="none"/>
              </w:rPr>
              <w:t>估算阶段</w:t>
            </w:r>
          </w:p>
        </w:tc>
        <w:tc>
          <w:tcPr>
            <w:tcW w:w="69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5F1CC3A">
            <w:pPr>
              <w:widowControl/>
              <w:numPr>
                <w:ilvl w:val="0"/>
                <w:numId w:val="0"/>
              </w:numPr>
              <w:jc w:val="left"/>
              <w:rPr>
                <w:rFonts w:ascii="宋体" w:hAnsi="宋体" w:cs="仿宋"/>
                <w:color w:val="auto"/>
                <w:szCs w:val="21"/>
                <w:highlight w:val="none"/>
              </w:rPr>
            </w:pPr>
            <w:r>
              <w:rPr>
                <w:rFonts w:hint="eastAsia" w:ascii="宋体" w:hAnsi="宋体" w:cs="仿宋"/>
                <w:color w:val="auto"/>
                <w:szCs w:val="21"/>
                <w:highlight w:val="none"/>
              </w:rPr>
              <w:t>1.参与可研方案、投资估算讨论。</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如发包人有需要</w:t>
            </w:r>
            <w:r>
              <w:rPr>
                <w:rFonts w:hint="eastAsia" w:ascii="宋体" w:hAnsi="宋体" w:cs="仿宋"/>
                <w:color w:val="auto"/>
                <w:highlight w:val="none"/>
                <w:lang w:eastAsia="zh-CN"/>
              </w:rPr>
              <w:t>）</w:t>
            </w:r>
            <w:r>
              <w:rPr>
                <w:rFonts w:hint="eastAsia" w:ascii="宋体" w:hAnsi="宋体" w:cs="仿宋"/>
                <w:color w:val="auto"/>
                <w:szCs w:val="21"/>
                <w:highlight w:val="none"/>
              </w:rPr>
              <w:t xml:space="preserve">   </w:t>
            </w:r>
          </w:p>
          <w:p w14:paraId="6E0DCE82">
            <w:pPr>
              <w:widowControl/>
              <w:numPr>
                <w:ilvl w:val="0"/>
                <w:numId w:val="0"/>
              </w:numPr>
              <w:jc w:val="left"/>
              <w:rPr>
                <w:rFonts w:ascii="宋体" w:hAnsi="宋体" w:cs="仿宋"/>
                <w:color w:val="auto"/>
                <w:szCs w:val="21"/>
                <w:highlight w:val="none"/>
              </w:rPr>
            </w:pPr>
            <w:r>
              <w:rPr>
                <w:rFonts w:hint="eastAsia" w:ascii="宋体" w:hAnsi="宋体" w:cs="仿宋"/>
                <w:color w:val="auto"/>
                <w:szCs w:val="21"/>
                <w:highlight w:val="none"/>
              </w:rPr>
              <w:t xml:space="preserve">2.为投资估算提供技术咨询服务。 </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如发包人有需要</w:t>
            </w:r>
            <w:r>
              <w:rPr>
                <w:rFonts w:hint="eastAsia" w:ascii="宋体" w:hAnsi="宋体" w:cs="仿宋"/>
                <w:color w:val="auto"/>
                <w:highlight w:val="none"/>
                <w:lang w:eastAsia="zh-CN"/>
              </w:rPr>
              <w:t>）</w:t>
            </w:r>
          </w:p>
          <w:p w14:paraId="606F24B8">
            <w:pPr>
              <w:widowControl/>
              <w:numPr>
                <w:ilvl w:val="0"/>
                <w:numId w:val="0"/>
              </w:numPr>
              <w:ind w:left="0" w:leftChars="0" w:firstLine="0" w:firstLineChars="0"/>
              <w:jc w:val="left"/>
              <w:rPr>
                <w:rFonts w:hint="eastAsia" w:ascii="宋体" w:hAnsi="宋体"/>
                <w:color w:val="auto"/>
                <w:kern w:val="2"/>
                <w:sz w:val="21"/>
                <w:szCs w:val="21"/>
                <w:highlight w:val="none"/>
                <w:lang w:val="en-US" w:eastAsia="zh-CN" w:bidi="ar-SA"/>
              </w:rPr>
            </w:pPr>
            <w:r>
              <w:rPr>
                <w:rFonts w:hint="eastAsia" w:ascii="宋体" w:hAnsi="宋体" w:cs="仿宋"/>
                <w:color w:val="auto"/>
                <w:szCs w:val="21"/>
                <w:highlight w:val="none"/>
              </w:rPr>
              <w:t>3.编制或审核前期阶段相关费用。</w:t>
            </w:r>
            <w:r>
              <w:rPr>
                <w:rFonts w:hint="eastAsia" w:ascii="宋体" w:hAnsi="宋体" w:cs="仿宋"/>
                <w:color w:val="auto"/>
                <w:highlight w:val="none"/>
                <w:lang w:eastAsia="zh-CN"/>
              </w:rPr>
              <w:t>（</w:t>
            </w:r>
            <w:r>
              <w:rPr>
                <w:rFonts w:hint="eastAsia" w:ascii="宋体" w:hAnsi="宋体" w:cs="仿宋"/>
                <w:color w:val="auto"/>
                <w:highlight w:val="none"/>
                <w:lang w:val="en-US" w:eastAsia="zh-CN"/>
              </w:rPr>
              <w:t>如发包人有需要</w:t>
            </w:r>
            <w:r>
              <w:rPr>
                <w:rFonts w:hint="eastAsia" w:ascii="宋体" w:hAnsi="宋体" w:cs="仿宋"/>
                <w:color w:val="auto"/>
                <w:highlight w:val="none"/>
                <w:lang w:eastAsia="zh-CN"/>
              </w:rPr>
              <w:t>）</w:t>
            </w:r>
          </w:p>
        </w:tc>
      </w:tr>
      <w:tr w14:paraId="627746C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70F114C2">
            <w:pPr>
              <w:widowControl/>
              <w:shd w:val="solid" w:color="FFFFFF" w:fill="auto"/>
              <w:autoSpaceDN w:val="0"/>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rPr>
              <w:t>2</w:t>
            </w:r>
          </w:p>
        </w:tc>
        <w:tc>
          <w:tcPr>
            <w:tcW w:w="111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392B275B">
            <w:pPr>
              <w:widowControl/>
              <w:shd w:val="solid" w:color="FFFFFF" w:fill="auto"/>
              <w:autoSpaceDN w:val="0"/>
              <w:snapToGrid w:val="0"/>
              <w:spacing w:line="360" w:lineRule="auto"/>
              <w:jc w:val="center"/>
              <w:rPr>
                <w:rFonts w:ascii="宋体" w:hAnsi="宋体"/>
                <w:color w:val="auto"/>
                <w:szCs w:val="21"/>
                <w:highlight w:val="none"/>
              </w:rPr>
            </w:pPr>
            <w:r>
              <w:rPr>
                <w:rFonts w:hint="eastAsia" w:ascii="宋体" w:hAnsi="宋体"/>
                <w:color w:val="auto"/>
                <w:kern w:val="0"/>
                <w:szCs w:val="21"/>
                <w:highlight w:val="none"/>
              </w:rPr>
              <w:t>设计</w:t>
            </w:r>
            <w:r>
              <w:rPr>
                <w:rFonts w:ascii="宋体" w:hAnsi="宋体"/>
                <w:color w:val="auto"/>
                <w:kern w:val="0"/>
                <w:szCs w:val="21"/>
                <w:highlight w:val="none"/>
              </w:rPr>
              <w:t>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7E51E89B">
            <w:pPr>
              <w:widowControl/>
              <w:shd w:val="clear" w:color="auto" w:fill="FFFFFF"/>
              <w:snapToGrid w:val="0"/>
              <w:spacing w:line="240" w:lineRule="auto"/>
              <w:rPr>
                <w:rFonts w:hint="eastAsia" w:ascii="宋体" w:hAnsi="宋体"/>
                <w:color w:val="auto"/>
                <w:kern w:val="0"/>
                <w:szCs w:val="21"/>
                <w:highlight w:val="none"/>
              </w:rPr>
            </w:pPr>
            <w:r>
              <w:rPr>
                <w:rFonts w:hint="eastAsia" w:ascii="宋体" w:hAnsi="宋体"/>
                <w:color w:val="auto"/>
                <w:kern w:val="0"/>
                <w:szCs w:val="21"/>
                <w:highlight w:val="none"/>
              </w:rPr>
              <w:t>1.负责编制工程概算，出具工程概算书。配合委托人的概算送评审、核对项、量及价格等工作。</w:t>
            </w:r>
          </w:p>
          <w:p w14:paraId="4E300F3F">
            <w:pPr>
              <w:widowControl/>
              <w:shd w:val="clear" w:color="auto" w:fill="FFFFFF"/>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2.负责编制施工图预算，出具工程预算书。配合委托人的预算送评审、核对项、量及价格等工作。</w:t>
            </w:r>
          </w:p>
        </w:tc>
      </w:tr>
      <w:tr w14:paraId="73975C6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2C2A66F5">
            <w:pPr>
              <w:widowControl/>
              <w:shd w:val="solid" w:color="FFFFFF" w:fill="auto"/>
              <w:autoSpaceDN w:val="0"/>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rPr>
              <w:t>3</w:t>
            </w:r>
          </w:p>
        </w:tc>
        <w:tc>
          <w:tcPr>
            <w:tcW w:w="111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393BB14A">
            <w:pPr>
              <w:widowControl/>
              <w:shd w:val="solid" w:color="FFFFFF" w:fill="auto"/>
              <w:autoSpaceDN w:val="0"/>
              <w:snapToGrid w:val="0"/>
              <w:spacing w:line="360" w:lineRule="auto"/>
              <w:jc w:val="center"/>
              <w:rPr>
                <w:rFonts w:ascii="宋体" w:hAnsi="宋体"/>
                <w:color w:val="auto"/>
                <w:szCs w:val="21"/>
                <w:highlight w:val="none"/>
              </w:rPr>
            </w:pPr>
            <w:r>
              <w:rPr>
                <w:rFonts w:ascii="宋体" w:hAnsi="宋体"/>
                <w:color w:val="auto"/>
                <w:kern w:val="0"/>
                <w:szCs w:val="21"/>
                <w:highlight w:val="none"/>
              </w:rPr>
              <w:t>施工阶段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44014EF7">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1.负责按委托人要求编制各类造价管理文件，包括工程变更程序、工程款支付程序等。</w:t>
            </w:r>
          </w:p>
          <w:p w14:paraId="5E9F747A">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2.制定项目总体投资进度计划，根据实际进度与每月实际投资和计划投资作分析比较，分析成本超支的原因和修正项目投资进度计划。</w:t>
            </w:r>
          </w:p>
          <w:p w14:paraId="0B595301">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3.负责施工过程造价控制，审核工程量与进度款。</w:t>
            </w:r>
          </w:p>
          <w:p w14:paraId="23542949">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4.负责协助第三方的合同索赔处理，参加合同变更谈判。</w:t>
            </w:r>
          </w:p>
          <w:p w14:paraId="414C8294">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5.负责建立合同台账、支付台账、工程变更管理台账（按变更原因分类）、签证台账、动态投资台账，负责每个月月底前提交工程项目整体结算价预估分析、动态成本（须与目标成本对比分析偏差原因及解决方案）。</w:t>
            </w:r>
          </w:p>
          <w:p w14:paraId="719BD7A3">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6.负责定期</w:t>
            </w:r>
            <w:r>
              <w:rPr>
                <w:rFonts w:hint="eastAsia" w:ascii="宋体" w:hAnsi="宋体"/>
                <w:color w:val="auto"/>
                <w:kern w:val="0"/>
                <w:szCs w:val="21"/>
                <w:highlight w:val="none"/>
                <w:lang w:val="en-US" w:eastAsia="zh-CN"/>
              </w:rPr>
              <w:t>参加监理例会及</w:t>
            </w:r>
            <w:r>
              <w:rPr>
                <w:rFonts w:hint="eastAsia" w:ascii="宋体" w:hAnsi="宋体"/>
                <w:color w:val="auto"/>
                <w:kern w:val="0"/>
                <w:szCs w:val="21"/>
                <w:highlight w:val="none"/>
              </w:rPr>
              <w:t>召开造价控制会议，集中会审现场签证、工程变更的工程量和造价预算，确认变更价款。负责每月提交工程变更（包括：图纸会审、图纸修改、工程洽商等）对造价影响分析，及成本控制报告。</w:t>
            </w:r>
          </w:p>
          <w:p w14:paraId="5EB18B0A">
            <w:pPr>
              <w:widowControl/>
              <w:shd w:val="solid" w:color="FFFFFF" w:fill="auto"/>
              <w:autoSpaceDN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7.负责定期收集和整理有关设备材料的市场价格动态信息，对施工方案、材料选用提供成本控制建议。每月提交人工机械主材设备价格造价影响分析。</w:t>
            </w:r>
          </w:p>
        </w:tc>
      </w:tr>
      <w:tr w14:paraId="75953B2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54FD5759">
            <w:pPr>
              <w:widowControl/>
              <w:shd w:val="solid" w:color="FFFFFF" w:fill="auto"/>
              <w:autoSpaceDN w:val="0"/>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rPr>
              <w:t>4</w:t>
            </w:r>
          </w:p>
        </w:tc>
        <w:tc>
          <w:tcPr>
            <w:tcW w:w="111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30C87135">
            <w:pPr>
              <w:widowControl/>
              <w:shd w:val="solid" w:color="FFFFFF" w:fill="auto"/>
              <w:autoSpaceDN w:val="0"/>
              <w:snapToGrid w:val="0"/>
              <w:spacing w:line="360" w:lineRule="auto"/>
              <w:jc w:val="center"/>
              <w:rPr>
                <w:rFonts w:ascii="宋体" w:hAnsi="宋体"/>
                <w:color w:val="auto"/>
                <w:szCs w:val="21"/>
                <w:highlight w:val="none"/>
              </w:rPr>
            </w:pPr>
            <w:r>
              <w:rPr>
                <w:rFonts w:ascii="宋体" w:hAnsi="宋体"/>
                <w:color w:val="auto"/>
                <w:kern w:val="0"/>
                <w:szCs w:val="21"/>
                <w:highlight w:val="none"/>
              </w:rPr>
              <w:t>结算阶段</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04FF2D2A">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1.负责收集结算资料，按委托人要求编制结算管理文件，开展过程结算，完成工程结算审核工作，并与施工单位完成对数（含核对项、量及价格等），自施工单位提交结算文件之日起60个工作日内出具结算审核报告，配合委托人的结算送评审、核对项、量及价格等工作。</w:t>
            </w:r>
          </w:p>
          <w:p w14:paraId="057C6B3E">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2.负责收集和整理结算依据资料，收集有关工程费用方面的签证资料，核对单据并及时归档。</w:t>
            </w:r>
          </w:p>
          <w:p w14:paraId="27DD7E32">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3.负责收集其他费用相关资料，汇总并审核其他费用，出具审价报告，配合委托人的结算送评审、核对项、量及价格等工作。</w:t>
            </w:r>
          </w:p>
          <w:p w14:paraId="6B00D6D9">
            <w:pPr>
              <w:widowControl/>
              <w:shd w:val="clear" w:color="auto" w:fill="FFFFFF"/>
              <w:snapToGrid w:val="0"/>
              <w:spacing w:line="360" w:lineRule="auto"/>
              <w:rPr>
                <w:rFonts w:hint="eastAsia" w:ascii="宋体" w:hAnsi="宋体"/>
                <w:color w:val="auto"/>
                <w:kern w:val="0"/>
                <w:szCs w:val="21"/>
                <w:highlight w:val="none"/>
              </w:rPr>
            </w:pPr>
            <w:r>
              <w:rPr>
                <w:rFonts w:hint="eastAsia" w:ascii="宋体" w:hAnsi="宋体"/>
                <w:color w:val="auto"/>
                <w:kern w:val="0"/>
                <w:szCs w:val="21"/>
                <w:highlight w:val="none"/>
              </w:rPr>
              <w:t>4.负责建立结算台账，编制结算计划。</w:t>
            </w:r>
          </w:p>
          <w:p w14:paraId="4EACBBE5">
            <w:pPr>
              <w:widowControl/>
              <w:shd w:val="solid" w:color="FFFFFF" w:fill="auto"/>
              <w:autoSpaceDN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5.配合委托人实施决算工作。</w:t>
            </w:r>
          </w:p>
        </w:tc>
      </w:tr>
      <w:tr w14:paraId="2E9DCC4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372874A6">
            <w:pPr>
              <w:widowControl/>
              <w:shd w:val="solid" w:color="FFFFFF" w:fill="auto"/>
              <w:autoSpaceDN w:val="0"/>
              <w:snapToGrid w:val="0"/>
              <w:spacing w:line="360" w:lineRule="auto"/>
              <w:jc w:val="center"/>
              <w:rPr>
                <w:rFonts w:hint="default"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w:t>
            </w:r>
          </w:p>
        </w:tc>
        <w:tc>
          <w:tcPr>
            <w:tcW w:w="111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D5A441E">
            <w:pPr>
              <w:jc w:val="left"/>
              <w:rPr>
                <w:rFonts w:hint="eastAsia" w:ascii="宋体" w:hAnsi="宋体" w:eastAsia="宋体" w:cs="仿宋"/>
                <w:color w:val="auto"/>
                <w:szCs w:val="21"/>
                <w:highlight w:val="none"/>
                <w:lang w:eastAsia="zh-CN"/>
              </w:rPr>
            </w:pPr>
            <w:r>
              <w:rPr>
                <w:rFonts w:hint="eastAsia" w:ascii="宋体" w:hAnsi="宋体" w:cs="仿宋"/>
                <w:color w:val="auto"/>
                <w:szCs w:val="21"/>
                <w:highlight w:val="none"/>
                <w:lang w:eastAsia="zh-CN"/>
              </w:rPr>
              <w:t>决算阶段</w:t>
            </w:r>
          </w:p>
        </w:tc>
        <w:tc>
          <w:tcPr>
            <w:tcW w:w="69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14A2F2">
            <w:pPr>
              <w:widowControl/>
              <w:numPr>
                <w:ilvl w:val="0"/>
                <w:numId w:val="0"/>
              </w:numPr>
              <w:shd w:val="clear" w:color="auto" w:fill="FFFFFF"/>
              <w:snapToGrid w:val="0"/>
              <w:spacing w:line="360" w:lineRule="auto"/>
              <w:jc w:val="left"/>
              <w:rPr>
                <w:rFonts w:hint="eastAsia" w:ascii="宋体" w:hAnsi="宋体" w:eastAsia="宋体" w:cs="宋体"/>
                <w:color w:val="auto"/>
                <w:kern w:val="0"/>
                <w:sz w:val="21"/>
                <w:szCs w:val="21"/>
                <w:highlight w:val="none"/>
                <w:u w:val="none"/>
                <w:lang w:eastAsia="zh-CN"/>
              </w:rPr>
            </w:pPr>
            <w:r>
              <w:rPr>
                <w:rFonts w:hint="eastAsia" w:ascii="宋体" w:hAnsi="宋体" w:eastAsia="宋体" w:cs="宋体"/>
                <w:color w:val="auto"/>
                <w:kern w:val="0"/>
                <w:sz w:val="21"/>
                <w:szCs w:val="21"/>
                <w:highlight w:val="none"/>
                <w:u w:val="none"/>
                <w:lang w:val="en-US" w:eastAsia="zh-CN"/>
              </w:rPr>
              <w:t>1.</w:t>
            </w:r>
            <w:r>
              <w:rPr>
                <w:rFonts w:hint="eastAsia" w:ascii="宋体" w:hAnsi="宋体" w:eastAsia="宋体" w:cs="宋体"/>
                <w:color w:val="auto"/>
                <w:kern w:val="0"/>
                <w:sz w:val="21"/>
                <w:szCs w:val="21"/>
                <w:highlight w:val="none"/>
                <w:u w:val="none"/>
              </w:rPr>
              <w:t>协助发包人收集和整理决算依据资料,协助发包人完成决算报告</w:t>
            </w:r>
            <w:r>
              <w:rPr>
                <w:rFonts w:hint="eastAsia" w:ascii="宋体" w:hAnsi="宋体" w:eastAsia="宋体" w:cs="宋体"/>
                <w:color w:val="auto"/>
                <w:kern w:val="0"/>
                <w:sz w:val="21"/>
                <w:szCs w:val="21"/>
                <w:highlight w:val="none"/>
                <w:u w:val="none"/>
                <w:lang w:eastAsia="zh-CN"/>
              </w:rPr>
              <w:t>。</w:t>
            </w:r>
          </w:p>
          <w:p w14:paraId="6312590B">
            <w:pPr>
              <w:spacing w:line="360" w:lineRule="auto"/>
              <w:rPr>
                <w:rFonts w:hint="eastAsia" w:ascii="宋体" w:hAnsi="宋体" w:eastAsia="宋体" w:cs="仿宋"/>
                <w:color w:val="auto"/>
                <w:szCs w:val="21"/>
                <w:highlight w:val="none"/>
              </w:rPr>
            </w:pPr>
            <w:r>
              <w:rPr>
                <w:rFonts w:hint="eastAsia" w:ascii="宋体" w:hAnsi="宋体" w:eastAsia="宋体" w:cs="宋体"/>
                <w:color w:val="auto"/>
                <w:kern w:val="0"/>
                <w:sz w:val="21"/>
                <w:szCs w:val="21"/>
                <w:highlight w:val="none"/>
                <w:u w:val="none"/>
                <w:lang w:val="en-US" w:eastAsia="zh-CN"/>
              </w:rPr>
              <w:t>2.</w:t>
            </w:r>
            <w:r>
              <w:rPr>
                <w:rFonts w:hint="eastAsia" w:ascii="宋体" w:hAnsi="宋体" w:eastAsia="宋体" w:cs="宋体"/>
                <w:color w:val="auto"/>
                <w:kern w:val="0"/>
                <w:sz w:val="21"/>
                <w:szCs w:val="21"/>
                <w:highlight w:val="none"/>
                <w:u w:val="none"/>
              </w:rPr>
              <w:t>协助发包人确保决算报告的完整性、合理性、正确性，完成整个项目造价控制管理建档工作</w:t>
            </w:r>
            <w:r>
              <w:rPr>
                <w:rFonts w:hint="eastAsia" w:ascii="宋体" w:hAnsi="宋体" w:eastAsia="宋体" w:cs="宋体"/>
                <w:color w:val="auto"/>
                <w:kern w:val="0"/>
                <w:sz w:val="21"/>
                <w:szCs w:val="21"/>
                <w:highlight w:val="none"/>
                <w:u w:val="none"/>
                <w:lang w:eastAsia="zh-CN"/>
              </w:rPr>
              <w:t>。</w:t>
            </w:r>
          </w:p>
        </w:tc>
      </w:tr>
      <w:tr w14:paraId="01527C4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395" w:hRule="atLeast"/>
          <w:jc w:val="center"/>
        </w:trPr>
        <w:tc>
          <w:tcPr>
            <w:tcW w:w="711"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62C0D46C">
            <w:pPr>
              <w:widowControl/>
              <w:shd w:val="solid" w:color="FFFFFF" w:fill="auto"/>
              <w:autoSpaceDN w:val="0"/>
              <w:snapToGrid w:val="0"/>
              <w:spacing w:line="360" w:lineRule="auto"/>
              <w:jc w:val="center"/>
              <w:rPr>
                <w:rFonts w:hint="eastAsia" w:ascii="宋体" w:hAnsi="宋体" w:eastAsia="宋体"/>
                <w:color w:val="auto"/>
                <w:szCs w:val="21"/>
                <w:highlight w:val="none"/>
                <w:lang w:eastAsia="zh-CN"/>
              </w:rPr>
            </w:pPr>
            <w:r>
              <w:rPr>
                <w:rFonts w:hint="eastAsia" w:ascii="宋体" w:hAnsi="宋体"/>
                <w:color w:val="auto"/>
                <w:kern w:val="0"/>
                <w:szCs w:val="21"/>
                <w:highlight w:val="none"/>
                <w:lang w:val="en-US" w:eastAsia="zh-CN"/>
              </w:rPr>
              <w:t>6</w:t>
            </w:r>
          </w:p>
        </w:tc>
        <w:tc>
          <w:tcPr>
            <w:tcW w:w="1117"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000C9AD5">
            <w:pPr>
              <w:widowControl/>
              <w:shd w:val="solid" w:color="FFFFFF" w:fill="auto"/>
              <w:autoSpaceDN w:val="0"/>
              <w:snapToGrid w:val="0"/>
              <w:spacing w:line="360" w:lineRule="auto"/>
              <w:jc w:val="center"/>
              <w:rPr>
                <w:rFonts w:ascii="宋体" w:hAnsi="宋体"/>
                <w:color w:val="auto"/>
                <w:szCs w:val="21"/>
                <w:highlight w:val="none"/>
              </w:rPr>
            </w:pPr>
            <w:r>
              <w:rPr>
                <w:rFonts w:ascii="宋体" w:hAnsi="宋体"/>
                <w:color w:val="auto"/>
                <w:kern w:val="0"/>
                <w:szCs w:val="21"/>
                <w:highlight w:val="none"/>
              </w:rPr>
              <w:t>其他</w:t>
            </w:r>
          </w:p>
        </w:tc>
        <w:tc>
          <w:tcPr>
            <w:tcW w:w="6940" w:type="dxa"/>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2F655FD6">
            <w:pPr>
              <w:widowControl/>
              <w:shd w:val="solid" w:color="FFFFFF" w:fill="auto"/>
              <w:autoSpaceDN w:val="0"/>
              <w:snapToGrid w:val="0"/>
              <w:spacing w:line="360" w:lineRule="auto"/>
              <w:rPr>
                <w:rFonts w:ascii="宋体" w:hAnsi="宋体"/>
                <w:color w:val="auto"/>
                <w:szCs w:val="21"/>
                <w:highlight w:val="none"/>
              </w:rPr>
            </w:pPr>
            <w:r>
              <w:rPr>
                <w:rFonts w:ascii="宋体" w:hAnsi="宋体"/>
                <w:color w:val="auto"/>
                <w:kern w:val="0"/>
                <w:szCs w:val="21"/>
                <w:highlight w:val="none"/>
              </w:rPr>
              <w:t>1.负责组织相关造价控制评审会议。</w:t>
            </w:r>
          </w:p>
          <w:p w14:paraId="157403F9">
            <w:pPr>
              <w:widowControl/>
              <w:shd w:val="solid" w:color="FFFFFF" w:fill="auto"/>
              <w:autoSpaceDN w:val="0"/>
              <w:snapToGrid w:val="0"/>
              <w:spacing w:line="360" w:lineRule="auto"/>
              <w:rPr>
                <w:rFonts w:ascii="宋体" w:hAnsi="宋体"/>
                <w:color w:val="auto"/>
                <w:szCs w:val="21"/>
                <w:highlight w:val="none"/>
              </w:rPr>
            </w:pPr>
            <w:r>
              <w:rPr>
                <w:rFonts w:ascii="宋体" w:hAnsi="宋体"/>
                <w:color w:val="auto"/>
                <w:kern w:val="0"/>
                <w:szCs w:val="21"/>
                <w:highlight w:val="none"/>
              </w:rPr>
              <w:t>2.视情况邀请高级经济顾问对造价问题进行咨询把关。</w:t>
            </w:r>
          </w:p>
          <w:p w14:paraId="6101AFD7">
            <w:pPr>
              <w:widowControl/>
              <w:shd w:val="solid" w:color="FFFFFF" w:fill="auto"/>
              <w:autoSpaceDN w:val="0"/>
              <w:snapToGrid w:val="0"/>
              <w:spacing w:line="360" w:lineRule="auto"/>
              <w:rPr>
                <w:rFonts w:ascii="宋体" w:hAnsi="宋体"/>
                <w:color w:val="auto"/>
                <w:szCs w:val="21"/>
                <w:highlight w:val="none"/>
              </w:rPr>
            </w:pPr>
            <w:r>
              <w:rPr>
                <w:rFonts w:ascii="宋体" w:hAnsi="宋体"/>
                <w:color w:val="auto"/>
                <w:kern w:val="0"/>
                <w:szCs w:val="21"/>
                <w:highlight w:val="none"/>
              </w:rPr>
              <w:t>3.</w:t>
            </w:r>
            <w:r>
              <w:rPr>
                <w:rFonts w:hint="eastAsia" w:ascii="宋体" w:hAnsi="宋体"/>
                <w:color w:val="auto"/>
                <w:kern w:val="0"/>
                <w:szCs w:val="21"/>
                <w:highlight w:val="none"/>
              </w:rPr>
              <w:t>征地拆迁、管线、绿化迁移及</w:t>
            </w:r>
            <w:r>
              <w:rPr>
                <w:rFonts w:ascii="宋体" w:hAnsi="宋体"/>
                <w:color w:val="auto"/>
                <w:kern w:val="0"/>
                <w:szCs w:val="21"/>
                <w:highlight w:val="none"/>
              </w:rPr>
              <w:t>其他</w:t>
            </w:r>
            <w:r>
              <w:rPr>
                <w:rFonts w:hint="eastAsia" w:ascii="宋体" w:hAnsi="宋体"/>
                <w:color w:val="auto"/>
                <w:kern w:val="0"/>
                <w:szCs w:val="21"/>
                <w:highlight w:val="none"/>
              </w:rPr>
              <w:t>相关</w:t>
            </w:r>
            <w:r>
              <w:rPr>
                <w:rFonts w:ascii="宋体" w:hAnsi="宋体"/>
                <w:color w:val="auto"/>
                <w:kern w:val="0"/>
                <w:szCs w:val="21"/>
                <w:highlight w:val="none"/>
              </w:rPr>
              <w:t>的造价审核工作。</w:t>
            </w:r>
          </w:p>
          <w:p w14:paraId="1E2149B3">
            <w:pPr>
              <w:widowControl/>
              <w:shd w:val="solid" w:color="FFFFFF" w:fill="auto"/>
              <w:autoSpaceDN w:val="0"/>
              <w:snapToGrid w:val="0"/>
              <w:spacing w:line="360" w:lineRule="auto"/>
              <w:rPr>
                <w:rFonts w:ascii="宋体" w:hAnsi="宋体"/>
                <w:color w:val="auto"/>
                <w:szCs w:val="21"/>
                <w:highlight w:val="none"/>
              </w:rPr>
            </w:pPr>
            <w:r>
              <w:rPr>
                <w:rFonts w:ascii="宋体" w:hAnsi="宋体"/>
                <w:color w:val="auto"/>
                <w:kern w:val="0"/>
                <w:szCs w:val="21"/>
                <w:highlight w:val="none"/>
              </w:rPr>
              <w:t>4.业主安排的其他造价管理工作。</w:t>
            </w:r>
          </w:p>
        </w:tc>
      </w:tr>
      <w:tr w14:paraId="2973D14C">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768" w:type="dxa"/>
            <w:gridSpan w:val="3"/>
            <w:tcBorders>
              <w:top w:val="single" w:color="000000" w:sz="4" w:space="0"/>
              <w:left w:val="single" w:color="000000" w:sz="4" w:space="0"/>
              <w:bottom w:val="single" w:color="000000" w:sz="4" w:space="0"/>
              <w:right w:val="single" w:color="000000" w:sz="4" w:space="0"/>
            </w:tcBorders>
            <w:shd w:val="solid" w:color="FFFFFF" w:fill="auto"/>
            <w:noWrap w:val="0"/>
            <w:tcMar>
              <w:top w:w="0" w:type="dxa"/>
              <w:left w:w="108" w:type="dxa"/>
              <w:bottom w:w="0" w:type="dxa"/>
              <w:right w:w="108" w:type="dxa"/>
            </w:tcMar>
            <w:vAlign w:val="center"/>
          </w:tcPr>
          <w:p w14:paraId="4CD029EA">
            <w:pPr>
              <w:widowControl/>
              <w:shd w:val="solid" w:color="FFFFFF" w:fill="auto"/>
              <w:autoSpaceDN w:val="0"/>
              <w:snapToGrid w:val="0"/>
              <w:spacing w:line="360" w:lineRule="auto"/>
              <w:rPr>
                <w:rFonts w:ascii="宋体" w:hAnsi="宋体"/>
                <w:color w:val="auto"/>
                <w:kern w:val="0"/>
                <w:szCs w:val="21"/>
                <w:highlight w:val="none"/>
              </w:rPr>
            </w:pPr>
            <w:r>
              <w:rPr>
                <w:rFonts w:hint="eastAsia" w:ascii="宋体" w:hAnsi="宋体"/>
                <w:color w:val="auto"/>
                <w:kern w:val="0"/>
                <w:szCs w:val="21"/>
                <w:highlight w:val="none"/>
              </w:rPr>
              <w:t>备注：1、为实现项目的投资控制目标，由造价咨询单位拟派人员见合同附件一《造价咨询人员配置一览表》，如需更换人员需提前通知并取得招标人的同意。2、造价咨询单位的造价成果必须采用三维建模的方式开展图形算量，优先使用国内主流图形算量和计价软件（如广联达或易达）。3、造价咨询单位需在委托人要求的期限内完成各项工作内容，如未按要求完成的，招标人有权进行相应处罚。</w:t>
            </w:r>
          </w:p>
        </w:tc>
      </w:tr>
    </w:tbl>
    <w:p w14:paraId="04C74B6E">
      <w:pPr>
        <w:spacing w:line="360" w:lineRule="auto"/>
        <w:ind w:firstLine="480" w:firstLineChars="200"/>
        <w:jc w:val="left"/>
        <w:rPr>
          <w:rFonts w:hint="eastAsia" w:ascii="宋体" w:hAnsi="宋体" w:cs="宋体"/>
          <w:color w:val="auto"/>
          <w:sz w:val="24"/>
          <w:highlight w:val="none"/>
          <w:u w:val="single"/>
        </w:rPr>
      </w:pPr>
    </w:p>
    <w:p w14:paraId="61399D1D">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1.4.2 服务期限</w:t>
      </w:r>
    </w:p>
    <w:p w14:paraId="73640460">
      <w:pPr>
        <w:spacing w:line="360" w:lineRule="auto"/>
        <w:ind w:firstLine="480" w:firstLineChars="200"/>
        <w:rPr>
          <w:rFonts w:hint="eastAsia" w:ascii="宋体" w:hAnsi="宋体" w:cs="宋体"/>
          <w:color w:val="auto"/>
          <w:highlight w:val="none"/>
        </w:rPr>
      </w:pPr>
      <w:r>
        <w:rPr>
          <w:rFonts w:hint="eastAsia" w:ascii="宋体" w:hAnsi="宋体" w:cs="宋体"/>
          <w:color w:val="auto"/>
          <w:sz w:val="24"/>
          <w:szCs w:val="24"/>
          <w:highlight w:val="none"/>
          <w:u w:val="single"/>
        </w:rPr>
        <w:t>自签订合同起至本合同约定造价咨询服务工作全部完成或咨询费余额支付完毕为终结。</w:t>
      </w:r>
    </w:p>
    <w:p w14:paraId="41038F77">
      <w:pPr>
        <w:keepNext/>
        <w:keepLines/>
        <w:spacing w:line="360" w:lineRule="auto"/>
        <w:outlineLvl w:val="2"/>
        <w:rPr>
          <w:rFonts w:hint="eastAsia" w:ascii="宋体" w:hAnsi="宋体" w:cs="宋体"/>
          <w:b/>
          <w:bCs/>
          <w:color w:val="auto"/>
          <w:kern w:val="0"/>
          <w:sz w:val="24"/>
          <w:szCs w:val="24"/>
          <w:highlight w:val="none"/>
        </w:rPr>
      </w:pPr>
      <w:bookmarkStart w:id="726" w:name="_Toc68169479"/>
      <w:r>
        <w:rPr>
          <w:rFonts w:hint="eastAsia" w:ascii="宋体" w:hAnsi="宋体" w:cs="宋体"/>
          <w:b/>
          <w:bCs/>
          <w:color w:val="auto"/>
          <w:kern w:val="0"/>
          <w:sz w:val="24"/>
          <w:szCs w:val="24"/>
          <w:highlight w:val="none"/>
        </w:rPr>
        <w:t>三、</w:t>
      </w:r>
      <w:bookmarkEnd w:id="726"/>
      <w:r>
        <w:rPr>
          <w:rFonts w:hint="eastAsia" w:ascii="宋体" w:hAnsi="宋体" w:cs="宋体"/>
          <w:b/>
          <w:bCs/>
          <w:color w:val="auto"/>
          <w:kern w:val="0"/>
          <w:sz w:val="24"/>
          <w:szCs w:val="24"/>
          <w:highlight w:val="none"/>
        </w:rPr>
        <w:fldChar w:fldCharType="begin"/>
      </w:r>
      <w:r>
        <w:rPr>
          <w:rFonts w:hint="eastAsia" w:ascii="宋体" w:hAnsi="宋体" w:cs="宋体"/>
          <w:b/>
          <w:bCs/>
          <w:color w:val="auto"/>
          <w:kern w:val="0"/>
          <w:sz w:val="24"/>
          <w:szCs w:val="24"/>
          <w:highlight w:val="none"/>
        </w:rPr>
        <w:instrText xml:space="preserve"> HYPERLINK \l "_Toc68169479" </w:instrText>
      </w:r>
      <w:r>
        <w:rPr>
          <w:rFonts w:hint="eastAsia" w:ascii="宋体" w:hAnsi="宋体" w:cs="宋体"/>
          <w:b/>
          <w:bCs/>
          <w:color w:val="auto"/>
          <w:kern w:val="0"/>
          <w:sz w:val="24"/>
          <w:szCs w:val="24"/>
          <w:highlight w:val="none"/>
        </w:rPr>
        <w:fldChar w:fldCharType="separate"/>
      </w:r>
      <w:r>
        <w:rPr>
          <w:rFonts w:hint="eastAsia" w:ascii="宋体" w:hAnsi="宋体" w:cs="宋体"/>
          <w:b/>
          <w:bCs/>
          <w:color w:val="auto"/>
          <w:kern w:val="0"/>
          <w:sz w:val="24"/>
          <w:szCs w:val="24"/>
          <w:highlight w:val="none"/>
        </w:rPr>
        <w:t>对造价咨询单位（中标后）要求</w:t>
      </w:r>
      <w:r>
        <w:rPr>
          <w:rFonts w:hint="eastAsia" w:ascii="宋体" w:hAnsi="宋体" w:cs="宋体"/>
          <w:b/>
          <w:bCs/>
          <w:color w:val="auto"/>
          <w:kern w:val="0"/>
          <w:sz w:val="24"/>
          <w:szCs w:val="24"/>
          <w:highlight w:val="none"/>
        </w:rPr>
        <w:fldChar w:fldCharType="end"/>
      </w:r>
    </w:p>
    <w:p w14:paraId="7CE96E8D">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造价咨询单位应严格按照国家和省、市有关财政、财务、基建管理、工程造价的法规、政策文件的有关规定、以及招标人有关投资管控与造价管理的相关规定和对审核成果文件的要求，本着合理、合规节约投资的原则，客观、公正地开展项目审核工作，按时保质保量提供审核服务，对审核成果的真实性、准确性、完整性、合法性、合理性负责，并负有保密责任。</w:t>
      </w:r>
    </w:p>
    <w:p w14:paraId="539CE1AE">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造价咨询单位应派出符合要求的人员，按委托方的有关规章制度开展审核工作。项目咨询人员应完整、准确、真实反映并记录审核过程中的工作情况，做好审核资料、工作底稿及相关图纸整理、归集和归档管理，并按规定格式和质量要求提供审核结论和审核成果文件。</w:t>
      </w:r>
    </w:p>
    <w:p w14:paraId="31C17601">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3、造价咨询单位应服从委托方颁布的工程造价相关管理办法。合同执行过程中，委托方颁布新的管理办法、细则或操作手册的，按最新制度执行。</w:t>
      </w:r>
    </w:p>
    <w:p w14:paraId="47A1941F">
      <w:pPr>
        <w:keepNext/>
        <w:keepLines/>
        <w:spacing w:line="360" w:lineRule="auto"/>
        <w:outlineLvl w:val="2"/>
        <w:rPr>
          <w:rFonts w:hint="eastAsia" w:ascii="宋体" w:hAnsi="宋体" w:cs="宋体"/>
          <w:b/>
          <w:bCs/>
          <w:color w:val="auto"/>
          <w:kern w:val="0"/>
          <w:sz w:val="24"/>
          <w:szCs w:val="24"/>
          <w:highlight w:val="none"/>
        </w:rPr>
      </w:pPr>
      <w:bookmarkStart w:id="727" w:name="_Toc68169480"/>
      <w:r>
        <w:rPr>
          <w:rFonts w:hint="eastAsia" w:ascii="宋体" w:hAnsi="宋体" w:cs="宋体"/>
          <w:b/>
          <w:bCs/>
          <w:color w:val="auto"/>
          <w:kern w:val="0"/>
          <w:sz w:val="24"/>
          <w:szCs w:val="24"/>
          <w:highlight w:val="none"/>
        </w:rPr>
        <w:t>四、</w:t>
      </w:r>
      <w:bookmarkEnd w:id="727"/>
      <w:r>
        <w:rPr>
          <w:rFonts w:hint="eastAsia" w:ascii="宋体" w:hAnsi="宋体" w:cs="宋体"/>
          <w:b/>
          <w:bCs/>
          <w:color w:val="auto"/>
          <w:kern w:val="0"/>
          <w:sz w:val="24"/>
          <w:szCs w:val="24"/>
          <w:highlight w:val="none"/>
        </w:rPr>
        <w:t>对造价咨询单位（中标后）投入本项目的专业人员要求</w:t>
      </w:r>
    </w:p>
    <w:p w14:paraId="17026F86">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1、造价咨询专业人员技术要求</w:t>
      </w:r>
    </w:p>
    <w:p w14:paraId="13D501B7">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1.1 熟悉工程各专业的审核工作，并具备与投标人业务范围相对应的专业工程技术人员；</w:t>
      </w:r>
    </w:p>
    <w:p w14:paraId="7C080461">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1.2 具有足够的人力、物力等资源确保按时保质保量完成招标人委托的审核业务；</w:t>
      </w:r>
    </w:p>
    <w:p w14:paraId="524C04F5">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1.3 应有健全的组织机构，有完善的内控制度、质量保证体系以及资料档案管理制度，有良好的服务态度和较好的社会信誉，有保证项目审核质量和进度的措施。</w:t>
      </w:r>
    </w:p>
    <w:p w14:paraId="13452410">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2、如委托方认为造价咨询单位派出的审核人员不足以按质、按期完成审核任务，造价咨询单位应按委托方要求增派符合本项目造价咨询服务人员配置要求的审核人员。如委托方认为造价咨询单位派出的审核人员不能胜任工作，委托方有权要求造价咨询单位更换审核人员。</w:t>
      </w:r>
    </w:p>
    <w:p w14:paraId="5F93F804">
      <w:pPr>
        <w:autoSpaceDE w:val="0"/>
        <w:autoSpaceDN w:val="0"/>
        <w:adjustRightInd w:val="0"/>
        <w:spacing w:line="360" w:lineRule="auto"/>
        <w:ind w:left="57" w:leftChars="27" w:right="144" w:firstLine="516" w:firstLineChars="215"/>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3、造价咨询单位须独立完成委托方委托的审核业务，不得将审核任务转让第三方完成，保证项目资料的完整，不得遗失、损坏项目资料，并按委托方的要求按期做好已完项目的相关资料移交和归档工作。未经委托方同意，不得以任何形式向任何单位或个人披露审核项目有关的信息，不得对外提供、泄露审核有关情况。</w:t>
      </w:r>
    </w:p>
    <w:p w14:paraId="670159CA">
      <w:pPr>
        <w:pStyle w:val="3"/>
        <w:spacing w:line="360" w:lineRule="auto"/>
        <w:rPr>
          <w:rFonts w:hint="eastAsia" w:ascii="宋体" w:hAnsi="宋体"/>
          <w:color w:val="auto"/>
          <w:szCs w:val="21"/>
          <w:highlight w:val="none"/>
        </w:rPr>
      </w:pPr>
      <w:r>
        <w:rPr>
          <w:rFonts w:hint="eastAsia" w:ascii="宋体" w:hAnsi="宋体" w:cs="宋体"/>
          <w:color w:val="auto"/>
          <w:highlight w:val="none"/>
        </w:rPr>
        <w:br w:type="page"/>
      </w:r>
    </w:p>
    <w:p w14:paraId="0179A971">
      <w:pPr>
        <w:rPr>
          <w:rFonts w:hint="eastAsia" w:ascii="宋体" w:hAnsi="宋体" w:cs="宋体"/>
          <w:color w:val="auto"/>
          <w:highlight w:val="none"/>
        </w:rPr>
      </w:pPr>
    </w:p>
    <w:p w14:paraId="624A91C9">
      <w:pPr>
        <w:pStyle w:val="28"/>
        <w:rPr>
          <w:rFonts w:hint="eastAsia" w:ascii="宋体" w:hAnsi="宋体" w:cs="宋体"/>
          <w:color w:val="auto"/>
          <w:highlight w:val="none"/>
        </w:rPr>
      </w:pPr>
    </w:p>
    <w:p w14:paraId="755AABEB">
      <w:pPr>
        <w:pStyle w:val="2"/>
        <w:keepNext w:val="0"/>
        <w:keepLines w:val="0"/>
        <w:jc w:val="center"/>
        <w:rPr>
          <w:rFonts w:hint="eastAsia" w:ascii="宋体" w:hAnsi="宋体" w:cs="宋体"/>
          <w:color w:val="auto"/>
          <w:highlight w:val="none"/>
        </w:rPr>
      </w:pPr>
      <w:bookmarkStart w:id="728" w:name="_Toc13946"/>
      <w:r>
        <w:rPr>
          <w:rFonts w:hint="eastAsia" w:ascii="宋体" w:hAnsi="宋体" w:cs="宋体"/>
          <w:color w:val="auto"/>
          <w:highlight w:val="none"/>
        </w:rPr>
        <w:t>第三卷</w:t>
      </w:r>
      <w:bookmarkEnd w:id="728"/>
    </w:p>
    <w:p w14:paraId="6346DEF1">
      <w:pPr>
        <w:rPr>
          <w:rFonts w:hint="eastAsia" w:ascii="宋体" w:hAnsi="宋体" w:cs="宋体"/>
          <w:color w:val="auto"/>
          <w:highlight w:val="none"/>
        </w:rPr>
      </w:pPr>
    </w:p>
    <w:p w14:paraId="029EDE34">
      <w:pPr>
        <w:spacing w:line="400" w:lineRule="exact"/>
        <w:jc w:val="center"/>
        <w:rPr>
          <w:rFonts w:hint="eastAsia" w:ascii="宋体" w:hAnsi="宋体" w:cs="宋体"/>
          <w:color w:val="auto"/>
          <w:highlight w:val="none"/>
        </w:rPr>
      </w:pPr>
    </w:p>
    <w:p w14:paraId="25F8F4DB">
      <w:pPr>
        <w:pStyle w:val="28"/>
        <w:rPr>
          <w:rFonts w:hint="eastAsia" w:ascii="宋体" w:hAnsi="宋体" w:cs="宋体"/>
          <w:color w:val="auto"/>
          <w:highlight w:val="none"/>
        </w:rPr>
      </w:pPr>
    </w:p>
    <w:p w14:paraId="7D708579">
      <w:pPr>
        <w:pStyle w:val="28"/>
        <w:rPr>
          <w:rFonts w:hint="eastAsia" w:ascii="宋体" w:hAnsi="宋体" w:cs="宋体"/>
          <w:color w:val="auto"/>
          <w:highlight w:val="none"/>
        </w:rPr>
      </w:pPr>
    </w:p>
    <w:p w14:paraId="4AD1F434">
      <w:pPr>
        <w:pStyle w:val="2"/>
        <w:keepNext w:val="0"/>
        <w:keepLines w:val="0"/>
        <w:jc w:val="center"/>
        <w:rPr>
          <w:rFonts w:hint="eastAsia" w:ascii="宋体" w:hAnsi="宋体" w:cs="宋体"/>
          <w:color w:val="auto"/>
          <w:highlight w:val="none"/>
        </w:rPr>
      </w:pPr>
      <w:bookmarkStart w:id="729" w:name="_Toc2864"/>
      <w:r>
        <w:rPr>
          <w:rFonts w:hint="eastAsia" w:ascii="宋体" w:hAnsi="宋体" w:cs="宋体"/>
          <w:color w:val="auto"/>
          <w:highlight w:val="none"/>
        </w:rPr>
        <w:t>第六章 投标文件格式</w:t>
      </w:r>
      <w:bookmarkEnd w:id="729"/>
    </w:p>
    <w:p w14:paraId="670BC7B7">
      <w:pPr>
        <w:spacing w:line="400" w:lineRule="exact"/>
        <w:rPr>
          <w:rFonts w:hint="eastAsia" w:ascii="宋体" w:hAnsi="宋体" w:cs="宋体"/>
          <w:color w:val="auto"/>
          <w:highlight w:val="none"/>
        </w:rPr>
      </w:pPr>
    </w:p>
    <w:p w14:paraId="310821F7">
      <w:pPr>
        <w:spacing w:line="400" w:lineRule="exact"/>
        <w:rPr>
          <w:rFonts w:hint="eastAsia" w:ascii="宋体" w:hAnsi="宋体" w:cs="宋体"/>
          <w:color w:val="auto"/>
          <w:highlight w:val="none"/>
        </w:rPr>
      </w:pPr>
    </w:p>
    <w:p w14:paraId="01851DD0">
      <w:pPr>
        <w:spacing w:line="400" w:lineRule="exact"/>
        <w:rPr>
          <w:rFonts w:hint="eastAsia" w:ascii="宋体" w:hAnsi="宋体" w:cs="宋体"/>
          <w:color w:val="auto"/>
          <w:highlight w:val="none"/>
        </w:rPr>
      </w:pPr>
    </w:p>
    <w:p w14:paraId="44A53C73">
      <w:pPr>
        <w:spacing w:line="400" w:lineRule="exact"/>
        <w:rPr>
          <w:rFonts w:hint="eastAsia" w:ascii="宋体" w:hAnsi="宋体" w:cs="宋体"/>
          <w:color w:val="auto"/>
          <w:highlight w:val="none"/>
        </w:rPr>
      </w:pPr>
    </w:p>
    <w:p w14:paraId="33483713">
      <w:pPr>
        <w:spacing w:line="400" w:lineRule="exact"/>
        <w:rPr>
          <w:rFonts w:hint="eastAsia" w:ascii="宋体" w:hAnsi="宋体" w:cs="宋体"/>
          <w:color w:val="auto"/>
          <w:highlight w:val="none"/>
        </w:rPr>
      </w:pPr>
    </w:p>
    <w:p w14:paraId="4C64245D">
      <w:pPr>
        <w:spacing w:line="400" w:lineRule="exact"/>
        <w:rPr>
          <w:rFonts w:hint="eastAsia" w:ascii="宋体" w:hAnsi="宋体" w:cs="宋体"/>
          <w:color w:val="auto"/>
          <w:highlight w:val="none"/>
        </w:rPr>
      </w:pPr>
    </w:p>
    <w:p w14:paraId="0824B37E">
      <w:pPr>
        <w:spacing w:line="400" w:lineRule="exact"/>
        <w:rPr>
          <w:rFonts w:hint="eastAsia" w:ascii="宋体" w:hAnsi="宋体" w:cs="宋体"/>
          <w:color w:val="auto"/>
          <w:highlight w:val="none"/>
        </w:rPr>
      </w:pPr>
    </w:p>
    <w:p w14:paraId="4F792EA6">
      <w:pPr>
        <w:spacing w:line="400" w:lineRule="exact"/>
        <w:rPr>
          <w:rFonts w:hint="eastAsia" w:ascii="宋体" w:hAnsi="宋体" w:cs="宋体"/>
          <w:color w:val="auto"/>
          <w:highlight w:val="none"/>
        </w:rPr>
      </w:pPr>
    </w:p>
    <w:p w14:paraId="66597CCE">
      <w:pPr>
        <w:spacing w:line="400" w:lineRule="exact"/>
        <w:rPr>
          <w:rFonts w:hint="eastAsia" w:ascii="宋体" w:hAnsi="宋体" w:cs="宋体"/>
          <w:color w:val="auto"/>
          <w:highlight w:val="none"/>
        </w:rPr>
      </w:pPr>
    </w:p>
    <w:p w14:paraId="12A4F999">
      <w:pPr>
        <w:spacing w:line="400" w:lineRule="exact"/>
        <w:rPr>
          <w:rFonts w:hint="eastAsia" w:ascii="宋体" w:hAnsi="宋体" w:cs="宋体"/>
          <w:color w:val="auto"/>
          <w:highlight w:val="none"/>
        </w:rPr>
      </w:pPr>
    </w:p>
    <w:p w14:paraId="01B2DB5D">
      <w:pPr>
        <w:spacing w:line="400" w:lineRule="exact"/>
        <w:rPr>
          <w:rFonts w:hint="eastAsia" w:ascii="宋体" w:hAnsi="宋体" w:cs="宋体"/>
          <w:color w:val="auto"/>
          <w:highlight w:val="none"/>
        </w:rPr>
      </w:pPr>
    </w:p>
    <w:p w14:paraId="17FD9A56">
      <w:pPr>
        <w:spacing w:line="400" w:lineRule="exact"/>
        <w:rPr>
          <w:rFonts w:hint="eastAsia" w:ascii="宋体" w:hAnsi="宋体" w:cs="宋体"/>
          <w:color w:val="auto"/>
          <w:highlight w:val="none"/>
        </w:rPr>
      </w:pPr>
    </w:p>
    <w:p w14:paraId="385DB0B9">
      <w:pPr>
        <w:spacing w:line="400" w:lineRule="exact"/>
        <w:rPr>
          <w:rFonts w:hint="eastAsia" w:ascii="宋体" w:hAnsi="宋体" w:cs="宋体"/>
          <w:color w:val="auto"/>
          <w:highlight w:val="none"/>
        </w:rPr>
      </w:pPr>
    </w:p>
    <w:p w14:paraId="64134895">
      <w:pPr>
        <w:spacing w:line="400" w:lineRule="exact"/>
        <w:rPr>
          <w:rFonts w:hint="eastAsia" w:ascii="宋体" w:hAnsi="宋体" w:cs="宋体"/>
          <w:color w:val="auto"/>
          <w:highlight w:val="none"/>
        </w:rPr>
      </w:pPr>
    </w:p>
    <w:p w14:paraId="4EEA6FFE">
      <w:pPr>
        <w:spacing w:line="400" w:lineRule="exact"/>
        <w:rPr>
          <w:rFonts w:hint="eastAsia" w:ascii="宋体" w:hAnsi="宋体" w:cs="宋体"/>
          <w:color w:val="auto"/>
          <w:highlight w:val="none"/>
        </w:rPr>
      </w:pPr>
    </w:p>
    <w:p w14:paraId="127A5E22">
      <w:pPr>
        <w:spacing w:line="400" w:lineRule="exact"/>
        <w:rPr>
          <w:rFonts w:hint="eastAsia" w:ascii="宋体" w:hAnsi="宋体" w:cs="宋体"/>
          <w:color w:val="auto"/>
          <w:highlight w:val="none"/>
        </w:rPr>
      </w:pPr>
    </w:p>
    <w:p w14:paraId="0CB05754">
      <w:pPr>
        <w:spacing w:line="400" w:lineRule="exact"/>
        <w:rPr>
          <w:rFonts w:hint="eastAsia" w:ascii="宋体" w:hAnsi="宋体" w:cs="宋体"/>
          <w:color w:val="auto"/>
          <w:highlight w:val="none"/>
        </w:rPr>
      </w:pPr>
    </w:p>
    <w:p w14:paraId="2B5C09D0">
      <w:pPr>
        <w:pStyle w:val="12"/>
        <w:rPr>
          <w:rFonts w:hint="eastAsia" w:hAnsi="宋体" w:cs="宋体"/>
          <w:color w:val="auto"/>
          <w:highlight w:val="none"/>
        </w:rPr>
      </w:pPr>
    </w:p>
    <w:p w14:paraId="069F556A">
      <w:pPr>
        <w:rPr>
          <w:rFonts w:hint="eastAsia" w:ascii="宋体" w:hAnsi="宋体" w:cs="宋体"/>
          <w:color w:val="auto"/>
          <w:highlight w:val="none"/>
        </w:rPr>
      </w:pPr>
    </w:p>
    <w:p w14:paraId="085001D7">
      <w:pPr>
        <w:autoSpaceDE w:val="0"/>
        <w:autoSpaceDN w:val="0"/>
        <w:adjustRightInd w:val="0"/>
        <w:jc w:val="center"/>
        <w:rPr>
          <w:rFonts w:hint="eastAsia" w:ascii="宋体" w:hAnsi="宋体" w:cs="宋体"/>
          <w:b/>
          <w:color w:val="auto"/>
          <w:sz w:val="44"/>
          <w:szCs w:val="44"/>
          <w:highlight w:val="none"/>
        </w:rPr>
      </w:pPr>
      <w:r>
        <w:rPr>
          <w:rFonts w:hint="eastAsia" w:ascii="宋体" w:hAnsi="宋体" w:eastAsia="宋体" w:cs="宋体"/>
          <w:b/>
          <w:bCs w:val="0"/>
          <w:color w:val="auto"/>
          <w:sz w:val="44"/>
          <w:szCs w:val="44"/>
          <w:highlight w:val="none"/>
          <w:u w:val="none"/>
          <w:lang w:eastAsia="zh-CN"/>
        </w:rPr>
        <w:t>番禺区经济技术开发区万博西片区大石宾至路等4条道路改建项目施工阶段全过程造价咨询</w:t>
      </w:r>
      <w:r>
        <w:rPr>
          <w:rFonts w:hint="eastAsia" w:ascii="宋体" w:hAnsi="宋体" w:eastAsia="宋体" w:cs="宋体"/>
          <w:b/>
          <w:color w:val="auto"/>
          <w:sz w:val="44"/>
          <w:szCs w:val="44"/>
          <w:highlight w:val="none"/>
          <w:u w:val="none"/>
        </w:rPr>
        <w:t>服务</w:t>
      </w:r>
    </w:p>
    <w:p w14:paraId="3EE02D2F">
      <w:pPr>
        <w:autoSpaceDE w:val="0"/>
        <w:autoSpaceDN w:val="0"/>
        <w:adjustRightInd w:val="0"/>
        <w:jc w:val="center"/>
        <w:rPr>
          <w:rFonts w:hint="eastAsia" w:ascii="宋体" w:hAnsi="宋体" w:cs="宋体"/>
          <w:b/>
          <w:color w:val="auto"/>
          <w:sz w:val="44"/>
          <w:szCs w:val="44"/>
          <w:highlight w:val="none"/>
        </w:rPr>
      </w:pPr>
    </w:p>
    <w:p w14:paraId="2D04D9BC">
      <w:pPr>
        <w:pStyle w:val="12"/>
        <w:rPr>
          <w:rFonts w:hint="eastAsia" w:hAnsi="宋体" w:cs="宋体"/>
          <w:color w:val="auto"/>
          <w:highlight w:val="none"/>
        </w:rPr>
      </w:pPr>
    </w:p>
    <w:p w14:paraId="1DC28174">
      <w:pPr>
        <w:rPr>
          <w:rFonts w:hint="eastAsia" w:ascii="宋体" w:hAnsi="宋体" w:cs="宋体"/>
          <w:color w:val="auto"/>
          <w:sz w:val="20"/>
          <w:highlight w:val="none"/>
        </w:rPr>
      </w:pPr>
    </w:p>
    <w:p w14:paraId="51160BA6">
      <w:pPr>
        <w:rPr>
          <w:rFonts w:hint="eastAsia" w:ascii="宋体" w:hAnsi="宋体" w:cs="宋体"/>
          <w:color w:val="auto"/>
          <w:sz w:val="20"/>
          <w:highlight w:val="none"/>
        </w:rPr>
      </w:pPr>
    </w:p>
    <w:p w14:paraId="2ACBB2C0">
      <w:pPr>
        <w:rPr>
          <w:rFonts w:hint="eastAsia" w:ascii="宋体" w:hAnsi="宋体" w:cs="宋体"/>
          <w:color w:val="auto"/>
          <w:sz w:val="20"/>
          <w:highlight w:val="none"/>
        </w:rPr>
      </w:pPr>
    </w:p>
    <w:p w14:paraId="58DB21DC">
      <w:pPr>
        <w:rPr>
          <w:rFonts w:hint="eastAsia" w:ascii="宋体" w:hAnsi="宋体" w:cs="宋体"/>
          <w:color w:val="auto"/>
          <w:sz w:val="20"/>
          <w:highlight w:val="none"/>
        </w:rPr>
      </w:pPr>
    </w:p>
    <w:p w14:paraId="57FE8B11">
      <w:pPr>
        <w:rPr>
          <w:rFonts w:hint="eastAsia" w:ascii="宋体" w:hAnsi="宋体" w:cs="宋体"/>
          <w:color w:val="auto"/>
          <w:sz w:val="20"/>
          <w:highlight w:val="none"/>
        </w:rPr>
      </w:pPr>
    </w:p>
    <w:p w14:paraId="2E9D2D65">
      <w:pPr>
        <w:jc w:val="center"/>
        <w:rPr>
          <w:rFonts w:hint="eastAsia" w:ascii="宋体" w:hAnsi="宋体" w:cs="宋体"/>
          <w:color w:val="auto"/>
          <w:sz w:val="84"/>
          <w:szCs w:val="84"/>
          <w:highlight w:val="none"/>
        </w:rPr>
      </w:pPr>
    </w:p>
    <w:p w14:paraId="7D043EE5">
      <w:pPr>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投 标 文 件</w:t>
      </w:r>
    </w:p>
    <w:p w14:paraId="12D5C249">
      <w:pPr>
        <w:jc w:val="center"/>
        <w:rPr>
          <w:rFonts w:hint="eastAsia" w:ascii="宋体" w:hAnsi="宋体" w:cs="宋体"/>
          <w:color w:val="auto"/>
          <w:sz w:val="44"/>
          <w:highlight w:val="none"/>
        </w:rPr>
      </w:pPr>
    </w:p>
    <w:p w14:paraId="30C4191D">
      <w:pPr>
        <w:rPr>
          <w:rFonts w:hint="eastAsia" w:ascii="宋体" w:hAnsi="宋体" w:cs="宋体"/>
          <w:color w:val="auto"/>
          <w:sz w:val="28"/>
          <w:highlight w:val="none"/>
        </w:rPr>
      </w:pPr>
    </w:p>
    <w:p w14:paraId="50FF4C17">
      <w:pPr>
        <w:rPr>
          <w:rFonts w:hint="eastAsia" w:ascii="宋体" w:hAnsi="宋体" w:cs="宋体"/>
          <w:color w:val="auto"/>
          <w:sz w:val="28"/>
          <w:highlight w:val="none"/>
        </w:rPr>
      </w:pPr>
    </w:p>
    <w:p w14:paraId="738FEDF6">
      <w:pPr>
        <w:rPr>
          <w:rFonts w:hint="eastAsia" w:ascii="宋体" w:hAnsi="宋体" w:cs="宋体"/>
          <w:color w:val="auto"/>
          <w:sz w:val="28"/>
          <w:highlight w:val="none"/>
        </w:rPr>
      </w:pPr>
    </w:p>
    <w:p w14:paraId="704B3BDD">
      <w:pPr>
        <w:rPr>
          <w:rFonts w:hint="eastAsia" w:ascii="宋体" w:hAnsi="宋体" w:cs="宋体"/>
          <w:color w:val="auto"/>
          <w:sz w:val="28"/>
          <w:highlight w:val="none"/>
        </w:rPr>
      </w:pPr>
    </w:p>
    <w:p w14:paraId="559738E7">
      <w:pPr>
        <w:rPr>
          <w:rFonts w:hint="eastAsia" w:ascii="宋体" w:hAnsi="宋体" w:cs="宋体"/>
          <w:color w:val="auto"/>
          <w:sz w:val="28"/>
          <w:highlight w:val="none"/>
        </w:rPr>
      </w:pPr>
    </w:p>
    <w:p w14:paraId="7038D401">
      <w:pPr>
        <w:rPr>
          <w:rFonts w:hint="eastAsia" w:ascii="宋体" w:hAnsi="宋体" w:cs="宋体"/>
          <w:color w:val="auto"/>
          <w:sz w:val="28"/>
          <w:highlight w:val="none"/>
        </w:rPr>
      </w:pPr>
    </w:p>
    <w:p w14:paraId="23F29F37">
      <w:pPr>
        <w:rPr>
          <w:rFonts w:hint="eastAsia" w:ascii="宋体" w:hAnsi="宋体" w:cs="宋体"/>
          <w:color w:val="auto"/>
          <w:sz w:val="28"/>
          <w:highlight w:val="none"/>
        </w:rPr>
      </w:pPr>
    </w:p>
    <w:p w14:paraId="5C2B1565">
      <w:pPr>
        <w:rPr>
          <w:rFonts w:hint="eastAsia" w:ascii="宋体" w:hAnsi="宋体" w:cs="宋体"/>
          <w:color w:val="auto"/>
          <w:sz w:val="28"/>
          <w:highlight w:val="none"/>
        </w:rPr>
      </w:pPr>
    </w:p>
    <w:p w14:paraId="05670A58">
      <w:pPr>
        <w:rPr>
          <w:rFonts w:hint="eastAsia" w:ascii="宋体" w:hAnsi="宋体" w:cs="宋体"/>
          <w:color w:val="auto"/>
          <w:sz w:val="28"/>
          <w:highlight w:val="none"/>
        </w:rPr>
      </w:pPr>
    </w:p>
    <w:p w14:paraId="3CC86E08">
      <w:pPr>
        <w:spacing w:line="360" w:lineRule="auto"/>
        <w:rPr>
          <w:rFonts w:hint="eastAsia" w:ascii="宋体" w:hAnsi="宋体" w:cs="宋体"/>
          <w:color w:val="auto"/>
          <w:sz w:val="28"/>
          <w:highlight w:val="none"/>
        </w:rPr>
      </w:pPr>
    </w:p>
    <w:p w14:paraId="6DBFCB37">
      <w:pPr>
        <w:spacing w:line="360" w:lineRule="auto"/>
        <w:ind w:firstLine="1120" w:firstLineChars="400"/>
        <w:rPr>
          <w:rFonts w:hint="eastAsia" w:ascii="宋体" w:hAnsi="宋体" w:cs="宋体"/>
          <w:color w:val="auto"/>
          <w:sz w:val="28"/>
          <w:highlight w:val="none"/>
          <w:u w:val="single"/>
        </w:rPr>
      </w:pPr>
      <w:r>
        <w:rPr>
          <w:rFonts w:hint="eastAsia" w:ascii="宋体" w:hAnsi="宋体" w:cs="宋体"/>
          <w:color w:val="auto"/>
          <w:sz w:val="28"/>
          <w:highlight w:val="none"/>
        </w:rPr>
        <w:t>投标人：</w:t>
      </w:r>
      <w:r>
        <w:rPr>
          <w:rFonts w:hint="eastAsia" w:ascii="宋体" w:hAnsi="宋体" w:cs="宋体"/>
          <w:color w:val="auto"/>
          <w:highlight w:val="none"/>
          <w:u w:val="single"/>
        </w:rPr>
        <w:t xml:space="preserve">                                            </w:t>
      </w:r>
      <w:r>
        <w:rPr>
          <w:rFonts w:hint="eastAsia" w:ascii="宋体" w:hAnsi="宋体" w:cs="宋体"/>
          <w:color w:val="auto"/>
          <w:sz w:val="28"/>
          <w:highlight w:val="none"/>
        </w:rPr>
        <w:t>（盖单位章）</w:t>
      </w:r>
    </w:p>
    <w:p w14:paraId="222A8CD0">
      <w:pPr>
        <w:spacing w:line="360" w:lineRule="auto"/>
        <w:ind w:firstLine="1120" w:firstLineChars="400"/>
        <w:jc w:val="left"/>
        <w:rPr>
          <w:rFonts w:hint="eastAsia" w:ascii="宋体" w:hAnsi="宋体" w:cs="宋体"/>
          <w:color w:val="auto"/>
          <w:sz w:val="28"/>
          <w:highlight w:val="none"/>
        </w:rPr>
      </w:pPr>
      <w:r>
        <w:rPr>
          <w:rFonts w:hint="eastAsia" w:ascii="宋体" w:hAnsi="宋体" w:cs="宋体"/>
          <w:color w:val="auto"/>
          <w:sz w:val="28"/>
          <w:highlight w:val="none"/>
        </w:rPr>
        <w:t>法定代表人或其委托代理人：</w:t>
      </w:r>
      <w:r>
        <w:rPr>
          <w:rFonts w:hint="eastAsia" w:ascii="宋体" w:hAnsi="宋体" w:cs="宋体"/>
          <w:color w:val="auto"/>
          <w:highlight w:val="none"/>
          <w:u w:val="single"/>
        </w:rPr>
        <w:t xml:space="preserve">       </w:t>
      </w:r>
      <w:r>
        <w:rPr>
          <w:rFonts w:hint="eastAsia" w:ascii="宋体" w:hAnsi="宋体" w:cs="宋体"/>
          <w:color w:val="auto"/>
          <w:sz w:val="28"/>
          <w:highlight w:val="none"/>
        </w:rPr>
        <w:t>（签字或盖章）</w:t>
      </w:r>
    </w:p>
    <w:p w14:paraId="01C1266B">
      <w:pPr>
        <w:jc w:val="center"/>
        <w:rPr>
          <w:rFonts w:hint="eastAsia" w:ascii="宋体" w:hAnsi="宋体" w:cs="宋体"/>
          <w:color w:val="auto"/>
          <w:sz w:val="28"/>
          <w:highlight w:val="none"/>
        </w:rPr>
      </w:pPr>
    </w:p>
    <w:p w14:paraId="1D3DF729">
      <w:pPr>
        <w:keepNext w:val="0"/>
        <w:keepLines w:val="0"/>
        <w:spacing w:line="400" w:lineRule="exact"/>
        <w:jc w:val="center"/>
        <w:rPr>
          <w:rFonts w:hint="eastAsia" w:ascii="宋体" w:hAnsi="宋体" w:eastAsia="宋体" w:cs="宋体"/>
          <w:color w:val="auto"/>
          <w:highlight w:val="none"/>
        </w:rPr>
      </w:pPr>
      <w:r>
        <w:rPr>
          <w:rFonts w:hint="eastAsia" w:ascii="宋体" w:hAnsi="宋体" w:cs="宋体"/>
          <w:color w:val="auto"/>
          <w:highlight w:val="none"/>
          <w:u w:val="single"/>
        </w:rPr>
        <w:t xml:space="preserve">       </w:t>
      </w:r>
      <w:r>
        <w:rPr>
          <w:rFonts w:hint="eastAsia" w:ascii="宋体" w:hAnsi="宋体" w:cs="宋体"/>
          <w:color w:val="auto"/>
          <w:sz w:val="28"/>
          <w:highlight w:val="none"/>
        </w:rPr>
        <w:t>年</w:t>
      </w:r>
      <w:r>
        <w:rPr>
          <w:rFonts w:hint="eastAsia" w:ascii="宋体" w:hAnsi="宋体" w:cs="宋体"/>
          <w:color w:val="auto"/>
          <w:highlight w:val="none"/>
          <w:u w:val="single"/>
        </w:rPr>
        <w:t xml:space="preserve">       </w:t>
      </w:r>
      <w:r>
        <w:rPr>
          <w:rFonts w:hint="eastAsia" w:ascii="宋体" w:hAnsi="宋体" w:cs="宋体"/>
          <w:color w:val="auto"/>
          <w:sz w:val="28"/>
          <w:highlight w:val="none"/>
        </w:rPr>
        <w:t>月</w:t>
      </w:r>
      <w:r>
        <w:rPr>
          <w:rFonts w:hint="eastAsia" w:ascii="宋体" w:hAnsi="宋体" w:cs="宋体"/>
          <w:color w:val="auto"/>
          <w:highlight w:val="none"/>
          <w:u w:val="single"/>
        </w:rPr>
        <w:t xml:space="preserve">       </w:t>
      </w:r>
      <w:r>
        <w:rPr>
          <w:rFonts w:hint="eastAsia" w:ascii="宋体" w:hAnsi="宋体" w:cs="宋体"/>
          <w:color w:val="auto"/>
          <w:sz w:val="28"/>
          <w:highlight w:val="none"/>
        </w:rPr>
        <w:t>日</w:t>
      </w:r>
    </w:p>
    <w:p w14:paraId="1B79EC21">
      <w:pPr>
        <w:pStyle w:val="3"/>
        <w:keepNext w:val="0"/>
        <w:keepLines w:val="0"/>
        <w:jc w:val="center"/>
        <w:rPr>
          <w:rFonts w:hint="eastAsia" w:ascii="宋体" w:hAnsi="宋体" w:eastAsia="宋体" w:cs="宋体"/>
          <w:color w:val="auto"/>
          <w:highlight w:val="none"/>
        </w:rPr>
      </w:pPr>
      <w:bookmarkStart w:id="730" w:name="_Toc2862"/>
      <w:r>
        <w:rPr>
          <w:rFonts w:hint="eastAsia" w:ascii="宋体" w:hAnsi="宋体" w:eastAsia="宋体" w:cs="宋体"/>
          <w:color w:val="auto"/>
          <w:highlight w:val="none"/>
        </w:rPr>
        <w:t>目  录</w:t>
      </w:r>
      <w:bookmarkEnd w:id="730"/>
    </w:p>
    <w:p w14:paraId="6FD51F56">
      <w:pPr>
        <w:spacing w:line="540" w:lineRule="exact"/>
        <w:rPr>
          <w:rFonts w:hint="eastAsia" w:ascii="宋体" w:hAnsi="宋体" w:cs="宋体"/>
          <w:color w:val="auto"/>
          <w:highlight w:val="none"/>
        </w:rPr>
      </w:pPr>
      <w:r>
        <w:rPr>
          <w:rFonts w:hint="eastAsia" w:ascii="宋体" w:hAnsi="宋体" w:cs="宋体"/>
          <w:color w:val="auto"/>
          <w:highlight w:val="none"/>
        </w:rPr>
        <w:t>一、投标函及投标函附录</w:t>
      </w:r>
    </w:p>
    <w:p w14:paraId="39401525">
      <w:pPr>
        <w:spacing w:line="540" w:lineRule="exact"/>
        <w:rPr>
          <w:rFonts w:hint="eastAsia" w:ascii="宋体" w:hAnsi="宋体" w:cs="宋体"/>
          <w:color w:val="auto"/>
          <w:highlight w:val="none"/>
        </w:rPr>
      </w:pPr>
      <w:r>
        <w:rPr>
          <w:rFonts w:hint="eastAsia" w:ascii="宋体" w:hAnsi="宋体" w:cs="宋体"/>
          <w:color w:val="auto"/>
          <w:highlight w:val="none"/>
        </w:rPr>
        <w:t>二、法定代表人身份证明（适用于无委托代理人的情况）、授权委托书（适用于有委托代理人的情况）</w:t>
      </w:r>
    </w:p>
    <w:p w14:paraId="575DE716">
      <w:pPr>
        <w:spacing w:line="540" w:lineRule="exact"/>
        <w:rPr>
          <w:rFonts w:hint="eastAsia" w:ascii="宋体" w:hAnsi="宋体" w:cs="宋体"/>
          <w:color w:val="auto"/>
          <w:highlight w:val="none"/>
        </w:rPr>
      </w:pPr>
      <w:r>
        <w:rPr>
          <w:rFonts w:hint="eastAsia" w:ascii="宋体" w:hAnsi="宋体" w:cs="宋体"/>
          <w:color w:val="auto"/>
          <w:highlight w:val="none"/>
        </w:rPr>
        <w:t>三、投标报价表</w:t>
      </w:r>
    </w:p>
    <w:p w14:paraId="17E01317">
      <w:pPr>
        <w:spacing w:line="540" w:lineRule="exact"/>
        <w:rPr>
          <w:rFonts w:hint="eastAsia" w:ascii="宋体" w:hAnsi="宋体" w:eastAsia="宋体" w:cs="宋体"/>
          <w:color w:val="auto"/>
          <w:highlight w:val="none"/>
        </w:rPr>
      </w:pPr>
      <w:r>
        <w:rPr>
          <w:rFonts w:hint="eastAsia" w:ascii="宋体" w:hAnsi="宋体" w:eastAsia="宋体" w:cs="宋体"/>
          <w:color w:val="auto"/>
          <w:highlight w:val="none"/>
        </w:rPr>
        <w:t>四、关于投标保证金的承诺</w:t>
      </w:r>
    </w:p>
    <w:p w14:paraId="494CCF98">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五</w:t>
      </w:r>
      <w:r>
        <w:rPr>
          <w:rFonts w:hint="eastAsia" w:ascii="宋体" w:hAnsi="宋体" w:cs="宋体"/>
          <w:color w:val="auto"/>
          <w:highlight w:val="none"/>
        </w:rPr>
        <w:t>、资格审查资料</w:t>
      </w:r>
    </w:p>
    <w:p w14:paraId="02ED9759">
      <w:pPr>
        <w:spacing w:line="540" w:lineRule="exact"/>
        <w:rPr>
          <w:rFonts w:hint="eastAsia" w:ascii="宋体" w:hAnsi="宋体" w:cs="宋体"/>
          <w:color w:val="auto"/>
          <w:highlight w:val="none"/>
        </w:rPr>
      </w:pPr>
      <w:r>
        <w:rPr>
          <w:rFonts w:hint="eastAsia" w:ascii="宋体" w:hAnsi="宋体" w:cs="宋体"/>
          <w:color w:val="auto"/>
          <w:highlight w:val="none"/>
          <w:lang w:val="en-US" w:eastAsia="zh-CN"/>
        </w:rPr>
        <w:t>六</w:t>
      </w:r>
      <w:r>
        <w:rPr>
          <w:rFonts w:hint="eastAsia" w:ascii="宋体" w:hAnsi="宋体" w:cs="宋体"/>
          <w:color w:val="auto"/>
          <w:highlight w:val="none"/>
        </w:rPr>
        <w:t>、</w:t>
      </w:r>
      <w:r>
        <w:rPr>
          <w:rFonts w:hint="eastAsia" w:ascii="宋体" w:hAnsi="宋体" w:cs="宋体"/>
          <w:color w:val="auto"/>
          <w:highlight w:val="none"/>
          <w:lang w:eastAsia="zh-CN"/>
        </w:rPr>
        <w:t>服务</w:t>
      </w:r>
      <w:r>
        <w:rPr>
          <w:rFonts w:hint="eastAsia" w:ascii="宋体" w:hAnsi="宋体" w:cs="宋体"/>
          <w:color w:val="auto"/>
          <w:highlight w:val="none"/>
        </w:rPr>
        <w:t>方案</w:t>
      </w:r>
    </w:p>
    <w:p w14:paraId="3F8B399D">
      <w:pPr>
        <w:spacing w:line="540" w:lineRule="exact"/>
        <w:rPr>
          <w:rFonts w:hint="eastAsia" w:ascii="宋体" w:hAnsi="宋体" w:cs="宋体"/>
          <w:color w:val="auto"/>
          <w:highlight w:val="none"/>
        </w:rPr>
      </w:pPr>
      <w:bookmarkStart w:id="731" w:name="_Toc7039"/>
      <w:bookmarkStart w:id="732" w:name="_Toc352691655"/>
      <w:bookmarkStart w:id="733" w:name="_Toc369531691"/>
      <w:r>
        <w:rPr>
          <w:rFonts w:hint="eastAsia" w:ascii="宋体" w:hAnsi="宋体" w:cs="宋体"/>
          <w:color w:val="auto"/>
          <w:highlight w:val="none"/>
          <w:lang w:val="en-US" w:eastAsia="zh-CN"/>
        </w:rPr>
        <w:t>七</w:t>
      </w:r>
      <w:r>
        <w:rPr>
          <w:rFonts w:hint="eastAsia" w:ascii="宋体" w:hAnsi="宋体" w:cs="宋体"/>
          <w:color w:val="auto"/>
          <w:highlight w:val="none"/>
        </w:rPr>
        <w:t>、其他资料</w:t>
      </w:r>
    </w:p>
    <w:p w14:paraId="7CC5EB8D">
      <w:pPr>
        <w:spacing w:line="540" w:lineRule="exact"/>
        <w:rPr>
          <w:rFonts w:hint="eastAsia" w:ascii="宋体" w:hAnsi="宋体" w:cs="宋体"/>
          <w:color w:val="auto"/>
          <w:sz w:val="20"/>
          <w:highlight w:val="none"/>
        </w:rPr>
      </w:pPr>
    </w:p>
    <w:p w14:paraId="5D46AEEE">
      <w:pPr>
        <w:spacing w:line="540" w:lineRule="exact"/>
        <w:rPr>
          <w:rFonts w:hint="eastAsia" w:ascii="宋体" w:hAnsi="宋体" w:cs="宋体"/>
          <w:color w:val="auto"/>
          <w:sz w:val="20"/>
          <w:highlight w:val="none"/>
        </w:rPr>
      </w:pPr>
    </w:p>
    <w:p w14:paraId="0BD34196">
      <w:pPr>
        <w:spacing w:line="540" w:lineRule="exact"/>
        <w:rPr>
          <w:rFonts w:hint="eastAsia" w:ascii="宋体" w:hAnsi="宋体" w:cs="宋体"/>
          <w:color w:val="auto"/>
          <w:sz w:val="20"/>
          <w:highlight w:val="none"/>
        </w:rPr>
      </w:pPr>
    </w:p>
    <w:p w14:paraId="0CE489B1">
      <w:pPr>
        <w:spacing w:line="540" w:lineRule="exact"/>
        <w:rPr>
          <w:rFonts w:hint="eastAsia" w:ascii="宋体" w:hAnsi="宋体" w:cs="宋体"/>
          <w:color w:val="auto"/>
          <w:sz w:val="20"/>
          <w:highlight w:val="none"/>
        </w:rPr>
      </w:pPr>
    </w:p>
    <w:p w14:paraId="2EC70866">
      <w:pPr>
        <w:spacing w:line="540" w:lineRule="exact"/>
        <w:rPr>
          <w:rFonts w:hint="eastAsia" w:ascii="宋体" w:hAnsi="宋体" w:cs="宋体"/>
          <w:color w:val="auto"/>
          <w:sz w:val="20"/>
          <w:highlight w:val="none"/>
        </w:rPr>
      </w:pPr>
    </w:p>
    <w:p w14:paraId="0420FC9F">
      <w:pPr>
        <w:spacing w:line="540" w:lineRule="exact"/>
        <w:rPr>
          <w:rFonts w:hint="eastAsia" w:ascii="宋体" w:hAnsi="宋体" w:cs="宋体"/>
          <w:color w:val="auto"/>
          <w:sz w:val="20"/>
          <w:highlight w:val="none"/>
        </w:rPr>
      </w:pPr>
    </w:p>
    <w:p w14:paraId="3F1BFE8A">
      <w:pPr>
        <w:spacing w:line="540" w:lineRule="exact"/>
        <w:rPr>
          <w:rFonts w:hint="eastAsia" w:ascii="宋体" w:hAnsi="宋体" w:cs="宋体"/>
          <w:color w:val="auto"/>
          <w:sz w:val="20"/>
          <w:highlight w:val="none"/>
        </w:rPr>
      </w:pPr>
    </w:p>
    <w:p w14:paraId="29732644">
      <w:pPr>
        <w:spacing w:line="540" w:lineRule="exact"/>
        <w:rPr>
          <w:rFonts w:hint="eastAsia" w:ascii="宋体" w:hAnsi="宋体" w:cs="宋体"/>
          <w:color w:val="auto"/>
          <w:sz w:val="20"/>
          <w:highlight w:val="none"/>
        </w:rPr>
      </w:pPr>
    </w:p>
    <w:p w14:paraId="1ABCFFCA">
      <w:pPr>
        <w:spacing w:line="540" w:lineRule="exact"/>
        <w:rPr>
          <w:rFonts w:hint="eastAsia" w:ascii="宋体" w:hAnsi="宋体" w:cs="宋体"/>
          <w:color w:val="auto"/>
          <w:sz w:val="20"/>
          <w:highlight w:val="none"/>
        </w:rPr>
      </w:pPr>
    </w:p>
    <w:p w14:paraId="7B4C2518">
      <w:pPr>
        <w:spacing w:line="540" w:lineRule="exact"/>
        <w:rPr>
          <w:rFonts w:hint="eastAsia" w:ascii="宋体" w:hAnsi="宋体" w:cs="宋体"/>
          <w:color w:val="auto"/>
          <w:sz w:val="20"/>
          <w:highlight w:val="none"/>
        </w:rPr>
      </w:pPr>
    </w:p>
    <w:bookmarkEnd w:id="731"/>
    <w:bookmarkEnd w:id="732"/>
    <w:bookmarkEnd w:id="733"/>
    <w:p w14:paraId="1847AEF3">
      <w:pPr>
        <w:pStyle w:val="3"/>
        <w:keepNext w:val="0"/>
        <w:keepLines w:val="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734" w:name="_Toc21700"/>
      <w:r>
        <w:rPr>
          <w:rFonts w:hint="eastAsia" w:ascii="宋体" w:hAnsi="宋体" w:eastAsia="宋体" w:cs="宋体"/>
          <w:color w:val="auto"/>
          <w:highlight w:val="none"/>
        </w:rPr>
        <w:t>一、投标</w:t>
      </w:r>
      <w:bookmarkStart w:id="735" w:name="_Toc369531692"/>
      <w:bookmarkStart w:id="736" w:name="_Toc6931"/>
      <w:bookmarkStart w:id="737" w:name="_Toc352691656"/>
      <w:r>
        <w:rPr>
          <w:rFonts w:hint="eastAsia" w:ascii="宋体" w:hAnsi="宋体" w:eastAsia="宋体" w:cs="宋体"/>
          <w:color w:val="auto"/>
          <w:highlight w:val="none"/>
        </w:rPr>
        <w:t>函及投标函附录</w:t>
      </w:r>
      <w:bookmarkEnd w:id="734"/>
    </w:p>
    <w:bookmarkEnd w:id="735"/>
    <w:bookmarkEnd w:id="736"/>
    <w:bookmarkEnd w:id="737"/>
    <w:p w14:paraId="566A6A49">
      <w:pPr>
        <w:pStyle w:val="4"/>
        <w:keepNext w:val="0"/>
        <w:keepLines w:val="0"/>
        <w:ind w:firstLine="137"/>
        <w:rPr>
          <w:rFonts w:hint="eastAsia" w:ascii="宋体" w:hAnsi="宋体" w:eastAsia="宋体" w:cs="宋体"/>
          <w:color w:val="auto"/>
          <w:highlight w:val="none"/>
        </w:rPr>
      </w:pPr>
      <w:bookmarkStart w:id="738" w:name="_Toc385943065"/>
      <w:bookmarkStart w:id="739" w:name="_Toc482188651"/>
      <w:bookmarkStart w:id="740" w:name="_Toc359594235"/>
      <w:bookmarkStart w:id="741" w:name="_Toc370676426"/>
      <w:bookmarkStart w:id="742" w:name="_Toc3971"/>
      <w:bookmarkStart w:id="743" w:name="_Toc391394111"/>
      <w:r>
        <w:rPr>
          <w:rFonts w:hint="eastAsia" w:ascii="宋体" w:hAnsi="宋体" w:eastAsia="宋体" w:cs="宋体"/>
          <w:color w:val="auto"/>
          <w:highlight w:val="none"/>
        </w:rPr>
        <w:t>（一）投标函</w:t>
      </w:r>
      <w:bookmarkEnd w:id="738"/>
      <w:bookmarkEnd w:id="739"/>
      <w:bookmarkEnd w:id="740"/>
      <w:bookmarkEnd w:id="741"/>
      <w:bookmarkEnd w:id="742"/>
      <w:bookmarkEnd w:id="743"/>
    </w:p>
    <w:p w14:paraId="612D15C2">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14:paraId="39E8C220">
      <w:pPr>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1．我方已仔细研究了</w:t>
      </w:r>
      <w:r>
        <w:rPr>
          <w:rFonts w:hint="eastAsia" w:ascii="宋体" w:hAnsi="宋体" w:eastAsia="宋体" w:cs="宋体"/>
          <w:b w:val="0"/>
          <w:bCs w:val="0"/>
          <w:color w:val="auto"/>
          <w:sz w:val="24"/>
          <w:szCs w:val="24"/>
          <w:highlight w:val="none"/>
          <w:u w:val="single"/>
          <w:lang w:eastAsia="zh-CN"/>
        </w:rPr>
        <w:t>番禺区经济技术开发区万博西片区大石宾至路等4条道路改建项目施工阶段全过程造价咨询</w:t>
      </w:r>
      <w:r>
        <w:rPr>
          <w:rFonts w:hint="eastAsia" w:ascii="宋体" w:hAnsi="宋体" w:eastAsia="宋体" w:cs="宋体"/>
          <w:color w:val="auto"/>
          <w:sz w:val="24"/>
          <w:szCs w:val="24"/>
          <w:highlight w:val="none"/>
          <w:u w:val="single"/>
        </w:rPr>
        <w:t>服务</w:t>
      </w:r>
      <w:r>
        <w:rPr>
          <w:rFonts w:hint="eastAsia" w:ascii="宋体" w:hAnsi="宋体" w:cs="宋体"/>
          <w:color w:val="auto"/>
          <w:sz w:val="24"/>
          <w:szCs w:val="24"/>
          <w:highlight w:val="none"/>
        </w:rPr>
        <w:t>招标项目招标文件的全部内容，愿意以人民币（大写）</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）的投标总报价，服务期限：</w:t>
      </w:r>
      <w:r>
        <w:rPr>
          <w:rFonts w:hint="eastAsia" w:ascii="宋体" w:hAnsi="宋体" w:cs="宋体"/>
          <w:color w:val="auto"/>
          <w:sz w:val="24"/>
          <w:szCs w:val="24"/>
          <w:highlight w:val="none"/>
          <w:u w:val="single"/>
        </w:rPr>
        <w:t>按招标文件要求</w:t>
      </w:r>
      <w:r>
        <w:rPr>
          <w:rFonts w:hint="eastAsia" w:ascii="宋体" w:hAnsi="宋体" w:cs="宋体"/>
          <w:color w:val="auto"/>
          <w:sz w:val="24"/>
          <w:szCs w:val="24"/>
          <w:highlight w:val="none"/>
        </w:rPr>
        <w:t>，按合同约定完成</w:t>
      </w:r>
      <w:r>
        <w:rPr>
          <w:rFonts w:hint="eastAsia" w:ascii="宋体" w:hAnsi="宋体" w:cs="宋体"/>
          <w:color w:val="auto"/>
          <w:sz w:val="24"/>
          <w:szCs w:val="24"/>
          <w:highlight w:val="none"/>
          <w:u w:val="single"/>
          <w:lang w:val="en-US" w:eastAsia="zh-CN"/>
        </w:rPr>
        <w:t>施工阶段</w:t>
      </w:r>
      <w:r>
        <w:rPr>
          <w:rFonts w:hint="eastAsia" w:ascii="宋体" w:hAnsi="宋体" w:cs="宋体"/>
          <w:color w:val="auto"/>
          <w:sz w:val="24"/>
          <w:szCs w:val="24"/>
          <w:highlight w:val="none"/>
          <w:u w:val="single"/>
        </w:rPr>
        <w:t>全过程造价咨询</w:t>
      </w:r>
      <w:r>
        <w:rPr>
          <w:rFonts w:hint="eastAsia" w:ascii="宋体" w:hAnsi="宋体" w:cs="宋体"/>
          <w:color w:val="auto"/>
          <w:sz w:val="24"/>
          <w:szCs w:val="24"/>
          <w:highlight w:val="none"/>
        </w:rPr>
        <w:t>工作。</w:t>
      </w:r>
    </w:p>
    <w:p w14:paraId="5C32639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 我方的投标文件包括下列内容：</w:t>
      </w:r>
    </w:p>
    <w:p w14:paraId="33EDCA31">
      <w:pPr>
        <w:spacing w:line="400" w:lineRule="exact"/>
        <w:ind w:firstLine="405"/>
        <w:rPr>
          <w:rFonts w:hint="eastAsia" w:ascii="宋体" w:hAnsi="宋体" w:cs="宋体"/>
          <w:color w:val="auto"/>
          <w:sz w:val="24"/>
          <w:szCs w:val="24"/>
          <w:highlight w:val="none"/>
        </w:rPr>
      </w:pPr>
      <w:r>
        <w:rPr>
          <w:rFonts w:hint="eastAsia" w:ascii="宋体" w:hAnsi="宋体" w:cs="宋体"/>
          <w:color w:val="auto"/>
          <w:sz w:val="24"/>
          <w:szCs w:val="24"/>
          <w:highlight w:val="none"/>
        </w:rPr>
        <w:t>（1）投标函及投标函附录；</w:t>
      </w:r>
    </w:p>
    <w:p w14:paraId="0FAC8E7A">
      <w:pPr>
        <w:spacing w:line="400" w:lineRule="exact"/>
        <w:ind w:firstLine="405"/>
        <w:rPr>
          <w:rFonts w:hint="eastAsia" w:ascii="宋体" w:hAnsi="宋体" w:cs="宋体"/>
          <w:color w:val="auto"/>
          <w:sz w:val="24"/>
          <w:szCs w:val="24"/>
          <w:highlight w:val="none"/>
        </w:rPr>
      </w:pPr>
      <w:r>
        <w:rPr>
          <w:rFonts w:hint="eastAsia" w:ascii="宋体" w:hAnsi="宋体" w:cs="宋体"/>
          <w:color w:val="auto"/>
          <w:sz w:val="24"/>
          <w:szCs w:val="24"/>
          <w:highlight w:val="none"/>
        </w:rPr>
        <w:t>（2）法定代表人身份证明或授权委托书；</w:t>
      </w:r>
    </w:p>
    <w:p w14:paraId="72D098C2">
      <w:pPr>
        <w:spacing w:line="400" w:lineRule="exact"/>
        <w:ind w:firstLine="405"/>
        <w:rPr>
          <w:rFonts w:hint="eastAsia" w:ascii="宋体" w:hAnsi="宋体" w:cs="宋体"/>
          <w:color w:val="auto"/>
          <w:sz w:val="24"/>
          <w:szCs w:val="24"/>
          <w:highlight w:val="none"/>
        </w:rPr>
      </w:pPr>
      <w:r>
        <w:rPr>
          <w:rFonts w:hint="eastAsia" w:ascii="宋体" w:hAnsi="宋体" w:cs="宋体"/>
          <w:color w:val="auto"/>
          <w:sz w:val="24"/>
          <w:szCs w:val="24"/>
          <w:highlight w:val="none"/>
        </w:rPr>
        <w:t>（3）投标报价表；</w:t>
      </w:r>
    </w:p>
    <w:p w14:paraId="00968349">
      <w:pPr>
        <w:spacing w:line="400" w:lineRule="exact"/>
        <w:ind w:firstLine="405"/>
        <w:rPr>
          <w:rFonts w:hint="eastAsia" w:ascii="宋体" w:hAnsi="宋体" w:cs="宋体"/>
          <w:color w:val="auto"/>
          <w:sz w:val="24"/>
          <w:szCs w:val="24"/>
          <w:highlight w:val="none"/>
        </w:rPr>
      </w:pPr>
      <w:r>
        <w:rPr>
          <w:rFonts w:hint="eastAsia" w:ascii="宋体" w:hAnsi="宋体" w:cs="宋体"/>
          <w:color w:val="auto"/>
          <w:sz w:val="24"/>
          <w:szCs w:val="24"/>
          <w:highlight w:val="none"/>
        </w:rPr>
        <w:t>（4）资格审查资料；</w:t>
      </w:r>
    </w:p>
    <w:p w14:paraId="5BD0BBFE">
      <w:pPr>
        <w:spacing w:line="400" w:lineRule="exact"/>
        <w:ind w:firstLine="405"/>
        <w:rPr>
          <w:rFonts w:hint="eastAsia" w:ascii="宋体" w:hAnsi="宋体" w:cs="宋体"/>
          <w:color w:val="auto"/>
          <w:sz w:val="24"/>
          <w:szCs w:val="24"/>
          <w:highlight w:val="none"/>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eastAsia="zh-CN"/>
        </w:rPr>
        <w:t>服务</w:t>
      </w:r>
      <w:r>
        <w:rPr>
          <w:rFonts w:hint="eastAsia" w:ascii="宋体" w:hAnsi="宋体" w:cs="宋体"/>
          <w:color w:val="auto"/>
          <w:sz w:val="24"/>
          <w:szCs w:val="24"/>
          <w:highlight w:val="none"/>
        </w:rPr>
        <w:t>方案；</w:t>
      </w:r>
    </w:p>
    <w:p w14:paraId="4661783A">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（6）其他资料（如有）。</w:t>
      </w:r>
    </w:p>
    <w:p w14:paraId="2443042A">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投标文件的上述组成部分如存在内容不一致的，以投标函为准。</w:t>
      </w:r>
    </w:p>
    <w:p w14:paraId="59D42069">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3．我方承诺在招标文件规定的投标有效期内不撤销投标文件。</w:t>
      </w:r>
    </w:p>
    <w:p w14:paraId="20FC7E9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6A69FDA1">
      <w:pPr>
        <w:spacing w:line="440" w:lineRule="exact"/>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（1）在收到中标通知书后，在中标通知书规定的期限内与你方签订合同；</w:t>
      </w:r>
    </w:p>
    <w:p w14:paraId="04A8D176">
      <w:pPr>
        <w:spacing w:line="440" w:lineRule="exact"/>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（2）在签订合同时不向你方提出附加条件；</w:t>
      </w:r>
    </w:p>
    <w:p w14:paraId="55005A37">
      <w:pPr>
        <w:spacing w:line="440" w:lineRule="exact"/>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（3）按照招标文件要求提交履约保证金；</w:t>
      </w:r>
      <w:bookmarkStart w:id="744" w:name="_Toc352691658"/>
      <w:bookmarkStart w:id="745" w:name="_Toc1187"/>
      <w:bookmarkStart w:id="746" w:name="_Toc369531694"/>
    </w:p>
    <w:p w14:paraId="38547A7E">
      <w:pPr>
        <w:spacing w:line="440" w:lineRule="exact"/>
        <w:ind w:left="960" w:leftChars="400" w:hanging="120" w:hangingChars="50"/>
        <w:rPr>
          <w:rFonts w:hint="eastAsia" w:ascii="宋体" w:hAnsi="宋体" w:cs="宋体"/>
          <w:color w:val="auto"/>
          <w:sz w:val="24"/>
          <w:szCs w:val="24"/>
          <w:highlight w:val="none"/>
        </w:rPr>
      </w:pPr>
      <w:r>
        <w:rPr>
          <w:rFonts w:hint="eastAsia" w:ascii="宋体" w:hAnsi="宋体" w:cs="宋体"/>
          <w:color w:val="auto"/>
          <w:sz w:val="24"/>
          <w:szCs w:val="24"/>
          <w:highlight w:val="none"/>
        </w:rPr>
        <w:t>（4）在合</w:t>
      </w:r>
      <w:bookmarkEnd w:id="744"/>
      <w:bookmarkEnd w:id="745"/>
      <w:bookmarkEnd w:id="746"/>
      <w:r>
        <w:rPr>
          <w:rFonts w:hint="eastAsia" w:ascii="宋体" w:hAnsi="宋体" w:cs="宋体"/>
          <w:color w:val="auto"/>
          <w:sz w:val="24"/>
          <w:szCs w:val="24"/>
          <w:highlight w:val="none"/>
        </w:rPr>
        <w:t>同约定的期限内完成合同规定的全部义务。</w:t>
      </w:r>
    </w:p>
    <w:p w14:paraId="7787280D">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5．我方在此声明，所递交的投标文件及有关资料内容完整、真实和准确，且不存在第二章“投标人须知”第1.4.3项规定的任何一种情形。</w:t>
      </w:r>
    </w:p>
    <w:p w14:paraId="24EDEC8F">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如我方中标，我方承诺：我司提交的所有投标资料真实可靠，并在中标通知书发放之前，如招标人、建设行政管理部门、工程招标监督机构等提出复查投标资料原件的，我方在3个工作日之内提供。如未能及时提供或提供核查的原件不齐全或者投标资料弄虚作假的，我方将承担与此有关的一切责任，包括但不限于取消投标资格或中标资格（如果已取得中标）、没收投标保证金、接受行政监督部门的行政处罚等。</w:t>
      </w:r>
    </w:p>
    <w:p w14:paraId="55085DCF">
      <w:pPr>
        <w:spacing w:line="380" w:lineRule="exact"/>
        <w:ind w:firstLine="540"/>
        <w:rPr>
          <w:rFonts w:hint="eastAsia" w:ascii="宋体" w:hAnsi="宋体"/>
          <w:color w:val="auto"/>
          <w:sz w:val="24"/>
          <w:highlight w:val="none"/>
        </w:rPr>
      </w:pPr>
      <w:r>
        <w:rPr>
          <w:rFonts w:hint="eastAsia" w:ascii="宋体" w:hAnsi="宋体" w:cs="宋体"/>
          <w:color w:val="auto"/>
          <w:sz w:val="24"/>
          <w:szCs w:val="24"/>
          <w:highlight w:val="none"/>
        </w:rPr>
        <w:t>7．</w:t>
      </w:r>
      <w:r>
        <w:rPr>
          <w:rFonts w:hint="eastAsia" w:ascii="宋体" w:hAnsi="宋体"/>
          <w:color w:val="auto"/>
          <w:sz w:val="24"/>
          <w:highlight w:val="none"/>
        </w:rPr>
        <w:t>一旦我方中标，我方将按规定日期及金额（中标价的0.9‰）向广州交易集团有限公司交纳交易服务费。</w:t>
      </w:r>
    </w:p>
    <w:p w14:paraId="2324A1F6">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8.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（其他补充说明）。</w:t>
      </w:r>
    </w:p>
    <w:bookmarkEnd w:id="714"/>
    <w:bookmarkEnd w:id="715"/>
    <w:bookmarkEnd w:id="716"/>
    <w:bookmarkEnd w:id="717"/>
    <w:bookmarkEnd w:id="718"/>
    <w:bookmarkEnd w:id="719"/>
    <w:bookmarkEnd w:id="720"/>
    <w:bookmarkEnd w:id="721"/>
    <w:bookmarkEnd w:id="722"/>
    <w:p w14:paraId="0D4E4CE4">
      <w:pPr>
        <w:spacing w:line="440" w:lineRule="exact"/>
        <w:ind w:firstLine="2880" w:firstLineChars="1200"/>
        <w:jc w:val="left"/>
        <w:rPr>
          <w:rFonts w:hint="eastAsia" w:ascii="宋体" w:hAnsi="宋体" w:cs="宋体"/>
          <w:color w:val="auto"/>
          <w:sz w:val="24"/>
          <w:szCs w:val="24"/>
          <w:highlight w:val="none"/>
        </w:rPr>
      </w:pPr>
      <w:bookmarkStart w:id="747" w:name="_Toc352691659"/>
      <w:bookmarkEnd w:id="747"/>
      <w:bookmarkStart w:id="748" w:name="_Toc352691660"/>
      <w:bookmarkEnd w:id="748"/>
      <w:bookmarkStart w:id="749" w:name="_Toc369531696"/>
      <w:bookmarkEnd w:id="749"/>
      <w:bookmarkStart w:id="750" w:name="_Toc16824"/>
      <w:bookmarkEnd w:id="750"/>
      <w:bookmarkStart w:id="751" w:name="_Toc369531695"/>
      <w:bookmarkEnd w:id="751"/>
      <w:bookmarkStart w:id="752" w:name="_Toc16568"/>
      <w:bookmarkEnd w:id="752"/>
    </w:p>
    <w:p w14:paraId="3A03D279">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52C33CAA">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（签名或盖章）</w:t>
      </w:r>
    </w:p>
    <w:p w14:paraId="16A71BE1">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地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511EC8EF">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网    址：</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723A0643">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3B584C48">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21CE88AC">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2A5C5C4A">
      <w:pPr>
        <w:spacing w:line="440" w:lineRule="exact"/>
        <w:ind w:firstLine="5400" w:firstLineChars="2250"/>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0435AADF">
      <w:pPr>
        <w:spacing w:line="440" w:lineRule="exact"/>
        <w:rPr>
          <w:rFonts w:hint="eastAsia" w:ascii="宋体" w:hAnsi="宋体" w:cs="宋体"/>
          <w:color w:val="auto"/>
          <w:sz w:val="20"/>
          <w:highlight w:val="none"/>
        </w:rPr>
      </w:pPr>
      <w:bookmarkStart w:id="753" w:name="_Toc247514246"/>
      <w:bookmarkStart w:id="754" w:name="_Toc384308375"/>
      <w:bookmarkStart w:id="755" w:name="_Toc144974856"/>
      <w:bookmarkStart w:id="756" w:name="_Toc361508752"/>
      <w:bookmarkStart w:id="757" w:name="_Toc352691661"/>
      <w:bookmarkStart w:id="758" w:name="_Toc300835209"/>
      <w:bookmarkStart w:id="759" w:name="_Toc152042576"/>
      <w:bookmarkStart w:id="760" w:name="_Toc247527827"/>
      <w:bookmarkStart w:id="761" w:name="_Toc17960"/>
      <w:bookmarkStart w:id="762" w:name="_Toc369531697"/>
      <w:bookmarkStart w:id="763" w:name="_Toc152045787"/>
    </w:p>
    <w:p w14:paraId="5E5AC1D4">
      <w:pPr>
        <w:spacing w:line="440" w:lineRule="exact"/>
        <w:rPr>
          <w:rFonts w:hint="eastAsia" w:ascii="宋体" w:hAnsi="宋体" w:cs="宋体"/>
          <w:color w:val="auto"/>
          <w:sz w:val="20"/>
          <w:highlight w:val="none"/>
        </w:rPr>
      </w:pPr>
    </w:p>
    <w:p w14:paraId="5AF51C9C">
      <w:pPr>
        <w:spacing w:line="440" w:lineRule="exact"/>
        <w:rPr>
          <w:rFonts w:hint="eastAsia" w:ascii="宋体" w:hAnsi="宋体" w:cs="宋体"/>
          <w:color w:val="auto"/>
          <w:sz w:val="20"/>
          <w:highlight w:val="none"/>
        </w:rPr>
      </w:pPr>
    </w:p>
    <w:p w14:paraId="34795078">
      <w:pPr>
        <w:spacing w:line="440" w:lineRule="exact"/>
        <w:rPr>
          <w:rFonts w:hint="eastAsia" w:ascii="宋体" w:hAnsi="宋体" w:cs="宋体"/>
          <w:color w:val="auto"/>
          <w:sz w:val="20"/>
          <w:highlight w:val="none"/>
        </w:rPr>
      </w:pPr>
    </w:p>
    <w:p w14:paraId="4C861BC0">
      <w:pPr>
        <w:spacing w:line="440" w:lineRule="exact"/>
        <w:rPr>
          <w:rFonts w:hint="eastAsia" w:ascii="宋体" w:hAnsi="宋体" w:cs="宋体"/>
          <w:color w:val="auto"/>
          <w:sz w:val="20"/>
          <w:highlight w:val="none"/>
        </w:rPr>
      </w:pPr>
    </w:p>
    <w:p w14:paraId="73712256">
      <w:pPr>
        <w:spacing w:line="440" w:lineRule="exact"/>
        <w:rPr>
          <w:rFonts w:hint="eastAsia" w:ascii="宋体" w:hAnsi="宋体" w:cs="宋体"/>
          <w:color w:val="auto"/>
          <w:sz w:val="20"/>
          <w:highlight w:val="none"/>
        </w:rPr>
      </w:pPr>
    </w:p>
    <w:p w14:paraId="5D9556A0">
      <w:pPr>
        <w:spacing w:line="440" w:lineRule="exact"/>
        <w:rPr>
          <w:rFonts w:hint="eastAsia" w:ascii="宋体" w:hAnsi="宋体" w:cs="宋体"/>
          <w:color w:val="auto"/>
          <w:sz w:val="20"/>
          <w:highlight w:val="none"/>
        </w:rPr>
      </w:pPr>
    </w:p>
    <w:p w14:paraId="3AACBEB0">
      <w:pPr>
        <w:spacing w:line="440" w:lineRule="exact"/>
        <w:rPr>
          <w:rFonts w:hint="eastAsia" w:ascii="宋体" w:hAnsi="宋体" w:cs="宋体"/>
          <w:color w:val="auto"/>
          <w:sz w:val="20"/>
          <w:highlight w:val="none"/>
        </w:rPr>
      </w:pPr>
    </w:p>
    <w:p w14:paraId="170A4909">
      <w:pPr>
        <w:spacing w:line="440" w:lineRule="exact"/>
        <w:rPr>
          <w:rFonts w:hint="eastAsia" w:ascii="宋体" w:hAnsi="宋体" w:cs="宋体"/>
          <w:color w:val="auto"/>
          <w:sz w:val="20"/>
          <w:highlight w:val="none"/>
        </w:rPr>
      </w:pPr>
    </w:p>
    <w:p w14:paraId="00BE74F0">
      <w:pPr>
        <w:spacing w:line="440" w:lineRule="exact"/>
        <w:rPr>
          <w:rFonts w:hint="eastAsia" w:ascii="宋体" w:hAnsi="宋体" w:cs="宋体"/>
          <w:color w:val="auto"/>
          <w:sz w:val="20"/>
          <w:highlight w:val="none"/>
        </w:rPr>
      </w:pPr>
    </w:p>
    <w:p w14:paraId="19E73AE3">
      <w:pPr>
        <w:spacing w:line="440" w:lineRule="exact"/>
        <w:rPr>
          <w:rFonts w:hint="eastAsia" w:ascii="宋体" w:hAnsi="宋体" w:cs="宋体"/>
          <w:color w:val="auto"/>
          <w:sz w:val="20"/>
          <w:highlight w:val="none"/>
        </w:rPr>
      </w:pPr>
    </w:p>
    <w:p w14:paraId="4243A57E">
      <w:pPr>
        <w:spacing w:line="440" w:lineRule="exact"/>
        <w:rPr>
          <w:rFonts w:hint="eastAsia" w:ascii="宋体" w:hAnsi="宋体" w:cs="宋体"/>
          <w:color w:val="auto"/>
          <w:sz w:val="20"/>
          <w:highlight w:val="none"/>
        </w:rPr>
      </w:pPr>
    </w:p>
    <w:p w14:paraId="42F66004">
      <w:pPr>
        <w:spacing w:line="440" w:lineRule="exact"/>
        <w:rPr>
          <w:rFonts w:hint="eastAsia" w:ascii="宋体" w:hAnsi="宋体" w:cs="宋体"/>
          <w:color w:val="auto"/>
          <w:sz w:val="20"/>
          <w:highlight w:val="none"/>
        </w:rPr>
      </w:pPr>
    </w:p>
    <w:p w14:paraId="4F763E8C">
      <w:pPr>
        <w:spacing w:line="440" w:lineRule="exact"/>
        <w:rPr>
          <w:rFonts w:hint="eastAsia" w:ascii="宋体" w:hAnsi="宋体" w:cs="宋体"/>
          <w:color w:val="auto"/>
          <w:sz w:val="20"/>
          <w:highlight w:val="none"/>
        </w:rPr>
      </w:pPr>
    </w:p>
    <w:p w14:paraId="47FBE0A3">
      <w:pPr>
        <w:spacing w:line="440" w:lineRule="exact"/>
        <w:rPr>
          <w:rFonts w:hint="eastAsia" w:ascii="宋体" w:hAnsi="宋体" w:cs="宋体"/>
          <w:color w:val="auto"/>
          <w:sz w:val="20"/>
          <w:highlight w:val="none"/>
        </w:rPr>
      </w:pPr>
    </w:p>
    <w:p w14:paraId="43362CDA">
      <w:pPr>
        <w:pStyle w:val="4"/>
        <w:keepNext w:val="0"/>
        <w:keepLines w:val="0"/>
        <w:ind w:firstLine="137"/>
        <w:jc w:val="center"/>
        <w:rPr>
          <w:rFonts w:hint="eastAsia" w:ascii="宋体" w:hAnsi="宋体" w:eastAsia="宋体" w:cs="宋体"/>
          <w:color w:val="auto"/>
          <w:highlight w:val="none"/>
        </w:rPr>
      </w:pPr>
      <w:bookmarkStart w:id="764" w:name="_Toc391394112"/>
      <w:bookmarkStart w:id="765" w:name="_Toc482188652"/>
      <w:bookmarkStart w:id="766" w:name="_Toc31792"/>
      <w:bookmarkStart w:id="767" w:name="_Toc385943066"/>
      <w:bookmarkStart w:id="768" w:name="_Toc370676427"/>
      <w:bookmarkStart w:id="769" w:name="_Toc359594236"/>
      <w:r>
        <w:rPr>
          <w:rFonts w:hint="eastAsia" w:ascii="宋体" w:hAnsi="宋体" w:eastAsia="宋体" w:cs="宋体"/>
          <w:color w:val="auto"/>
          <w:highlight w:val="none"/>
        </w:rPr>
        <w:t>（二）投标函附录</w:t>
      </w:r>
      <w:bookmarkEnd w:id="764"/>
      <w:bookmarkEnd w:id="765"/>
      <w:bookmarkEnd w:id="766"/>
      <w:bookmarkEnd w:id="767"/>
      <w:bookmarkEnd w:id="768"/>
      <w:bookmarkEnd w:id="769"/>
    </w:p>
    <w:tbl>
      <w:tblPr>
        <w:tblStyle w:val="1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3"/>
        <w:gridCol w:w="2426"/>
        <w:gridCol w:w="5165"/>
        <w:gridCol w:w="668"/>
      </w:tblGrid>
      <w:tr w14:paraId="3F394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36633358">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序号</w:t>
            </w:r>
          </w:p>
        </w:tc>
        <w:tc>
          <w:tcPr>
            <w:tcW w:w="1283" w:type="pct"/>
            <w:tcBorders>
              <w:top w:val="single" w:color="auto" w:sz="4" w:space="0"/>
              <w:left w:val="single" w:color="auto" w:sz="4" w:space="0"/>
              <w:bottom w:val="single" w:color="auto" w:sz="4" w:space="0"/>
              <w:right w:val="single" w:color="auto" w:sz="4" w:space="0"/>
            </w:tcBorders>
            <w:vAlign w:val="center"/>
          </w:tcPr>
          <w:p w14:paraId="5F8590D8">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条款名称</w:t>
            </w:r>
          </w:p>
        </w:tc>
        <w:tc>
          <w:tcPr>
            <w:tcW w:w="2731" w:type="pct"/>
            <w:tcBorders>
              <w:top w:val="single" w:color="auto" w:sz="4" w:space="0"/>
              <w:left w:val="single" w:color="auto" w:sz="4" w:space="0"/>
              <w:bottom w:val="single" w:color="auto" w:sz="4" w:space="0"/>
              <w:right w:val="single" w:color="auto" w:sz="4" w:space="0"/>
            </w:tcBorders>
            <w:vAlign w:val="center"/>
          </w:tcPr>
          <w:p w14:paraId="4CE39DDA">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约定内容</w:t>
            </w:r>
          </w:p>
        </w:tc>
        <w:tc>
          <w:tcPr>
            <w:tcW w:w="353" w:type="pct"/>
            <w:tcBorders>
              <w:top w:val="single" w:color="auto" w:sz="4" w:space="0"/>
              <w:left w:val="single" w:color="auto" w:sz="4" w:space="0"/>
              <w:bottom w:val="single" w:color="auto" w:sz="4" w:space="0"/>
              <w:right w:val="single" w:color="auto" w:sz="4" w:space="0"/>
            </w:tcBorders>
            <w:vAlign w:val="center"/>
          </w:tcPr>
          <w:p w14:paraId="65C8B341">
            <w:pPr>
              <w:jc w:val="center"/>
              <w:rPr>
                <w:rFonts w:hint="eastAsia" w:ascii="宋体" w:hAnsi="宋体" w:cs="宋体"/>
                <w:b/>
                <w:color w:val="auto"/>
                <w:sz w:val="24"/>
                <w:szCs w:val="24"/>
                <w:highlight w:val="none"/>
              </w:rPr>
            </w:pPr>
            <w:r>
              <w:rPr>
                <w:rFonts w:hint="eastAsia" w:ascii="宋体" w:hAnsi="宋体" w:cs="宋体"/>
                <w:b/>
                <w:color w:val="auto"/>
                <w:sz w:val="24"/>
                <w:szCs w:val="24"/>
                <w:highlight w:val="none"/>
              </w:rPr>
              <w:t>备注</w:t>
            </w:r>
          </w:p>
        </w:tc>
      </w:tr>
      <w:tr w14:paraId="5865A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5E935FFF">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1</w:t>
            </w:r>
          </w:p>
        </w:tc>
        <w:tc>
          <w:tcPr>
            <w:tcW w:w="1283" w:type="pct"/>
            <w:tcBorders>
              <w:top w:val="single" w:color="auto" w:sz="4" w:space="0"/>
              <w:left w:val="single" w:color="auto" w:sz="4" w:space="0"/>
              <w:bottom w:val="single" w:color="auto" w:sz="4" w:space="0"/>
              <w:right w:val="single" w:color="auto" w:sz="4" w:space="0"/>
            </w:tcBorders>
            <w:vAlign w:val="center"/>
          </w:tcPr>
          <w:p w14:paraId="086CF5B4">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项目负责人</w:t>
            </w:r>
          </w:p>
        </w:tc>
        <w:tc>
          <w:tcPr>
            <w:tcW w:w="2731" w:type="pct"/>
            <w:tcBorders>
              <w:top w:val="single" w:color="auto" w:sz="4" w:space="0"/>
              <w:left w:val="single" w:color="auto" w:sz="4" w:space="0"/>
              <w:bottom w:val="single" w:color="auto" w:sz="4" w:space="0"/>
              <w:right w:val="single" w:color="auto" w:sz="4" w:space="0"/>
            </w:tcBorders>
            <w:vAlign w:val="center"/>
          </w:tcPr>
          <w:p w14:paraId="3A5FB1B1">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姓名： </w:t>
            </w:r>
          </w:p>
          <w:p w14:paraId="2566DAD1">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注册证号：</w:t>
            </w:r>
          </w:p>
        </w:tc>
        <w:tc>
          <w:tcPr>
            <w:tcW w:w="353" w:type="pct"/>
            <w:tcBorders>
              <w:top w:val="single" w:color="auto" w:sz="4" w:space="0"/>
              <w:left w:val="single" w:color="auto" w:sz="4" w:space="0"/>
              <w:bottom w:val="single" w:color="auto" w:sz="4" w:space="0"/>
              <w:right w:val="single" w:color="auto" w:sz="4" w:space="0"/>
            </w:tcBorders>
            <w:vAlign w:val="center"/>
          </w:tcPr>
          <w:p w14:paraId="52015F05">
            <w:pPr>
              <w:spacing w:line="360" w:lineRule="auto"/>
              <w:jc w:val="center"/>
              <w:rPr>
                <w:rFonts w:hint="eastAsia" w:ascii="宋体" w:hAnsi="宋体" w:cs="宋体"/>
                <w:b/>
                <w:color w:val="auto"/>
                <w:sz w:val="24"/>
                <w:szCs w:val="24"/>
                <w:highlight w:val="none"/>
              </w:rPr>
            </w:pPr>
          </w:p>
        </w:tc>
      </w:tr>
      <w:tr w14:paraId="7B0A8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1B0D1AC9">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2</w:t>
            </w:r>
          </w:p>
        </w:tc>
        <w:tc>
          <w:tcPr>
            <w:tcW w:w="1283" w:type="pct"/>
            <w:tcBorders>
              <w:top w:val="single" w:color="auto" w:sz="4" w:space="0"/>
              <w:left w:val="single" w:color="auto" w:sz="4" w:space="0"/>
              <w:bottom w:val="single" w:color="auto" w:sz="4" w:space="0"/>
              <w:right w:val="single" w:color="auto" w:sz="4" w:space="0"/>
            </w:tcBorders>
            <w:vAlign w:val="center"/>
          </w:tcPr>
          <w:p w14:paraId="244C0002">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服务期限</w:t>
            </w:r>
          </w:p>
        </w:tc>
        <w:tc>
          <w:tcPr>
            <w:tcW w:w="2731" w:type="pct"/>
            <w:tcBorders>
              <w:top w:val="single" w:color="auto" w:sz="4" w:space="0"/>
              <w:left w:val="single" w:color="auto" w:sz="4" w:space="0"/>
              <w:bottom w:val="single" w:color="auto" w:sz="4" w:space="0"/>
              <w:right w:val="single" w:color="auto" w:sz="4" w:space="0"/>
            </w:tcBorders>
            <w:vAlign w:val="center"/>
          </w:tcPr>
          <w:p w14:paraId="1FD03B9A">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353" w:type="pct"/>
            <w:tcBorders>
              <w:top w:val="single" w:color="auto" w:sz="4" w:space="0"/>
              <w:left w:val="single" w:color="auto" w:sz="4" w:space="0"/>
              <w:bottom w:val="single" w:color="auto" w:sz="4" w:space="0"/>
              <w:right w:val="single" w:color="auto" w:sz="4" w:space="0"/>
            </w:tcBorders>
            <w:vAlign w:val="center"/>
          </w:tcPr>
          <w:p w14:paraId="7BDE5F9A">
            <w:pPr>
              <w:spacing w:line="360" w:lineRule="auto"/>
              <w:jc w:val="center"/>
              <w:rPr>
                <w:rFonts w:hint="eastAsia" w:ascii="宋体" w:hAnsi="宋体" w:cs="宋体"/>
                <w:color w:val="auto"/>
                <w:sz w:val="24"/>
                <w:szCs w:val="24"/>
                <w:highlight w:val="none"/>
                <w:u w:val="single"/>
              </w:rPr>
            </w:pPr>
          </w:p>
        </w:tc>
      </w:tr>
      <w:tr w14:paraId="7CE45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6B0FF373">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3</w:t>
            </w:r>
          </w:p>
        </w:tc>
        <w:tc>
          <w:tcPr>
            <w:tcW w:w="1283" w:type="pct"/>
            <w:tcBorders>
              <w:top w:val="single" w:color="auto" w:sz="4" w:space="0"/>
              <w:left w:val="single" w:color="auto" w:sz="4" w:space="0"/>
              <w:bottom w:val="single" w:color="auto" w:sz="4" w:space="0"/>
              <w:right w:val="single" w:color="auto" w:sz="4" w:space="0"/>
            </w:tcBorders>
            <w:vAlign w:val="center"/>
          </w:tcPr>
          <w:p w14:paraId="0738A6DB">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合同价款确定方式</w:t>
            </w:r>
          </w:p>
        </w:tc>
        <w:tc>
          <w:tcPr>
            <w:tcW w:w="2731" w:type="pct"/>
            <w:tcBorders>
              <w:top w:val="single" w:color="auto" w:sz="4" w:space="0"/>
              <w:left w:val="single" w:color="auto" w:sz="4" w:space="0"/>
              <w:bottom w:val="single" w:color="auto" w:sz="4" w:space="0"/>
              <w:right w:val="single" w:color="auto" w:sz="4" w:space="0"/>
            </w:tcBorders>
            <w:vAlign w:val="center"/>
          </w:tcPr>
          <w:p w14:paraId="02A5968D">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按合同约定</w:t>
            </w:r>
          </w:p>
        </w:tc>
        <w:tc>
          <w:tcPr>
            <w:tcW w:w="353" w:type="pct"/>
            <w:tcBorders>
              <w:top w:val="single" w:color="auto" w:sz="4" w:space="0"/>
              <w:left w:val="single" w:color="auto" w:sz="4" w:space="0"/>
              <w:bottom w:val="single" w:color="auto" w:sz="4" w:space="0"/>
              <w:right w:val="single" w:color="auto" w:sz="4" w:space="0"/>
            </w:tcBorders>
            <w:vAlign w:val="center"/>
          </w:tcPr>
          <w:p w14:paraId="5FF77305">
            <w:pPr>
              <w:spacing w:line="360" w:lineRule="auto"/>
              <w:jc w:val="center"/>
              <w:rPr>
                <w:rFonts w:hint="eastAsia" w:ascii="宋体" w:hAnsi="宋体" w:cs="宋体"/>
                <w:b/>
                <w:color w:val="auto"/>
                <w:sz w:val="24"/>
                <w:szCs w:val="24"/>
                <w:highlight w:val="none"/>
              </w:rPr>
            </w:pPr>
          </w:p>
        </w:tc>
      </w:tr>
      <w:tr w14:paraId="3EE76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7AB7B6BD">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4</w:t>
            </w:r>
          </w:p>
        </w:tc>
        <w:tc>
          <w:tcPr>
            <w:tcW w:w="1283" w:type="pct"/>
            <w:tcBorders>
              <w:top w:val="single" w:color="auto" w:sz="4" w:space="0"/>
              <w:left w:val="single" w:color="auto" w:sz="4" w:space="0"/>
              <w:bottom w:val="single" w:color="auto" w:sz="4" w:space="0"/>
              <w:right w:val="single" w:color="auto" w:sz="4" w:space="0"/>
            </w:tcBorders>
            <w:vAlign w:val="center"/>
          </w:tcPr>
          <w:p w14:paraId="72E51BEB">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质量标准</w:t>
            </w:r>
          </w:p>
        </w:tc>
        <w:tc>
          <w:tcPr>
            <w:tcW w:w="2731" w:type="pct"/>
            <w:tcBorders>
              <w:top w:val="single" w:color="auto" w:sz="4" w:space="0"/>
              <w:left w:val="single" w:color="auto" w:sz="4" w:space="0"/>
              <w:bottom w:val="single" w:color="auto" w:sz="4" w:space="0"/>
              <w:right w:val="single" w:color="auto" w:sz="4" w:space="0"/>
            </w:tcBorders>
            <w:vAlign w:val="center"/>
          </w:tcPr>
          <w:p w14:paraId="2874E34A">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353" w:type="pct"/>
            <w:tcBorders>
              <w:top w:val="single" w:color="auto" w:sz="4" w:space="0"/>
              <w:left w:val="single" w:color="auto" w:sz="4" w:space="0"/>
              <w:bottom w:val="single" w:color="auto" w:sz="4" w:space="0"/>
              <w:right w:val="single" w:color="auto" w:sz="4" w:space="0"/>
            </w:tcBorders>
            <w:vAlign w:val="center"/>
          </w:tcPr>
          <w:p w14:paraId="75A3151F">
            <w:pPr>
              <w:spacing w:line="360" w:lineRule="auto"/>
              <w:jc w:val="center"/>
              <w:rPr>
                <w:rFonts w:hint="eastAsia" w:ascii="宋体" w:hAnsi="宋体" w:cs="宋体"/>
                <w:b/>
                <w:color w:val="auto"/>
                <w:sz w:val="24"/>
                <w:szCs w:val="24"/>
                <w:highlight w:val="none"/>
              </w:rPr>
            </w:pPr>
          </w:p>
        </w:tc>
      </w:tr>
      <w:tr w14:paraId="59EBA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02FA6301">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5</w:t>
            </w:r>
          </w:p>
        </w:tc>
        <w:tc>
          <w:tcPr>
            <w:tcW w:w="1283" w:type="pct"/>
            <w:tcBorders>
              <w:top w:val="single" w:color="auto" w:sz="4" w:space="0"/>
              <w:left w:val="single" w:color="auto" w:sz="4" w:space="0"/>
              <w:bottom w:val="single" w:color="auto" w:sz="4" w:space="0"/>
              <w:right w:val="single" w:color="auto" w:sz="4" w:space="0"/>
            </w:tcBorders>
            <w:vAlign w:val="center"/>
          </w:tcPr>
          <w:p w14:paraId="626F26F1">
            <w:pPr>
              <w:spacing w:line="360" w:lineRule="auto"/>
              <w:jc w:val="center"/>
              <w:rPr>
                <w:rFonts w:hint="eastAsia" w:ascii="宋体" w:hAnsi="宋体" w:eastAsia="宋体" w:cs="宋体"/>
                <w:bCs/>
                <w:color w:val="auto"/>
                <w:sz w:val="24"/>
                <w:szCs w:val="24"/>
                <w:highlight w:val="none"/>
                <w:lang w:val="en-US" w:eastAsia="zh-CN"/>
              </w:rPr>
            </w:pPr>
            <w:r>
              <w:rPr>
                <w:rFonts w:hint="eastAsia" w:ascii="宋体" w:hAnsi="宋体" w:cs="宋体"/>
                <w:bCs/>
                <w:color w:val="auto"/>
                <w:sz w:val="24"/>
                <w:szCs w:val="24"/>
                <w:highlight w:val="none"/>
              </w:rPr>
              <w:t>投标报价</w:t>
            </w:r>
          </w:p>
        </w:tc>
        <w:tc>
          <w:tcPr>
            <w:tcW w:w="2731" w:type="pct"/>
            <w:tcBorders>
              <w:top w:val="single" w:color="auto" w:sz="4" w:space="0"/>
              <w:left w:val="single" w:color="auto" w:sz="4" w:space="0"/>
              <w:bottom w:val="single" w:color="auto" w:sz="4" w:space="0"/>
              <w:right w:val="single" w:color="auto" w:sz="4" w:space="0"/>
            </w:tcBorders>
            <w:vAlign w:val="center"/>
          </w:tcPr>
          <w:p w14:paraId="33E9F478">
            <w:pPr>
              <w:spacing w:line="360" w:lineRule="auto"/>
              <w:jc w:val="left"/>
              <w:rPr>
                <w:rFonts w:hint="default" w:ascii="宋体" w:hAnsi="宋体" w:cs="宋体"/>
                <w:bCs/>
                <w:color w:val="auto"/>
                <w:sz w:val="24"/>
                <w:szCs w:val="24"/>
                <w:highlight w:val="none"/>
                <w:u w:val="none"/>
                <w:lang w:eastAsia="zh-CN"/>
              </w:rPr>
            </w:pPr>
            <w:r>
              <w:rPr>
                <w:rFonts w:hint="eastAsia" w:ascii="宋体" w:hAnsi="宋体" w:cs="宋体"/>
                <w:bCs/>
                <w:color w:val="auto"/>
                <w:sz w:val="24"/>
                <w:szCs w:val="24"/>
                <w:highlight w:val="none"/>
                <w:lang w:eastAsia="zh-CN"/>
              </w:rPr>
              <w:t>大写：</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u w:val="none"/>
                <w:lang w:val="en-US" w:eastAsia="zh-CN"/>
              </w:rPr>
              <w:t xml:space="preserve">   </w:t>
            </w:r>
          </w:p>
          <w:p w14:paraId="516BDC59">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lang w:eastAsia="zh-CN"/>
              </w:rPr>
              <w:t>小写：</w:t>
            </w:r>
            <w:r>
              <w:rPr>
                <w:rFonts w:hint="eastAsia" w:ascii="宋体" w:hAnsi="宋体" w:cs="宋体"/>
                <w:bCs/>
                <w:color w:val="auto"/>
                <w:sz w:val="24"/>
                <w:szCs w:val="24"/>
                <w:highlight w:val="none"/>
                <w:u w:val="single"/>
                <w:lang w:val="en-US" w:eastAsia="zh-CN"/>
              </w:rPr>
              <w:t xml:space="preserve">          (</w:t>
            </w:r>
            <w:r>
              <w:rPr>
                <w:rFonts w:hint="eastAsia" w:ascii="宋体" w:hAnsi="宋体" w:cs="宋体"/>
                <w:bCs/>
                <w:color w:val="auto"/>
                <w:sz w:val="24"/>
                <w:szCs w:val="24"/>
                <w:highlight w:val="none"/>
                <w:lang w:val="en-US" w:eastAsia="zh-CN"/>
              </w:rPr>
              <w:t>元）</w:t>
            </w:r>
          </w:p>
        </w:tc>
        <w:tc>
          <w:tcPr>
            <w:tcW w:w="353" w:type="pct"/>
            <w:tcBorders>
              <w:top w:val="single" w:color="auto" w:sz="4" w:space="0"/>
              <w:left w:val="single" w:color="auto" w:sz="4" w:space="0"/>
              <w:bottom w:val="single" w:color="auto" w:sz="4" w:space="0"/>
              <w:right w:val="single" w:color="auto" w:sz="4" w:space="0"/>
            </w:tcBorders>
            <w:vAlign w:val="center"/>
          </w:tcPr>
          <w:p w14:paraId="05CB1ACF">
            <w:pPr>
              <w:spacing w:line="360" w:lineRule="auto"/>
              <w:jc w:val="center"/>
              <w:rPr>
                <w:rFonts w:hint="eastAsia" w:ascii="宋体" w:hAnsi="宋体" w:cs="宋体"/>
                <w:b/>
                <w:color w:val="auto"/>
                <w:sz w:val="24"/>
                <w:szCs w:val="24"/>
                <w:highlight w:val="none"/>
              </w:rPr>
            </w:pPr>
          </w:p>
        </w:tc>
      </w:tr>
      <w:tr w14:paraId="68ACD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34E8AB53">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6</w:t>
            </w:r>
          </w:p>
        </w:tc>
        <w:tc>
          <w:tcPr>
            <w:tcW w:w="1283" w:type="pct"/>
            <w:tcBorders>
              <w:top w:val="single" w:color="auto" w:sz="4" w:space="0"/>
              <w:left w:val="single" w:color="auto" w:sz="4" w:space="0"/>
              <w:bottom w:val="single" w:color="auto" w:sz="4" w:space="0"/>
              <w:right w:val="single" w:color="auto" w:sz="4" w:space="0"/>
            </w:tcBorders>
            <w:vAlign w:val="center"/>
          </w:tcPr>
          <w:p w14:paraId="5235B0A0">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投标有效期</w:t>
            </w:r>
          </w:p>
        </w:tc>
        <w:tc>
          <w:tcPr>
            <w:tcW w:w="2731" w:type="pct"/>
            <w:tcBorders>
              <w:top w:val="single" w:color="auto" w:sz="4" w:space="0"/>
              <w:left w:val="single" w:color="auto" w:sz="4" w:space="0"/>
              <w:bottom w:val="single" w:color="auto" w:sz="4" w:space="0"/>
              <w:right w:val="single" w:color="auto" w:sz="4" w:space="0"/>
            </w:tcBorders>
            <w:vAlign w:val="center"/>
          </w:tcPr>
          <w:p w14:paraId="781FCBE6">
            <w:pPr>
              <w:spacing w:line="360" w:lineRule="auto"/>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按招标文件要求</w:t>
            </w:r>
          </w:p>
        </w:tc>
        <w:tc>
          <w:tcPr>
            <w:tcW w:w="353" w:type="pct"/>
            <w:tcBorders>
              <w:top w:val="single" w:color="auto" w:sz="4" w:space="0"/>
              <w:left w:val="single" w:color="auto" w:sz="4" w:space="0"/>
              <w:bottom w:val="single" w:color="auto" w:sz="4" w:space="0"/>
              <w:right w:val="single" w:color="auto" w:sz="4" w:space="0"/>
            </w:tcBorders>
            <w:vAlign w:val="center"/>
          </w:tcPr>
          <w:p w14:paraId="1FB7A91B">
            <w:pPr>
              <w:spacing w:line="360" w:lineRule="auto"/>
              <w:jc w:val="center"/>
              <w:rPr>
                <w:rFonts w:hint="eastAsia" w:ascii="宋体" w:hAnsi="宋体" w:cs="宋体"/>
                <w:b/>
                <w:color w:val="auto"/>
                <w:sz w:val="24"/>
                <w:szCs w:val="24"/>
                <w:highlight w:val="none"/>
              </w:rPr>
            </w:pPr>
          </w:p>
        </w:tc>
      </w:tr>
      <w:tr w14:paraId="3AE1A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631" w:type="pct"/>
            <w:tcBorders>
              <w:top w:val="single" w:color="auto" w:sz="4" w:space="0"/>
              <w:left w:val="single" w:color="auto" w:sz="4" w:space="0"/>
              <w:bottom w:val="single" w:color="auto" w:sz="4" w:space="0"/>
              <w:right w:val="single" w:color="auto" w:sz="4" w:space="0"/>
            </w:tcBorders>
            <w:vAlign w:val="center"/>
          </w:tcPr>
          <w:p w14:paraId="23581444">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7</w:t>
            </w:r>
          </w:p>
        </w:tc>
        <w:tc>
          <w:tcPr>
            <w:tcW w:w="1283" w:type="pct"/>
            <w:tcBorders>
              <w:top w:val="single" w:color="auto" w:sz="4" w:space="0"/>
              <w:left w:val="single" w:color="auto" w:sz="4" w:space="0"/>
              <w:bottom w:val="single" w:color="auto" w:sz="4" w:space="0"/>
              <w:right w:val="single" w:color="auto" w:sz="4" w:space="0"/>
            </w:tcBorders>
            <w:vAlign w:val="center"/>
          </w:tcPr>
          <w:p w14:paraId="4CB11EDE">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法 人 营 业</w:t>
            </w:r>
          </w:p>
          <w:p w14:paraId="4E2F2866">
            <w:pPr>
              <w:spacing w:line="360" w:lineRule="auto"/>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执 照 证 号</w:t>
            </w:r>
          </w:p>
        </w:tc>
        <w:tc>
          <w:tcPr>
            <w:tcW w:w="2731" w:type="pct"/>
            <w:tcBorders>
              <w:top w:val="single" w:color="auto" w:sz="4" w:space="0"/>
              <w:left w:val="single" w:color="auto" w:sz="4" w:space="0"/>
              <w:bottom w:val="single" w:color="auto" w:sz="4" w:space="0"/>
              <w:right w:val="single" w:color="auto" w:sz="4" w:space="0"/>
            </w:tcBorders>
            <w:vAlign w:val="center"/>
          </w:tcPr>
          <w:p w14:paraId="7C80A4CD">
            <w:pPr>
              <w:spacing w:line="360" w:lineRule="auto"/>
              <w:rPr>
                <w:rFonts w:hint="eastAsia" w:ascii="宋体" w:hAnsi="宋体" w:cs="宋体"/>
                <w:bCs/>
                <w:color w:val="auto"/>
                <w:sz w:val="24"/>
                <w:szCs w:val="24"/>
                <w:highlight w:val="none"/>
              </w:rPr>
            </w:pPr>
          </w:p>
        </w:tc>
        <w:tc>
          <w:tcPr>
            <w:tcW w:w="353" w:type="pct"/>
            <w:tcBorders>
              <w:top w:val="single" w:color="auto" w:sz="4" w:space="0"/>
              <w:left w:val="single" w:color="auto" w:sz="4" w:space="0"/>
              <w:bottom w:val="single" w:color="auto" w:sz="4" w:space="0"/>
              <w:right w:val="single" w:color="auto" w:sz="4" w:space="0"/>
            </w:tcBorders>
            <w:vAlign w:val="center"/>
          </w:tcPr>
          <w:p w14:paraId="61E25D70">
            <w:pPr>
              <w:spacing w:line="360" w:lineRule="auto"/>
              <w:jc w:val="center"/>
              <w:rPr>
                <w:rFonts w:hint="eastAsia" w:ascii="宋体" w:hAnsi="宋体" w:cs="宋体"/>
                <w:b/>
                <w:color w:val="auto"/>
                <w:sz w:val="24"/>
                <w:szCs w:val="24"/>
                <w:highlight w:val="none"/>
              </w:rPr>
            </w:pPr>
          </w:p>
        </w:tc>
      </w:tr>
    </w:tbl>
    <w:p w14:paraId="2D46E2DE">
      <w:pPr>
        <w:spacing w:line="440" w:lineRule="exact"/>
        <w:ind w:firstLine="2880" w:firstLineChars="1200"/>
        <w:jc w:val="left"/>
        <w:rPr>
          <w:rFonts w:hint="eastAsia" w:ascii="宋体" w:hAnsi="宋体" w:cs="宋体"/>
          <w:color w:val="auto"/>
          <w:sz w:val="24"/>
          <w:szCs w:val="24"/>
          <w:highlight w:val="none"/>
        </w:rPr>
      </w:pPr>
    </w:p>
    <w:p w14:paraId="68801AF2">
      <w:pPr>
        <w:spacing w:line="440" w:lineRule="exact"/>
        <w:ind w:firstLine="2880" w:firstLineChars="1200"/>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3659192C">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27640806">
      <w:pPr>
        <w:spacing w:line="440" w:lineRule="exact"/>
        <w:ind w:firstLine="5400" w:firstLineChars="2250"/>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27042EE">
      <w:pPr>
        <w:rPr>
          <w:rFonts w:hint="eastAsia" w:ascii="宋体" w:hAnsi="宋体" w:cs="宋体"/>
          <w:color w:val="auto"/>
          <w:szCs w:val="21"/>
          <w:highlight w:val="none"/>
        </w:rPr>
      </w:pPr>
      <w:r>
        <w:rPr>
          <w:rFonts w:hint="eastAsia" w:ascii="宋体" w:hAnsi="宋体" w:cs="宋体"/>
          <w:color w:val="auto"/>
          <w:szCs w:val="21"/>
          <w:highlight w:val="none"/>
        </w:rPr>
        <w:br w:type="page"/>
      </w:r>
    </w:p>
    <w:p w14:paraId="01A955B6">
      <w:pPr>
        <w:pStyle w:val="3"/>
        <w:keepNext w:val="0"/>
        <w:keepLines w:val="0"/>
        <w:jc w:val="center"/>
        <w:rPr>
          <w:rFonts w:hint="eastAsia" w:ascii="宋体" w:hAnsi="宋体" w:eastAsia="宋体" w:cs="宋体"/>
          <w:color w:val="auto"/>
          <w:sz w:val="20"/>
          <w:highlight w:val="none"/>
        </w:rPr>
      </w:pPr>
      <w:bookmarkStart w:id="770" w:name="_Toc29980"/>
      <w:r>
        <w:rPr>
          <w:rFonts w:hint="eastAsia" w:ascii="宋体" w:hAnsi="宋体" w:eastAsia="宋体" w:cs="宋体"/>
          <w:color w:val="auto"/>
          <w:highlight w:val="none"/>
        </w:rPr>
        <w:t>二</w:t>
      </w:r>
      <w:bookmarkEnd w:id="753"/>
      <w:bookmarkEnd w:id="754"/>
      <w:bookmarkEnd w:id="755"/>
      <w:bookmarkEnd w:id="756"/>
      <w:bookmarkEnd w:id="757"/>
      <w:bookmarkEnd w:id="758"/>
      <w:bookmarkEnd w:id="759"/>
      <w:bookmarkEnd w:id="760"/>
      <w:bookmarkEnd w:id="761"/>
      <w:bookmarkEnd w:id="762"/>
      <w:bookmarkEnd w:id="763"/>
      <w:r>
        <w:rPr>
          <w:rFonts w:hint="eastAsia" w:ascii="宋体" w:hAnsi="宋体" w:eastAsia="宋体" w:cs="宋体"/>
          <w:color w:val="auto"/>
          <w:highlight w:val="none"/>
        </w:rPr>
        <w:t>、法定代表人身份证明或授权委托书（格式可自定）</w:t>
      </w:r>
      <w:bookmarkEnd w:id="770"/>
    </w:p>
    <w:p w14:paraId="7EF5BBEF">
      <w:pPr>
        <w:spacing w:line="440" w:lineRule="exact"/>
        <w:jc w:val="center"/>
        <w:rPr>
          <w:rFonts w:hint="eastAsia" w:ascii="宋体" w:hAnsi="宋体" w:cs="宋体"/>
          <w:b/>
          <w:color w:val="auto"/>
          <w:sz w:val="28"/>
          <w:szCs w:val="28"/>
          <w:highlight w:val="none"/>
        </w:rPr>
      </w:pPr>
    </w:p>
    <w:p w14:paraId="4E2E5AF0">
      <w:p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法定代表人身份证明</w:t>
      </w:r>
    </w:p>
    <w:p w14:paraId="7C56496D">
      <w:pPr>
        <w:pStyle w:val="18"/>
        <w:rPr>
          <w:rFonts w:hint="eastAsia" w:ascii="宋体" w:hAnsi="宋体" w:cs="宋体"/>
          <w:color w:val="auto"/>
          <w:highlight w:val="none"/>
        </w:rPr>
      </w:pPr>
    </w:p>
    <w:p w14:paraId="6C4509E4">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r>
        <w:rPr>
          <w:rFonts w:hint="eastAsia" w:ascii="宋体" w:hAnsi="宋体" w:cs="宋体"/>
          <w:color w:val="auto"/>
          <w:sz w:val="24"/>
          <w:szCs w:val="24"/>
          <w:highlight w:val="none"/>
          <w:u w:val="single"/>
        </w:rPr>
        <w:t xml:space="preserve">                        </w:t>
      </w:r>
    </w:p>
    <w:p w14:paraId="4688D53F">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性别：</w:t>
      </w:r>
      <w:bookmarkStart w:id="771" w:name="_Toc27897"/>
      <w:bookmarkStart w:id="772" w:name="_Toc369531698"/>
      <w:bookmarkStart w:id="773" w:name="_Toc352691662"/>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bookmarkEnd w:id="771"/>
      <w:bookmarkEnd w:id="772"/>
      <w:bookmarkEnd w:id="773"/>
      <w:r>
        <w:rPr>
          <w:rFonts w:hint="eastAsia" w:ascii="宋体" w:hAnsi="宋体" w:cs="宋体"/>
          <w:color w:val="auto"/>
          <w:sz w:val="24"/>
          <w:szCs w:val="24"/>
          <w:highlight w:val="none"/>
        </w:rPr>
        <w:t>龄</w:t>
      </w:r>
      <w:bookmarkStart w:id="774" w:name="_Toc352691663"/>
      <w:bookmarkStart w:id="775" w:name="_Toc152045789"/>
      <w:bookmarkStart w:id="776" w:name="_Toc300835211"/>
      <w:bookmarkStart w:id="777" w:name="_Toc247527829"/>
      <w:bookmarkStart w:id="778" w:name="_Toc247514248"/>
      <w:bookmarkStart w:id="779" w:name="_Toc369531699"/>
      <w:bookmarkStart w:id="780" w:name="_Toc15573"/>
      <w:bookmarkStart w:id="781" w:name="_Toc361508754"/>
      <w:bookmarkStart w:id="782" w:name="_Toc144974858"/>
      <w:bookmarkStart w:id="783" w:name="_Toc152042578"/>
      <w:bookmarkStart w:id="784" w:name="_Toc384308377"/>
      <w:r>
        <w:rPr>
          <w:rFonts w:hint="eastAsia" w:ascii="宋体" w:hAnsi="宋体" w:cs="宋体"/>
          <w:color w:val="auto"/>
          <w:sz w:val="24"/>
          <w:szCs w:val="24"/>
          <w:highlight w:val="none"/>
        </w:rPr>
        <w:t>：</w:t>
      </w:r>
      <w:bookmarkEnd w:id="774"/>
      <w:bookmarkEnd w:id="775"/>
      <w:bookmarkEnd w:id="776"/>
      <w:bookmarkEnd w:id="777"/>
      <w:bookmarkEnd w:id="778"/>
      <w:bookmarkEnd w:id="779"/>
      <w:bookmarkEnd w:id="780"/>
      <w:bookmarkEnd w:id="781"/>
      <w:bookmarkEnd w:id="782"/>
      <w:bookmarkEnd w:id="783"/>
      <w:bookmarkEnd w:id="784"/>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w:t>
      </w:r>
      <w:r>
        <w:rPr>
          <w:rFonts w:hint="eastAsia" w:ascii="宋体" w:hAnsi="宋体" w:cs="宋体"/>
          <w:color w:val="auto"/>
          <w:sz w:val="24"/>
          <w:szCs w:val="24"/>
          <w:highlight w:val="none"/>
          <w:u w:val="single"/>
        </w:rPr>
        <w:t xml:space="preserve">        </w:t>
      </w:r>
    </w:p>
    <w:p w14:paraId="6843FC91">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w:t>
      </w:r>
    </w:p>
    <w:p w14:paraId="635FE6B8">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特此证明。</w:t>
      </w:r>
    </w:p>
    <w:p w14:paraId="523DE655">
      <w:pPr>
        <w:spacing w:line="440" w:lineRule="exact"/>
        <w:rPr>
          <w:rFonts w:hint="eastAsia" w:ascii="宋体" w:hAnsi="宋体" w:cs="宋体"/>
          <w:color w:val="auto"/>
          <w:sz w:val="24"/>
          <w:szCs w:val="24"/>
          <w:highlight w:val="none"/>
        </w:rPr>
      </w:pPr>
    </w:p>
    <w:p w14:paraId="062567AC">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附：法定代表人身份证扫描件。</w:t>
      </w:r>
    </w:p>
    <w:p w14:paraId="7F716DD7">
      <w:pPr>
        <w:spacing w:line="440" w:lineRule="exact"/>
        <w:rPr>
          <w:rFonts w:hint="eastAsia" w:ascii="宋体" w:hAnsi="宋体" w:cs="宋体"/>
          <w:color w:val="auto"/>
          <w:sz w:val="24"/>
          <w:szCs w:val="24"/>
          <w:highlight w:val="none"/>
        </w:rPr>
      </w:pPr>
    </w:p>
    <w:p w14:paraId="60097B90">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注：本身份证明需由投标人加盖单位公章。</w:t>
      </w:r>
    </w:p>
    <w:p w14:paraId="7A2F7052">
      <w:pPr>
        <w:spacing w:line="440" w:lineRule="exact"/>
        <w:rPr>
          <w:rFonts w:hint="eastAsia" w:ascii="宋体" w:hAnsi="宋体" w:cs="宋体"/>
          <w:color w:val="auto"/>
          <w:sz w:val="24"/>
          <w:szCs w:val="24"/>
          <w:highlight w:val="none"/>
        </w:rPr>
      </w:pPr>
    </w:p>
    <w:p w14:paraId="799E2E15">
      <w:pPr>
        <w:spacing w:line="440" w:lineRule="exact"/>
        <w:rPr>
          <w:rFonts w:hint="eastAsia" w:ascii="宋体" w:hAnsi="宋体" w:cs="宋体"/>
          <w:color w:val="auto"/>
          <w:sz w:val="24"/>
          <w:szCs w:val="24"/>
          <w:highlight w:val="none"/>
        </w:rPr>
      </w:pPr>
    </w:p>
    <w:p w14:paraId="3A65D317">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投标人名称：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487A206D">
      <w:pPr>
        <w:spacing w:line="440" w:lineRule="exact"/>
        <w:rPr>
          <w:rFonts w:hint="eastAsia" w:ascii="宋体" w:hAnsi="宋体" w:cs="宋体"/>
          <w:color w:val="auto"/>
          <w:sz w:val="24"/>
          <w:szCs w:val="24"/>
          <w:highlight w:val="none"/>
        </w:rPr>
      </w:pPr>
    </w:p>
    <w:p w14:paraId="7852052F">
      <w:pPr>
        <w:spacing w:line="440" w:lineRule="exact"/>
        <w:ind w:firstLine="5280" w:firstLineChars="2200"/>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32AEB86D">
      <w:pPr>
        <w:spacing w:line="440" w:lineRule="exact"/>
        <w:rPr>
          <w:rFonts w:hint="eastAsia" w:ascii="宋体" w:hAnsi="宋体" w:cs="宋体"/>
          <w:color w:val="auto"/>
          <w:sz w:val="24"/>
          <w:szCs w:val="24"/>
          <w:highlight w:val="none"/>
        </w:rPr>
      </w:pPr>
    </w:p>
    <w:p w14:paraId="4EC58FDF">
      <w:pPr>
        <w:pStyle w:val="28"/>
        <w:rPr>
          <w:rFonts w:hint="eastAsia" w:ascii="宋体" w:hAnsi="宋体" w:cs="宋体"/>
          <w:color w:val="auto"/>
          <w:highlight w:val="none"/>
        </w:rPr>
      </w:pPr>
    </w:p>
    <w:p w14:paraId="18055911">
      <w:pPr>
        <w:spacing w:line="440" w:lineRule="exact"/>
        <w:rPr>
          <w:rFonts w:hint="eastAsia" w:ascii="宋体" w:hAnsi="宋体" w:cs="宋体"/>
          <w:color w:val="auto"/>
          <w:sz w:val="20"/>
          <w:highlight w:val="none"/>
        </w:rPr>
      </w:pPr>
    </w:p>
    <w:p w14:paraId="51EC64E1">
      <w:pPr>
        <w:spacing w:line="440" w:lineRule="exact"/>
        <w:rPr>
          <w:rFonts w:hint="eastAsia" w:ascii="宋体" w:hAnsi="宋体" w:cs="宋体"/>
          <w:color w:val="auto"/>
          <w:sz w:val="20"/>
          <w:highlight w:val="none"/>
        </w:rPr>
      </w:pPr>
    </w:p>
    <w:p w14:paraId="0B119459">
      <w:pPr>
        <w:spacing w:line="440" w:lineRule="exact"/>
        <w:rPr>
          <w:rFonts w:hint="eastAsia" w:ascii="宋体" w:hAnsi="宋体" w:cs="宋体"/>
          <w:color w:val="auto"/>
          <w:sz w:val="20"/>
          <w:highlight w:val="none"/>
        </w:rPr>
      </w:pPr>
    </w:p>
    <w:p w14:paraId="0A739EF7">
      <w:pPr>
        <w:pStyle w:val="3"/>
        <w:keepNext w:val="0"/>
        <w:keepLines w:val="0"/>
        <w:jc w:val="center"/>
        <w:rPr>
          <w:rFonts w:hint="eastAsia" w:ascii="宋体" w:hAnsi="宋体" w:eastAsia="宋体" w:cs="宋体"/>
          <w:color w:val="auto"/>
          <w:sz w:val="28"/>
          <w:szCs w:val="28"/>
          <w:highlight w:val="none"/>
        </w:rPr>
      </w:pPr>
      <w:r>
        <w:rPr>
          <w:rFonts w:hint="eastAsia" w:ascii="宋体" w:hAnsi="宋体" w:eastAsia="宋体" w:cs="宋体"/>
          <w:color w:val="auto"/>
          <w:highlight w:val="none"/>
        </w:rPr>
        <w:br w:type="page"/>
      </w:r>
      <w:bookmarkStart w:id="785" w:name="_Toc19566"/>
      <w:bookmarkStart w:id="786" w:name="_Toc24470"/>
      <w:r>
        <w:rPr>
          <w:rFonts w:hint="eastAsia" w:ascii="宋体" w:hAnsi="宋体" w:eastAsia="宋体" w:cs="宋体"/>
          <w:color w:val="auto"/>
          <w:sz w:val="28"/>
          <w:szCs w:val="28"/>
          <w:highlight w:val="none"/>
        </w:rPr>
        <w:t>授权委托书</w:t>
      </w:r>
      <w:bookmarkEnd w:id="785"/>
      <w:bookmarkEnd w:id="786"/>
    </w:p>
    <w:p w14:paraId="6C0B5E14">
      <w:pPr>
        <w:topLinePunct/>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（姓名）系</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（投标人名称）的法定代表人，现委托</w:t>
      </w:r>
      <w:r>
        <w:rPr>
          <w:rFonts w:hint="eastAsia" w:ascii="宋体" w:hAnsi="宋体" w:cs="宋体"/>
          <w:color w:val="auto"/>
          <w:sz w:val="24"/>
          <w:szCs w:val="24"/>
          <w:highlight w:val="none"/>
          <w:u w:val="single"/>
        </w:rPr>
        <w:t xml:space="preserve">            （姓名）</w:t>
      </w:r>
      <w:r>
        <w:rPr>
          <w:rFonts w:hint="eastAsia" w:ascii="宋体" w:hAnsi="宋体" w:cs="宋体"/>
          <w:color w:val="auto"/>
          <w:sz w:val="24"/>
          <w:szCs w:val="24"/>
          <w:highlight w:val="none"/>
        </w:rPr>
        <w:t>为我方代理人。代理人根据授权，以我方名义签署、澄清确认、递交、撤回、修改本招标项目投标文件、签订合同和处理有关事宜，其法律后果由我方承担。</w:t>
      </w:r>
    </w:p>
    <w:p w14:paraId="2E038FD8">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委托期限：</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0FA0FDC1">
      <w:pPr>
        <w:spacing w:line="44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代理人无转委托权。</w:t>
      </w:r>
    </w:p>
    <w:p w14:paraId="55897EDE">
      <w:pPr>
        <w:spacing w:line="440" w:lineRule="exact"/>
        <w:ind w:firstLine="480" w:firstLineChars="200"/>
        <w:rPr>
          <w:rFonts w:hint="eastAsia" w:ascii="宋体" w:hAnsi="宋体" w:cs="宋体"/>
          <w:color w:val="auto"/>
          <w:sz w:val="24"/>
          <w:szCs w:val="24"/>
          <w:highlight w:val="none"/>
        </w:rPr>
      </w:pPr>
    </w:p>
    <w:p w14:paraId="16B1C161">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附：法定代表人身份证扫描件及委托代理人身份证扫描件</w:t>
      </w:r>
    </w:p>
    <w:p w14:paraId="48404EBE">
      <w:pPr>
        <w:spacing w:line="440" w:lineRule="exact"/>
        <w:rPr>
          <w:rFonts w:hint="eastAsia" w:ascii="宋体" w:hAnsi="宋体" w:cs="宋体"/>
          <w:color w:val="auto"/>
          <w:sz w:val="24"/>
          <w:szCs w:val="24"/>
          <w:highlight w:val="none"/>
        </w:rPr>
      </w:pPr>
    </w:p>
    <w:p w14:paraId="1FB7816E">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注：本授权委托书需由投标人加盖单位公章并由其法定代表人和委托代理人签字。</w:t>
      </w:r>
    </w:p>
    <w:p w14:paraId="0E55DF4B">
      <w:pPr>
        <w:spacing w:line="440" w:lineRule="exact"/>
        <w:rPr>
          <w:rFonts w:hint="eastAsia" w:ascii="宋体" w:hAnsi="宋体" w:cs="宋体"/>
          <w:color w:val="auto"/>
          <w:sz w:val="24"/>
          <w:szCs w:val="24"/>
          <w:highlight w:val="none"/>
        </w:rPr>
      </w:pPr>
    </w:p>
    <w:p w14:paraId="6B9A3563">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投标人名称：</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3EC789BC">
      <w:pPr>
        <w:spacing w:line="44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5961A098">
      <w:pPr>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p>
    <w:p w14:paraId="19294204">
      <w:pPr>
        <w:spacing w:line="440" w:lineRule="exact"/>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委托代理人：</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（签字或盖章）</w:t>
      </w:r>
    </w:p>
    <w:p w14:paraId="3DD3E702">
      <w:pPr>
        <w:spacing w:line="440" w:lineRule="exact"/>
        <w:ind w:firstLine="2640" w:firstLineChars="1100"/>
        <w:rPr>
          <w:rFonts w:hint="eastAsia" w:ascii="宋体" w:hAnsi="宋体" w:cs="宋体"/>
          <w:color w:val="auto"/>
          <w:sz w:val="24"/>
          <w:szCs w:val="24"/>
          <w:highlight w:val="none"/>
        </w:rPr>
      </w:pPr>
      <w:r>
        <w:rPr>
          <w:rFonts w:hint="eastAsia" w:ascii="宋体" w:hAnsi="宋体" w:cs="宋体"/>
          <w:color w:val="auto"/>
          <w:sz w:val="24"/>
          <w:szCs w:val="24"/>
          <w:highlight w:val="none"/>
        </w:rPr>
        <w:t>身份证号码：</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u w:val="single"/>
        </w:rPr>
        <w:t xml:space="preserve">                     </w:t>
      </w:r>
    </w:p>
    <w:p w14:paraId="0DA3CE01">
      <w:pPr>
        <w:spacing w:line="440" w:lineRule="exact"/>
        <w:ind w:firstLine="3076" w:firstLineChars="1282"/>
        <w:rPr>
          <w:rFonts w:hint="eastAsia" w:ascii="宋体" w:hAnsi="宋体" w:cs="宋体"/>
          <w:color w:val="auto"/>
          <w:sz w:val="24"/>
          <w:szCs w:val="24"/>
          <w:highlight w:val="none"/>
        </w:rPr>
      </w:pPr>
    </w:p>
    <w:p w14:paraId="4FB2D71D">
      <w:pPr>
        <w:spacing w:line="440" w:lineRule="exact"/>
        <w:ind w:firstLine="3076" w:firstLineChars="1282"/>
        <w:rPr>
          <w:rFonts w:hint="eastAsia" w:ascii="宋体" w:hAnsi="宋体" w:cs="宋体"/>
          <w:color w:val="auto"/>
          <w:sz w:val="24"/>
          <w:szCs w:val="24"/>
          <w:highlight w:val="none"/>
        </w:rPr>
      </w:pPr>
    </w:p>
    <w:p w14:paraId="29E222F5">
      <w:pPr>
        <w:spacing w:line="440" w:lineRule="exact"/>
        <w:ind w:firstLine="4636" w:firstLineChars="1932"/>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1CF9312">
      <w:pPr>
        <w:spacing w:line="440" w:lineRule="exact"/>
        <w:ind w:firstLine="4636" w:firstLineChars="1932"/>
        <w:jc w:val="right"/>
        <w:rPr>
          <w:rFonts w:hint="eastAsia" w:ascii="宋体" w:hAnsi="宋体" w:cs="宋体"/>
          <w:color w:val="auto"/>
          <w:sz w:val="24"/>
          <w:szCs w:val="24"/>
          <w:highlight w:val="none"/>
        </w:rPr>
      </w:pPr>
    </w:p>
    <w:p w14:paraId="167A4EB3">
      <w:pPr>
        <w:spacing w:line="440" w:lineRule="exact"/>
        <w:rPr>
          <w:rFonts w:hint="eastAsia" w:ascii="宋体" w:hAnsi="宋体" w:cs="宋体"/>
          <w:color w:val="auto"/>
          <w:highlight w:val="none"/>
        </w:rPr>
      </w:pPr>
    </w:p>
    <w:p w14:paraId="41F3513B">
      <w:pPr>
        <w:pStyle w:val="3"/>
        <w:keepNext w:val="0"/>
        <w:keepLines w:val="0"/>
        <w:jc w:val="center"/>
        <w:rPr>
          <w:rFonts w:hint="eastAsia" w:ascii="宋体" w:hAnsi="宋体" w:eastAsia="宋体" w:cs="宋体"/>
          <w:b w:val="0"/>
          <w:color w:val="auto"/>
          <w:sz w:val="21"/>
          <w:szCs w:val="22"/>
          <w:highlight w:val="none"/>
        </w:rPr>
      </w:pPr>
      <w:r>
        <w:rPr>
          <w:rFonts w:hint="eastAsia" w:ascii="宋体" w:hAnsi="宋体" w:eastAsia="宋体" w:cs="宋体"/>
          <w:color w:val="auto"/>
          <w:highlight w:val="none"/>
        </w:rPr>
        <w:br w:type="page"/>
      </w:r>
    </w:p>
    <w:p w14:paraId="161E58AD">
      <w:pPr>
        <w:pStyle w:val="3"/>
        <w:keepNext w:val="0"/>
        <w:keepLines w:val="0"/>
        <w:jc w:val="center"/>
        <w:rPr>
          <w:rFonts w:hint="eastAsia" w:ascii="宋体" w:hAnsi="宋体" w:eastAsia="宋体" w:cs="宋体"/>
          <w:color w:val="auto"/>
          <w:highlight w:val="none"/>
        </w:rPr>
      </w:pPr>
      <w:bookmarkStart w:id="787" w:name="_Toc21676"/>
      <w:r>
        <w:rPr>
          <w:rFonts w:hint="eastAsia" w:ascii="宋体" w:hAnsi="宋体" w:eastAsia="宋体" w:cs="宋体"/>
          <w:color w:val="auto"/>
          <w:highlight w:val="none"/>
        </w:rPr>
        <w:t>三、</w:t>
      </w:r>
      <w:bookmarkStart w:id="788" w:name="_Toc361508760"/>
      <w:r>
        <w:rPr>
          <w:rFonts w:hint="eastAsia" w:ascii="宋体" w:hAnsi="宋体" w:eastAsia="宋体" w:cs="宋体"/>
          <w:color w:val="auto"/>
          <w:highlight w:val="none"/>
        </w:rPr>
        <w:t>投标报价表</w:t>
      </w:r>
      <w:bookmarkEnd w:id="787"/>
    </w:p>
    <w:p w14:paraId="7B2DA37C">
      <w:pPr>
        <w:jc w:val="center"/>
        <w:rPr>
          <w:rFonts w:hint="eastAsia" w:ascii="宋体" w:hAnsi="宋体" w:cs="宋体"/>
          <w:color w:val="auto"/>
          <w:highlight w:val="none"/>
        </w:rPr>
      </w:pPr>
    </w:p>
    <w:p w14:paraId="421B9138">
      <w:pPr>
        <w:spacing w:line="360" w:lineRule="auto"/>
        <w:ind w:left="1920" w:hanging="1920" w:hangingChars="800"/>
        <w:rPr>
          <w:rFonts w:hint="eastAsia" w:ascii="宋体" w:hAnsi="宋体" w:cs="宋体"/>
          <w:color w:val="auto"/>
          <w:sz w:val="24"/>
          <w:szCs w:val="24"/>
          <w:highlight w:val="none"/>
        </w:rPr>
      </w:pPr>
      <w:r>
        <w:rPr>
          <w:rFonts w:hint="eastAsia" w:ascii="宋体" w:hAnsi="宋体" w:cs="宋体"/>
          <w:color w:val="auto"/>
          <w:sz w:val="24"/>
          <w:szCs w:val="24"/>
          <w:highlight w:val="none"/>
        </w:rPr>
        <w:t>工  程  名  称:</w:t>
      </w:r>
      <w:r>
        <w:rPr>
          <w:rFonts w:hint="eastAsia" w:ascii="宋体" w:hAnsi="宋体" w:cs="宋体"/>
          <w:color w:val="auto"/>
          <w:sz w:val="24"/>
          <w:szCs w:val="24"/>
          <w:highlight w:val="none"/>
          <w:u w:val="single"/>
        </w:rPr>
        <w:t xml:space="preserve">                                    </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134"/>
        <w:gridCol w:w="1701"/>
        <w:gridCol w:w="1842"/>
        <w:gridCol w:w="1559"/>
      </w:tblGrid>
      <w:tr w14:paraId="2FEF2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675" w:type="dxa"/>
            <w:vMerge w:val="restart"/>
            <w:vAlign w:val="center"/>
          </w:tcPr>
          <w:p w14:paraId="4756CCB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序号</w:t>
            </w:r>
          </w:p>
        </w:tc>
        <w:tc>
          <w:tcPr>
            <w:tcW w:w="2410" w:type="dxa"/>
            <w:vMerge w:val="restart"/>
            <w:vAlign w:val="center"/>
          </w:tcPr>
          <w:p w14:paraId="27AE68F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服务内容</w:t>
            </w:r>
          </w:p>
        </w:tc>
        <w:tc>
          <w:tcPr>
            <w:tcW w:w="1134" w:type="dxa"/>
            <w:vMerge w:val="restart"/>
            <w:vAlign w:val="center"/>
          </w:tcPr>
          <w:p w14:paraId="447BF62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最高投标限价</w:t>
            </w:r>
          </w:p>
          <w:p w14:paraId="67494A6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c>
          <w:tcPr>
            <w:tcW w:w="3543" w:type="dxa"/>
            <w:gridSpan w:val="2"/>
            <w:vAlign w:val="center"/>
          </w:tcPr>
          <w:p w14:paraId="60B6794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投标报价（投标人填报）</w:t>
            </w:r>
          </w:p>
        </w:tc>
        <w:tc>
          <w:tcPr>
            <w:tcW w:w="1559" w:type="dxa"/>
            <w:vMerge w:val="restart"/>
            <w:vAlign w:val="center"/>
          </w:tcPr>
          <w:p w14:paraId="0945244D">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r>
      <w:tr w14:paraId="3406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675" w:type="dxa"/>
            <w:vMerge w:val="continue"/>
            <w:vAlign w:val="center"/>
          </w:tcPr>
          <w:p w14:paraId="1D07CF94">
            <w:pPr>
              <w:jc w:val="center"/>
              <w:rPr>
                <w:rFonts w:hint="eastAsia" w:ascii="宋体" w:hAnsi="宋体" w:cs="宋体"/>
                <w:color w:val="auto"/>
                <w:sz w:val="24"/>
                <w:szCs w:val="24"/>
                <w:highlight w:val="none"/>
              </w:rPr>
            </w:pPr>
          </w:p>
        </w:tc>
        <w:tc>
          <w:tcPr>
            <w:tcW w:w="2410" w:type="dxa"/>
            <w:vMerge w:val="continue"/>
            <w:vAlign w:val="center"/>
          </w:tcPr>
          <w:p w14:paraId="63197CC4">
            <w:pPr>
              <w:jc w:val="center"/>
              <w:rPr>
                <w:rFonts w:hint="eastAsia" w:ascii="宋体" w:hAnsi="宋体" w:cs="宋体"/>
                <w:color w:val="auto"/>
                <w:sz w:val="24"/>
                <w:szCs w:val="24"/>
                <w:highlight w:val="none"/>
              </w:rPr>
            </w:pPr>
          </w:p>
        </w:tc>
        <w:tc>
          <w:tcPr>
            <w:tcW w:w="1134" w:type="dxa"/>
            <w:vMerge w:val="continue"/>
          </w:tcPr>
          <w:p w14:paraId="305E7C6C">
            <w:pPr>
              <w:jc w:val="center"/>
              <w:rPr>
                <w:rFonts w:hint="eastAsia" w:ascii="宋体" w:hAnsi="宋体" w:cs="宋体"/>
                <w:color w:val="auto"/>
                <w:sz w:val="24"/>
                <w:szCs w:val="24"/>
                <w:highlight w:val="none"/>
              </w:rPr>
            </w:pPr>
          </w:p>
        </w:tc>
        <w:tc>
          <w:tcPr>
            <w:tcW w:w="1701" w:type="dxa"/>
            <w:vAlign w:val="center"/>
          </w:tcPr>
          <w:p w14:paraId="1F7A14D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下浮率（%）</w:t>
            </w:r>
          </w:p>
        </w:tc>
        <w:tc>
          <w:tcPr>
            <w:tcW w:w="1842" w:type="dxa"/>
            <w:vAlign w:val="center"/>
          </w:tcPr>
          <w:p w14:paraId="74B8B861">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投标报价</w:t>
            </w:r>
          </w:p>
          <w:p w14:paraId="64E1C5B6">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（元）</w:t>
            </w:r>
          </w:p>
        </w:tc>
        <w:tc>
          <w:tcPr>
            <w:tcW w:w="1559" w:type="dxa"/>
            <w:vMerge w:val="continue"/>
            <w:vAlign w:val="center"/>
          </w:tcPr>
          <w:p w14:paraId="0F33A374">
            <w:pPr>
              <w:jc w:val="center"/>
              <w:rPr>
                <w:rFonts w:hint="eastAsia" w:ascii="宋体" w:hAnsi="宋体" w:cs="宋体"/>
                <w:color w:val="auto"/>
                <w:sz w:val="24"/>
                <w:szCs w:val="24"/>
                <w:highlight w:val="none"/>
              </w:rPr>
            </w:pPr>
          </w:p>
        </w:tc>
      </w:tr>
      <w:tr w14:paraId="1F862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675" w:type="dxa"/>
            <w:vAlign w:val="center"/>
          </w:tcPr>
          <w:p w14:paraId="6BDB678B">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2410" w:type="dxa"/>
            <w:vAlign w:val="center"/>
          </w:tcPr>
          <w:p w14:paraId="4E5FDE2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en-US" w:eastAsia="zh-CN"/>
              </w:rPr>
              <w:t>施工阶段</w:t>
            </w:r>
            <w:r>
              <w:rPr>
                <w:rFonts w:hint="eastAsia" w:ascii="宋体" w:hAnsi="宋体" w:cs="宋体"/>
                <w:color w:val="auto"/>
                <w:sz w:val="24"/>
                <w:szCs w:val="24"/>
                <w:highlight w:val="none"/>
              </w:rPr>
              <w:t>全过程造价咨询</w:t>
            </w:r>
          </w:p>
        </w:tc>
        <w:tc>
          <w:tcPr>
            <w:tcW w:w="1134" w:type="dxa"/>
            <w:vAlign w:val="center"/>
          </w:tcPr>
          <w:p w14:paraId="4AA5FC47">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w:t>
            </w:r>
          </w:p>
        </w:tc>
        <w:tc>
          <w:tcPr>
            <w:tcW w:w="1701" w:type="dxa"/>
            <w:vAlign w:val="center"/>
          </w:tcPr>
          <w:p w14:paraId="673F46FC">
            <w:pPr>
              <w:jc w:val="center"/>
              <w:rPr>
                <w:rFonts w:hint="eastAsia" w:ascii="宋体" w:hAnsi="宋体" w:cs="宋体"/>
                <w:color w:val="auto"/>
                <w:sz w:val="24"/>
                <w:szCs w:val="24"/>
                <w:highlight w:val="none"/>
              </w:rPr>
            </w:pPr>
          </w:p>
        </w:tc>
        <w:tc>
          <w:tcPr>
            <w:tcW w:w="1842" w:type="dxa"/>
            <w:vAlign w:val="center"/>
          </w:tcPr>
          <w:p w14:paraId="733FBFE0">
            <w:pPr>
              <w:jc w:val="center"/>
              <w:rPr>
                <w:rFonts w:hint="eastAsia" w:ascii="宋体" w:hAnsi="宋体" w:cs="宋体"/>
                <w:color w:val="auto"/>
                <w:sz w:val="24"/>
                <w:szCs w:val="24"/>
                <w:highlight w:val="none"/>
              </w:rPr>
            </w:pPr>
          </w:p>
        </w:tc>
        <w:tc>
          <w:tcPr>
            <w:tcW w:w="1559" w:type="dxa"/>
            <w:vAlign w:val="center"/>
          </w:tcPr>
          <w:p w14:paraId="79F00927">
            <w:pPr>
              <w:jc w:val="center"/>
              <w:rPr>
                <w:rFonts w:hint="eastAsia" w:ascii="宋体" w:hAnsi="宋体" w:cs="宋体"/>
                <w:color w:val="auto"/>
                <w:sz w:val="24"/>
                <w:szCs w:val="24"/>
                <w:highlight w:val="none"/>
              </w:rPr>
            </w:pPr>
          </w:p>
        </w:tc>
      </w:tr>
    </w:tbl>
    <w:p w14:paraId="0EB60E1D">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备注：（1）投标</w:t>
      </w:r>
      <w:r>
        <w:rPr>
          <w:rFonts w:hint="eastAsia" w:ascii="宋体" w:hAnsi="宋体" w:cs="宋体"/>
          <w:color w:val="auto"/>
          <w:sz w:val="24"/>
          <w:szCs w:val="24"/>
          <w:highlight w:val="none"/>
          <w:lang w:val="en-US" w:eastAsia="zh-CN"/>
        </w:rPr>
        <w:t>报</w:t>
      </w:r>
      <w:r>
        <w:rPr>
          <w:rFonts w:hint="eastAsia" w:ascii="宋体" w:hAnsi="宋体" w:cs="宋体"/>
          <w:color w:val="auto"/>
          <w:sz w:val="24"/>
          <w:szCs w:val="24"/>
          <w:highlight w:val="none"/>
        </w:rPr>
        <w:t>价及各单项服务报价以元为单位，投标</w:t>
      </w:r>
      <w:r>
        <w:rPr>
          <w:rFonts w:hint="eastAsia" w:ascii="宋体" w:hAnsi="宋体" w:cs="宋体"/>
          <w:color w:val="auto"/>
          <w:sz w:val="24"/>
          <w:szCs w:val="24"/>
          <w:highlight w:val="none"/>
          <w:lang w:val="en-US" w:eastAsia="zh-CN"/>
        </w:rPr>
        <w:t>报</w:t>
      </w:r>
      <w:r>
        <w:rPr>
          <w:rFonts w:hint="eastAsia" w:ascii="宋体" w:hAnsi="宋体" w:cs="宋体"/>
          <w:color w:val="auto"/>
          <w:sz w:val="24"/>
          <w:szCs w:val="24"/>
          <w:highlight w:val="none"/>
        </w:rPr>
        <w:t>价、下浮率小数点后保留二位小数，第三位小数四舍五入）。</w:t>
      </w:r>
    </w:p>
    <w:p w14:paraId="06D1E4E0">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（2）各投标人的投标报价不得超过最高投标限价。</w:t>
      </w:r>
    </w:p>
    <w:p w14:paraId="67AA5841">
      <w:pPr>
        <w:jc w:val="center"/>
        <w:rPr>
          <w:rFonts w:hint="eastAsia" w:ascii="宋体" w:hAnsi="宋体" w:cs="宋体"/>
          <w:color w:val="auto"/>
          <w:sz w:val="24"/>
          <w:szCs w:val="24"/>
          <w:highlight w:val="none"/>
        </w:rPr>
      </w:pPr>
    </w:p>
    <w:p w14:paraId="7C4FC550">
      <w:pPr>
        <w:jc w:val="center"/>
        <w:rPr>
          <w:rFonts w:hint="eastAsia" w:ascii="宋体" w:hAnsi="宋体" w:cs="宋体"/>
          <w:color w:val="auto"/>
          <w:sz w:val="24"/>
          <w:szCs w:val="24"/>
          <w:highlight w:val="none"/>
        </w:rPr>
      </w:pPr>
    </w:p>
    <w:p w14:paraId="7D494AFD">
      <w:pPr>
        <w:jc w:val="center"/>
        <w:rPr>
          <w:rFonts w:hint="eastAsia" w:ascii="宋体" w:hAnsi="宋体" w:cs="宋体"/>
          <w:color w:val="auto"/>
          <w:sz w:val="24"/>
          <w:szCs w:val="24"/>
          <w:highlight w:val="none"/>
        </w:rPr>
      </w:pPr>
    </w:p>
    <w:p w14:paraId="1562419D">
      <w:pPr>
        <w:spacing w:line="440" w:lineRule="exact"/>
        <w:ind w:firstLine="2880" w:firstLineChars="1200"/>
        <w:jc w:val="left"/>
        <w:rPr>
          <w:rFonts w:hint="eastAsia" w:ascii="宋体" w:hAnsi="宋体" w:cs="宋体"/>
          <w:color w:val="auto"/>
          <w:sz w:val="24"/>
          <w:szCs w:val="24"/>
          <w:highlight w:val="none"/>
        </w:rPr>
      </w:pPr>
      <w:bookmarkStart w:id="789" w:name="_Toc527028920"/>
      <w:bookmarkStart w:id="790" w:name="_Toc527028748"/>
      <w:r>
        <w:rPr>
          <w:rFonts w:hint="eastAsia" w:ascii="宋体" w:hAnsi="宋体" w:cs="宋体"/>
          <w:color w:val="auto"/>
          <w:sz w:val="24"/>
          <w:szCs w:val="24"/>
          <w:highlight w:val="none"/>
        </w:rPr>
        <w:t>投 标 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（盖单位章）</w:t>
      </w:r>
    </w:p>
    <w:p w14:paraId="7FC453B7">
      <w:pPr>
        <w:spacing w:line="440" w:lineRule="exact"/>
        <w:jc w:val="lef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法定代表人或其委托代理人：</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ab/>
      </w:r>
      <w:r>
        <w:rPr>
          <w:rFonts w:hint="eastAsia" w:ascii="宋体" w:hAnsi="宋体" w:cs="宋体"/>
          <w:color w:val="auto"/>
          <w:sz w:val="24"/>
          <w:szCs w:val="24"/>
          <w:highlight w:val="none"/>
        </w:rPr>
        <w:t>（签字或盖章）</w:t>
      </w:r>
    </w:p>
    <w:p w14:paraId="1535A4ED">
      <w:pPr>
        <w:spacing w:line="440" w:lineRule="exact"/>
        <w:ind w:firstLine="5400" w:firstLineChars="2250"/>
        <w:jc w:val="right"/>
        <w:rPr>
          <w:rFonts w:hint="eastAsia" w:ascii="宋体" w:hAnsi="宋体" w:cs="宋体"/>
          <w:color w:val="auto"/>
          <w:sz w:val="24"/>
          <w:szCs w:val="24"/>
          <w:highlight w:val="none"/>
        </w:rPr>
      </w:pP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年</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日</w:t>
      </w:r>
    </w:p>
    <w:p w14:paraId="685B83AE">
      <w:pPr>
        <w:rPr>
          <w:rFonts w:hint="eastAsia" w:ascii="宋体" w:hAnsi="宋体" w:cs="宋体"/>
          <w:color w:val="auto"/>
          <w:highlight w:val="none"/>
        </w:rPr>
      </w:pPr>
    </w:p>
    <w:p w14:paraId="628A3B8E">
      <w:pPr>
        <w:tabs>
          <w:tab w:val="left" w:pos="4842"/>
        </w:tabs>
        <w:jc w:val="center"/>
        <w:rPr>
          <w:rFonts w:hint="eastAsia" w:ascii="宋体" w:hAnsi="宋体" w:cs="宋体"/>
          <w:color w:val="auto"/>
          <w:highlight w:val="none"/>
        </w:rPr>
      </w:pPr>
    </w:p>
    <w:p w14:paraId="0AC9B83E">
      <w:pPr>
        <w:pStyle w:val="6"/>
        <w:rPr>
          <w:rFonts w:hint="eastAsia" w:ascii="宋体" w:hAnsi="宋体" w:cs="宋体"/>
          <w:color w:val="auto"/>
          <w:highlight w:val="none"/>
        </w:rPr>
      </w:pPr>
    </w:p>
    <w:p w14:paraId="67588EB2">
      <w:pPr>
        <w:pStyle w:val="7"/>
        <w:rPr>
          <w:rFonts w:hint="eastAsia" w:ascii="宋体" w:hAnsi="宋体" w:cs="宋体"/>
          <w:color w:val="auto"/>
          <w:highlight w:val="none"/>
        </w:rPr>
      </w:pPr>
    </w:p>
    <w:p w14:paraId="7649BB49">
      <w:pPr>
        <w:pStyle w:val="7"/>
        <w:rPr>
          <w:rFonts w:hint="eastAsia" w:ascii="宋体" w:hAnsi="宋体" w:cs="宋体"/>
          <w:color w:val="auto"/>
          <w:highlight w:val="none"/>
        </w:rPr>
      </w:pPr>
    </w:p>
    <w:p w14:paraId="7D8A24C5">
      <w:pPr>
        <w:pStyle w:val="7"/>
        <w:rPr>
          <w:rFonts w:hint="eastAsia" w:ascii="宋体" w:hAnsi="宋体" w:cs="宋体"/>
          <w:color w:val="auto"/>
          <w:highlight w:val="none"/>
        </w:rPr>
      </w:pPr>
    </w:p>
    <w:p w14:paraId="582FC521">
      <w:pPr>
        <w:pStyle w:val="7"/>
        <w:rPr>
          <w:rFonts w:hint="eastAsia" w:ascii="宋体" w:hAnsi="宋体" w:cs="宋体"/>
          <w:color w:val="auto"/>
          <w:highlight w:val="none"/>
        </w:rPr>
      </w:pPr>
    </w:p>
    <w:p w14:paraId="309A36A1">
      <w:pPr>
        <w:pStyle w:val="7"/>
        <w:rPr>
          <w:rFonts w:hint="eastAsia" w:ascii="宋体" w:hAnsi="宋体" w:cs="宋体"/>
          <w:color w:val="auto"/>
          <w:highlight w:val="none"/>
        </w:rPr>
      </w:pPr>
    </w:p>
    <w:p w14:paraId="780B3BC4">
      <w:pPr>
        <w:pStyle w:val="7"/>
        <w:rPr>
          <w:rFonts w:hint="eastAsia" w:ascii="宋体" w:hAnsi="宋体" w:cs="宋体"/>
          <w:color w:val="auto"/>
          <w:highlight w:val="none"/>
        </w:rPr>
      </w:pPr>
    </w:p>
    <w:p w14:paraId="70240222">
      <w:pPr>
        <w:pStyle w:val="7"/>
        <w:rPr>
          <w:rFonts w:hint="eastAsia" w:ascii="宋体" w:hAnsi="宋体" w:cs="宋体"/>
          <w:color w:val="auto"/>
          <w:highlight w:val="none"/>
        </w:rPr>
      </w:pPr>
    </w:p>
    <w:p w14:paraId="074DB4A9">
      <w:pPr>
        <w:pStyle w:val="7"/>
        <w:rPr>
          <w:rFonts w:hint="eastAsia" w:ascii="宋体" w:hAnsi="宋体" w:cs="宋体"/>
          <w:color w:val="auto"/>
          <w:highlight w:val="none"/>
        </w:rPr>
      </w:pPr>
    </w:p>
    <w:p w14:paraId="04BDBC7F">
      <w:pPr>
        <w:pStyle w:val="7"/>
        <w:rPr>
          <w:rFonts w:hint="eastAsia" w:ascii="宋体" w:hAnsi="宋体" w:cs="宋体"/>
          <w:color w:val="auto"/>
          <w:highlight w:val="none"/>
        </w:rPr>
      </w:pPr>
    </w:p>
    <w:p w14:paraId="69F2C605">
      <w:pPr>
        <w:pStyle w:val="7"/>
        <w:rPr>
          <w:rFonts w:hint="eastAsia" w:ascii="宋体" w:hAnsi="宋体" w:cs="宋体"/>
          <w:color w:val="auto"/>
          <w:highlight w:val="none"/>
        </w:rPr>
      </w:pPr>
    </w:p>
    <w:p w14:paraId="4F99A855">
      <w:pPr>
        <w:pStyle w:val="7"/>
        <w:rPr>
          <w:rFonts w:hint="eastAsia" w:ascii="宋体" w:hAnsi="宋体" w:cs="宋体"/>
          <w:color w:val="auto"/>
          <w:highlight w:val="none"/>
        </w:rPr>
      </w:pPr>
    </w:p>
    <w:p w14:paraId="6ED2E0C5">
      <w:pPr>
        <w:pStyle w:val="7"/>
        <w:rPr>
          <w:rFonts w:hint="eastAsia" w:ascii="宋体" w:hAnsi="宋体" w:cs="宋体"/>
          <w:color w:val="auto"/>
          <w:highlight w:val="none"/>
        </w:rPr>
      </w:pPr>
    </w:p>
    <w:p w14:paraId="2472A6F4">
      <w:pPr>
        <w:pStyle w:val="7"/>
        <w:rPr>
          <w:rFonts w:hint="eastAsia" w:ascii="宋体" w:hAnsi="宋体" w:cs="宋体"/>
          <w:color w:val="auto"/>
          <w:highlight w:val="none"/>
        </w:rPr>
      </w:pPr>
    </w:p>
    <w:p w14:paraId="1275B7E8">
      <w:pPr>
        <w:pStyle w:val="7"/>
        <w:rPr>
          <w:rFonts w:hint="eastAsia" w:ascii="宋体" w:hAnsi="宋体" w:cs="宋体"/>
          <w:color w:val="auto"/>
          <w:highlight w:val="none"/>
        </w:rPr>
      </w:pPr>
    </w:p>
    <w:p w14:paraId="19373425">
      <w:pPr>
        <w:pStyle w:val="7"/>
        <w:rPr>
          <w:rFonts w:hint="eastAsia" w:ascii="宋体" w:hAnsi="宋体" w:cs="宋体"/>
          <w:color w:val="auto"/>
          <w:highlight w:val="none"/>
        </w:rPr>
      </w:pPr>
    </w:p>
    <w:p w14:paraId="0A96785A">
      <w:pPr>
        <w:pStyle w:val="7"/>
        <w:rPr>
          <w:rFonts w:hint="eastAsia" w:ascii="宋体" w:hAnsi="宋体" w:cs="宋体"/>
          <w:color w:val="auto"/>
          <w:highlight w:val="none"/>
        </w:rPr>
      </w:pPr>
    </w:p>
    <w:p w14:paraId="36467450">
      <w:pPr>
        <w:pStyle w:val="7"/>
        <w:rPr>
          <w:rFonts w:hint="eastAsia" w:ascii="宋体" w:hAnsi="宋体" w:cs="宋体"/>
          <w:color w:val="auto"/>
          <w:highlight w:val="none"/>
        </w:rPr>
      </w:pPr>
    </w:p>
    <w:p w14:paraId="2415017D">
      <w:pPr>
        <w:pStyle w:val="7"/>
        <w:rPr>
          <w:rFonts w:hint="eastAsia" w:ascii="宋体" w:hAnsi="宋体" w:cs="宋体"/>
          <w:color w:val="auto"/>
          <w:highlight w:val="none"/>
        </w:rPr>
      </w:pPr>
    </w:p>
    <w:p w14:paraId="73783D54">
      <w:pPr>
        <w:pStyle w:val="7"/>
        <w:rPr>
          <w:rFonts w:hint="eastAsia" w:ascii="宋体" w:hAnsi="宋体" w:cs="宋体"/>
          <w:color w:val="auto"/>
          <w:highlight w:val="none"/>
        </w:rPr>
      </w:pPr>
    </w:p>
    <w:p w14:paraId="7D861895">
      <w:pPr>
        <w:pStyle w:val="7"/>
        <w:rPr>
          <w:rFonts w:hint="eastAsia" w:ascii="宋体" w:hAnsi="宋体" w:cs="宋体"/>
          <w:color w:val="auto"/>
          <w:highlight w:val="none"/>
        </w:rPr>
      </w:pPr>
    </w:p>
    <w:p w14:paraId="22E3E175">
      <w:pPr>
        <w:pStyle w:val="7"/>
        <w:rPr>
          <w:rFonts w:hint="eastAsia" w:ascii="宋体" w:hAnsi="宋体" w:cs="宋体"/>
          <w:color w:val="auto"/>
          <w:highlight w:val="none"/>
        </w:rPr>
      </w:pPr>
    </w:p>
    <w:p w14:paraId="627C393B">
      <w:pPr>
        <w:pStyle w:val="3"/>
        <w:jc w:val="center"/>
        <w:rPr>
          <w:rFonts w:ascii="宋体" w:hAnsi="宋体" w:eastAsia="宋体"/>
          <w:color w:val="auto"/>
          <w:highlight w:val="none"/>
        </w:rPr>
      </w:pPr>
      <w:r>
        <w:rPr>
          <w:rFonts w:hint="eastAsia" w:ascii="宋体" w:hAnsi="宋体" w:eastAsia="宋体" w:cs="宋体"/>
          <w:color w:val="auto"/>
          <w:highlight w:val="none"/>
        </w:rPr>
        <w:t>四、关于投标保证金的承诺</w:t>
      </w:r>
    </w:p>
    <w:p w14:paraId="47934C06">
      <w:pPr>
        <w:pStyle w:val="12"/>
        <w:spacing w:line="560" w:lineRule="exact"/>
        <w:ind w:firstLine="560" w:firstLineChars="200"/>
        <w:rPr>
          <w:rFonts w:hAnsi="宋体"/>
          <w:color w:val="auto"/>
          <w:sz w:val="28"/>
          <w:szCs w:val="28"/>
          <w:highlight w:val="none"/>
        </w:rPr>
      </w:pPr>
    </w:p>
    <w:p w14:paraId="3E0388F5">
      <w:pPr>
        <w:spacing w:line="360" w:lineRule="auto"/>
        <w:ind w:firstLine="480" w:firstLineChars="200"/>
        <w:rPr>
          <w:color w:val="auto"/>
          <w:sz w:val="24"/>
          <w:szCs w:val="24"/>
          <w:highlight w:val="none"/>
        </w:rPr>
      </w:pPr>
      <w:r>
        <w:rPr>
          <w:rFonts w:hint="eastAsia"/>
          <w:color w:val="auto"/>
          <w:sz w:val="24"/>
          <w:szCs w:val="24"/>
          <w:highlight w:val="none"/>
        </w:rPr>
        <w:t>本公司就参加</w:t>
      </w:r>
      <w:r>
        <w:rPr>
          <w:rFonts w:hint="eastAsia"/>
          <w:color w:val="auto"/>
          <w:sz w:val="24"/>
          <w:szCs w:val="24"/>
          <w:highlight w:val="none"/>
          <w:u w:val="single"/>
        </w:rPr>
        <w:t xml:space="preserve">      （项目名称）     </w:t>
      </w:r>
      <w:r>
        <w:rPr>
          <w:rFonts w:hint="eastAsia"/>
          <w:color w:val="auto"/>
          <w:sz w:val="24"/>
          <w:szCs w:val="24"/>
          <w:highlight w:val="none"/>
        </w:rPr>
        <w:t>项目的投标工作，作出郑重声明：</w:t>
      </w:r>
    </w:p>
    <w:p w14:paraId="782908E6">
      <w:pPr>
        <w:spacing w:line="360" w:lineRule="auto"/>
        <w:ind w:firstLine="480" w:firstLineChars="200"/>
        <w:rPr>
          <w:color w:val="auto"/>
          <w:sz w:val="24"/>
          <w:szCs w:val="24"/>
          <w:highlight w:val="none"/>
        </w:rPr>
      </w:pPr>
      <w:r>
        <w:rPr>
          <w:rFonts w:hint="eastAsia"/>
          <w:color w:val="auto"/>
          <w:sz w:val="24"/>
          <w:szCs w:val="24"/>
          <w:highlight w:val="none"/>
        </w:rPr>
        <w:t>本公司在投标时未提交投标保证金。我司理解在投标时免交投标保证金是为企业减负的举措，并未免除我司的投标义务，本公司一旦发生符合招标文件规定的不予退还投标保证金情形的，将按照招标人的要求，在规定的时间内向招标人足额补交投标保证金。</w:t>
      </w:r>
    </w:p>
    <w:p w14:paraId="577B097B">
      <w:pPr>
        <w:spacing w:line="360" w:lineRule="auto"/>
        <w:ind w:firstLine="480" w:firstLineChars="200"/>
        <w:rPr>
          <w:color w:val="auto"/>
          <w:sz w:val="24"/>
          <w:szCs w:val="24"/>
          <w:highlight w:val="none"/>
        </w:rPr>
      </w:pPr>
      <w:r>
        <w:rPr>
          <w:rFonts w:hint="eastAsia"/>
          <w:color w:val="auto"/>
          <w:sz w:val="24"/>
          <w:szCs w:val="24"/>
          <w:highlight w:val="none"/>
        </w:rPr>
        <w:t>本公司违反上述保证的，将被视为虚假承诺，按相关规定进行信用记录。本公司对失信行为产生的一切后果已知悉，并承担由此产生的相应责任。</w:t>
      </w:r>
    </w:p>
    <w:p w14:paraId="06E97F6D">
      <w:pPr>
        <w:spacing w:line="360" w:lineRule="auto"/>
        <w:ind w:firstLine="480" w:firstLineChars="200"/>
        <w:rPr>
          <w:color w:val="auto"/>
          <w:spacing w:val="4"/>
          <w:sz w:val="24"/>
          <w:szCs w:val="24"/>
          <w:highlight w:val="none"/>
        </w:rPr>
      </w:pPr>
      <w:r>
        <w:rPr>
          <w:rFonts w:hint="eastAsia"/>
          <w:color w:val="auto"/>
          <w:sz w:val="24"/>
          <w:szCs w:val="24"/>
          <w:highlight w:val="none"/>
        </w:rPr>
        <w:t>特此承诺。</w:t>
      </w:r>
    </w:p>
    <w:p w14:paraId="0B8840BF">
      <w:pPr>
        <w:spacing w:line="360" w:lineRule="auto"/>
        <w:rPr>
          <w:color w:val="auto"/>
          <w:spacing w:val="4"/>
          <w:sz w:val="24"/>
          <w:szCs w:val="24"/>
          <w:highlight w:val="none"/>
        </w:rPr>
      </w:pPr>
    </w:p>
    <w:p w14:paraId="591CA947">
      <w:pPr>
        <w:spacing w:line="360" w:lineRule="auto"/>
        <w:rPr>
          <w:color w:val="auto"/>
          <w:spacing w:val="4"/>
          <w:sz w:val="24"/>
          <w:szCs w:val="24"/>
          <w:highlight w:val="none"/>
        </w:rPr>
      </w:pPr>
    </w:p>
    <w:p w14:paraId="0DE3D3AE">
      <w:pPr>
        <w:pStyle w:val="9"/>
        <w:spacing w:line="360" w:lineRule="auto"/>
        <w:rPr>
          <w:color w:val="auto"/>
          <w:spacing w:val="4"/>
          <w:sz w:val="24"/>
          <w:szCs w:val="24"/>
          <w:highlight w:val="none"/>
        </w:rPr>
      </w:pPr>
    </w:p>
    <w:p w14:paraId="400B06DF">
      <w:pPr>
        <w:spacing w:line="360" w:lineRule="auto"/>
        <w:rPr>
          <w:color w:val="auto"/>
          <w:kern w:val="2"/>
          <w:sz w:val="24"/>
          <w:szCs w:val="24"/>
          <w:highlight w:val="none"/>
        </w:rPr>
      </w:pPr>
    </w:p>
    <w:p w14:paraId="47A93368">
      <w:pPr>
        <w:spacing w:line="360" w:lineRule="auto"/>
        <w:ind w:firstLine="5280" w:firstLineChars="2200"/>
        <w:rPr>
          <w:color w:val="auto"/>
          <w:sz w:val="24"/>
          <w:szCs w:val="24"/>
          <w:highlight w:val="none"/>
        </w:rPr>
      </w:pPr>
      <w:r>
        <w:rPr>
          <w:rFonts w:hint="eastAsia"/>
          <w:color w:val="auto"/>
          <w:sz w:val="24"/>
          <w:szCs w:val="24"/>
          <w:highlight w:val="none"/>
        </w:rPr>
        <w:t>投标人：　　（盖章）</w:t>
      </w:r>
    </w:p>
    <w:p w14:paraId="6D1FA945">
      <w:pPr>
        <w:pStyle w:val="7"/>
        <w:ind w:firstLine="3120" w:firstLineChars="1300"/>
        <w:rPr>
          <w:rFonts w:hint="eastAsia" w:ascii="宋体" w:hAnsi="宋体" w:cs="宋体"/>
          <w:color w:val="auto"/>
          <w:sz w:val="24"/>
          <w:szCs w:val="24"/>
          <w:highlight w:val="none"/>
        </w:rPr>
        <w:sectPr>
          <w:footerReference r:id="rId4" w:type="default"/>
          <w:pgSz w:w="12240" w:h="15840"/>
          <w:pgMar w:top="1627" w:right="1373" w:bottom="1393" w:left="1627" w:header="720" w:footer="720" w:gutter="0"/>
          <w:cols w:space="720" w:num="1"/>
          <w:docGrid w:linePitch="285" w:charSpace="0"/>
        </w:sectPr>
      </w:pPr>
      <w:r>
        <w:rPr>
          <w:rFonts w:hint="eastAsia"/>
          <w:color w:val="auto"/>
          <w:sz w:val="24"/>
          <w:szCs w:val="24"/>
          <w:highlight w:val="none"/>
        </w:rPr>
        <w:t xml:space="preserve">  </w:t>
      </w:r>
      <w:r>
        <w:rPr>
          <w:rFonts w:hint="eastAsia"/>
          <w:color w:val="auto"/>
          <w:sz w:val="24"/>
          <w:szCs w:val="24"/>
          <w:highlight w:val="none"/>
          <w:lang w:val="en-US" w:eastAsia="zh-CN"/>
        </w:rPr>
        <w:t xml:space="preserve">             </w:t>
      </w:r>
      <w:r>
        <w:rPr>
          <w:rFonts w:hint="eastAsia"/>
          <w:color w:val="auto"/>
          <w:sz w:val="24"/>
          <w:szCs w:val="24"/>
          <w:highlight w:val="none"/>
        </w:rPr>
        <w:t xml:space="preserve">   日  期： </w:t>
      </w:r>
    </w:p>
    <w:bookmarkEnd w:id="789"/>
    <w:bookmarkEnd w:id="790"/>
    <w:p w14:paraId="36D80728">
      <w:pPr>
        <w:pStyle w:val="3"/>
        <w:keepNext w:val="0"/>
        <w:keepLines w:val="0"/>
        <w:spacing w:after="0"/>
        <w:jc w:val="center"/>
        <w:rPr>
          <w:rFonts w:hint="eastAsia" w:ascii="宋体" w:hAnsi="宋体" w:eastAsia="宋体" w:cs="宋体"/>
          <w:color w:val="auto"/>
          <w:highlight w:val="none"/>
        </w:rPr>
      </w:pPr>
      <w:bookmarkStart w:id="791" w:name="_Toc10260"/>
      <w:r>
        <w:rPr>
          <w:rFonts w:hint="eastAsia" w:ascii="宋体" w:hAnsi="宋体" w:eastAsia="宋体" w:cs="宋体"/>
          <w:color w:val="auto"/>
          <w:highlight w:val="none"/>
          <w:lang w:val="en-US" w:eastAsia="zh-CN"/>
        </w:rPr>
        <w:t>五</w:t>
      </w:r>
      <w:r>
        <w:rPr>
          <w:rFonts w:hint="eastAsia" w:ascii="宋体" w:hAnsi="宋体" w:eastAsia="宋体" w:cs="宋体"/>
          <w:color w:val="auto"/>
          <w:highlight w:val="none"/>
        </w:rPr>
        <w:t>、资格审查资料</w:t>
      </w:r>
      <w:bookmarkEnd w:id="791"/>
    </w:p>
    <w:p w14:paraId="7C2B9CB0">
      <w:pPr>
        <w:pStyle w:val="4"/>
        <w:keepNext w:val="0"/>
        <w:keepLines w:val="0"/>
        <w:spacing w:before="20" w:after="0"/>
        <w:ind w:firstLine="137"/>
        <w:jc w:val="center"/>
        <w:rPr>
          <w:rFonts w:hint="eastAsia" w:ascii="宋体" w:hAnsi="宋体" w:eastAsia="宋体" w:cs="宋体"/>
          <w:color w:val="auto"/>
          <w:highlight w:val="none"/>
        </w:rPr>
      </w:pPr>
      <w:bookmarkStart w:id="792" w:name="_Toc31262"/>
      <w:r>
        <w:rPr>
          <w:rFonts w:hint="eastAsia" w:ascii="宋体" w:hAnsi="宋体" w:eastAsia="宋体" w:cs="宋体"/>
          <w:color w:val="auto"/>
          <w:highlight w:val="none"/>
        </w:rPr>
        <w:t>（一）基本情况表（格式可自定）</w:t>
      </w:r>
      <w:bookmarkEnd w:id="792"/>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46"/>
        <w:gridCol w:w="980"/>
        <w:gridCol w:w="944"/>
        <w:gridCol w:w="1287"/>
        <w:gridCol w:w="414"/>
        <w:gridCol w:w="873"/>
        <w:gridCol w:w="828"/>
        <w:gridCol w:w="284"/>
        <w:gridCol w:w="1230"/>
      </w:tblGrid>
      <w:tr w14:paraId="7CDCD3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4309434A">
            <w:pPr>
              <w:topLinePunct/>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3C1B999F">
            <w:pPr>
              <w:topLinePunct/>
              <w:spacing w:line="440" w:lineRule="exact"/>
              <w:jc w:val="center"/>
              <w:rPr>
                <w:rFonts w:hint="eastAsia" w:ascii="宋体" w:hAnsi="宋体" w:cs="宋体"/>
                <w:color w:val="auto"/>
                <w:sz w:val="24"/>
                <w:szCs w:val="24"/>
                <w:highlight w:val="none"/>
              </w:rPr>
            </w:pPr>
          </w:p>
        </w:tc>
      </w:tr>
      <w:tr w14:paraId="4432DA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4E0BC0D">
            <w:pPr>
              <w:topLinePunct/>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9E831D8">
            <w:pPr>
              <w:topLinePunct/>
              <w:spacing w:line="440" w:lineRule="exact"/>
              <w:jc w:val="center"/>
              <w:rPr>
                <w:rFonts w:hint="eastAsia"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767B914D">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邮政编码</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2A20A085">
            <w:pPr>
              <w:topLinePunct/>
              <w:spacing w:line="440" w:lineRule="exact"/>
              <w:jc w:val="center"/>
              <w:rPr>
                <w:rFonts w:hint="eastAsia" w:ascii="宋体" w:hAnsi="宋体" w:cs="宋体"/>
                <w:color w:val="auto"/>
                <w:sz w:val="24"/>
                <w:szCs w:val="24"/>
                <w:highlight w:val="none"/>
              </w:rPr>
            </w:pPr>
          </w:p>
        </w:tc>
      </w:tr>
      <w:tr w14:paraId="315639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restart"/>
            <w:tcBorders>
              <w:top w:val="single" w:color="auto" w:sz="4" w:space="0"/>
              <w:left w:val="single" w:color="auto" w:sz="4" w:space="0"/>
              <w:bottom w:val="single" w:color="auto" w:sz="4" w:space="0"/>
              <w:right w:val="single" w:color="auto" w:sz="4" w:space="0"/>
            </w:tcBorders>
            <w:vAlign w:val="center"/>
          </w:tcPr>
          <w:p w14:paraId="13916D8F">
            <w:pPr>
              <w:topLinePunct/>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联系方式</w:t>
            </w:r>
          </w:p>
        </w:tc>
        <w:tc>
          <w:tcPr>
            <w:tcW w:w="980" w:type="dxa"/>
            <w:tcBorders>
              <w:top w:val="single" w:color="auto" w:sz="4" w:space="0"/>
              <w:left w:val="single" w:color="auto" w:sz="4" w:space="0"/>
              <w:bottom w:val="single" w:color="auto" w:sz="4" w:space="0"/>
              <w:right w:val="single" w:color="auto" w:sz="4" w:space="0"/>
            </w:tcBorders>
            <w:vAlign w:val="center"/>
          </w:tcPr>
          <w:p w14:paraId="42FF3437">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联系人</w:t>
            </w:r>
          </w:p>
        </w:tc>
        <w:tc>
          <w:tcPr>
            <w:tcW w:w="2231" w:type="dxa"/>
            <w:gridSpan w:val="2"/>
            <w:tcBorders>
              <w:top w:val="single" w:color="auto" w:sz="4" w:space="0"/>
              <w:left w:val="single" w:color="auto" w:sz="4" w:space="0"/>
              <w:bottom w:val="single" w:color="auto" w:sz="4" w:space="0"/>
              <w:right w:val="single" w:color="auto" w:sz="4" w:space="0"/>
            </w:tcBorders>
            <w:vAlign w:val="center"/>
          </w:tcPr>
          <w:p w14:paraId="31EF0E5B">
            <w:pPr>
              <w:topLinePunct/>
              <w:spacing w:line="440" w:lineRule="exact"/>
              <w:jc w:val="center"/>
              <w:rPr>
                <w:rFonts w:hint="eastAsia"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5A376214">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 话</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3A2462C6">
            <w:pPr>
              <w:topLinePunct/>
              <w:spacing w:line="440" w:lineRule="exact"/>
              <w:jc w:val="center"/>
              <w:rPr>
                <w:rFonts w:hint="eastAsia" w:ascii="宋体" w:hAnsi="宋体" w:cs="宋体"/>
                <w:color w:val="auto"/>
                <w:sz w:val="24"/>
                <w:szCs w:val="24"/>
                <w:highlight w:val="none"/>
              </w:rPr>
            </w:pPr>
          </w:p>
        </w:tc>
      </w:tr>
      <w:tr w14:paraId="64F757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vMerge w:val="continue"/>
            <w:tcBorders>
              <w:top w:val="single" w:color="auto" w:sz="4" w:space="0"/>
              <w:left w:val="single" w:color="auto" w:sz="4" w:space="0"/>
              <w:bottom w:val="single" w:color="auto" w:sz="4" w:space="0"/>
              <w:right w:val="single" w:color="auto" w:sz="4" w:space="0"/>
            </w:tcBorders>
            <w:vAlign w:val="center"/>
          </w:tcPr>
          <w:p w14:paraId="64B74530">
            <w:pPr>
              <w:jc w:val="center"/>
              <w:rPr>
                <w:rFonts w:hint="eastAsia" w:ascii="宋体" w:hAnsi="宋体" w:cs="宋体"/>
                <w:color w:val="auto"/>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vAlign w:val="center"/>
          </w:tcPr>
          <w:p w14:paraId="7308B5F7">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传  真</w:t>
            </w:r>
          </w:p>
        </w:tc>
        <w:tc>
          <w:tcPr>
            <w:tcW w:w="2231" w:type="dxa"/>
            <w:gridSpan w:val="2"/>
            <w:tcBorders>
              <w:top w:val="single" w:color="auto" w:sz="4" w:space="0"/>
              <w:left w:val="single" w:color="auto" w:sz="4" w:space="0"/>
              <w:bottom w:val="single" w:color="auto" w:sz="4" w:space="0"/>
              <w:right w:val="single" w:color="auto" w:sz="4" w:space="0"/>
            </w:tcBorders>
            <w:vAlign w:val="center"/>
          </w:tcPr>
          <w:p w14:paraId="1C479497">
            <w:pPr>
              <w:topLinePunct/>
              <w:spacing w:line="440" w:lineRule="exact"/>
              <w:jc w:val="center"/>
              <w:rPr>
                <w:rFonts w:hint="eastAsia" w:ascii="宋体" w:hAnsi="宋体" w:cs="宋体"/>
                <w:color w:val="auto"/>
                <w:sz w:val="24"/>
                <w:szCs w:val="24"/>
                <w:highlight w:val="none"/>
              </w:rPr>
            </w:pP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68A6B210">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网 址</w:t>
            </w:r>
          </w:p>
        </w:tc>
        <w:tc>
          <w:tcPr>
            <w:tcW w:w="2342" w:type="dxa"/>
            <w:gridSpan w:val="3"/>
            <w:tcBorders>
              <w:top w:val="single" w:color="auto" w:sz="4" w:space="0"/>
              <w:left w:val="single" w:color="auto" w:sz="4" w:space="0"/>
              <w:bottom w:val="single" w:color="auto" w:sz="4" w:space="0"/>
              <w:right w:val="single" w:color="auto" w:sz="4" w:space="0"/>
            </w:tcBorders>
            <w:vAlign w:val="center"/>
          </w:tcPr>
          <w:p w14:paraId="7A20DB4F">
            <w:pPr>
              <w:topLinePunct/>
              <w:spacing w:line="440" w:lineRule="exact"/>
              <w:jc w:val="center"/>
              <w:rPr>
                <w:rFonts w:hint="eastAsia" w:ascii="宋体" w:hAnsi="宋体" w:cs="宋体"/>
                <w:color w:val="auto"/>
                <w:sz w:val="24"/>
                <w:szCs w:val="24"/>
                <w:highlight w:val="none"/>
              </w:rPr>
            </w:pPr>
          </w:p>
        </w:tc>
      </w:tr>
      <w:tr w14:paraId="0E8FD0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54957287">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w:t>
            </w:r>
          </w:p>
        </w:tc>
        <w:tc>
          <w:tcPr>
            <w:tcW w:w="980" w:type="dxa"/>
            <w:tcBorders>
              <w:top w:val="single" w:color="auto" w:sz="4" w:space="0"/>
              <w:left w:val="single" w:color="auto" w:sz="4" w:space="0"/>
              <w:bottom w:val="single" w:color="auto" w:sz="4" w:space="0"/>
              <w:right w:val="single" w:color="auto" w:sz="4" w:space="0"/>
            </w:tcBorders>
            <w:vAlign w:val="center"/>
          </w:tcPr>
          <w:p w14:paraId="597EF60C">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944" w:type="dxa"/>
            <w:tcBorders>
              <w:top w:val="single" w:color="auto" w:sz="4" w:space="0"/>
              <w:left w:val="single" w:color="auto" w:sz="4" w:space="0"/>
              <w:bottom w:val="single" w:color="auto" w:sz="4" w:space="0"/>
              <w:right w:val="single" w:color="auto" w:sz="4" w:space="0"/>
            </w:tcBorders>
            <w:vAlign w:val="center"/>
          </w:tcPr>
          <w:p w14:paraId="50B76C0E">
            <w:pPr>
              <w:topLinePunct/>
              <w:spacing w:line="440" w:lineRule="exact"/>
              <w:jc w:val="center"/>
              <w:rPr>
                <w:rFonts w:hint="eastAsia" w:ascii="宋体" w:hAnsi="宋体" w:cs="宋体"/>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628434AB">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4DC141AB">
            <w:pPr>
              <w:topLinePunct/>
              <w:spacing w:line="440" w:lineRule="exact"/>
              <w:jc w:val="center"/>
              <w:rPr>
                <w:rFonts w:hint="eastAsia" w:ascii="宋体" w:hAnsi="宋体" w:cs="宋体"/>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3334A1CB">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F76E806">
            <w:pPr>
              <w:topLinePunct/>
              <w:spacing w:line="440" w:lineRule="exact"/>
              <w:jc w:val="center"/>
              <w:rPr>
                <w:rFonts w:hint="eastAsia" w:ascii="宋体" w:hAnsi="宋体" w:cs="宋体"/>
                <w:color w:val="auto"/>
                <w:sz w:val="24"/>
                <w:szCs w:val="24"/>
                <w:highlight w:val="none"/>
              </w:rPr>
            </w:pPr>
          </w:p>
        </w:tc>
      </w:tr>
      <w:tr w14:paraId="69B5D0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E9B7AD4">
            <w:pPr>
              <w:topLinePunct/>
              <w:spacing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技术负责人</w:t>
            </w:r>
          </w:p>
        </w:tc>
        <w:tc>
          <w:tcPr>
            <w:tcW w:w="980" w:type="dxa"/>
            <w:tcBorders>
              <w:top w:val="single" w:color="auto" w:sz="4" w:space="0"/>
              <w:left w:val="single" w:color="auto" w:sz="4" w:space="0"/>
              <w:bottom w:val="single" w:color="auto" w:sz="4" w:space="0"/>
              <w:right w:val="single" w:color="auto" w:sz="4" w:space="0"/>
            </w:tcBorders>
            <w:vAlign w:val="center"/>
          </w:tcPr>
          <w:p w14:paraId="7942AE73">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姓名</w:t>
            </w:r>
          </w:p>
        </w:tc>
        <w:tc>
          <w:tcPr>
            <w:tcW w:w="944" w:type="dxa"/>
            <w:tcBorders>
              <w:top w:val="single" w:color="auto" w:sz="4" w:space="0"/>
              <w:left w:val="single" w:color="auto" w:sz="4" w:space="0"/>
              <w:bottom w:val="single" w:color="auto" w:sz="4" w:space="0"/>
              <w:right w:val="single" w:color="auto" w:sz="4" w:space="0"/>
            </w:tcBorders>
            <w:vAlign w:val="center"/>
          </w:tcPr>
          <w:p w14:paraId="5488E3E8">
            <w:pPr>
              <w:topLinePunct/>
              <w:spacing w:line="440" w:lineRule="exact"/>
              <w:jc w:val="center"/>
              <w:rPr>
                <w:rFonts w:hint="eastAsia" w:ascii="宋体" w:hAnsi="宋体" w:cs="宋体"/>
                <w:color w:val="auto"/>
                <w:sz w:val="24"/>
                <w:szCs w:val="24"/>
                <w:highlight w:val="none"/>
              </w:rPr>
            </w:pPr>
          </w:p>
        </w:tc>
        <w:tc>
          <w:tcPr>
            <w:tcW w:w="1287" w:type="dxa"/>
            <w:tcBorders>
              <w:top w:val="single" w:color="auto" w:sz="4" w:space="0"/>
              <w:left w:val="single" w:color="auto" w:sz="4" w:space="0"/>
              <w:bottom w:val="single" w:color="auto" w:sz="4" w:space="0"/>
              <w:right w:val="single" w:color="auto" w:sz="4" w:space="0"/>
            </w:tcBorders>
            <w:vAlign w:val="center"/>
          </w:tcPr>
          <w:p w14:paraId="50C8F3AE">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技术职称</w:t>
            </w:r>
          </w:p>
        </w:tc>
        <w:tc>
          <w:tcPr>
            <w:tcW w:w="1287" w:type="dxa"/>
            <w:gridSpan w:val="2"/>
            <w:tcBorders>
              <w:top w:val="single" w:color="auto" w:sz="4" w:space="0"/>
              <w:left w:val="single" w:color="auto" w:sz="4" w:space="0"/>
              <w:bottom w:val="single" w:color="auto" w:sz="4" w:space="0"/>
              <w:right w:val="single" w:color="auto" w:sz="4" w:space="0"/>
            </w:tcBorders>
            <w:vAlign w:val="center"/>
          </w:tcPr>
          <w:p w14:paraId="397E16BC">
            <w:pPr>
              <w:topLinePunct/>
              <w:spacing w:line="440" w:lineRule="exact"/>
              <w:jc w:val="center"/>
              <w:rPr>
                <w:rFonts w:hint="eastAsia" w:ascii="宋体" w:hAnsi="宋体" w:cs="宋体"/>
                <w:color w:val="auto"/>
                <w:sz w:val="24"/>
                <w:szCs w:val="24"/>
                <w:highlight w:val="none"/>
              </w:rPr>
            </w:pP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6CF284E8">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电话</w:t>
            </w:r>
          </w:p>
        </w:tc>
        <w:tc>
          <w:tcPr>
            <w:tcW w:w="1230" w:type="dxa"/>
            <w:tcBorders>
              <w:top w:val="single" w:color="auto" w:sz="4" w:space="0"/>
              <w:left w:val="single" w:color="auto" w:sz="4" w:space="0"/>
              <w:bottom w:val="single" w:color="auto" w:sz="4" w:space="0"/>
              <w:right w:val="single" w:color="auto" w:sz="4" w:space="0"/>
            </w:tcBorders>
            <w:vAlign w:val="center"/>
          </w:tcPr>
          <w:p w14:paraId="6697775D">
            <w:pPr>
              <w:topLinePunct/>
              <w:spacing w:line="440" w:lineRule="exact"/>
              <w:jc w:val="center"/>
              <w:rPr>
                <w:rFonts w:hint="eastAsia" w:ascii="宋体" w:hAnsi="宋体" w:cs="宋体"/>
                <w:color w:val="auto"/>
                <w:sz w:val="24"/>
                <w:szCs w:val="24"/>
                <w:highlight w:val="none"/>
              </w:rPr>
            </w:pPr>
          </w:p>
        </w:tc>
      </w:tr>
      <w:tr w14:paraId="53A7C7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7856EB34">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质量管理体系证书（如有）</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53280EAC">
            <w:pPr>
              <w:topLinePunct/>
              <w:spacing w:before="100" w:beforeAutospacing="1" w:after="100" w:afterAutospacing="1" w:line="440" w:lineRule="exact"/>
              <w:ind w:firstLine="120" w:firstLineChars="5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类型：                    等级：      证书号：</w:t>
            </w:r>
          </w:p>
        </w:tc>
      </w:tr>
      <w:tr w14:paraId="1EBF14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32E4D454">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营业执照号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4933809">
            <w:pPr>
              <w:topLinePunct/>
              <w:spacing w:line="440" w:lineRule="exact"/>
              <w:jc w:val="center"/>
              <w:rPr>
                <w:rFonts w:hint="eastAsia" w:ascii="宋体" w:hAnsi="宋体" w:cs="宋体"/>
                <w:color w:val="auto"/>
                <w:sz w:val="24"/>
                <w:szCs w:val="24"/>
                <w:highlight w:val="none"/>
              </w:rPr>
            </w:pPr>
          </w:p>
        </w:tc>
        <w:tc>
          <w:tcPr>
            <w:tcW w:w="3629" w:type="dxa"/>
            <w:gridSpan w:val="5"/>
            <w:tcBorders>
              <w:top w:val="single" w:color="auto" w:sz="4" w:space="0"/>
              <w:left w:val="single" w:color="auto" w:sz="4" w:space="0"/>
              <w:bottom w:val="single" w:color="auto" w:sz="4" w:space="0"/>
              <w:right w:val="single" w:color="auto" w:sz="4" w:space="0"/>
            </w:tcBorders>
            <w:vAlign w:val="center"/>
          </w:tcPr>
          <w:p w14:paraId="039459D6">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员工总人数：</w:t>
            </w:r>
          </w:p>
        </w:tc>
      </w:tr>
      <w:tr w14:paraId="5371BF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03BED995">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注册资本</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2A765422">
            <w:pPr>
              <w:topLinePunct/>
              <w:spacing w:line="440" w:lineRule="exact"/>
              <w:jc w:val="center"/>
              <w:rPr>
                <w:rFonts w:hint="eastAsia" w:ascii="宋体" w:hAnsi="宋体" w:cs="宋体"/>
                <w:color w:val="auto"/>
                <w:sz w:val="24"/>
                <w:szCs w:val="24"/>
                <w:highlight w:val="none"/>
              </w:rPr>
            </w:pPr>
          </w:p>
        </w:tc>
        <w:tc>
          <w:tcPr>
            <w:tcW w:w="414" w:type="dxa"/>
            <w:vMerge w:val="restart"/>
            <w:tcBorders>
              <w:top w:val="single" w:color="auto" w:sz="4" w:space="0"/>
              <w:left w:val="single" w:color="auto" w:sz="4" w:space="0"/>
              <w:right w:val="single" w:color="auto" w:sz="4" w:space="0"/>
            </w:tcBorders>
            <w:vAlign w:val="center"/>
          </w:tcPr>
          <w:p w14:paraId="5AEB9B36">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其中</w:t>
            </w: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F069034">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高级职称人员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7AF8D7E9">
            <w:pPr>
              <w:topLinePunct/>
              <w:spacing w:line="440" w:lineRule="exact"/>
              <w:jc w:val="center"/>
              <w:rPr>
                <w:rFonts w:hint="eastAsia" w:ascii="宋体" w:hAnsi="宋体" w:cs="宋体"/>
                <w:color w:val="auto"/>
                <w:sz w:val="24"/>
                <w:szCs w:val="24"/>
                <w:highlight w:val="none"/>
              </w:rPr>
            </w:pPr>
          </w:p>
        </w:tc>
      </w:tr>
      <w:tr w14:paraId="5373D2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04DDCB3">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成立日期</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E56607A">
            <w:pPr>
              <w:topLinePunct/>
              <w:spacing w:line="440" w:lineRule="exact"/>
              <w:jc w:val="center"/>
              <w:rPr>
                <w:rFonts w:hint="eastAsia"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14:paraId="3A68980D">
            <w:pPr>
              <w:jc w:val="center"/>
              <w:rPr>
                <w:rFonts w:hint="eastAsia"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1C40BAF6">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中级职称人员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1A9C4F7B">
            <w:pPr>
              <w:topLinePunct/>
              <w:spacing w:line="440" w:lineRule="exact"/>
              <w:jc w:val="center"/>
              <w:rPr>
                <w:rFonts w:hint="eastAsia" w:ascii="宋体" w:hAnsi="宋体" w:cs="宋体"/>
                <w:color w:val="auto"/>
                <w:sz w:val="24"/>
                <w:szCs w:val="24"/>
                <w:highlight w:val="none"/>
              </w:rPr>
            </w:pPr>
          </w:p>
        </w:tc>
      </w:tr>
      <w:tr w14:paraId="3681DB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2606EB7F">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基本账户开户银行</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468C72C0">
            <w:pPr>
              <w:topLinePunct/>
              <w:spacing w:line="440" w:lineRule="exact"/>
              <w:jc w:val="center"/>
              <w:rPr>
                <w:rFonts w:hint="eastAsia"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14:paraId="203B7837">
            <w:pPr>
              <w:jc w:val="center"/>
              <w:rPr>
                <w:rFonts w:hint="eastAsia"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0561C6A0">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技术人员数量</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0A822179">
            <w:pPr>
              <w:topLinePunct/>
              <w:spacing w:line="440" w:lineRule="exact"/>
              <w:jc w:val="center"/>
              <w:rPr>
                <w:rFonts w:hint="eastAsia" w:ascii="宋体" w:hAnsi="宋体" w:cs="宋体"/>
                <w:color w:val="auto"/>
                <w:sz w:val="24"/>
                <w:szCs w:val="24"/>
                <w:highlight w:val="none"/>
              </w:rPr>
            </w:pPr>
          </w:p>
        </w:tc>
      </w:tr>
      <w:tr w14:paraId="00A0DA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B1D21F9">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基本账户银行账号</w:t>
            </w:r>
          </w:p>
        </w:tc>
        <w:tc>
          <w:tcPr>
            <w:tcW w:w="3211" w:type="dxa"/>
            <w:gridSpan w:val="3"/>
            <w:tcBorders>
              <w:top w:val="single" w:color="auto" w:sz="4" w:space="0"/>
              <w:left w:val="single" w:color="auto" w:sz="4" w:space="0"/>
              <w:bottom w:val="single" w:color="auto" w:sz="4" w:space="0"/>
              <w:right w:val="single" w:color="auto" w:sz="4" w:space="0"/>
            </w:tcBorders>
            <w:vAlign w:val="center"/>
          </w:tcPr>
          <w:p w14:paraId="3C25D8E5">
            <w:pPr>
              <w:topLinePunct/>
              <w:spacing w:line="440" w:lineRule="exact"/>
              <w:jc w:val="center"/>
              <w:rPr>
                <w:rFonts w:hint="eastAsia" w:ascii="宋体" w:hAnsi="宋体" w:cs="宋体"/>
                <w:color w:val="auto"/>
                <w:sz w:val="24"/>
                <w:szCs w:val="24"/>
                <w:highlight w:val="none"/>
              </w:rPr>
            </w:pPr>
          </w:p>
        </w:tc>
        <w:tc>
          <w:tcPr>
            <w:tcW w:w="414" w:type="dxa"/>
            <w:vMerge w:val="continue"/>
            <w:tcBorders>
              <w:left w:val="single" w:color="auto" w:sz="4" w:space="0"/>
              <w:right w:val="single" w:color="auto" w:sz="4" w:space="0"/>
            </w:tcBorders>
            <w:vAlign w:val="center"/>
          </w:tcPr>
          <w:p w14:paraId="750B060D">
            <w:pPr>
              <w:jc w:val="center"/>
              <w:rPr>
                <w:rFonts w:hint="eastAsia" w:ascii="宋体" w:hAnsi="宋体" w:cs="宋体"/>
                <w:color w:val="auto"/>
                <w:sz w:val="24"/>
                <w:szCs w:val="24"/>
                <w:highlight w:val="none"/>
              </w:rPr>
            </w:pPr>
          </w:p>
        </w:tc>
        <w:tc>
          <w:tcPr>
            <w:tcW w:w="1701" w:type="dxa"/>
            <w:gridSpan w:val="2"/>
            <w:tcBorders>
              <w:top w:val="single" w:color="auto" w:sz="4" w:space="0"/>
              <w:left w:val="single" w:color="auto" w:sz="4" w:space="0"/>
              <w:bottom w:val="single" w:color="auto" w:sz="4" w:space="0"/>
              <w:right w:val="single" w:color="auto" w:sz="4" w:space="0"/>
            </w:tcBorders>
            <w:vAlign w:val="center"/>
          </w:tcPr>
          <w:p w14:paraId="328D2660">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各类注册人员</w:t>
            </w:r>
          </w:p>
        </w:tc>
        <w:tc>
          <w:tcPr>
            <w:tcW w:w="1514" w:type="dxa"/>
            <w:gridSpan w:val="2"/>
            <w:tcBorders>
              <w:top w:val="single" w:color="auto" w:sz="4" w:space="0"/>
              <w:left w:val="single" w:color="auto" w:sz="4" w:space="0"/>
              <w:bottom w:val="single" w:color="auto" w:sz="4" w:space="0"/>
              <w:right w:val="single" w:color="auto" w:sz="4" w:space="0"/>
            </w:tcBorders>
            <w:vAlign w:val="center"/>
          </w:tcPr>
          <w:p w14:paraId="689916B3">
            <w:pPr>
              <w:topLinePunct/>
              <w:spacing w:line="440" w:lineRule="exact"/>
              <w:jc w:val="center"/>
              <w:rPr>
                <w:rFonts w:hint="eastAsia" w:ascii="宋体" w:hAnsi="宋体" w:cs="宋体"/>
                <w:color w:val="auto"/>
                <w:sz w:val="24"/>
                <w:szCs w:val="24"/>
                <w:highlight w:val="none"/>
              </w:rPr>
            </w:pPr>
          </w:p>
        </w:tc>
      </w:tr>
      <w:tr w14:paraId="12D9AC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02DF4BD3">
            <w:pPr>
              <w:topLinePunct/>
              <w:spacing w:before="100" w:beforeAutospacing="1" w:after="100" w:afterAutospacing="1" w:line="440" w:lineRule="exact"/>
              <w:ind w:firstLine="240" w:firstLineChars="10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经营范围</w:t>
            </w:r>
          </w:p>
        </w:tc>
        <w:tc>
          <w:tcPr>
            <w:tcW w:w="6840" w:type="dxa"/>
            <w:gridSpan w:val="8"/>
            <w:tcBorders>
              <w:top w:val="single" w:color="auto" w:sz="4" w:space="0"/>
              <w:left w:val="single" w:color="auto" w:sz="4" w:space="0"/>
              <w:right w:val="single" w:color="auto" w:sz="4" w:space="0"/>
            </w:tcBorders>
            <w:vAlign w:val="center"/>
          </w:tcPr>
          <w:p w14:paraId="40F56237">
            <w:pPr>
              <w:topLinePunct/>
              <w:spacing w:line="440" w:lineRule="exact"/>
              <w:jc w:val="center"/>
              <w:rPr>
                <w:rFonts w:hint="eastAsia" w:ascii="宋体" w:hAnsi="宋体" w:cs="宋体"/>
                <w:color w:val="auto"/>
                <w:sz w:val="24"/>
                <w:szCs w:val="24"/>
                <w:highlight w:val="none"/>
              </w:rPr>
            </w:pPr>
          </w:p>
        </w:tc>
      </w:tr>
      <w:tr w14:paraId="75F7DD5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 w:hRule="atLeast"/>
          <w:jc w:val="center"/>
        </w:trPr>
        <w:tc>
          <w:tcPr>
            <w:tcW w:w="2046" w:type="dxa"/>
            <w:tcBorders>
              <w:top w:val="single" w:color="auto" w:sz="4" w:space="0"/>
              <w:left w:val="single" w:color="auto" w:sz="4" w:space="0"/>
              <w:right w:val="single" w:color="auto" w:sz="4" w:space="0"/>
            </w:tcBorders>
            <w:vAlign w:val="center"/>
          </w:tcPr>
          <w:p w14:paraId="2F70A7C6">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投标人关联企业情况（包括但不限于与投标人法定代表人为同一人或者存在控股、管理关系的不同单位）</w:t>
            </w:r>
          </w:p>
        </w:tc>
        <w:tc>
          <w:tcPr>
            <w:tcW w:w="6840" w:type="dxa"/>
            <w:gridSpan w:val="8"/>
            <w:tcBorders>
              <w:top w:val="single" w:color="auto" w:sz="4" w:space="0"/>
              <w:left w:val="single" w:color="auto" w:sz="4" w:space="0"/>
              <w:right w:val="single" w:color="auto" w:sz="4" w:space="0"/>
            </w:tcBorders>
            <w:vAlign w:val="center"/>
          </w:tcPr>
          <w:p w14:paraId="58C9B037">
            <w:pPr>
              <w:topLinePunct/>
              <w:spacing w:line="440" w:lineRule="exact"/>
              <w:jc w:val="center"/>
              <w:rPr>
                <w:rFonts w:hint="eastAsia" w:ascii="宋体" w:hAnsi="宋体" w:cs="宋体"/>
                <w:color w:val="auto"/>
                <w:sz w:val="24"/>
                <w:szCs w:val="24"/>
                <w:highlight w:val="none"/>
              </w:rPr>
            </w:pPr>
          </w:p>
        </w:tc>
      </w:tr>
      <w:tr w14:paraId="36E0D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2046" w:type="dxa"/>
            <w:tcBorders>
              <w:top w:val="single" w:color="auto" w:sz="4" w:space="0"/>
              <w:left w:val="single" w:color="auto" w:sz="4" w:space="0"/>
              <w:bottom w:val="single" w:color="auto" w:sz="4" w:space="0"/>
              <w:right w:val="single" w:color="auto" w:sz="4" w:space="0"/>
            </w:tcBorders>
            <w:vAlign w:val="center"/>
          </w:tcPr>
          <w:p w14:paraId="13C90979">
            <w:pPr>
              <w:topLinePunct/>
              <w:spacing w:before="100" w:beforeAutospacing="1" w:after="100" w:afterAutospacing="1" w:line="440" w:lineRule="exact"/>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备注</w:t>
            </w:r>
          </w:p>
        </w:tc>
        <w:tc>
          <w:tcPr>
            <w:tcW w:w="6840" w:type="dxa"/>
            <w:gridSpan w:val="8"/>
            <w:tcBorders>
              <w:top w:val="single" w:color="auto" w:sz="4" w:space="0"/>
              <w:left w:val="single" w:color="auto" w:sz="4" w:space="0"/>
              <w:bottom w:val="single" w:color="auto" w:sz="4" w:space="0"/>
              <w:right w:val="single" w:color="auto" w:sz="4" w:space="0"/>
            </w:tcBorders>
            <w:vAlign w:val="center"/>
          </w:tcPr>
          <w:p w14:paraId="4561804F">
            <w:pPr>
              <w:topLinePunct/>
              <w:spacing w:line="440" w:lineRule="exact"/>
              <w:jc w:val="center"/>
              <w:rPr>
                <w:rFonts w:hint="eastAsia" w:ascii="宋体" w:hAnsi="宋体" w:cs="宋体"/>
                <w:color w:val="auto"/>
                <w:sz w:val="24"/>
                <w:szCs w:val="24"/>
                <w:highlight w:val="none"/>
              </w:rPr>
            </w:pPr>
          </w:p>
        </w:tc>
      </w:tr>
    </w:tbl>
    <w:p w14:paraId="6F087494">
      <w:pPr>
        <w:spacing w:line="400" w:lineRule="exact"/>
        <w:rPr>
          <w:rFonts w:hint="eastAsia" w:ascii="宋体" w:hAnsi="宋体" w:cs="宋体"/>
          <w:color w:val="auto"/>
          <w:highlight w:val="none"/>
        </w:rPr>
      </w:pPr>
      <w:r>
        <w:rPr>
          <w:rFonts w:hint="eastAsia" w:ascii="宋体" w:hAnsi="宋体" w:cs="宋体"/>
          <w:color w:val="auto"/>
          <w:highlight w:val="none"/>
        </w:rPr>
        <w:t>注：</w:t>
      </w:r>
      <w:r>
        <w:rPr>
          <w:rFonts w:hint="eastAsia" w:ascii="宋体" w:hAnsi="宋体" w:cs="宋体"/>
          <w:color w:val="auto"/>
          <w:szCs w:val="20"/>
          <w:highlight w:val="none"/>
        </w:rPr>
        <w:t>在本表后附相关证</w:t>
      </w:r>
      <w:bookmarkStart w:id="793" w:name="_Toc520184752"/>
      <w:r>
        <w:rPr>
          <w:rFonts w:hint="eastAsia" w:ascii="宋体" w:hAnsi="宋体" w:cs="宋体"/>
          <w:color w:val="auto"/>
          <w:szCs w:val="20"/>
          <w:highlight w:val="none"/>
        </w:rPr>
        <w:t>明材料。</w:t>
      </w:r>
      <w:bookmarkEnd w:id="793"/>
    </w:p>
    <w:bookmarkEnd w:id="788"/>
    <w:p w14:paraId="53C58685">
      <w:pPr>
        <w:pStyle w:val="4"/>
        <w:keepNext w:val="0"/>
        <w:keepLines w:val="0"/>
        <w:spacing w:before="20" w:after="0"/>
        <w:ind w:firstLine="137"/>
        <w:jc w:val="center"/>
        <w:rPr>
          <w:rFonts w:hint="eastAsia" w:ascii="宋体" w:hAnsi="宋体" w:eastAsia="宋体" w:cs="宋体"/>
          <w:color w:val="auto"/>
          <w:highlight w:val="none"/>
        </w:rPr>
      </w:pPr>
      <w:bookmarkStart w:id="794" w:name="_Toc168"/>
      <w:bookmarkStart w:id="795" w:name="_Toc482188666"/>
    </w:p>
    <w:p w14:paraId="09FCC246">
      <w:pPr>
        <w:pStyle w:val="4"/>
        <w:keepNext w:val="0"/>
        <w:keepLines w:val="0"/>
        <w:spacing w:before="20" w:after="0"/>
        <w:ind w:firstLine="137"/>
        <w:jc w:val="center"/>
        <w:rPr>
          <w:rFonts w:hint="eastAsia" w:ascii="宋体" w:hAnsi="宋体" w:eastAsia="宋体" w:cs="宋体"/>
          <w:color w:val="auto"/>
          <w:highlight w:val="none"/>
        </w:rPr>
      </w:pPr>
      <w:r>
        <w:rPr>
          <w:rFonts w:hint="eastAsia" w:ascii="宋体" w:hAnsi="宋体" w:eastAsia="宋体" w:cs="宋体"/>
          <w:color w:val="auto"/>
          <w:highlight w:val="none"/>
        </w:rPr>
        <w:t>（二）资格审查前在</w:t>
      </w:r>
      <w:r>
        <w:rPr>
          <w:rFonts w:hint="eastAsia" w:ascii="宋体" w:hAnsi="宋体" w:eastAsia="宋体" w:cs="宋体"/>
          <w:color w:val="auto"/>
          <w:highlight w:val="none"/>
          <w:u w:val="single"/>
        </w:rPr>
        <w:t>广州交易集团有限公司（广州公共资源交易中心）</w:t>
      </w:r>
      <w:r>
        <w:rPr>
          <w:rFonts w:hint="eastAsia" w:ascii="宋体" w:hAnsi="宋体" w:eastAsia="宋体" w:cs="宋体"/>
          <w:color w:val="auto"/>
          <w:highlight w:val="none"/>
        </w:rPr>
        <w:t>的信息截图</w:t>
      </w:r>
      <w:bookmarkEnd w:id="794"/>
    </w:p>
    <w:p w14:paraId="2D40FF6A">
      <w:pPr>
        <w:spacing w:line="440" w:lineRule="exact"/>
        <w:rPr>
          <w:rFonts w:hint="eastAsia" w:ascii="宋体" w:hAnsi="宋体" w:cs="宋体"/>
          <w:color w:val="auto"/>
          <w:highlight w:val="none"/>
        </w:rPr>
      </w:pPr>
    </w:p>
    <w:p w14:paraId="4355D2F0">
      <w:pPr>
        <w:spacing w:line="440" w:lineRule="exact"/>
        <w:jc w:val="center"/>
        <w:rPr>
          <w:rFonts w:hint="eastAsia" w:ascii="宋体" w:hAnsi="宋体" w:cs="宋体"/>
          <w:color w:val="auto"/>
          <w:highlight w:val="none"/>
        </w:rPr>
      </w:pPr>
      <w:r>
        <w:rPr>
          <w:rFonts w:hint="eastAsia" w:ascii="宋体" w:hAnsi="宋体" w:cs="宋体"/>
          <w:color w:val="auto"/>
          <w:highlight w:val="none"/>
        </w:rPr>
        <w:t>注：附相关证明材料。</w:t>
      </w:r>
    </w:p>
    <w:p w14:paraId="69F4BD00">
      <w:pPr>
        <w:pStyle w:val="4"/>
        <w:keepNext w:val="0"/>
        <w:keepLines w:val="0"/>
        <w:spacing w:before="20" w:after="0"/>
        <w:ind w:firstLine="137"/>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End w:id="795"/>
      <w:bookmarkStart w:id="796" w:name="_Toc24618"/>
      <w:r>
        <w:rPr>
          <w:rFonts w:hint="eastAsia" w:ascii="宋体" w:hAnsi="宋体" w:eastAsia="宋体" w:cs="宋体"/>
          <w:color w:val="auto"/>
          <w:highlight w:val="none"/>
        </w:rPr>
        <w:t>（三）投标人声明</w:t>
      </w:r>
      <w:bookmarkEnd w:id="796"/>
    </w:p>
    <w:p w14:paraId="71B5D93A">
      <w:pPr>
        <w:pStyle w:val="3"/>
        <w:keepNext w:val="0"/>
        <w:keepLines w:val="0"/>
        <w:jc w:val="center"/>
        <w:rPr>
          <w:rFonts w:hint="eastAsia" w:ascii="宋体" w:hAnsi="宋体" w:eastAsia="宋体" w:cs="宋体"/>
          <w:b w:val="0"/>
          <w:color w:val="auto"/>
          <w:sz w:val="21"/>
          <w:szCs w:val="22"/>
          <w:highlight w:val="none"/>
        </w:rPr>
      </w:pPr>
      <w:bookmarkStart w:id="797" w:name="_Toc5124"/>
      <w:bookmarkStart w:id="798" w:name="_Toc23748"/>
      <w:r>
        <w:rPr>
          <w:rFonts w:hint="eastAsia" w:ascii="宋体" w:hAnsi="宋体" w:eastAsia="宋体" w:cs="宋体"/>
          <w:b w:val="0"/>
          <w:color w:val="auto"/>
          <w:sz w:val="21"/>
          <w:szCs w:val="22"/>
          <w:highlight w:val="none"/>
        </w:rPr>
        <w:t>格式详见招标公告</w:t>
      </w:r>
      <w:bookmarkEnd w:id="797"/>
      <w:bookmarkEnd w:id="798"/>
    </w:p>
    <w:p w14:paraId="7DB130F2">
      <w:pPr>
        <w:spacing w:line="360" w:lineRule="auto"/>
        <w:ind w:firstLine="4920" w:firstLineChars="2050"/>
        <w:rPr>
          <w:rFonts w:hint="eastAsia" w:ascii="宋体" w:hAnsi="宋体" w:cs="宋体"/>
          <w:color w:val="auto"/>
          <w:kern w:val="0"/>
          <w:sz w:val="24"/>
          <w:szCs w:val="24"/>
          <w:highlight w:val="none"/>
        </w:rPr>
      </w:pPr>
    </w:p>
    <w:p w14:paraId="00DCB6B7">
      <w:pPr>
        <w:pStyle w:val="9"/>
        <w:rPr>
          <w:rFonts w:hint="eastAsia" w:ascii="宋体" w:hAnsi="宋体" w:cs="宋体"/>
          <w:color w:val="auto"/>
          <w:kern w:val="0"/>
          <w:sz w:val="24"/>
          <w:szCs w:val="24"/>
          <w:highlight w:val="none"/>
        </w:rPr>
      </w:pPr>
    </w:p>
    <w:p w14:paraId="25199752">
      <w:pPr>
        <w:pStyle w:val="9"/>
        <w:rPr>
          <w:rFonts w:hint="eastAsia" w:ascii="宋体" w:hAnsi="宋体" w:cs="宋体"/>
          <w:color w:val="auto"/>
          <w:kern w:val="0"/>
          <w:sz w:val="24"/>
          <w:szCs w:val="24"/>
          <w:highlight w:val="none"/>
        </w:rPr>
      </w:pPr>
    </w:p>
    <w:p w14:paraId="4B197C93">
      <w:pPr>
        <w:pStyle w:val="9"/>
        <w:rPr>
          <w:rFonts w:hint="eastAsia" w:ascii="宋体" w:hAnsi="宋体" w:cs="宋体"/>
          <w:color w:val="auto"/>
          <w:kern w:val="0"/>
          <w:sz w:val="24"/>
          <w:szCs w:val="24"/>
          <w:highlight w:val="none"/>
        </w:rPr>
      </w:pPr>
    </w:p>
    <w:p w14:paraId="1246DB58">
      <w:pPr>
        <w:pStyle w:val="9"/>
        <w:rPr>
          <w:rFonts w:hint="eastAsia" w:ascii="宋体" w:hAnsi="宋体" w:cs="宋体"/>
          <w:color w:val="auto"/>
          <w:kern w:val="0"/>
          <w:sz w:val="24"/>
          <w:szCs w:val="24"/>
          <w:highlight w:val="none"/>
        </w:rPr>
      </w:pPr>
    </w:p>
    <w:p w14:paraId="562C9FF6">
      <w:pPr>
        <w:pStyle w:val="9"/>
        <w:rPr>
          <w:rFonts w:hint="eastAsia" w:ascii="宋体" w:hAnsi="宋体" w:cs="宋体"/>
          <w:color w:val="auto"/>
          <w:kern w:val="0"/>
          <w:sz w:val="24"/>
          <w:szCs w:val="24"/>
          <w:highlight w:val="none"/>
        </w:rPr>
      </w:pPr>
    </w:p>
    <w:p w14:paraId="50EC48DC">
      <w:pPr>
        <w:pStyle w:val="9"/>
        <w:rPr>
          <w:rFonts w:hint="eastAsia" w:ascii="宋体" w:hAnsi="宋体" w:cs="宋体"/>
          <w:color w:val="auto"/>
          <w:kern w:val="0"/>
          <w:sz w:val="24"/>
          <w:szCs w:val="24"/>
          <w:highlight w:val="none"/>
        </w:rPr>
      </w:pPr>
    </w:p>
    <w:p w14:paraId="732DDB33">
      <w:pPr>
        <w:pStyle w:val="9"/>
        <w:rPr>
          <w:rFonts w:hint="eastAsia" w:ascii="宋体" w:hAnsi="宋体" w:cs="宋体"/>
          <w:color w:val="auto"/>
          <w:kern w:val="0"/>
          <w:sz w:val="24"/>
          <w:szCs w:val="24"/>
          <w:highlight w:val="none"/>
        </w:rPr>
      </w:pPr>
    </w:p>
    <w:p w14:paraId="094A8CEE">
      <w:pPr>
        <w:pStyle w:val="9"/>
        <w:rPr>
          <w:rFonts w:hint="eastAsia" w:ascii="宋体" w:hAnsi="宋体" w:cs="宋体"/>
          <w:color w:val="auto"/>
          <w:kern w:val="0"/>
          <w:sz w:val="24"/>
          <w:szCs w:val="24"/>
          <w:highlight w:val="none"/>
        </w:rPr>
      </w:pPr>
    </w:p>
    <w:p w14:paraId="17D8DD41">
      <w:pPr>
        <w:pStyle w:val="9"/>
        <w:rPr>
          <w:rFonts w:hint="eastAsia" w:ascii="宋体" w:hAnsi="宋体" w:cs="宋体"/>
          <w:color w:val="auto"/>
          <w:kern w:val="0"/>
          <w:sz w:val="24"/>
          <w:szCs w:val="24"/>
          <w:highlight w:val="none"/>
        </w:rPr>
      </w:pPr>
    </w:p>
    <w:p w14:paraId="1F80A51E">
      <w:pPr>
        <w:pStyle w:val="9"/>
        <w:rPr>
          <w:rFonts w:hint="eastAsia" w:ascii="宋体" w:hAnsi="宋体" w:cs="宋体"/>
          <w:color w:val="auto"/>
          <w:kern w:val="0"/>
          <w:sz w:val="24"/>
          <w:szCs w:val="24"/>
          <w:highlight w:val="none"/>
        </w:rPr>
      </w:pPr>
    </w:p>
    <w:p w14:paraId="0B512360">
      <w:pPr>
        <w:pStyle w:val="9"/>
        <w:rPr>
          <w:rFonts w:hint="eastAsia" w:ascii="宋体" w:hAnsi="宋体" w:cs="宋体"/>
          <w:color w:val="auto"/>
          <w:kern w:val="0"/>
          <w:sz w:val="24"/>
          <w:szCs w:val="24"/>
          <w:highlight w:val="none"/>
        </w:rPr>
      </w:pPr>
    </w:p>
    <w:p w14:paraId="12406237">
      <w:pPr>
        <w:pStyle w:val="9"/>
        <w:rPr>
          <w:rFonts w:hint="eastAsia" w:ascii="宋体" w:hAnsi="宋体" w:cs="宋体"/>
          <w:color w:val="auto"/>
          <w:kern w:val="0"/>
          <w:sz w:val="24"/>
          <w:szCs w:val="24"/>
          <w:highlight w:val="none"/>
        </w:rPr>
      </w:pPr>
    </w:p>
    <w:p w14:paraId="19E21597">
      <w:pPr>
        <w:pStyle w:val="9"/>
        <w:rPr>
          <w:rFonts w:hint="eastAsia" w:ascii="宋体" w:hAnsi="宋体" w:cs="宋体"/>
          <w:color w:val="auto"/>
          <w:kern w:val="0"/>
          <w:sz w:val="24"/>
          <w:szCs w:val="24"/>
          <w:highlight w:val="none"/>
        </w:rPr>
      </w:pPr>
    </w:p>
    <w:p w14:paraId="1492D0BB">
      <w:pPr>
        <w:pStyle w:val="9"/>
        <w:rPr>
          <w:rFonts w:hint="eastAsia" w:ascii="宋体" w:hAnsi="宋体" w:cs="宋体"/>
          <w:color w:val="auto"/>
          <w:kern w:val="0"/>
          <w:sz w:val="24"/>
          <w:szCs w:val="24"/>
          <w:highlight w:val="none"/>
        </w:rPr>
      </w:pPr>
    </w:p>
    <w:p w14:paraId="66032D42">
      <w:pPr>
        <w:pStyle w:val="9"/>
        <w:rPr>
          <w:rFonts w:hint="eastAsia" w:ascii="宋体" w:hAnsi="宋体" w:cs="宋体"/>
          <w:color w:val="auto"/>
          <w:kern w:val="0"/>
          <w:sz w:val="24"/>
          <w:szCs w:val="24"/>
          <w:highlight w:val="none"/>
        </w:rPr>
      </w:pPr>
    </w:p>
    <w:p w14:paraId="77C4EB4B">
      <w:pPr>
        <w:pStyle w:val="9"/>
        <w:rPr>
          <w:rFonts w:hint="eastAsia" w:ascii="宋体" w:hAnsi="宋体" w:cs="宋体"/>
          <w:color w:val="auto"/>
          <w:kern w:val="0"/>
          <w:sz w:val="24"/>
          <w:szCs w:val="24"/>
          <w:highlight w:val="none"/>
        </w:rPr>
      </w:pPr>
    </w:p>
    <w:p w14:paraId="309E7B12">
      <w:pPr>
        <w:pStyle w:val="9"/>
        <w:rPr>
          <w:rFonts w:hint="eastAsia" w:ascii="宋体" w:hAnsi="宋体" w:cs="宋体"/>
          <w:color w:val="auto"/>
          <w:kern w:val="0"/>
          <w:sz w:val="24"/>
          <w:szCs w:val="24"/>
          <w:highlight w:val="none"/>
        </w:rPr>
      </w:pPr>
    </w:p>
    <w:p w14:paraId="3CAEF75B">
      <w:pPr>
        <w:jc w:val="right"/>
        <w:rPr>
          <w:rFonts w:hint="eastAsia" w:ascii="宋体" w:hAnsi="宋体" w:cs="宋体"/>
          <w:color w:val="auto"/>
          <w:kern w:val="0"/>
          <w:sz w:val="24"/>
          <w:highlight w:val="none"/>
        </w:rPr>
      </w:pPr>
    </w:p>
    <w:p w14:paraId="2C746A7F">
      <w:pPr>
        <w:rPr>
          <w:rFonts w:hint="eastAsia" w:ascii="宋体" w:hAnsi="宋体" w:cs="宋体"/>
          <w:color w:val="auto"/>
          <w:kern w:val="0"/>
          <w:sz w:val="24"/>
          <w:highlight w:val="none"/>
        </w:rPr>
      </w:pPr>
    </w:p>
    <w:p w14:paraId="3990966A">
      <w:pPr>
        <w:rPr>
          <w:rFonts w:hint="eastAsia" w:ascii="宋体" w:hAnsi="宋体" w:cs="宋体"/>
          <w:color w:val="auto"/>
          <w:sz w:val="28"/>
          <w:szCs w:val="28"/>
          <w:highlight w:val="none"/>
        </w:rPr>
      </w:pPr>
    </w:p>
    <w:p w14:paraId="2350F9B6">
      <w:pPr>
        <w:rPr>
          <w:rFonts w:hint="eastAsia" w:ascii="宋体" w:hAnsi="宋体" w:cs="宋体"/>
          <w:color w:val="auto"/>
          <w:sz w:val="28"/>
          <w:szCs w:val="28"/>
          <w:highlight w:val="none"/>
        </w:rPr>
      </w:pPr>
    </w:p>
    <w:p w14:paraId="388154E8">
      <w:pPr>
        <w:jc w:val="center"/>
        <w:rPr>
          <w:rFonts w:hint="eastAsia" w:ascii="宋体" w:hAnsi="宋体" w:cs="宋体"/>
          <w:color w:val="auto"/>
          <w:sz w:val="28"/>
          <w:szCs w:val="20"/>
          <w:highlight w:val="none"/>
        </w:rPr>
      </w:pPr>
    </w:p>
    <w:p w14:paraId="1E3B7B46">
      <w:pPr>
        <w:jc w:val="center"/>
        <w:rPr>
          <w:rFonts w:hint="eastAsia" w:ascii="宋体" w:hAnsi="宋体" w:cs="宋体"/>
          <w:color w:val="auto"/>
          <w:sz w:val="28"/>
          <w:szCs w:val="20"/>
          <w:highlight w:val="none"/>
        </w:rPr>
      </w:pPr>
    </w:p>
    <w:p w14:paraId="4B2DDC40">
      <w:pPr>
        <w:jc w:val="center"/>
        <w:rPr>
          <w:rFonts w:hint="eastAsia" w:ascii="宋体" w:hAnsi="宋体" w:cs="宋体"/>
          <w:color w:val="auto"/>
          <w:sz w:val="28"/>
          <w:szCs w:val="20"/>
          <w:highlight w:val="none"/>
        </w:rPr>
      </w:pPr>
    </w:p>
    <w:p w14:paraId="27F92B57">
      <w:pPr>
        <w:jc w:val="center"/>
        <w:rPr>
          <w:rFonts w:hint="eastAsia" w:ascii="宋体" w:hAnsi="宋体" w:cs="宋体"/>
          <w:color w:val="auto"/>
          <w:sz w:val="28"/>
          <w:szCs w:val="20"/>
          <w:highlight w:val="none"/>
        </w:rPr>
      </w:pPr>
    </w:p>
    <w:p w14:paraId="661F9406">
      <w:pPr>
        <w:jc w:val="center"/>
        <w:rPr>
          <w:rFonts w:hint="eastAsia" w:ascii="宋体" w:hAnsi="宋体" w:cs="宋体"/>
          <w:color w:val="auto"/>
          <w:sz w:val="28"/>
          <w:szCs w:val="20"/>
          <w:highlight w:val="none"/>
        </w:rPr>
      </w:pPr>
    </w:p>
    <w:p w14:paraId="7604FDA0">
      <w:pPr>
        <w:pStyle w:val="25"/>
        <w:rPr>
          <w:rFonts w:hint="eastAsia" w:ascii="宋体" w:hAnsi="宋体" w:cs="宋体"/>
          <w:color w:val="auto"/>
          <w:highlight w:val="none"/>
        </w:rPr>
      </w:pPr>
    </w:p>
    <w:p w14:paraId="64CF9D55">
      <w:pPr>
        <w:pStyle w:val="3"/>
        <w:keepNext w:val="0"/>
        <w:keepLines w:val="0"/>
        <w:spacing w:after="0"/>
        <w:jc w:val="center"/>
        <w:rPr>
          <w:rFonts w:hint="eastAsia" w:ascii="宋体" w:hAnsi="宋体" w:eastAsia="宋体" w:cs="宋体"/>
          <w:color w:val="auto"/>
          <w:highlight w:val="none"/>
        </w:rPr>
      </w:pPr>
      <w:r>
        <w:rPr>
          <w:rFonts w:hint="eastAsia" w:ascii="宋体" w:hAnsi="宋体" w:eastAsia="宋体" w:cs="宋体"/>
          <w:color w:val="auto"/>
          <w:sz w:val="28"/>
          <w:highlight w:val="none"/>
        </w:rPr>
        <w:br w:type="page"/>
      </w:r>
      <w:bookmarkStart w:id="799" w:name="_Toc31751"/>
      <w:r>
        <w:rPr>
          <w:rFonts w:hint="eastAsia" w:ascii="宋体" w:hAnsi="宋体" w:eastAsia="宋体" w:cs="宋体"/>
          <w:color w:val="auto"/>
          <w:highlight w:val="none"/>
          <w:lang w:val="en-US" w:eastAsia="zh-CN"/>
        </w:rPr>
        <w:t>六</w:t>
      </w:r>
      <w:r>
        <w:rPr>
          <w:rFonts w:hint="eastAsia" w:ascii="宋体" w:hAnsi="宋体" w:eastAsia="宋体" w:cs="宋体"/>
          <w:color w:val="auto"/>
          <w:highlight w:val="none"/>
        </w:rPr>
        <w:t>、</w:t>
      </w:r>
      <w:bookmarkEnd w:id="799"/>
      <w:r>
        <w:rPr>
          <w:rFonts w:hint="eastAsia" w:ascii="宋体" w:hAnsi="宋体" w:eastAsia="宋体" w:cs="宋体"/>
          <w:color w:val="auto"/>
          <w:highlight w:val="none"/>
          <w:lang w:eastAsia="zh-CN"/>
        </w:rPr>
        <w:t>服务</w:t>
      </w:r>
      <w:r>
        <w:rPr>
          <w:rFonts w:hint="eastAsia" w:ascii="宋体" w:hAnsi="宋体" w:eastAsia="宋体" w:cs="宋体"/>
          <w:color w:val="auto"/>
          <w:highlight w:val="none"/>
        </w:rPr>
        <w:t>方案</w:t>
      </w:r>
    </w:p>
    <w:p w14:paraId="35591008">
      <w:pPr>
        <w:spacing w:line="360" w:lineRule="auto"/>
        <w:ind w:firstLine="474" w:firstLineChars="226"/>
        <w:rPr>
          <w:rFonts w:hint="eastAsia" w:ascii="宋体" w:hAnsi="宋体" w:cs="宋体"/>
          <w:color w:val="auto"/>
          <w:szCs w:val="21"/>
          <w:highlight w:val="none"/>
        </w:rPr>
      </w:pPr>
      <w:r>
        <w:rPr>
          <w:rFonts w:hint="eastAsia" w:ascii="宋体" w:hAnsi="宋体" w:cs="宋体"/>
          <w:color w:val="auto"/>
          <w:szCs w:val="21"/>
          <w:highlight w:val="none"/>
        </w:rPr>
        <w:t>按</w:t>
      </w:r>
      <w:r>
        <w:rPr>
          <w:rFonts w:hint="eastAsia" w:ascii="宋体" w:hAnsi="宋体" w:cs="宋体"/>
          <w:color w:val="auto"/>
          <w:szCs w:val="21"/>
          <w:highlight w:val="none"/>
          <w:lang w:eastAsia="zh-CN"/>
        </w:rPr>
        <w:t>服务</w:t>
      </w:r>
      <w:r>
        <w:rPr>
          <w:rFonts w:hint="eastAsia" w:ascii="宋体" w:hAnsi="宋体" w:cs="宋体"/>
          <w:color w:val="auto"/>
          <w:szCs w:val="21"/>
          <w:highlight w:val="none"/>
        </w:rPr>
        <w:t>方案评分标准的要求提供相关内容。</w:t>
      </w:r>
    </w:p>
    <w:p w14:paraId="545212DD">
      <w:pPr>
        <w:rPr>
          <w:rFonts w:hint="eastAsia" w:ascii="宋体" w:hAnsi="宋体" w:cs="宋体"/>
          <w:color w:val="auto"/>
          <w:highlight w:val="none"/>
        </w:rPr>
      </w:pPr>
    </w:p>
    <w:p w14:paraId="464F37CD">
      <w:pPr>
        <w:pStyle w:val="3"/>
        <w:keepNext w:val="0"/>
        <w:keepLines w:val="0"/>
        <w:spacing w:line="400" w:lineRule="exact"/>
        <w:jc w:val="center"/>
        <w:rPr>
          <w:rFonts w:hint="eastAsia" w:ascii="宋体" w:hAnsi="宋体" w:eastAsia="宋体" w:cs="宋体"/>
          <w:color w:val="auto"/>
          <w:highlight w:val="none"/>
        </w:rPr>
      </w:pPr>
    </w:p>
    <w:p w14:paraId="4A5A7512">
      <w:pPr>
        <w:rPr>
          <w:rFonts w:hint="eastAsia" w:ascii="宋体" w:hAnsi="宋体" w:cs="宋体"/>
          <w:color w:val="auto"/>
          <w:highlight w:val="none"/>
        </w:rPr>
      </w:pPr>
    </w:p>
    <w:p w14:paraId="57E6C352">
      <w:pPr>
        <w:rPr>
          <w:rFonts w:hint="eastAsia" w:ascii="宋体" w:hAnsi="宋体" w:cs="宋体"/>
          <w:color w:val="auto"/>
          <w:highlight w:val="none"/>
        </w:rPr>
      </w:pPr>
    </w:p>
    <w:p w14:paraId="613064C9">
      <w:pPr>
        <w:rPr>
          <w:rFonts w:hint="eastAsia" w:ascii="宋体" w:hAnsi="宋体" w:cs="宋体"/>
          <w:color w:val="auto"/>
          <w:highlight w:val="none"/>
        </w:rPr>
      </w:pPr>
    </w:p>
    <w:p w14:paraId="3D3C4A22">
      <w:pPr>
        <w:rPr>
          <w:rFonts w:hint="eastAsia" w:ascii="宋体" w:hAnsi="宋体" w:cs="宋体"/>
          <w:color w:val="auto"/>
          <w:highlight w:val="none"/>
        </w:rPr>
      </w:pPr>
    </w:p>
    <w:p w14:paraId="16D85F17">
      <w:pPr>
        <w:pStyle w:val="3"/>
        <w:keepNext w:val="0"/>
        <w:keepLines w:val="0"/>
        <w:spacing w:after="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800" w:name="_Toc2358"/>
      <w:r>
        <w:rPr>
          <w:rFonts w:hint="eastAsia" w:ascii="宋体" w:hAnsi="宋体" w:eastAsia="宋体" w:cs="宋体"/>
          <w:color w:val="auto"/>
          <w:highlight w:val="none"/>
          <w:lang w:val="en-US" w:eastAsia="zh-CN"/>
        </w:rPr>
        <w:t>七</w:t>
      </w:r>
      <w:r>
        <w:rPr>
          <w:rFonts w:hint="eastAsia" w:ascii="宋体" w:hAnsi="宋体" w:eastAsia="宋体" w:cs="宋体"/>
          <w:color w:val="auto"/>
          <w:highlight w:val="none"/>
        </w:rPr>
        <w:t>、其他资料</w:t>
      </w:r>
      <w:bookmarkEnd w:id="800"/>
    </w:p>
    <w:p w14:paraId="22E8D930">
      <w:pPr>
        <w:pStyle w:val="4"/>
        <w:keepNext w:val="0"/>
        <w:keepLines w:val="0"/>
        <w:ind w:firstLine="137"/>
        <w:jc w:val="center"/>
        <w:rPr>
          <w:rFonts w:hint="eastAsia" w:ascii="宋体" w:hAnsi="宋体" w:eastAsia="宋体" w:cs="宋体"/>
          <w:color w:val="auto"/>
          <w:highlight w:val="none"/>
        </w:rPr>
      </w:pPr>
      <w:bookmarkStart w:id="801" w:name="_Toc6120"/>
      <w:r>
        <w:rPr>
          <w:rFonts w:hint="eastAsia" w:ascii="宋体" w:hAnsi="宋体" w:eastAsia="宋体" w:cs="宋体"/>
          <w:color w:val="auto"/>
          <w:highlight w:val="none"/>
        </w:rPr>
        <w:t>（一）</w:t>
      </w:r>
      <w:bookmarkEnd w:id="801"/>
      <w:r>
        <w:rPr>
          <w:rFonts w:hint="eastAsia" w:ascii="宋体" w:hAnsi="宋体" w:eastAsia="宋体" w:cs="宋体"/>
          <w:b/>
          <w:color w:val="auto"/>
          <w:szCs w:val="28"/>
          <w:highlight w:val="none"/>
        </w:rPr>
        <w:t>工程造价咨询业绩一览表</w:t>
      </w:r>
    </w:p>
    <w:tbl>
      <w:tblPr>
        <w:tblStyle w:val="19"/>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805"/>
        <w:gridCol w:w="1205"/>
        <w:gridCol w:w="1604"/>
        <w:gridCol w:w="1604"/>
        <w:gridCol w:w="1205"/>
        <w:gridCol w:w="910"/>
      </w:tblGrid>
      <w:tr w14:paraId="28F482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3" w:hRule="atLeast"/>
        </w:trPr>
        <w:tc>
          <w:tcPr>
            <w:tcW w:w="865" w:type="dxa"/>
            <w:tcBorders>
              <w:top w:val="single" w:color="auto" w:sz="6" w:space="0"/>
              <w:left w:val="single" w:color="auto" w:sz="6" w:space="0"/>
              <w:bottom w:val="single" w:color="auto" w:sz="6" w:space="0"/>
              <w:right w:val="single" w:color="auto" w:sz="6" w:space="0"/>
            </w:tcBorders>
            <w:vAlign w:val="center"/>
          </w:tcPr>
          <w:p w14:paraId="5FB38223">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序号</w:t>
            </w:r>
          </w:p>
        </w:tc>
        <w:tc>
          <w:tcPr>
            <w:tcW w:w="1805" w:type="dxa"/>
            <w:tcBorders>
              <w:top w:val="single" w:color="auto" w:sz="6" w:space="0"/>
              <w:left w:val="single" w:color="auto" w:sz="6" w:space="0"/>
              <w:bottom w:val="single" w:color="auto" w:sz="6" w:space="0"/>
              <w:right w:val="single" w:color="auto" w:sz="6" w:space="0"/>
            </w:tcBorders>
            <w:vAlign w:val="center"/>
          </w:tcPr>
          <w:p w14:paraId="105F9B98">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项目名称</w:t>
            </w:r>
          </w:p>
        </w:tc>
        <w:tc>
          <w:tcPr>
            <w:tcW w:w="1205" w:type="dxa"/>
            <w:tcBorders>
              <w:top w:val="single" w:color="auto" w:sz="6" w:space="0"/>
              <w:left w:val="single" w:color="auto" w:sz="6" w:space="0"/>
              <w:bottom w:val="single" w:color="auto" w:sz="6" w:space="0"/>
              <w:right w:val="single" w:color="auto" w:sz="6" w:space="0"/>
            </w:tcBorders>
            <w:vAlign w:val="center"/>
          </w:tcPr>
          <w:p w14:paraId="34F00A06">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委托单位</w:t>
            </w:r>
          </w:p>
        </w:tc>
        <w:tc>
          <w:tcPr>
            <w:tcW w:w="1604" w:type="dxa"/>
            <w:tcBorders>
              <w:top w:val="single" w:color="auto" w:sz="6" w:space="0"/>
              <w:left w:val="single" w:color="auto" w:sz="6" w:space="0"/>
              <w:bottom w:val="single" w:color="auto" w:sz="6" w:space="0"/>
              <w:right w:val="single" w:color="auto" w:sz="6" w:space="0"/>
            </w:tcBorders>
            <w:vAlign w:val="center"/>
          </w:tcPr>
          <w:p w14:paraId="30C997A3">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委托单位联系人电话</w:t>
            </w:r>
          </w:p>
        </w:tc>
        <w:tc>
          <w:tcPr>
            <w:tcW w:w="1604" w:type="dxa"/>
            <w:tcBorders>
              <w:top w:val="single" w:color="auto" w:sz="6" w:space="0"/>
              <w:left w:val="single" w:color="auto" w:sz="6" w:space="0"/>
              <w:bottom w:val="single" w:color="auto" w:sz="6" w:space="0"/>
              <w:right w:val="single" w:color="auto" w:sz="6" w:space="0"/>
            </w:tcBorders>
            <w:vAlign w:val="center"/>
          </w:tcPr>
          <w:p w14:paraId="7E7FD069">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工程造价</w:t>
            </w:r>
          </w:p>
        </w:tc>
        <w:tc>
          <w:tcPr>
            <w:tcW w:w="1205" w:type="dxa"/>
            <w:tcBorders>
              <w:top w:val="single" w:color="auto" w:sz="6" w:space="0"/>
              <w:left w:val="single" w:color="auto" w:sz="6" w:space="0"/>
              <w:bottom w:val="single" w:color="auto" w:sz="6" w:space="0"/>
              <w:right w:val="single" w:color="auto" w:sz="6" w:space="0"/>
            </w:tcBorders>
            <w:vAlign w:val="center"/>
          </w:tcPr>
          <w:p w14:paraId="6DBF5B1F">
            <w:pPr>
              <w:jc w:val="center"/>
              <w:rPr>
                <w:rFonts w:hint="eastAsia" w:ascii="宋体" w:hAnsi="宋体" w:cs="宋体"/>
                <w:bCs/>
                <w:color w:val="auto"/>
                <w:sz w:val="24"/>
                <w:szCs w:val="24"/>
                <w:highlight w:val="none"/>
              </w:rPr>
            </w:pPr>
            <w:r>
              <w:rPr>
                <w:rFonts w:hint="eastAsia" w:ascii="宋体" w:hAnsi="宋体" w:cs="宋体"/>
                <w:color w:val="auto"/>
                <w:sz w:val="24"/>
                <w:szCs w:val="24"/>
                <w:highlight w:val="none"/>
              </w:rPr>
              <w:t>造价服务类型</w:t>
            </w:r>
          </w:p>
        </w:tc>
        <w:tc>
          <w:tcPr>
            <w:tcW w:w="910" w:type="dxa"/>
            <w:tcBorders>
              <w:top w:val="single" w:color="auto" w:sz="6" w:space="0"/>
              <w:left w:val="single" w:color="auto" w:sz="6" w:space="0"/>
              <w:bottom w:val="single" w:color="auto" w:sz="6" w:space="0"/>
              <w:right w:val="single" w:color="auto" w:sz="6" w:space="0"/>
            </w:tcBorders>
            <w:vAlign w:val="center"/>
          </w:tcPr>
          <w:p w14:paraId="3CEE4741">
            <w:pPr>
              <w:jc w:val="center"/>
              <w:rPr>
                <w:rFonts w:hint="eastAsia" w:ascii="宋体" w:hAnsi="宋体" w:cs="宋体"/>
                <w:bCs/>
                <w:color w:val="auto"/>
                <w:sz w:val="24"/>
                <w:szCs w:val="24"/>
                <w:highlight w:val="none"/>
              </w:rPr>
            </w:pPr>
            <w:r>
              <w:rPr>
                <w:rFonts w:hint="eastAsia" w:ascii="宋体" w:hAnsi="宋体" w:cs="宋体"/>
                <w:bCs/>
                <w:color w:val="auto"/>
                <w:sz w:val="24"/>
                <w:szCs w:val="24"/>
                <w:highlight w:val="none"/>
              </w:rPr>
              <w:t>备注</w:t>
            </w:r>
          </w:p>
        </w:tc>
      </w:tr>
      <w:tr w14:paraId="03D131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2" w:hRule="atLeast"/>
        </w:trPr>
        <w:tc>
          <w:tcPr>
            <w:tcW w:w="865" w:type="dxa"/>
            <w:tcBorders>
              <w:top w:val="single" w:color="auto" w:sz="6" w:space="0"/>
              <w:left w:val="single" w:color="auto" w:sz="6" w:space="0"/>
              <w:bottom w:val="single" w:color="auto" w:sz="6" w:space="0"/>
              <w:right w:val="single" w:color="auto" w:sz="6" w:space="0"/>
            </w:tcBorders>
          </w:tcPr>
          <w:p w14:paraId="1049E04F">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1805" w:type="dxa"/>
            <w:tcBorders>
              <w:top w:val="single" w:color="auto" w:sz="6" w:space="0"/>
              <w:left w:val="single" w:color="auto" w:sz="6" w:space="0"/>
              <w:bottom w:val="single" w:color="auto" w:sz="6" w:space="0"/>
              <w:right w:val="single" w:color="auto" w:sz="6" w:space="0"/>
            </w:tcBorders>
          </w:tcPr>
          <w:p w14:paraId="5247F3C5">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35E8580B">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1824B089">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5A6CCF46">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369153AA">
            <w:pPr>
              <w:rPr>
                <w:rFonts w:hint="eastAsia" w:ascii="宋体" w:hAnsi="宋体" w:cs="宋体"/>
                <w:color w:val="auto"/>
                <w:sz w:val="24"/>
                <w:szCs w:val="24"/>
                <w:highlight w:val="none"/>
              </w:rPr>
            </w:pPr>
          </w:p>
        </w:tc>
        <w:tc>
          <w:tcPr>
            <w:tcW w:w="910" w:type="dxa"/>
            <w:tcBorders>
              <w:top w:val="single" w:color="auto" w:sz="6" w:space="0"/>
              <w:left w:val="single" w:color="auto" w:sz="6" w:space="0"/>
              <w:bottom w:val="single" w:color="auto" w:sz="6" w:space="0"/>
              <w:right w:val="single" w:color="auto" w:sz="6" w:space="0"/>
            </w:tcBorders>
          </w:tcPr>
          <w:p w14:paraId="4835881B">
            <w:pPr>
              <w:rPr>
                <w:rFonts w:hint="eastAsia" w:ascii="宋体" w:hAnsi="宋体" w:cs="宋体"/>
                <w:color w:val="auto"/>
                <w:sz w:val="24"/>
                <w:szCs w:val="24"/>
                <w:highlight w:val="none"/>
              </w:rPr>
            </w:pPr>
          </w:p>
        </w:tc>
      </w:tr>
      <w:tr w14:paraId="18C5D9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865" w:type="dxa"/>
            <w:tcBorders>
              <w:top w:val="single" w:color="auto" w:sz="6" w:space="0"/>
              <w:left w:val="single" w:color="auto" w:sz="6" w:space="0"/>
              <w:bottom w:val="single" w:color="auto" w:sz="6" w:space="0"/>
              <w:right w:val="single" w:color="auto" w:sz="6" w:space="0"/>
            </w:tcBorders>
          </w:tcPr>
          <w:p w14:paraId="263A48B3">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w:t>
            </w:r>
          </w:p>
        </w:tc>
        <w:tc>
          <w:tcPr>
            <w:tcW w:w="1805" w:type="dxa"/>
            <w:tcBorders>
              <w:top w:val="single" w:color="auto" w:sz="6" w:space="0"/>
              <w:left w:val="single" w:color="auto" w:sz="6" w:space="0"/>
              <w:bottom w:val="single" w:color="auto" w:sz="6" w:space="0"/>
              <w:right w:val="single" w:color="auto" w:sz="6" w:space="0"/>
            </w:tcBorders>
          </w:tcPr>
          <w:p w14:paraId="216B88FF">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448CD707">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23A6FCC4">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7ECD2944">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1FEE9499">
            <w:pPr>
              <w:rPr>
                <w:rFonts w:hint="eastAsia" w:ascii="宋体" w:hAnsi="宋体" w:cs="宋体"/>
                <w:color w:val="auto"/>
                <w:sz w:val="24"/>
                <w:szCs w:val="24"/>
                <w:highlight w:val="none"/>
              </w:rPr>
            </w:pPr>
          </w:p>
        </w:tc>
        <w:tc>
          <w:tcPr>
            <w:tcW w:w="910" w:type="dxa"/>
            <w:tcBorders>
              <w:top w:val="single" w:color="auto" w:sz="6" w:space="0"/>
              <w:left w:val="single" w:color="auto" w:sz="6" w:space="0"/>
              <w:bottom w:val="single" w:color="auto" w:sz="6" w:space="0"/>
              <w:right w:val="single" w:color="auto" w:sz="6" w:space="0"/>
            </w:tcBorders>
          </w:tcPr>
          <w:p w14:paraId="16288E68">
            <w:pPr>
              <w:rPr>
                <w:rFonts w:hint="eastAsia" w:ascii="宋体" w:hAnsi="宋体" w:cs="宋体"/>
                <w:color w:val="auto"/>
                <w:sz w:val="24"/>
                <w:szCs w:val="24"/>
                <w:highlight w:val="none"/>
              </w:rPr>
            </w:pPr>
          </w:p>
        </w:tc>
      </w:tr>
      <w:tr w14:paraId="0D2401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865" w:type="dxa"/>
            <w:tcBorders>
              <w:top w:val="single" w:color="auto" w:sz="6" w:space="0"/>
              <w:left w:val="single" w:color="auto" w:sz="6" w:space="0"/>
              <w:bottom w:val="single" w:color="auto" w:sz="6" w:space="0"/>
              <w:right w:val="single" w:color="auto" w:sz="6" w:space="0"/>
            </w:tcBorders>
          </w:tcPr>
          <w:p w14:paraId="2BE48D42">
            <w:pPr>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3</w:t>
            </w:r>
          </w:p>
        </w:tc>
        <w:tc>
          <w:tcPr>
            <w:tcW w:w="1805" w:type="dxa"/>
            <w:tcBorders>
              <w:top w:val="single" w:color="auto" w:sz="6" w:space="0"/>
              <w:left w:val="single" w:color="auto" w:sz="6" w:space="0"/>
              <w:bottom w:val="single" w:color="auto" w:sz="6" w:space="0"/>
              <w:right w:val="single" w:color="auto" w:sz="6" w:space="0"/>
            </w:tcBorders>
          </w:tcPr>
          <w:p w14:paraId="66F67903">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10AF0105">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5C081A28">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54690F4E">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507B1FE2">
            <w:pPr>
              <w:rPr>
                <w:rFonts w:hint="eastAsia" w:ascii="宋体" w:hAnsi="宋体" w:cs="宋体"/>
                <w:color w:val="auto"/>
                <w:sz w:val="24"/>
                <w:szCs w:val="24"/>
                <w:highlight w:val="none"/>
              </w:rPr>
            </w:pPr>
          </w:p>
        </w:tc>
        <w:tc>
          <w:tcPr>
            <w:tcW w:w="910" w:type="dxa"/>
            <w:tcBorders>
              <w:top w:val="single" w:color="auto" w:sz="6" w:space="0"/>
              <w:left w:val="single" w:color="auto" w:sz="6" w:space="0"/>
              <w:bottom w:val="single" w:color="auto" w:sz="6" w:space="0"/>
              <w:right w:val="single" w:color="auto" w:sz="6" w:space="0"/>
            </w:tcBorders>
          </w:tcPr>
          <w:p w14:paraId="24114472">
            <w:pPr>
              <w:rPr>
                <w:rFonts w:hint="eastAsia" w:ascii="宋体" w:hAnsi="宋体" w:cs="宋体"/>
                <w:color w:val="auto"/>
                <w:sz w:val="24"/>
                <w:szCs w:val="24"/>
                <w:highlight w:val="none"/>
              </w:rPr>
            </w:pPr>
          </w:p>
        </w:tc>
      </w:tr>
      <w:tr w14:paraId="60064F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865" w:type="dxa"/>
            <w:tcBorders>
              <w:top w:val="single" w:color="auto" w:sz="6" w:space="0"/>
              <w:left w:val="single" w:color="auto" w:sz="6" w:space="0"/>
              <w:bottom w:val="single" w:color="auto" w:sz="6" w:space="0"/>
              <w:right w:val="single" w:color="auto" w:sz="6" w:space="0"/>
            </w:tcBorders>
          </w:tcPr>
          <w:p w14:paraId="4E5992E3">
            <w:pPr>
              <w:rPr>
                <w:rFonts w:hint="eastAsia" w:ascii="宋体" w:hAnsi="宋体" w:cs="宋体"/>
                <w:color w:val="auto"/>
                <w:sz w:val="24"/>
                <w:szCs w:val="24"/>
                <w:highlight w:val="none"/>
              </w:rPr>
            </w:pPr>
            <w:r>
              <w:rPr>
                <w:rFonts w:hint="eastAsia" w:ascii="宋体" w:hAnsi="宋体" w:cs="宋体"/>
                <w:color w:val="auto"/>
                <w:sz w:val="24"/>
                <w:szCs w:val="24"/>
                <w:highlight w:val="none"/>
              </w:rPr>
              <w:t>…</w:t>
            </w:r>
          </w:p>
        </w:tc>
        <w:tc>
          <w:tcPr>
            <w:tcW w:w="1805" w:type="dxa"/>
            <w:tcBorders>
              <w:top w:val="single" w:color="auto" w:sz="6" w:space="0"/>
              <w:left w:val="single" w:color="auto" w:sz="6" w:space="0"/>
              <w:bottom w:val="single" w:color="auto" w:sz="6" w:space="0"/>
              <w:right w:val="single" w:color="auto" w:sz="6" w:space="0"/>
            </w:tcBorders>
          </w:tcPr>
          <w:p w14:paraId="6F50505C">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1C8CF589">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39ED2A48">
            <w:pPr>
              <w:rPr>
                <w:rFonts w:hint="eastAsia" w:ascii="宋体" w:hAnsi="宋体" w:cs="宋体"/>
                <w:color w:val="auto"/>
                <w:sz w:val="24"/>
                <w:szCs w:val="24"/>
                <w:highlight w:val="none"/>
              </w:rPr>
            </w:pPr>
          </w:p>
        </w:tc>
        <w:tc>
          <w:tcPr>
            <w:tcW w:w="1604" w:type="dxa"/>
            <w:tcBorders>
              <w:top w:val="single" w:color="auto" w:sz="6" w:space="0"/>
              <w:left w:val="single" w:color="auto" w:sz="6" w:space="0"/>
              <w:bottom w:val="single" w:color="auto" w:sz="6" w:space="0"/>
              <w:right w:val="single" w:color="auto" w:sz="6" w:space="0"/>
            </w:tcBorders>
          </w:tcPr>
          <w:p w14:paraId="70675A23">
            <w:pPr>
              <w:rPr>
                <w:rFonts w:hint="eastAsia" w:ascii="宋体" w:hAnsi="宋体" w:cs="宋体"/>
                <w:color w:val="auto"/>
                <w:sz w:val="24"/>
                <w:szCs w:val="24"/>
                <w:highlight w:val="none"/>
              </w:rPr>
            </w:pPr>
          </w:p>
        </w:tc>
        <w:tc>
          <w:tcPr>
            <w:tcW w:w="1205" w:type="dxa"/>
            <w:tcBorders>
              <w:top w:val="single" w:color="auto" w:sz="6" w:space="0"/>
              <w:left w:val="single" w:color="auto" w:sz="6" w:space="0"/>
              <w:bottom w:val="single" w:color="auto" w:sz="6" w:space="0"/>
              <w:right w:val="single" w:color="auto" w:sz="6" w:space="0"/>
            </w:tcBorders>
          </w:tcPr>
          <w:p w14:paraId="5D3B7FA4">
            <w:pPr>
              <w:rPr>
                <w:rFonts w:hint="eastAsia" w:ascii="宋体" w:hAnsi="宋体" w:cs="宋体"/>
                <w:color w:val="auto"/>
                <w:sz w:val="24"/>
                <w:szCs w:val="24"/>
                <w:highlight w:val="none"/>
              </w:rPr>
            </w:pPr>
          </w:p>
        </w:tc>
        <w:tc>
          <w:tcPr>
            <w:tcW w:w="910" w:type="dxa"/>
            <w:tcBorders>
              <w:top w:val="single" w:color="auto" w:sz="6" w:space="0"/>
              <w:left w:val="single" w:color="auto" w:sz="6" w:space="0"/>
              <w:bottom w:val="single" w:color="auto" w:sz="6" w:space="0"/>
              <w:right w:val="single" w:color="auto" w:sz="6" w:space="0"/>
            </w:tcBorders>
          </w:tcPr>
          <w:p w14:paraId="7000963F">
            <w:pPr>
              <w:rPr>
                <w:rFonts w:hint="eastAsia" w:ascii="宋体" w:hAnsi="宋体" w:cs="宋体"/>
                <w:color w:val="auto"/>
                <w:sz w:val="24"/>
                <w:szCs w:val="24"/>
                <w:highlight w:val="none"/>
              </w:rPr>
            </w:pPr>
          </w:p>
        </w:tc>
      </w:tr>
    </w:tbl>
    <w:p w14:paraId="07EA2325">
      <w:pPr>
        <w:tabs>
          <w:tab w:val="left" w:pos="1050"/>
          <w:tab w:val="left" w:pos="1838"/>
        </w:tabs>
        <w:rPr>
          <w:rFonts w:hint="eastAsia" w:ascii="宋体" w:hAnsi="宋体" w:cs="宋体"/>
          <w:color w:val="auto"/>
          <w:sz w:val="24"/>
          <w:szCs w:val="24"/>
          <w:highlight w:val="none"/>
        </w:rPr>
      </w:pPr>
    </w:p>
    <w:p w14:paraId="28A2CC2E">
      <w:pPr>
        <w:rPr>
          <w:rFonts w:hint="eastAsia" w:ascii="宋体" w:hAnsi="宋体" w:cs="宋体"/>
          <w:color w:val="auto"/>
          <w:sz w:val="24"/>
          <w:szCs w:val="24"/>
          <w:highlight w:val="none"/>
        </w:rPr>
      </w:pPr>
    </w:p>
    <w:p w14:paraId="037E8292">
      <w:pPr>
        <w:rPr>
          <w:rFonts w:hint="eastAsia" w:ascii="宋体" w:hAnsi="宋体" w:cs="宋体"/>
          <w:color w:val="auto"/>
          <w:sz w:val="24"/>
          <w:szCs w:val="24"/>
          <w:highlight w:val="none"/>
        </w:rPr>
      </w:pPr>
    </w:p>
    <w:p w14:paraId="7CF24EBE">
      <w:pPr>
        <w:pStyle w:val="28"/>
        <w:rPr>
          <w:rFonts w:hint="eastAsia" w:ascii="宋体" w:hAnsi="宋体" w:cs="宋体"/>
          <w:color w:val="auto"/>
          <w:sz w:val="24"/>
          <w:szCs w:val="24"/>
          <w:highlight w:val="none"/>
        </w:rPr>
      </w:pPr>
    </w:p>
    <w:p w14:paraId="51588893">
      <w:pPr>
        <w:pStyle w:val="28"/>
        <w:rPr>
          <w:rFonts w:hint="eastAsia" w:ascii="宋体" w:hAnsi="宋体" w:cs="宋体"/>
          <w:color w:val="auto"/>
          <w:sz w:val="24"/>
          <w:szCs w:val="24"/>
          <w:highlight w:val="none"/>
        </w:rPr>
      </w:pPr>
    </w:p>
    <w:p w14:paraId="21281C19">
      <w:pPr>
        <w:ind w:left="3360" w:leftChars="1600"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投  标  人（单位公章）：</w:t>
      </w:r>
    </w:p>
    <w:p w14:paraId="44048B73">
      <w:pPr>
        <w:rPr>
          <w:rFonts w:hint="eastAsia" w:ascii="宋体" w:hAnsi="宋体" w:cs="宋体"/>
          <w:color w:val="auto"/>
          <w:sz w:val="24"/>
          <w:szCs w:val="24"/>
          <w:highlight w:val="none"/>
        </w:rPr>
      </w:pPr>
    </w:p>
    <w:p w14:paraId="5C2C388D">
      <w:pPr>
        <w:ind w:left="3360" w:leftChars="1600" w:firstLine="960" w:firstLineChars="400"/>
        <w:rPr>
          <w:rFonts w:hint="eastAsia" w:ascii="宋体" w:hAnsi="宋体" w:cs="宋体"/>
          <w:color w:val="auto"/>
          <w:sz w:val="24"/>
          <w:szCs w:val="24"/>
          <w:highlight w:val="none"/>
        </w:rPr>
      </w:pPr>
    </w:p>
    <w:p w14:paraId="1778752F">
      <w:pPr>
        <w:ind w:left="3360" w:leftChars="1600" w:firstLine="960" w:firstLineChars="4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法定代表人（或委托代理人）签字或盖章：</w:t>
      </w:r>
    </w:p>
    <w:p w14:paraId="57CB932C">
      <w:pPr>
        <w:ind w:left="3360" w:leftChars="1600" w:firstLine="960" w:firstLineChars="400"/>
        <w:rPr>
          <w:rFonts w:hint="eastAsia" w:ascii="宋体" w:hAnsi="宋体" w:cs="宋体"/>
          <w:color w:val="auto"/>
          <w:sz w:val="24"/>
          <w:szCs w:val="24"/>
          <w:highlight w:val="none"/>
        </w:rPr>
      </w:pPr>
    </w:p>
    <w:p w14:paraId="18390C4D">
      <w:pPr>
        <w:ind w:left="3360" w:leftChars="1600" w:firstLine="960" w:firstLineChars="400"/>
        <w:rPr>
          <w:rFonts w:hint="eastAsia" w:ascii="宋体" w:hAnsi="宋体" w:cs="宋体"/>
          <w:color w:val="auto"/>
          <w:sz w:val="24"/>
          <w:szCs w:val="24"/>
          <w:highlight w:val="none"/>
        </w:rPr>
      </w:pPr>
    </w:p>
    <w:p w14:paraId="32ED7FD7">
      <w:pPr>
        <w:spacing w:line="440" w:lineRule="exact"/>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日    期：    年   月   日</w:t>
      </w:r>
    </w:p>
    <w:p w14:paraId="42BBFCB4">
      <w:pPr>
        <w:spacing w:line="440" w:lineRule="exact"/>
        <w:rPr>
          <w:rFonts w:hint="eastAsia" w:ascii="宋体" w:hAnsi="宋体" w:cs="宋体"/>
          <w:color w:val="auto"/>
          <w:highlight w:val="none"/>
        </w:rPr>
      </w:pPr>
    </w:p>
    <w:p w14:paraId="4BDC4405">
      <w:pPr>
        <w:pStyle w:val="4"/>
        <w:keepNext w:val="0"/>
        <w:keepLines w:val="0"/>
        <w:ind w:firstLine="137"/>
        <w:jc w:val="center"/>
        <w:rPr>
          <w:rFonts w:hint="eastAsia" w:ascii="宋体" w:hAnsi="宋体" w:eastAsia="宋体" w:cs="宋体"/>
          <w:color w:val="auto"/>
          <w:highlight w:val="none"/>
        </w:rPr>
      </w:pPr>
      <w:bookmarkStart w:id="802" w:name="_Toc27144"/>
    </w:p>
    <w:p w14:paraId="26C5CB4D">
      <w:pPr>
        <w:rPr>
          <w:rFonts w:hint="eastAsia" w:ascii="宋体" w:hAnsi="宋体" w:cs="宋体"/>
          <w:color w:val="auto"/>
          <w:highlight w:val="none"/>
        </w:rPr>
      </w:pPr>
      <w:r>
        <w:rPr>
          <w:rFonts w:hint="eastAsia" w:ascii="宋体" w:hAnsi="宋体" w:cs="宋体"/>
          <w:color w:val="auto"/>
          <w:highlight w:val="none"/>
        </w:rPr>
        <w:br w:type="page"/>
      </w:r>
    </w:p>
    <w:p w14:paraId="58E5464C">
      <w:pPr>
        <w:pStyle w:val="4"/>
        <w:keepNext w:val="0"/>
        <w:keepLines w:val="0"/>
        <w:ind w:firstLine="137"/>
        <w:jc w:val="center"/>
        <w:rPr>
          <w:rFonts w:hint="eastAsia" w:ascii="宋体" w:hAnsi="宋体" w:eastAsia="宋体" w:cs="宋体"/>
          <w:color w:val="auto"/>
          <w:highlight w:val="none"/>
        </w:rPr>
      </w:pPr>
      <w:r>
        <w:rPr>
          <w:rFonts w:hint="eastAsia" w:ascii="宋体" w:hAnsi="宋体" w:eastAsia="宋体" w:cs="宋体"/>
          <w:color w:val="auto"/>
          <w:highlight w:val="none"/>
        </w:rPr>
        <w:t>（二）</w:t>
      </w:r>
      <w:bookmarkEnd w:id="802"/>
      <w:bookmarkStart w:id="803" w:name="_Toc19176"/>
      <w:bookmarkStart w:id="804" w:name="_Toc413933304"/>
      <w:bookmarkStart w:id="805" w:name="_Toc23432946"/>
      <w:bookmarkStart w:id="806" w:name="_Toc413933197"/>
      <w:bookmarkStart w:id="807" w:name="_Toc359572283"/>
      <w:bookmarkStart w:id="808" w:name="_Toc532744178"/>
      <w:r>
        <w:rPr>
          <w:rFonts w:hint="eastAsia" w:ascii="宋体" w:hAnsi="宋体" w:eastAsia="宋体" w:cs="宋体"/>
          <w:color w:val="auto"/>
          <w:highlight w:val="none"/>
        </w:rPr>
        <w:t>拟投入本项目造价人员一览表</w:t>
      </w:r>
      <w:bookmarkEnd w:id="803"/>
      <w:bookmarkEnd w:id="804"/>
      <w:bookmarkEnd w:id="805"/>
      <w:bookmarkEnd w:id="806"/>
      <w:bookmarkEnd w:id="807"/>
      <w:bookmarkEnd w:id="808"/>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
        <w:gridCol w:w="1372"/>
        <w:gridCol w:w="834"/>
        <w:gridCol w:w="832"/>
        <w:gridCol w:w="833"/>
        <w:gridCol w:w="1467"/>
        <w:gridCol w:w="1233"/>
        <w:gridCol w:w="875"/>
        <w:gridCol w:w="1195"/>
      </w:tblGrid>
      <w:tr w14:paraId="52787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746" w:type="dxa"/>
            <w:vAlign w:val="center"/>
          </w:tcPr>
          <w:p w14:paraId="21716719">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序号</w:t>
            </w:r>
          </w:p>
        </w:tc>
        <w:tc>
          <w:tcPr>
            <w:tcW w:w="1372" w:type="dxa"/>
            <w:vAlign w:val="center"/>
          </w:tcPr>
          <w:p w14:paraId="392A1FB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姓名</w:t>
            </w:r>
          </w:p>
        </w:tc>
        <w:tc>
          <w:tcPr>
            <w:tcW w:w="834" w:type="dxa"/>
            <w:vAlign w:val="center"/>
          </w:tcPr>
          <w:p w14:paraId="45B320E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性别</w:t>
            </w:r>
          </w:p>
        </w:tc>
        <w:tc>
          <w:tcPr>
            <w:tcW w:w="832" w:type="dxa"/>
            <w:vAlign w:val="center"/>
          </w:tcPr>
          <w:p w14:paraId="0EDAD6A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出生年月</w:t>
            </w:r>
          </w:p>
        </w:tc>
        <w:tc>
          <w:tcPr>
            <w:tcW w:w="833" w:type="dxa"/>
            <w:vAlign w:val="center"/>
          </w:tcPr>
          <w:p w14:paraId="7EBB78B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学历</w:t>
            </w:r>
          </w:p>
        </w:tc>
        <w:tc>
          <w:tcPr>
            <w:tcW w:w="1467" w:type="dxa"/>
            <w:vAlign w:val="center"/>
          </w:tcPr>
          <w:p w14:paraId="646D2697">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职称/资质</w:t>
            </w:r>
          </w:p>
        </w:tc>
        <w:tc>
          <w:tcPr>
            <w:tcW w:w="1233" w:type="dxa"/>
            <w:vAlign w:val="center"/>
          </w:tcPr>
          <w:p w14:paraId="03DC0795">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专业</w:t>
            </w:r>
          </w:p>
        </w:tc>
        <w:tc>
          <w:tcPr>
            <w:tcW w:w="875" w:type="dxa"/>
            <w:vAlign w:val="center"/>
          </w:tcPr>
          <w:p w14:paraId="709AE0C4">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经验</w:t>
            </w:r>
          </w:p>
          <w:p w14:paraId="4FED070E">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年限</w:t>
            </w:r>
          </w:p>
        </w:tc>
        <w:tc>
          <w:tcPr>
            <w:tcW w:w="1195" w:type="dxa"/>
            <w:vAlign w:val="center"/>
          </w:tcPr>
          <w:p w14:paraId="338E0713">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本项目担任职务</w:t>
            </w:r>
          </w:p>
        </w:tc>
      </w:tr>
      <w:tr w14:paraId="109D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46" w:type="dxa"/>
            <w:vAlign w:val="center"/>
          </w:tcPr>
          <w:p w14:paraId="157316A0">
            <w:pPr>
              <w:jc w:val="center"/>
              <w:rPr>
                <w:rFonts w:hint="eastAsia" w:ascii="宋体" w:hAnsi="宋体" w:cs="宋体"/>
                <w:color w:val="auto"/>
                <w:sz w:val="24"/>
                <w:highlight w:val="none"/>
              </w:rPr>
            </w:pPr>
            <w:r>
              <w:rPr>
                <w:rFonts w:hint="eastAsia" w:ascii="宋体" w:hAnsi="宋体" w:cs="宋体"/>
                <w:color w:val="auto"/>
                <w:sz w:val="24"/>
                <w:highlight w:val="none"/>
              </w:rPr>
              <w:t>1</w:t>
            </w:r>
          </w:p>
        </w:tc>
        <w:tc>
          <w:tcPr>
            <w:tcW w:w="1372" w:type="dxa"/>
            <w:vAlign w:val="center"/>
          </w:tcPr>
          <w:p w14:paraId="7C706D14">
            <w:pPr>
              <w:rPr>
                <w:rFonts w:hint="eastAsia" w:ascii="宋体" w:hAnsi="宋体" w:cs="宋体"/>
                <w:color w:val="auto"/>
                <w:sz w:val="24"/>
                <w:highlight w:val="none"/>
              </w:rPr>
            </w:pPr>
          </w:p>
        </w:tc>
        <w:tc>
          <w:tcPr>
            <w:tcW w:w="834" w:type="dxa"/>
            <w:vAlign w:val="center"/>
          </w:tcPr>
          <w:p w14:paraId="763AF839">
            <w:pPr>
              <w:rPr>
                <w:rFonts w:hint="eastAsia" w:ascii="宋体" w:hAnsi="宋体" w:cs="宋体"/>
                <w:color w:val="auto"/>
                <w:sz w:val="24"/>
                <w:highlight w:val="none"/>
              </w:rPr>
            </w:pPr>
          </w:p>
        </w:tc>
        <w:tc>
          <w:tcPr>
            <w:tcW w:w="832" w:type="dxa"/>
            <w:vAlign w:val="center"/>
          </w:tcPr>
          <w:p w14:paraId="087445A4">
            <w:pPr>
              <w:rPr>
                <w:rFonts w:hint="eastAsia" w:ascii="宋体" w:hAnsi="宋体" w:cs="宋体"/>
                <w:color w:val="auto"/>
                <w:sz w:val="24"/>
                <w:highlight w:val="none"/>
              </w:rPr>
            </w:pPr>
          </w:p>
        </w:tc>
        <w:tc>
          <w:tcPr>
            <w:tcW w:w="833" w:type="dxa"/>
            <w:vAlign w:val="center"/>
          </w:tcPr>
          <w:p w14:paraId="3CE961D4">
            <w:pPr>
              <w:rPr>
                <w:rFonts w:hint="eastAsia" w:ascii="宋体" w:hAnsi="宋体" w:cs="宋体"/>
                <w:color w:val="auto"/>
                <w:sz w:val="24"/>
                <w:highlight w:val="none"/>
              </w:rPr>
            </w:pPr>
          </w:p>
        </w:tc>
        <w:tc>
          <w:tcPr>
            <w:tcW w:w="1467" w:type="dxa"/>
            <w:vAlign w:val="center"/>
          </w:tcPr>
          <w:p w14:paraId="18425460">
            <w:pPr>
              <w:rPr>
                <w:rFonts w:hint="eastAsia" w:ascii="宋体" w:hAnsi="宋体" w:cs="宋体"/>
                <w:color w:val="auto"/>
                <w:sz w:val="24"/>
                <w:highlight w:val="none"/>
              </w:rPr>
            </w:pPr>
          </w:p>
        </w:tc>
        <w:tc>
          <w:tcPr>
            <w:tcW w:w="1233" w:type="dxa"/>
            <w:vAlign w:val="center"/>
          </w:tcPr>
          <w:p w14:paraId="339E0104">
            <w:pPr>
              <w:rPr>
                <w:rFonts w:hint="eastAsia" w:ascii="宋体" w:hAnsi="宋体" w:cs="宋体"/>
                <w:color w:val="auto"/>
                <w:sz w:val="24"/>
                <w:highlight w:val="none"/>
              </w:rPr>
            </w:pPr>
          </w:p>
        </w:tc>
        <w:tc>
          <w:tcPr>
            <w:tcW w:w="875" w:type="dxa"/>
            <w:vAlign w:val="center"/>
          </w:tcPr>
          <w:p w14:paraId="5AC98852">
            <w:pPr>
              <w:rPr>
                <w:rFonts w:hint="eastAsia" w:ascii="宋体" w:hAnsi="宋体" w:cs="宋体"/>
                <w:color w:val="auto"/>
                <w:sz w:val="24"/>
                <w:highlight w:val="none"/>
              </w:rPr>
            </w:pPr>
          </w:p>
        </w:tc>
        <w:tc>
          <w:tcPr>
            <w:tcW w:w="1195" w:type="dxa"/>
            <w:vAlign w:val="center"/>
          </w:tcPr>
          <w:p w14:paraId="63B89F81">
            <w:pPr>
              <w:jc w:val="center"/>
              <w:rPr>
                <w:rFonts w:hint="eastAsia" w:ascii="宋体" w:hAnsi="宋体" w:cs="宋体"/>
                <w:color w:val="auto"/>
                <w:sz w:val="24"/>
                <w:highlight w:val="none"/>
              </w:rPr>
            </w:pPr>
            <w:r>
              <w:rPr>
                <w:rFonts w:hint="eastAsia" w:ascii="宋体" w:hAnsi="宋体" w:cs="宋体"/>
                <w:color w:val="auto"/>
                <w:sz w:val="24"/>
                <w:highlight w:val="none"/>
              </w:rPr>
              <w:t>项目负责人</w:t>
            </w:r>
          </w:p>
        </w:tc>
      </w:tr>
      <w:tr w14:paraId="3FF65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46" w:type="dxa"/>
            <w:vAlign w:val="center"/>
          </w:tcPr>
          <w:p w14:paraId="17C2895D">
            <w:pPr>
              <w:jc w:val="center"/>
              <w:rPr>
                <w:rFonts w:hint="eastAsia" w:ascii="宋体" w:hAnsi="宋体" w:cs="宋体"/>
                <w:color w:val="auto"/>
                <w:sz w:val="24"/>
                <w:highlight w:val="none"/>
              </w:rPr>
            </w:pPr>
            <w:r>
              <w:rPr>
                <w:rFonts w:hint="eastAsia" w:ascii="宋体" w:hAnsi="宋体" w:cs="宋体"/>
                <w:color w:val="auto"/>
                <w:sz w:val="24"/>
                <w:highlight w:val="none"/>
              </w:rPr>
              <w:t>2</w:t>
            </w:r>
          </w:p>
        </w:tc>
        <w:tc>
          <w:tcPr>
            <w:tcW w:w="1372" w:type="dxa"/>
            <w:vAlign w:val="center"/>
          </w:tcPr>
          <w:p w14:paraId="276AD7E2">
            <w:pPr>
              <w:rPr>
                <w:rFonts w:hint="eastAsia" w:ascii="宋体" w:hAnsi="宋体" w:cs="宋体"/>
                <w:color w:val="auto"/>
                <w:sz w:val="24"/>
                <w:highlight w:val="none"/>
              </w:rPr>
            </w:pPr>
          </w:p>
        </w:tc>
        <w:tc>
          <w:tcPr>
            <w:tcW w:w="834" w:type="dxa"/>
            <w:vAlign w:val="center"/>
          </w:tcPr>
          <w:p w14:paraId="2A7DED89">
            <w:pPr>
              <w:rPr>
                <w:rFonts w:hint="eastAsia" w:ascii="宋体" w:hAnsi="宋体" w:cs="宋体"/>
                <w:color w:val="auto"/>
                <w:sz w:val="24"/>
                <w:highlight w:val="none"/>
              </w:rPr>
            </w:pPr>
          </w:p>
        </w:tc>
        <w:tc>
          <w:tcPr>
            <w:tcW w:w="832" w:type="dxa"/>
            <w:vAlign w:val="center"/>
          </w:tcPr>
          <w:p w14:paraId="568B0E6B">
            <w:pPr>
              <w:rPr>
                <w:rFonts w:hint="eastAsia" w:ascii="宋体" w:hAnsi="宋体" w:cs="宋体"/>
                <w:color w:val="auto"/>
                <w:sz w:val="24"/>
                <w:highlight w:val="none"/>
              </w:rPr>
            </w:pPr>
          </w:p>
        </w:tc>
        <w:tc>
          <w:tcPr>
            <w:tcW w:w="833" w:type="dxa"/>
            <w:vAlign w:val="center"/>
          </w:tcPr>
          <w:p w14:paraId="16CF1DB7">
            <w:pPr>
              <w:rPr>
                <w:rFonts w:hint="eastAsia" w:ascii="宋体" w:hAnsi="宋体" w:cs="宋体"/>
                <w:color w:val="auto"/>
                <w:sz w:val="24"/>
                <w:highlight w:val="none"/>
              </w:rPr>
            </w:pPr>
          </w:p>
        </w:tc>
        <w:tc>
          <w:tcPr>
            <w:tcW w:w="1467" w:type="dxa"/>
            <w:vAlign w:val="center"/>
          </w:tcPr>
          <w:p w14:paraId="1D39A382">
            <w:pPr>
              <w:rPr>
                <w:rFonts w:hint="eastAsia" w:ascii="宋体" w:hAnsi="宋体" w:cs="宋体"/>
                <w:color w:val="auto"/>
                <w:sz w:val="24"/>
                <w:highlight w:val="none"/>
              </w:rPr>
            </w:pPr>
          </w:p>
        </w:tc>
        <w:tc>
          <w:tcPr>
            <w:tcW w:w="1233" w:type="dxa"/>
            <w:vAlign w:val="center"/>
          </w:tcPr>
          <w:p w14:paraId="41BF8D80">
            <w:pPr>
              <w:rPr>
                <w:rFonts w:hint="eastAsia" w:ascii="宋体" w:hAnsi="宋体" w:cs="宋体"/>
                <w:color w:val="auto"/>
                <w:sz w:val="24"/>
                <w:highlight w:val="none"/>
              </w:rPr>
            </w:pPr>
          </w:p>
        </w:tc>
        <w:tc>
          <w:tcPr>
            <w:tcW w:w="875" w:type="dxa"/>
            <w:vAlign w:val="center"/>
          </w:tcPr>
          <w:p w14:paraId="52514015">
            <w:pPr>
              <w:rPr>
                <w:rFonts w:hint="eastAsia" w:ascii="宋体" w:hAnsi="宋体" w:cs="宋体"/>
                <w:color w:val="auto"/>
                <w:sz w:val="24"/>
                <w:highlight w:val="none"/>
              </w:rPr>
            </w:pPr>
          </w:p>
        </w:tc>
        <w:tc>
          <w:tcPr>
            <w:tcW w:w="1195" w:type="dxa"/>
            <w:vAlign w:val="center"/>
          </w:tcPr>
          <w:p w14:paraId="43F8868D">
            <w:pPr>
              <w:jc w:val="center"/>
              <w:rPr>
                <w:rFonts w:hint="eastAsia" w:ascii="宋体" w:hAnsi="宋体" w:cs="宋体"/>
                <w:color w:val="auto"/>
                <w:sz w:val="24"/>
                <w:highlight w:val="none"/>
              </w:rPr>
            </w:pPr>
            <w:r>
              <w:rPr>
                <w:rFonts w:hint="eastAsia" w:ascii="宋体" w:hAnsi="宋体" w:cs="宋体"/>
                <w:color w:val="auto"/>
                <w:sz w:val="24"/>
                <w:highlight w:val="none"/>
              </w:rPr>
              <w:t>……</w:t>
            </w:r>
          </w:p>
        </w:tc>
      </w:tr>
      <w:tr w14:paraId="2A063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jc w:val="center"/>
        </w:trPr>
        <w:tc>
          <w:tcPr>
            <w:tcW w:w="746" w:type="dxa"/>
            <w:vAlign w:val="center"/>
          </w:tcPr>
          <w:p w14:paraId="378D6DC5">
            <w:pPr>
              <w:jc w:val="center"/>
              <w:rPr>
                <w:rFonts w:hint="eastAsia" w:ascii="宋体" w:hAnsi="宋体" w:cs="宋体"/>
                <w:color w:val="auto"/>
                <w:sz w:val="24"/>
                <w:highlight w:val="none"/>
              </w:rPr>
            </w:pPr>
            <w:r>
              <w:rPr>
                <w:rFonts w:hint="eastAsia" w:ascii="宋体" w:hAnsi="宋体" w:cs="宋体"/>
                <w:color w:val="auto"/>
                <w:sz w:val="24"/>
                <w:highlight w:val="none"/>
              </w:rPr>
              <w:t>3</w:t>
            </w:r>
          </w:p>
        </w:tc>
        <w:tc>
          <w:tcPr>
            <w:tcW w:w="1372" w:type="dxa"/>
            <w:vAlign w:val="center"/>
          </w:tcPr>
          <w:p w14:paraId="6C442FC9">
            <w:pPr>
              <w:rPr>
                <w:rFonts w:hint="eastAsia" w:ascii="宋体" w:hAnsi="宋体" w:cs="宋体"/>
                <w:color w:val="auto"/>
                <w:sz w:val="24"/>
                <w:highlight w:val="none"/>
              </w:rPr>
            </w:pPr>
          </w:p>
        </w:tc>
        <w:tc>
          <w:tcPr>
            <w:tcW w:w="834" w:type="dxa"/>
            <w:vAlign w:val="center"/>
          </w:tcPr>
          <w:p w14:paraId="60585B0C">
            <w:pPr>
              <w:rPr>
                <w:rFonts w:hint="eastAsia" w:ascii="宋体" w:hAnsi="宋体" w:cs="宋体"/>
                <w:color w:val="auto"/>
                <w:sz w:val="24"/>
                <w:highlight w:val="none"/>
              </w:rPr>
            </w:pPr>
          </w:p>
        </w:tc>
        <w:tc>
          <w:tcPr>
            <w:tcW w:w="832" w:type="dxa"/>
            <w:vAlign w:val="center"/>
          </w:tcPr>
          <w:p w14:paraId="690AF88D">
            <w:pPr>
              <w:rPr>
                <w:rFonts w:hint="eastAsia" w:ascii="宋体" w:hAnsi="宋体" w:cs="宋体"/>
                <w:color w:val="auto"/>
                <w:sz w:val="24"/>
                <w:highlight w:val="none"/>
              </w:rPr>
            </w:pPr>
          </w:p>
        </w:tc>
        <w:tc>
          <w:tcPr>
            <w:tcW w:w="833" w:type="dxa"/>
            <w:vAlign w:val="center"/>
          </w:tcPr>
          <w:p w14:paraId="0176F759">
            <w:pPr>
              <w:rPr>
                <w:rFonts w:hint="eastAsia" w:ascii="宋体" w:hAnsi="宋体" w:cs="宋体"/>
                <w:color w:val="auto"/>
                <w:sz w:val="24"/>
                <w:highlight w:val="none"/>
              </w:rPr>
            </w:pPr>
          </w:p>
        </w:tc>
        <w:tc>
          <w:tcPr>
            <w:tcW w:w="1467" w:type="dxa"/>
            <w:vAlign w:val="center"/>
          </w:tcPr>
          <w:p w14:paraId="57760663">
            <w:pPr>
              <w:rPr>
                <w:rFonts w:hint="eastAsia" w:ascii="宋体" w:hAnsi="宋体" w:cs="宋体"/>
                <w:color w:val="auto"/>
                <w:sz w:val="24"/>
                <w:highlight w:val="none"/>
              </w:rPr>
            </w:pPr>
          </w:p>
        </w:tc>
        <w:tc>
          <w:tcPr>
            <w:tcW w:w="1233" w:type="dxa"/>
            <w:vAlign w:val="center"/>
          </w:tcPr>
          <w:p w14:paraId="04194C86">
            <w:pPr>
              <w:rPr>
                <w:rFonts w:hint="eastAsia" w:ascii="宋体" w:hAnsi="宋体" w:cs="宋体"/>
                <w:color w:val="auto"/>
                <w:sz w:val="24"/>
                <w:highlight w:val="none"/>
              </w:rPr>
            </w:pPr>
          </w:p>
        </w:tc>
        <w:tc>
          <w:tcPr>
            <w:tcW w:w="875" w:type="dxa"/>
            <w:vAlign w:val="center"/>
          </w:tcPr>
          <w:p w14:paraId="19CA9D2E">
            <w:pPr>
              <w:rPr>
                <w:rFonts w:hint="eastAsia" w:ascii="宋体" w:hAnsi="宋体" w:cs="宋体"/>
                <w:color w:val="auto"/>
                <w:sz w:val="24"/>
                <w:highlight w:val="none"/>
              </w:rPr>
            </w:pPr>
          </w:p>
        </w:tc>
        <w:tc>
          <w:tcPr>
            <w:tcW w:w="1195" w:type="dxa"/>
            <w:vAlign w:val="center"/>
          </w:tcPr>
          <w:p w14:paraId="73D99E10">
            <w:pPr>
              <w:rPr>
                <w:rFonts w:hint="eastAsia" w:ascii="宋体" w:hAnsi="宋体" w:cs="宋体"/>
                <w:color w:val="auto"/>
                <w:sz w:val="24"/>
                <w:highlight w:val="none"/>
              </w:rPr>
            </w:pPr>
          </w:p>
        </w:tc>
      </w:tr>
      <w:tr w14:paraId="7BE63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6" w:type="dxa"/>
            <w:vAlign w:val="center"/>
          </w:tcPr>
          <w:p w14:paraId="624A7B97">
            <w:pPr>
              <w:jc w:val="center"/>
              <w:rPr>
                <w:rFonts w:hint="eastAsia" w:ascii="宋体" w:hAnsi="宋体" w:cs="宋体"/>
                <w:color w:val="auto"/>
                <w:sz w:val="24"/>
                <w:highlight w:val="none"/>
              </w:rPr>
            </w:pPr>
            <w:r>
              <w:rPr>
                <w:rFonts w:hint="eastAsia" w:ascii="宋体" w:hAnsi="宋体" w:cs="宋体"/>
                <w:color w:val="auto"/>
                <w:sz w:val="24"/>
                <w:highlight w:val="none"/>
              </w:rPr>
              <w:t>4</w:t>
            </w:r>
          </w:p>
        </w:tc>
        <w:tc>
          <w:tcPr>
            <w:tcW w:w="1372" w:type="dxa"/>
            <w:vAlign w:val="center"/>
          </w:tcPr>
          <w:p w14:paraId="2C1CCFDC">
            <w:pPr>
              <w:rPr>
                <w:rFonts w:hint="eastAsia" w:ascii="宋体" w:hAnsi="宋体" w:cs="宋体"/>
                <w:color w:val="auto"/>
                <w:sz w:val="24"/>
                <w:highlight w:val="none"/>
              </w:rPr>
            </w:pPr>
          </w:p>
        </w:tc>
        <w:tc>
          <w:tcPr>
            <w:tcW w:w="834" w:type="dxa"/>
            <w:vAlign w:val="center"/>
          </w:tcPr>
          <w:p w14:paraId="508D25C3">
            <w:pPr>
              <w:rPr>
                <w:rFonts w:hint="eastAsia" w:ascii="宋体" w:hAnsi="宋体" w:cs="宋体"/>
                <w:color w:val="auto"/>
                <w:sz w:val="24"/>
                <w:highlight w:val="none"/>
              </w:rPr>
            </w:pPr>
          </w:p>
        </w:tc>
        <w:tc>
          <w:tcPr>
            <w:tcW w:w="832" w:type="dxa"/>
            <w:vAlign w:val="center"/>
          </w:tcPr>
          <w:p w14:paraId="498C6E75">
            <w:pPr>
              <w:rPr>
                <w:rFonts w:hint="eastAsia" w:ascii="宋体" w:hAnsi="宋体" w:cs="宋体"/>
                <w:color w:val="auto"/>
                <w:sz w:val="24"/>
                <w:highlight w:val="none"/>
              </w:rPr>
            </w:pPr>
          </w:p>
        </w:tc>
        <w:tc>
          <w:tcPr>
            <w:tcW w:w="833" w:type="dxa"/>
            <w:vAlign w:val="center"/>
          </w:tcPr>
          <w:p w14:paraId="1B367528">
            <w:pPr>
              <w:rPr>
                <w:rFonts w:hint="eastAsia" w:ascii="宋体" w:hAnsi="宋体" w:cs="宋体"/>
                <w:color w:val="auto"/>
                <w:sz w:val="24"/>
                <w:highlight w:val="none"/>
              </w:rPr>
            </w:pPr>
          </w:p>
        </w:tc>
        <w:tc>
          <w:tcPr>
            <w:tcW w:w="1467" w:type="dxa"/>
            <w:vAlign w:val="center"/>
          </w:tcPr>
          <w:p w14:paraId="42FC4AA5">
            <w:pPr>
              <w:rPr>
                <w:rFonts w:hint="eastAsia" w:ascii="宋体" w:hAnsi="宋体" w:cs="宋体"/>
                <w:color w:val="auto"/>
                <w:sz w:val="24"/>
                <w:highlight w:val="none"/>
              </w:rPr>
            </w:pPr>
          </w:p>
        </w:tc>
        <w:tc>
          <w:tcPr>
            <w:tcW w:w="1233" w:type="dxa"/>
            <w:vAlign w:val="center"/>
          </w:tcPr>
          <w:p w14:paraId="1699538C">
            <w:pPr>
              <w:rPr>
                <w:rFonts w:hint="eastAsia" w:ascii="宋体" w:hAnsi="宋体" w:cs="宋体"/>
                <w:color w:val="auto"/>
                <w:sz w:val="24"/>
                <w:highlight w:val="none"/>
              </w:rPr>
            </w:pPr>
          </w:p>
        </w:tc>
        <w:tc>
          <w:tcPr>
            <w:tcW w:w="875" w:type="dxa"/>
            <w:vAlign w:val="center"/>
          </w:tcPr>
          <w:p w14:paraId="216BE76E">
            <w:pPr>
              <w:rPr>
                <w:rFonts w:hint="eastAsia" w:ascii="宋体" w:hAnsi="宋体" w:cs="宋体"/>
                <w:color w:val="auto"/>
                <w:sz w:val="24"/>
                <w:highlight w:val="none"/>
              </w:rPr>
            </w:pPr>
          </w:p>
        </w:tc>
        <w:tc>
          <w:tcPr>
            <w:tcW w:w="1195" w:type="dxa"/>
            <w:vAlign w:val="center"/>
          </w:tcPr>
          <w:p w14:paraId="02A1320D">
            <w:pPr>
              <w:rPr>
                <w:rFonts w:hint="eastAsia" w:ascii="宋体" w:hAnsi="宋体" w:cs="宋体"/>
                <w:color w:val="auto"/>
                <w:sz w:val="24"/>
                <w:highlight w:val="none"/>
              </w:rPr>
            </w:pPr>
          </w:p>
        </w:tc>
      </w:tr>
      <w:tr w14:paraId="4286B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6" w:type="dxa"/>
            <w:vAlign w:val="center"/>
          </w:tcPr>
          <w:p w14:paraId="0A7F339E">
            <w:pPr>
              <w:jc w:val="center"/>
              <w:rPr>
                <w:rFonts w:hint="eastAsia" w:ascii="宋体" w:hAnsi="宋体" w:cs="宋体"/>
                <w:color w:val="auto"/>
                <w:sz w:val="24"/>
                <w:highlight w:val="none"/>
              </w:rPr>
            </w:pPr>
          </w:p>
        </w:tc>
        <w:tc>
          <w:tcPr>
            <w:tcW w:w="1372" w:type="dxa"/>
            <w:vAlign w:val="center"/>
          </w:tcPr>
          <w:p w14:paraId="4F93F907">
            <w:pPr>
              <w:rPr>
                <w:rFonts w:hint="eastAsia" w:ascii="宋体" w:hAnsi="宋体" w:cs="宋体"/>
                <w:color w:val="auto"/>
                <w:sz w:val="24"/>
                <w:highlight w:val="none"/>
              </w:rPr>
            </w:pPr>
          </w:p>
        </w:tc>
        <w:tc>
          <w:tcPr>
            <w:tcW w:w="834" w:type="dxa"/>
            <w:vAlign w:val="center"/>
          </w:tcPr>
          <w:p w14:paraId="1E41DC8B">
            <w:pPr>
              <w:rPr>
                <w:rFonts w:hint="eastAsia" w:ascii="宋体" w:hAnsi="宋体" w:cs="宋体"/>
                <w:color w:val="auto"/>
                <w:sz w:val="24"/>
                <w:highlight w:val="none"/>
              </w:rPr>
            </w:pPr>
          </w:p>
        </w:tc>
        <w:tc>
          <w:tcPr>
            <w:tcW w:w="832" w:type="dxa"/>
            <w:vAlign w:val="center"/>
          </w:tcPr>
          <w:p w14:paraId="0290418B">
            <w:pPr>
              <w:rPr>
                <w:rFonts w:hint="eastAsia" w:ascii="宋体" w:hAnsi="宋体" w:cs="宋体"/>
                <w:color w:val="auto"/>
                <w:sz w:val="24"/>
                <w:highlight w:val="none"/>
              </w:rPr>
            </w:pPr>
          </w:p>
        </w:tc>
        <w:tc>
          <w:tcPr>
            <w:tcW w:w="833" w:type="dxa"/>
            <w:vAlign w:val="center"/>
          </w:tcPr>
          <w:p w14:paraId="5B166D86">
            <w:pPr>
              <w:rPr>
                <w:rFonts w:hint="eastAsia" w:ascii="宋体" w:hAnsi="宋体" w:cs="宋体"/>
                <w:color w:val="auto"/>
                <w:sz w:val="24"/>
                <w:highlight w:val="none"/>
              </w:rPr>
            </w:pPr>
          </w:p>
        </w:tc>
        <w:tc>
          <w:tcPr>
            <w:tcW w:w="1467" w:type="dxa"/>
            <w:vAlign w:val="center"/>
          </w:tcPr>
          <w:p w14:paraId="1075B91C">
            <w:pPr>
              <w:rPr>
                <w:rFonts w:hint="eastAsia" w:ascii="宋体" w:hAnsi="宋体" w:cs="宋体"/>
                <w:color w:val="auto"/>
                <w:sz w:val="24"/>
                <w:highlight w:val="none"/>
              </w:rPr>
            </w:pPr>
          </w:p>
        </w:tc>
        <w:tc>
          <w:tcPr>
            <w:tcW w:w="1233" w:type="dxa"/>
            <w:vAlign w:val="center"/>
          </w:tcPr>
          <w:p w14:paraId="642115DE">
            <w:pPr>
              <w:rPr>
                <w:rFonts w:hint="eastAsia" w:ascii="宋体" w:hAnsi="宋体" w:cs="宋体"/>
                <w:color w:val="auto"/>
                <w:sz w:val="24"/>
                <w:highlight w:val="none"/>
              </w:rPr>
            </w:pPr>
          </w:p>
        </w:tc>
        <w:tc>
          <w:tcPr>
            <w:tcW w:w="875" w:type="dxa"/>
            <w:vAlign w:val="center"/>
          </w:tcPr>
          <w:p w14:paraId="74D19395">
            <w:pPr>
              <w:rPr>
                <w:rFonts w:hint="eastAsia" w:ascii="宋体" w:hAnsi="宋体" w:cs="宋体"/>
                <w:color w:val="auto"/>
                <w:sz w:val="24"/>
                <w:highlight w:val="none"/>
              </w:rPr>
            </w:pPr>
          </w:p>
        </w:tc>
        <w:tc>
          <w:tcPr>
            <w:tcW w:w="1195" w:type="dxa"/>
            <w:vAlign w:val="center"/>
          </w:tcPr>
          <w:p w14:paraId="694269FD">
            <w:pPr>
              <w:rPr>
                <w:rFonts w:hint="eastAsia" w:ascii="宋体" w:hAnsi="宋体" w:cs="宋体"/>
                <w:color w:val="auto"/>
                <w:sz w:val="24"/>
                <w:highlight w:val="none"/>
              </w:rPr>
            </w:pPr>
          </w:p>
        </w:tc>
      </w:tr>
      <w:tr w14:paraId="44103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46" w:type="dxa"/>
            <w:vAlign w:val="center"/>
          </w:tcPr>
          <w:p w14:paraId="129C3DDF">
            <w:pPr>
              <w:jc w:val="center"/>
              <w:rPr>
                <w:rFonts w:hint="eastAsia" w:ascii="宋体" w:hAnsi="宋体" w:cs="宋体"/>
                <w:color w:val="auto"/>
                <w:sz w:val="24"/>
                <w:highlight w:val="none"/>
              </w:rPr>
            </w:pPr>
          </w:p>
        </w:tc>
        <w:tc>
          <w:tcPr>
            <w:tcW w:w="1372" w:type="dxa"/>
            <w:vAlign w:val="center"/>
          </w:tcPr>
          <w:p w14:paraId="53B7D778">
            <w:pPr>
              <w:rPr>
                <w:rFonts w:hint="eastAsia" w:ascii="宋体" w:hAnsi="宋体" w:cs="宋体"/>
                <w:color w:val="auto"/>
                <w:sz w:val="24"/>
                <w:highlight w:val="none"/>
              </w:rPr>
            </w:pPr>
          </w:p>
        </w:tc>
        <w:tc>
          <w:tcPr>
            <w:tcW w:w="834" w:type="dxa"/>
            <w:vAlign w:val="center"/>
          </w:tcPr>
          <w:p w14:paraId="7951B266">
            <w:pPr>
              <w:rPr>
                <w:rFonts w:hint="eastAsia" w:ascii="宋体" w:hAnsi="宋体" w:cs="宋体"/>
                <w:color w:val="auto"/>
                <w:sz w:val="24"/>
                <w:highlight w:val="none"/>
              </w:rPr>
            </w:pPr>
          </w:p>
        </w:tc>
        <w:tc>
          <w:tcPr>
            <w:tcW w:w="832" w:type="dxa"/>
            <w:vAlign w:val="center"/>
          </w:tcPr>
          <w:p w14:paraId="41CB9DB4">
            <w:pPr>
              <w:rPr>
                <w:rFonts w:hint="eastAsia" w:ascii="宋体" w:hAnsi="宋体" w:cs="宋体"/>
                <w:color w:val="auto"/>
                <w:sz w:val="24"/>
                <w:highlight w:val="none"/>
              </w:rPr>
            </w:pPr>
          </w:p>
        </w:tc>
        <w:tc>
          <w:tcPr>
            <w:tcW w:w="833" w:type="dxa"/>
            <w:vAlign w:val="center"/>
          </w:tcPr>
          <w:p w14:paraId="4136B9C6">
            <w:pPr>
              <w:rPr>
                <w:rFonts w:hint="eastAsia" w:ascii="宋体" w:hAnsi="宋体" w:cs="宋体"/>
                <w:color w:val="auto"/>
                <w:sz w:val="24"/>
                <w:highlight w:val="none"/>
              </w:rPr>
            </w:pPr>
          </w:p>
        </w:tc>
        <w:tc>
          <w:tcPr>
            <w:tcW w:w="1467" w:type="dxa"/>
            <w:vAlign w:val="center"/>
          </w:tcPr>
          <w:p w14:paraId="78457A15">
            <w:pPr>
              <w:rPr>
                <w:rFonts w:hint="eastAsia" w:ascii="宋体" w:hAnsi="宋体" w:cs="宋体"/>
                <w:color w:val="auto"/>
                <w:sz w:val="24"/>
                <w:highlight w:val="none"/>
              </w:rPr>
            </w:pPr>
          </w:p>
        </w:tc>
        <w:tc>
          <w:tcPr>
            <w:tcW w:w="1233" w:type="dxa"/>
            <w:vAlign w:val="center"/>
          </w:tcPr>
          <w:p w14:paraId="1F516723">
            <w:pPr>
              <w:rPr>
                <w:rFonts w:hint="eastAsia" w:ascii="宋体" w:hAnsi="宋体" w:cs="宋体"/>
                <w:color w:val="auto"/>
                <w:sz w:val="24"/>
                <w:highlight w:val="none"/>
              </w:rPr>
            </w:pPr>
          </w:p>
        </w:tc>
        <w:tc>
          <w:tcPr>
            <w:tcW w:w="875" w:type="dxa"/>
            <w:vAlign w:val="center"/>
          </w:tcPr>
          <w:p w14:paraId="492B7D9B">
            <w:pPr>
              <w:rPr>
                <w:rFonts w:hint="eastAsia" w:ascii="宋体" w:hAnsi="宋体" w:cs="宋体"/>
                <w:color w:val="auto"/>
                <w:sz w:val="24"/>
                <w:highlight w:val="none"/>
              </w:rPr>
            </w:pPr>
          </w:p>
        </w:tc>
        <w:tc>
          <w:tcPr>
            <w:tcW w:w="1195" w:type="dxa"/>
            <w:vAlign w:val="center"/>
          </w:tcPr>
          <w:p w14:paraId="2540B250">
            <w:pPr>
              <w:rPr>
                <w:rFonts w:hint="eastAsia" w:ascii="宋体" w:hAnsi="宋体" w:cs="宋体"/>
                <w:color w:val="auto"/>
                <w:sz w:val="24"/>
                <w:highlight w:val="none"/>
              </w:rPr>
            </w:pPr>
          </w:p>
        </w:tc>
      </w:tr>
      <w:tr w14:paraId="0DCA1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746" w:type="dxa"/>
            <w:vAlign w:val="center"/>
          </w:tcPr>
          <w:p w14:paraId="7ADB0562">
            <w:pPr>
              <w:jc w:val="center"/>
              <w:rPr>
                <w:rFonts w:hint="eastAsia" w:ascii="宋体" w:hAnsi="宋体" w:cs="宋体"/>
                <w:color w:val="auto"/>
                <w:sz w:val="24"/>
                <w:highlight w:val="none"/>
              </w:rPr>
            </w:pPr>
          </w:p>
        </w:tc>
        <w:tc>
          <w:tcPr>
            <w:tcW w:w="1372" w:type="dxa"/>
            <w:vAlign w:val="center"/>
          </w:tcPr>
          <w:p w14:paraId="178B211B">
            <w:pPr>
              <w:rPr>
                <w:rFonts w:hint="eastAsia" w:ascii="宋体" w:hAnsi="宋体" w:cs="宋体"/>
                <w:color w:val="auto"/>
                <w:sz w:val="24"/>
                <w:highlight w:val="none"/>
              </w:rPr>
            </w:pPr>
          </w:p>
        </w:tc>
        <w:tc>
          <w:tcPr>
            <w:tcW w:w="834" w:type="dxa"/>
            <w:vAlign w:val="center"/>
          </w:tcPr>
          <w:p w14:paraId="0ABA232C">
            <w:pPr>
              <w:rPr>
                <w:rFonts w:hint="eastAsia" w:ascii="宋体" w:hAnsi="宋体" w:cs="宋体"/>
                <w:color w:val="auto"/>
                <w:sz w:val="24"/>
                <w:highlight w:val="none"/>
              </w:rPr>
            </w:pPr>
          </w:p>
        </w:tc>
        <w:tc>
          <w:tcPr>
            <w:tcW w:w="832" w:type="dxa"/>
            <w:vAlign w:val="center"/>
          </w:tcPr>
          <w:p w14:paraId="56EC23E8">
            <w:pPr>
              <w:rPr>
                <w:rFonts w:hint="eastAsia" w:ascii="宋体" w:hAnsi="宋体" w:cs="宋体"/>
                <w:color w:val="auto"/>
                <w:sz w:val="24"/>
                <w:highlight w:val="none"/>
              </w:rPr>
            </w:pPr>
          </w:p>
        </w:tc>
        <w:tc>
          <w:tcPr>
            <w:tcW w:w="833" w:type="dxa"/>
            <w:vAlign w:val="center"/>
          </w:tcPr>
          <w:p w14:paraId="58ABDFB3">
            <w:pPr>
              <w:rPr>
                <w:rFonts w:hint="eastAsia" w:ascii="宋体" w:hAnsi="宋体" w:cs="宋体"/>
                <w:color w:val="auto"/>
                <w:sz w:val="24"/>
                <w:highlight w:val="none"/>
              </w:rPr>
            </w:pPr>
          </w:p>
        </w:tc>
        <w:tc>
          <w:tcPr>
            <w:tcW w:w="1467" w:type="dxa"/>
            <w:vAlign w:val="center"/>
          </w:tcPr>
          <w:p w14:paraId="283C5B5B">
            <w:pPr>
              <w:rPr>
                <w:rFonts w:hint="eastAsia" w:ascii="宋体" w:hAnsi="宋体" w:cs="宋体"/>
                <w:color w:val="auto"/>
                <w:sz w:val="24"/>
                <w:highlight w:val="none"/>
              </w:rPr>
            </w:pPr>
          </w:p>
        </w:tc>
        <w:tc>
          <w:tcPr>
            <w:tcW w:w="1233" w:type="dxa"/>
            <w:vAlign w:val="center"/>
          </w:tcPr>
          <w:p w14:paraId="79B32C8C">
            <w:pPr>
              <w:rPr>
                <w:rFonts w:hint="eastAsia" w:ascii="宋体" w:hAnsi="宋体" w:cs="宋体"/>
                <w:color w:val="auto"/>
                <w:sz w:val="24"/>
                <w:highlight w:val="none"/>
              </w:rPr>
            </w:pPr>
          </w:p>
        </w:tc>
        <w:tc>
          <w:tcPr>
            <w:tcW w:w="875" w:type="dxa"/>
            <w:vAlign w:val="center"/>
          </w:tcPr>
          <w:p w14:paraId="5DD9B2B2">
            <w:pPr>
              <w:rPr>
                <w:rFonts w:hint="eastAsia" w:ascii="宋体" w:hAnsi="宋体" w:cs="宋体"/>
                <w:color w:val="auto"/>
                <w:sz w:val="24"/>
                <w:highlight w:val="none"/>
              </w:rPr>
            </w:pPr>
          </w:p>
        </w:tc>
        <w:tc>
          <w:tcPr>
            <w:tcW w:w="1195" w:type="dxa"/>
            <w:vAlign w:val="center"/>
          </w:tcPr>
          <w:p w14:paraId="7E629181">
            <w:pPr>
              <w:rPr>
                <w:rFonts w:hint="eastAsia" w:ascii="宋体" w:hAnsi="宋体" w:cs="宋体"/>
                <w:color w:val="auto"/>
                <w:sz w:val="24"/>
                <w:highlight w:val="none"/>
              </w:rPr>
            </w:pPr>
          </w:p>
        </w:tc>
      </w:tr>
    </w:tbl>
    <w:p w14:paraId="792B5564">
      <w:pPr>
        <w:tabs>
          <w:tab w:val="left" w:pos="1050"/>
          <w:tab w:val="left" w:pos="1838"/>
        </w:tabs>
        <w:ind w:left="2"/>
        <w:rPr>
          <w:rFonts w:hint="eastAsia" w:ascii="宋体" w:hAnsi="宋体" w:cs="宋体"/>
          <w:color w:val="auto"/>
          <w:sz w:val="24"/>
          <w:highlight w:val="none"/>
        </w:rPr>
      </w:pPr>
      <w:r>
        <w:rPr>
          <w:rFonts w:hint="eastAsia" w:ascii="宋体" w:hAnsi="宋体" w:cs="宋体"/>
          <w:color w:val="auto"/>
          <w:sz w:val="24"/>
          <w:highlight w:val="none"/>
        </w:rPr>
        <w:t>注：</w:t>
      </w:r>
    </w:p>
    <w:p w14:paraId="7394DF39">
      <w:pPr>
        <w:tabs>
          <w:tab w:val="left" w:pos="1050"/>
          <w:tab w:val="left" w:pos="1838"/>
        </w:tabs>
        <w:ind w:left="2"/>
        <w:rPr>
          <w:rFonts w:hint="eastAsia" w:ascii="宋体" w:hAnsi="宋体" w:cs="宋体"/>
          <w:color w:val="auto"/>
          <w:sz w:val="24"/>
          <w:highlight w:val="none"/>
        </w:rPr>
      </w:pPr>
      <w:r>
        <w:rPr>
          <w:rFonts w:hint="eastAsia" w:ascii="宋体" w:hAnsi="宋体" w:cs="宋体"/>
          <w:color w:val="auto"/>
          <w:sz w:val="24"/>
          <w:highlight w:val="none"/>
        </w:rPr>
        <w:t>1、上表列出的人员，须按招标公告、招标文件的要求附其相关证明文件的扫描件。</w:t>
      </w:r>
    </w:p>
    <w:p w14:paraId="38906C12">
      <w:pPr>
        <w:tabs>
          <w:tab w:val="left" w:pos="1050"/>
          <w:tab w:val="left" w:pos="1838"/>
        </w:tabs>
        <w:rPr>
          <w:rFonts w:hint="eastAsia" w:ascii="宋体" w:hAnsi="宋体" w:cs="宋体"/>
          <w:color w:val="auto"/>
          <w:szCs w:val="21"/>
          <w:highlight w:val="none"/>
        </w:rPr>
      </w:pPr>
      <w:r>
        <w:rPr>
          <w:rFonts w:hint="eastAsia" w:ascii="宋体" w:hAnsi="宋体" w:cs="宋体"/>
          <w:color w:val="auto"/>
          <w:sz w:val="24"/>
          <w:highlight w:val="none"/>
        </w:rPr>
        <w:t>2、上表列出的人员均需按招标公告、招标文件的要求提供社保证明。</w:t>
      </w:r>
    </w:p>
    <w:p w14:paraId="09655F29">
      <w:pPr>
        <w:pStyle w:val="12"/>
        <w:spacing w:line="360" w:lineRule="auto"/>
        <w:ind w:right="84" w:rightChars="40"/>
        <w:rPr>
          <w:rFonts w:hint="eastAsia" w:hAnsi="宋体" w:cs="宋体"/>
          <w:color w:val="auto"/>
          <w:sz w:val="24"/>
          <w:szCs w:val="24"/>
          <w:highlight w:val="none"/>
        </w:rPr>
      </w:pPr>
      <w:r>
        <w:rPr>
          <w:rFonts w:hint="eastAsia" w:hAnsi="宋体" w:cs="宋体"/>
          <w:color w:val="auto"/>
          <w:sz w:val="24"/>
          <w:szCs w:val="24"/>
          <w:highlight w:val="none"/>
        </w:rPr>
        <w:t xml:space="preserve">   </w:t>
      </w:r>
    </w:p>
    <w:p w14:paraId="65931610">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投 标 人（单位公章）：</w:t>
      </w:r>
    </w:p>
    <w:p w14:paraId="7F7C3252">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法定代表人或委托代理人</w:t>
      </w:r>
    </w:p>
    <w:p w14:paraId="6D1171F3">
      <w:pPr>
        <w:spacing w:line="360" w:lineRule="auto"/>
        <w:ind w:firstLine="4320" w:firstLineChars="1800"/>
        <w:rPr>
          <w:rFonts w:hint="eastAsia" w:ascii="宋体" w:hAnsi="宋体" w:cs="宋体"/>
          <w:color w:val="auto"/>
          <w:sz w:val="24"/>
          <w:highlight w:val="none"/>
        </w:rPr>
      </w:pPr>
      <w:r>
        <w:rPr>
          <w:rFonts w:hint="eastAsia" w:ascii="宋体" w:hAnsi="宋体" w:cs="宋体"/>
          <w:color w:val="auto"/>
          <w:sz w:val="24"/>
          <w:highlight w:val="none"/>
        </w:rPr>
        <w:t>（签字或盖章）：</w:t>
      </w:r>
    </w:p>
    <w:p w14:paraId="22F48F21">
      <w:pPr>
        <w:spacing w:line="440" w:lineRule="exact"/>
        <w:rPr>
          <w:rFonts w:hint="eastAsia" w:ascii="宋体" w:hAnsi="宋体" w:cs="宋体"/>
          <w:color w:val="auto"/>
          <w:highlight w:val="none"/>
        </w:rPr>
      </w:pPr>
      <w:r>
        <w:rPr>
          <w:rFonts w:hint="eastAsia" w:ascii="宋体" w:hAnsi="宋体" w:cs="宋体"/>
          <w:b/>
          <w:color w:val="auto"/>
          <w:sz w:val="24"/>
          <w:highlight w:val="none"/>
        </w:rPr>
        <w:t xml:space="preserve">            </w:t>
      </w:r>
      <w:bookmarkStart w:id="809" w:name="_Toc23432947"/>
      <w:bookmarkStart w:id="810" w:name="_Toc21115"/>
      <w:bookmarkStart w:id="811" w:name="_Toc532744179"/>
      <w:r>
        <w:rPr>
          <w:rFonts w:hint="eastAsia" w:ascii="宋体" w:hAnsi="宋体" w:cs="宋体"/>
          <w:b/>
          <w:color w:val="auto"/>
          <w:sz w:val="24"/>
          <w:highlight w:val="none"/>
        </w:rPr>
        <w:t xml:space="preserve">                        </w:t>
      </w:r>
      <w:r>
        <w:rPr>
          <w:rFonts w:hint="eastAsia" w:ascii="宋体" w:hAnsi="宋体" w:cs="宋体"/>
          <w:color w:val="auto"/>
          <w:sz w:val="24"/>
          <w:highlight w:val="none"/>
        </w:rPr>
        <w:t>日    期：    年   月   日</w:t>
      </w:r>
      <w:bookmarkEnd w:id="809"/>
      <w:bookmarkEnd w:id="810"/>
      <w:bookmarkEnd w:id="811"/>
    </w:p>
    <w:p w14:paraId="06898E18">
      <w:pPr>
        <w:pStyle w:val="4"/>
        <w:keepNext w:val="0"/>
        <w:keepLines w:val="0"/>
        <w:ind w:firstLine="137"/>
        <w:rPr>
          <w:rFonts w:hint="eastAsia" w:ascii="宋体" w:hAnsi="宋体" w:eastAsia="宋体" w:cs="宋体"/>
          <w:color w:val="auto"/>
          <w:highlight w:val="none"/>
        </w:rPr>
      </w:pPr>
    </w:p>
    <w:p w14:paraId="6A8C38F4">
      <w:pPr>
        <w:rPr>
          <w:rFonts w:hint="eastAsia" w:ascii="宋体" w:hAnsi="宋体" w:cs="宋体"/>
          <w:color w:val="auto"/>
          <w:highlight w:val="none"/>
        </w:rPr>
      </w:pPr>
    </w:p>
    <w:p w14:paraId="639220E2">
      <w:pPr>
        <w:pStyle w:val="18"/>
        <w:rPr>
          <w:rFonts w:hint="eastAsia" w:ascii="宋体" w:hAnsi="宋体" w:cs="宋体"/>
          <w:color w:val="auto"/>
          <w:highlight w:val="none"/>
        </w:rPr>
      </w:pPr>
    </w:p>
    <w:p w14:paraId="25E16449">
      <w:pPr>
        <w:pStyle w:val="4"/>
        <w:keepNext w:val="0"/>
        <w:keepLines w:val="0"/>
        <w:ind w:firstLine="0" w:firstLineChars="0"/>
        <w:jc w:val="center"/>
        <w:rPr>
          <w:rFonts w:hint="eastAsia" w:ascii="宋体" w:hAnsi="宋体" w:eastAsia="宋体" w:cs="宋体"/>
          <w:color w:val="auto"/>
          <w:highlight w:val="none"/>
        </w:rPr>
      </w:pPr>
      <w:bookmarkStart w:id="812" w:name="_Toc14689"/>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三</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投标人认为需要提供的资料（如有）</w:t>
      </w:r>
      <w:bookmarkEnd w:id="812"/>
    </w:p>
    <w:p w14:paraId="31927CD4">
      <w:pPr>
        <w:pStyle w:val="18"/>
        <w:rPr>
          <w:rFonts w:hint="eastAsia" w:ascii="宋体" w:hAnsi="宋体" w:cs="宋体"/>
          <w:color w:val="auto"/>
          <w:highlight w:val="none"/>
        </w:rPr>
      </w:pPr>
    </w:p>
    <w:p w14:paraId="68A7D3C6">
      <w:pPr>
        <w:rPr>
          <w:rFonts w:hint="eastAsia" w:ascii="宋体" w:hAnsi="宋体" w:cs="宋体"/>
          <w:color w:val="auto"/>
          <w:highlight w:val="none"/>
        </w:rPr>
      </w:pPr>
    </w:p>
    <w:p w14:paraId="3AE3A52D">
      <w:pPr>
        <w:rPr>
          <w:rFonts w:hint="eastAsia" w:ascii="宋体" w:hAnsi="宋体" w:cs="宋体"/>
          <w:color w:val="auto"/>
          <w:highlight w:val="none"/>
        </w:rPr>
      </w:pPr>
    </w:p>
    <w:sectPr>
      <w:pgSz w:w="12240" w:h="15840"/>
      <w:pgMar w:top="1440" w:right="1425" w:bottom="1160" w:left="1800"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B26D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32B8B4">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32B8B4">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A0C2D9">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7B358F">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487B358F">
                    <w:pPr>
                      <w:pStyle w:val="13"/>
                    </w:pPr>
                    <w:r>
                      <w:fldChar w:fldCharType="begin"/>
                    </w:r>
                    <w:r>
                      <w:instrText xml:space="preserve"> PAGE  \* MERGEFORMAT </w:instrText>
                    </w:r>
                    <w:r>
                      <w:fldChar w:fldCharType="separate"/>
                    </w:r>
                    <w:r>
                      <w:t>2</w:t>
                    </w:r>
                    <w:r>
                      <w:fldChar w:fldCharType="end"/>
                    </w:r>
                  </w:p>
                </w:txbxContent>
              </v:textbox>
            </v:shape>
          </w:pict>
        </mc:Fallback>
      </mc:AlternateContent>
    </w:r>
  </w:p>
  <w:p w14:paraId="4E6C6B5C"/>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AA44F7"/>
    <w:multiLevelType w:val="singleLevel"/>
    <w:tmpl w:val="6FAA44F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YzNiMjQ0NTFlNzg0NTU3NjMwYWEzMGVmZDExYTcifQ=="/>
    <w:docVar w:name="KSO_WPS_MARK_KEY" w:val="751ba96f-c268-4e85-a903-7ec75ce3b0b7"/>
  </w:docVars>
  <w:rsids>
    <w:rsidRoot w:val="45090BCC"/>
    <w:rsid w:val="000108C7"/>
    <w:rsid w:val="00236011"/>
    <w:rsid w:val="002E34AB"/>
    <w:rsid w:val="002F6DE1"/>
    <w:rsid w:val="00310FDB"/>
    <w:rsid w:val="003F7239"/>
    <w:rsid w:val="00412A33"/>
    <w:rsid w:val="00555108"/>
    <w:rsid w:val="005617DF"/>
    <w:rsid w:val="0058523E"/>
    <w:rsid w:val="005F2719"/>
    <w:rsid w:val="00684438"/>
    <w:rsid w:val="008B264F"/>
    <w:rsid w:val="008F3E54"/>
    <w:rsid w:val="00D1202D"/>
    <w:rsid w:val="00EB24F0"/>
    <w:rsid w:val="00FE63AE"/>
    <w:rsid w:val="02291F7B"/>
    <w:rsid w:val="02CC6915"/>
    <w:rsid w:val="02ED41F0"/>
    <w:rsid w:val="0303084B"/>
    <w:rsid w:val="03244478"/>
    <w:rsid w:val="048260DA"/>
    <w:rsid w:val="05753AA9"/>
    <w:rsid w:val="05970BAF"/>
    <w:rsid w:val="072C540B"/>
    <w:rsid w:val="08950990"/>
    <w:rsid w:val="090A6A5A"/>
    <w:rsid w:val="097A3161"/>
    <w:rsid w:val="0A286D05"/>
    <w:rsid w:val="0A903D1E"/>
    <w:rsid w:val="0AAF5150"/>
    <w:rsid w:val="0B1175FA"/>
    <w:rsid w:val="0C3C3C66"/>
    <w:rsid w:val="0CD47DFF"/>
    <w:rsid w:val="0D0D6707"/>
    <w:rsid w:val="0D735892"/>
    <w:rsid w:val="0E407A3D"/>
    <w:rsid w:val="0E7D0D45"/>
    <w:rsid w:val="0EEF190B"/>
    <w:rsid w:val="0F302C33"/>
    <w:rsid w:val="0F502FAB"/>
    <w:rsid w:val="13A032F8"/>
    <w:rsid w:val="15EB71C7"/>
    <w:rsid w:val="175574FA"/>
    <w:rsid w:val="176C3C8F"/>
    <w:rsid w:val="17D074D8"/>
    <w:rsid w:val="1806034D"/>
    <w:rsid w:val="19DD0836"/>
    <w:rsid w:val="1AD34A36"/>
    <w:rsid w:val="1AD53A6F"/>
    <w:rsid w:val="1B197810"/>
    <w:rsid w:val="1B5164C2"/>
    <w:rsid w:val="1B6D1F0E"/>
    <w:rsid w:val="1BBE2B7A"/>
    <w:rsid w:val="1CF0262F"/>
    <w:rsid w:val="1CF2353B"/>
    <w:rsid w:val="1DD94650"/>
    <w:rsid w:val="1E312EFF"/>
    <w:rsid w:val="1E347EE9"/>
    <w:rsid w:val="1EA47F19"/>
    <w:rsid w:val="1F23528E"/>
    <w:rsid w:val="1F491A9F"/>
    <w:rsid w:val="207026E6"/>
    <w:rsid w:val="20974D5A"/>
    <w:rsid w:val="21203A99"/>
    <w:rsid w:val="2123408C"/>
    <w:rsid w:val="218944CA"/>
    <w:rsid w:val="21B458CA"/>
    <w:rsid w:val="21E80896"/>
    <w:rsid w:val="22566CEB"/>
    <w:rsid w:val="22B52A4C"/>
    <w:rsid w:val="23D81F29"/>
    <w:rsid w:val="24920461"/>
    <w:rsid w:val="24C543A1"/>
    <w:rsid w:val="251E1D03"/>
    <w:rsid w:val="25AF51D6"/>
    <w:rsid w:val="26522924"/>
    <w:rsid w:val="277D651B"/>
    <w:rsid w:val="27CA0728"/>
    <w:rsid w:val="27DF7AAE"/>
    <w:rsid w:val="28AE3491"/>
    <w:rsid w:val="28E3364C"/>
    <w:rsid w:val="299E5F5C"/>
    <w:rsid w:val="29A34FDC"/>
    <w:rsid w:val="29E14634"/>
    <w:rsid w:val="2A0F7C7F"/>
    <w:rsid w:val="2A1D4CC6"/>
    <w:rsid w:val="2A742AF1"/>
    <w:rsid w:val="2A78779C"/>
    <w:rsid w:val="2B6A6790"/>
    <w:rsid w:val="2B886535"/>
    <w:rsid w:val="2BA72A52"/>
    <w:rsid w:val="2BCB3170"/>
    <w:rsid w:val="2BE27F44"/>
    <w:rsid w:val="2D2E0E15"/>
    <w:rsid w:val="2D671AC7"/>
    <w:rsid w:val="2DAF5FEF"/>
    <w:rsid w:val="2DE0049D"/>
    <w:rsid w:val="2E8378E6"/>
    <w:rsid w:val="2F0678A8"/>
    <w:rsid w:val="2F7A4403"/>
    <w:rsid w:val="2FDC61FB"/>
    <w:rsid w:val="30FA0A5F"/>
    <w:rsid w:val="33333AE2"/>
    <w:rsid w:val="3371078E"/>
    <w:rsid w:val="34951FE2"/>
    <w:rsid w:val="35706215"/>
    <w:rsid w:val="35756A0D"/>
    <w:rsid w:val="359C29F0"/>
    <w:rsid w:val="35A10512"/>
    <w:rsid w:val="35A4669C"/>
    <w:rsid w:val="35C10C48"/>
    <w:rsid w:val="35D27056"/>
    <w:rsid w:val="35DC59EE"/>
    <w:rsid w:val="35F6521D"/>
    <w:rsid w:val="35F80B06"/>
    <w:rsid w:val="36367ECB"/>
    <w:rsid w:val="37070D40"/>
    <w:rsid w:val="370C5E5F"/>
    <w:rsid w:val="37114410"/>
    <w:rsid w:val="37371D20"/>
    <w:rsid w:val="37FF7E5E"/>
    <w:rsid w:val="380460BD"/>
    <w:rsid w:val="3847438B"/>
    <w:rsid w:val="38B6137F"/>
    <w:rsid w:val="393C3B65"/>
    <w:rsid w:val="397A4655"/>
    <w:rsid w:val="39DF5AAD"/>
    <w:rsid w:val="3A477BDB"/>
    <w:rsid w:val="3AF4276A"/>
    <w:rsid w:val="3B4B626D"/>
    <w:rsid w:val="3B540DC9"/>
    <w:rsid w:val="3B9B017C"/>
    <w:rsid w:val="3D1A1B38"/>
    <w:rsid w:val="3DCF46E6"/>
    <w:rsid w:val="41A1011B"/>
    <w:rsid w:val="422F2BB5"/>
    <w:rsid w:val="42B2443E"/>
    <w:rsid w:val="43A775EF"/>
    <w:rsid w:val="43B347D0"/>
    <w:rsid w:val="45090BCC"/>
    <w:rsid w:val="452F4FBA"/>
    <w:rsid w:val="453B44DF"/>
    <w:rsid w:val="455C4DDC"/>
    <w:rsid w:val="45A860A2"/>
    <w:rsid w:val="468539E8"/>
    <w:rsid w:val="46AD62CA"/>
    <w:rsid w:val="46D715E5"/>
    <w:rsid w:val="47B61277"/>
    <w:rsid w:val="48164D90"/>
    <w:rsid w:val="485249DA"/>
    <w:rsid w:val="49885819"/>
    <w:rsid w:val="4A7B712C"/>
    <w:rsid w:val="4C5E7566"/>
    <w:rsid w:val="4D040C44"/>
    <w:rsid w:val="4DC33DD5"/>
    <w:rsid w:val="4EDB1436"/>
    <w:rsid w:val="4F1B0EDE"/>
    <w:rsid w:val="4F647479"/>
    <w:rsid w:val="4F916C02"/>
    <w:rsid w:val="4F994F8C"/>
    <w:rsid w:val="50072B93"/>
    <w:rsid w:val="514135E6"/>
    <w:rsid w:val="51C52DCF"/>
    <w:rsid w:val="52E74F02"/>
    <w:rsid w:val="52FF7D6F"/>
    <w:rsid w:val="53651CB7"/>
    <w:rsid w:val="53806FBB"/>
    <w:rsid w:val="53C57773"/>
    <w:rsid w:val="54BE459A"/>
    <w:rsid w:val="55067C82"/>
    <w:rsid w:val="55126E1B"/>
    <w:rsid w:val="596B474B"/>
    <w:rsid w:val="59EA1BD8"/>
    <w:rsid w:val="5A2B338A"/>
    <w:rsid w:val="5A2D3E54"/>
    <w:rsid w:val="5A593A7A"/>
    <w:rsid w:val="5BBB493E"/>
    <w:rsid w:val="5BE50FA3"/>
    <w:rsid w:val="5C047CCA"/>
    <w:rsid w:val="5DB5331C"/>
    <w:rsid w:val="5F400B63"/>
    <w:rsid w:val="5FBE5148"/>
    <w:rsid w:val="5FD0613A"/>
    <w:rsid w:val="60F14D74"/>
    <w:rsid w:val="610E79E3"/>
    <w:rsid w:val="617911BB"/>
    <w:rsid w:val="62330739"/>
    <w:rsid w:val="623A400D"/>
    <w:rsid w:val="626A6BCE"/>
    <w:rsid w:val="631122EF"/>
    <w:rsid w:val="64511D1C"/>
    <w:rsid w:val="652B75EE"/>
    <w:rsid w:val="66387545"/>
    <w:rsid w:val="66B73243"/>
    <w:rsid w:val="68833924"/>
    <w:rsid w:val="68AD0A55"/>
    <w:rsid w:val="692122AC"/>
    <w:rsid w:val="695059AB"/>
    <w:rsid w:val="69A93CEC"/>
    <w:rsid w:val="6A6D36DA"/>
    <w:rsid w:val="6AEC33EB"/>
    <w:rsid w:val="6AEC62A6"/>
    <w:rsid w:val="6BAC1F56"/>
    <w:rsid w:val="6C62304F"/>
    <w:rsid w:val="6C6C1EB2"/>
    <w:rsid w:val="6E3C6F88"/>
    <w:rsid w:val="6E603B4E"/>
    <w:rsid w:val="6EA268B4"/>
    <w:rsid w:val="6F126948"/>
    <w:rsid w:val="6F317299"/>
    <w:rsid w:val="717F113E"/>
    <w:rsid w:val="72144F52"/>
    <w:rsid w:val="725D52BD"/>
    <w:rsid w:val="735B2CE6"/>
    <w:rsid w:val="73C05A2C"/>
    <w:rsid w:val="74524F08"/>
    <w:rsid w:val="76897E7A"/>
    <w:rsid w:val="77792D18"/>
    <w:rsid w:val="782A7918"/>
    <w:rsid w:val="78967B4B"/>
    <w:rsid w:val="78B51665"/>
    <w:rsid w:val="7A0A448D"/>
    <w:rsid w:val="7A2D6BC7"/>
    <w:rsid w:val="7B4A7E12"/>
    <w:rsid w:val="7C515365"/>
    <w:rsid w:val="7CA30566"/>
    <w:rsid w:val="7D0D2590"/>
    <w:rsid w:val="7D0D4209"/>
    <w:rsid w:val="7D4E6D32"/>
    <w:rsid w:val="7DF834AE"/>
    <w:rsid w:val="7E3E2DCB"/>
    <w:rsid w:val="7F1430D0"/>
    <w:rsid w:val="7F590AE3"/>
    <w:rsid w:val="7F96F146"/>
    <w:rsid w:val="7FBC29B7"/>
    <w:rsid w:val="7FEF2C78"/>
    <w:rsid w:val="7FF91981"/>
    <w:rsid w:val="7FFF5A58"/>
    <w:rsid w:val="ED7F8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kern w:val="44"/>
      <w:sz w:val="44"/>
      <w:szCs w:val="20"/>
    </w:rPr>
  </w:style>
  <w:style w:type="paragraph" w:styleId="3">
    <w:name w:val="heading 2"/>
    <w:basedOn w:val="1"/>
    <w:next w:val="1"/>
    <w:qFormat/>
    <w:uiPriority w:val="0"/>
    <w:pPr>
      <w:keepNext/>
      <w:keepLines/>
      <w:spacing w:before="260" w:after="260" w:line="412" w:lineRule="auto"/>
      <w:outlineLvl w:val="1"/>
    </w:pPr>
    <w:rPr>
      <w:rFonts w:ascii="Arial" w:hAnsi="Arial" w:eastAsia="黑体"/>
      <w:b/>
      <w:sz w:val="32"/>
      <w:szCs w:val="20"/>
    </w:rPr>
  </w:style>
  <w:style w:type="paragraph" w:styleId="4">
    <w:name w:val="heading 3"/>
    <w:basedOn w:val="1"/>
    <w:next w:val="1"/>
    <w:qFormat/>
    <w:uiPriority w:val="0"/>
    <w:pPr>
      <w:keepNext/>
      <w:keepLines/>
      <w:spacing w:before="260" w:after="260" w:line="412" w:lineRule="auto"/>
      <w:ind w:firstLine="49" w:firstLineChars="49"/>
      <w:outlineLvl w:val="2"/>
    </w:pPr>
    <w:rPr>
      <w:rFonts w:ascii="黑体" w:eastAsia="黑体"/>
      <w:sz w:val="28"/>
      <w:szCs w:val="20"/>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qFormat/>
    <w:uiPriority w:val="0"/>
    <w:pPr>
      <w:ind w:firstLine="420"/>
    </w:pPr>
    <w:rPr>
      <w:kern w:val="0"/>
      <w:sz w:val="20"/>
      <w:szCs w:val="20"/>
    </w:rPr>
  </w:style>
  <w:style w:type="paragraph" w:styleId="6">
    <w:name w:val="annotation text"/>
    <w:basedOn w:val="1"/>
    <w:next w:val="7"/>
    <w:link w:val="34"/>
    <w:qFormat/>
    <w:uiPriority w:val="0"/>
    <w:pPr>
      <w:jc w:val="left"/>
    </w:pPr>
  </w:style>
  <w:style w:type="paragraph" w:styleId="7">
    <w:name w:val="Balloon Text"/>
    <w:basedOn w:val="1"/>
    <w:semiHidden/>
    <w:qFormat/>
    <w:uiPriority w:val="0"/>
    <w:rPr>
      <w:sz w:val="18"/>
      <w:szCs w:val="18"/>
    </w:rPr>
  </w:style>
  <w:style w:type="paragraph" w:styleId="8">
    <w:name w:val="Body Text 3"/>
    <w:basedOn w:val="1"/>
    <w:qFormat/>
    <w:uiPriority w:val="0"/>
    <w:rPr>
      <w:rFonts w:ascii="宋体"/>
      <w:sz w:val="24"/>
      <w:szCs w:val="20"/>
    </w:rPr>
  </w:style>
  <w:style w:type="paragraph" w:styleId="9">
    <w:name w:val="Body Text"/>
    <w:basedOn w:val="1"/>
    <w:next w:val="1"/>
    <w:unhideWhenUsed/>
    <w:qFormat/>
    <w:uiPriority w:val="0"/>
    <w:pPr>
      <w:spacing w:after="120"/>
    </w:pPr>
    <w:rPr>
      <w:rFonts w:ascii="Times New Roman" w:hAnsi="Times New Roman"/>
      <w:szCs w:val="20"/>
    </w:rPr>
  </w:style>
  <w:style w:type="paragraph" w:styleId="10">
    <w:name w:val="Body Text Indent"/>
    <w:basedOn w:val="1"/>
    <w:qFormat/>
    <w:uiPriority w:val="0"/>
    <w:pPr>
      <w:spacing w:after="120"/>
      <w:ind w:left="420" w:leftChars="200"/>
    </w:pPr>
    <w:rPr>
      <w:rFonts w:ascii="Times New Roman" w:hAnsi="Times New Roman"/>
      <w:szCs w:val="20"/>
    </w:rPr>
  </w:style>
  <w:style w:type="paragraph" w:styleId="11">
    <w:name w:val="toc 3"/>
    <w:basedOn w:val="1"/>
    <w:next w:val="1"/>
    <w:qFormat/>
    <w:uiPriority w:val="39"/>
    <w:pPr>
      <w:ind w:left="400" w:leftChars="400"/>
    </w:pPr>
  </w:style>
  <w:style w:type="paragraph" w:styleId="12">
    <w:name w:val="Plain Text"/>
    <w:basedOn w:val="1"/>
    <w:next w:val="1"/>
    <w:qFormat/>
    <w:uiPriority w:val="99"/>
    <w:rPr>
      <w:rFonts w:ascii="宋体"/>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link w:val="33"/>
    <w:qFormat/>
    <w:uiPriority w:val="0"/>
    <w:pPr>
      <w:tabs>
        <w:tab w:val="center" w:pos="4153"/>
        <w:tab w:val="right" w:pos="8306"/>
      </w:tabs>
      <w:snapToGrid w:val="0"/>
      <w:jc w:val="center"/>
    </w:pPr>
    <w:rPr>
      <w:sz w:val="18"/>
      <w:szCs w:val="18"/>
    </w:rPr>
  </w:style>
  <w:style w:type="paragraph" w:styleId="15">
    <w:name w:val="toc 1"/>
    <w:basedOn w:val="1"/>
    <w:next w:val="1"/>
    <w:qFormat/>
    <w:uiPriority w:val="39"/>
  </w:style>
  <w:style w:type="paragraph" w:styleId="16">
    <w:name w:val="toc 2"/>
    <w:basedOn w:val="1"/>
    <w:next w:val="1"/>
    <w:qFormat/>
    <w:uiPriority w:val="39"/>
    <w:pPr>
      <w:ind w:left="200" w:leftChars="200"/>
    </w:pPr>
  </w:style>
  <w:style w:type="paragraph" w:styleId="17">
    <w:name w:val="annotation subject"/>
    <w:basedOn w:val="6"/>
    <w:next w:val="6"/>
    <w:link w:val="35"/>
    <w:qFormat/>
    <w:uiPriority w:val="0"/>
    <w:rPr>
      <w:b/>
      <w:bCs/>
    </w:rPr>
  </w:style>
  <w:style w:type="paragraph" w:styleId="18">
    <w:name w:val="Body Text First Indent"/>
    <w:basedOn w:val="9"/>
    <w:qFormat/>
    <w:uiPriority w:val="0"/>
    <w:pPr>
      <w:spacing w:line="312" w:lineRule="auto"/>
      <w:ind w:firstLine="420"/>
    </w:pPr>
    <w:rPr>
      <w:szCs w:val="24"/>
    </w:rPr>
  </w:style>
  <w:style w:type="character" w:styleId="21">
    <w:name w:val="annotation reference"/>
    <w:qFormat/>
    <w:uiPriority w:val="0"/>
    <w:rPr>
      <w:sz w:val="21"/>
    </w:rPr>
  </w:style>
  <w:style w:type="paragraph" w:customStyle="1" w:styleId="22">
    <w:name w:val="TOC 标题1"/>
    <w:basedOn w:val="2"/>
    <w:next w:val="1"/>
    <w:qFormat/>
    <w:uiPriority w:val="0"/>
    <w:pPr>
      <w:widowControl/>
      <w:spacing w:before="480" w:after="0" w:line="276" w:lineRule="auto"/>
      <w:jc w:val="left"/>
      <w:outlineLvl w:val="9"/>
    </w:pPr>
    <w:rPr>
      <w:rFonts w:ascii="Cambria" w:hAnsi="Cambria"/>
      <w:color w:val="365F91"/>
      <w:kern w:val="0"/>
      <w:sz w:val="28"/>
    </w:rPr>
  </w:style>
  <w:style w:type="character" w:customStyle="1" w:styleId="23">
    <w:name w:val="NormalCharacter"/>
    <w:semiHidden/>
    <w:qFormat/>
    <w:uiPriority w:val="0"/>
  </w:style>
  <w:style w:type="paragraph" w:customStyle="1" w:styleId="24">
    <w:name w:val="Table Paragraph"/>
    <w:basedOn w:val="1"/>
    <w:unhideWhenUsed/>
    <w:qFormat/>
    <w:uiPriority w:val="99"/>
    <w:rPr>
      <w:rFonts w:hint="eastAsia"/>
    </w:rPr>
  </w:style>
  <w:style w:type="paragraph" w:customStyle="1" w:styleId="25">
    <w:name w:val="样式 宋体 行距: 1.5 倍行距"/>
    <w:basedOn w:val="1"/>
    <w:qFormat/>
    <w:uiPriority w:val="99"/>
    <w:pPr>
      <w:jc w:val="center"/>
    </w:pPr>
    <w:rPr>
      <w:b/>
      <w:bCs/>
    </w:rPr>
  </w:style>
  <w:style w:type="paragraph" w:customStyle="1" w:styleId="26">
    <w:name w:val="p0"/>
    <w:basedOn w:val="1"/>
    <w:qFormat/>
    <w:uiPriority w:val="0"/>
    <w:pPr>
      <w:widowControl/>
      <w:spacing w:before="75" w:after="75"/>
      <w:jc w:val="left"/>
    </w:pPr>
    <w:rPr>
      <w:rFonts w:ascii="宋体" w:hAnsi="宋体" w:cs="宋体"/>
      <w:kern w:val="0"/>
      <w:sz w:val="24"/>
      <w:szCs w:val="24"/>
    </w:rPr>
  </w:style>
  <w:style w:type="paragraph" w:customStyle="1" w:styleId="27">
    <w:name w:val="Default"/>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29">
    <w:name w:val="font31"/>
    <w:basedOn w:val="20"/>
    <w:qFormat/>
    <w:uiPriority w:val="0"/>
    <w:rPr>
      <w:rFonts w:hint="eastAsia" w:ascii="仿宋" w:hAnsi="仿宋" w:eastAsia="仿宋" w:cs="仿宋"/>
      <w:color w:val="000000"/>
      <w:sz w:val="28"/>
      <w:szCs w:val="28"/>
      <w:u w:val="none"/>
    </w:rPr>
  </w:style>
  <w:style w:type="character" w:customStyle="1" w:styleId="30">
    <w:name w:val="font01"/>
    <w:basedOn w:val="20"/>
    <w:qFormat/>
    <w:uiPriority w:val="0"/>
    <w:rPr>
      <w:rFonts w:hint="eastAsia" w:ascii="仿宋" w:hAnsi="仿宋" w:eastAsia="仿宋" w:cs="仿宋"/>
      <w:b/>
      <w:color w:val="000000"/>
      <w:sz w:val="28"/>
      <w:szCs w:val="28"/>
      <w:u w:val="none"/>
    </w:rPr>
  </w:style>
  <w:style w:type="paragraph" w:customStyle="1" w:styleId="31">
    <w:name w:val="表格文字"/>
    <w:basedOn w:val="1"/>
    <w:next w:val="1"/>
    <w:qFormat/>
    <w:uiPriority w:val="0"/>
    <w:pPr>
      <w:adjustRightInd w:val="0"/>
      <w:spacing w:line="420" w:lineRule="atLeast"/>
      <w:jc w:val="left"/>
    </w:pPr>
    <w:rPr>
      <w:rFonts w:ascii="Times New Roman" w:hAnsi="Times New Roman" w:cs="Calibri"/>
      <w:kern w:val="0"/>
      <w:szCs w:val="20"/>
    </w:rPr>
  </w:style>
  <w:style w:type="paragraph" w:customStyle="1" w:styleId="32">
    <w:name w:val="修订1"/>
    <w:hidden/>
    <w:semiHidden/>
    <w:qFormat/>
    <w:uiPriority w:val="99"/>
    <w:rPr>
      <w:rFonts w:ascii="Calibri" w:hAnsi="Calibri" w:eastAsia="宋体" w:cs="Times New Roman"/>
      <w:kern w:val="2"/>
      <w:sz w:val="21"/>
      <w:szCs w:val="22"/>
      <w:lang w:val="en-US" w:eastAsia="zh-CN" w:bidi="ar-SA"/>
    </w:rPr>
  </w:style>
  <w:style w:type="character" w:customStyle="1" w:styleId="33">
    <w:name w:val="页眉 字符"/>
    <w:basedOn w:val="20"/>
    <w:link w:val="14"/>
    <w:qFormat/>
    <w:uiPriority w:val="0"/>
    <w:rPr>
      <w:rFonts w:ascii="Calibri" w:hAnsi="Calibri" w:eastAsia="宋体" w:cs="Times New Roman"/>
      <w:kern w:val="2"/>
      <w:sz w:val="18"/>
      <w:szCs w:val="18"/>
    </w:rPr>
  </w:style>
  <w:style w:type="character" w:customStyle="1" w:styleId="34">
    <w:name w:val="批注文字 字符"/>
    <w:basedOn w:val="20"/>
    <w:link w:val="6"/>
    <w:qFormat/>
    <w:uiPriority w:val="0"/>
    <w:rPr>
      <w:rFonts w:ascii="Calibri" w:hAnsi="Calibri" w:eastAsia="宋体" w:cs="Times New Roman"/>
      <w:kern w:val="2"/>
      <w:sz w:val="21"/>
      <w:szCs w:val="22"/>
    </w:rPr>
  </w:style>
  <w:style w:type="character" w:customStyle="1" w:styleId="35">
    <w:name w:val="批注主题 字符"/>
    <w:basedOn w:val="34"/>
    <w:link w:val="17"/>
    <w:qFormat/>
    <w:uiPriority w:val="0"/>
    <w:rPr>
      <w:rFonts w:ascii="Calibri" w:hAnsi="Calibri" w:eastAsia="宋体" w:cs="Times New Roman"/>
      <w:b/>
      <w:bCs/>
      <w:kern w:val="2"/>
      <w:sz w:val="21"/>
      <w:szCs w:val="22"/>
    </w:rPr>
  </w:style>
  <w:style w:type="paragraph" w:customStyle="1" w:styleId="36">
    <w:name w:val="Revision"/>
    <w:hidden/>
    <w:unhideWhenUsed/>
    <w:qFormat/>
    <w:uiPriority w:val="99"/>
    <w:rPr>
      <w:rFonts w:ascii="Calibri" w:hAnsi="Calibri" w:eastAsia="宋体" w:cs="Times New Roman"/>
      <w:kern w:val="2"/>
      <w:sz w:val="21"/>
      <w:szCs w:val="22"/>
      <w:lang w:val="en-US" w:eastAsia="zh-CN" w:bidi="ar-SA"/>
    </w:rPr>
  </w:style>
  <w:style w:type="paragraph" w:customStyle="1" w:styleId="37">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22402</Words>
  <Characters>23761</Characters>
  <Lines>214</Lines>
  <Paragraphs>60</Paragraphs>
  <TotalTime>2</TotalTime>
  <ScaleCrop>false</ScaleCrop>
  <LinksUpToDate>false</LinksUpToDate>
  <CharactersWithSpaces>24188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2022-12-10T01:10:00Z</dcterms:created>
  <dc:creator>G</dc:creator>
  <cp:lastModifiedBy>元老</cp:lastModifiedBy>
  <cp:lastPrinted>2024-04-23T19:27:00Z</cp:lastPrinted>
  <dcterms:modified xsi:type="dcterms:W3CDTF">2025-07-02T07:01:25Z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C2D794EC328900FBB408AF67346C3B59_43</vt:lpwstr>
  </property>
  <property fmtid="{D5CDD505-2E9C-101B-9397-08002B2CF9AE}" pid="4" name="KSOTemplateDocerSaveRecord">
    <vt:lpwstr>eyJoZGlkIjoiMmNlNDM3YzIxODEyNzAwMWM5YjEzOWIxOTFkNzMyNTEiLCJ1c2VySWQiOiI0MDM4Mzk4NDIifQ==</vt:lpwstr>
  </property>
</Properties>
</file>