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D37B9">
      <w:pPr>
        <w:spacing w:line="272" w:lineRule="auto"/>
        <w:rPr>
          <w:rFonts w:ascii="Arial"/>
          <w:color w:val="auto"/>
          <w:sz w:val="21"/>
          <w:highlight w:val="none"/>
        </w:rPr>
      </w:pPr>
    </w:p>
    <w:p w14:paraId="1CC0B593">
      <w:pPr>
        <w:spacing w:line="272" w:lineRule="auto"/>
        <w:rPr>
          <w:rFonts w:ascii="Arial"/>
          <w:color w:val="auto"/>
          <w:sz w:val="21"/>
          <w:highlight w:val="none"/>
        </w:rPr>
      </w:pPr>
    </w:p>
    <w:p w14:paraId="671B9F83">
      <w:pPr>
        <w:spacing w:line="273" w:lineRule="auto"/>
        <w:rPr>
          <w:rFonts w:ascii="Arial"/>
          <w:color w:val="auto"/>
          <w:sz w:val="21"/>
          <w:highlight w:val="none"/>
        </w:rPr>
      </w:pPr>
    </w:p>
    <w:p w14:paraId="4D2C6E16">
      <w:pPr>
        <w:spacing w:line="273" w:lineRule="auto"/>
        <w:rPr>
          <w:rFonts w:ascii="Arial"/>
          <w:color w:val="auto"/>
          <w:sz w:val="21"/>
          <w:highlight w:val="none"/>
        </w:rPr>
      </w:pPr>
    </w:p>
    <w:p w14:paraId="2FEF8944">
      <w:pPr>
        <w:spacing w:line="273" w:lineRule="auto"/>
        <w:rPr>
          <w:rFonts w:ascii="Arial"/>
          <w:color w:val="auto"/>
          <w:sz w:val="21"/>
          <w:highlight w:val="none"/>
        </w:rPr>
      </w:pPr>
    </w:p>
    <w:p w14:paraId="06E81018">
      <w:pPr>
        <w:widowControl w:val="0"/>
        <w:kinsoku/>
        <w:snapToGrid/>
        <w:spacing w:line="240" w:lineRule="auto"/>
        <w:jc w:val="center"/>
        <w:textAlignment w:val="auto"/>
        <w:rPr>
          <w:rFonts w:hint="eastAsia" w:ascii="宋体" w:hAnsi="宋体" w:eastAsia="宋体" w:cs="宋体"/>
          <w:snapToGrid/>
          <w:color w:val="auto"/>
          <w:kern w:val="0"/>
          <w:sz w:val="36"/>
          <w:szCs w:val="36"/>
          <w:highlight w:val="none"/>
          <w:u w:val="single"/>
          <w:lang w:eastAsia="zh-CN"/>
        </w:rPr>
      </w:pPr>
      <w:bookmarkStart w:id="0" w:name="_Toc2602"/>
      <w:bookmarkStart w:id="1" w:name="_Toc19286"/>
      <w:bookmarkStart w:id="2" w:name="_Toc28778"/>
      <w:bookmarkStart w:id="3" w:name="_Toc20946"/>
      <w:bookmarkStart w:id="4" w:name="_Toc8719"/>
      <w:r>
        <w:rPr>
          <w:rFonts w:hint="eastAsia" w:ascii="宋体" w:hAnsi="宋体" w:eastAsia="宋体" w:cs="宋体"/>
          <w:snapToGrid/>
          <w:color w:val="auto"/>
          <w:kern w:val="0"/>
          <w:sz w:val="36"/>
          <w:szCs w:val="36"/>
          <w:highlight w:val="none"/>
          <w:u w:val="single"/>
          <w:lang w:eastAsia="zh-CN"/>
        </w:rPr>
        <w:t>穗云水厂常规工艺增容工程勘察及初步设计</w:t>
      </w:r>
    </w:p>
    <w:bookmarkEnd w:id="0"/>
    <w:bookmarkEnd w:id="1"/>
    <w:bookmarkEnd w:id="2"/>
    <w:bookmarkEnd w:id="3"/>
    <w:bookmarkEnd w:id="4"/>
    <w:p w14:paraId="1C9D0A0F">
      <w:pPr>
        <w:widowControl w:val="0"/>
        <w:kinsoku/>
        <w:snapToGrid/>
        <w:spacing w:line="240" w:lineRule="auto"/>
        <w:jc w:val="center"/>
        <w:textAlignment w:val="auto"/>
        <w:rPr>
          <w:rFonts w:hint="eastAsia" w:ascii="宋体" w:hAnsi="宋体" w:eastAsia="宋体" w:cs="宋体"/>
          <w:snapToGrid/>
          <w:color w:val="auto"/>
          <w:kern w:val="0"/>
          <w:sz w:val="36"/>
          <w:szCs w:val="36"/>
          <w:highlight w:val="none"/>
          <w:u w:val="single"/>
        </w:rPr>
      </w:pPr>
    </w:p>
    <w:p w14:paraId="45A42B38">
      <w:pPr>
        <w:spacing w:line="269" w:lineRule="auto"/>
        <w:rPr>
          <w:rFonts w:hint="eastAsia" w:ascii="宋体" w:hAnsi="宋体" w:eastAsia="宋体" w:cs="宋体"/>
          <w:color w:val="auto"/>
          <w:sz w:val="21"/>
          <w:highlight w:val="none"/>
        </w:rPr>
      </w:pPr>
    </w:p>
    <w:p w14:paraId="4EDD7578">
      <w:pPr>
        <w:spacing w:line="269" w:lineRule="auto"/>
        <w:rPr>
          <w:rFonts w:hint="eastAsia" w:ascii="宋体" w:hAnsi="宋体" w:eastAsia="宋体" w:cs="宋体"/>
          <w:color w:val="auto"/>
          <w:sz w:val="21"/>
          <w:highlight w:val="none"/>
        </w:rPr>
      </w:pPr>
    </w:p>
    <w:p w14:paraId="35F42201">
      <w:pPr>
        <w:spacing w:line="269" w:lineRule="auto"/>
        <w:rPr>
          <w:rFonts w:hint="eastAsia" w:ascii="宋体" w:hAnsi="宋体" w:eastAsia="宋体" w:cs="宋体"/>
          <w:color w:val="auto"/>
          <w:sz w:val="21"/>
          <w:highlight w:val="none"/>
        </w:rPr>
      </w:pPr>
    </w:p>
    <w:p w14:paraId="62BBAC1B">
      <w:pPr>
        <w:spacing w:line="270" w:lineRule="auto"/>
        <w:rPr>
          <w:rFonts w:hint="eastAsia" w:ascii="宋体" w:hAnsi="宋体" w:eastAsia="宋体" w:cs="宋体"/>
          <w:color w:val="auto"/>
          <w:sz w:val="21"/>
          <w:highlight w:val="none"/>
        </w:rPr>
      </w:pPr>
    </w:p>
    <w:p w14:paraId="467C8B79">
      <w:pPr>
        <w:spacing w:line="270" w:lineRule="auto"/>
        <w:rPr>
          <w:rFonts w:hint="eastAsia" w:ascii="宋体" w:hAnsi="宋体" w:eastAsia="宋体" w:cs="宋体"/>
          <w:color w:val="auto"/>
          <w:sz w:val="21"/>
          <w:highlight w:val="none"/>
        </w:rPr>
      </w:pPr>
    </w:p>
    <w:p w14:paraId="77AF866E">
      <w:pPr>
        <w:spacing w:before="140" w:line="226" w:lineRule="auto"/>
        <w:ind w:left="0" w:leftChars="0" w:firstLine="0" w:firstLineChars="0"/>
        <w:jc w:val="center"/>
        <w:rPr>
          <w:rFonts w:hint="eastAsia" w:ascii="宋体" w:hAnsi="宋体" w:eastAsia="宋体" w:cs="宋体"/>
          <w:color w:val="auto"/>
          <w:sz w:val="43"/>
          <w:szCs w:val="43"/>
          <w:highlight w:val="none"/>
          <w:lang w:eastAsia="zh-CN"/>
        </w:rPr>
      </w:pPr>
      <w:r>
        <w:rPr>
          <w:rFonts w:hint="eastAsia" w:ascii="宋体" w:hAnsi="宋体" w:eastAsia="宋体" w:cs="宋体"/>
          <w:color w:val="auto"/>
          <w:sz w:val="84"/>
          <w:szCs w:val="84"/>
          <w:highlight w:val="none"/>
        </w:rPr>
        <w:t>招标</w:t>
      </w:r>
      <w:r>
        <w:rPr>
          <w:rFonts w:hint="eastAsia" w:ascii="宋体" w:hAnsi="宋体" w:eastAsia="宋体" w:cs="宋体"/>
          <w:color w:val="auto"/>
          <w:sz w:val="84"/>
          <w:szCs w:val="84"/>
          <w:highlight w:val="none"/>
          <w:lang w:val="en-US" w:eastAsia="zh-CN"/>
        </w:rPr>
        <w:t>公告</w:t>
      </w:r>
      <w:bookmarkStart w:id="79" w:name="_GoBack"/>
      <w:bookmarkEnd w:id="79"/>
    </w:p>
    <w:p w14:paraId="0AB90803">
      <w:pPr>
        <w:keepNext w:val="0"/>
        <w:keepLines w:val="0"/>
        <w:pageBreakBefore w:val="0"/>
        <w:widowControl/>
        <w:kinsoku w:val="0"/>
        <w:wordWrap/>
        <w:overflowPunct/>
        <w:topLinePunct w:val="0"/>
        <w:autoSpaceDE w:val="0"/>
        <w:autoSpaceDN w:val="0"/>
        <w:bidi w:val="0"/>
        <w:adjustRightInd w:val="0"/>
        <w:snapToGrid w:val="0"/>
        <w:spacing w:line="250" w:lineRule="auto"/>
        <w:ind w:left="-105" w:leftChars="-50" w:right="-105" w:rightChars="-50"/>
        <w:textAlignment w:val="baseline"/>
        <w:rPr>
          <w:rFonts w:hint="eastAsia" w:ascii="宋体" w:hAnsi="宋体" w:eastAsia="宋体" w:cs="宋体"/>
          <w:color w:val="auto"/>
          <w:sz w:val="21"/>
          <w:highlight w:val="none"/>
        </w:rPr>
      </w:pPr>
    </w:p>
    <w:p w14:paraId="2DB69C92">
      <w:pPr>
        <w:spacing w:line="250" w:lineRule="auto"/>
        <w:rPr>
          <w:rFonts w:hint="eastAsia" w:ascii="宋体" w:hAnsi="宋体" w:eastAsia="宋体" w:cs="宋体"/>
          <w:color w:val="auto"/>
          <w:sz w:val="21"/>
          <w:highlight w:val="none"/>
        </w:rPr>
      </w:pPr>
    </w:p>
    <w:p w14:paraId="13075AC5">
      <w:pPr>
        <w:spacing w:line="250" w:lineRule="auto"/>
        <w:rPr>
          <w:rFonts w:hint="eastAsia" w:ascii="宋体" w:hAnsi="宋体" w:eastAsia="宋体" w:cs="宋体"/>
          <w:color w:val="auto"/>
          <w:sz w:val="21"/>
          <w:highlight w:val="none"/>
        </w:rPr>
      </w:pPr>
    </w:p>
    <w:p w14:paraId="3567389B">
      <w:pPr>
        <w:spacing w:line="250" w:lineRule="auto"/>
        <w:rPr>
          <w:rFonts w:hint="eastAsia" w:ascii="宋体" w:hAnsi="宋体" w:eastAsia="宋体" w:cs="宋体"/>
          <w:color w:val="auto"/>
          <w:sz w:val="21"/>
          <w:highlight w:val="none"/>
        </w:rPr>
      </w:pPr>
    </w:p>
    <w:p w14:paraId="58F7E03A">
      <w:pPr>
        <w:spacing w:line="250" w:lineRule="auto"/>
        <w:rPr>
          <w:rFonts w:hint="eastAsia" w:ascii="宋体" w:hAnsi="宋体" w:eastAsia="宋体" w:cs="宋体"/>
          <w:color w:val="auto"/>
          <w:sz w:val="21"/>
          <w:highlight w:val="none"/>
        </w:rPr>
      </w:pPr>
    </w:p>
    <w:p w14:paraId="440ED04C">
      <w:pPr>
        <w:spacing w:line="250" w:lineRule="auto"/>
        <w:rPr>
          <w:rFonts w:hint="eastAsia" w:ascii="宋体" w:hAnsi="宋体" w:eastAsia="宋体" w:cs="宋体"/>
          <w:color w:val="auto"/>
          <w:sz w:val="21"/>
          <w:highlight w:val="none"/>
        </w:rPr>
      </w:pPr>
    </w:p>
    <w:p w14:paraId="07A53E1A">
      <w:pPr>
        <w:spacing w:line="250" w:lineRule="auto"/>
        <w:rPr>
          <w:rFonts w:hint="eastAsia" w:ascii="宋体" w:hAnsi="宋体" w:eastAsia="宋体" w:cs="宋体"/>
          <w:color w:val="auto"/>
          <w:sz w:val="21"/>
          <w:highlight w:val="none"/>
        </w:rPr>
      </w:pPr>
    </w:p>
    <w:p w14:paraId="602FF6C7">
      <w:pPr>
        <w:spacing w:line="250" w:lineRule="auto"/>
        <w:rPr>
          <w:rFonts w:hint="eastAsia" w:ascii="宋体" w:hAnsi="宋体" w:eastAsia="宋体" w:cs="宋体"/>
          <w:color w:val="auto"/>
          <w:sz w:val="21"/>
          <w:highlight w:val="none"/>
        </w:rPr>
      </w:pPr>
    </w:p>
    <w:p w14:paraId="313BFDFB">
      <w:pPr>
        <w:spacing w:line="250" w:lineRule="auto"/>
        <w:rPr>
          <w:rFonts w:hint="eastAsia" w:ascii="宋体" w:hAnsi="宋体" w:eastAsia="宋体" w:cs="宋体"/>
          <w:color w:val="auto"/>
          <w:sz w:val="21"/>
          <w:highlight w:val="none"/>
        </w:rPr>
      </w:pPr>
    </w:p>
    <w:p w14:paraId="248323DC">
      <w:pPr>
        <w:spacing w:line="250" w:lineRule="auto"/>
        <w:rPr>
          <w:rFonts w:hint="eastAsia" w:ascii="宋体" w:hAnsi="宋体" w:eastAsia="宋体" w:cs="宋体"/>
          <w:color w:val="auto"/>
          <w:sz w:val="21"/>
          <w:highlight w:val="none"/>
        </w:rPr>
      </w:pPr>
    </w:p>
    <w:p w14:paraId="2CFE3387">
      <w:pPr>
        <w:spacing w:line="250" w:lineRule="auto"/>
        <w:rPr>
          <w:rFonts w:hint="eastAsia" w:ascii="宋体" w:hAnsi="宋体" w:eastAsia="宋体" w:cs="宋体"/>
          <w:color w:val="auto"/>
          <w:sz w:val="21"/>
          <w:highlight w:val="none"/>
        </w:rPr>
      </w:pPr>
    </w:p>
    <w:p w14:paraId="6D821457">
      <w:pPr>
        <w:spacing w:line="250" w:lineRule="auto"/>
        <w:rPr>
          <w:rFonts w:hint="eastAsia" w:ascii="宋体" w:hAnsi="宋体" w:eastAsia="宋体" w:cs="宋体"/>
          <w:color w:val="auto"/>
          <w:sz w:val="21"/>
          <w:highlight w:val="none"/>
        </w:rPr>
      </w:pPr>
    </w:p>
    <w:p w14:paraId="4483D50B">
      <w:pPr>
        <w:spacing w:line="250" w:lineRule="auto"/>
        <w:rPr>
          <w:rFonts w:hint="eastAsia" w:ascii="宋体" w:hAnsi="宋体" w:eastAsia="宋体" w:cs="宋体"/>
          <w:color w:val="auto"/>
          <w:sz w:val="21"/>
          <w:highlight w:val="none"/>
        </w:rPr>
      </w:pPr>
    </w:p>
    <w:p w14:paraId="74D19E9E">
      <w:pPr>
        <w:spacing w:line="250" w:lineRule="auto"/>
        <w:rPr>
          <w:rFonts w:hint="eastAsia" w:ascii="宋体" w:hAnsi="宋体" w:eastAsia="宋体" w:cs="宋体"/>
          <w:color w:val="auto"/>
          <w:sz w:val="21"/>
          <w:highlight w:val="none"/>
        </w:rPr>
      </w:pPr>
    </w:p>
    <w:p w14:paraId="79314AA3">
      <w:pPr>
        <w:spacing w:line="250" w:lineRule="auto"/>
        <w:rPr>
          <w:rFonts w:hint="eastAsia" w:ascii="宋体" w:hAnsi="宋体" w:eastAsia="宋体" w:cs="宋体"/>
          <w:color w:val="auto"/>
          <w:sz w:val="21"/>
          <w:highlight w:val="none"/>
        </w:rPr>
      </w:pPr>
    </w:p>
    <w:p w14:paraId="5243F292">
      <w:pPr>
        <w:spacing w:line="250" w:lineRule="auto"/>
        <w:rPr>
          <w:rFonts w:hint="eastAsia" w:ascii="宋体" w:hAnsi="宋体" w:eastAsia="宋体" w:cs="宋体"/>
          <w:color w:val="auto"/>
          <w:sz w:val="21"/>
          <w:highlight w:val="none"/>
        </w:rPr>
      </w:pPr>
    </w:p>
    <w:p w14:paraId="7D56EEAF">
      <w:pPr>
        <w:spacing w:line="250" w:lineRule="auto"/>
        <w:rPr>
          <w:rFonts w:hint="eastAsia" w:ascii="宋体" w:hAnsi="宋体" w:eastAsia="宋体" w:cs="宋体"/>
          <w:color w:val="auto"/>
          <w:sz w:val="21"/>
          <w:highlight w:val="none"/>
        </w:rPr>
      </w:pPr>
    </w:p>
    <w:p w14:paraId="59340096">
      <w:pPr>
        <w:spacing w:line="250" w:lineRule="auto"/>
        <w:rPr>
          <w:rFonts w:hint="eastAsia" w:ascii="宋体" w:hAnsi="宋体" w:eastAsia="宋体" w:cs="宋体"/>
          <w:color w:val="auto"/>
          <w:sz w:val="21"/>
          <w:highlight w:val="none"/>
        </w:rPr>
      </w:pPr>
    </w:p>
    <w:p w14:paraId="376D5AB4">
      <w:pPr>
        <w:spacing w:line="250" w:lineRule="auto"/>
        <w:rPr>
          <w:rFonts w:hint="eastAsia" w:ascii="宋体" w:hAnsi="宋体" w:eastAsia="宋体" w:cs="宋体"/>
          <w:color w:val="auto"/>
          <w:sz w:val="21"/>
          <w:highlight w:val="none"/>
        </w:rPr>
      </w:pPr>
    </w:p>
    <w:p w14:paraId="7F1F06DA">
      <w:pPr>
        <w:spacing w:line="250" w:lineRule="auto"/>
        <w:rPr>
          <w:rFonts w:hint="eastAsia" w:ascii="宋体" w:hAnsi="宋体" w:eastAsia="宋体" w:cs="宋体"/>
          <w:color w:val="auto"/>
          <w:sz w:val="21"/>
          <w:highlight w:val="none"/>
        </w:rPr>
      </w:pPr>
    </w:p>
    <w:p w14:paraId="2D252E15">
      <w:pPr>
        <w:spacing w:line="250" w:lineRule="auto"/>
        <w:rPr>
          <w:rFonts w:hint="eastAsia" w:ascii="宋体" w:hAnsi="宋体" w:eastAsia="宋体" w:cs="宋体"/>
          <w:color w:val="auto"/>
          <w:sz w:val="21"/>
          <w:highlight w:val="none"/>
        </w:rPr>
      </w:pPr>
    </w:p>
    <w:p w14:paraId="043A976E">
      <w:pPr>
        <w:spacing w:line="250" w:lineRule="auto"/>
        <w:rPr>
          <w:rFonts w:hint="eastAsia" w:ascii="宋体" w:hAnsi="宋体" w:eastAsia="宋体" w:cs="宋体"/>
          <w:color w:val="auto"/>
          <w:sz w:val="21"/>
          <w:highlight w:val="none"/>
        </w:rPr>
      </w:pPr>
    </w:p>
    <w:p w14:paraId="415E9DA8">
      <w:pPr>
        <w:spacing w:before="88" w:line="468" w:lineRule="auto"/>
        <w:ind w:left="0"/>
        <w:jc w:val="center"/>
        <w:rPr>
          <w:rFonts w:hint="eastAsia" w:ascii="宋体" w:hAnsi="宋体" w:eastAsia="宋体" w:cs="宋体"/>
          <w:color w:val="auto"/>
          <w:spacing w:val="-4"/>
          <w:sz w:val="27"/>
          <w:szCs w:val="27"/>
          <w:highlight w:val="none"/>
        </w:rPr>
      </w:pPr>
      <w:r>
        <w:rPr>
          <w:rFonts w:hint="eastAsia" w:ascii="宋体" w:hAnsi="宋体" w:eastAsia="宋体" w:cs="宋体"/>
          <w:color w:val="auto"/>
          <w:spacing w:val="-4"/>
          <w:sz w:val="27"/>
          <w:szCs w:val="27"/>
          <w:highlight w:val="none"/>
        </w:rPr>
        <w:t>招标人：</w:t>
      </w:r>
      <w:r>
        <w:rPr>
          <w:rFonts w:hint="eastAsia" w:ascii="宋体" w:hAnsi="宋体" w:eastAsia="宋体" w:cs="宋体"/>
          <w:color w:val="auto"/>
          <w:spacing w:val="-4"/>
          <w:sz w:val="27"/>
          <w:szCs w:val="27"/>
          <w:highlight w:val="none"/>
          <w:u w:val="single" w:color="auto"/>
        </w:rPr>
        <w:t>广州市</w:t>
      </w:r>
      <w:r>
        <w:rPr>
          <w:rFonts w:hint="eastAsia" w:ascii="宋体" w:hAnsi="宋体" w:eastAsia="宋体" w:cs="宋体"/>
          <w:color w:val="auto"/>
          <w:spacing w:val="-4"/>
          <w:sz w:val="27"/>
          <w:szCs w:val="27"/>
          <w:highlight w:val="none"/>
          <w:u w:val="single" w:color="auto"/>
          <w:lang w:eastAsia="zh-CN"/>
        </w:rPr>
        <w:t>穗云</w:t>
      </w:r>
      <w:r>
        <w:rPr>
          <w:rFonts w:hint="eastAsia" w:ascii="宋体" w:hAnsi="宋体" w:eastAsia="宋体" w:cs="宋体"/>
          <w:color w:val="auto"/>
          <w:spacing w:val="-4"/>
          <w:sz w:val="27"/>
          <w:szCs w:val="27"/>
          <w:highlight w:val="none"/>
          <w:u w:val="single" w:color="auto"/>
        </w:rPr>
        <w:t>自来水有限公司</w:t>
      </w:r>
      <w:r>
        <w:rPr>
          <w:rFonts w:hint="eastAsia" w:ascii="宋体" w:hAnsi="宋体" w:eastAsia="宋体" w:cs="宋体"/>
          <w:color w:val="auto"/>
          <w:spacing w:val="-4"/>
          <w:sz w:val="27"/>
          <w:szCs w:val="27"/>
          <w:highlight w:val="none"/>
        </w:rPr>
        <w:t>(盖单位章)</w:t>
      </w:r>
    </w:p>
    <w:p w14:paraId="778293A5">
      <w:pPr>
        <w:spacing w:before="88" w:line="468" w:lineRule="auto"/>
        <w:ind w:left="0"/>
        <w:jc w:val="center"/>
        <w:rPr>
          <w:rFonts w:hint="eastAsia" w:ascii="宋体" w:hAnsi="宋体" w:eastAsia="宋体" w:cs="宋体"/>
          <w:color w:val="auto"/>
          <w:spacing w:val="-4"/>
          <w:sz w:val="27"/>
          <w:szCs w:val="27"/>
          <w:highlight w:val="none"/>
        </w:rPr>
      </w:pPr>
      <w:r>
        <w:rPr>
          <w:rFonts w:hint="eastAsia" w:ascii="宋体" w:hAnsi="宋体" w:eastAsia="宋体" w:cs="宋体"/>
          <w:color w:val="auto"/>
          <w:spacing w:val="-4"/>
          <w:sz w:val="27"/>
          <w:szCs w:val="27"/>
          <w:highlight w:val="none"/>
        </w:rPr>
        <w:t>招标代理</w:t>
      </w:r>
      <w:r>
        <w:rPr>
          <w:rFonts w:hint="eastAsia" w:ascii="宋体" w:hAnsi="宋体" w:eastAsia="宋体" w:cs="宋体"/>
          <w:color w:val="auto"/>
          <w:spacing w:val="-4"/>
          <w:sz w:val="27"/>
          <w:szCs w:val="27"/>
          <w:highlight w:val="none"/>
          <w:lang w:val="en-US" w:eastAsia="zh-CN"/>
        </w:rPr>
        <w:t>机构</w:t>
      </w:r>
      <w:r>
        <w:rPr>
          <w:rFonts w:hint="eastAsia" w:ascii="宋体" w:hAnsi="宋体" w:eastAsia="宋体" w:cs="宋体"/>
          <w:color w:val="auto"/>
          <w:spacing w:val="-4"/>
          <w:sz w:val="27"/>
          <w:szCs w:val="27"/>
          <w:highlight w:val="none"/>
        </w:rPr>
        <w:t>：</w:t>
      </w:r>
      <w:r>
        <w:rPr>
          <w:rFonts w:hint="eastAsia" w:ascii="宋体" w:hAnsi="宋体" w:eastAsia="宋体" w:cs="宋体"/>
          <w:color w:val="auto"/>
          <w:spacing w:val="-4"/>
          <w:sz w:val="27"/>
          <w:szCs w:val="27"/>
          <w:highlight w:val="none"/>
          <w:u w:val="single" w:color="auto"/>
          <w:lang w:val="en-US" w:eastAsia="zh-CN"/>
        </w:rPr>
        <w:t>广州峤达咨询服务有限公司</w:t>
      </w:r>
      <w:r>
        <w:rPr>
          <w:rFonts w:hint="eastAsia" w:ascii="宋体" w:hAnsi="宋体" w:eastAsia="宋体" w:cs="宋体"/>
          <w:color w:val="auto"/>
          <w:spacing w:val="-4"/>
          <w:sz w:val="27"/>
          <w:szCs w:val="27"/>
          <w:highlight w:val="none"/>
        </w:rPr>
        <w:t>(盖单位章)</w:t>
      </w:r>
    </w:p>
    <w:p w14:paraId="453CF220">
      <w:pPr>
        <w:tabs>
          <w:tab w:val="left" w:pos="3507"/>
        </w:tabs>
        <w:spacing w:before="1" w:line="229" w:lineRule="auto"/>
        <w:ind w:left="2761"/>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u w:val="single" w:color="auto"/>
          <w:lang w:val="en-US" w:eastAsia="zh-CN"/>
        </w:rPr>
        <w:t>2025</w:t>
      </w:r>
      <w:r>
        <w:rPr>
          <w:rFonts w:hint="eastAsia" w:ascii="宋体" w:hAnsi="宋体" w:eastAsia="宋体" w:cs="宋体"/>
          <w:color w:val="auto"/>
          <w:spacing w:val="6"/>
          <w:sz w:val="27"/>
          <w:szCs w:val="27"/>
          <w:highlight w:val="none"/>
        </w:rPr>
        <w:t>年</w:t>
      </w:r>
      <w:r>
        <w:rPr>
          <w:rFonts w:hint="eastAsia" w:ascii="宋体" w:hAnsi="宋体" w:eastAsia="宋体" w:cs="宋体"/>
          <w:color w:val="auto"/>
          <w:spacing w:val="6"/>
          <w:sz w:val="27"/>
          <w:szCs w:val="27"/>
          <w:highlight w:val="none"/>
          <w:u w:val="single" w:color="auto"/>
          <w:lang w:val="en-US" w:eastAsia="zh-CN"/>
        </w:rPr>
        <w:t xml:space="preserve"> 7 </w:t>
      </w:r>
      <w:r>
        <w:rPr>
          <w:rFonts w:hint="eastAsia" w:ascii="宋体" w:hAnsi="宋体" w:eastAsia="宋体" w:cs="宋体"/>
          <w:color w:val="auto"/>
          <w:spacing w:val="3"/>
          <w:sz w:val="27"/>
          <w:szCs w:val="27"/>
          <w:highlight w:val="none"/>
        </w:rPr>
        <w:t>月</w:t>
      </w:r>
    </w:p>
    <w:p w14:paraId="7E29B002">
      <w:pPr>
        <w:rPr>
          <w:rFonts w:hint="eastAsia" w:ascii="宋体" w:hAnsi="宋体" w:eastAsia="宋体" w:cs="宋体"/>
          <w:color w:val="auto"/>
          <w:highlight w:val="none"/>
        </w:rPr>
        <w:sectPr>
          <w:footerReference r:id="rId5" w:type="default"/>
          <w:pgSz w:w="11906" w:h="16838"/>
          <w:pgMar w:top="1346" w:right="1836" w:bottom="0" w:left="1836" w:header="0" w:footer="941" w:gutter="0"/>
          <w:pgBorders>
            <w:top w:val="none" w:sz="0" w:space="0"/>
            <w:left w:val="none" w:sz="0" w:space="0"/>
            <w:bottom w:val="none" w:sz="0" w:space="0"/>
            <w:right w:val="none" w:sz="0" w:space="0"/>
          </w:pgBorders>
          <w:pgNumType w:fmt="decimal"/>
          <w:cols w:space="720" w:num="1"/>
        </w:sectPr>
      </w:pPr>
    </w:p>
    <w:p w14:paraId="56EA4CCF">
      <w:pPr>
        <w:tabs>
          <w:tab w:val="left" w:pos="3368"/>
        </w:tabs>
        <w:spacing w:before="87" w:line="229" w:lineRule="auto"/>
        <w:jc w:val="center"/>
        <w:outlineLvl w:val="1"/>
        <w:rPr>
          <w:rFonts w:hint="eastAsia" w:ascii="宋体" w:hAnsi="宋体" w:eastAsia="宋体" w:cs="宋体"/>
          <w:b/>
          <w:bCs/>
          <w:color w:val="auto"/>
          <w:spacing w:val="23"/>
          <w:sz w:val="32"/>
          <w:szCs w:val="32"/>
          <w:highlight w:val="none"/>
          <w:u w:val="single"/>
          <w:lang w:eastAsia="zh-CN"/>
        </w:rPr>
      </w:pPr>
      <w:bookmarkStart w:id="5" w:name="_Toc2535"/>
      <w:bookmarkStart w:id="6" w:name="_Toc21908"/>
      <w:bookmarkStart w:id="7" w:name="_Toc22814"/>
      <w:bookmarkStart w:id="8" w:name="_Toc9974"/>
      <w:bookmarkStart w:id="9" w:name="_Toc26872"/>
      <w:bookmarkStart w:id="10" w:name="_Toc6585"/>
      <w:bookmarkStart w:id="11" w:name="_Toc625"/>
      <w:r>
        <w:rPr>
          <w:rFonts w:hint="eastAsia" w:ascii="宋体" w:hAnsi="宋体" w:eastAsia="宋体" w:cs="宋体"/>
          <w:b/>
          <w:bCs/>
          <w:color w:val="auto"/>
          <w:spacing w:val="18"/>
          <w:sz w:val="32"/>
          <w:szCs w:val="32"/>
          <w:highlight w:val="none"/>
        </w:rPr>
        <w:t>穗云水厂常规工艺增容工程勘察及初步设计</w:t>
      </w:r>
    </w:p>
    <w:p w14:paraId="4C9A56FF">
      <w:pPr>
        <w:tabs>
          <w:tab w:val="left" w:pos="3368"/>
        </w:tabs>
        <w:spacing w:before="87" w:line="229" w:lineRule="auto"/>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pacing w:val="18"/>
          <w:sz w:val="32"/>
          <w:szCs w:val="32"/>
          <w:highlight w:val="none"/>
        </w:rPr>
        <w:t>招标公告</w:t>
      </w:r>
      <w:bookmarkEnd w:id="5"/>
      <w:bookmarkEnd w:id="6"/>
      <w:bookmarkEnd w:id="7"/>
      <w:bookmarkEnd w:id="8"/>
      <w:bookmarkEnd w:id="9"/>
      <w:bookmarkEnd w:id="10"/>
      <w:bookmarkEnd w:id="11"/>
    </w:p>
    <w:p w14:paraId="68B38F0A">
      <w:pPr>
        <w:spacing w:line="318" w:lineRule="auto"/>
        <w:rPr>
          <w:rFonts w:ascii="Arial"/>
          <w:color w:val="auto"/>
          <w:sz w:val="21"/>
          <w:highlight w:val="none"/>
        </w:rPr>
      </w:pPr>
    </w:p>
    <w:p w14:paraId="69793415">
      <w:pPr>
        <w:pStyle w:val="5"/>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textAlignment w:val="baseline"/>
        <w:rPr>
          <w:rFonts w:hint="eastAsia" w:ascii="宋体" w:hAnsi="宋体" w:eastAsia="宋体" w:cs="宋体"/>
          <w:color w:val="auto"/>
          <w:sz w:val="21"/>
          <w:highlight w:val="none"/>
        </w:rPr>
      </w:pPr>
      <w:bookmarkStart w:id="12" w:name="_Toc30951"/>
      <w:bookmarkStart w:id="13" w:name="_Toc32678"/>
      <w:bookmarkStart w:id="14" w:name="_Toc29913"/>
      <w:bookmarkStart w:id="15" w:name="_Toc17602"/>
      <w:bookmarkStart w:id="16" w:name="_Toc32250"/>
      <w:r>
        <w:rPr>
          <w:rFonts w:hint="eastAsia"/>
          <w:color w:val="auto"/>
          <w:highlight w:val="none"/>
        </w:rPr>
        <w:t>1. 招标条件</w:t>
      </w:r>
      <w:bookmarkEnd w:id="12"/>
      <w:bookmarkEnd w:id="13"/>
      <w:bookmarkEnd w:id="14"/>
      <w:bookmarkEnd w:id="15"/>
      <w:bookmarkEnd w:id="16"/>
    </w:p>
    <w:p w14:paraId="29232CDA">
      <w:pPr>
        <w:spacing w:before="68" w:line="360" w:lineRule="auto"/>
        <w:ind w:left="9" w:right="74" w:firstLine="41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本招标项目</w:t>
      </w:r>
      <w:r>
        <w:rPr>
          <w:rFonts w:hint="eastAsia" w:ascii="宋体" w:hAnsi="宋体" w:eastAsia="宋体" w:cs="宋体"/>
          <w:color w:val="auto"/>
          <w:spacing w:val="-1"/>
          <w:sz w:val="21"/>
          <w:szCs w:val="21"/>
          <w:highlight w:val="none"/>
          <w:u w:val="single" w:color="auto"/>
        </w:rPr>
        <w:t>穗云水厂常规工艺增容工程</w:t>
      </w:r>
      <w:r>
        <w:rPr>
          <w:rFonts w:hint="eastAsia" w:ascii="宋体" w:hAnsi="宋体" w:eastAsia="宋体" w:cs="宋体"/>
          <w:color w:val="auto"/>
          <w:spacing w:val="-1"/>
          <w:sz w:val="21"/>
          <w:szCs w:val="21"/>
          <w:highlight w:val="none"/>
          <w:u w:val="none" w:color="auto"/>
          <w:lang w:val="en-US" w:eastAsia="zh-CN"/>
        </w:rPr>
        <w:t>已由</w:t>
      </w:r>
      <w:r>
        <w:rPr>
          <w:rFonts w:hint="eastAsia" w:ascii="宋体" w:hAnsi="宋体" w:eastAsia="宋体" w:cs="宋体"/>
          <w:color w:val="auto"/>
          <w:spacing w:val="-1"/>
          <w:highlight w:val="none"/>
          <w:u w:val="single"/>
        </w:rPr>
        <w:t>广州市白云区发展和改革局</w:t>
      </w:r>
      <w:r>
        <w:rPr>
          <w:rFonts w:hint="eastAsia" w:ascii="宋体" w:hAnsi="宋体" w:eastAsia="宋体" w:cs="宋体"/>
          <w:color w:val="auto"/>
          <w:spacing w:val="-1"/>
          <w:highlight w:val="none"/>
          <w:u w:val="none"/>
        </w:rPr>
        <w:t>以</w:t>
      </w:r>
      <w:r>
        <w:rPr>
          <w:rFonts w:hint="eastAsia" w:ascii="宋体" w:hAnsi="宋体" w:eastAsia="宋体" w:cs="宋体"/>
          <w:color w:val="auto"/>
          <w:sz w:val="21"/>
          <w:szCs w:val="21"/>
          <w:highlight w:val="none"/>
          <w:u w:val="single" w:color="auto"/>
          <w:lang w:val="en-US" w:eastAsia="zh-CN"/>
        </w:rPr>
        <w:t>云发改函[2025]47号</w:t>
      </w:r>
      <w:r>
        <w:rPr>
          <w:rFonts w:hint="eastAsia" w:ascii="宋体" w:hAnsi="宋体" w:eastAsia="宋体" w:cs="宋体"/>
          <w:color w:val="auto"/>
          <w:sz w:val="21"/>
          <w:szCs w:val="21"/>
          <w:highlight w:val="none"/>
          <w:u w:val="none" w:color="auto"/>
          <w:lang w:val="en-US" w:eastAsia="zh-CN"/>
        </w:rPr>
        <w:t>批准建设</w:t>
      </w:r>
      <w:r>
        <w:rPr>
          <w:rFonts w:hint="eastAsia" w:ascii="宋体" w:hAnsi="宋体" w:eastAsia="宋体" w:cs="宋体"/>
          <w:color w:val="auto"/>
          <w:spacing w:val="-1"/>
          <w:sz w:val="21"/>
          <w:szCs w:val="21"/>
          <w:highlight w:val="none"/>
        </w:rPr>
        <w:t>，项目业主为</w:t>
      </w:r>
      <w:r>
        <w:rPr>
          <w:rFonts w:hint="eastAsia" w:ascii="宋体" w:hAnsi="宋体" w:eastAsia="宋体" w:cs="宋体"/>
          <w:color w:val="auto"/>
          <w:sz w:val="21"/>
          <w:szCs w:val="21"/>
          <w:highlight w:val="none"/>
          <w:u w:val="single" w:color="auto"/>
        </w:rPr>
        <w:t>广州市穗云自来水有限公司</w:t>
      </w:r>
      <w:r>
        <w:rPr>
          <w:rFonts w:hint="eastAsia" w:ascii="宋体" w:hAnsi="宋体" w:eastAsia="宋体" w:cs="宋体"/>
          <w:color w:val="auto"/>
          <w:spacing w:val="-1"/>
          <w:sz w:val="21"/>
          <w:szCs w:val="21"/>
          <w:highlight w:val="none"/>
        </w:rPr>
        <w:t>，建设资金来</w:t>
      </w:r>
      <w:r>
        <w:rPr>
          <w:rFonts w:hint="eastAsia" w:ascii="宋体" w:hAnsi="宋体" w:eastAsia="宋体" w:cs="宋体"/>
          <w:color w:val="auto"/>
          <w:spacing w:val="1"/>
          <w:sz w:val="21"/>
          <w:szCs w:val="21"/>
          <w:highlight w:val="none"/>
        </w:rPr>
        <w:t>自</w:t>
      </w:r>
      <w:r>
        <w:rPr>
          <w:rFonts w:hint="eastAsia" w:ascii="宋体" w:hAnsi="宋体" w:eastAsia="宋体" w:cs="宋体"/>
          <w:color w:val="auto"/>
          <w:spacing w:val="1"/>
          <w:sz w:val="21"/>
          <w:szCs w:val="21"/>
          <w:highlight w:val="none"/>
          <w:u w:val="single" w:color="auto"/>
          <w:lang w:val="en-US" w:eastAsia="zh-CN"/>
        </w:rPr>
        <w:t>企业自筹</w:t>
      </w:r>
      <w:r>
        <w:rPr>
          <w:rFonts w:hint="eastAsia" w:ascii="宋体" w:hAnsi="宋体" w:eastAsia="宋体" w:cs="宋体"/>
          <w:color w:val="auto"/>
          <w:spacing w:val="1"/>
          <w:sz w:val="21"/>
          <w:szCs w:val="21"/>
          <w:highlight w:val="none"/>
        </w:rPr>
        <w:t xml:space="preserve"> ，出资</w:t>
      </w:r>
      <w:r>
        <w:rPr>
          <w:rFonts w:hint="eastAsia" w:ascii="宋体" w:hAnsi="宋体" w:eastAsia="宋体" w:cs="宋体"/>
          <w:color w:val="auto"/>
          <w:sz w:val="21"/>
          <w:szCs w:val="21"/>
          <w:highlight w:val="none"/>
        </w:rPr>
        <w:t>比例为</w:t>
      </w:r>
      <w:r>
        <w:rPr>
          <w:rFonts w:hint="eastAsia" w:ascii="宋体" w:hAnsi="宋体" w:eastAsia="宋体" w:cs="宋体"/>
          <w:color w:val="auto"/>
          <w:sz w:val="21"/>
          <w:szCs w:val="21"/>
          <w:highlight w:val="none"/>
          <w:u w:val="single" w:color="auto"/>
          <w:lang w:val="en-US" w:eastAsia="zh-CN"/>
        </w:rPr>
        <w:t>100%</w:t>
      </w:r>
      <w:r>
        <w:rPr>
          <w:rFonts w:hint="eastAsia" w:ascii="宋体" w:hAnsi="宋体" w:eastAsia="宋体" w:cs="宋体"/>
          <w:color w:val="auto"/>
          <w:sz w:val="21"/>
          <w:szCs w:val="21"/>
          <w:highlight w:val="none"/>
        </w:rPr>
        <w:t>，招标人为</w:t>
      </w:r>
      <w:r>
        <w:rPr>
          <w:rFonts w:hint="eastAsia" w:ascii="宋体" w:hAnsi="宋体" w:eastAsia="宋体" w:cs="宋体"/>
          <w:color w:val="auto"/>
          <w:sz w:val="21"/>
          <w:szCs w:val="21"/>
          <w:highlight w:val="none"/>
          <w:u w:val="single" w:color="auto"/>
        </w:rPr>
        <w:t>广州市穗云自来水有限公司</w:t>
      </w:r>
      <w:r>
        <w:rPr>
          <w:rFonts w:hint="eastAsia" w:ascii="宋体" w:hAnsi="宋体" w:eastAsia="宋体" w:cs="宋体"/>
          <w:color w:val="auto"/>
          <w:sz w:val="21"/>
          <w:szCs w:val="21"/>
          <w:highlight w:val="none"/>
        </w:rPr>
        <w:t>。项目已具备招标</w:t>
      </w:r>
      <w:r>
        <w:rPr>
          <w:rFonts w:hint="eastAsia" w:ascii="宋体" w:hAnsi="宋体" w:eastAsia="宋体" w:cs="宋体"/>
          <w:color w:val="auto"/>
          <w:spacing w:val="-4"/>
          <w:sz w:val="21"/>
          <w:szCs w:val="21"/>
          <w:highlight w:val="none"/>
        </w:rPr>
        <w:t>条</w:t>
      </w:r>
      <w:r>
        <w:rPr>
          <w:rFonts w:hint="eastAsia" w:ascii="宋体" w:hAnsi="宋体" w:eastAsia="宋体" w:cs="宋体"/>
          <w:color w:val="auto"/>
          <w:spacing w:val="-2"/>
          <w:sz w:val="21"/>
          <w:szCs w:val="21"/>
          <w:highlight w:val="none"/>
        </w:rPr>
        <w:t>件，现对该项目的</w:t>
      </w:r>
      <w:r>
        <w:rPr>
          <w:rFonts w:hint="eastAsia" w:ascii="宋体" w:hAnsi="宋体" w:eastAsia="宋体" w:cs="宋体"/>
          <w:color w:val="auto"/>
          <w:sz w:val="21"/>
          <w:szCs w:val="21"/>
          <w:highlight w:val="none"/>
          <w:u w:val="single" w:color="auto"/>
        </w:rPr>
        <w:t>勘察及初步设计</w:t>
      </w:r>
      <w:r>
        <w:rPr>
          <w:rFonts w:hint="eastAsia" w:ascii="宋体" w:hAnsi="宋体" w:eastAsia="宋体" w:cs="宋体"/>
          <w:color w:val="auto"/>
          <w:spacing w:val="-2"/>
          <w:sz w:val="21"/>
          <w:szCs w:val="21"/>
          <w:highlight w:val="none"/>
        </w:rPr>
        <w:t>进行公开招标。</w:t>
      </w:r>
    </w:p>
    <w:p w14:paraId="64E076C9">
      <w:pPr>
        <w:pStyle w:val="5"/>
        <w:bidi w:val="0"/>
        <w:spacing w:line="360" w:lineRule="auto"/>
        <w:rPr>
          <w:rFonts w:hint="eastAsia" w:ascii="宋体" w:hAnsi="宋体" w:eastAsia="宋体" w:cs="宋体"/>
          <w:color w:val="auto"/>
          <w:sz w:val="21"/>
          <w:highlight w:val="none"/>
        </w:rPr>
      </w:pPr>
      <w:bookmarkStart w:id="17" w:name="_Toc23400"/>
      <w:bookmarkStart w:id="18" w:name="_Toc4860"/>
      <w:bookmarkStart w:id="19" w:name="_Toc27861"/>
      <w:bookmarkStart w:id="20" w:name="_Toc22955"/>
      <w:bookmarkStart w:id="21" w:name="_Toc29432"/>
      <w:r>
        <w:rPr>
          <w:rFonts w:hint="eastAsia"/>
          <w:color w:val="auto"/>
          <w:highlight w:val="none"/>
        </w:rPr>
        <w:t>2. 项目概况与招标范围</w:t>
      </w:r>
      <w:bookmarkEnd w:id="17"/>
      <w:bookmarkEnd w:id="18"/>
      <w:bookmarkEnd w:id="19"/>
      <w:bookmarkEnd w:id="20"/>
      <w:bookmarkEnd w:id="21"/>
    </w:p>
    <w:p w14:paraId="2F2081A0">
      <w:pPr>
        <w:spacing w:line="360" w:lineRule="auto"/>
        <w:ind w:left="0" w:leftChars="0" w:firstLine="0" w:firstLineChars="0"/>
        <w:rPr>
          <w:rFonts w:hint="eastAsia" w:ascii="宋体" w:hAnsi="宋体" w:eastAsia="宋体" w:cs="宋体"/>
          <w:color w:val="auto"/>
          <w:sz w:val="21"/>
          <w:szCs w:val="21"/>
          <w:highlight w:val="none"/>
          <w:u w:val="single" w:color="auto"/>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 xml:space="preserve"> 工程名称：</w:t>
      </w:r>
      <w:r>
        <w:rPr>
          <w:rFonts w:hint="eastAsia" w:ascii="宋体" w:hAnsi="宋体" w:eastAsia="宋体" w:cs="宋体"/>
          <w:color w:val="auto"/>
          <w:sz w:val="21"/>
          <w:szCs w:val="21"/>
          <w:highlight w:val="none"/>
          <w:u w:val="single"/>
        </w:rPr>
        <w:t>穗云水厂常规工艺增容工程勘察及初步设计</w:t>
      </w:r>
    </w:p>
    <w:p w14:paraId="3634D6F4">
      <w:pPr>
        <w:spacing w:line="36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none" w:color="auto"/>
          <w:lang w:val="en-US" w:eastAsia="zh-CN"/>
        </w:rPr>
        <w:t xml:space="preserve">2.2 </w:t>
      </w:r>
      <w:r>
        <w:rPr>
          <w:rFonts w:hint="eastAsia" w:ascii="宋体" w:hAnsi="宋体" w:eastAsia="宋体" w:cs="宋体"/>
          <w:color w:val="auto"/>
          <w:sz w:val="21"/>
          <w:szCs w:val="21"/>
          <w:highlight w:val="none"/>
        </w:rPr>
        <w:t>建设地点：</w:t>
      </w:r>
      <w:r>
        <w:rPr>
          <w:rFonts w:hint="eastAsia" w:ascii="宋体" w:hAnsi="宋体" w:eastAsia="宋体" w:cs="宋体"/>
          <w:color w:val="auto"/>
          <w:sz w:val="21"/>
          <w:szCs w:val="21"/>
          <w:highlight w:val="none"/>
          <w:u w:val="single" w:color="auto"/>
          <w:lang w:val="en-US" w:eastAsia="zh-CN"/>
        </w:rPr>
        <w:t>广州市白云区钟落潭镇新村渡头岭。</w:t>
      </w:r>
    </w:p>
    <w:p w14:paraId="51852A61">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auto"/>
          <w:kern w:val="0"/>
          <w:sz w:val="21"/>
          <w:szCs w:val="21"/>
          <w:highlight w:val="none"/>
          <w:u w:val="single" w:color="auto"/>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建设规模：</w:t>
      </w:r>
      <w:r>
        <w:rPr>
          <w:rFonts w:hint="eastAsia" w:hAnsi="宋体" w:cs="宋体"/>
          <w:color w:val="auto"/>
          <w:sz w:val="21"/>
          <w:szCs w:val="21"/>
          <w:highlight w:val="none"/>
          <w:u w:val="single"/>
          <w:lang w:val="en-US" w:eastAsia="zh-CN"/>
        </w:rPr>
        <w:t>新增常规处理规模6万立方米/天；工程主要建设内容包括新建与改造两部分，改造单体包括：</w:t>
      </w:r>
      <w:r>
        <w:rPr>
          <w:rFonts w:hint="eastAsia" w:hAnsi="宋体" w:cs="宋体"/>
          <w:color w:val="auto"/>
          <w:sz w:val="21"/>
          <w:szCs w:val="21"/>
          <w:highlight w:val="none"/>
          <w:u w:val="single"/>
        </w:rPr>
        <w:t>NaC</w:t>
      </w:r>
      <w:r>
        <w:rPr>
          <w:rFonts w:hint="eastAsia" w:hAnsi="宋体" w:cs="宋体"/>
          <w:color w:val="auto"/>
          <w:sz w:val="21"/>
          <w:szCs w:val="21"/>
          <w:highlight w:val="none"/>
          <w:u w:val="single"/>
          <w:lang w:val="en-US" w:eastAsia="zh-CN"/>
        </w:rPr>
        <w:t>l</w:t>
      </w:r>
      <w:r>
        <w:rPr>
          <w:rFonts w:hint="eastAsia" w:hAnsi="宋体" w:cs="宋体"/>
          <w:color w:val="auto"/>
          <w:sz w:val="21"/>
          <w:szCs w:val="21"/>
          <w:highlight w:val="none"/>
          <w:u w:val="single"/>
        </w:rPr>
        <w:t>O+NaOH</w:t>
      </w:r>
      <w:r>
        <w:rPr>
          <w:rFonts w:hint="eastAsia" w:hAnsi="宋体" w:cs="宋体"/>
          <w:color w:val="auto"/>
          <w:sz w:val="21"/>
          <w:szCs w:val="21"/>
          <w:highlight w:val="none"/>
          <w:u w:val="single"/>
          <w:lang w:val="en-US" w:eastAsia="zh-CN"/>
        </w:rPr>
        <w:t>综合投加间、投矾间；新建单体包括：进水计量井、网格絮凝/斜管沉淀池、V型滤池(与反冲洗泵房合建)、变配电间、排泥池、污泥浓缩+排水叠合池、储泥池，以及确立建筑立面风格，使厂区建筑风格协调一致。</w:t>
      </w:r>
    </w:p>
    <w:p w14:paraId="0E19F55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勘察设计工期：</w:t>
      </w:r>
    </w:p>
    <w:p w14:paraId="627313EE">
      <w:pPr>
        <w:spacing w:line="360" w:lineRule="auto"/>
        <w:ind w:firstLine="420" w:firstLineChars="200"/>
        <w:rPr>
          <w:rFonts w:ascii="宋体" w:hAnsi="宋体" w:eastAsia="宋体" w:cs="宋体"/>
          <w:color w:val="auto"/>
          <w:highlight w:val="none"/>
          <w:u w:val="single"/>
        </w:rPr>
      </w:pPr>
      <w:r>
        <w:rPr>
          <w:rFonts w:ascii="宋体" w:hAnsi="宋体" w:eastAsia="宋体" w:cs="宋体"/>
          <w:color w:val="auto"/>
          <w:highlight w:val="none"/>
          <w:u w:val="single"/>
        </w:rPr>
        <w:t>自合同签订之日起共</w:t>
      </w:r>
      <w:r>
        <w:rPr>
          <w:rFonts w:hint="eastAsia" w:ascii="宋体" w:hAnsi="宋体" w:eastAsia="宋体" w:cs="宋体"/>
          <w:color w:val="auto"/>
          <w:highlight w:val="none"/>
          <w:u w:val="single"/>
          <w:lang w:val="en-US" w:eastAsia="zh-CN"/>
        </w:rPr>
        <w:t>75</w:t>
      </w:r>
      <w:r>
        <w:rPr>
          <w:rFonts w:ascii="宋体" w:hAnsi="宋体" w:eastAsia="宋体" w:cs="宋体"/>
          <w:color w:val="auto"/>
          <w:highlight w:val="none"/>
          <w:u w:val="single"/>
        </w:rPr>
        <w:t>天。</w:t>
      </w:r>
    </w:p>
    <w:p w14:paraId="6B1A7550">
      <w:pPr>
        <w:spacing w:line="360" w:lineRule="auto"/>
        <w:ind w:left="0" w:leftChars="0" w:firstLine="420" w:firstLineChars="200"/>
        <w:rPr>
          <w:rFonts w:hint="eastAsia" w:ascii="宋体" w:hAnsi="宋体" w:eastAsia="宋体" w:cs="宋体"/>
          <w:color w:val="auto"/>
          <w:sz w:val="21"/>
          <w:szCs w:val="21"/>
          <w:highlight w:val="none"/>
          <w:u w:val="single" w:color="auto"/>
          <w:lang w:val="en-US" w:eastAsia="zh-CN"/>
        </w:rPr>
      </w:pPr>
      <w:r>
        <w:rPr>
          <w:rFonts w:ascii="宋体" w:hAnsi="宋体" w:eastAsia="宋体" w:cs="宋体"/>
          <w:color w:val="auto"/>
          <w:highlight w:val="none"/>
          <w:u w:val="single"/>
        </w:rPr>
        <w:t>具体工期要求:</w:t>
      </w:r>
      <w:r>
        <w:rPr>
          <w:rFonts w:hint="eastAsia" w:ascii="宋体" w:hAnsi="宋体" w:eastAsia="宋体" w:cs="宋体"/>
          <w:color w:val="auto"/>
          <w:highlight w:val="none"/>
          <w:u w:val="single"/>
        </w:rPr>
        <w:t>合同签订后</w:t>
      </w:r>
      <w:r>
        <w:rPr>
          <w:rFonts w:hint="eastAsia" w:ascii="宋体" w:hAnsi="宋体" w:eastAsia="宋体" w:cs="宋体"/>
          <w:color w:val="auto"/>
          <w:highlight w:val="none"/>
          <w:u w:val="single"/>
          <w:lang w:val="en-US" w:eastAsia="zh-CN"/>
        </w:rPr>
        <w:t>15</w:t>
      </w:r>
      <w:r>
        <w:rPr>
          <w:rFonts w:hint="eastAsia" w:ascii="宋体" w:hAnsi="宋体" w:eastAsia="宋体" w:cs="宋体"/>
          <w:color w:val="auto"/>
          <w:highlight w:val="none"/>
          <w:u w:val="single"/>
        </w:rPr>
        <w:t>日历天内完成物探工作、岩土工程勘察工作、测量工作</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rPr>
        <w:t>提交成果文件（含实验数据），完成报批工作；30日历天内完成报建图、方案设计，同步征询园林、水务、规划等相关单位意见；方案确定后30日历天内完成初步设计（含概算）、完成规划报建获取建设规划许可证。</w:t>
      </w:r>
    </w:p>
    <w:p w14:paraId="3CACE2E0">
      <w:pPr>
        <w:shd w:val="clear" w:color="auto" w:fill="FFFFFF"/>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rPr>
        <w:t>招标范围：</w:t>
      </w:r>
    </w:p>
    <w:p w14:paraId="59D317F1">
      <w:pPr>
        <w:spacing w:line="360" w:lineRule="auto"/>
        <w:ind w:firstLine="420" w:firstLineChars="200"/>
        <w:rPr>
          <w:rFonts w:ascii="宋体" w:hAnsi="宋体" w:eastAsia="宋体" w:cs="宋体"/>
          <w:color w:val="auto"/>
          <w:highlight w:val="none"/>
          <w:u w:val="single"/>
        </w:rPr>
      </w:pPr>
      <w:r>
        <w:rPr>
          <w:rFonts w:hint="eastAsia" w:ascii="宋体" w:hAnsi="宋体" w:eastAsia="宋体" w:cs="宋体"/>
          <w:color w:val="auto"/>
          <w:highlight w:val="none"/>
          <w:u w:val="single"/>
        </w:rPr>
        <w:t>（1）勘察工作内容包括但不限于：本工程建设范围内的工程测量、工程物探（含地下管线探测）、岩土勘察，包含勘察相关工作进场的行政报批、分别与规划测绘单位及施工单位进行现场交桩等工作。最终以满足设计、施工图文件审查及其他相关专项报告要求为准。</w:t>
      </w:r>
    </w:p>
    <w:p w14:paraId="2BC63AE8">
      <w:pPr>
        <w:spacing w:line="360" w:lineRule="auto"/>
        <w:ind w:firstLine="420" w:firstLineChars="200"/>
        <w:rPr>
          <w:rFonts w:ascii="宋体" w:hAnsi="宋体" w:eastAsia="宋体" w:cs="宋体"/>
          <w:color w:val="auto"/>
          <w:highlight w:val="none"/>
          <w:u w:val="single"/>
        </w:rPr>
      </w:pPr>
      <w:r>
        <w:rPr>
          <w:rFonts w:hint="eastAsia" w:ascii="宋体" w:hAnsi="宋体" w:eastAsia="宋体" w:cs="宋体"/>
          <w:color w:val="auto"/>
          <w:highlight w:val="none"/>
          <w:u w:val="single"/>
        </w:rPr>
        <w:t>（2）设计工作内容包括但不限于：本工程的方案</w:t>
      </w:r>
      <w:r>
        <w:rPr>
          <w:rFonts w:hint="eastAsia" w:ascii="宋体" w:hAnsi="宋体" w:eastAsia="宋体" w:cs="宋体"/>
          <w:color w:val="auto"/>
          <w:highlight w:val="none"/>
          <w:u w:val="single"/>
          <w:lang w:val="en-US" w:eastAsia="zh-CN"/>
        </w:rPr>
        <w:t>设计</w:t>
      </w:r>
      <w:r>
        <w:rPr>
          <w:rFonts w:hint="eastAsia" w:ascii="宋体" w:hAnsi="宋体" w:eastAsia="宋体" w:cs="宋体"/>
          <w:color w:val="auto"/>
          <w:highlight w:val="none"/>
          <w:u w:val="single"/>
        </w:rPr>
        <w:t>及比选，报建方案编制，初步设计（含设计概算），编制工程量清单</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rPr>
        <w:t>初步设计阶段的海绵城市专篇编制，第三方检测监测要求、方案及预算编制，设备技术要求编制、施工技术文件编制并配合施工、采购等相关招标工作，配合发包人办理规划、文物等报批手续，</w:t>
      </w:r>
      <w:r>
        <w:rPr>
          <w:rFonts w:hint="eastAsia" w:ascii="宋体" w:hAnsi="宋体" w:eastAsia="宋体" w:cs="宋体"/>
          <w:color w:val="auto"/>
          <w:highlight w:val="none"/>
          <w:u w:val="single"/>
          <w:lang w:val="en-US" w:eastAsia="zh-CN"/>
        </w:rPr>
        <w:t>配合发包人开展</w:t>
      </w:r>
      <w:r>
        <w:rPr>
          <w:rFonts w:hint="eastAsia" w:ascii="宋体" w:hAnsi="宋体" w:eastAsia="宋体" w:cs="宋体"/>
          <w:color w:val="auto"/>
          <w:highlight w:val="none"/>
          <w:u w:val="single"/>
        </w:rPr>
        <w:t>工程初步设计阶段涉及设施各产权单位要求的专项报告编制及评审、报批工作</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rPr>
        <w:t>组织初设阶段及规划部门要求的各专项评审会议，办理本工程引起、设计相关的国土、征询、规划放线验线及规划报建，根据工程需要配合购买地形图。</w:t>
      </w:r>
    </w:p>
    <w:p w14:paraId="529556CB">
      <w:pPr>
        <w:spacing w:line="360" w:lineRule="auto"/>
        <w:ind w:left="0" w:leftChars="0" w:firstLine="420" w:firstLineChars="200"/>
        <w:rPr>
          <w:rFonts w:hint="eastAsia" w:ascii="宋体" w:hAnsi="宋体" w:eastAsia="宋体" w:cs="宋体"/>
          <w:color w:val="auto"/>
          <w:sz w:val="21"/>
          <w:szCs w:val="21"/>
          <w:highlight w:val="none"/>
          <w:u w:val="single" w:color="auto"/>
          <w:lang w:val="en-US" w:eastAsia="zh-CN"/>
        </w:rPr>
      </w:pPr>
      <w:r>
        <w:rPr>
          <w:rFonts w:hint="eastAsia" w:ascii="宋体" w:hAnsi="宋体" w:eastAsia="宋体" w:cs="宋体"/>
          <w:color w:val="auto"/>
          <w:highlight w:val="none"/>
          <w:u w:val="single"/>
        </w:rPr>
        <w:t>（3）本项目包含的工程的建设方案经行政主管部门审核后，如发生变化，中标人需配合</w:t>
      </w:r>
      <w:r>
        <w:rPr>
          <w:rFonts w:hint="eastAsia" w:ascii="宋体" w:hAnsi="宋体" w:eastAsia="宋体" w:cs="宋体"/>
          <w:color w:val="auto"/>
          <w:highlight w:val="none"/>
          <w:u w:val="single"/>
          <w:lang w:val="en-US" w:eastAsia="zh-CN"/>
        </w:rPr>
        <w:t>发包人</w:t>
      </w:r>
      <w:r>
        <w:rPr>
          <w:rFonts w:hint="eastAsia" w:ascii="宋体" w:hAnsi="宋体" w:eastAsia="宋体" w:cs="宋体"/>
          <w:color w:val="auto"/>
          <w:highlight w:val="none"/>
          <w:u w:val="single"/>
        </w:rPr>
        <w:t>完成后续调整初步设计工作。</w:t>
      </w:r>
    </w:p>
    <w:p w14:paraId="7EAD53E7">
      <w:pPr>
        <w:shd w:val="clear" w:color="auto" w:fill="FFFFFF"/>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6 </w:t>
      </w:r>
      <w:r>
        <w:rPr>
          <w:rFonts w:hint="eastAsia" w:ascii="宋体" w:hAnsi="宋体" w:eastAsia="宋体" w:cs="宋体"/>
          <w:color w:val="auto"/>
          <w:sz w:val="21"/>
          <w:szCs w:val="21"/>
          <w:highlight w:val="none"/>
        </w:rPr>
        <w:t>前期服务机构名称（含项目建议书、可行性研究报告、规划等编制单位）：</w:t>
      </w:r>
      <w:r>
        <w:rPr>
          <w:rFonts w:hint="eastAsia" w:ascii="宋体" w:hAnsi="宋体" w:eastAsia="宋体" w:cs="宋体"/>
          <w:color w:val="auto"/>
          <w:sz w:val="21"/>
          <w:szCs w:val="21"/>
          <w:highlight w:val="none"/>
          <w:u w:val="single" w:color="auto"/>
          <w:lang w:val="en-US" w:eastAsia="zh-CN"/>
        </w:rPr>
        <w:t>广东省建筑设计研究院集团股份有限公司</w:t>
      </w:r>
      <w:r>
        <w:rPr>
          <w:rFonts w:hint="eastAsia" w:ascii="宋体" w:hAnsi="宋体" w:eastAsia="宋体" w:cs="宋体"/>
          <w:color w:val="auto"/>
          <w:sz w:val="21"/>
          <w:szCs w:val="21"/>
          <w:highlight w:val="none"/>
        </w:rPr>
        <w:t>。</w:t>
      </w:r>
    </w:p>
    <w:p w14:paraId="3C3A56CC">
      <w:pPr>
        <w:autoSpaceDE/>
        <w:autoSpaceDN/>
        <w:spacing w:line="360" w:lineRule="auto"/>
        <w:ind w:left="0" w:leftChars="0" w:firstLine="0" w:firstLineChars="0"/>
        <w:jc w:val="left"/>
        <w:rPr>
          <w:rFonts w:hint="eastAsia" w:ascii="宋体" w:hAnsi="宋体" w:eastAsia="宋体" w:cs="宋体"/>
          <w:color w:val="auto"/>
          <w:sz w:val="21"/>
          <w:szCs w:val="21"/>
          <w:highlight w:val="none"/>
          <w:u w:val="single" w:color="auto"/>
        </w:rPr>
      </w:pPr>
      <w:r>
        <w:rPr>
          <w:rFonts w:hint="eastAsia" w:ascii="宋体" w:hAnsi="宋体" w:eastAsia="宋体" w:cs="宋体"/>
          <w:color w:val="auto"/>
          <w:w w:val="100"/>
          <w:sz w:val="21"/>
          <w:szCs w:val="21"/>
          <w:highlight w:val="none"/>
          <w:u w:val="none"/>
        </w:rPr>
        <w:t>注：如果前期服务机构参加本次投标，应将本公告发布前最终完成的工作成果（含电子文件）在投标人</w:t>
      </w:r>
      <w:r>
        <w:rPr>
          <w:rFonts w:hint="eastAsia" w:ascii="宋体" w:hAnsi="宋体" w:eastAsia="宋体" w:cs="宋体"/>
          <w:color w:val="auto"/>
          <w:w w:val="100"/>
          <w:sz w:val="21"/>
          <w:szCs w:val="21"/>
          <w:highlight w:val="none"/>
          <w:u w:val="none"/>
          <w:lang w:val="en-US" w:eastAsia="zh-CN"/>
        </w:rPr>
        <w:t>获取</w:t>
      </w:r>
      <w:r>
        <w:rPr>
          <w:rFonts w:hint="eastAsia" w:ascii="宋体" w:hAnsi="宋体" w:eastAsia="宋体" w:cs="宋体"/>
          <w:color w:val="auto"/>
          <w:w w:val="100"/>
          <w:sz w:val="21"/>
          <w:szCs w:val="21"/>
          <w:highlight w:val="none"/>
          <w:u w:val="none"/>
        </w:rPr>
        <w:t>招标文件的同时提供给所有投标人参考，否则前期参与的服务机构中标无效。</w:t>
      </w:r>
    </w:p>
    <w:p w14:paraId="1EC1D6D5">
      <w:pPr>
        <w:pStyle w:val="5"/>
        <w:bidi w:val="0"/>
        <w:spacing w:line="360" w:lineRule="auto"/>
        <w:rPr>
          <w:rFonts w:hint="eastAsia"/>
          <w:color w:val="auto"/>
          <w:highlight w:val="none"/>
        </w:rPr>
      </w:pPr>
      <w:bookmarkStart w:id="22" w:name="_Toc6474"/>
      <w:bookmarkStart w:id="23" w:name="_Toc13470"/>
      <w:bookmarkStart w:id="24" w:name="_Toc19035"/>
      <w:bookmarkStart w:id="25" w:name="_Toc13982"/>
      <w:bookmarkStart w:id="26" w:name="_Toc13441"/>
      <w:r>
        <w:rPr>
          <w:rFonts w:hint="eastAsia"/>
          <w:color w:val="auto"/>
          <w:highlight w:val="none"/>
        </w:rPr>
        <w:t>3. 投标人资格要求</w:t>
      </w:r>
      <w:bookmarkEnd w:id="22"/>
      <w:bookmarkEnd w:id="23"/>
      <w:bookmarkEnd w:id="24"/>
      <w:bookmarkEnd w:id="25"/>
      <w:bookmarkEnd w:id="26"/>
    </w:p>
    <w:p w14:paraId="69ABB262">
      <w:pPr>
        <w:spacing w:line="360" w:lineRule="auto"/>
        <w:ind w:left="821" w:hanging="718" w:hangingChars="34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人参加投标的意思表达清楚，投标人代表被授权有效。</w:t>
      </w:r>
    </w:p>
    <w:p w14:paraId="4E4B6253">
      <w:pPr>
        <w:spacing w:line="360" w:lineRule="auto"/>
        <w:ind w:left="821" w:hanging="718" w:hangingChars="34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  投标人（如为联合体，要求联合体各方）是法人或其他组织，按国家法律经营。</w:t>
      </w:r>
    </w:p>
    <w:p w14:paraId="039A2E7E">
      <w:pPr>
        <w:spacing w:line="360" w:lineRule="auto"/>
        <w:ind w:left="821" w:hanging="718" w:hangingChars="34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具备建设行政主管部门颁发的</w:t>
      </w:r>
      <w:r>
        <w:rPr>
          <w:rFonts w:hint="eastAsia" w:ascii="宋体" w:hAnsi="宋体" w:eastAsia="宋体" w:cs="宋体"/>
          <w:color w:val="auto"/>
          <w:sz w:val="21"/>
          <w:szCs w:val="21"/>
          <w:highlight w:val="none"/>
          <w:lang w:val="en-US" w:eastAsia="zh-CN"/>
        </w:rPr>
        <w:t>以下</w:t>
      </w:r>
      <w:r>
        <w:rPr>
          <w:rFonts w:hint="eastAsia" w:ascii="宋体" w:hAnsi="宋体" w:eastAsia="宋体" w:cs="宋体"/>
          <w:color w:val="auto"/>
          <w:sz w:val="21"/>
          <w:szCs w:val="21"/>
          <w:highlight w:val="none"/>
          <w:u w:val="single"/>
          <w:lang w:val="en-US" w:eastAsia="zh-CN"/>
        </w:rPr>
        <w:t>2种</w:t>
      </w:r>
      <w:r>
        <w:rPr>
          <w:rFonts w:hint="eastAsia" w:ascii="宋体" w:hAnsi="宋体" w:eastAsia="宋体" w:cs="宋体"/>
          <w:color w:val="auto"/>
          <w:sz w:val="21"/>
          <w:szCs w:val="21"/>
          <w:highlight w:val="none"/>
        </w:rPr>
        <w:t>资质。</w:t>
      </w:r>
    </w:p>
    <w:p w14:paraId="2E3D5306">
      <w:pPr>
        <w:spacing w:line="360" w:lineRule="auto"/>
        <w:ind w:left="0" w:leftChars="0"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（1）设计资质：工程设计综合甲级资质；或市政行业设计乙级或以上资质；或市政行业（给水工程）专业设计乙级或以上资质；</w:t>
      </w:r>
    </w:p>
    <w:p w14:paraId="6D694B2D">
      <w:pPr>
        <w:spacing w:line="360" w:lineRule="auto"/>
        <w:ind w:left="0" w:leftChars="0"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（2）勘察具有以下其中一种资质：</w:t>
      </w:r>
    </w:p>
    <w:p w14:paraId="36840FC6">
      <w:pPr>
        <w:spacing w:line="360" w:lineRule="auto"/>
        <w:ind w:left="0" w:leftChars="0"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①工程勘察综合类甲级资质。</w:t>
      </w:r>
    </w:p>
    <w:p w14:paraId="347D82DA">
      <w:pPr>
        <w:spacing w:line="360" w:lineRule="auto"/>
        <w:ind w:left="0" w:leftChars="0" w:firstLine="420" w:firstLineChars="200"/>
        <w:rPr>
          <w:rFonts w:hint="eastAsia" w:ascii="宋体" w:hAnsi="宋体" w:eastAsia="宋体" w:cs="宋体"/>
          <w:color w:val="auto"/>
          <w:w w:val="100"/>
          <w:sz w:val="21"/>
          <w:szCs w:val="21"/>
          <w:highlight w:val="none"/>
          <w:u w:val="none"/>
          <w:lang w:eastAsia="zh-CN"/>
        </w:rPr>
      </w:pPr>
      <w:r>
        <w:rPr>
          <w:rFonts w:hint="eastAsia" w:ascii="宋体" w:hAnsi="宋体" w:eastAsia="宋体" w:cs="宋体"/>
          <w:color w:val="auto"/>
          <w:highlight w:val="none"/>
          <w:u w:val="none"/>
        </w:rPr>
        <w:t>②同时具有工程勘察(岩土工程或岩土工程勘察)专业资质</w:t>
      </w:r>
      <w:r>
        <w:rPr>
          <w:rFonts w:hint="eastAsia" w:ascii="宋体" w:hAnsi="宋体" w:eastAsia="宋体" w:cs="宋体"/>
          <w:color w:val="auto"/>
          <w:highlight w:val="none"/>
          <w:u w:val="none"/>
          <w:lang w:val="en-US" w:eastAsia="zh-CN"/>
        </w:rPr>
        <w:t>乙级（或以上）</w:t>
      </w:r>
      <w:r>
        <w:rPr>
          <w:rFonts w:hint="eastAsia" w:ascii="宋体" w:hAnsi="宋体" w:eastAsia="宋体" w:cs="宋体"/>
          <w:color w:val="auto"/>
          <w:highlight w:val="none"/>
          <w:u w:val="none"/>
        </w:rPr>
        <w:t>，及工程勘察(工程测量)专业资质乙级</w:t>
      </w:r>
      <w:r>
        <w:rPr>
          <w:rFonts w:hint="eastAsia" w:ascii="宋体" w:hAnsi="宋体" w:eastAsia="宋体" w:cs="宋体"/>
          <w:color w:val="auto"/>
          <w:highlight w:val="none"/>
          <w:u w:val="none"/>
          <w:lang w:eastAsia="zh-CN"/>
        </w:rPr>
        <w:t>（</w:t>
      </w:r>
      <w:r>
        <w:rPr>
          <w:rFonts w:hint="eastAsia" w:hAnsi="仿宋_GB2312" w:cs="仿宋_GB2312"/>
          <w:color w:val="auto"/>
          <w:sz w:val="21"/>
          <w:szCs w:val="21"/>
          <w:highlight w:val="none"/>
        </w:rPr>
        <w:t>或以上</w:t>
      </w:r>
      <w:r>
        <w:rPr>
          <w:rFonts w:hint="eastAsia" w:ascii="宋体" w:hAnsi="宋体" w:eastAsia="宋体" w:cs="宋体"/>
          <w:color w:val="auto"/>
          <w:highlight w:val="none"/>
          <w:u w:val="none"/>
          <w:lang w:eastAsia="zh-CN"/>
        </w:rPr>
        <w:t>）</w:t>
      </w:r>
      <w:r>
        <w:rPr>
          <w:rFonts w:hint="eastAsia" w:ascii="宋体" w:hAnsi="宋体" w:eastAsia="宋体" w:cs="宋体"/>
          <w:color w:val="auto"/>
          <w:highlight w:val="none"/>
          <w:u w:val="none"/>
        </w:rPr>
        <w:t>资质</w:t>
      </w:r>
      <w:r>
        <w:rPr>
          <w:rFonts w:hint="eastAsia" w:ascii="宋体" w:hAnsi="宋体" w:eastAsia="宋体" w:cs="宋体"/>
          <w:color w:val="auto"/>
          <w:highlight w:val="none"/>
          <w:u w:val="none"/>
          <w:lang w:val="en-US" w:eastAsia="zh-CN"/>
        </w:rPr>
        <w:t>或测绘资质（含工程测量）乙级（或以上）资质</w:t>
      </w:r>
      <w:r>
        <w:rPr>
          <w:rFonts w:hint="eastAsia" w:ascii="宋体" w:hAnsi="宋体" w:eastAsia="宋体" w:cs="宋体"/>
          <w:color w:val="auto"/>
          <w:highlight w:val="none"/>
          <w:u w:val="none"/>
          <w:lang w:eastAsia="zh-CN"/>
        </w:rPr>
        <w:t>。</w:t>
      </w:r>
    </w:p>
    <w:p w14:paraId="5B2A0EF7">
      <w:pPr>
        <w:spacing w:line="360" w:lineRule="auto"/>
        <w:ind w:left="0" w:leftChars="0" w:firstLine="420" w:firstLineChars="200"/>
        <w:rPr>
          <w:rFonts w:hint="eastAsia" w:ascii="宋体" w:hAnsi="宋体" w:eastAsia="宋体" w:cs="宋体"/>
          <w:color w:val="auto"/>
          <w:highlight w:val="none"/>
          <w:u w:val="none"/>
        </w:rPr>
      </w:pPr>
      <w:r>
        <w:rPr>
          <w:rFonts w:hint="eastAsia" w:ascii="宋体" w:hAnsi="宋体" w:eastAsia="宋体" w:cs="宋体"/>
          <w:color w:val="auto"/>
          <w:w w:val="100"/>
          <w:sz w:val="21"/>
          <w:szCs w:val="21"/>
          <w:highlight w:val="none"/>
          <w:u w:val="none"/>
        </w:rPr>
        <w:t>注：</w:t>
      </w:r>
      <w:r>
        <w:rPr>
          <w:rFonts w:hint="eastAsia" w:ascii="宋体" w:hAnsi="宋体" w:eastAsia="宋体" w:cs="宋体"/>
          <w:color w:val="auto"/>
          <w:highlight w:val="none"/>
          <w:u w:val="none"/>
        </w:rPr>
        <w:t>1.如投标人的企业资质是根据 2020年11月30日发布的《住房和城乡建设部关于印发建设工程企业资质管理制度改革方案的通知》（建市〔2020〕94号）办理的，则勘察、设计资质相应要求如下：</w:t>
      </w:r>
    </w:p>
    <w:p w14:paraId="553D7540">
      <w:pPr>
        <w:spacing w:line="360" w:lineRule="auto"/>
        <w:ind w:left="0" w:leftChars="0"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投标人须同时具有行政主管部门颁发的以下（1）和（2）资质：</w:t>
      </w:r>
    </w:p>
    <w:p w14:paraId="6D27DA4E">
      <w:pPr>
        <w:spacing w:line="360" w:lineRule="auto"/>
        <w:ind w:left="0" w:leftChars="0"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（1）设计资质：工程设计综合资质；或市政行业设计乙级或以上资质；或市政行业（给水工程）专业设计乙级或以上资质；</w:t>
      </w:r>
    </w:p>
    <w:p w14:paraId="6EC5CA1F">
      <w:pPr>
        <w:spacing w:line="360" w:lineRule="auto"/>
        <w:ind w:left="0" w:leftChars="0"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（2）勘察具有以下其中一种资质：</w:t>
      </w:r>
    </w:p>
    <w:p w14:paraId="4402683D">
      <w:pPr>
        <w:spacing w:line="360" w:lineRule="auto"/>
        <w:ind w:left="0" w:leftChars="0"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①工程勘察综合类资质。</w:t>
      </w:r>
    </w:p>
    <w:p w14:paraId="30CBC4C0">
      <w:pPr>
        <w:spacing w:line="360" w:lineRule="auto"/>
        <w:ind w:left="0" w:leftChars="0"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②同时具有工程勘察专业类（岩土工程或岩土工程勘察）专业资质</w:t>
      </w:r>
      <w:r>
        <w:rPr>
          <w:rFonts w:hint="eastAsia" w:ascii="宋体" w:hAnsi="宋体" w:eastAsia="宋体" w:cs="宋体"/>
          <w:color w:val="auto"/>
          <w:highlight w:val="none"/>
          <w:u w:val="none"/>
          <w:lang w:val="en-US" w:eastAsia="zh-CN"/>
        </w:rPr>
        <w:t>乙级（或以上）</w:t>
      </w:r>
      <w:r>
        <w:rPr>
          <w:rFonts w:hint="eastAsia" w:ascii="宋体" w:hAnsi="宋体" w:eastAsia="宋体" w:cs="宋体"/>
          <w:color w:val="auto"/>
          <w:highlight w:val="none"/>
          <w:u w:val="none"/>
        </w:rPr>
        <w:t>，及工程勘察专业类（工程测量）乙级</w:t>
      </w:r>
      <w:r>
        <w:rPr>
          <w:rFonts w:hint="eastAsia" w:ascii="宋体" w:hAnsi="宋体" w:eastAsia="宋体" w:cs="宋体"/>
          <w:color w:val="auto"/>
          <w:highlight w:val="none"/>
          <w:u w:val="none"/>
          <w:lang w:eastAsia="zh-CN"/>
        </w:rPr>
        <w:t>（</w:t>
      </w:r>
      <w:r>
        <w:rPr>
          <w:rFonts w:hint="eastAsia" w:hAnsi="仿宋_GB2312" w:cs="仿宋_GB2312"/>
          <w:color w:val="auto"/>
          <w:sz w:val="21"/>
          <w:szCs w:val="21"/>
          <w:highlight w:val="none"/>
        </w:rPr>
        <w:t>或以上</w:t>
      </w:r>
      <w:r>
        <w:rPr>
          <w:rFonts w:hint="eastAsia" w:ascii="宋体" w:hAnsi="宋体" w:eastAsia="宋体" w:cs="宋体"/>
          <w:color w:val="auto"/>
          <w:highlight w:val="none"/>
          <w:u w:val="none"/>
          <w:lang w:eastAsia="zh-CN"/>
        </w:rPr>
        <w:t>）</w:t>
      </w:r>
      <w:r>
        <w:rPr>
          <w:rFonts w:hint="eastAsia" w:ascii="宋体" w:hAnsi="宋体" w:eastAsia="宋体" w:cs="宋体"/>
          <w:color w:val="auto"/>
          <w:highlight w:val="none"/>
          <w:u w:val="none"/>
        </w:rPr>
        <w:t>资质</w:t>
      </w:r>
      <w:r>
        <w:rPr>
          <w:rFonts w:hint="eastAsia" w:ascii="宋体" w:hAnsi="宋体" w:eastAsia="宋体" w:cs="宋体"/>
          <w:color w:val="auto"/>
          <w:highlight w:val="none"/>
          <w:u w:val="none"/>
          <w:lang w:val="en-US" w:eastAsia="zh-CN"/>
        </w:rPr>
        <w:t>或测绘资质（含工程测量）乙级（或以上）资质</w:t>
      </w:r>
      <w:r>
        <w:rPr>
          <w:rFonts w:hint="eastAsia" w:ascii="宋体" w:hAnsi="宋体" w:eastAsia="宋体" w:cs="宋体"/>
          <w:color w:val="auto"/>
          <w:highlight w:val="none"/>
          <w:u w:val="none"/>
        </w:rPr>
        <w:t>。</w:t>
      </w:r>
    </w:p>
    <w:p w14:paraId="2E0DB634">
      <w:pPr>
        <w:spacing w:line="360" w:lineRule="auto"/>
        <w:ind w:left="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u w:val="none"/>
        </w:rPr>
        <w:t>2.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工程勘察、工程设计企业资质证书有效期按《住房和城乡建设部办公厅关于做好建筑业“证照分离”改革衔接有关工作的通知》（建办市〔2021〕30号）执行、《住房城乡建设部建筑市场监管司关于建设工程企业资质延续有关事项的通知》（建司局函市〔2023〕116号）、《广东省住房和城乡建设厅关于建设工程企业资质延续有关事项的通知》（粤建许函〔2023〕820号）和《广东省住房和城乡建设厅关于做好有关建设工程企业资质证书换领工作的通知》（粤建许函〔2024〕124号）执行]</w:t>
      </w:r>
      <w:r>
        <w:rPr>
          <w:rFonts w:hint="eastAsia" w:ascii="宋体" w:hAnsi="宋体" w:eastAsia="宋体" w:cs="宋体"/>
          <w:color w:val="auto"/>
          <w:highlight w:val="none"/>
          <w:lang w:val="en-US" w:eastAsia="zh-CN"/>
        </w:rPr>
        <w:t>。</w:t>
      </w:r>
    </w:p>
    <w:p w14:paraId="5EDD7F8B">
      <w:pPr>
        <w:spacing w:line="360" w:lineRule="auto"/>
        <w:ind w:lef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  投标人已在</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rPr>
        <w:t>办理企业信息登记，本项目负责人是本企业在</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rPr>
        <w:t>企业信息登记中的在册人员</w:t>
      </w:r>
      <w:r>
        <w:rPr>
          <w:rFonts w:hint="eastAsia" w:ascii="宋体" w:hAnsi="宋体" w:eastAsia="宋体" w:cs="宋体"/>
          <w:color w:val="auto"/>
          <w:sz w:val="21"/>
          <w:szCs w:val="21"/>
          <w:highlight w:val="none"/>
          <w:lang w:eastAsia="zh-CN"/>
        </w:rPr>
        <w:t>。</w:t>
      </w:r>
    </w:p>
    <w:p w14:paraId="204B06B8">
      <w:pPr>
        <w:spacing w:line="360" w:lineRule="auto"/>
        <w:ind w:lef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.5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人委派的项目负责人须</w:t>
      </w:r>
      <w:r>
        <w:rPr>
          <w:rFonts w:hint="eastAsia" w:ascii="宋体" w:hAnsi="宋体" w:eastAsia="宋体" w:cs="宋体"/>
          <w:color w:val="auto"/>
          <w:highlight w:val="none"/>
        </w:rPr>
        <w:t>具备</w:t>
      </w:r>
      <w:r>
        <w:rPr>
          <w:rFonts w:hint="eastAsia" w:ascii="宋体" w:hAnsi="宋体" w:eastAsia="宋体" w:cs="宋体"/>
          <w:color w:val="auto"/>
          <w:sz w:val="21"/>
          <w:szCs w:val="21"/>
          <w:highlight w:val="none"/>
        </w:rPr>
        <w:t>（给水排水设计）高级工程师（或以上）</w:t>
      </w:r>
      <w:r>
        <w:rPr>
          <w:rFonts w:hint="eastAsia" w:ascii="宋体" w:hAnsi="宋体" w:eastAsia="宋体" w:cs="宋体"/>
          <w:color w:val="auto"/>
          <w:highlight w:val="none"/>
        </w:rPr>
        <w:t>资格，且为主办方正式员工。需提供由投标人（主办方）的社会保险机构出具、有关投标人（主办方）为其缴纳202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月（最近1个月）社会保险费用的证明</w:t>
      </w:r>
      <w:r>
        <w:rPr>
          <w:rFonts w:hint="eastAsia" w:ascii="宋体" w:hAnsi="宋体" w:eastAsia="宋体" w:cs="宋体"/>
          <w:color w:val="auto"/>
          <w:sz w:val="21"/>
          <w:szCs w:val="21"/>
          <w:highlight w:val="none"/>
          <w:lang w:eastAsia="zh-CN"/>
        </w:rPr>
        <w:t>。</w:t>
      </w:r>
    </w:p>
    <w:p w14:paraId="5EFDB0B6">
      <w:pPr>
        <w:spacing w:line="360" w:lineRule="auto"/>
        <w:ind w:left="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w w:val="100"/>
          <w:sz w:val="21"/>
          <w:szCs w:val="21"/>
          <w:highlight w:val="none"/>
          <w:u w:val="none"/>
        </w:rPr>
        <w:t>注：若拟委派的项目负责人为香港专业人士，则须已在广东省住房和城乡建设主管部门备案且备案的业务范围相当于</w:t>
      </w:r>
      <w:r>
        <w:rPr>
          <w:rFonts w:hint="eastAsia" w:ascii="宋体" w:hAnsi="宋体" w:eastAsia="宋体" w:cs="宋体"/>
          <w:color w:val="auto"/>
          <w:sz w:val="21"/>
          <w:szCs w:val="21"/>
          <w:highlight w:val="none"/>
          <w:u w:val="single"/>
        </w:rPr>
        <w:t>满足本项目招标文件要求</w:t>
      </w:r>
      <w:r>
        <w:rPr>
          <w:rFonts w:hint="eastAsia" w:ascii="宋体" w:hAnsi="宋体" w:eastAsia="宋体" w:cs="宋体"/>
          <w:color w:val="auto"/>
          <w:w w:val="100"/>
          <w:sz w:val="21"/>
          <w:szCs w:val="21"/>
          <w:highlight w:val="none"/>
          <w:u w:val="none"/>
        </w:rPr>
        <w:t>的香港专业人士[香港专业人士的备案业务范围依据《广东省住房和城乡建设厅关于印发香港工程建设咨询企业和专业人士在粤港澳大湾区内地城市开业执业试点管理暂行办法的通知》（粤建规范</w:t>
      </w:r>
      <w:r>
        <w:rPr>
          <w:rFonts w:hint="eastAsia" w:ascii="宋体" w:hAnsi="宋体" w:eastAsia="宋体" w:cs="宋体"/>
          <w:color w:val="auto"/>
          <w:w w:val="100"/>
          <w:sz w:val="21"/>
          <w:szCs w:val="21"/>
          <w:highlight w:val="none"/>
          <w:u w:val="none"/>
          <w:lang w:val="en-US" w:eastAsia="zh-CN"/>
        </w:rPr>
        <w:t>〔2020〕</w:t>
      </w:r>
      <w:r>
        <w:rPr>
          <w:rFonts w:hint="eastAsia" w:ascii="宋体" w:hAnsi="宋体" w:eastAsia="宋体" w:cs="宋体"/>
          <w:color w:val="auto"/>
          <w:w w:val="100"/>
          <w:sz w:val="21"/>
          <w:szCs w:val="21"/>
          <w:highlight w:val="none"/>
          <w:u w:val="none"/>
        </w:rPr>
        <w:t>1号）确定]。</w:t>
      </w:r>
    </w:p>
    <w:p w14:paraId="16EB2857">
      <w:p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投标申请人业绩要求（</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 xml:space="preserve">要 / </w:t>
      </w: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不需要）</w:t>
      </w:r>
    </w:p>
    <w:p w14:paraId="1886D01A">
      <w:pPr>
        <w:spacing w:line="360" w:lineRule="auto"/>
        <w:ind w:left="0" w:firstLine="0" w:firstLineChars="0"/>
        <w:outlineLvl w:val="9"/>
        <w:rPr>
          <w:rFonts w:hint="eastAsia" w:ascii="宋体" w:hAnsi="宋体" w:eastAsia="宋体" w:cs="宋体"/>
          <w:color w:val="auto"/>
          <w:sz w:val="21"/>
          <w:szCs w:val="21"/>
          <w:highlight w:val="none"/>
        </w:rPr>
      </w:pPr>
      <w:bookmarkStart w:id="27" w:name="_Toc7102"/>
      <w:bookmarkStart w:id="28" w:name="_Toc266093545"/>
      <w:bookmarkStart w:id="29" w:name="_Toc20272"/>
      <w:bookmarkStart w:id="30" w:name="_Toc249846223"/>
      <w:bookmarkStart w:id="31" w:name="_Toc32634"/>
      <w:bookmarkStart w:id="32" w:name="_Toc253143216"/>
      <w:bookmarkStart w:id="33" w:name="_Toc249845968"/>
      <w:bookmarkStart w:id="34" w:name="_Toc8744"/>
      <w:bookmarkStart w:id="35" w:name="_Toc245023997"/>
      <w:bookmarkStart w:id="36" w:name="_Toc19668"/>
      <w:bookmarkStart w:id="37" w:name="_Toc32048"/>
      <w:bookmarkStart w:id="38" w:name="_Toc266881397"/>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关于联合体投标：</w:t>
      </w:r>
      <w:bookmarkEnd w:id="27"/>
      <w:bookmarkEnd w:id="28"/>
      <w:bookmarkEnd w:id="29"/>
      <w:bookmarkEnd w:id="30"/>
      <w:bookmarkEnd w:id="31"/>
      <w:bookmarkEnd w:id="32"/>
      <w:bookmarkEnd w:id="33"/>
      <w:bookmarkEnd w:id="34"/>
      <w:bookmarkEnd w:id="35"/>
      <w:bookmarkEnd w:id="36"/>
      <w:bookmarkEnd w:id="37"/>
      <w:bookmarkEnd w:id="38"/>
    </w:p>
    <w:p w14:paraId="692F145C">
      <w:pPr>
        <w:spacing w:line="360" w:lineRule="auto"/>
        <w:ind w:left="0"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本次招标接受联合体投标，联合体投标的，应满足下列要求：</w:t>
      </w:r>
    </w:p>
    <w:p w14:paraId="27748FEA">
      <w:pPr>
        <w:spacing w:line="360" w:lineRule="auto"/>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如投标人组成联合体，应以</w:t>
      </w:r>
      <w:r>
        <w:rPr>
          <w:rFonts w:hint="eastAsia" w:ascii="宋体" w:hAnsi="宋体" w:eastAsia="宋体" w:cs="宋体"/>
          <w:color w:val="auto"/>
          <w:sz w:val="21"/>
          <w:szCs w:val="21"/>
          <w:highlight w:val="none"/>
          <w:u w:val="single"/>
        </w:rPr>
        <w:t>承担主要设计工作</w:t>
      </w:r>
      <w:r>
        <w:rPr>
          <w:rFonts w:hint="eastAsia" w:ascii="宋体" w:hAnsi="宋体" w:eastAsia="宋体" w:cs="宋体"/>
          <w:color w:val="auto"/>
          <w:sz w:val="21"/>
          <w:szCs w:val="21"/>
          <w:highlight w:val="none"/>
          <w:u w:val="single"/>
          <w:lang w:val="en-US" w:eastAsia="zh-CN"/>
        </w:rPr>
        <w:t>的单位</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eastAsia="zh-CN"/>
        </w:rPr>
        <w:t>主办方</w:t>
      </w:r>
      <w:r>
        <w:rPr>
          <w:rFonts w:hint="eastAsia" w:ascii="宋体" w:hAnsi="宋体" w:eastAsia="宋体" w:cs="宋体"/>
          <w:color w:val="auto"/>
          <w:sz w:val="21"/>
          <w:szCs w:val="21"/>
          <w:highlight w:val="none"/>
        </w:rPr>
        <w:t>，且只接受最多由2家单位组成的联合体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并签定联合体共同投标协议。投标人拟任本工程项目负责人应为</w:t>
      </w:r>
      <w:r>
        <w:rPr>
          <w:rFonts w:hint="eastAsia" w:ascii="宋体" w:hAnsi="宋体" w:eastAsia="宋体" w:cs="宋体"/>
          <w:color w:val="auto"/>
          <w:sz w:val="21"/>
          <w:szCs w:val="21"/>
          <w:highlight w:val="none"/>
          <w:lang w:eastAsia="zh-CN"/>
        </w:rPr>
        <w:t>主办方</w:t>
      </w:r>
      <w:r>
        <w:rPr>
          <w:rFonts w:hint="eastAsia" w:ascii="宋体" w:hAnsi="宋体" w:eastAsia="宋体" w:cs="宋体"/>
          <w:color w:val="auto"/>
          <w:sz w:val="21"/>
          <w:szCs w:val="21"/>
          <w:highlight w:val="none"/>
        </w:rPr>
        <w:t>正式员工。联合体共同投标协议应明确约定各方拟承担的工作和责任。</w:t>
      </w:r>
      <w:r>
        <w:rPr>
          <w:rFonts w:hint="eastAsia" w:ascii="宋体" w:hAnsi="宋体" w:eastAsia="宋体" w:cs="宋体"/>
          <w:color w:val="auto"/>
          <w:w w:val="100"/>
          <w:sz w:val="21"/>
          <w:szCs w:val="21"/>
          <w:highlight w:val="none"/>
        </w:rPr>
        <w:t>投标登记截止后</w:t>
      </w:r>
      <w:r>
        <w:rPr>
          <w:rFonts w:hint="eastAsia" w:ascii="宋体" w:hAnsi="宋体" w:eastAsia="宋体" w:cs="宋体"/>
          <w:color w:val="auto"/>
          <w:sz w:val="21"/>
          <w:szCs w:val="21"/>
          <w:highlight w:val="none"/>
        </w:rPr>
        <w:t>联合体增减、更换成员的，其投标无效。联合体各方不得再以自己名义单独或参加其他联合体在本招标项目中投标。出现上述情况者，其投标和与此有关的投标将被拒绝</w:t>
      </w:r>
      <w:r>
        <w:rPr>
          <w:rFonts w:hint="eastAsia" w:ascii="宋体" w:hAnsi="宋体" w:eastAsia="宋体" w:cs="宋体"/>
          <w:color w:val="auto"/>
          <w:sz w:val="21"/>
          <w:szCs w:val="21"/>
          <w:highlight w:val="none"/>
          <w:lang w:eastAsia="zh-CN"/>
        </w:rPr>
        <w:t>。</w:t>
      </w:r>
    </w:p>
    <w:p w14:paraId="47C0C434">
      <w:pPr>
        <w:spacing w:line="360" w:lineRule="auto"/>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3.8 </w:t>
      </w:r>
      <w:r>
        <w:rPr>
          <w:rFonts w:hint="eastAsia" w:ascii="宋体" w:hAnsi="宋体" w:eastAsia="宋体" w:cs="宋体"/>
          <w:color w:val="auto"/>
          <w:highlight w:val="none"/>
          <w:lang w:val="en-US" w:eastAsia="zh-CN"/>
        </w:rPr>
        <w:t>投标人（如为联合体，要求联合体各方）按招标文件规定的格式及内容要求签署提交《投标人廉洁承诺书》及《投标人声明》。</w:t>
      </w:r>
    </w:p>
    <w:p w14:paraId="16E2C363">
      <w:pPr>
        <w:spacing w:line="360" w:lineRule="auto"/>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3.9 </w:t>
      </w:r>
      <w:r>
        <w:rPr>
          <w:rFonts w:hint="default" w:ascii="宋体" w:hAnsi="宋体" w:eastAsia="宋体" w:cs="宋体"/>
          <w:color w:val="auto"/>
          <w:sz w:val="21"/>
          <w:szCs w:val="21"/>
          <w:highlight w:val="none"/>
          <w:lang w:val="en-US" w:eastAsia="zh-CN"/>
        </w:rPr>
        <w:t>投标人（如为联合体，要求联合体各方）未被列入“在一定期限内依法取消参加依法必须进行招标的项目的投标资格”，具体名单以递交投标文件截止时间“信用广州”公布的“黑名单”为准。</w:t>
      </w:r>
    </w:p>
    <w:p w14:paraId="45122517">
      <w:pPr>
        <w:spacing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注：《全国失信惩戒措施清单基础清单》（2024版）</w:t>
      </w:r>
      <w:r>
        <w:rPr>
          <w:rFonts w:hint="eastAsia" w:ascii="宋体" w:hAnsi="宋体" w:eastAsia="宋体" w:cs="宋体"/>
          <w:color w:val="auto"/>
          <w:sz w:val="21"/>
          <w:szCs w:val="21"/>
          <w:highlight w:val="none"/>
          <w:lang w:val="en-US" w:eastAsia="zh-CN"/>
        </w:rPr>
        <w:t>。</w:t>
      </w:r>
    </w:p>
    <w:p w14:paraId="4A52F5AA">
      <w:pPr>
        <w:pStyle w:val="5"/>
        <w:bidi w:val="0"/>
        <w:spacing w:line="360" w:lineRule="auto"/>
        <w:rPr>
          <w:rFonts w:hint="eastAsia"/>
          <w:color w:val="auto"/>
          <w:highlight w:val="none"/>
        </w:rPr>
      </w:pPr>
      <w:bookmarkStart w:id="39" w:name="_Toc26086"/>
      <w:bookmarkStart w:id="40" w:name="_Toc28948"/>
      <w:bookmarkStart w:id="41" w:name="_Toc25583"/>
      <w:bookmarkStart w:id="42" w:name="_Toc10241"/>
      <w:bookmarkStart w:id="43" w:name="_Toc26793"/>
      <w:r>
        <w:rPr>
          <w:rFonts w:hint="eastAsia"/>
          <w:color w:val="auto"/>
          <w:highlight w:val="none"/>
        </w:rPr>
        <w:t>4. 技术成果经济补偿</w:t>
      </w:r>
      <w:bookmarkEnd w:id="39"/>
      <w:bookmarkEnd w:id="40"/>
      <w:bookmarkEnd w:id="41"/>
      <w:bookmarkEnd w:id="42"/>
      <w:bookmarkEnd w:id="43"/>
    </w:p>
    <w:p w14:paraId="08A817E7">
      <w:pPr>
        <w:keepNext w:val="0"/>
        <w:keepLines w:val="0"/>
        <w:pageBreakBefore w:val="0"/>
        <w:widowControl/>
        <w:kinsoku w:val="0"/>
        <w:wordWrap/>
        <w:overflowPunct/>
        <w:topLinePunct w:val="0"/>
        <w:autoSpaceDE w:val="0"/>
        <w:autoSpaceDN w:val="0"/>
        <w:bidi w:val="0"/>
        <w:adjustRightInd w:val="0"/>
        <w:snapToGrid w:val="0"/>
        <w:spacing w:line="360" w:lineRule="auto"/>
        <w:ind w:left="42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本次招标对未中标人投标文件中的技术成果</w:t>
      </w:r>
      <w:r>
        <w:rPr>
          <w:rFonts w:hint="eastAsia" w:ascii="宋体" w:hAnsi="宋体" w:eastAsia="宋体" w:cs="宋体"/>
          <w:color w:val="auto"/>
          <w:spacing w:val="2"/>
          <w:sz w:val="21"/>
          <w:szCs w:val="21"/>
          <w:highlight w:val="none"/>
          <w:u w:val="single" w:color="auto"/>
        </w:rPr>
        <w:t xml:space="preserve"> 不给予</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经济补偿。</w:t>
      </w:r>
    </w:p>
    <w:p w14:paraId="551D4418">
      <w:pPr>
        <w:pStyle w:val="5"/>
        <w:bidi w:val="0"/>
        <w:spacing w:line="360" w:lineRule="auto"/>
        <w:rPr>
          <w:rFonts w:hint="eastAsia" w:ascii="宋体" w:hAnsi="宋体" w:eastAsia="宋体" w:cs="宋体"/>
          <w:color w:val="auto"/>
          <w:sz w:val="21"/>
          <w:highlight w:val="none"/>
        </w:rPr>
      </w:pPr>
      <w:bookmarkStart w:id="44" w:name="_Toc29809"/>
      <w:bookmarkStart w:id="45" w:name="_Toc5228"/>
      <w:bookmarkStart w:id="46" w:name="_Toc14668"/>
      <w:bookmarkStart w:id="47" w:name="_Toc26631"/>
      <w:bookmarkStart w:id="48" w:name="_Toc9312"/>
      <w:r>
        <w:rPr>
          <w:rFonts w:hint="eastAsia"/>
          <w:color w:val="auto"/>
          <w:highlight w:val="none"/>
        </w:rPr>
        <w:t>5. 招标文件的获取</w:t>
      </w:r>
      <w:bookmarkEnd w:id="44"/>
      <w:bookmarkEnd w:id="45"/>
      <w:bookmarkEnd w:id="46"/>
      <w:bookmarkEnd w:id="47"/>
      <w:bookmarkEnd w:id="48"/>
    </w:p>
    <w:p w14:paraId="5A0283B2">
      <w:pPr>
        <w:keepNext w:val="0"/>
        <w:keepLines w:val="0"/>
        <w:pageBreakBefore w:val="0"/>
        <w:widowControl/>
        <w:kinsoku/>
        <w:wordWrap/>
        <w:overflowPunct/>
        <w:topLinePunct/>
        <w:autoSpaceDE/>
        <w:autoSpaceDN/>
        <w:bidi w:val="0"/>
        <w:adjustRightInd/>
        <w:snapToGrid w:val="0"/>
        <w:spacing w:line="360" w:lineRule="auto"/>
        <w:ind w:left="0" w:leftChars="0" w:firstLine="411" w:firstLineChars="198"/>
        <w:jc w:val="left"/>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spacing w:val="-1"/>
          <w:sz w:val="21"/>
          <w:szCs w:val="21"/>
          <w:highlight w:val="none"/>
        </w:rPr>
        <w:t xml:space="preserve">5.1  </w:t>
      </w:r>
      <w:r>
        <w:rPr>
          <w:rFonts w:hint="eastAsia" w:ascii="宋体" w:hAnsi="宋体" w:eastAsia="宋体" w:cs="宋体"/>
          <w:color w:val="auto"/>
          <w:w w:val="100"/>
          <w:sz w:val="21"/>
          <w:szCs w:val="21"/>
          <w:highlight w:val="none"/>
        </w:rPr>
        <w:t>发布招标公告</w:t>
      </w:r>
      <w:r>
        <w:rPr>
          <w:rFonts w:hint="eastAsia" w:ascii="宋体" w:hAnsi="宋体" w:cs="宋体"/>
          <w:color w:val="auto"/>
          <w:w w:val="100"/>
          <w:sz w:val="21"/>
          <w:szCs w:val="21"/>
          <w:highlight w:val="none"/>
          <w:lang w:val="en-US" w:eastAsia="zh-CN"/>
        </w:rPr>
        <w:t>的</w:t>
      </w:r>
      <w:r>
        <w:rPr>
          <w:rFonts w:hint="eastAsia" w:ascii="宋体" w:hAnsi="宋体" w:eastAsia="宋体" w:cs="宋体"/>
          <w:color w:val="auto"/>
          <w:w w:val="100"/>
          <w:sz w:val="21"/>
          <w:szCs w:val="21"/>
          <w:highlight w:val="none"/>
        </w:rPr>
        <w:t>时间：</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年</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月</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日至</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年</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月</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日</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时</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分</w:t>
      </w:r>
      <w:r>
        <w:rPr>
          <w:rFonts w:hint="eastAsia" w:ascii="宋体" w:hAnsi="宋体" w:eastAsia="宋体" w:cs="宋体"/>
          <w:color w:val="auto"/>
          <w:w w:val="100"/>
          <w:sz w:val="21"/>
          <w:szCs w:val="21"/>
          <w:highlight w:val="none"/>
          <w:lang w:eastAsia="zh-CN"/>
        </w:rPr>
        <w:t>（北京时间，下同），凡有意参加投标者，请登录广州交易集团有限公司（广州公共资源交易中心）网站下载电子招标文件。</w:t>
      </w:r>
    </w:p>
    <w:p w14:paraId="5F7DB01D">
      <w:pPr>
        <w:keepNext w:val="0"/>
        <w:keepLines w:val="0"/>
        <w:pageBreakBefore w:val="0"/>
        <w:widowControl/>
        <w:kinsoku/>
        <w:wordWrap/>
        <w:overflowPunct/>
        <w:topLinePunct/>
        <w:autoSpaceDE/>
        <w:autoSpaceDN/>
        <w:bidi w:val="0"/>
        <w:adjustRightInd/>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注：发布招标公告的时间为招标公告发出之日起至递交投标文件截止时间止。</w:t>
      </w:r>
    </w:p>
    <w:p w14:paraId="70735E39">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color w:val="auto"/>
          <w:highlight w:val="none"/>
        </w:rPr>
      </w:pPr>
      <w:r>
        <w:rPr>
          <w:rFonts w:hint="eastAsia" w:ascii="宋体" w:hAnsi="宋体" w:eastAsia="宋体" w:cs="宋体"/>
          <w:color w:val="auto"/>
          <w:w w:val="100"/>
          <w:sz w:val="21"/>
          <w:szCs w:val="21"/>
          <w:highlight w:val="none"/>
        </w:rPr>
        <w:t>5.2 本项目招标文件随招标公告一并在</w:t>
      </w:r>
      <w:r>
        <w:rPr>
          <w:rFonts w:hint="eastAsia" w:ascii="宋体" w:hAnsi="宋体" w:eastAsia="宋体" w:cs="宋体"/>
          <w:color w:val="auto"/>
          <w:w w:val="100"/>
          <w:sz w:val="21"/>
          <w:szCs w:val="21"/>
          <w:highlight w:val="none"/>
          <w:lang w:eastAsia="zh-CN"/>
        </w:rPr>
        <w:t>广州交易集团有限公司（广州公共资源交易中心）网站交易平台</w:t>
      </w:r>
      <w:r>
        <w:rPr>
          <w:rFonts w:hint="eastAsia" w:ascii="宋体" w:hAnsi="宋体" w:eastAsia="宋体" w:cs="宋体"/>
          <w:color w:val="auto"/>
          <w:w w:val="100"/>
          <w:sz w:val="21"/>
          <w:szCs w:val="21"/>
          <w:highlight w:val="none"/>
        </w:rPr>
        <w:t>发布</w:t>
      </w:r>
      <w:r>
        <w:rPr>
          <w:rFonts w:hint="eastAsia" w:ascii="宋体" w:hAnsi="宋体" w:eastAsia="宋体" w:cs="宋体"/>
          <w:color w:val="auto"/>
          <w:w w:val="100"/>
          <w:sz w:val="21"/>
          <w:szCs w:val="21"/>
          <w:highlight w:val="none"/>
          <w:lang w:eastAsia="zh-CN"/>
        </w:rPr>
        <w:t>。招标文件一经在交易平台发布，视为发出给投标人，招标文件</w:t>
      </w:r>
      <w:r>
        <w:rPr>
          <w:rFonts w:hint="eastAsia" w:ascii="宋体" w:hAnsi="宋体" w:eastAsia="宋体" w:cs="宋体"/>
          <w:color w:val="auto"/>
          <w:w w:val="100"/>
          <w:sz w:val="21"/>
          <w:szCs w:val="21"/>
          <w:highlight w:val="none"/>
        </w:rPr>
        <w:t>由投标人自行</w:t>
      </w:r>
      <w:r>
        <w:rPr>
          <w:rFonts w:hint="eastAsia" w:ascii="宋体" w:hAnsi="宋体" w:eastAsia="宋体" w:cs="宋体"/>
          <w:color w:val="auto"/>
          <w:w w:val="100"/>
          <w:sz w:val="21"/>
          <w:szCs w:val="21"/>
          <w:highlight w:val="none"/>
          <w:lang w:eastAsia="zh-CN"/>
        </w:rPr>
        <w:t>在交易平台</w:t>
      </w:r>
      <w:r>
        <w:rPr>
          <w:rFonts w:hint="eastAsia" w:ascii="宋体" w:hAnsi="宋体" w:eastAsia="宋体" w:cs="宋体"/>
          <w:color w:val="auto"/>
          <w:w w:val="100"/>
          <w:sz w:val="21"/>
          <w:szCs w:val="21"/>
          <w:highlight w:val="none"/>
        </w:rPr>
        <w:t>下载。</w:t>
      </w:r>
    </w:p>
    <w:p w14:paraId="0486E46D">
      <w:pPr>
        <w:pStyle w:val="5"/>
        <w:bidi w:val="0"/>
        <w:spacing w:line="360" w:lineRule="auto"/>
        <w:rPr>
          <w:rFonts w:hint="eastAsia" w:ascii="宋体" w:hAnsi="宋体" w:eastAsia="宋体" w:cs="宋体"/>
          <w:color w:val="auto"/>
          <w:sz w:val="21"/>
          <w:highlight w:val="none"/>
        </w:rPr>
      </w:pPr>
      <w:bookmarkStart w:id="49" w:name="_Toc13565"/>
      <w:bookmarkStart w:id="50" w:name="_Toc8908"/>
      <w:bookmarkStart w:id="51" w:name="_Toc25595"/>
      <w:bookmarkStart w:id="52" w:name="_Toc19023"/>
      <w:bookmarkStart w:id="53" w:name="_Toc20569"/>
      <w:r>
        <w:rPr>
          <w:rFonts w:hint="eastAsia"/>
          <w:color w:val="auto"/>
          <w:highlight w:val="none"/>
        </w:rPr>
        <w:t>6. 投标文件的递交</w:t>
      </w:r>
      <w:bookmarkEnd w:id="49"/>
      <w:bookmarkEnd w:id="50"/>
      <w:bookmarkEnd w:id="51"/>
      <w:bookmarkEnd w:id="52"/>
      <w:bookmarkEnd w:id="53"/>
    </w:p>
    <w:p w14:paraId="2D436B4F">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cs="宋体"/>
          <w:color w:val="auto"/>
          <w:sz w:val="21"/>
          <w:szCs w:val="21"/>
          <w:highlight w:val="none"/>
          <w:lang w:eastAsia="zh-CN"/>
        </w:rPr>
      </w:pPr>
      <w:r>
        <w:rPr>
          <w:rFonts w:hint="eastAsia" w:ascii="宋体" w:hAnsi="宋体" w:eastAsia="宋体" w:cs="宋体"/>
          <w:color w:val="auto"/>
          <w:w w:val="100"/>
          <w:sz w:val="21"/>
          <w:szCs w:val="21"/>
          <w:highlight w:val="none"/>
          <w:lang w:val="en-US" w:eastAsia="zh-CN"/>
        </w:rPr>
        <w:t>6.1</w:t>
      </w:r>
      <w:r>
        <w:rPr>
          <w:rFonts w:hint="eastAsia" w:ascii="宋体" w:hAnsi="宋体" w:eastAsia="宋体" w:cs="宋体"/>
          <w:color w:val="auto"/>
          <w:w w:val="100"/>
          <w:sz w:val="21"/>
          <w:szCs w:val="21"/>
          <w:highlight w:val="none"/>
          <w:lang w:eastAsia="zh-CN"/>
        </w:rPr>
        <w:t>投标</w:t>
      </w:r>
      <w:r>
        <w:rPr>
          <w:rFonts w:hint="eastAsia" w:ascii="宋体" w:hAnsi="宋体" w:eastAsia="宋体" w:cs="宋体"/>
          <w:color w:val="auto"/>
          <w:w w:val="100"/>
          <w:sz w:val="21"/>
          <w:szCs w:val="21"/>
          <w:highlight w:val="none"/>
        </w:rPr>
        <w:t>截止时间</w:t>
      </w:r>
      <w:r>
        <w:rPr>
          <w:rFonts w:hint="eastAsia" w:ascii="宋体" w:hAnsi="宋体" w:eastAsia="宋体" w:cs="宋体"/>
          <w:color w:val="auto"/>
          <w:w w:val="100"/>
          <w:sz w:val="21"/>
          <w:szCs w:val="21"/>
          <w:highlight w:val="none"/>
          <w:lang w:eastAsia="zh-CN"/>
        </w:rPr>
        <w:t>为</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年</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月</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日</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时</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分</w:t>
      </w:r>
      <w:r>
        <w:rPr>
          <w:rFonts w:hint="eastAsia" w:ascii="宋体" w:hAnsi="宋体" w:eastAsia="宋体" w:cs="宋体"/>
          <w:color w:val="auto"/>
          <w:w w:val="100"/>
          <w:sz w:val="21"/>
          <w:szCs w:val="21"/>
          <w:highlight w:val="none"/>
          <w:lang w:eastAsia="zh-CN"/>
        </w:rPr>
        <w:t>，</w:t>
      </w:r>
      <w:r>
        <w:rPr>
          <w:rFonts w:hint="eastAsia" w:ascii="宋体" w:hAnsi="宋体" w:cs="宋体"/>
          <w:color w:val="auto"/>
          <w:sz w:val="21"/>
          <w:szCs w:val="21"/>
          <w:highlight w:val="none"/>
        </w:rPr>
        <w:t>投标人</w:t>
      </w:r>
      <w:r>
        <w:rPr>
          <w:rFonts w:hint="eastAsia" w:ascii="宋体" w:hAnsi="宋体" w:eastAsia="宋体" w:cs="宋体"/>
          <w:color w:val="auto"/>
          <w:sz w:val="21"/>
          <w:szCs w:val="21"/>
          <w:highlight w:val="none"/>
          <w:lang w:eastAsia="zh-CN"/>
        </w:rPr>
        <w:t>应在截止时间前</w:t>
      </w:r>
      <w:r>
        <w:rPr>
          <w:rFonts w:hint="eastAsia" w:ascii="宋体" w:hAnsi="宋体" w:cs="宋体"/>
          <w:color w:val="auto"/>
          <w:sz w:val="21"/>
          <w:szCs w:val="21"/>
          <w:highlight w:val="none"/>
        </w:rPr>
        <w:t>通过</w:t>
      </w:r>
      <w:r>
        <w:rPr>
          <w:rFonts w:hint="eastAsia" w:ascii="宋体" w:hAnsi="宋体" w:eastAsia="宋体" w:cs="宋体"/>
          <w:color w:val="auto"/>
          <w:sz w:val="21"/>
          <w:szCs w:val="21"/>
          <w:highlight w:val="none"/>
          <w:lang w:val="en-US" w:eastAsia="zh-CN"/>
        </w:rPr>
        <w:t>广州交易集团有限公司（广州公共资源交易中心）网站</w:t>
      </w:r>
      <w:r>
        <w:rPr>
          <w:rFonts w:hint="eastAsia" w:ascii="宋体" w:hAnsi="宋体" w:cs="宋体"/>
          <w:color w:val="auto"/>
          <w:sz w:val="21"/>
          <w:szCs w:val="21"/>
          <w:highlight w:val="none"/>
        </w:rPr>
        <w:t>交易平台递交电子投标文件。</w:t>
      </w:r>
      <w:r>
        <w:rPr>
          <w:rFonts w:hint="eastAsia" w:ascii="宋体" w:hAnsi="宋体" w:eastAsia="宋体" w:cs="宋体"/>
          <w:color w:val="auto"/>
          <w:sz w:val="21"/>
          <w:szCs w:val="21"/>
          <w:highlight w:val="none"/>
          <w:lang w:eastAsia="zh-CN"/>
        </w:rPr>
        <w:t>投标人</w:t>
      </w:r>
      <w:r>
        <w:rPr>
          <w:rFonts w:hint="eastAsia" w:ascii="宋体" w:hAnsi="宋体" w:cs="宋体"/>
          <w:color w:val="auto"/>
          <w:sz w:val="21"/>
          <w:szCs w:val="21"/>
          <w:highlight w:val="none"/>
        </w:rPr>
        <w:t>完成</w:t>
      </w:r>
      <w:r>
        <w:rPr>
          <w:rFonts w:hint="eastAsia" w:ascii="宋体" w:hAnsi="宋体" w:cs="宋体"/>
          <w:color w:val="auto"/>
          <w:sz w:val="21"/>
          <w:szCs w:val="21"/>
          <w:highlight w:val="none"/>
          <w:lang w:eastAsia="zh-CN"/>
        </w:rPr>
        <w:t>电子</w:t>
      </w:r>
      <w:r>
        <w:rPr>
          <w:rFonts w:hint="eastAsia" w:ascii="宋体" w:hAnsi="宋体" w:cs="宋体"/>
          <w:color w:val="auto"/>
          <w:sz w:val="21"/>
          <w:szCs w:val="21"/>
          <w:highlight w:val="none"/>
        </w:rPr>
        <w:t>投标文件上传</w:t>
      </w:r>
      <w:r>
        <w:rPr>
          <w:rFonts w:hint="eastAsia" w:ascii="宋体" w:hAnsi="宋体" w:eastAsia="宋体" w:cs="宋体"/>
          <w:color w:val="auto"/>
          <w:sz w:val="21"/>
          <w:szCs w:val="21"/>
          <w:highlight w:val="none"/>
          <w:lang w:eastAsia="zh-CN"/>
        </w:rPr>
        <w:t>后</w:t>
      </w:r>
      <w:r>
        <w:rPr>
          <w:rFonts w:hint="eastAsia" w:ascii="宋体" w:hAnsi="宋体" w:cs="宋体"/>
          <w:color w:val="auto"/>
          <w:sz w:val="21"/>
          <w:szCs w:val="21"/>
          <w:highlight w:val="none"/>
        </w:rPr>
        <w:t>，</w:t>
      </w:r>
      <w:r>
        <w:rPr>
          <w:rFonts w:hint="eastAsia" w:ascii="宋体" w:hAnsi="宋体" w:eastAsia="宋体" w:cs="宋体"/>
          <w:color w:val="auto"/>
          <w:sz w:val="21"/>
          <w:szCs w:val="21"/>
          <w:highlight w:val="none"/>
          <w:lang w:eastAsia="zh-CN"/>
        </w:rPr>
        <w:t>交易平台即时向投标人发出递交</w:t>
      </w:r>
      <w:r>
        <w:rPr>
          <w:rFonts w:hint="eastAsia" w:ascii="宋体" w:hAnsi="宋体" w:cs="宋体"/>
          <w:color w:val="auto"/>
          <w:sz w:val="21"/>
          <w:szCs w:val="21"/>
          <w:highlight w:val="none"/>
        </w:rPr>
        <w:t>回执</w:t>
      </w:r>
      <w:r>
        <w:rPr>
          <w:rFonts w:hint="eastAsia" w:ascii="宋体" w:hAnsi="宋体" w:eastAsia="宋体" w:cs="宋体"/>
          <w:color w:val="auto"/>
          <w:sz w:val="21"/>
          <w:szCs w:val="21"/>
          <w:highlight w:val="none"/>
          <w:lang w:eastAsia="zh-CN"/>
        </w:rPr>
        <w:t>通知</w:t>
      </w:r>
      <w:r>
        <w:rPr>
          <w:rFonts w:hint="eastAsia" w:ascii="宋体" w:hAnsi="宋体" w:cs="宋体"/>
          <w:color w:val="auto"/>
          <w:sz w:val="21"/>
          <w:szCs w:val="21"/>
          <w:highlight w:val="none"/>
          <w:lang w:eastAsia="zh-CN"/>
        </w:rPr>
        <w:t>。递交时间以递交回执通知载明的传输完成时间为准。</w:t>
      </w:r>
    </w:p>
    <w:p w14:paraId="0F01B032">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在投标截止时间后半小时内，投标人通过</w:t>
      </w:r>
      <w:r>
        <w:rPr>
          <w:rFonts w:hint="eastAsia" w:ascii="宋体" w:hAnsi="宋体" w:eastAsia="宋体" w:cs="宋体"/>
          <w:color w:val="auto"/>
          <w:w w:val="100"/>
          <w:sz w:val="21"/>
          <w:szCs w:val="21"/>
          <w:highlight w:val="none"/>
          <w:lang w:eastAsia="zh-CN"/>
        </w:rPr>
        <w:t>广州交易集团有限公司（广州公共资源交易中心）网站</w:t>
      </w:r>
      <w:r>
        <w:rPr>
          <w:rFonts w:hint="eastAsia" w:ascii="宋体" w:hAnsi="宋体" w:eastAsia="宋体" w:cs="宋体"/>
          <w:color w:val="auto"/>
          <w:w w:val="100"/>
          <w:sz w:val="21"/>
          <w:szCs w:val="21"/>
          <w:highlight w:val="none"/>
        </w:rPr>
        <w:t>对已递交的电子投标文件进行解密。</w:t>
      </w:r>
    </w:p>
    <w:p w14:paraId="70F22A08">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default"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6.2</w:t>
      </w:r>
      <w:r>
        <w:rPr>
          <w:rFonts w:hint="eastAsia" w:ascii="宋体" w:hAnsi="宋体" w:cs="宋体"/>
          <w:color w:val="auto"/>
          <w:sz w:val="21"/>
          <w:szCs w:val="21"/>
          <w:highlight w:val="none"/>
        </w:rPr>
        <w:t>投标人应在递交投标文件截止时间前，登录</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cs="宋体"/>
          <w:color w:val="auto"/>
          <w:sz w:val="21"/>
          <w:szCs w:val="21"/>
          <w:highlight w:val="none"/>
        </w:rPr>
        <w:t>网站交易平台办理网上投标登记手续；</w:t>
      </w:r>
      <w:r>
        <w:rPr>
          <w:rFonts w:hint="eastAsia" w:ascii="宋体" w:hAnsi="宋体"/>
          <w:color w:val="auto"/>
          <w:sz w:val="21"/>
          <w:szCs w:val="21"/>
          <w:highlight w:val="none"/>
          <w:lang w:eastAsia="zh-CN"/>
        </w:rPr>
        <w:t>按照</w:t>
      </w:r>
      <w:r>
        <w:rPr>
          <w:rFonts w:hint="eastAsia" w:ascii="宋体" w:hAnsi="宋体" w:eastAsia="宋体"/>
          <w:color w:val="auto"/>
          <w:sz w:val="21"/>
          <w:szCs w:val="21"/>
          <w:highlight w:val="none"/>
          <w:lang w:eastAsia="zh-CN"/>
        </w:rPr>
        <w:t>广州交易集团有限公司（广州公共资源交易中心）</w:t>
      </w:r>
      <w:r>
        <w:rPr>
          <w:rFonts w:hint="eastAsia" w:ascii="宋体" w:hAnsi="宋体" w:eastAsia="宋体"/>
          <w:color w:val="auto"/>
          <w:sz w:val="21"/>
          <w:szCs w:val="21"/>
          <w:highlight w:val="none"/>
          <w:u w:val="none"/>
          <w:lang w:eastAsia="zh-CN"/>
        </w:rPr>
        <w:t>网站</w:t>
      </w:r>
      <w:r>
        <w:rPr>
          <w:rFonts w:hint="eastAsia" w:ascii="宋体" w:hAnsi="宋体"/>
          <w:color w:val="auto"/>
          <w:sz w:val="21"/>
          <w:szCs w:val="21"/>
          <w:highlight w:val="none"/>
          <w:lang w:eastAsia="zh-CN"/>
        </w:rPr>
        <w:t>关于全流程电子化项目的相关指南进行操作。</w:t>
      </w:r>
    </w:p>
    <w:p w14:paraId="79C31D83">
      <w:pPr>
        <w:keepNext w:val="0"/>
        <w:keepLines w:val="0"/>
        <w:pageBreakBefore w:val="0"/>
        <w:widowControl/>
        <w:kinsoku/>
        <w:wordWrap/>
        <w:overflowPunct/>
        <w:topLinePunct/>
        <w:autoSpaceDE/>
        <w:autoSpaceDN/>
        <w:bidi w:val="0"/>
        <w:adjustRightInd/>
        <w:snapToGrid w:val="0"/>
        <w:spacing w:line="360" w:lineRule="auto"/>
        <w:ind w:left="420" w:leftChars="200" w:firstLine="0" w:firstLineChars="0"/>
        <w:jc w:val="left"/>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lang w:val="en-US" w:eastAsia="zh-CN"/>
        </w:rPr>
        <w:t>6.3</w:t>
      </w:r>
      <w:r>
        <w:rPr>
          <w:rFonts w:hint="eastAsia" w:ascii="宋体" w:hAnsi="宋体" w:eastAsia="宋体" w:cs="宋体"/>
          <w:color w:val="auto"/>
          <w:w w:val="100"/>
          <w:sz w:val="21"/>
          <w:szCs w:val="21"/>
          <w:highlight w:val="none"/>
        </w:rPr>
        <w:t>开标</w:t>
      </w:r>
      <w:r>
        <w:rPr>
          <w:rFonts w:hint="eastAsia" w:ascii="宋体" w:hAnsi="宋体" w:eastAsia="宋体" w:cs="宋体"/>
          <w:color w:val="auto"/>
          <w:w w:val="100"/>
          <w:sz w:val="21"/>
          <w:szCs w:val="21"/>
          <w:highlight w:val="none"/>
          <w:lang w:eastAsia="zh-CN"/>
        </w:rPr>
        <w:t>开始</w:t>
      </w:r>
      <w:r>
        <w:rPr>
          <w:rFonts w:hint="eastAsia" w:ascii="宋体" w:hAnsi="宋体" w:eastAsia="宋体" w:cs="宋体"/>
          <w:color w:val="auto"/>
          <w:w w:val="100"/>
          <w:sz w:val="21"/>
          <w:szCs w:val="21"/>
          <w:highlight w:val="none"/>
        </w:rPr>
        <w:t>时间：</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年</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月</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日</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时</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 xml:space="preserve">分。    </w:t>
      </w:r>
    </w:p>
    <w:p w14:paraId="54AA8E4A">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lang w:val="en-US" w:eastAsia="zh-CN"/>
        </w:rPr>
        <w:t>6.4</w:t>
      </w:r>
      <w:r>
        <w:rPr>
          <w:rFonts w:hint="eastAsia" w:ascii="宋体" w:hAnsi="宋体" w:eastAsia="宋体" w:cs="宋体"/>
          <w:color w:val="auto"/>
          <w:w w:val="100"/>
          <w:sz w:val="21"/>
          <w:szCs w:val="21"/>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57B6913B">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6.5 逾期送达的电子投标文件，</w:t>
      </w:r>
      <w:r>
        <w:rPr>
          <w:rFonts w:hint="eastAsia" w:ascii="宋体" w:hAnsi="宋体" w:eastAsia="宋体" w:cs="宋体"/>
          <w:color w:val="auto"/>
          <w:w w:val="100"/>
          <w:sz w:val="21"/>
          <w:szCs w:val="21"/>
          <w:highlight w:val="none"/>
          <w:lang w:eastAsia="zh-CN"/>
        </w:rPr>
        <w:t>广州交易集团有限公司（广州公共资源交易中心）网站</w:t>
      </w:r>
      <w:r>
        <w:rPr>
          <w:rFonts w:hint="eastAsia" w:ascii="宋体" w:hAnsi="宋体" w:eastAsia="宋体" w:cs="宋体"/>
          <w:color w:val="auto"/>
          <w:w w:val="100"/>
          <w:sz w:val="21"/>
          <w:szCs w:val="21"/>
          <w:highlight w:val="none"/>
          <w:lang w:val="en-US" w:eastAsia="zh-CN"/>
        </w:rPr>
        <w:t>交易平台将予以拒收。</w:t>
      </w:r>
    </w:p>
    <w:p w14:paraId="6E9AF083">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bookmarkStart w:id="54" w:name="_Toc20503"/>
      <w:bookmarkStart w:id="55" w:name="_Toc6224"/>
      <w:bookmarkStart w:id="56" w:name="_Toc15522"/>
      <w:bookmarkStart w:id="57" w:name="_Toc16960"/>
      <w:bookmarkStart w:id="58" w:name="_Toc3261"/>
      <w:r>
        <w:rPr>
          <w:rFonts w:hint="eastAsia" w:ascii="宋体" w:hAnsi="宋体" w:eastAsia="宋体" w:cs="宋体"/>
          <w:color w:val="auto"/>
          <w:w w:val="100"/>
          <w:sz w:val="21"/>
          <w:szCs w:val="21"/>
          <w:highlight w:val="none"/>
          <w:lang w:val="en-US" w:eastAsia="zh-CN"/>
        </w:rPr>
        <w:t>6.6 投标人应自行检查广州交易集团有限公司（广州公共资源交易中心）信息登记中的企业基础信息扫描件（包括企业资质证书、企业营业执照、项目负责人相关证书等），评标委员会对上述资料的审查将以递交投标文件截止时间在广州交易集团有限公司（广州公共资源交易中心）信息登记的信息为依据。投标人应及时维护其在</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w w:val="100"/>
          <w:sz w:val="21"/>
          <w:szCs w:val="21"/>
          <w:highlight w:val="none"/>
          <w:lang w:val="en-US" w:eastAsia="zh-CN"/>
        </w:rPr>
        <w:t>信息登记的信息，确保各项信息在有效期内。如因投标单位资料缺失导致资格审查不通过，责任由投标单位自行承担。</w:t>
      </w:r>
    </w:p>
    <w:p w14:paraId="6C87BAB7">
      <w:pPr>
        <w:pStyle w:val="5"/>
        <w:bidi w:val="0"/>
        <w:spacing w:line="360" w:lineRule="auto"/>
        <w:rPr>
          <w:rFonts w:hint="eastAsia" w:ascii="宋体" w:hAnsi="宋体" w:eastAsia="宋体" w:cs="宋体"/>
          <w:color w:val="auto"/>
          <w:sz w:val="21"/>
          <w:highlight w:val="none"/>
        </w:rPr>
      </w:pPr>
      <w:r>
        <w:rPr>
          <w:rFonts w:hint="eastAsia"/>
          <w:color w:val="auto"/>
          <w:highlight w:val="none"/>
        </w:rPr>
        <w:t>7. 发布公告的媒介</w:t>
      </w:r>
      <w:bookmarkEnd w:id="54"/>
      <w:bookmarkEnd w:id="55"/>
      <w:bookmarkEnd w:id="56"/>
      <w:bookmarkEnd w:id="57"/>
      <w:bookmarkEnd w:id="58"/>
    </w:p>
    <w:p w14:paraId="46757D22">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color w:val="auto"/>
          <w:highlight w:val="none"/>
          <w:lang w:val="en-US" w:eastAsia="zh-CN"/>
        </w:rPr>
      </w:pPr>
      <w:r>
        <w:rPr>
          <w:rFonts w:hint="eastAsia" w:ascii="宋体" w:hAnsi="宋体" w:eastAsia="宋体" w:cs="宋体"/>
          <w:color w:val="auto"/>
          <w:w w:val="100"/>
          <w:sz w:val="21"/>
          <w:szCs w:val="21"/>
          <w:highlight w:val="none"/>
          <w:lang w:val="en-US" w:eastAsia="zh-CN"/>
        </w:rPr>
        <w:t>本公告在广州交易集团有限公司（广州公共资源交易中心）网（网址：http://www.gzggzy.cn）、广东省招标投标监管网（网址： http://zbtb.gd.gov.cn/login）和中国招标投标公共服务平台（网址：</w:t>
      </w:r>
      <w:r>
        <w:rPr>
          <w:rFonts w:hint="eastAsia" w:ascii="宋体" w:hAnsi="宋体" w:eastAsia="宋体" w:cs="宋体"/>
          <w:color w:val="auto"/>
          <w:w w:val="100"/>
          <w:sz w:val="21"/>
          <w:szCs w:val="21"/>
          <w:highlight w:val="none"/>
          <w:lang w:val="en-US" w:eastAsia="zh-CN"/>
        </w:rPr>
        <w:fldChar w:fldCharType="begin"/>
      </w:r>
      <w:r>
        <w:rPr>
          <w:rFonts w:hint="eastAsia" w:ascii="宋体" w:hAnsi="宋体" w:eastAsia="宋体" w:cs="宋体"/>
          <w:color w:val="auto"/>
          <w:w w:val="100"/>
          <w:sz w:val="21"/>
          <w:szCs w:val="21"/>
          <w:highlight w:val="none"/>
          <w:lang w:val="en-US" w:eastAsia="zh-CN"/>
        </w:rPr>
        <w:instrText xml:space="preserve"> HYPERLINK "http://www.cebpubservice.com/）发布，本公告的修改、补充，在广州公共资源交易中心网站发布。" </w:instrText>
      </w:r>
      <w:r>
        <w:rPr>
          <w:rFonts w:hint="eastAsia" w:ascii="宋体" w:hAnsi="宋体" w:eastAsia="宋体" w:cs="宋体"/>
          <w:color w:val="auto"/>
          <w:w w:val="100"/>
          <w:sz w:val="21"/>
          <w:szCs w:val="21"/>
          <w:highlight w:val="none"/>
          <w:lang w:val="en-US" w:eastAsia="zh-CN"/>
        </w:rPr>
        <w:fldChar w:fldCharType="separate"/>
      </w:r>
      <w:r>
        <w:rPr>
          <w:rFonts w:hint="eastAsia" w:ascii="宋体" w:hAnsi="宋体" w:eastAsia="宋体" w:cs="宋体"/>
          <w:color w:val="auto"/>
          <w:w w:val="100"/>
          <w:sz w:val="21"/>
          <w:szCs w:val="21"/>
          <w:highlight w:val="none"/>
          <w:lang w:val="en-US" w:eastAsia="zh-CN"/>
        </w:rPr>
        <w:t>http://www.cebpubservice.com/）发布，本公告的修改、补充，在广州交易集团有限公司（广州公共资源交易中心）网站发布。</w:t>
      </w:r>
      <w:r>
        <w:rPr>
          <w:rFonts w:hint="eastAsia" w:ascii="宋体" w:hAnsi="宋体" w:eastAsia="宋体" w:cs="宋体"/>
          <w:color w:val="auto"/>
          <w:w w:val="100"/>
          <w:sz w:val="21"/>
          <w:szCs w:val="21"/>
          <w:highlight w:val="none"/>
          <w:lang w:val="en-US" w:eastAsia="zh-CN"/>
        </w:rPr>
        <w:fldChar w:fldCharType="end"/>
      </w:r>
    </w:p>
    <w:p w14:paraId="2B4FF0F3">
      <w:pPr>
        <w:pStyle w:val="5"/>
        <w:bidi w:val="0"/>
        <w:spacing w:line="360" w:lineRule="auto"/>
        <w:rPr>
          <w:rFonts w:hint="eastAsia" w:ascii="宋体" w:hAnsi="宋体" w:eastAsia="宋体" w:cs="宋体"/>
          <w:b/>
          <w:bCs/>
          <w:color w:val="auto"/>
          <w:spacing w:val="7"/>
          <w:sz w:val="28"/>
          <w:szCs w:val="28"/>
          <w:highlight w:val="none"/>
        </w:rPr>
      </w:pPr>
      <w:bookmarkStart w:id="59" w:name="_Toc17336"/>
      <w:bookmarkStart w:id="60" w:name="_Toc29364"/>
      <w:bookmarkStart w:id="61" w:name="_Toc8443"/>
      <w:bookmarkStart w:id="62" w:name="_Toc17357"/>
      <w:bookmarkStart w:id="63" w:name="_Toc8339"/>
      <w:bookmarkStart w:id="64" w:name="_Toc21787632"/>
      <w:r>
        <w:rPr>
          <w:rFonts w:hint="eastAsia" w:cs="宋体"/>
          <w:b/>
          <w:bCs/>
          <w:color w:val="auto"/>
          <w:spacing w:val="7"/>
          <w:sz w:val="28"/>
          <w:szCs w:val="28"/>
          <w:highlight w:val="none"/>
          <w:lang w:val="en-US" w:eastAsia="zh-CN"/>
        </w:rPr>
        <w:t>8</w:t>
      </w:r>
      <w:r>
        <w:rPr>
          <w:rFonts w:hint="eastAsia" w:ascii="宋体" w:hAnsi="宋体" w:eastAsia="宋体" w:cs="宋体"/>
          <w:b/>
          <w:bCs/>
          <w:color w:val="auto"/>
          <w:spacing w:val="7"/>
          <w:sz w:val="28"/>
          <w:szCs w:val="28"/>
          <w:highlight w:val="none"/>
        </w:rPr>
        <w:t>. 资格审查方式</w:t>
      </w:r>
      <w:bookmarkEnd w:id="59"/>
      <w:bookmarkEnd w:id="60"/>
      <w:bookmarkEnd w:id="61"/>
      <w:bookmarkEnd w:id="62"/>
      <w:bookmarkEnd w:id="63"/>
      <w:bookmarkEnd w:id="64"/>
    </w:p>
    <w:p w14:paraId="4C35D7A7">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bookmarkStart w:id="65" w:name="_Toc279"/>
      <w:bookmarkStart w:id="66" w:name="_Toc12248"/>
      <w:bookmarkStart w:id="67" w:name="_Toc6681"/>
      <w:r>
        <w:rPr>
          <w:rFonts w:hint="eastAsia" w:ascii="宋体" w:hAnsi="宋体" w:eastAsia="宋体" w:cs="宋体"/>
          <w:color w:val="auto"/>
          <w:w w:val="100"/>
          <w:sz w:val="21"/>
          <w:szCs w:val="21"/>
          <w:highlight w:val="none"/>
          <w:lang w:val="en-US" w:eastAsia="zh-CN"/>
        </w:rPr>
        <w:t>8.1本工程采用资格后审方式，由评标委员会负责资格审查。</w:t>
      </w:r>
      <w:bookmarkEnd w:id="65"/>
      <w:bookmarkEnd w:id="66"/>
      <w:bookmarkEnd w:id="67"/>
    </w:p>
    <w:p w14:paraId="55223C26">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color w:val="auto"/>
          <w:highlight w:val="none"/>
          <w:lang w:val="en-US" w:eastAsia="zh-CN"/>
        </w:rPr>
      </w:pPr>
      <w:r>
        <w:rPr>
          <w:rFonts w:hint="eastAsia" w:ascii="宋体" w:hAnsi="宋体" w:eastAsia="宋体" w:cs="宋体"/>
          <w:color w:val="auto"/>
          <w:w w:val="100"/>
          <w:sz w:val="21"/>
          <w:szCs w:val="21"/>
          <w:highlight w:val="none"/>
          <w:lang w:val="en-US" w:eastAsia="zh-CN"/>
        </w:rPr>
        <w:t>8.2资格审查结果将在广州交易集团有限公司（广州公共资源交易中心）网站和广东省招标投标监管网公示，公示时间不得少于3日，最后一天应为工作日。</w:t>
      </w:r>
    </w:p>
    <w:p w14:paraId="4579DAD9">
      <w:pPr>
        <w:pStyle w:val="5"/>
        <w:bidi w:val="0"/>
        <w:spacing w:line="360" w:lineRule="auto"/>
        <w:rPr>
          <w:rFonts w:hint="eastAsia" w:ascii="宋体" w:hAnsi="宋体" w:eastAsia="宋体" w:cs="宋体"/>
          <w:color w:val="auto"/>
          <w:w w:val="100"/>
          <w:sz w:val="21"/>
          <w:szCs w:val="21"/>
          <w:highlight w:val="none"/>
          <w:lang w:val="en-US" w:eastAsia="zh-CN"/>
        </w:rPr>
      </w:pPr>
      <w:bookmarkStart w:id="68" w:name="_Toc24569"/>
      <w:bookmarkStart w:id="69" w:name="_Toc21787635"/>
      <w:bookmarkStart w:id="70" w:name="_Toc24417"/>
      <w:bookmarkStart w:id="71" w:name="_Toc5540"/>
      <w:bookmarkStart w:id="72" w:name="_Toc10143"/>
      <w:bookmarkStart w:id="73" w:name="_Toc217"/>
      <w:r>
        <w:rPr>
          <w:rFonts w:hint="eastAsia" w:cs="宋体"/>
          <w:b/>
          <w:bCs/>
          <w:color w:val="auto"/>
          <w:spacing w:val="7"/>
          <w:sz w:val="28"/>
          <w:szCs w:val="28"/>
          <w:highlight w:val="none"/>
          <w:lang w:val="en-US" w:eastAsia="zh-CN"/>
        </w:rPr>
        <w:t>9</w:t>
      </w:r>
      <w:r>
        <w:rPr>
          <w:rFonts w:hint="eastAsia" w:ascii="宋体" w:hAnsi="宋体" w:eastAsia="宋体" w:cs="宋体"/>
          <w:b/>
          <w:bCs/>
          <w:color w:val="auto"/>
          <w:spacing w:val="7"/>
          <w:sz w:val="28"/>
          <w:szCs w:val="28"/>
          <w:highlight w:val="none"/>
        </w:rPr>
        <w:t xml:space="preserve">. </w:t>
      </w:r>
      <w:r>
        <w:rPr>
          <w:rFonts w:hint="eastAsia" w:ascii="宋体" w:hAnsi="宋体" w:eastAsia="宋体" w:cs="宋体"/>
          <w:b/>
          <w:bCs/>
          <w:color w:val="auto"/>
          <w:spacing w:val="7"/>
          <w:sz w:val="28"/>
          <w:szCs w:val="28"/>
          <w:highlight w:val="none"/>
          <w:lang w:val="en-US" w:eastAsia="zh-CN"/>
        </w:rPr>
        <w:t>疑问、异议、投诉处理</w:t>
      </w:r>
      <w:bookmarkEnd w:id="68"/>
      <w:bookmarkEnd w:id="69"/>
      <w:bookmarkEnd w:id="70"/>
      <w:bookmarkEnd w:id="71"/>
      <w:bookmarkEnd w:id="72"/>
      <w:bookmarkEnd w:id="73"/>
    </w:p>
    <w:p w14:paraId="28DF6F8E">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default"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9</w:t>
      </w:r>
      <w:r>
        <w:rPr>
          <w:rFonts w:hint="default" w:ascii="宋体" w:hAnsi="宋体" w:eastAsia="宋体" w:cs="宋体"/>
          <w:color w:val="auto"/>
          <w:w w:val="100"/>
          <w:sz w:val="21"/>
          <w:szCs w:val="21"/>
          <w:highlight w:val="none"/>
          <w:lang w:val="en-US" w:eastAsia="zh-CN"/>
        </w:rPr>
        <w:t>.1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14:paraId="388934F9">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default"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9</w:t>
      </w:r>
      <w:r>
        <w:rPr>
          <w:rFonts w:hint="default" w:ascii="宋体" w:hAnsi="宋体" w:eastAsia="宋体" w:cs="宋体"/>
          <w:color w:val="auto"/>
          <w:w w:val="100"/>
          <w:sz w:val="21"/>
          <w:szCs w:val="21"/>
          <w:highlight w:val="none"/>
          <w:lang w:val="en-US" w:eastAsia="zh-CN"/>
        </w:rPr>
        <w:t>.2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6D545F67">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default"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9</w:t>
      </w:r>
      <w:r>
        <w:rPr>
          <w:rFonts w:hint="default" w:ascii="宋体" w:hAnsi="宋体" w:eastAsia="宋体" w:cs="宋体"/>
          <w:color w:val="auto"/>
          <w:w w:val="100"/>
          <w:sz w:val="21"/>
          <w:szCs w:val="21"/>
          <w:highlight w:val="none"/>
          <w:lang w:val="en-US" w:eastAsia="zh-CN"/>
        </w:rPr>
        <w:t>.3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20E5BC59">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default" w:ascii="宋体" w:hAnsi="宋体" w:eastAsia="宋体" w:cs="宋体"/>
          <w:color w:val="auto"/>
          <w:w w:val="100"/>
          <w:sz w:val="21"/>
          <w:szCs w:val="21"/>
          <w:highlight w:val="none"/>
          <w:lang w:val="en-US" w:eastAsia="zh-CN"/>
        </w:rPr>
      </w:pPr>
      <w:r>
        <w:rPr>
          <w:rFonts w:hint="default" w:ascii="宋体" w:hAnsi="宋体" w:eastAsia="宋体" w:cs="宋体"/>
          <w:color w:val="auto"/>
          <w:w w:val="100"/>
          <w:sz w:val="21"/>
          <w:szCs w:val="21"/>
          <w:highlight w:val="none"/>
          <w:lang w:val="en-US" w:eastAsia="zh-CN"/>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350C9C6B">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default" w:ascii="宋体" w:hAnsi="宋体" w:eastAsia="宋体" w:cs="宋体"/>
          <w:color w:val="auto"/>
          <w:w w:val="100"/>
          <w:sz w:val="21"/>
          <w:szCs w:val="21"/>
          <w:highlight w:val="none"/>
          <w:lang w:val="en-US"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010C9ECB">
      <w:pPr>
        <w:keepNext w:val="0"/>
        <w:keepLines w:val="0"/>
        <w:pageBreakBefore w:val="0"/>
        <w:widowControl/>
        <w:kinsoku/>
        <w:wordWrap/>
        <w:overflowPunct/>
        <w:topLinePunct/>
        <w:autoSpaceDE/>
        <w:autoSpaceDN/>
        <w:bidi w:val="0"/>
        <w:adjustRightInd/>
        <w:snapToGrid w:val="0"/>
        <w:spacing w:before="0" w:beforeLines="50" w:after="0" w:afterLines="50" w:line="360" w:lineRule="auto"/>
        <w:jc w:val="left"/>
        <w:textAlignment w:val="auto"/>
        <w:rPr>
          <w:rFonts w:hint="eastAsia" w:ascii="宋体" w:hAnsi="宋体" w:eastAsia="宋体" w:cs="宋体"/>
          <w:color w:val="auto"/>
          <w:w w:val="100"/>
          <w:sz w:val="21"/>
          <w:szCs w:val="21"/>
          <w:highlight w:val="none"/>
          <w:lang w:val="en-US" w:eastAsia="zh-CN"/>
        </w:rPr>
      </w:pPr>
      <w:bookmarkStart w:id="74" w:name="_Toc32458"/>
      <w:bookmarkStart w:id="75" w:name="_Toc6778"/>
      <w:bookmarkStart w:id="76" w:name="_Toc16115"/>
      <w:r>
        <w:rPr>
          <w:rFonts w:hint="eastAsia" w:ascii="宋体" w:hAnsi="宋体" w:eastAsia="宋体" w:cs="Arial"/>
          <w:b/>
          <w:snapToGrid w:val="0"/>
          <w:color w:val="auto"/>
          <w:kern w:val="0"/>
          <w:sz w:val="28"/>
          <w:szCs w:val="24"/>
          <w:highlight w:val="none"/>
          <w:lang w:val="en-US" w:eastAsia="zh-CN"/>
        </w:rPr>
        <w:t xml:space="preserve">10. </w:t>
      </w:r>
      <w:r>
        <w:rPr>
          <w:rFonts w:hint="eastAsia" w:ascii="宋体" w:hAnsi="宋体" w:eastAsia="宋体" w:cs="宋体"/>
          <w:color w:val="auto"/>
          <w:w w:val="100"/>
          <w:sz w:val="21"/>
          <w:szCs w:val="21"/>
          <w:highlight w:val="none"/>
          <w:lang w:val="en-US" w:eastAsia="zh-CN"/>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7DC6A315">
      <w:pPr>
        <w:pStyle w:val="5"/>
        <w:bidi w:val="0"/>
        <w:rPr>
          <w:rFonts w:hint="eastAsia"/>
          <w:color w:val="auto"/>
          <w:highlight w:val="none"/>
        </w:rPr>
      </w:pPr>
      <w:bookmarkStart w:id="77" w:name="_Toc18047"/>
      <w:bookmarkStart w:id="78" w:name="_Toc1700"/>
      <w:r>
        <w:rPr>
          <w:rFonts w:hint="eastAsia"/>
          <w:color w:val="auto"/>
          <w:highlight w:val="none"/>
          <w:lang w:val="en-US" w:eastAsia="zh-CN"/>
        </w:rPr>
        <w:t>11</w:t>
      </w:r>
      <w:r>
        <w:rPr>
          <w:rFonts w:hint="eastAsia"/>
          <w:color w:val="auto"/>
          <w:highlight w:val="none"/>
        </w:rPr>
        <w:t>. 联系方式</w:t>
      </w:r>
      <w:bookmarkEnd w:id="74"/>
      <w:bookmarkEnd w:id="75"/>
      <w:bookmarkEnd w:id="76"/>
      <w:bookmarkEnd w:id="77"/>
      <w:bookmarkEnd w:id="78"/>
    </w:p>
    <w:p w14:paraId="795BCDA6">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招标单位：广州市穗云自来水有限公司</w:t>
      </w:r>
    </w:p>
    <w:p w14:paraId="5DD06598">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 xml:space="preserve">联系人：朱小姐 </w:t>
      </w:r>
    </w:p>
    <w:p w14:paraId="5235BD74">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联系电话：020-87411863</w:t>
      </w:r>
    </w:p>
    <w:p w14:paraId="7FBF06B5">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p>
    <w:p w14:paraId="6D9688AF">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招标代理机构：广州峤达咨询服务有限公司</w:t>
      </w:r>
    </w:p>
    <w:p w14:paraId="11CF66D8">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 xml:space="preserve">联系人：林工           </w:t>
      </w:r>
    </w:p>
    <w:p w14:paraId="53B90968">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default"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联系电话：020-83842351</w:t>
      </w:r>
    </w:p>
    <w:p w14:paraId="1E5E655C">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p>
    <w:p w14:paraId="08A9525A">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招标监督机构：广州市白云区水务局</w:t>
      </w:r>
    </w:p>
    <w:p w14:paraId="26379620">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监督电话：020-36502593</w:t>
      </w:r>
    </w:p>
    <w:p w14:paraId="4A04123C">
      <w:pPr>
        <w:jc w:val="right"/>
        <w:rPr>
          <w:color w:val="auto"/>
          <w:highlight w:val="none"/>
        </w:rPr>
      </w:pPr>
      <w:r>
        <w:rPr>
          <w:rFonts w:hint="eastAsia" w:ascii="宋体" w:hAnsi="宋体" w:eastAsia="宋体" w:cs="宋体"/>
          <w:color w:val="auto"/>
          <w:sz w:val="21"/>
          <w:szCs w:val="21"/>
          <w:highlight w:val="none"/>
          <w:u w:val="single" w:color="auto"/>
          <w:lang w:val="en-US" w:eastAsia="zh-CN"/>
        </w:rPr>
        <w:t>2025</w:t>
      </w:r>
      <w:r>
        <w:rPr>
          <w:rFonts w:hint="eastAsia" w:ascii="宋体" w:hAnsi="宋体" w:eastAsia="宋体" w:cs="宋体"/>
          <w:color w:val="auto"/>
          <w:spacing w:val="3"/>
          <w:sz w:val="21"/>
          <w:szCs w:val="21"/>
          <w:highlight w:val="none"/>
        </w:rPr>
        <w:t>年</w:t>
      </w:r>
      <w:r>
        <w:rPr>
          <w:rFonts w:hint="eastAsia" w:ascii="宋体" w:hAnsi="宋体" w:eastAsia="宋体" w:cs="宋体"/>
          <w:color w:val="auto"/>
          <w:spacing w:val="2"/>
          <w:sz w:val="21"/>
          <w:szCs w:val="21"/>
          <w:highlight w:val="none"/>
          <w:u w:val="single" w:color="auto"/>
          <w:lang w:val="en-US" w:eastAsia="zh-CN"/>
        </w:rPr>
        <w:t xml:space="preserve">  </w:t>
      </w:r>
      <w:r>
        <w:rPr>
          <w:rFonts w:hint="eastAsia" w:ascii="宋体" w:hAnsi="宋体" w:eastAsia="宋体" w:cs="宋体"/>
          <w:color w:val="auto"/>
          <w:spacing w:val="2"/>
          <w:sz w:val="21"/>
          <w:szCs w:val="21"/>
          <w:highlight w:val="none"/>
        </w:rPr>
        <w:t>月</w:t>
      </w:r>
      <w:r>
        <w:rPr>
          <w:rFonts w:hint="eastAsia" w:ascii="宋体" w:hAnsi="宋体" w:eastAsia="宋体"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0A816">
    <w:pPr>
      <w:pStyle w:val="8"/>
      <w:tabs>
        <w:tab w:val="center" w:pos="4117"/>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3BAFCE">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623BAFCE">
                    <w:pPr>
                      <w:rPr>
                        <w:rFonts w:hint="eastAsia"/>
                        <w:lang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83FF6"/>
    <w:rsid w:val="2D8F45A9"/>
    <w:rsid w:val="354A0FA0"/>
    <w:rsid w:val="6EE83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5">
    <w:name w:val="heading 3"/>
    <w:basedOn w:val="1"/>
    <w:next w:val="1"/>
    <w:unhideWhenUsed/>
    <w:qFormat/>
    <w:uiPriority w:val="1"/>
    <w:pPr>
      <w:spacing w:before="50" w:beforeLines="50" w:after="50" w:afterLines="50" w:line="240" w:lineRule="auto"/>
      <w:outlineLvl w:val="2"/>
    </w:pPr>
    <w:rPr>
      <w:rFonts w:ascii="宋体" w:hAnsi="宋体" w:eastAsia="宋体"/>
      <w:b/>
      <w:sz w:val="28"/>
      <w:szCs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Body Text Indent"/>
    <w:basedOn w:val="1"/>
    <w:next w:val="4"/>
    <w:qFormat/>
    <w:uiPriority w:val="99"/>
    <w:pPr>
      <w:ind w:firstLine="600" w:firstLineChars="200"/>
    </w:pPr>
    <w:rPr>
      <w:rFonts w:ascii="宋体"/>
      <w:sz w:val="30"/>
      <w:szCs w:val="20"/>
    </w:rPr>
  </w:style>
  <w:style w:type="paragraph" w:styleId="4">
    <w:name w:val="envelope return"/>
    <w:basedOn w:val="1"/>
    <w:qFormat/>
    <w:uiPriority w:val="0"/>
    <w:pPr>
      <w:snapToGrid w:val="0"/>
    </w:pPr>
    <w:rPr>
      <w:rFonts w:ascii="Arial" w:hAnsi="Arial" w:cs="Arial"/>
    </w:rPr>
  </w:style>
  <w:style w:type="paragraph" w:styleId="6">
    <w:name w:val="annotation text"/>
    <w:basedOn w:val="1"/>
    <w:unhideWhenUsed/>
    <w:qFormat/>
    <w:uiPriority w:val="99"/>
    <w:pPr>
      <w:jc w:val="left"/>
    </w:pPr>
  </w:style>
  <w:style w:type="paragraph" w:styleId="7">
    <w:name w:val="Body Text"/>
    <w:basedOn w:val="1"/>
    <w:next w:val="1"/>
    <w:unhideWhenUsed/>
    <w:qFormat/>
    <w:uiPriority w:val="0"/>
    <w:pPr>
      <w:spacing w:after="120"/>
    </w:pPr>
  </w:style>
  <w:style w:type="paragraph" w:styleId="8">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4800</Words>
  <Characters>5050</Characters>
  <Lines>0</Lines>
  <Paragraphs>0</Paragraphs>
  <TotalTime>1</TotalTime>
  <ScaleCrop>false</ScaleCrop>
  <LinksUpToDate>false</LinksUpToDate>
  <CharactersWithSpaces>5182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2025-07-04T05:02:00Z</dcterms:created>
  <dc:creator>WPS用户</dc:creator>
  <cp:lastModifiedBy>WPS用户</cp:lastModifiedBy>
  <dcterms:modified xsi:type="dcterms:W3CDTF">2025-07-04T09:12:14Z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80C70996BD044A68A522D99E4DF0002D_11</vt:lpwstr>
  </property>
  <property fmtid="{D5CDD505-2E9C-101B-9397-08002B2CF9AE}" pid="4" name="KSOTemplateDocerSaveRecord">
    <vt:lpwstr>eyJoZGlkIjoiNzViODMyYzk5NjcxNjAwYTJiZDE1NDQ3MzU1NDFlM2UiLCJ1c2VySWQiOiI1NzA1MDI0MDUifQ==</vt:lpwstr>
  </property>
</Properties>
</file>